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A4DEFD9" w14:textId="77777777" w:rsidTr="00BF1190">
        <w:trPr>
          <w:trHeight w:val="1863"/>
        </w:trPr>
        <w:tc>
          <w:tcPr>
            <w:tcW w:w="3652" w:type="dxa"/>
            <w:tcBorders>
              <w:top w:val="nil"/>
              <w:left w:val="nil"/>
              <w:bottom w:val="nil"/>
              <w:right w:val="nil"/>
            </w:tcBorders>
          </w:tcPr>
          <w:p w14:paraId="0FA2240E" w14:textId="1DD7545B" w:rsidR="008E7846" w:rsidRPr="00096AA7" w:rsidRDefault="00080828" w:rsidP="000F37D2">
            <w:pPr>
              <w:rPr>
                <w:rFonts w:ascii="Arial" w:hAnsi="Arial" w:cs="Arial"/>
                <w:b/>
                <w:color w:val="002C47"/>
                <w:sz w:val="36"/>
                <w:szCs w:val="36"/>
              </w:rPr>
            </w:pPr>
            <w:r>
              <w:rPr>
                <w:rFonts w:ascii="Arial" w:hAnsi="Arial" w:cs="Arial"/>
                <w:b/>
                <w:color w:val="002C47"/>
                <w:sz w:val="36"/>
                <w:szCs w:val="36"/>
              </w:rPr>
              <w:t xml:space="preserve">31 </w:t>
            </w:r>
            <w:r w:rsidR="000F37D2">
              <w:rPr>
                <w:rFonts w:ascii="Arial" w:hAnsi="Arial" w:cs="Arial"/>
                <w:b/>
                <w:color w:val="002C47"/>
                <w:sz w:val="36"/>
                <w:szCs w:val="36"/>
              </w:rPr>
              <w:t>October</w:t>
            </w:r>
            <w:r w:rsidR="00BB4731">
              <w:rPr>
                <w:rFonts w:ascii="Arial" w:hAnsi="Arial" w:cs="Arial"/>
                <w:b/>
                <w:color w:val="002C47"/>
                <w:sz w:val="36"/>
                <w:szCs w:val="36"/>
              </w:rPr>
              <w:t xml:space="preserve"> 2017</w:t>
            </w:r>
          </w:p>
        </w:tc>
      </w:tr>
    </w:tbl>
    <w:tbl>
      <w:tblPr>
        <w:tblpPr w:leftFromText="180" w:rightFromText="180" w:vertAnchor="page" w:tblpY="3316"/>
        <w:tblW w:w="9688" w:type="dxa"/>
        <w:tblLayout w:type="fixed"/>
        <w:tblLook w:val="04A0" w:firstRow="1" w:lastRow="0" w:firstColumn="1" w:lastColumn="0" w:noHBand="0" w:noVBand="1"/>
      </w:tblPr>
      <w:tblGrid>
        <w:gridCol w:w="9688"/>
      </w:tblGrid>
      <w:tr w:rsidR="0032583B" w:rsidRPr="00A964D1" w14:paraId="77508FA1" w14:textId="77777777" w:rsidTr="00BB4731">
        <w:trPr>
          <w:trHeight w:val="843"/>
        </w:trPr>
        <w:tc>
          <w:tcPr>
            <w:tcW w:w="9688" w:type="dxa"/>
          </w:tcPr>
          <w:p w14:paraId="7AF72B99" w14:textId="77777777" w:rsidR="0032583B" w:rsidRPr="00A964D1" w:rsidRDefault="0032583B" w:rsidP="00A964D1">
            <w:pPr>
              <w:pStyle w:val="Title"/>
              <w:rPr>
                <w:color w:val="FFFFFF" w:themeColor="background1"/>
              </w:rPr>
            </w:pPr>
            <w:r w:rsidRPr="00A964D1">
              <w:rPr>
                <w:color w:val="FFFFFF" w:themeColor="background1"/>
              </w:rPr>
              <w:t>Australia</w:t>
            </w:r>
            <w:r w:rsidR="00BB4731">
              <w:rPr>
                <w:color w:val="FFFFFF" w:themeColor="background1"/>
              </w:rPr>
              <w:t>n Public Assessment Report for Everolimus</w:t>
            </w:r>
          </w:p>
        </w:tc>
      </w:tr>
      <w:tr w:rsidR="0032583B" w:rsidRPr="00B64760" w14:paraId="5171137B" w14:textId="77777777" w:rsidTr="00BB4731">
        <w:trPr>
          <w:trHeight w:val="927"/>
        </w:trPr>
        <w:tc>
          <w:tcPr>
            <w:tcW w:w="9688" w:type="dxa"/>
          </w:tcPr>
          <w:p w14:paraId="68A307DA" w14:textId="77777777" w:rsidR="0032583B" w:rsidRPr="008E7846" w:rsidRDefault="00BB4731" w:rsidP="00BB4731">
            <w:pPr>
              <w:pStyle w:val="Subtitle"/>
              <w:ind w:left="0"/>
              <w:rPr>
                <w:color w:val="FFFFFF" w:themeColor="background1"/>
              </w:rPr>
            </w:pPr>
            <w:r>
              <w:rPr>
                <w:color w:val="FFFFFF" w:themeColor="background1"/>
              </w:rPr>
              <w:t>Proprietary Product Name: Afinitor</w:t>
            </w:r>
          </w:p>
        </w:tc>
      </w:tr>
      <w:tr w:rsidR="0032583B" w:rsidRPr="00B64760" w14:paraId="34CECFE9" w14:textId="77777777" w:rsidTr="00BB4731">
        <w:trPr>
          <w:trHeight w:val="472"/>
        </w:trPr>
        <w:tc>
          <w:tcPr>
            <w:tcW w:w="9688" w:type="dxa"/>
          </w:tcPr>
          <w:p w14:paraId="7A0534FD" w14:textId="6DE7A19E" w:rsidR="0032583B" w:rsidRPr="008E7846" w:rsidRDefault="0032583B" w:rsidP="000B0784">
            <w:pPr>
              <w:pStyle w:val="Subtitle"/>
              <w:ind w:left="0"/>
              <w:rPr>
                <w:color w:val="FFFFFF" w:themeColor="background1"/>
              </w:rPr>
            </w:pPr>
            <w:r w:rsidRPr="008E7846">
              <w:rPr>
                <w:color w:val="FFFFFF" w:themeColor="background1"/>
              </w:rPr>
              <w:t xml:space="preserve">Sponsor: </w:t>
            </w:r>
            <w:r w:rsidR="00BB4731" w:rsidRPr="00A95723">
              <w:rPr>
                <w:color w:val="FFFFFF" w:themeColor="background1"/>
              </w:rPr>
              <w:t>Novartis Pharmaceuticals Australia Pty Ltd</w:t>
            </w:r>
          </w:p>
        </w:tc>
      </w:tr>
    </w:tbl>
    <w:p w14:paraId="7D0AFD2D" w14:textId="77777777" w:rsidR="008E7846" w:rsidRPr="0085156D" w:rsidRDefault="008E7846" w:rsidP="0085156D">
      <w:r w:rsidRPr="0085156D">
        <w:br w:type="page"/>
      </w:r>
    </w:p>
    <w:p w14:paraId="299F97E4" w14:textId="77777777" w:rsidR="008E7846" w:rsidRPr="001F6CBA" w:rsidRDefault="008E7846" w:rsidP="008E7846">
      <w:pPr>
        <w:pStyle w:val="NonTOCHeading2"/>
      </w:pPr>
      <w:r w:rsidRPr="001F6CBA">
        <w:lastRenderedPageBreak/>
        <w:t>About the Therapeutic Goods Administration (TGA)</w:t>
      </w:r>
    </w:p>
    <w:p w14:paraId="6A92D912" w14:textId="77777777" w:rsidR="008E7846" w:rsidRDefault="008E7846" w:rsidP="009E79FB">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1E9E802D" w14:textId="77777777" w:rsidR="008E7846" w:rsidRDefault="00C80137" w:rsidP="009E79FB">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41A802C2" w14:textId="77777777" w:rsidR="008E7846" w:rsidRDefault="008E7846" w:rsidP="009E79FB">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657EA018" w14:textId="77777777" w:rsidR="008E7846" w:rsidRDefault="008E7846" w:rsidP="009E79FB">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45D0ADD5" w14:textId="77777777" w:rsidR="00441C3F" w:rsidRDefault="008E7846" w:rsidP="009E79FB">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71A99A8B" w14:textId="77777777" w:rsidR="008E7846" w:rsidRDefault="008E7846" w:rsidP="00875A6B">
      <w:pPr>
        <w:pStyle w:val="NonTOCHeading2"/>
      </w:pPr>
      <w:r>
        <w:t>About AusPARs</w:t>
      </w:r>
    </w:p>
    <w:p w14:paraId="129AC25B" w14:textId="77777777" w:rsidR="008E7846" w:rsidRDefault="008E7846" w:rsidP="009E79FB">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561EDA46" w14:textId="77777777" w:rsidR="008E7846" w:rsidRDefault="008E7846" w:rsidP="009E79FB">
      <w:pPr>
        <w:pStyle w:val="ListBullet"/>
        <w:numPr>
          <w:ilvl w:val="0"/>
          <w:numId w:val="1"/>
        </w:numPr>
        <w:ind w:left="357" w:hanging="357"/>
      </w:pPr>
      <w:r>
        <w:t>AusPARs are prepared and published by the TGA.</w:t>
      </w:r>
    </w:p>
    <w:p w14:paraId="78A898A0" w14:textId="77777777" w:rsidR="008E7846" w:rsidRDefault="008E7846" w:rsidP="009E79FB">
      <w:pPr>
        <w:pStyle w:val="ListBullet"/>
        <w:numPr>
          <w:ilvl w:val="0"/>
          <w:numId w:val="1"/>
        </w:numPr>
        <w:ind w:left="357" w:hanging="357"/>
      </w:pPr>
      <w:r>
        <w:t>An AusPAR is prepared for submissions that relate to new chemical entities, generic medicines, major variations and extensions of indications.</w:t>
      </w:r>
    </w:p>
    <w:p w14:paraId="76F43339" w14:textId="77777777" w:rsidR="008E7846" w:rsidRDefault="008E7846" w:rsidP="009E79FB">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115E10B7" w14:textId="77777777" w:rsidR="00B452CE" w:rsidRDefault="008E7846" w:rsidP="009E79FB">
      <w:pPr>
        <w:pStyle w:val="ListBullet"/>
        <w:numPr>
          <w:ilvl w:val="0"/>
          <w:numId w:val="1"/>
        </w:numPr>
        <w:ind w:left="357" w:hanging="357"/>
      </w:pPr>
      <w:r>
        <w:t>A new AusPAR will be developed to reflect changes to indications and/or major variations to a prescription medicine subject to evaluation by the TGA.</w:t>
      </w:r>
    </w:p>
    <w:p w14:paraId="60B3EB75" w14:textId="77777777" w:rsidR="00924482" w:rsidRPr="00DF1D7F" w:rsidRDefault="00924482" w:rsidP="00F54B65">
      <w:pPr>
        <w:pStyle w:val="LegalSubheading"/>
        <w:spacing w:before="3120"/>
      </w:pPr>
      <w:r w:rsidRPr="00DF1D7F">
        <w:t>Copyright</w:t>
      </w:r>
    </w:p>
    <w:p w14:paraId="715CE36F" w14:textId="7303C37A" w:rsidR="00924482" w:rsidRDefault="00924482" w:rsidP="00924482">
      <w:pPr>
        <w:pStyle w:val="LegalCopy"/>
      </w:pPr>
      <w:r w:rsidRPr="00191B3B">
        <w:rPr>
          <w:rFonts w:cs="Arial"/>
          <w:lang w:val="en-GB"/>
        </w:rPr>
        <w:t>© Comm</w:t>
      </w:r>
      <w:r>
        <w:rPr>
          <w:rFonts w:cs="Arial"/>
          <w:lang w:val="en-GB"/>
        </w:rPr>
        <w:t>onwealth of Australia 201</w:t>
      </w:r>
      <w:r w:rsidR="00080828">
        <w:rPr>
          <w:rFonts w:cs="Arial"/>
          <w:lang w:val="en-GB"/>
        </w:rPr>
        <w:t>7</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138E03CD"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A34874B" w14:textId="77777777" w:rsidR="0089635C" w:rsidRPr="0089635C" w:rsidRDefault="0089635C" w:rsidP="0010788A">
          <w:pPr>
            <w:pStyle w:val="Contents"/>
          </w:pPr>
          <w:r w:rsidRPr="0010788A">
            <w:t>Contents</w:t>
          </w:r>
        </w:p>
        <w:p w14:paraId="0E583689" w14:textId="77777777" w:rsidR="009E4AE9"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3685084" w:history="1">
            <w:r w:rsidR="009E4AE9" w:rsidRPr="00961000">
              <w:rPr>
                <w:rStyle w:val="Hyperlink"/>
                <w:noProof/>
              </w:rPr>
              <w:t>Common abbreviations</w:t>
            </w:r>
            <w:r w:rsidR="009E4AE9">
              <w:rPr>
                <w:noProof/>
                <w:webHidden/>
              </w:rPr>
              <w:tab/>
            </w:r>
            <w:r w:rsidR="009E4AE9">
              <w:rPr>
                <w:noProof/>
                <w:webHidden/>
              </w:rPr>
              <w:fldChar w:fldCharType="begin"/>
            </w:r>
            <w:r w:rsidR="009E4AE9">
              <w:rPr>
                <w:noProof/>
                <w:webHidden/>
              </w:rPr>
              <w:instrText xml:space="preserve"> PAGEREF _Toc493685084 \h </w:instrText>
            </w:r>
            <w:r w:rsidR="009E4AE9">
              <w:rPr>
                <w:noProof/>
                <w:webHidden/>
              </w:rPr>
            </w:r>
            <w:r w:rsidR="009E4AE9">
              <w:rPr>
                <w:noProof/>
                <w:webHidden/>
              </w:rPr>
              <w:fldChar w:fldCharType="separate"/>
            </w:r>
            <w:r w:rsidR="002A5AE3">
              <w:rPr>
                <w:noProof/>
                <w:webHidden/>
              </w:rPr>
              <w:t>5</w:t>
            </w:r>
            <w:r w:rsidR="009E4AE9">
              <w:rPr>
                <w:noProof/>
                <w:webHidden/>
              </w:rPr>
              <w:fldChar w:fldCharType="end"/>
            </w:r>
          </w:hyperlink>
        </w:p>
        <w:p w14:paraId="6930E23C" w14:textId="77777777" w:rsidR="009E4AE9" w:rsidRDefault="00503146">
          <w:pPr>
            <w:pStyle w:val="TOC2"/>
            <w:rPr>
              <w:rFonts w:asciiTheme="minorHAnsi" w:eastAsiaTheme="minorEastAsia" w:hAnsiTheme="minorHAnsi" w:cstheme="minorBidi"/>
              <w:b w:val="0"/>
              <w:noProof/>
              <w:sz w:val="22"/>
              <w:lang w:eastAsia="en-AU"/>
            </w:rPr>
          </w:pPr>
          <w:hyperlink w:anchor="_Toc493685085" w:history="1">
            <w:r w:rsidR="009E4AE9" w:rsidRPr="00961000">
              <w:rPr>
                <w:rStyle w:val="Hyperlink"/>
                <w:noProof/>
              </w:rPr>
              <w:t>I. Introduction to product submission</w:t>
            </w:r>
            <w:r w:rsidR="009E4AE9">
              <w:rPr>
                <w:noProof/>
                <w:webHidden/>
              </w:rPr>
              <w:tab/>
            </w:r>
            <w:r w:rsidR="009E4AE9">
              <w:rPr>
                <w:noProof/>
                <w:webHidden/>
              </w:rPr>
              <w:fldChar w:fldCharType="begin"/>
            </w:r>
            <w:r w:rsidR="009E4AE9">
              <w:rPr>
                <w:noProof/>
                <w:webHidden/>
              </w:rPr>
              <w:instrText xml:space="preserve"> PAGEREF _Toc493685085 \h </w:instrText>
            </w:r>
            <w:r w:rsidR="009E4AE9">
              <w:rPr>
                <w:noProof/>
                <w:webHidden/>
              </w:rPr>
            </w:r>
            <w:r w:rsidR="009E4AE9">
              <w:rPr>
                <w:noProof/>
                <w:webHidden/>
              </w:rPr>
              <w:fldChar w:fldCharType="separate"/>
            </w:r>
            <w:r w:rsidR="002A5AE3">
              <w:rPr>
                <w:noProof/>
                <w:webHidden/>
              </w:rPr>
              <w:t>8</w:t>
            </w:r>
            <w:r w:rsidR="009E4AE9">
              <w:rPr>
                <w:noProof/>
                <w:webHidden/>
              </w:rPr>
              <w:fldChar w:fldCharType="end"/>
            </w:r>
          </w:hyperlink>
        </w:p>
        <w:p w14:paraId="1364080B" w14:textId="77777777" w:rsidR="009E4AE9" w:rsidRDefault="00503146">
          <w:pPr>
            <w:pStyle w:val="TOC3"/>
            <w:rPr>
              <w:rFonts w:asciiTheme="minorHAnsi" w:eastAsiaTheme="minorEastAsia" w:hAnsiTheme="minorHAnsi" w:cstheme="minorBidi"/>
              <w:noProof/>
              <w:lang w:eastAsia="en-AU"/>
            </w:rPr>
          </w:pPr>
          <w:hyperlink w:anchor="_Toc493685086" w:history="1">
            <w:r w:rsidR="009E4AE9" w:rsidRPr="00961000">
              <w:rPr>
                <w:rStyle w:val="Hyperlink"/>
                <w:noProof/>
                <w:lang w:eastAsia="en-AU"/>
              </w:rPr>
              <w:t>Submission details</w:t>
            </w:r>
            <w:r w:rsidR="009E4AE9">
              <w:rPr>
                <w:noProof/>
                <w:webHidden/>
              </w:rPr>
              <w:tab/>
            </w:r>
            <w:r w:rsidR="009E4AE9">
              <w:rPr>
                <w:noProof/>
                <w:webHidden/>
              </w:rPr>
              <w:fldChar w:fldCharType="begin"/>
            </w:r>
            <w:r w:rsidR="009E4AE9">
              <w:rPr>
                <w:noProof/>
                <w:webHidden/>
              </w:rPr>
              <w:instrText xml:space="preserve"> PAGEREF _Toc493685086 \h </w:instrText>
            </w:r>
            <w:r w:rsidR="009E4AE9">
              <w:rPr>
                <w:noProof/>
                <w:webHidden/>
              </w:rPr>
            </w:r>
            <w:r w:rsidR="009E4AE9">
              <w:rPr>
                <w:noProof/>
                <w:webHidden/>
              </w:rPr>
              <w:fldChar w:fldCharType="separate"/>
            </w:r>
            <w:r w:rsidR="002A5AE3">
              <w:rPr>
                <w:noProof/>
                <w:webHidden/>
              </w:rPr>
              <w:t>8</w:t>
            </w:r>
            <w:r w:rsidR="009E4AE9">
              <w:rPr>
                <w:noProof/>
                <w:webHidden/>
              </w:rPr>
              <w:fldChar w:fldCharType="end"/>
            </w:r>
          </w:hyperlink>
        </w:p>
        <w:p w14:paraId="7F954537" w14:textId="77777777" w:rsidR="009E4AE9" w:rsidRDefault="00503146">
          <w:pPr>
            <w:pStyle w:val="TOC3"/>
            <w:rPr>
              <w:rFonts w:asciiTheme="minorHAnsi" w:eastAsiaTheme="minorEastAsia" w:hAnsiTheme="minorHAnsi" w:cstheme="minorBidi"/>
              <w:noProof/>
              <w:lang w:eastAsia="en-AU"/>
            </w:rPr>
          </w:pPr>
          <w:hyperlink w:anchor="_Toc493685087" w:history="1">
            <w:r w:rsidR="009E4AE9" w:rsidRPr="00961000">
              <w:rPr>
                <w:rStyle w:val="Hyperlink"/>
                <w:noProof/>
              </w:rPr>
              <w:t>Product background</w:t>
            </w:r>
            <w:r w:rsidR="009E4AE9">
              <w:rPr>
                <w:noProof/>
                <w:webHidden/>
              </w:rPr>
              <w:tab/>
            </w:r>
            <w:r w:rsidR="009E4AE9">
              <w:rPr>
                <w:noProof/>
                <w:webHidden/>
              </w:rPr>
              <w:fldChar w:fldCharType="begin"/>
            </w:r>
            <w:r w:rsidR="009E4AE9">
              <w:rPr>
                <w:noProof/>
                <w:webHidden/>
              </w:rPr>
              <w:instrText xml:space="preserve"> PAGEREF _Toc493685087 \h </w:instrText>
            </w:r>
            <w:r w:rsidR="009E4AE9">
              <w:rPr>
                <w:noProof/>
                <w:webHidden/>
              </w:rPr>
            </w:r>
            <w:r w:rsidR="009E4AE9">
              <w:rPr>
                <w:noProof/>
                <w:webHidden/>
              </w:rPr>
              <w:fldChar w:fldCharType="separate"/>
            </w:r>
            <w:r w:rsidR="002A5AE3">
              <w:rPr>
                <w:noProof/>
                <w:webHidden/>
              </w:rPr>
              <w:t>8</w:t>
            </w:r>
            <w:r w:rsidR="009E4AE9">
              <w:rPr>
                <w:noProof/>
                <w:webHidden/>
              </w:rPr>
              <w:fldChar w:fldCharType="end"/>
            </w:r>
          </w:hyperlink>
        </w:p>
        <w:p w14:paraId="1C8D4A2A" w14:textId="77777777" w:rsidR="009E4AE9" w:rsidRDefault="00503146">
          <w:pPr>
            <w:pStyle w:val="TOC3"/>
            <w:rPr>
              <w:rFonts w:asciiTheme="minorHAnsi" w:eastAsiaTheme="minorEastAsia" w:hAnsiTheme="minorHAnsi" w:cstheme="minorBidi"/>
              <w:noProof/>
              <w:lang w:eastAsia="en-AU"/>
            </w:rPr>
          </w:pPr>
          <w:hyperlink w:anchor="_Toc493685088" w:history="1">
            <w:r w:rsidR="009E4AE9" w:rsidRPr="00961000">
              <w:rPr>
                <w:rStyle w:val="Hyperlink"/>
                <w:noProof/>
              </w:rPr>
              <w:t>Regulatory status</w:t>
            </w:r>
            <w:r w:rsidR="009E4AE9">
              <w:rPr>
                <w:noProof/>
                <w:webHidden/>
              </w:rPr>
              <w:tab/>
            </w:r>
            <w:r w:rsidR="009E4AE9">
              <w:rPr>
                <w:noProof/>
                <w:webHidden/>
              </w:rPr>
              <w:fldChar w:fldCharType="begin"/>
            </w:r>
            <w:r w:rsidR="009E4AE9">
              <w:rPr>
                <w:noProof/>
                <w:webHidden/>
              </w:rPr>
              <w:instrText xml:space="preserve"> PAGEREF _Toc493685088 \h </w:instrText>
            </w:r>
            <w:r w:rsidR="009E4AE9">
              <w:rPr>
                <w:noProof/>
                <w:webHidden/>
              </w:rPr>
            </w:r>
            <w:r w:rsidR="009E4AE9">
              <w:rPr>
                <w:noProof/>
                <w:webHidden/>
              </w:rPr>
              <w:fldChar w:fldCharType="separate"/>
            </w:r>
            <w:r w:rsidR="002A5AE3">
              <w:rPr>
                <w:noProof/>
                <w:webHidden/>
              </w:rPr>
              <w:t>11</w:t>
            </w:r>
            <w:r w:rsidR="009E4AE9">
              <w:rPr>
                <w:noProof/>
                <w:webHidden/>
              </w:rPr>
              <w:fldChar w:fldCharType="end"/>
            </w:r>
          </w:hyperlink>
        </w:p>
        <w:p w14:paraId="7362F868" w14:textId="77777777" w:rsidR="009E4AE9" w:rsidRDefault="00503146">
          <w:pPr>
            <w:pStyle w:val="TOC3"/>
            <w:rPr>
              <w:rFonts w:asciiTheme="minorHAnsi" w:eastAsiaTheme="minorEastAsia" w:hAnsiTheme="minorHAnsi" w:cstheme="minorBidi"/>
              <w:noProof/>
              <w:lang w:eastAsia="en-AU"/>
            </w:rPr>
          </w:pPr>
          <w:hyperlink w:anchor="_Toc493685089" w:history="1">
            <w:r w:rsidR="009E4AE9" w:rsidRPr="00961000">
              <w:rPr>
                <w:rStyle w:val="Hyperlink"/>
                <w:noProof/>
              </w:rPr>
              <w:t>Product Information</w:t>
            </w:r>
            <w:r w:rsidR="009E4AE9">
              <w:rPr>
                <w:noProof/>
                <w:webHidden/>
              </w:rPr>
              <w:tab/>
            </w:r>
            <w:r w:rsidR="009E4AE9">
              <w:rPr>
                <w:noProof/>
                <w:webHidden/>
              </w:rPr>
              <w:fldChar w:fldCharType="begin"/>
            </w:r>
            <w:r w:rsidR="009E4AE9">
              <w:rPr>
                <w:noProof/>
                <w:webHidden/>
              </w:rPr>
              <w:instrText xml:space="preserve"> PAGEREF _Toc493685089 \h </w:instrText>
            </w:r>
            <w:r w:rsidR="009E4AE9">
              <w:rPr>
                <w:noProof/>
                <w:webHidden/>
              </w:rPr>
            </w:r>
            <w:r w:rsidR="009E4AE9">
              <w:rPr>
                <w:noProof/>
                <w:webHidden/>
              </w:rPr>
              <w:fldChar w:fldCharType="separate"/>
            </w:r>
            <w:r w:rsidR="002A5AE3">
              <w:rPr>
                <w:noProof/>
                <w:webHidden/>
              </w:rPr>
              <w:t>12</w:t>
            </w:r>
            <w:r w:rsidR="009E4AE9">
              <w:rPr>
                <w:noProof/>
                <w:webHidden/>
              </w:rPr>
              <w:fldChar w:fldCharType="end"/>
            </w:r>
          </w:hyperlink>
        </w:p>
        <w:p w14:paraId="36E0B51A" w14:textId="77777777" w:rsidR="009E4AE9" w:rsidRDefault="00503146">
          <w:pPr>
            <w:pStyle w:val="TOC2"/>
            <w:rPr>
              <w:rFonts w:asciiTheme="minorHAnsi" w:eastAsiaTheme="minorEastAsia" w:hAnsiTheme="minorHAnsi" w:cstheme="minorBidi"/>
              <w:b w:val="0"/>
              <w:noProof/>
              <w:sz w:val="22"/>
              <w:lang w:eastAsia="en-AU"/>
            </w:rPr>
          </w:pPr>
          <w:hyperlink w:anchor="_Toc493685090" w:history="1">
            <w:r w:rsidR="009E4AE9" w:rsidRPr="00961000">
              <w:rPr>
                <w:rStyle w:val="Hyperlink"/>
                <w:noProof/>
              </w:rPr>
              <w:t>II. Quality findings</w:t>
            </w:r>
            <w:r w:rsidR="009E4AE9">
              <w:rPr>
                <w:noProof/>
                <w:webHidden/>
              </w:rPr>
              <w:tab/>
            </w:r>
            <w:r w:rsidR="009E4AE9">
              <w:rPr>
                <w:noProof/>
                <w:webHidden/>
              </w:rPr>
              <w:fldChar w:fldCharType="begin"/>
            </w:r>
            <w:r w:rsidR="009E4AE9">
              <w:rPr>
                <w:noProof/>
                <w:webHidden/>
              </w:rPr>
              <w:instrText xml:space="preserve"> PAGEREF _Toc493685090 \h </w:instrText>
            </w:r>
            <w:r w:rsidR="009E4AE9">
              <w:rPr>
                <w:noProof/>
                <w:webHidden/>
              </w:rPr>
            </w:r>
            <w:r w:rsidR="009E4AE9">
              <w:rPr>
                <w:noProof/>
                <w:webHidden/>
              </w:rPr>
              <w:fldChar w:fldCharType="separate"/>
            </w:r>
            <w:r w:rsidR="002A5AE3">
              <w:rPr>
                <w:noProof/>
                <w:webHidden/>
              </w:rPr>
              <w:t>12</w:t>
            </w:r>
            <w:r w:rsidR="009E4AE9">
              <w:rPr>
                <w:noProof/>
                <w:webHidden/>
              </w:rPr>
              <w:fldChar w:fldCharType="end"/>
            </w:r>
          </w:hyperlink>
        </w:p>
        <w:p w14:paraId="659081EE" w14:textId="77777777" w:rsidR="009E4AE9" w:rsidRDefault="00503146">
          <w:pPr>
            <w:pStyle w:val="TOC3"/>
            <w:rPr>
              <w:rFonts w:asciiTheme="minorHAnsi" w:eastAsiaTheme="minorEastAsia" w:hAnsiTheme="minorHAnsi" w:cstheme="minorBidi"/>
              <w:noProof/>
              <w:lang w:eastAsia="en-AU"/>
            </w:rPr>
          </w:pPr>
          <w:hyperlink w:anchor="_Toc493685091" w:history="1">
            <w:r w:rsidR="009E4AE9" w:rsidRPr="00961000">
              <w:rPr>
                <w:rStyle w:val="Hyperlink"/>
                <w:noProof/>
              </w:rPr>
              <w:t>Introduction</w:t>
            </w:r>
            <w:r w:rsidR="009E4AE9">
              <w:rPr>
                <w:noProof/>
                <w:webHidden/>
              </w:rPr>
              <w:tab/>
            </w:r>
            <w:r w:rsidR="009E4AE9">
              <w:rPr>
                <w:noProof/>
                <w:webHidden/>
              </w:rPr>
              <w:fldChar w:fldCharType="begin"/>
            </w:r>
            <w:r w:rsidR="009E4AE9">
              <w:rPr>
                <w:noProof/>
                <w:webHidden/>
              </w:rPr>
              <w:instrText xml:space="preserve"> PAGEREF _Toc493685091 \h </w:instrText>
            </w:r>
            <w:r w:rsidR="009E4AE9">
              <w:rPr>
                <w:noProof/>
                <w:webHidden/>
              </w:rPr>
            </w:r>
            <w:r w:rsidR="009E4AE9">
              <w:rPr>
                <w:noProof/>
                <w:webHidden/>
              </w:rPr>
              <w:fldChar w:fldCharType="separate"/>
            </w:r>
            <w:r w:rsidR="002A5AE3">
              <w:rPr>
                <w:noProof/>
                <w:webHidden/>
              </w:rPr>
              <w:t>12</w:t>
            </w:r>
            <w:r w:rsidR="009E4AE9">
              <w:rPr>
                <w:noProof/>
                <w:webHidden/>
              </w:rPr>
              <w:fldChar w:fldCharType="end"/>
            </w:r>
          </w:hyperlink>
        </w:p>
        <w:p w14:paraId="73D57F58" w14:textId="77777777" w:rsidR="009E4AE9" w:rsidRDefault="00503146">
          <w:pPr>
            <w:pStyle w:val="TOC3"/>
            <w:rPr>
              <w:rFonts w:asciiTheme="minorHAnsi" w:eastAsiaTheme="minorEastAsia" w:hAnsiTheme="minorHAnsi" w:cstheme="minorBidi"/>
              <w:noProof/>
              <w:lang w:eastAsia="en-AU"/>
            </w:rPr>
          </w:pPr>
          <w:hyperlink w:anchor="_Toc493685092" w:history="1">
            <w:r w:rsidR="009E4AE9" w:rsidRPr="00961000">
              <w:rPr>
                <w:rStyle w:val="Hyperlink"/>
                <w:noProof/>
              </w:rPr>
              <w:t>Quality summary and conclusions</w:t>
            </w:r>
            <w:r w:rsidR="009E4AE9">
              <w:rPr>
                <w:noProof/>
                <w:webHidden/>
              </w:rPr>
              <w:tab/>
            </w:r>
            <w:r w:rsidR="009E4AE9">
              <w:rPr>
                <w:noProof/>
                <w:webHidden/>
              </w:rPr>
              <w:fldChar w:fldCharType="begin"/>
            </w:r>
            <w:r w:rsidR="009E4AE9">
              <w:rPr>
                <w:noProof/>
                <w:webHidden/>
              </w:rPr>
              <w:instrText xml:space="preserve"> PAGEREF _Toc493685092 \h </w:instrText>
            </w:r>
            <w:r w:rsidR="009E4AE9">
              <w:rPr>
                <w:noProof/>
                <w:webHidden/>
              </w:rPr>
            </w:r>
            <w:r w:rsidR="009E4AE9">
              <w:rPr>
                <w:noProof/>
                <w:webHidden/>
              </w:rPr>
              <w:fldChar w:fldCharType="separate"/>
            </w:r>
            <w:r w:rsidR="002A5AE3">
              <w:rPr>
                <w:noProof/>
                <w:webHidden/>
              </w:rPr>
              <w:t>12</w:t>
            </w:r>
            <w:r w:rsidR="009E4AE9">
              <w:rPr>
                <w:noProof/>
                <w:webHidden/>
              </w:rPr>
              <w:fldChar w:fldCharType="end"/>
            </w:r>
          </w:hyperlink>
        </w:p>
        <w:p w14:paraId="608344C8" w14:textId="77777777" w:rsidR="009E4AE9" w:rsidRDefault="00503146">
          <w:pPr>
            <w:pStyle w:val="TOC2"/>
            <w:rPr>
              <w:rFonts w:asciiTheme="minorHAnsi" w:eastAsiaTheme="minorEastAsia" w:hAnsiTheme="minorHAnsi" w:cstheme="minorBidi"/>
              <w:b w:val="0"/>
              <w:noProof/>
              <w:sz w:val="22"/>
              <w:lang w:eastAsia="en-AU"/>
            </w:rPr>
          </w:pPr>
          <w:hyperlink w:anchor="_Toc493685093" w:history="1">
            <w:r w:rsidR="009E4AE9" w:rsidRPr="00961000">
              <w:rPr>
                <w:rStyle w:val="Hyperlink"/>
                <w:noProof/>
              </w:rPr>
              <w:t>III. Nonclinical findings</w:t>
            </w:r>
            <w:r w:rsidR="009E4AE9">
              <w:rPr>
                <w:noProof/>
                <w:webHidden/>
              </w:rPr>
              <w:tab/>
            </w:r>
            <w:r w:rsidR="009E4AE9">
              <w:rPr>
                <w:noProof/>
                <w:webHidden/>
              </w:rPr>
              <w:fldChar w:fldCharType="begin"/>
            </w:r>
            <w:r w:rsidR="009E4AE9">
              <w:rPr>
                <w:noProof/>
                <w:webHidden/>
              </w:rPr>
              <w:instrText xml:space="preserve"> PAGEREF _Toc493685093 \h </w:instrText>
            </w:r>
            <w:r w:rsidR="009E4AE9">
              <w:rPr>
                <w:noProof/>
                <w:webHidden/>
              </w:rPr>
            </w:r>
            <w:r w:rsidR="009E4AE9">
              <w:rPr>
                <w:noProof/>
                <w:webHidden/>
              </w:rPr>
              <w:fldChar w:fldCharType="separate"/>
            </w:r>
            <w:r w:rsidR="002A5AE3">
              <w:rPr>
                <w:noProof/>
                <w:webHidden/>
              </w:rPr>
              <w:t>13</w:t>
            </w:r>
            <w:r w:rsidR="009E4AE9">
              <w:rPr>
                <w:noProof/>
                <w:webHidden/>
              </w:rPr>
              <w:fldChar w:fldCharType="end"/>
            </w:r>
          </w:hyperlink>
        </w:p>
        <w:p w14:paraId="26F2A990" w14:textId="77777777" w:rsidR="009E4AE9" w:rsidRDefault="00503146">
          <w:pPr>
            <w:pStyle w:val="TOC2"/>
            <w:rPr>
              <w:rFonts w:asciiTheme="minorHAnsi" w:eastAsiaTheme="minorEastAsia" w:hAnsiTheme="minorHAnsi" w:cstheme="minorBidi"/>
              <w:b w:val="0"/>
              <w:noProof/>
              <w:sz w:val="22"/>
              <w:lang w:eastAsia="en-AU"/>
            </w:rPr>
          </w:pPr>
          <w:hyperlink w:anchor="_Toc493685094" w:history="1">
            <w:r w:rsidR="009E4AE9" w:rsidRPr="00961000">
              <w:rPr>
                <w:rStyle w:val="Hyperlink"/>
                <w:noProof/>
              </w:rPr>
              <w:t>IV. Clinical findings</w:t>
            </w:r>
            <w:r w:rsidR="009E4AE9">
              <w:rPr>
                <w:noProof/>
                <w:webHidden/>
              </w:rPr>
              <w:tab/>
            </w:r>
            <w:r w:rsidR="009E4AE9">
              <w:rPr>
                <w:noProof/>
                <w:webHidden/>
              </w:rPr>
              <w:fldChar w:fldCharType="begin"/>
            </w:r>
            <w:r w:rsidR="009E4AE9">
              <w:rPr>
                <w:noProof/>
                <w:webHidden/>
              </w:rPr>
              <w:instrText xml:space="preserve"> PAGEREF _Toc493685094 \h </w:instrText>
            </w:r>
            <w:r w:rsidR="009E4AE9">
              <w:rPr>
                <w:noProof/>
                <w:webHidden/>
              </w:rPr>
            </w:r>
            <w:r w:rsidR="009E4AE9">
              <w:rPr>
                <w:noProof/>
                <w:webHidden/>
              </w:rPr>
              <w:fldChar w:fldCharType="separate"/>
            </w:r>
            <w:r w:rsidR="002A5AE3">
              <w:rPr>
                <w:noProof/>
                <w:webHidden/>
              </w:rPr>
              <w:t>13</w:t>
            </w:r>
            <w:r w:rsidR="009E4AE9">
              <w:rPr>
                <w:noProof/>
                <w:webHidden/>
              </w:rPr>
              <w:fldChar w:fldCharType="end"/>
            </w:r>
          </w:hyperlink>
        </w:p>
        <w:p w14:paraId="465FCB49" w14:textId="77777777" w:rsidR="009E4AE9" w:rsidRDefault="00503146">
          <w:pPr>
            <w:pStyle w:val="TOC3"/>
            <w:rPr>
              <w:rFonts w:asciiTheme="minorHAnsi" w:eastAsiaTheme="minorEastAsia" w:hAnsiTheme="minorHAnsi" w:cstheme="minorBidi"/>
              <w:noProof/>
              <w:lang w:eastAsia="en-AU"/>
            </w:rPr>
          </w:pPr>
          <w:hyperlink w:anchor="_Toc493685095" w:history="1">
            <w:r w:rsidR="009E4AE9" w:rsidRPr="00961000">
              <w:rPr>
                <w:rStyle w:val="Hyperlink"/>
                <w:noProof/>
              </w:rPr>
              <w:t>Introduction</w:t>
            </w:r>
            <w:r w:rsidR="009E4AE9">
              <w:rPr>
                <w:noProof/>
                <w:webHidden/>
              </w:rPr>
              <w:tab/>
            </w:r>
            <w:r w:rsidR="009E4AE9">
              <w:rPr>
                <w:noProof/>
                <w:webHidden/>
              </w:rPr>
              <w:fldChar w:fldCharType="begin"/>
            </w:r>
            <w:r w:rsidR="009E4AE9">
              <w:rPr>
                <w:noProof/>
                <w:webHidden/>
              </w:rPr>
              <w:instrText xml:space="preserve"> PAGEREF _Toc493685095 \h </w:instrText>
            </w:r>
            <w:r w:rsidR="009E4AE9">
              <w:rPr>
                <w:noProof/>
                <w:webHidden/>
              </w:rPr>
            </w:r>
            <w:r w:rsidR="009E4AE9">
              <w:rPr>
                <w:noProof/>
                <w:webHidden/>
              </w:rPr>
              <w:fldChar w:fldCharType="separate"/>
            </w:r>
            <w:r w:rsidR="002A5AE3">
              <w:rPr>
                <w:noProof/>
                <w:webHidden/>
              </w:rPr>
              <w:t>13</w:t>
            </w:r>
            <w:r w:rsidR="009E4AE9">
              <w:rPr>
                <w:noProof/>
                <w:webHidden/>
              </w:rPr>
              <w:fldChar w:fldCharType="end"/>
            </w:r>
          </w:hyperlink>
        </w:p>
        <w:p w14:paraId="64067E6B" w14:textId="77777777" w:rsidR="009E4AE9" w:rsidRDefault="00503146">
          <w:pPr>
            <w:pStyle w:val="TOC3"/>
            <w:rPr>
              <w:rFonts w:asciiTheme="minorHAnsi" w:eastAsiaTheme="minorEastAsia" w:hAnsiTheme="minorHAnsi" w:cstheme="minorBidi"/>
              <w:noProof/>
              <w:lang w:eastAsia="en-AU"/>
            </w:rPr>
          </w:pPr>
          <w:hyperlink w:anchor="_Toc493685096" w:history="1">
            <w:r w:rsidR="009E4AE9" w:rsidRPr="00961000">
              <w:rPr>
                <w:rStyle w:val="Hyperlink"/>
                <w:noProof/>
              </w:rPr>
              <w:t>Pharmacokinetics</w:t>
            </w:r>
            <w:r w:rsidR="009E4AE9">
              <w:rPr>
                <w:noProof/>
                <w:webHidden/>
              </w:rPr>
              <w:tab/>
            </w:r>
            <w:r w:rsidR="009E4AE9">
              <w:rPr>
                <w:noProof/>
                <w:webHidden/>
              </w:rPr>
              <w:fldChar w:fldCharType="begin"/>
            </w:r>
            <w:r w:rsidR="009E4AE9">
              <w:rPr>
                <w:noProof/>
                <w:webHidden/>
              </w:rPr>
              <w:instrText xml:space="preserve"> PAGEREF _Toc493685096 \h </w:instrText>
            </w:r>
            <w:r w:rsidR="009E4AE9">
              <w:rPr>
                <w:noProof/>
                <w:webHidden/>
              </w:rPr>
            </w:r>
            <w:r w:rsidR="009E4AE9">
              <w:rPr>
                <w:noProof/>
                <w:webHidden/>
              </w:rPr>
              <w:fldChar w:fldCharType="separate"/>
            </w:r>
            <w:r w:rsidR="002A5AE3">
              <w:rPr>
                <w:noProof/>
                <w:webHidden/>
              </w:rPr>
              <w:t>15</w:t>
            </w:r>
            <w:r w:rsidR="009E4AE9">
              <w:rPr>
                <w:noProof/>
                <w:webHidden/>
              </w:rPr>
              <w:fldChar w:fldCharType="end"/>
            </w:r>
          </w:hyperlink>
        </w:p>
        <w:p w14:paraId="682CB2F9" w14:textId="77777777" w:rsidR="009E4AE9" w:rsidRDefault="00503146">
          <w:pPr>
            <w:pStyle w:val="TOC3"/>
            <w:rPr>
              <w:rFonts w:asciiTheme="minorHAnsi" w:eastAsiaTheme="minorEastAsia" w:hAnsiTheme="minorHAnsi" w:cstheme="minorBidi"/>
              <w:noProof/>
              <w:lang w:eastAsia="en-AU"/>
            </w:rPr>
          </w:pPr>
          <w:hyperlink w:anchor="_Toc493685097" w:history="1">
            <w:r w:rsidR="009E4AE9" w:rsidRPr="00961000">
              <w:rPr>
                <w:rStyle w:val="Hyperlink"/>
                <w:noProof/>
              </w:rPr>
              <w:t>Pharmacodynamics</w:t>
            </w:r>
            <w:r w:rsidR="009E4AE9">
              <w:rPr>
                <w:noProof/>
                <w:webHidden/>
              </w:rPr>
              <w:tab/>
            </w:r>
            <w:r w:rsidR="009E4AE9">
              <w:rPr>
                <w:noProof/>
                <w:webHidden/>
              </w:rPr>
              <w:fldChar w:fldCharType="begin"/>
            </w:r>
            <w:r w:rsidR="009E4AE9">
              <w:rPr>
                <w:noProof/>
                <w:webHidden/>
              </w:rPr>
              <w:instrText xml:space="preserve"> PAGEREF _Toc493685097 \h </w:instrText>
            </w:r>
            <w:r w:rsidR="009E4AE9">
              <w:rPr>
                <w:noProof/>
                <w:webHidden/>
              </w:rPr>
            </w:r>
            <w:r w:rsidR="009E4AE9">
              <w:rPr>
                <w:noProof/>
                <w:webHidden/>
              </w:rPr>
              <w:fldChar w:fldCharType="separate"/>
            </w:r>
            <w:r w:rsidR="002A5AE3">
              <w:rPr>
                <w:noProof/>
                <w:webHidden/>
              </w:rPr>
              <w:t>17</w:t>
            </w:r>
            <w:r w:rsidR="009E4AE9">
              <w:rPr>
                <w:noProof/>
                <w:webHidden/>
              </w:rPr>
              <w:fldChar w:fldCharType="end"/>
            </w:r>
          </w:hyperlink>
        </w:p>
        <w:p w14:paraId="15DAEE13" w14:textId="77777777" w:rsidR="009E4AE9" w:rsidRDefault="00503146">
          <w:pPr>
            <w:pStyle w:val="TOC3"/>
            <w:rPr>
              <w:rFonts w:asciiTheme="minorHAnsi" w:eastAsiaTheme="minorEastAsia" w:hAnsiTheme="minorHAnsi" w:cstheme="minorBidi"/>
              <w:noProof/>
              <w:lang w:eastAsia="en-AU"/>
            </w:rPr>
          </w:pPr>
          <w:hyperlink w:anchor="_Toc493685098" w:history="1">
            <w:r w:rsidR="009E4AE9" w:rsidRPr="00961000">
              <w:rPr>
                <w:rStyle w:val="Hyperlink"/>
                <w:noProof/>
              </w:rPr>
              <w:t>Dosage selection for the pivotal studies</w:t>
            </w:r>
            <w:r w:rsidR="009E4AE9">
              <w:rPr>
                <w:noProof/>
                <w:webHidden/>
              </w:rPr>
              <w:tab/>
            </w:r>
            <w:r w:rsidR="009E4AE9">
              <w:rPr>
                <w:noProof/>
                <w:webHidden/>
              </w:rPr>
              <w:fldChar w:fldCharType="begin"/>
            </w:r>
            <w:r w:rsidR="009E4AE9">
              <w:rPr>
                <w:noProof/>
                <w:webHidden/>
              </w:rPr>
              <w:instrText xml:space="preserve"> PAGEREF _Toc493685098 \h </w:instrText>
            </w:r>
            <w:r w:rsidR="009E4AE9">
              <w:rPr>
                <w:noProof/>
                <w:webHidden/>
              </w:rPr>
            </w:r>
            <w:r w:rsidR="009E4AE9">
              <w:rPr>
                <w:noProof/>
                <w:webHidden/>
              </w:rPr>
              <w:fldChar w:fldCharType="separate"/>
            </w:r>
            <w:r w:rsidR="002A5AE3">
              <w:rPr>
                <w:noProof/>
                <w:webHidden/>
              </w:rPr>
              <w:t>17</w:t>
            </w:r>
            <w:r w:rsidR="009E4AE9">
              <w:rPr>
                <w:noProof/>
                <w:webHidden/>
              </w:rPr>
              <w:fldChar w:fldCharType="end"/>
            </w:r>
          </w:hyperlink>
        </w:p>
        <w:p w14:paraId="0AEC0CCC" w14:textId="77777777" w:rsidR="009E4AE9" w:rsidRDefault="00503146">
          <w:pPr>
            <w:pStyle w:val="TOC3"/>
            <w:rPr>
              <w:rFonts w:asciiTheme="minorHAnsi" w:eastAsiaTheme="minorEastAsia" w:hAnsiTheme="minorHAnsi" w:cstheme="minorBidi"/>
              <w:noProof/>
              <w:lang w:eastAsia="en-AU"/>
            </w:rPr>
          </w:pPr>
          <w:hyperlink w:anchor="_Toc493685099" w:history="1">
            <w:r w:rsidR="009E4AE9" w:rsidRPr="00961000">
              <w:rPr>
                <w:rStyle w:val="Hyperlink"/>
                <w:noProof/>
              </w:rPr>
              <w:t>Efficacy</w:t>
            </w:r>
            <w:r w:rsidR="009E4AE9">
              <w:rPr>
                <w:noProof/>
                <w:webHidden/>
              </w:rPr>
              <w:tab/>
            </w:r>
            <w:r w:rsidR="009E4AE9">
              <w:rPr>
                <w:noProof/>
                <w:webHidden/>
              </w:rPr>
              <w:fldChar w:fldCharType="begin"/>
            </w:r>
            <w:r w:rsidR="009E4AE9">
              <w:rPr>
                <w:noProof/>
                <w:webHidden/>
              </w:rPr>
              <w:instrText xml:space="preserve"> PAGEREF _Toc493685099 \h </w:instrText>
            </w:r>
            <w:r w:rsidR="009E4AE9">
              <w:rPr>
                <w:noProof/>
                <w:webHidden/>
              </w:rPr>
            </w:r>
            <w:r w:rsidR="009E4AE9">
              <w:rPr>
                <w:noProof/>
                <w:webHidden/>
              </w:rPr>
              <w:fldChar w:fldCharType="separate"/>
            </w:r>
            <w:r w:rsidR="002A5AE3">
              <w:rPr>
                <w:noProof/>
                <w:webHidden/>
              </w:rPr>
              <w:t>17</w:t>
            </w:r>
            <w:r w:rsidR="009E4AE9">
              <w:rPr>
                <w:noProof/>
                <w:webHidden/>
              </w:rPr>
              <w:fldChar w:fldCharType="end"/>
            </w:r>
          </w:hyperlink>
        </w:p>
        <w:p w14:paraId="1CB3A2F0" w14:textId="77777777" w:rsidR="009E4AE9" w:rsidRDefault="00503146">
          <w:pPr>
            <w:pStyle w:val="TOC3"/>
            <w:rPr>
              <w:rFonts w:asciiTheme="minorHAnsi" w:eastAsiaTheme="minorEastAsia" w:hAnsiTheme="minorHAnsi" w:cstheme="minorBidi"/>
              <w:noProof/>
              <w:lang w:eastAsia="en-AU"/>
            </w:rPr>
          </w:pPr>
          <w:hyperlink w:anchor="_Toc493685100" w:history="1">
            <w:r w:rsidR="009E4AE9" w:rsidRPr="00961000">
              <w:rPr>
                <w:rStyle w:val="Hyperlink"/>
                <w:noProof/>
              </w:rPr>
              <w:t>Safety</w:t>
            </w:r>
            <w:r w:rsidR="009E4AE9">
              <w:rPr>
                <w:noProof/>
                <w:webHidden/>
              </w:rPr>
              <w:tab/>
            </w:r>
            <w:r w:rsidR="009E4AE9">
              <w:rPr>
                <w:noProof/>
                <w:webHidden/>
              </w:rPr>
              <w:fldChar w:fldCharType="begin"/>
            </w:r>
            <w:r w:rsidR="009E4AE9">
              <w:rPr>
                <w:noProof/>
                <w:webHidden/>
              </w:rPr>
              <w:instrText xml:space="preserve"> PAGEREF _Toc493685100 \h </w:instrText>
            </w:r>
            <w:r w:rsidR="009E4AE9">
              <w:rPr>
                <w:noProof/>
                <w:webHidden/>
              </w:rPr>
            </w:r>
            <w:r w:rsidR="009E4AE9">
              <w:rPr>
                <w:noProof/>
                <w:webHidden/>
              </w:rPr>
              <w:fldChar w:fldCharType="separate"/>
            </w:r>
            <w:r w:rsidR="002A5AE3">
              <w:rPr>
                <w:noProof/>
                <w:webHidden/>
              </w:rPr>
              <w:t>18</w:t>
            </w:r>
            <w:r w:rsidR="009E4AE9">
              <w:rPr>
                <w:noProof/>
                <w:webHidden/>
              </w:rPr>
              <w:fldChar w:fldCharType="end"/>
            </w:r>
          </w:hyperlink>
        </w:p>
        <w:p w14:paraId="327E86D6" w14:textId="77777777" w:rsidR="009E4AE9" w:rsidRDefault="00503146">
          <w:pPr>
            <w:pStyle w:val="TOC3"/>
            <w:rPr>
              <w:rFonts w:asciiTheme="minorHAnsi" w:eastAsiaTheme="minorEastAsia" w:hAnsiTheme="minorHAnsi" w:cstheme="minorBidi"/>
              <w:noProof/>
              <w:lang w:eastAsia="en-AU"/>
            </w:rPr>
          </w:pPr>
          <w:hyperlink w:anchor="_Toc493685101" w:history="1">
            <w:r w:rsidR="009E4AE9" w:rsidRPr="00961000">
              <w:rPr>
                <w:rStyle w:val="Hyperlink"/>
                <w:noProof/>
              </w:rPr>
              <w:t>First Round Benefit-Risk Assessment</w:t>
            </w:r>
            <w:r w:rsidR="009E4AE9">
              <w:rPr>
                <w:noProof/>
                <w:webHidden/>
              </w:rPr>
              <w:tab/>
            </w:r>
            <w:r w:rsidR="009E4AE9">
              <w:rPr>
                <w:noProof/>
                <w:webHidden/>
              </w:rPr>
              <w:fldChar w:fldCharType="begin"/>
            </w:r>
            <w:r w:rsidR="009E4AE9">
              <w:rPr>
                <w:noProof/>
                <w:webHidden/>
              </w:rPr>
              <w:instrText xml:space="preserve"> PAGEREF _Toc493685101 \h </w:instrText>
            </w:r>
            <w:r w:rsidR="009E4AE9">
              <w:rPr>
                <w:noProof/>
                <w:webHidden/>
              </w:rPr>
            </w:r>
            <w:r w:rsidR="009E4AE9">
              <w:rPr>
                <w:noProof/>
                <w:webHidden/>
              </w:rPr>
              <w:fldChar w:fldCharType="separate"/>
            </w:r>
            <w:r w:rsidR="002A5AE3">
              <w:rPr>
                <w:noProof/>
                <w:webHidden/>
              </w:rPr>
              <w:t>22</w:t>
            </w:r>
            <w:r w:rsidR="009E4AE9">
              <w:rPr>
                <w:noProof/>
                <w:webHidden/>
              </w:rPr>
              <w:fldChar w:fldCharType="end"/>
            </w:r>
          </w:hyperlink>
        </w:p>
        <w:p w14:paraId="3B079BAE" w14:textId="77777777" w:rsidR="009E4AE9" w:rsidRDefault="00503146">
          <w:pPr>
            <w:pStyle w:val="TOC3"/>
            <w:rPr>
              <w:rFonts w:asciiTheme="minorHAnsi" w:eastAsiaTheme="minorEastAsia" w:hAnsiTheme="minorHAnsi" w:cstheme="minorBidi"/>
              <w:noProof/>
              <w:lang w:eastAsia="en-AU"/>
            </w:rPr>
          </w:pPr>
          <w:hyperlink w:anchor="_Toc493685102" w:history="1">
            <w:r w:rsidR="009E4AE9" w:rsidRPr="00961000">
              <w:rPr>
                <w:rStyle w:val="Hyperlink"/>
                <w:noProof/>
              </w:rPr>
              <w:t>First Round Recommendation Regarding Authorisation</w:t>
            </w:r>
            <w:r w:rsidR="009E4AE9">
              <w:rPr>
                <w:noProof/>
                <w:webHidden/>
              </w:rPr>
              <w:tab/>
            </w:r>
            <w:r w:rsidR="009E4AE9">
              <w:rPr>
                <w:noProof/>
                <w:webHidden/>
              </w:rPr>
              <w:fldChar w:fldCharType="begin"/>
            </w:r>
            <w:r w:rsidR="009E4AE9">
              <w:rPr>
                <w:noProof/>
                <w:webHidden/>
              </w:rPr>
              <w:instrText xml:space="preserve"> PAGEREF _Toc493685102 \h </w:instrText>
            </w:r>
            <w:r w:rsidR="009E4AE9">
              <w:rPr>
                <w:noProof/>
                <w:webHidden/>
              </w:rPr>
            </w:r>
            <w:r w:rsidR="009E4AE9">
              <w:rPr>
                <w:noProof/>
                <w:webHidden/>
              </w:rPr>
              <w:fldChar w:fldCharType="separate"/>
            </w:r>
            <w:r w:rsidR="002A5AE3">
              <w:rPr>
                <w:noProof/>
                <w:webHidden/>
              </w:rPr>
              <w:t>23</w:t>
            </w:r>
            <w:r w:rsidR="009E4AE9">
              <w:rPr>
                <w:noProof/>
                <w:webHidden/>
              </w:rPr>
              <w:fldChar w:fldCharType="end"/>
            </w:r>
          </w:hyperlink>
        </w:p>
        <w:p w14:paraId="2DEC372E" w14:textId="77777777" w:rsidR="009E4AE9" w:rsidRDefault="00503146">
          <w:pPr>
            <w:pStyle w:val="TOC3"/>
            <w:rPr>
              <w:rFonts w:asciiTheme="minorHAnsi" w:eastAsiaTheme="minorEastAsia" w:hAnsiTheme="minorHAnsi" w:cstheme="minorBidi"/>
              <w:noProof/>
              <w:lang w:eastAsia="en-AU"/>
            </w:rPr>
          </w:pPr>
          <w:hyperlink w:anchor="_Toc493685103" w:history="1">
            <w:r w:rsidR="009E4AE9" w:rsidRPr="00961000">
              <w:rPr>
                <w:rStyle w:val="Hyperlink"/>
                <w:noProof/>
              </w:rPr>
              <w:t>Clinical Questions</w:t>
            </w:r>
            <w:r w:rsidR="009E4AE9">
              <w:rPr>
                <w:noProof/>
                <w:webHidden/>
              </w:rPr>
              <w:tab/>
            </w:r>
            <w:r w:rsidR="009E4AE9">
              <w:rPr>
                <w:noProof/>
                <w:webHidden/>
              </w:rPr>
              <w:fldChar w:fldCharType="begin"/>
            </w:r>
            <w:r w:rsidR="009E4AE9">
              <w:rPr>
                <w:noProof/>
                <w:webHidden/>
              </w:rPr>
              <w:instrText xml:space="preserve"> PAGEREF _Toc493685103 \h </w:instrText>
            </w:r>
            <w:r w:rsidR="009E4AE9">
              <w:rPr>
                <w:noProof/>
                <w:webHidden/>
              </w:rPr>
            </w:r>
            <w:r w:rsidR="009E4AE9">
              <w:rPr>
                <w:noProof/>
                <w:webHidden/>
              </w:rPr>
              <w:fldChar w:fldCharType="separate"/>
            </w:r>
            <w:r w:rsidR="002A5AE3">
              <w:rPr>
                <w:noProof/>
                <w:webHidden/>
              </w:rPr>
              <w:t>23</w:t>
            </w:r>
            <w:r w:rsidR="009E4AE9">
              <w:rPr>
                <w:noProof/>
                <w:webHidden/>
              </w:rPr>
              <w:fldChar w:fldCharType="end"/>
            </w:r>
          </w:hyperlink>
        </w:p>
        <w:p w14:paraId="5A0DB8CD" w14:textId="77777777" w:rsidR="009E4AE9" w:rsidRDefault="00503146">
          <w:pPr>
            <w:pStyle w:val="TOC3"/>
            <w:rPr>
              <w:rFonts w:asciiTheme="minorHAnsi" w:eastAsiaTheme="minorEastAsia" w:hAnsiTheme="minorHAnsi" w:cstheme="minorBidi"/>
              <w:noProof/>
              <w:lang w:eastAsia="en-AU"/>
            </w:rPr>
          </w:pPr>
          <w:hyperlink w:anchor="_Toc493685104" w:history="1">
            <w:r w:rsidR="009E4AE9" w:rsidRPr="00961000">
              <w:rPr>
                <w:rStyle w:val="Hyperlink"/>
                <w:noProof/>
              </w:rPr>
              <w:t>Second Round Evaluation of clinical data submitted in response to questions</w:t>
            </w:r>
            <w:r w:rsidR="009E4AE9">
              <w:rPr>
                <w:noProof/>
                <w:webHidden/>
              </w:rPr>
              <w:tab/>
            </w:r>
            <w:r w:rsidR="009E4AE9">
              <w:rPr>
                <w:noProof/>
                <w:webHidden/>
              </w:rPr>
              <w:fldChar w:fldCharType="begin"/>
            </w:r>
            <w:r w:rsidR="009E4AE9">
              <w:rPr>
                <w:noProof/>
                <w:webHidden/>
              </w:rPr>
              <w:instrText xml:space="preserve"> PAGEREF _Toc493685104 \h </w:instrText>
            </w:r>
            <w:r w:rsidR="009E4AE9">
              <w:rPr>
                <w:noProof/>
                <w:webHidden/>
              </w:rPr>
            </w:r>
            <w:r w:rsidR="009E4AE9">
              <w:rPr>
                <w:noProof/>
                <w:webHidden/>
              </w:rPr>
              <w:fldChar w:fldCharType="separate"/>
            </w:r>
            <w:r w:rsidR="002A5AE3">
              <w:rPr>
                <w:noProof/>
                <w:webHidden/>
              </w:rPr>
              <w:t>23</w:t>
            </w:r>
            <w:r w:rsidR="009E4AE9">
              <w:rPr>
                <w:noProof/>
                <w:webHidden/>
              </w:rPr>
              <w:fldChar w:fldCharType="end"/>
            </w:r>
          </w:hyperlink>
        </w:p>
        <w:p w14:paraId="5B776930" w14:textId="77777777" w:rsidR="009E4AE9" w:rsidRDefault="00503146">
          <w:pPr>
            <w:pStyle w:val="TOC3"/>
            <w:rPr>
              <w:rFonts w:asciiTheme="minorHAnsi" w:eastAsiaTheme="minorEastAsia" w:hAnsiTheme="minorHAnsi" w:cstheme="minorBidi"/>
              <w:noProof/>
              <w:lang w:eastAsia="en-AU"/>
            </w:rPr>
          </w:pPr>
          <w:hyperlink w:anchor="_Toc493685105" w:history="1">
            <w:r w:rsidR="009E4AE9" w:rsidRPr="00961000">
              <w:rPr>
                <w:rStyle w:val="Hyperlink"/>
                <w:noProof/>
              </w:rPr>
              <w:t>Second Round Benefit-Risk Assessment</w:t>
            </w:r>
            <w:r w:rsidR="009E4AE9">
              <w:rPr>
                <w:noProof/>
                <w:webHidden/>
              </w:rPr>
              <w:tab/>
            </w:r>
            <w:r w:rsidR="009E4AE9">
              <w:rPr>
                <w:noProof/>
                <w:webHidden/>
              </w:rPr>
              <w:fldChar w:fldCharType="begin"/>
            </w:r>
            <w:r w:rsidR="009E4AE9">
              <w:rPr>
                <w:noProof/>
                <w:webHidden/>
              </w:rPr>
              <w:instrText xml:space="preserve"> PAGEREF _Toc493685105 \h </w:instrText>
            </w:r>
            <w:r w:rsidR="009E4AE9">
              <w:rPr>
                <w:noProof/>
                <w:webHidden/>
              </w:rPr>
            </w:r>
            <w:r w:rsidR="009E4AE9">
              <w:rPr>
                <w:noProof/>
                <w:webHidden/>
              </w:rPr>
              <w:fldChar w:fldCharType="separate"/>
            </w:r>
            <w:r w:rsidR="002A5AE3">
              <w:rPr>
                <w:noProof/>
                <w:webHidden/>
              </w:rPr>
              <w:t>23</w:t>
            </w:r>
            <w:r w:rsidR="009E4AE9">
              <w:rPr>
                <w:noProof/>
                <w:webHidden/>
              </w:rPr>
              <w:fldChar w:fldCharType="end"/>
            </w:r>
          </w:hyperlink>
        </w:p>
        <w:p w14:paraId="0F0B32AD" w14:textId="77777777" w:rsidR="009E4AE9" w:rsidRDefault="00503146">
          <w:pPr>
            <w:pStyle w:val="TOC3"/>
            <w:rPr>
              <w:rFonts w:asciiTheme="minorHAnsi" w:eastAsiaTheme="minorEastAsia" w:hAnsiTheme="minorHAnsi" w:cstheme="minorBidi"/>
              <w:noProof/>
              <w:lang w:eastAsia="en-AU"/>
            </w:rPr>
          </w:pPr>
          <w:hyperlink w:anchor="_Toc493685106" w:history="1">
            <w:r w:rsidR="009E4AE9" w:rsidRPr="00961000">
              <w:rPr>
                <w:rStyle w:val="Hyperlink"/>
                <w:noProof/>
              </w:rPr>
              <w:t>Second round recommendation regarding authorisation</w:t>
            </w:r>
            <w:r w:rsidR="009E4AE9">
              <w:rPr>
                <w:noProof/>
                <w:webHidden/>
              </w:rPr>
              <w:tab/>
            </w:r>
            <w:r w:rsidR="009E4AE9">
              <w:rPr>
                <w:noProof/>
                <w:webHidden/>
              </w:rPr>
              <w:fldChar w:fldCharType="begin"/>
            </w:r>
            <w:r w:rsidR="009E4AE9">
              <w:rPr>
                <w:noProof/>
                <w:webHidden/>
              </w:rPr>
              <w:instrText xml:space="preserve"> PAGEREF _Toc493685106 \h </w:instrText>
            </w:r>
            <w:r w:rsidR="009E4AE9">
              <w:rPr>
                <w:noProof/>
                <w:webHidden/>
              </w:rPr>
            </w:r>
            <w:r w:rsidR="009E4AE9">
              <w:rPr>
                <w:noProof/>
                <w:webHidden/>
              </w:rPr>
              <w:fldChar w:fldCharType="separate"/>
            </w:r>
            <w:r w:rsidR="002A5AE3">
              <w:rPr>
                <w:noProof/>
                <w:webHidden/>
              </w:rPr>
              <w:t>23</w:t>
            </w:r>
            <w:r w:rsidR="009E4AE9">
              <w:rPr>
                <w:noProof/>
                <w:webHidden/>
              </w:rPr>
              <w:fldChar w:fldCharType="end"/>
            </w:r>
          </w:hyperlink>
        </w:p>
        <w:p w14:paraId="3BA3E154" w14:textId="77777777" w:rsidR="009E4AE9" w:rsidRDefault="00503146">
          <w:pPr>
            <w:pStyle w:val="TOC2"/>
            <w:rPr>
              <w:rFonts w:asciiTheme="minorHAnsi" w:eastAsiaTheme="minorEastAsia" w:hAnsiTheme="minorHAnsi" w:cstheme="minorBidi"/>
              <w:b w:val="0"/>
              <w:noProof/>
              <w:sz w:val="22"/>
              <w:lang w:eastAsia="en-AU"/>
            </w:rPr>
          </w:pPr>
          <w:hyperlink w:anchor="_Toc493685107" w:history="1">
            <w:r w:rsidR="009E4AE9" w:rsidRPr="00961000">
              <w:rPr>
                <w:rStyle w:val="Hyperlink"/>
                <w:noProof/>
              </w:rPr>
              <w:t>V. Pharmacovigilance findings</w:t>
            </w:r>
            <w:r w:rsidR="009E4AE9">
              <w:rPr>
                <w:noProof/>
                <w:webHidden/>
              </w:rPr>
              <w:tab/>
            </w:r>
            <w:r w:rsidR="009E4AE9">
              <w:rPr>
                <w:noProof/>
                <w:webHidden/>
              </w:rPr>
              <w:fldChar w:fldCharType="begin"/>
            </w:r>
            <w:r w:rsidR="009E4AE9">
              <w:rPr>
                <w:noProof/>
                <w:webHidden/>
              </w:rPr>
              <w:instrText xml:space="preserve"> PAGEREF _Toc493685107 \h </w:instrText>
            </w:r>
            <w:r w:rsidR="009E4AE9">
              <w:rPr>
                <w:noProof/>
                <w:webHidden/>
              </w:rPr>
            </w:r>
            <w:r w:rsidR="009E4AE9">
              <w:rPr>
                <w:noProof/>
                <w:webHidden/>
              </w:rPr>
              <w:fldChar w:fldCharType="separate"/>
            </w:r>
            <w:r w:rsidR="002A5AE3">
              <w:rPr>
                <w:noProof/>
                <w:webHidden/>
              </w:rPr>
              <w:t>24</w:t>
            </w:r>
            <w:r w:rsidR="009E4AE9">
              <w:rPr>
                <w:noProof/>
                <w:webHidden/>
              </w:rPr>
              <w:fldChar w:fldCharType="end"/>
            </w:r>
          </w:hyperlink>
        </w:p>
        <w:p w14:paraId="19081C20" w14:textId="77777777" w:rsidR="009E4AE9" w:rsidRDefault="00503146">
          <w:pPr>
            <w:pStyle w:val="TOC3"/>
            <w:rPr>
              <w:rFonts w:asciiTheme="minorHAnsi" w:eastAsiaTheme="minorEastAsia" w:hAnsiTheme="minorHAnsi" w:cstheme="minorBidi"/>
              <w:noProof/>
              <w:lang w:eastAsia="en-AU"/>
            </w:rPr>
          </w:pPr>
          <w:hyperlink w:anchor="_Toc493685108" w:history="1">
            <w:r w:rsidR="009E4AE9" w:rsidRPr="00961000">
              <w:rPr>
                <w:rStyle w:val="Hyperlink"/>
                <w:noProof/>
                <w:lang w:eastAsia="en-AU"/>
              </w:rPr>
              <w:t>Risk management plan</w:t>
            </w:r>
            <w:r w:rsidR="009E4AE9">
              <w:rPr>
                <w:noProof/>
                <w:webHidden/>
              </w:rPr>
              <w:tab/>
            </w:r>
            <w:r w:rsidR="009E4AE9">
              <w:rPr>
                <w:noProof/>
                <w:webHidden/>
              </w:rPr>
              <w:fldChar w:fldCharType="begin"/>
            </w:r>
            <w:r w:rsidR="009E4AE9">
              <w:rPr>
                <w:noProof/>
                <w:webHidden/>
              </w:rPr>
              <w:instrText xml:space="preserve"> PAGEREF _Toc493685108 \h </w:instrText>
            </w:r>
            <w:r w:rsidR="009E4AE9">
              <w:rPr>
                <w:noProof/>
                <w:webHidden/>
              </w:rPr>
            </w:r>
            <w:r w:rsidR="009E4AE9">
              <w:rPr>
                <w:noProof/>
                <w:webHidden/>
              </w:rPr>
              <w:fldChar w:fldCharType="separate"/>
            </w:r>
            <w:r w:rsidR="002A5AE3">
              <w:rPr>
                <w:noProof/>
                <w:webHidden/>
              </w:rPr>
              <w:t>24</w:t>
            </w:r>
            <w:r w:rsidR="009E4AE9">
              <w:rPr>
                <w:noProof/>
                <w:webHidden/>
              </w:rPr>
              <w:fldChar w:fldCharType="end"/>
            </w:r>
          </w:hyperlink>
        </w:p>
        <w:p w14:paraId="672BAB79" w14:textId="77777777" w:rsidR="009E4AE9" w:rsidRDefault="00503146">
          <w:pPr>
            <w:pStyle w:val="TOC2"/>
            <w:rPr>
              <w:rFonts w:asciiTheme="minorHAnsi" w:eastAsiaTheme="minorEastAsia" w:hAnsiTheme="minorHAnsi" w:cstheme="minorBidi"/>
              <w:b w:val="0"/>
              <w:noProof/>
              <w:sz w:val="22"/>
              <w:lang w:eastAsia="en-AU"/>
            </w:rPr>
          </w:pPr>
          <w:hyperlink w:anchor="_Toc493685109" w:history="1">
            <w:r w:rsidR="009E4AE9" w:rsidRPr="00961000">
              <w:rPr>
                <w:rStyle w:val="Hyperlink"/>
                <w:noProof/>
              </w:rPr>
              <w:t>VI. Overall conclusion and risk/benefit assessment</w:t>
            </w:r>
            <w:r w:rsidR="009E4AE9">
              <w:rPr>
                <w:noProof/>
                <w:webHidden/>
              </w:rPr>
              <w:tab/>
            </w:r>
            <w:r w:rsidR="009E4AE9">
              <w:rPr>
                <w:noProof/>
                <w:webHidden/>
              </w:rPr>
              <w:fldChar w:fldCharType="begin"/>
            </w:r>
            <w:r w:rsidR="009E4AE9">
              <w:rPr>
                <w:noProof/>
                <w:webHidden/>
              </w:rPr>
              <w:instrText xml:space="preserve"> PAGEREF _Toc493685109 \h </w:instrText>
            </w:r>
            <w:r w:rsidR="009E4AE9">
              <w:rPr>
                <w:noProof/>
                <w:webHidden/>
              </w:rPr>
            </w:r>
            <w:r w:rsidR="009E4AE9">
              <w:rPr>
                <w:noProof/>
                <w:webHidden/>
              </w:rPr>
              <w:fldChar w:fldCharType="separate"/>
            </w:r>
            <w:r w:rsidR="002A5AE3">
              <w:rPr>
                <w:noProof/>
                <w:webHidden/>
              </w:rPr>
              <w:t>28</w:t>
            </w:r>
            <w:r w:rsidR="009E4AE9">
              <w:rPr>
                <w:noProof/>
                <w:webHidden/>
              </w:rPr>
              <w:fldChar w:fldCharType="end"/>
            </w:r>
          </w:hyperlink>
        </w:p>
        <w:p w14:paraId="115E3579" w14:textId="77777777" w:rsidR="009E4AE9" w:rsidRDefault="00503146">
          <w:pPr>
            <w:pStyle w:val="TOC3"/>
            <w:rPr>
              <w:rFonts w:asciiTheme="minorHAnsi" w:eastAsiaTheme="minorEastAsia" w:hAnsiTheme="minorHAnsi" w:cstheme="minorBidi"/>
              <w:noProof/>
              <w:lang w:eastAsia="en-AU"/>
            </w:rPr>
          </w:pPr>
          <w:hyperlink w:anchor="_Toc493685110" w:history="1">
            <w:r w:rsidR="009E4AE9" w:rsidRPr="00961000">
              <w:rPr>
                <w:rStyle w:val="Hyperlink"/>
                <w:noProof/>
              </w:rPr>
              <w:t>Quality</w:t>
            </w:r>
            <w:r w:rsidR="009E4AE9">
              <w:rPr>
                <w:noProof/>
                <w:webHidden/>
              </w:rPr>
              <w:tab/>
            </w:r>
            <w:r w:rsidR="009E4AE9">
              <w:rPr>
                <w:noProof/>
                <w:webHidden/>
              </w:rPr>
              <w:fldChar w:fldCharType="begin"/>
            </w:r>
            <w:r w:rsidR="009E4AE9">
              <w:rPr>
                <w:noProof/>
                <w:webHidden/>
              </w:rPr>
              <w:instrText xml:space="preserve"> PAGEREF _Toc493685110 \h </w:instrText>
            </w:r>
            <w:r w:rsidR="009E4AE9">
              <w:rPr>
                <w:noProof/>
                <w:webHidden/>
              </w:rPr>
            </w:r>
            <w:r w:rsidR="009E4AE9">
              <w:rPr>
                <w:noProof/>
                <w:webHidden/>
              </w:rPr>
              <w:fldChar w:fldCharType="separate"/>
            </w:r>
            <w:r w:rsidR="002A5AE3">
              <w:rPr>
                <w:noProof/>
                <w:webHidden/>
              </w:rPr>
              <w:t>28</w:t>
            </w:r>
            <w:r w:rsidR="009E4AE9">
              <w:rPr>
                <w:noProof/>
                <w:webHidden/>
              </w:rPr>
              <w:fldChar w:fldCharType="end"/>
            </w:r>
          </w:hyperlink>
        </w:p>
        <w:p w14:paraId="663627BD" w14:textId="77777777" w:rsidR="009E4AE9" w:rsidRDefault="00503146">
          <w:pPr>
            <w:pStyle w:val="TOC3"/>
            <w:rPr>
              <w:rFonts w:asciiTheme="minorHAnsi" w:eastAsiaTheme="minorEastAsia" w:hAnsiTheme="minorHAnsi" w:cstheme="minorBidi"/>
              <w:noProof/>
              <w:lang w:eastAsia="en-AU"/>
            </w:rPr>
          </w:pPr>
          <w:hyperlink w:anchor="_Toc493685111" w:history="1">
            <w:r w:rsidR="009E4AE9" w:rsidRPr="00961000">
              <w:rPr>
                <w:rStyle w:val="Hyperlink"/>
                <w:noProof/>
              </w:rPr>
              <w:t>Nonclinical</w:t>
            </w:r>
            <w:r w:rsidR="009E4AE9">
              <w:rPr>
                <w:noProof/>
                <w:webHidden/>
              </w:rPr>
              <w:tab/>
            </w:r>
            <w:r w:rsidR="009E4AE9">
              <w:rPr>
                <w:noProof/>
                <w:webHidden/>
              </w:rPr>
              <w:fldChar w:fldCharType="begin"/>
            </w:r>
            <w:r w:rsidR="009E4AE9">
              <w:rPr>
                <w:noProof/>
                <w:webHidden/>
              </w:rPr>
              <w:instrText xml:space="preserve"> PAGEREF _Toc493685111 \h </w:instrText>
            </w:r>
            <w:r w:rsidR="009E4AE9">
              <w:rPr>
                <w:noProof/>
                <w:webHidden/>
              </w:rPr>
            </w:r>
            <w:r w:rsidR="009E4AE9">
              <w:rPr>
                <w:noProof/>
                <w:webHidden/>
              </w:rPr>
              <w:fldChar w:fldCharType="separate"/>
            </w:r>
            <w:r w:rsidR="002A5AE3">
              <w:rPr>
                <w:noProof/>
                <w:webHidden/>
              </w:rPr>
              <w:t>28</w:t>
            </w:r>
            <w:r w:rsidR="009E4AE9">
              <w:rPr>
                <w:noProof/>
                <w:webHidden/>
              </w:rPr>
              <w:fldChar w:fldCharType="end"/>
            </w:r>
          </w:hyperlink>
        </w:p>
        <w:p w14:paraId="469F741F" w14:textId="77777777" w:rsidR="009E4AE9" w:rsidRDefault="00503146">
          <w:pPr>
            <w:pStyle w:val="TOC3"/>
            <w:rPr>
              <w:rFonts w:asciiTheme="minorHAnsi" w:eastAsiaTheme="minorEastAsia" w:hAnsiTheme="minorHAnsi" w:cstheme="minorBidi"/>
              <w:noProof/>
              <w:lang w:eastAsia="en-AU"/>
            </w:rPr>
          </w:pPr>
          <w:hyperlink w:anchor="_Toc493685112" w:history="1">
            <w:r w:rsidR="009E4AE9" w:rsidRPr="00961000">
              <w:rPr>
                <w:rStyle w:val="Hyperlink"/>
                <w:noProof/>
              </w:rPr>
              <w:t>Clinical</w:t>
            </w:r>
            <w:r w:rsidR="009E4AE9">
              <w:rPr>
                <w:noProof/>
                <w:webHidden/>
              </w:rPr>
              <w:tab/>
            </w:r>
            <w:r w:rsidR="009E4AE9">
              <w:rPr>
                <w:noProof/>
                <w:webHidden/>
              </w:rPr>
              <w:fldChar w:fldCharType="begin"/>
            </w:r>
            <w:r w:rsidR="009E4AE9">
              <w:rPr>
                <w:noProof/>
                <w:webHidden/>
              </w:rPr>
              <w:instrText xml:space="preserve"> PAGEREF _Toc493685112 \h </w:instrText>
            </w:r>
            <w:r w:rsidR="009E4AE9">
              <w:rPr>
                <w:noProof/>
                <w:webHidden/>
              </w:rPr>
            </w:r>
            <w:r w:rsidR="009E4AE9">
              <w:rPr>
                <w:noProof/>
                <w:webHidden/>
              </w:rPr>
              <w:fldChar w:fldCharType="separate"/>
            </w:r>
            <w:r w:rsidR="002A5AE3">
              <w:rPr>
                <w:noProof/>
                <w:webHidden/>
              </w:rPr>
              <w:t>28</w:t>
            </w:r>
            <w:r w:rsidR="009E4AE9">
              <w:rPr>
                <w:noProof/>
                <w:webHidden/>
              </w:rPr>
              <w:fldChar w:fldCharType="end"/>
            </w:r>
          </w:hyperlink>
        </w:p>
        <w:p w14:paraId="6E36A9C4" w14:textId="77777777" w:rsidR="009E4AE9" w:rsidRDefault="00503146">
          <w:pPr>
            <w:pStyle w:val="TOC3"/>
            <w:rPr>
              <w:rFonts w:asciiTheme="minorHAnsi" w:eastAsiaTheme="minorEastAsia" w:hAnsiTheme="minorHAnsi" w:cstheme="minorBidi"/>
              <w:noProof/>
              <w:lang w:eastAsia="en-AU"/>
            </w:rPr>
          </w:pPr>
          <w:hyperlink w:anchor="_Toc493685113" w:history="1">
            <w:r w:rsidR="009E4AE9" w:rsidRPr="00961000">
              <w:rPr>
                <w:rStyle w:val="Hyperlink"/>
                <w:noProof/>
                <w:lang w:eastAsia="en-AU"/>
              </w:rPr>
              <w:t>Risk management plan</w:t>
            </w:r>
            <w:r w:rsidR="009E4AE9">
              <w:rPr>
                <w:noProof/>
                <w:webHidden/>
              </w:rPr>
              <w:tab/>
            </w:r>
            <w:r w:rsidR="009E4AE9">
              <w:rPr>
                <w:noProof/>
                <w:webHidden/>
              </w:rPr>
              <w:fldChar w:fldCharType="begin"/>
            </w:r>
            <w:r w:rsidR="009E4AE9">
              <w:rPr>
                <w:noProof/>
                <w:webHidden/>
              </w:rPr>
              <w:instrText xml:space="preserve"> PAGEREF _Toc493685113 \h </w:instrText>
            </w:r>
            <w:r w:rsidR="009E4AE9">
              <w:rPr>
                <w:noProof/>
                <w:webHidden/>
              </w:rPr>
            </w:r>
            <w:r w:rsidR="009E4AE9">
              <w:rPr>
                <w:noProof/>
                <w:webHidden/>
              </w:rPr>
              <w:fldChar w:fldCharType="separate"/>
            </w:r>
            <w:r w:rsidR="002A5AE3">
              <w:rPr>
                <w:noProof/>
                <w:webHidden/>
              </w:rPr>
              <w:t>35</w:t>
            </w:r>
            <w:r w:rsidR="009E4AE9">
              <w:rPr>
                <w:noProof/>
                <w:webHidden/>
              </w:rPr>
              <w:fldChar w:fldCharType="end"/>
            </w:r>
          </w:hyperlink>
        </w:p>
        <w:p w14:paraId="421BC29B" w14:textId="77777777" w:rsidR="009E4AE9" w:rsidRDefault="00503146">
          <w:pPr>
            <w:pStyle w:val="TOC3"/>
            <w:rPr>
              <w:rFonts w:asciiTheme="minorHAnsi" w:eastAsiaTheme="minorEastAsia" w:hAnsiTheme="minorHAnsi" w:cstheme="minorBidi"/>
              <w:noProof/>
              <w:lang w:eastAsia="en-AU"/>
            </w:rPr>
          </w:pPr>
          <w:hyperlink w:anchor="_Toc493685114" w:history="1">
            <w:r w:rsidR="009E4AE9" w:rsidRPr="00961000">
              <w:rPr>
                <w:rStyle w:val="Hyperlink"/>
                <w:noProof/>
              </w:rPr>
              <w:t>Risk-benefit analysis</w:t>
            </w:r>
            <w:r w:rsidR="009E4AE9">
              <w:rPr>
                <w:noProof/>
                <w:webHidden/>
              </w:rPr>
              <w:tab/>
            </w:r>
            <w:r w:rsidR="009E4AE9">
              <w:rPr>
                <w:noProof/>
                <w:webHidden/>
              </w:rPr>
              <w:fldChar w:fldCharType="begin"/>
            </w:r>
            <w:r w:rsidR="009E4AE9">
              <w:rPr>
                <w:noProof/>
                <w:webHidden/>
              </w:rPr>
              <w:instrText xml:space="preserve"> PAGEREF _Toc493685114 \h </w:instrText>
            </w:r>
            <w:r w:rsidR="009E4AE9">
              <w:rPr>
                <w:noProof/>
                <w:webHidden/>
              </w:rPr>
            </w:r>
            <w:r w:rsidR="009E4AE9">
              <w:rPr>
                <w:noProof/>
                <w:webHidden/>
              </w:rPr>
              <w:fldChar w:fldCharType="separate"/>
            </w:r>
            <w:r w:rsidR="002A5AE3">
              <w:rPr>
                <w:noProof/>
                <w:webHidden/>
              </w:rPr>
              <w:t>36</w:t>
            </w:r>
            <w:r w:rsidR="009E4AE9">
              <w:rPr>
                <w:noProof/>
                <w:webHidden/>
              </w:rPr>
              <w:fldChar w:fldCharType="end"/>
            </w:r>
          </w:hyperlink>
        </w:p>
        <w:p w14:paraId="3E059EA2" w14:textId="77777777" w:rsidR="009E4AE9" w:rsidRDefault="00503146">
          <w:pPr>
            <w:pStyle w:val="TOC3"/>
            <w:rPr>
              <w:rFonts w:asciiTheme="minorHAnsi" w:eastAsiaTheme="minorEastAsia" w:hAnsiTheme="minorHAnsi" w:cstheme="minorBidi"/>
              <w:noProof/>
              <w:lang w:eastAsia="en-AU"/>
            </w:rPr>
          </w:pPr>
          <w:hyperlink w:anchor="_Toc493685115" w:history="1">
            <w:r w:rsidR="009E4AE9" w:rsidRPr="00961000">
              <w:rPr>
                <w:rStyle w:val="Hyperlink"/>
                <w:noProof/>
              </w:rPr>
              <w:t>Outcome</w:t>
            </w:r>
            <w:r w:rsidR="009E4AE9">
              <w:rPr>
                <w:noProof/>
                <w:webHidden/>
              </w:rPr>
              <w:tab/>
            </w:r>
            <w:r w:rsidR="009E4AE9">
              <w:rPr>
                <w:noProof/>
                <w:webHidden/>
              </w:rPr>
              <w:fldChar w:fldCharType="begin"/>
            </w:r>
            <w:r w:rsidR="009E4AE9">
              <w:rPr>
                <w:noProof/>
                <w:webHidden/>
              </w:rPr>
              <w:instrText xml:space="preserve"> PAGEREF _Toc493685115 \h </w:instrText>
            </w:r>
            <w:r w:rsidR="009E4AE9">
              <w:rPr>
                <w:noProof/>
                <w:webHidden/>
              </w:rPr>
            </w:r>
            <w:r w:rsidR="009E4AE9">
              <w:rPr>
                <w:noProof/>
                <w:webHidden/>
              </w:rPr>
              <w:fldChar w:fldCharType="separate"/>
            </w:r>
            <w:r w:rsidR="002A5AE3">
              <w:rPr>
                <w:noProof/>
                <w:webHidden/>
              </w:rPr>
              <w:t>43</w:t>
            </w:r>
            <w:r w:rsidR="009E4AE9">
              <w:rPr>
                <w:noProof/>
                <w:webHidden/>
              </w:rPr>
              <w:fldChar w:fldCharType="end"/>
            </w:r>
          </w:hyperlink>
        </w:p>
        <w:p w14:paraId="78A37D06" w14:textId="77777777" w:rsidR="009E4AE9" w:rsidRDefault="00503146">
          <w:pPr>
            <w:pStyle w:val="TOC2"/>
            <w:rPr>
              <w:rFonts w:asciiTheme="minorHAnsi" w:eastAsiaTheme="minorEastAsia" w:hAnsiTheme="minorHAnsi" w:cstheme="minorBidi"/>
              <w:b w:val="0"/>
              <w:noProof/>
              <w:sz w:val="22"/>
              <w:lang w:eastAsia="en-AU"/>
            </w:rPr>
          </w:pPr>
          <w:hyperlink w:anchor="_Toc493685116" w:history="1">
            <w:r w:rsidR="009E4AE9" w:rsidRPr="00961000">
              <w:rPr>
                <w:rStyle w:val="Hyperlink"/>
                <w:noProof/>
              </w:rPr>
              <w:t>Attachment 1. Product Information</w:t>
            </w:r>
            <w:r w:rsidR="009E4AE9">
              <w:rPr>
                <w:noProof/>
                <w:webHidden/>
              </w:rPr>
              <w:tab/>
            </w:r>
            <w:r w:rsidR="009E4AE9">
              <w:rPr>
                <w:noProof/>
                <w:webHidden/>
              </w:rPr>
              <w:fldChar w:fldCharType="begin"/>
            </w:r>
            <w:r w:rsidR="009E4AE9">
              <w:rPr>
                <w:noProof/>
                <w:webHidden/>
              </w:rPr>
              <w:instrText xml:space="preserve"> PAGEREF _Toc493685116 \h </w:instrText>
            </w:r>
            <w:r w:rsidR="009E4AE9">
              <w:rPr>
                <w:noProof/>
                <w:webHidden/>
              </w:rPr>
            </w:r>
            <w:r w:rsidR="009E4AE9">
              <w:rPr>
                <w:noProof/>
                <w:webHidden/>
              </w:rPr>
              <w:fldChar w:fldCharType="separate"/>
            </w:r>
            <w:r w:rsidR="002A5AE3">
              <w:rPr>
                <w:noProof/>
                <w:webHidden/>
              </w:rPr>
              <w:t>44</w:t>
            </w:r>
            <w:r w:rsidR="009E4AE9">
              <w:rPr>
                <w:noProof/>
                <w:webHidden/>
              </w:rPr>
              <w:fldChar w:fldCharType="end"/>
            </w:r>
          </w:hyperlink>
        </w:p>
        <w:p w14:paraId="57C1BAB7" w14:textId="18B41EBE" w:rsidR="003A7F6C" w:rsidRPr="00B811C6" w:rsidRDefault="00503146" w:rsidP="00724C20">
          <w:pPr>
            <w:pStyle w:val="TOC2"/>
          </w:pPr>
          <w:hyperlink w:anchor="_Toc493685117" w:history="1">
            <w:r w:rsidR="009E4AE9" w:rsidRPr="00961000">
              <w:rPr>
                <w:rStyle w:val="Hyperlink"/>
                <w:noProof/>
                <w:lang w:eastAsia="en-AU"/>
              </w:rPr>
              <w:t>Attachment 2. Extract from the Clinical Evaluation Report</w:t>
            </w:r>
            <w:r w:rsidR="009E4AE9">
              <w:rPr>
                <w:noProof/>
                <w:webHidden/>
              </w:rPr>
              <w:tab/>
            </w:r>
            <w:r w:rsidR="009E4AE9">
              <w:rPr>
                <w:noProof/>
                <w:webHidden/>
              </w:rPr>
              <w:fldChar w:fldCharType="begin"/>
            </w:r>
            <w:r w:rsidR="009E4AE9">
              <w:rPr>
                <w:noProof/>
                <w:webHidden/>
              </w:rPr>
              <w:instrText xml:space="preserve"> PAGEREF _Toc493685117 \h </w:instrText>
            </w:r>
            <w:r w:rsidR="009E4AE9">
              <w:rPr>
                <w:noProof/>
                <w:webHidden/>
              </w:rPr>
            </w:r>
            <w:r w:rsidR="009E4AE9">
              <w:rPr>
                <w:noProof/>
                <w:webHidden/>
              </w:rPr>
              <w:fldChar w:fldCharType="separate"/>
            </w:r>
            <w:r w:rsidR="002A5AE3">
              <w:rPr>
                <w:noProof/>
                <w:webHidden/>
              </w:rPr>
              <w:t>44</w:t>
            </w:r>
            <w:r w:rsidR="009E4AE9">
              <w:rPr>
                <w:noProof/>
                <w:webHidden/>
              </w:rPr>
              <w:fldChar w:fldCharType="end"/>
            </w:r>
          </w:hyperlink>
          <w:r w:rsidR="00DB6124">
            <w:fldChar w:fldCharType="end"/>
          </w:r>
        </w:p>
      </w:sdtContent>
    </w:sdt>
    <w:bookmarkStart w:id="2" w:name="_Toc314842482" w:displacedByCustomXml="prev"/>
    <w:tbl>
      <w:tblPr>
        <w:tblStyle w:val="TableTGAblue"/>
        <w:tblW w:w="0" w:type="auto"/>
        <w:tblLook w:val="04A0" w:firstRow="1" w:lastRow="0" w:firstColumn="1" w:lastColumn="0" w:noHBand="0" w:noVBand="1"/>
      </w:tblPr>
      <w:tblGrid>
        <w:gridCol w:w="1809"/>
        <w:gridCol w:w="6911"/>
      </w:tblGrid>
      <w:tr w:rsidR="00C151C3" w:rsidRPr="00FD119B" w14:paraId="26C6A73C"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2EDAE946" w14:textId="77777777" w:rsidR="00C151C3" w:rsidRPr="00FD119B" w:rsidRDefault="00C151C3" w:rsidP="00FD119B">
            <w:pPr>
              <w:keepNext w:val="0"/>
              <w:ind w:left="0" w:right="0"/>
              <w:rPr>
                <w:szCs w:val="22"/>
                <w:lang w:eastAsia="en-US"/>
              </w:rPr>
            </w:pPr>
            <w:r w:rsidRPr="00FD119B">
              <w:rPr>
                <w:szCs w:val="22"/>
                <w:lang w:eastAsia="en-US"/>
              </w:rPr>
              <w:lastRenderedPageBreak/>
              <w:t>Abbreviation</w:t>
            </w:r>
          </w:p>
        </w:tc>
        <w:tc>
          <w:tcPr>
            <w:tcW w:w="6911" w:type="dxa"/>
          </w:tcPr>
          <w:p w14:paraId="1F33F18E" w14:textId="77777777" w:rsidR="00C151C3" w:rsidRPr="00FD119B" w:rsidRDefault="00C151C3" w:rsidP="00FD119B">
            <w:pPr>
              <w:keepNext w:val="0"/>
              <w:ind w:left="0" w:right="0"/>
              <w:rPr>
                <w:szCs w:val="22"/>
                <w:lang w:eastAsia="en-US"/>
              </w:rPr>
            </w:pPr>
            <w:r w:rsidRPr="00FD119B">
              <w:rPr>
                <w:szCs w:val="22"/>
                <w:lang w:eastAsia="en-US"/>
              </w:rPr>
              <w:t>Meaning</w:t>
            </w:r>
          </w:p>
        </w:tc>
      </w:tr>
      <w:tr w:rsidR="00C151C3" w:rsidRPr="00FD119B" w14:paraId="738CB843" w14:textId="77777777" w:rsidTr="00FD119B">
        <w:tc>
          <w:tcPr>
            <w:tcW w:w="1809" w:type="dxa"/>
          </w:tcPr>
          <w:p w14:paraId="2E0A69B0" w14:textId="77777777" w:rsidR="00C151C3" w:rsidRDefault="00C151C3" w:rsidP="00FD119B">
            <w:r>
              <w:t>5-HIAA</w:t>
            </w:r>
          </w:p>
        </w:tc>
        <w:tc>
          <w:tcPr>
            <w:tcW w:w="6911" w:type="dxa"/>
          </w:tcPr>
          <w:p w14:paraId="608543F3" w14:textId="77777777" w:rsidR="00C151C3" w:rsidRDefault="00C151C3" w:rsidP="00FD119B">
            <w:r w:rsidRPr="00A95723">
              <w:rPr>
                <w:lang w:eastAsia="ja-JP"/>
              </w:rPr>
              <w:t>5-hydroxyindole acetic acid</w:t>
            </w:r>
          </w:p>
        </w:tc>
      </w:tr>
      <w:tr w:rsidR="00C151C3" w:rsidRPr="00FD119B" w14:paraId="35CE7202" w14:textId="77777777" w:rsidTr="00FD119B">
        <w:tc>
          <w:tcPr>
            <w:tcW w:w="1809" w:type="dxa"/>
          </w:tcPr>
          <w:p w14:paraId="7885CD42" w14:textId="77777777" w:rsidR="00C151C3" w:rsidRDefault="00C151C3" w:rsidP="00FD119B">
            <w:r>
              <w:t>ACPM</w:t>
            </w:r>
          </w:p>
        </w:tc>
        <w:tc>
          <w:tcPr>
            <w:tcW w:w="6911" w:type="dxa"/>
          </w:tcPr>
          <w:p w14:paraId="402064F9" w14:textId="77777777" w:rsidR="00C151C3" w:rsidRDefault="00C151C3" w:rsidP="00FD119B">
            <w:r>
              <w:t>Advisory Committee on Prescription Medicines</w:t>
            </w:r>
          </w:p>
        </w:tc>
      </w:tr>
      <w:tr w:rsidR="00C151C3" w:rsidRPr="00FD119B" w14:paraId="41A1B1D5" w14:textId="77777777" w:rsidTr="00FD119B">
        <w:tc>
          <w:tcPr>
            <w:tcW w:w="1809" w:type="dxa"/>
          </w:tcPr>
          <w:p w14:paraId="4BF8907E" w14:textId="77777777" w:rsidR="00C151C3" w:rsidRDefault="00C151C3" w:rsidP="00FD119B">
            <w:r>
              <w:t>AE</w:t>
            </w:r>
          </w:p>
        </w:tc>
        <w:tc>
          <w:tcPr>
            <w:tcW w:w="6911" w:type="dxa"/>
          </w:tcPr>
          <w:p w14:paraId="19CBFC7B" w14:textId="77777777" w:rsidR="00C151C3" w:rsidRDefault="00C151C3" w:rsidP="00FD119B">
            <w:r>
              <w:t>Adverse event</w:t>
            </w:r>
          </w:p>
        </w:tc>
      </w:tr>
      <w:tr w:rsidR="00C151C3" w:rsidRPr="00FD119B" w14:paraId="07CC047D" w14:textId="77777777" w:rsidTr="00FD119B">
        <w:tc>
          <w:tcPr>
            <w:tcW w:w="1809" w:type="dxa"/>
          </w:tcPr>
          <w:p w14:paraId="7330063A" w14:textId="77777777" w:rsidR="00C151C3" w:rsidRPr="00FD119B" w:rsidRDefault="00C151C3" w:rsidP="00FD119B">
            <w:r>
              <w:t>AJCC</w:t>
            </w:r>
          </w:p>
        </w:tc>
        <w:tc>
          <w:tcPr>
            <w:tcW w:w="6911" w:type="dxa"/>
          </w:tcPr>
          <w:p w14:paraId="146BD4B6" w14:textId="77777777" w:rsidR="00C151C3" w:rsidRPr="00FD119B" w:rsidRDefault="00C151C3" w:rsidP="00FD119B">
            <w:r>
              <w:t>American Joint Committee on Cancer</w:t>
            </w:r>
          </w:p>
        </w:tc>
      </w:tr>
      <w:tr w:rsidR="00C151C3" w:rsidRPr="00FD119B" w14:paraId="2EFCC23A" w14:textId="77777777" w:rsidTr="00FD119B">
        <w:tc>
          <w:tcPr>
            <w:tcW w:w="1809" w:type="dxa"/>
          </w:tcPr>
          <w:p w14:paraId="38D4F5FE" w14:textId="77777777" w:rsidR="00C151C3" w:rsidRDefault="00C151C3" w:rsidP="00FD119B">
            <w:r>
              <w:t>ALT</w:t>
            </w:r>
          </w:p>
        </w:tc>
        <w:tc>
          <w:tcPr>
            <w:tcW w:w="6911" w:type="dxa"/>
          </w:tcPr>
          <w:p w14:paraId="5CEDEF28" w14:textId="77777777" w:rsidR="00C151C3" w:rsidRDefault="00C151C3" w:rsidP="00FD119B">
            <w:r>
              <w:t>Alanine transaminase</w:t>
            </w:r>
          </w:p>
        </w:tc>
      </w:tr>
      <w:tr w:rsidR="00C151C3" w:rsidRPr="00FD119B" w14:paraId="48375A4D" w14:textId="77777777" w:rsidTr="00FD119B">
        <w:tc>
          <w:tcPr>
            <w:tcW w:w="1809" w:type="dxa"/>
          </w:tcPr>
          <w:p w14:paraId="31B3E5BE" w14:textId="77777777" w:rsidR="00C151C3" w:rsidRPr="00FD119B" w:rsidRDefault="00C151C3" w:rsidP="00FD119B">
            <w:r>
              <w:t>AML</w:t>
            </w:r>
          </w:p>
        </w:tc>
        <w:tc>
          <w:tcPr>
            <w:tcW w:w="6911" w:type="dxa"/>
          </w:tcPr>
          <w:p w14:paraId="5D81661D" w14:textId="24F8C33B" w:rsidR="00C151C3" w:rsidRPr="00FD119B" w:rsidRDefault="00E60D4C" w:rsidP="00FD119B">
            <w:r>
              <w:t>Angiomyoli</w:t>
            </w:r>
            <w:r w:rsidR="00C151C3">
              <w:t>poma</w:t>
            </w:r>
          </w:p>
        </w:tc>
      </w:tr>
      <w:tr w:rsidR="00C151C3" w:rsidRPr="00FD119B" w14:paraId="6DD0E3A1" w14:textId="77777777" w:rsidTr="00FD119B">
        <w:tc>
          <w:tcPr>
            <w:tcW w:w="1809" w:type="dxa"/>
          </w:tcPr>
          <w:p w14:paraId="0E9007CE" w14:textId="77777777" w:rsidR="00C151C3" w:rsidRDefault="00C151C3" w:rsidP="00FD119B">
            <w:r>
              <w:t>ASA</w:t>
            </w:r>
          </w:p>
        </w:tc>
        <w:tc>
          <w:tcPr>
            <w:tcW w:w="6911" w:type="dxa"/>
          </w:tcPr>
          <w:p w14:paraId="4688166B" w14:textId="77777777" w:rsidR="00C151C3" w:rsidRDefault="00C151C3" w:rsidP="00FD119B">
            <w:r>
              <w:t>Australian Specific Annex</w:t>
            </w:r>
          </w:p>
        </w:tc>
      </w:tr>
      <w:tr w:rsidR="00C151C3" w:rsidRPr="00FD119B" w14:paraId="6974E6EF" w14:textId="77777777" w:rsidTr="00FD119B">
        <w:tc>
          <w:tcPr>
            <w:tcW w:w="1809" w:type="dxa"/>
          </w:tcPr>
          <w:p w14:paraId="01B992C0" w14:textId="77777777" w:rsidR="00C151C3" w:rsidRDefault="00C151C3" w:rsidP="00FD119B">
            <w:r>
              <w:t>AST</w:t>
            </w:r>
          </w:p>
        </w:tc>
        <w:tc>
          <w:tcPr>
            <w:tcW w:w="6911" w:type="dxa"/>
          </w:tcPr>
          <w:p w14:paraId="473F7B95" w14:textId="77777777" w:rsidR="00C151C3" w:rsidRDefault="00C151C3" w:rsidP="00FD119B">
            <w:r>
              <w:t>Aspartate transaminase</w:t>
            </w:r>
          </w:p>
        </w:tc>
      </w:tr>
      <w:tr w:rsidR="00C151C3" w:rsidRPr="00FD119B" w14:paraId="6795F3D8" w14:textId="77777777" w:rsidTr="00FD119B">
        <w:tc>
          <w:tcPr>
            <w:tcW w:w="1809" w:type="dxa"/>
          </w:tcPr>
          <w:p w14:paraId="44CC4D91" w14:textId="77777777" w:rsidR="00C151C3" w:rsidRDefault="00C151C3" w:rsidP="00FD119B">
            <w:r>
              <w:t>BSC</w:t>
            </w:r>
          </w:p>
        </w:tc>
        <w:tc>
          <w:tcPr>
            <w:tcW w:w="6911" w:type="dxa"/>
          </w:tcPr>
          <w:p w14:paraId="6CC89F58" w14:textId="77777777" w:rsidR="00C151C3" w:rsidRDefault="00C151C3" w:rsidP="00FD119B">
            <w:r>
              <w:t>Best supportive care</w:t>
            </w:r>
          </w:p>
        </w:tc>
      </w:tr>
      <w:tr w:rsidR="00C151C3" w:rsidRPr="00FD119B" w14:paraId="1D082D70" w14:textId="77777777" w:rsidTr="00FD119B">
        <w:tc>
          <w:tcPr>
            <w:tcW w:w="1809" w:type="dxa"/>
          </w:tcPr>
          <w:p w14:paraId="7EB88F7D" w14:textId="77777777" w:rsidR="00C151C3" w:rsidRPr="00FD119B" w:rsidRDefault="00C151C3" w:rsidP="00FD119B">
            <w:r>
              <w:t>CgA</w:t>
            </w:r>
          </w:p>
        </w:tc>
        <w:tc>
          <w:tcPr>
            <w:tcW w:w="6911" w:type="dxa"/>
          </w:tcPr>
          <w:p w14:paraId="0965AF71" w14:textId="77777777" w:rsidR="00C151C3" w:rsidRPr="00FD119B" w:rsidRDefault="00C151C3" w:rsidP="00FD119B">
            <w:r>
              <w:t>C</w:t>
            </w:r>
            <w:r w:rsidRPr="00655D8F">
              <w:t>hromogranin A</w:t>
            </w:r>
          </w:p>
        </w:tc>
      </w:tr>
      <w:tr w:rsidR="00C151C3" w:rsidRPr="00FD119B" w14:paraId="5F3AE956" w14:textId="77777777" w:rsidTr="00FD119B">
        <w:tc>
          <w:tcPr>
            <w:tcW w:w="1809" w:type="dxa"/>
          </w:tcPr>
          <w:p w14:paraId="5DC3DBAE" w14:textId="77777777" w:rsidR="00C151C3" w:rsidRDefault="00C151C3" w:rsidP="00FD119B">
            <w:r>
              <w:t>CHMP</w:t>
            </w:r>
          </w:p>
        </w:tc>
        <w:tc>
          <w:tcPr>
            <w:tcW w:w="6911" w:type="dxa"/>
          </w:tcPr>
          <w:p w14:paraId="3DCF92AE" w14:textId="77777777" w:rsidR="00C151C3" w:rsidRDefault="00C151C3" w:rsidP="00FD119B">
            <w:r>
              <w:t>Committee on Medicinal Products for Human Use</w:t>
            </w:r>
          </w:p>
        </w:tc>
      </w:tr>
      <w:tr w:rsidR="00C151C3" w:rsidRPr="00FD119B" w14:paraId="237FE1E6" w14:textId="77777777" w:rsidTr="00FD119B">
        <w:tc>
          <w:tcPr>
            <w:tcW w:w="1809" w:type="dxa"/>
          </w:tcPr>
          <w:p w14:paraId="7216770F" w14:textId="77777777" w:rsidR="00C151C3" w:rsidRDefault="00C151C3" w:rsidP="00FD119B">
            <w:r>
              <w:t>CMI</w:t>
            </w:r>
          </w:p>
        </w:tc>
        <w:tc>
          <w:tcPr>
            <w:tcW w:w="6911" w:type="dxa"/>
          </w:tcPr>
          <w:p w14:paraId="62E26D16" w14:textId="77777777" w:rsidR="00C151C3" w:rsidRDefault="00C151C3" w:rsidP="00FD119B">
            <w:r>
              <w:t>Consumer Medicines Information</w:t>
            </w:r>
          </w:p>
        </w:tc>
      </w:tr>
      <w:tr w:rsidR="00C151C3" w:rsidRPr="00FD119B" w14:paraId="21D3FCBB" w14:textId="77777777" w:rsidTr="00FD119B">
        <w:tc>
          <w:tcPr>
            <w:tcW w:w="1809" w:type="dxa"/>
          </w:tcPr>
          <w:p w14:paraId="7C0A0686" w14:textId="77777777" w:rsidR="00C151C3" w:rsidRDefault="00C151C3" w:rsidP="00FD119B">
            <w:r>
              <w:t>C</w:t>
            </w:r>
            <w:r w:rsidRPr="00DA2455">
              <w:rPr>
                <w:vertAlign w:val="subscript"/>
              </w:rPr>
              <w:t>min</w:t>
            </w:r>
          </w:p>
        </w:tc>
        <w:tc>
          <w:tcPr>
            <w:tcW w:w="6911" w:type="dxa"/>
          </w:tcPr>
          <w:p w14:paraId="27A937F2" w14:textId="77777777" w:rsidR="00C151C3" w:rsidRDefault="00C151C3" w:rsidP="00FD119B">
            <w:r>
              <w:t>Minimum plasma concentration</w:t>
            </w:r>
          </w:p>
        </w:tc>
      </w:tr>
      <w:tr w:rsidR="00C151C3" w:rsidRPr="00FD119B" w14:paraId="543E5389" w14:textId="77777777" w:rsidTr="00FD119B">
        <w:tc>
          <w:tcPr>
            <w:tcW w:w="1809" w:type="dxa"/>
          </w:tcPr>
          <w:p w14:paraId="5C936627" w14:textId="77777777" w:rsidR="00C151C3" w:rsidRDefault="00C151C3" w:rsidP="00FD119B">
            <w:r>
              <w:t>CT</w:t>
            </w:r>
          </w:p>
        </w:tc>
        <w:tc>
          <w:tcPr>
            <w:tcW w:w="6911" w:type="dxa"/>
          </w:tcPr>
          <w:p w14:paraId="1DC2C64E" w14:textId="77777777" w:rsidR="00C151C3" w:rsidRDefault="00C151C3" w:rsidP="00FD119B">
            <w:r>
              <w:t>Computerised tomography</w:t>
            </w:r>
          </w:p>
        </w:tc>
      </w:tr>
      <w:tr w:rsidR="00C151C3" w:rsidRPr="00FD119B" w14:paraId="259A8954" w14:textId="77777777" w:rsidTr="00FD119B">
        <w:tc>
          <w:tcPr>
            <w:tcW w:w="1809" w:type="dxa"/>
          </w:tcPr>
          <w:p w14:paraId="76178742" w14:textId="77777777" w:rsidR="00C151C3" w:rsidRDefault="00C151C3" w:rsidP="00FD119B">
            <w:r>
              <w:t>DCR</w:t>
            </w:r>
          </w:p>
        </w:tc>
        <w:tc>
          <w:tcPr>
            <w:tcW w:w="6911" w:type="dxa"/>
          </w:tcPr>
          <w:p w14:paraId="7FACDCAB" w14:textId="77777777" w:rsidR="00C151C3" w:rsidRDefault="00C151C3" w:rsidP="00FD119B">
            <w:r>
              <w:t>Disease control rate</w:t>
            </w:r>
          </w:p>
        </w:tc>
      </w:tr>
      <w:tr w:rsidR="00C151C3" w:rsidRPr="00FD119B" w14:paraId="4695B300" w14:textId="77777777" w:rsidTr="00FD119B">
        <w:tc>
          <w:tcPr>
            <w:tcW w:w="1809" w:type="dxa"/>
          </w:tcPr>
          <w:p w14:paraId="34932313" w14:textId="77777777" w:rsidR="00C151C3" w:rsidRDefault="00C151C3" w:rsidP="00FD119B">
            <w:r>
              <w:t>DLP</w:t>
            </w:r>
          </w:p>
        </w:tc>
        <w:tc>
          <w:tcPr>
            <w:tcW w:w="6911" w:type="dxa"/>
          </w:tcPr>
          <w:p w14:paraId="0BB5554A" w14:textId="77777777" w:rsidR="00C151C3" w:rsidRDefault="00C151C3" w:rsidP="00FD119B">
            <w:r>
              <w:t>Data lock point</w:t>
            </w:r>
          </w:p>
        </w:tc>
      </w:tr>
      <w:tr w:rsidR="00C151C3" w:rsidRPr="00FD119B" w14:paraId="02356929" w14:textId="77777777" w:rsidTr="00FD119B">
        <w:tc>
          <w:tcPr>
            <w:tcW w:w="1809" w:type="dxa"/>
          </w:tcPr>
          <w:p w14:paraId="7800ECE6" w14:textId="77777777" w:rsidR="00C151C3" w:rsidRDefault="00C151C3" w:rsidP="00FD119B">
            <w:r>
              <w:t>EMA</w:t>
            </w:r>
          </w:p>
        </w:tc>
        <w:tc>
          <w:tcPr>
            <w:tcW w:w="6911" w:type="dxa"/>
          </w:tcPr>
          <w:p w14:paraId="568D34F4" w14:textId="77777777" w:rsidR="00C151C3" w:rsidRDefault="00C151C3" w:rsidP="00FD119B">
            <w:r>
              <w:t>European Medicines Agency</w:t>
            </w:r>
          </w:p>
        </w:tc>
      </w:tr>
      <w:tr w:rsidR="00C151C3" w:rsidRPr="00FD119B" w14:paraId="10087B32" w14:textId="77777777" w:rsidTr="00FD119B">
        <w:tc>
          <w:tcPr>
            <w:tcW w:w="1809" w:type="dxa"/>
          </w:tcPr>
          <w:p w14:paraId="560FE850" w14:textId="77777777" w:rsidR="00C151C3" w:rsidRDefault="00C151C3" w:rsidP="00FD119B">
            <w:r>
              <w:t>ENETS</w:t>
            </w:r>
          </w:p>
        </w:tc>
        <w:tc>
          <w:tcPr>
            <w:tcW w:w="6911" w:type="dxa"/>
          </w:tcPr>
          <w:p w14:paraId="3B503B87" w14:textId="77777777" w:rsidR="00C151C3" w:rsidRDefault="00C151C3" w:rsidP="00FD119B">
            <w:r>
              <w:t>European Neuroendocrine Tumor Society</w:t>
            </w:r>
          </w:p>
        </w:tc>
      </w:tr>
      <w:tr w:rsidR="00C151C3" w:rsidRPr="00FD119B" w14:paraId="1A12077F" w14:textId="77777777" w:rsidTr="00FD119B">
        <w:tc>
          <w:tcPr>
            <w:tcW w:w="1809" w:type="dxa"/>
          </w:tcPr>
          <w:p w14:paraId="306AD5C7" w14:textId="77777777" w:rsidR="00C151C3" w:rsidRDefault="00C151C3" w:rsidP="00FD119B">
            <w:r>
              <w:t>EU</w:t>
            </w:r>
          </w:p>
        </w:tc>
        <w:tc>
          <w:tcPr>
            <w:tcW w:w="6911" w:type="dxa"/>
          </w:tcPr>
          <w:p w14:paraId="0D97F801" w14:textId="77777777" w:rsidR="00C151C3" w:rsidRDefault="00C151C3" w:rsidP="00FD119B">
            <w:r>
              <w:t>European Union</w:t>
            </w:r>
          </w:p>
        </w:tc>
      </w:tr>
      <w:tr w:rsidR="00C151C3" w:rsidRPr="00FD119B" w14:paraId="7ED27765" w14:textId="77777777" w:rsidTr="00FD119B">
        <w:tc>
          <w:tcPr>
            <w:tcW w:w="1809" w:type="dxa"/>
          </w:tcPr>
          <w:p w14:paraId="40B65167" w14:textId="77777777" w:rsidR="00C151C3" w:rsidRDefault="00C151C3" w:rsidP="00FD119B">
            <w:r>
              <w:t>FACT-G</w:t>
            </w:r>
          </w:p>
        </w:tc>
        <w:tc>
          <w:tcPr>
            <w:tcW w:w="6911" w:type="dxa"/>
          </w:tcPr>
          <w:p w14:paraId="2D5DB416" w14:textId="0F926F9F" w:rsidR="00C151C3" w:rsidRDefault="00C151C3" w:rsidP="00EC1D0B">
            <w:r>
              <w:t>Functional</w:t>
            </w:r>
            <w:r w:rsidR="00EC1D0B">
              <w:t xml:space="preserve"> Assessment of Cancer Therapy (</w:t>
            </w:r>
            <w:r>
              <w:t>General</w:t>
            </w:r>
            <w:r w:rsidR="00EC1D0B">
              <w:t>)</w:t>
            </w:r>
          </w:p>
        </w:tc>
      </w:tr>
      <w:tr w:rsidR="00C151C3" w:rsidRPr="00FD119B" w14:paraId="373242F5" w14:textId="77777777" w:rsidTr="00FD119B">
        <w:tc>
          <w:tcPr>
            <w:tcW w:w="1809" w:type="dxa"/>
          </w:tcPr>
          <w:p w14:paraId="6B3B61DD" w14:textId="77777777" w:rsidR="00C151C3" w:rsidRDefault="00C151C3" w:rsidP="00FD119B">
            <w:r>
              <w:t>FDA</w:t>
            </w:r>
          </w:p>
        </w:tc>
        <w:tc>
          <w:tcPr>
            <w:tcW w:w="6911" w:type="dxa"/>
          </w:tcPr>
          <w:p w14:paraId="60264502" w14:textId="77777777" w:rsidR="00C151C3" w:rsidRDefault="00C151C3" w:rsidP="00FD119B">
            <w:r>
              <w:t>Food and Drugs Administration</w:t>
            </w:r>
          </w:p>
        </w:tc>
      </w:tr>
      <w:tr w:rsidR="00C151C3" w:rsidRPr="00FD119B" w14:paraId="33643841" w14:textId="77777777" w:rsidTr="00FD119B">
        <w:tc>
          <w:tcPr>
            <w:tcW w:w="1809" w:type="dxa"/>
          </w:tcPr>
          <w:p w14:paraId="1E3F73B1" w14:textId="77777777" w:rsidR="00C151C3" w:rsidRDefault="00C151C3" w:rsidP="00FD119B">
            <w:r>
              <w:t>GCP</w:t>
            </w:r>
          </w:p>
        </w:tc>
        <w:tc>
          <w:tcPr>
            <w:tcW w:w="6911" w:type="dxa"/>
          </w:tcPr>
          <w:p w14:paraId="03461A1B" w14:textId="77777777" w:rsidR="00C151C3" w:rsidRDefault="00C151C3" w:rsidP="00FD119B">
            <w:r>
              <w:t>Good Clinical Practice</w:t>
            </w:r>
          </w:p>
        </w:tc>
      </w:tr>
      <w:tr w:rsidR="00C151C3" w:rsidRPr="00FD119B" w14:paraId="5EF9D52E" w14:textId="77777777" w:rsidTr="00FD119B">
        <w:tc>
          <w:tcPr>
            <w:tcW w:w="1809" w:type="dxa"/>
          </w:tcPr>
          <w:p w14:paraId="26CEE32B" w14:textId="77777777" w:rsidR="00C151C3" w:rsidRDefault="00C151C3" w:rsidP="00FD119B">
            <w:r>
              <w:t>GEP</w:t>
            </w:r>
          </w:p>
        </w:tc>
        <w:tc>
          <w:tcPr>
            <w:tcW w:w="6911" w:type="dxa"/>
          </w:tcPr>
          <w:p w14:paraId="69EDB306" w14:textId="77777777" w:rsidR="00C151C3" w:rsidRDefault="00C151C3" w:rsidP="00FD119B">
            <w:r>
              <w:t>Gastro-entero-pancreatic</w:t>
            </w:r>
          </w:p>
        </w:tc>
      </w:tr>
      <w:tr w:rsidR="00C151C3" w:rsidRPr="00FD119B" w14:paraId="09003D06" w14:textId="77777777" w:rsidTr="00FD119B">
        <w:tc>
          <w:tcPr>
            <w:tcW w:w="1809" w:type="dxa"/>
          </w:tcPr>
          <w:p w14:paraId="3174240C" w14:textId="77777777" w:rsidR="00C151C3" w:rsidRDefault="00C151C3" w:rsidP="00FD119B">
            <w:r>
              <w:t>HPF</w:t>
            </w:r>
          </w:p>
        </w:tc>
        <w:tc>
          <w:tcPr>
            <w:tcW w:w="6911" w:type="dxa"/>
          </w:tcPr>
          <w:p w14:paraId="4F97AE22" w14:textId="77777777" w:rsidR="00C151C3" w:rsidRDefault="00C151C3" w:rsidP="00FD119B">
            <w:r>
              <w:t>High power microscopic fields</w:t>
            </w:r>
          </w:p>
        </w:tc>
      </w:tr>
      <w:tr w:rsidR="00C151C3" w:rsidRPr="00FD119B" w14:paraId="23D664EE" w14:textId="77777777" w:rsidTr="00FD119B">
        <w:tc>
          <w:tcPr>
            <w:tcW w:w="1809" w:type="dxa"/>
          </w:tcPr>
          <w:p w14:paraId="6931CD85" w14:textId="77777777" w:rsidR="00C151C3" w:rsidRDefault="00C151C3" w:rsidP="00FD119B">
            <w:r>
              <w:t>HR</w:t>
            </w:r>
          </w:p>
        </w:tc>
        <w:tc>
          <w:tcPr>
            <w:tcW w:w="6911" w:type="dxa"/>
          </w:tcPr>
          <w:p w14:paraId="36A645F4" w14:textId="77777777" w:rsidR="00C151C3" w:rsidRDefault="00C151C3" w:rsidP="00FD119B">
            <w:r>
              <w:t>Hazard ratio</w:t>
            </w:r>
          </w:p>
        </w:tc>
      </w:tr>
      <w:tr w:rsidR="00C151C3" w:rsidRPr="00FD119B" w14:paraId="437C6FF8" w14:textId="77777777" w:rsidTr="00FD119B">
        <w:tc>
          <w:tcPr>
            <w:tcW w:w="1809" w:type="dxa"/>
          </w:tcPr>
          <w:p w14:paraId="72EAB648" w14:textId="77777777" w:rsidR="00C151C3" w:rsidRDefault="00C151C3" w:rsidP="00FD119B">
            <w:r>
              <w:t>ICH</w:t>
            </w:r>
          </w:p>
        </w:tc>
        <w:tc>
          <w:tcPr>
            <w:tcW w:w="6911" w:type="dxa"/>
          </w:tcPr>
          <w:p w14:paraId="315FCE5C" w14:textId="77777777" w:rsidR="00C151C3" w:rsidRDefault="00C151C3" w:rsidP="00FD119B">
            <w:r>
              <w:t>International Conference on Harmonisation</w:t>
            </w:r>
          </w:p>
        </w:tc>
      </w:tr>
      <w:tr w:rsidR="00C151C3" w:rsidRPr="00FD119B" w14:paraId="639A18C4" w14:textId="77777777" w:rsidTr="00FD119B">
        <w:tc>
          <w:tcPr>
            <w:tcW w:w="1809" w:type="dxa"/>
          </w:tcPr>
          <w:p w14:paraId="17E0610D" w14:textId="77777777" w:rsidR="00C151C3" w:rsidRDefault="00C151C3" w:rsidP="00FD119B">
            <w:r>
              <w:lastRenderedPageBreak/>
              <w:t>IRC</w:t>
            </w:r>
          </w:p>
        </w:tc>
        <w:tc>
          <w:tcPr>
            <w:tcW w:w="6911" w:type="dxa"/>
          </w:tcPr>
          <w:p w14:paraId="15F7EF0A" w14:textId="0FA0159E" w:rsidR="00C151C3" w:rsidRDefault="00C151C3" w:rsidP="00A41283">
            <w:r>
              <w:rPr>
                <w:lang w:val="en-GB"/>
              </w:rPr>
              <w:t>I</w:t>
            </w:r>
            <w:r w:rsidRPr="00BE077F">
              <w:rPr>
                <w:lang w:val="en-GB"/>
              </w:rPr>
              <w:t xml:space="preserve">ndependent </w:t>
            </w:r>
            <w:r w:rsidR="00A41283">
              <w:rPr>
                <w:lang w:val="en-GB"/>
              </w:rPr>
              <w:t>radiology review committee</w:t>
            </w:r>
          </w:p>
        </w:tc>
      </w:tr>
      <w:tr w:rsidR="00C151C3" w:rsidRPr="00FD119B" w14:paraId="2B433CA3" w14:textId="77777777" w:rsidTr="00FD119B">
        <w:tc>
          <w:tcPr>
            <w:tcW w:w="1809" w:type="dxa"/>
          </w:tcPr>
          <w:p w14:paraId="29B4F1A5" w14:textId="77777777" w:rsidR="00C151C3" w:rsidRDefault="00C151C3" w:rsidP="00FD119B">
            <w:r>
              <w:t>LLOQ</w:t>
            </w:r>
          </w:p>
        </w:tc>
        <w:tc>
          <w:tcPr>
            <w:tcW w:w="6911" w:type="dxa"/>
          </w:tcPr>
          <w:p w14:paraId="1DA703A3" w14:textId="77777777" w:rsidR="00C151C3" w:rsidRDefault="00C151C3" w:rsidP="00FD119B">
            <w:r>
              <w:t>Lower limit of quantification</w:t>
            </w:r>
          </w:p>
        </w:tc>
      </w:tr>
      <w:tr w:rsidR="00C151C3" w:rsidRPr="00FD119B" w14:paraId="3E8F4771" w14:textId="77777777" w:rsidTr="00FD119B">
        <w:tc>
          <w:tcPr>
            <w:tcW w:w="1809" w:type="dxa"/>
          </w:tcPr>
          <w:p w14:paraId="4D7A0A70" w14:textId="77777777" w:rsidR="00C151C3" w:rsidRPr="00FD119B" w:rsidRDefault="00C151C3" w:rsidP="00FD119B">
            <w:r w:rsidRPr="007C52CE">
              <w:t>MEN1</w:t>
            </w:r>
          </w:p>
        </w:tc>
        <w:tc>
          <w:tcPr>
            <w:tcW w:w="6911" w:type="dxa"/>
          </w:tcPr>
          <w:p w14:paraId="5DEF40A1" w14:textId="77777777" w:rsidR="00C151C3" w:rsidRPr="00FD119B" w:rsidRDefault="00C151C3" w:rsidP="00FD119B">
            <w:r>
              <w:t>M</w:t>
            </w:r>
            <w:r w:rsidRPr="007C52CE">
              <w:t>ultiple endocrine neoplasia</w:t>
            </w:r>
            <w:r>
              <w:t xml:space="preserve"> type 1</w:t>
            </w:r>
          </w:p>
        </w:tc>
      </w:tr>
      <w:tr w:rsidR="00C151C3" w:rsidRPr="00FD119B" w14:paraId="38F1D2BA" w14:textId="77777777" w:rsidTr="00FD119B">
        <w:tc>
          <w:tcPr>
            <w:tcW w:w="1809" w:type="dxa"/>
          </w:tcPr>
          <w:p w14:paraId="19B4838F" w14:textId="77777777" w:rsidR="00C151C3" w:rsidRPr="00FD119B" w:rsidRDefault="00C151C3" w:rsidP="00FD119B">
            <w:r w:rsidRPr="007C52CE">
              <w:t>MEN</w:t>
            </w:r>
            <w:r>
              <w:t>2</w:t>
            </w:r>
          </w:p>
        </w:tc>
        <w:tc>
          <w:tcPr>
            <w:tcW w:w="6911" w:type="dxa"/>
          </w:tcPr>
          <w:p w14:paraId="3D27BFB2" w14:textId="77777777" w:rsidR="00C151C3" w:rsidRPr="00FD119B" w:rsidRDefault="00C151C3" w:rsidP="00FD119B">
            <w:r>
              <w:t>M</w:t>
            </w:r>
            <w:r w:rsidRPr="007C52CE">
              <w:t>ultiple endocrine neoplasia</w:t>
            </w:r>
            <w:r>
              <w:t xml:space="preserve"> type 2</w:t>
            </w:r>
          </w:p>
        </w:tc>
      </w:tr>
      <w:tr w:rsidR="00C151C3" w:rsidRPr="00FD119B" w14:paraId="0807557B" w14:textId="77777777" w:rsidTr="00FD119B">
        <w:tc>
          <w:tcPr>
            <w:tcW w:w="1809" w:type="dxa"/>
          </w:tcPr>
          <w:p w14:paraId="302DF2DA" w14:textId="77777777" w:rsidR="00C151C3" w:rsidRDefault="00C151C3" w:rsidP="00FD119B">
            <w:r>
              <w:t>MRI</w:t>
            </w:r>
          </w:p>
        </w:tc>
        <w:tc>
          <w:tcPr>
            <w:tcW w:w="6911" w:type="dxa"/>
          </w:tcPr>
          <w:p w14:paraId="6DCA6165" w14:textId="77777777" w:rsidR="00C151C3" w:rsidRDefault="00C151C3" w:rsidP="00FD119B">
            <w:r>
              <w:t>Magnetic resonance imaging</w:t>
            </w:r>
          </w:p>
        </w:tc>
      </w:tr>
      <w:tr w:rsidR="00C151C3" w:rsidRPr="00FD119B" w14:paraId="3C8C76E4" w14:textId="77777777" w:rsidTr="00FD119B">
        <w:tc>
          <w:tcPr>
            <w:tcW w:w="1809" w:type="dxa"/>
          </w:tcPr>
          <w:p w14:paraId="1C6717D8" w14:textId="77777777" w:rsidR="00C151C3" w:rsidRPr="00FD119B" w:rsidRDefault="00C151C3" w:rsidP="00FD119B">
            <w:r>
              <w:t>mTORC1</w:t>
            </w:r>
          </w:p>
        </w:tc>
        <w:tc>
          <w:tcPr>
            <w:tcW w:w="6911" w:type="dxa"/>
          </w:tcPr>
          <w:p w14:paraId="3A0A69E0" w14:textId="1D2EC030" w:rsidR="00C151C3" w:rsidRPr="00FD119B" w:rsidRDefault="00697C90" w:rsidP="00FD119B">
            <w:r>
              <w:t>M</w:t>
            </w:r>
            <w:r w:rsidR="00C151C3" w:rsidRPr="007C52CE">
              <w:t>ammalian ‘target of rapamycin’ complex 1</w:t>
            </w:r>
          </w:p>
        </w:tc>
      </w:tr>
      <w:tr w:rsidR="00C151C3" w:rsidRPr="00FD119B" w14:paraId="6C2A2036" w14:textId="77777777" w:rsidTr="00FD119B">
        <w:tc>
          <w:tcPr>
            <w:tcW w:w="1809" w:type="dxa"/>
          </w:tcPr>
          <w:p w14:paraId="73B9CB5D" w14:textId="77777777" w:rsidR="00C151C3" w:rsidRDefault="00C151C3" w:rsidP="00FD119B">
            <w:r>
              <w:t>NANETS</w:t>
            </w:r>
          </w:p>
        </w:tc>
        <w:tc>
          <w:tcPr>
            <w:tcW w:w="6911" w:type="dxa"/>
          </w:tcPr>
          <w:p w14:paraId="39BB9404" w14:textId="77777777" w:rsidR="00C151C3" w:rsidRDefault="00C151C3" w:rsidP="00FD119B">
            <w:r>
              <w:t>North American Neuroendocrine Society</w:t>
            </w:r>
          </w:p>
        </w:tc>
      </w:tr>
      <w:tr w:rsidR="00C151C3" w:rsidRPr="00FD119B" w14:paraId="0D39295C" w14:textId="77777777" w:rsidTr="00FD119B">
        <w:tc>
          <w:tcPr>
            <w:tcW w:w="1809" w:type="dxa"/>
          </w:tcPr>
          <w:p w14:paraId="2722B1C1" w14:textId="77777777" w:rsidR="00C151C3" w:rsidRDefault="00C151C3" w:rsidP="00FD119B">
            <w:r>
              <w:t>NCCN</w:t>
            </w:r>
          </w:p>
        </w:tc>
        <w:tc>
          <w:tcPr>
            <w:tcW w:w="6911" w:type="dxa"/>
          </w:tcPr>
          <w:p w14:paraId="7909EF95" w14:textId="77777777" w:rsidR="00C151C3" w:rsidRDefault="00C151C3" w:rsidP="00FD119B">
            <w:r>
              <w:t>National Comprehensive Cancer Network</w:t>
            </w:r>
          </w:p>
        </w:tc>
      </w:tr>
      <w:tr w:rsidR="00C151C3" w:rsidRPr="00FD119B" w14:paraId="5BADB184" w14:textId="77777777" w:rsidTr="00FD119B">
        <w:tc>
          <w:tcPr>
            <w:tcW w:w="1809" w:type="dxa"/>
          </w:tcPr>
          <w:p w14:paraId="64F45635" w14:textId="77777777" w:rsidR="00C151C3" w:rsidRPr="00FD119B" w:rsidRDefault="00C151C3" w:rsidP="00FD119B">
            <w:r>
              <w:t>NET</w:t>
            </w:r>
          </w:p>
        </w:tc>
        <w:tc>
          <w:tcPr>
            <w:tcW w:w="6911" w:type="dxa"/>
          </w:tcPr>
          <w:p w14:paraId="0C9C1A68" w14:textId="77777777" w:rsidR="00C151C3" w:rsidRPr="00FD119B" w:rsidRDefault="00C151C3" w:rsidP="00FD119B">
            <w:r>
              <w:t>Neuroendocrine tumour</w:t>
            </w:r>
          </w:p>
        </w:tc>
      </w:tr>
      <w:tr w:rsidR="00C151C3" w:rsidRPr="00FD119B" w14:paraId="1D82B988" w14:textId="77777777" w:rsidTr="00FD119B">
        <w:tc>
          <w:tcPr>
            <w:tcW w:w="1809" w:type="dxa"/>
          </w:tcPr>
          <w:p w14:paraId="317FF576" w14:textId="77777777" w:rsidR="00C151C3" w:rsidRDefault="00C151C3" w:rsidP="00FD119B">
            <w:r>
              <w:t>NSE</w:t>
            </w:r>
          </w:p>
        </w:tc>
        <w:tc>
          <w:tcPr>
            <w:tcW w:w="6911" w:type="dxa"/>
          </w:tcPr>
          <w:p w14:paraId="14F887E9" w14:textId="77777777" w:rsidR="00C151C3" w:rsidRDefault="00C151C3" w:rsidP="00FD119B">
            <w:r>
              <w:t>Neuron-specific enolase</w:t>
            </w:r>
          </w:p>
        </w:tc>
      </w:tr>
      <w:tr w:rsidR="00C151C3" w:rsidRPr="00FD119B" w14:paraId="28B05D9D" w14:textId="77777777" w:rsidTr="00FD119B">
        <w:tc>
          <w:tcPr>
            <w:tcW w:w="1809" w:type="dxa"/>
          </w:tcPr>
          <w:p w14:paraId="3B145F9D" w14:textId="77777777" w:rsidR="00C151C3" w:rsidRDefault="00C151C3" w:rsidP="00FD119B">
            <w:r>
              <w:t>OR</w:t>
            </w:r>
          </w:p>
        </w:tc>
        <w:tc>
          <w:tcPr>
            <w:tcW w:w="6911" w:type="dxa"/>
          </w:tcPr>
          <w:p w14:paraId="17A4CF46" w14:textId="77777777" w:rsidR="00C151C3" w:rsidRDefault="00C151C3" w:rsidP="00FD119B">
            <w:r>
              <w:t>Odds ratio</w:t>
            </w:r>
          </w:p>
        </w:tc>
      </w:tr>
      <w:tr w:rsidR="00C151C3" w:rsidRPr="00FD119B" w14:paraId="12DA1E1A" w14:textId="77777777" w:rsidTr="00FD119B">
        <w:tc>
          <w:tcPr>
            <w:tcW w:w="1809" w:type="dxa"/>
          </w:tcPr>
          <w:p w14:paraId="110417D2" w14:textId="77777777" w:rsidR="00C151C3" w:rsidRDefault="00C151C3" w:rsidP="00FD119B">
            <w:r>
              <w:t>ORR</w:t>
            </w:r>
          </w:p>
        </w:tc>
        <w:tc>
          <w:tcPr>
            <w:tcW w:w="6911" w:type="dxa"/>
          </w:tcPr>
          <w:p w14:paraId="65128736" w14:textId="77777777" w:rsidR="00C151C3" w:rsidRDefault="00C151C3" w:rsidP="00FD119B">
            <w:r>
              <w:t>Overall response rate</w:t>
            </w:r>
          </w:p>
        </w:tc>
      </w:tr>
      <w:tr w:rsidR="00C151C3" w:rsidRPr="00FD119B" w14:paraId="5AF23CED" w14:textId="77777777" w:rsidTr="00FD119B">
        <w:tc>
          <w:tcPr>
            <w:tcW w:w="1809" w:type="dxa"/>
          </w:tcPr>
          <w:p w14:paraId="54C18C1C" w14:textId="77777777" w:rsidR="00C151C3" w:rsidRDefault="00C151C3" w:rsidP="00FD119B">
            <w:r>
              <w:t>OS</w:t>
            </w:r>
          </w:p>
        </w:tc>
        <w:tc>
          <w:tcPr>
            <w:tcW w:w="6911" w:type="dxa"/>
          </w:tcPr>
          <w:p w14:paraId="2028DEA6" w14:textId="77777777" w:rsidR="00C151C3" w:rsidRDefault="00C151C3" w:rsidP="00FD119B">
            <w:r>
              <w:t>Overall survival</w:t>
            </w:r>
          </w:p>
        </w:tc>
      </w:tr>
      <w:tr w:rsidR="00C151C3" w:rsidRPr="00FD119B" w14:paraId="6469C505" w14:textId="77777777" w:rsidTr="00FD119B">
        <w:tc>
          <w:tcPr>
            <w:tcW w:w="1809" w:type="dxa"/>
          </w:tcPr>
          <w:p w14:paraId="1A1839E6" w14:textId="77777777" w:rsidR="00C151C3" w:rsidRDefault="00C151C3" w:rsidP="00FD119B">
            <w:r>
              <w:t>PFS</w:t>
            </w:r>
          </w:p>
        </w:tc>
        <w:tc>
          <w:tcPr>
            <w:tcW w:w="6911" w:type="dxa"/>
          </w:tcPr>
          <w:p w14:paraId="2E71F250" w14:textId="77777777" w:rsidR="00C151C3" w:rsidRDefault="00C151C3" w:rsidP="00FD119B">
            <w:r>
              <w:t>Progression-free survival</w:t>
            </w:r>
          </w:p>
        </w:tc>
      </w:tr>
      <w:tr w:rsidR="00C151C3" w:rsidRPr="00FD119B" w14:paraId="27F24A5B" w14:textId="77777777" w:rsidTr="00FD119B">
        <w:tc>
          <w:tcPr>
            <w:tcW w:w="1809" w:type="dxa"/>
          </w:tcPr>
          <w:p w14:paraId="288F43E9" w14:textId="77777777" w:rsidR="00C151C3" w:rsidRDefault="00C151C3" w:rsidP="00FD119B">
            <w:r>
              <w:t>PI</w:t>
            </w:r>
          </w:p>
        </w:tc>
        <w:tc>
          <w:tcPr>
            <w:tcW w:w="6911" w:type="dxa"/>
          </w:tcPr>
          <w:p w14:paraId="1B2CFCFE" w14:textId="77777777" w:rsidR="00C151C3" w:rsidRDefault="00C151C3" w:rsidP="00FD119B">
            <w:r>
              <w:t>Product Information</w:t>
            </w:r>
          </w:p>
        </w:tc>
      </w:tr>
      <w:tr w:rsidR="00C151C3" w:rsidRPr="00FD119B" w14:paraId="3A003BC0" w14:textId="77777777" w:rsidTr="00FD119B">
        <w:tc>
          <w:tcPr>
            <w:tcW w:w="1809" w:type="dxa"/>
          </w:tcPr>
          <w:p w14:paraId="151B53BC" w14:textId="77777777" w:rsidR="00C151C3" w:rsidRDefault="00C151C3" w:rsidP="00FD119B">
            <w:r>
              <w:t>PK</w:t>
            </w:r>
          </w:p>
        </w:tc>
        <w:tc>
          <w:tcPr>
            <w:tcW w:w="6911" w:type="dxa"/>
          </w:tcPr>
          <w:p w14:paraId="5468227F" w14:textId="77777777" w:rsidR="00C151C3" w:rsidRDefault="00C151C3" w:rsidP="00FD119B">
            <w:r>
              <w:t>Pharmacokinetic(s)</w:t>
            </w:r>
          </w:p>
        </w:tc>
      </w:tr>
      <w:tr w:rsidR="00C151C3" w:rsidRPr="00FD119B" w14:paraId="4432C6E0" w14:textId="77777777" w:rsidTr="00FD119B">
        <w:tc>
          <w:tcPr>
            <w:tcW w:w="1809" w:type="dxa"/>
          </w:tcPr>
          <w:p w14:paraId="360117E2" w14:textId="77777777" w:rsidR="00C151C3" w:rsidRDefault="00C151C3" w:rsidP="00FD119B">
            <w:r>
              <w:t>PT</w:t>
            </w:r>
          </w:p>
        </w:tc>
        <w:tc>
          <w:tcPr>
            <w:tcW w:w="6911" w:type="dxa"/>
          </w:tcPr>
          <w:p w14:paraId="62FDF87D" w14:textId="77777777" w:rsidR="00C151C3" w:rsidRDefault="00C151C3" w:rsidP="00FD119B">
            <w:r>
              <w:t>Preferred Term</w:t>
            </w:r>
          </w:p>
        </w:tc>
      </w:tr>
      <w:tr w:rsidR="00C151C3" w:rsidRPr="00FD119B" w14:paraId="7637C345" w14:textId="77777777" w:rsidTr="00FD119B">
        <w:tc>
          <w:tcPr>
            <w:tcW w:w="1809" w:type="dxa"/>
          </w:tcPr>
          <w:p w14:paraId="6B0455B1" w14:textId="77777777" w:rsidR="00C151C3" w:rsidRDefault="00C151C3" w:rsidP="00FD119B">
            <w:r>
              <w:t>QoL</w:t>
            </w:r>
          </w:p>
        </w:tc>
        <w:tc>
          <w:tcPr>
            <w:tcW w:w="6911" w:type="dxa"/>
          </w:tcPr>
          <w:p w14:paraId="20584ABC" w14:textId="77777777" w:rsidR="00C151C3" w:rsidRDefault="00C151C3" w:rsidP="00FD119B">
            <w:r>
              <w:t>Quality of Life</w:t>
            </w:r>
          </w:p>
        </w:tc>
      </w:tr>
      <w:tr w:rsidR="00C151C3" w:rsidRPr="00FD119B" w14:paraId="74D4B843" w14:textId="77777777" w:rsidTr="00FD119B">
        <w:tc>
          <w:tcPr>
            <w:tcW w:w="1809" w:type="dxa"/>
          </w:tcPr>
          <w:p w14:paraId="544B1804" w14:textId="77777777" w:rsidR="00C151C3" w:rsidRPr="00FD119B" w:rsidRDefault="00C151C3" w:rsidP="00FD119B">
            <w:r>
              <w:t>RCC</w:t>
            </w:r>
          </w:p>
        </w:tc>
        <w:tc>
          <w:tcPr>
            <w:tcW w:w="6911" w:type="dxa"/>
          </w:tcPr>
          <w:p w14:paraId="5FE5254C" w14:textId="77777777" w:rsidR="00C151C3" w:rsidRPr="00FD119B" w:rsidRDefault="00C151C3" w:rsidP="00FD119B">
            <w:r>
              <w:t>Renal cell carcinoma</w:t>
            </w:r>
          </w:p>
        </w:tc>
      </w:tr>
      <w:tr w:rsidR="00C151C3" w:rsidRPr="00FD119B" w14:paraId="23776648" w14:textId="77777777" w:rsidTr="00FD119B">
        <w:tc>
          <w:tcPr>
            <w:tcW w:w="1809" w:type="dxa"/>
          </w:tcPr>
          <w:p w14:paraId="1FADD283" w14:textId="77777777" w:rsidR="00C151C3" w:rsidRDefault="00C151C3" w:rsidP="00FD119B">
            <w:r>
              <w:t>RECIST</w:t>
            </w:r>
          </w:p>
        </w:tc>
        <w:tc>
          <w:tcPr>
            <w:tcW w:w="6911" w:type="dxa"/>
          </w:tcPr>
          <w:p w14:paraId="6A719BEB" w14:textId="77777777" w:rsidR="00C151C3" w:rsidRDefault="00C151C3" w:rsidP="00FD119B">
            <w:r>
              <w:t>Response Evaluation Criteria in Solid Tumors</w:t>
            </w:r>
          </w:p>
        </w:tc>
      </w:tr>
      <w:tr w:rsidR="00C151C3" w:rsidRPr="00FD119B" w14:paraId="2A53AD15" w14:textId="77777777" w:rsidTr="00FD119B">
        <w:tc>
          <w:tcPr>
            <w:tcW w:w="1809" w:type="dxa"/>
          </w:tcPr>
          <w:p w14:paraId="369B9ED1" w14:textId="77777777" w:rsidR="00C151C3" w:rsidRDefault="00C151C3" w:rsidP="00FD119B">
            <w:r>
              <w:t>RMP</w:t>
            </w:r>
          </w:p>
        </w:tc>
        <w:tc>
          <w:tcPr>
            <w:tcW w:w="6911" w:type="dxa"/>
          </w:tcPr>
          <w:p w14:paraId="0B28766B" w14:textId="77777777" w:rsidR="00C151C3" w:rsidRDefault="00C151C3" w:rsidP="00FD119B">
            <w:r>
              <w:t>Risk Management Plan</w:t>
            </w:r>
          </w:p>
        </w:tc>
      </w:tr>
      <w:tr w:rsidR="00C151C3" w:rsidRPr="00FD119B" w14:paraId="16461A08" w14:textId="77777777" w:rsidTr="00FD119B">
        <w:tc>
          <w:tcPr>
            <w:tcW w:w="1809" w:type="dxa"/>
          </w:tcPr>
          <w:p w14:paraId="6723B9AC" w14:textId="77777777" w:rsidR="00C151C3" w:rsidRPr="00FD119B" w:rsidRDefault="00C151C3" w:rsidP="00FD119B">
            <w:r>
              <w:t>SEGA</w:t>
            </w:r>
          </w:p>
        </w:tc>
        <w:tc>
          <w:tcPr>
            <w:tcW w:w="6911" w:type="dxa"/>
          </w:tcPr>
          <w:p w14:paraId="6096DA6B" w14:textId="77777777" w:rsidR="00C151C3" w:rsidRPr="00655D8F" w:rsidRDefault="00C151C3" w:rsidP="00655D8F">
            <w:r w:rsidRPr="00655D8F">
              <w:t>Subependymal giant cell astrocytoma</w:t>
            </w:r>
          </w:p>
        </w:tc>
      </w:tr>
      <w:tr w:rsidR="00C151C3" w:rsidRPr="00FD119B" w14:paraId="09E6118E" w14:textId="77777777" w:rsidTr="00FD119B">
        <w:tc>
          <w:tcPr>
            <w:tcW w:w="1809" w:type="dxa"/>
          </w:tcPr>
          <w:p w14:paraId="1A61729C" w14:textId="77777777" w:rsidR="00C151C3" w:rsidRDefault="00C151C3" w:rsidP="00FD119B">
            <w:r>
              <w:t>SOC</w:t>
            </w:r>
          </w:p>
        </w:tc>
        <w:tc>
          <w:tcPr>
            <w:tcW w:w="6911" w:type="dxa"/>
          </w:tcPr>
          <w:p w14:paraId="27768C03" w14:textId="77777777" w:rsidR="00C151C3" w:rsidRDefault="00C151C3" w:rsidP="00FD119B">
            <w:r>
              <w:t>System Organ Class</w:t>
            </w:r>
          </w:p>
        </w:tc>
      </w:tr>
      <w:tr w:rsidR="00C151C3" w:rsidRPr="00FD119B" w14:paraId="36CE38FD" w14:textId="77777777" w:rsidTr="00FD119B">
        <w:tc>
          <w:tcPr>
            <w:tcW w:w="1809" w:type="dxa"/>
          </w:tcPr>
          <w:p w14:paraId="5A3C2C7B" w14:textId="77777777" w:rsidR="00C151C3" w:rsidRPr="00FD119B" w:rsidRDefault="00C151C3" w:rsidP="00FD119B">
            <w:r>
              <w:t>SSA</w:t>
            </w:r>
          </w:p>
        </w:tc>
        <w:tc>
          <w:tcPr>
            <w:tcW w:w="6911" w:type="dxa"/>
          </w:tcPr>
          <w:p w14:paraId="518357DA" w14:textId="77777777" w:rsidR="00C151C3" w:rsidRPr="00FD119B" w:rsidRDefault="00C151C3" w:rsidP="00FD119B">
            <w:r>
              <w:t>S</w:t>
            </w:r>
            <w:r w:rsidRPr="007C52CE">
              <w:t>omatostatin analogue</w:t>
            </w:r>
          </w:p>
        </w:tc>
      </w:tr>
      <w:tr w:rsidR="00C151C3" w:rsidRPr="00FD119B" w14:paraId="0EEA374D" w14:textId="77777777" w:rsidTr="00FD119B">
        <w:tc>
          <w:tcPr>
            <w:tcW w:w="1809" w:type="dxa"/>
          </w:tcPr>
          <w:p w14:paraId="206CFFE1" w14:textId="77777777" w:rsidR="00C151C3" w:rsidRPr="00FD119B" w:rsidRDefault="00C151C3" w:rsidP="00FD119B">
            <w:r>
              <w:t>TNM</w:t>
            </w:r>
          </w:p>
        </w:tc>
        <w:tc>
          <w:tcPr>
            <w:tcW w:w="6911" w:type="dxa"/>
          </w:tcPr>
          <w:p w14:paraId="10A11689" w14:textId="77777777" w:rsidR="00C151C3" w:rsidRPr="00FD119B" w:rsidRDefault="00C151C3" w:rsidP="00FD119B">
            <w:r>
              <w:t>Tumour, nodes and metastasis cancer staging system</w:t>
            </w:r>
          </w:p>
        </w:tc>
      </w:tr>
      <w:tr w:rsidR="00C151C3" w:rsidRPr="00FD119B" w14:paraId="6AA66C8E" w14:textId="77777777" w:rsidTr="00FD119B">
        <w:tc>
          <w:tcPr>
            <w:tcW w:w="1809" w:type="dxa"/>
          </w:tcPr>
          <w:p w14:paraId="4A583AEC" w14:textId="77777777" w:rsidR="00C151C3" w:rsidRPr="00FD119B" w:rsidRDefault="00C151C3" w:rsidP="00FD119B">
            <w:r>
              <w:t>TSC</w:t>
            </w:r>
          </w:p>
        </w:tc>
        <w:tc>
          <w:tcPr>
            <w:tcW w:w="6911" w:type="dxa"/>
          </w:tcPr>
          <w:p w14:paraId="35D9412F" w14:textId="77777777" w:rsidR="00C151C3" w:rsidRPr="00FD119B" w:rsidRDefault="00C151C3" w:rsidP="00FD119B">
            <w:r>
              <w:t>Tuberous sclerosis complex</w:t>
            </w:r>
          </w:p>
        </w:tc>
      </w:tr>
      <w:tr w:rsidR="00C151C3" w:rsidRPr="00FD119B" w14:paraId="501BEC27" w14:textId="77777777" w:rsidTr="00FD119B">
        <w:tc>
          <w:tcPr>
            <w:tcW w:w="1809" w:type="dxa"/>
          </w:tcPr>
          <w:p w14:paraId="71B9C092" w14:textId="77777777" w:rsidR="00C151C3" w:rsidRDefault="00C151C3" w:rsidP="00FD119B">
            <w:r>
              <w:lastRenderedPageBreak/>
              <w:t>US</w:t>
            </w:r>
          </w:p>
        </w:tc>
        <w:tc>
          <w:tcPr>
            <w:tcW w:w="6911" w:type="dxa"/>
          </w:tcPr>
          <w:p w14:paraId="7E1D964C" w14:textId="77777777" w:rsidR="00C151C3" w:rsidRDefault="00C151C3" w:rsidP="00FD119B">
            <w:r>
              <w:t>United States</w:t>
            </w:r>
          </w:p>
        </w:tc>
      </w:tr>
      <w:tr w:rsidR="00C151C3" w:rsidRPr="00FD119B" w14:paraId="42FCCA89" w14:textId="77777777" w:rsidTr="00FD119B">
        <w:tc>
          <w:tcPr>
            <w:tcW w:w="1809" w:type="dxa"/>
          </w:tcPr>
          <w:p w14:paraId="5A3F6876" w14:textId="77777777" w:rsidR="00C151C3" w:rsidRDefault="00C151C3" w:rsidP="00FD119B">
            <w:r>
              <w:t>VIPoma</w:t>
            </w:r>
          </w:p>
        </w:tc>
        <w:tc>
          <w:tcPr>
            <w:tcW w:w="6911" w:type="dxa"/>
          </w:tcPr>
          <w:p w14:paraId="4D975DF8" w14:textId="77777777" w:rsidR="00C151C3" w:rsidRDefault="00C151C3" w:rsidP="00FD119B">
            <w:r>
              <w:t>Vasoactive intestinal peptide secreting tumour</w:t>
            </w:r>
          </w:p>
        </w:tc>
      </w:tr>
      <w:tr w:rsidR="00C151C3" w:rsidRPr="00FD119B" w14:paraId="58AAEDDA" w14:textId="77777777" w:rsidTr="00FD119B">
        <w:tc>
          <w:tcPr>
            <w:tcW w:w="1809" w:type="dxa"/>
          </w:tcPr>
          <w:p w14:paraId="76F2C2A2" w14:textId="77777777" w:rsidR="00C151C3" w:rsidRDefault="00C151C3" w:rsidP="00FD119B">
            <w:r>
              <w:t>WHO</w:t>
            </w:r>
          </w:p>
        </w:tc>
        <w:tc>
          <w:tcPr>
            <w:tcW w:w="6911" w:type="dxa"/>
          </w:tcPr>
          <w:p w14:paraId="5A21AB06" w14:textId="77777777" w:rsidR="00C151C3" w:rsidRDefault="00C151C3" w:rsidP="00FD119B">
            <w:r>
              <w:t>World Health Organization</w:t>
            </w:r>
          </w:p>
        </w:tc>
      </w:tr>
      <w:tr w:rsidR="00C151C3" w:rsidRPr="00FD119B" w14:paraId="355C7E51" w14:textId="77777777" w:rsidTr="00FD119B">
        <w:tc>
          <w:tcPr>
            <w:tcW w:w="1809" w:type="dxa"/>
          </w:tcPr>
          <w:p w14:paraId="3F15F7D7" w14:textId="77777777" w:rsidR="00C151C3" w:rsidRDefault="00C151C3" w:rsidP="00FD119B">
            <w:r w:rsidRPr="00DC27E9">
              <w:t>γ-GT</w:t>
            </w:r>
          </w:p>
        </w:tc>
        <w:tc>
          <w:tcPr>
            <w:tcW w:w="6911" w:type="dxa"/>
          </w:tcPr>
          <w:p w14:paraId="48D1D81C" w14:textId="77777777" w:rsidR="00C151C3" w:rsidRPr="008258B1" w:rsidRDefault="00C151C3" w:rsidP="008258B1">
            <w:pPr>
              <w:rPr>
                <w:lang w:val="en-GB"/>
              </w:rPr>
            </w:pPr>
            <w:r w:rsidRPr="008258B1">
              <w:rPr>
                <w:lang w:val="en-GB"/>
              </w:rPr>
              <w:t>Gamma-glutamyltransferase</w:t>
            </w:r>
          </w:p>
        </w:tc>
      </w:tr>
    </w:tbl>
    <w:p w14:paraId="1A42E7AB" w14:textId="77777777" w:rsidR="00FD119B" w:rsidRPr="00FD119B" w:rsidRDefault="00FD119B" w:rsidP="00FD119B">
      <w:pPr>
        <w:spacing w:before="0" w:after="200" w:line="0" w:lineRule="auto"/>
        <w:rPr>
          <w:b/>
          <w:i/>
          <w:sz w:val="24"/>
          <w:szCs w:val="24"/>
        </w:rPr>
      </w:pPr>
      <w:r w:rsidRPr="00FD119B">
        <w:rPr>
          <w:b/>
          <w:i/>
          <w:sz w:val="24"/>
          <w:szCs w:val="24"/>
        </w:rPr>
        <w:br w:type="page"/>
      </w:r>
    </w:p>
    <w:p w14:paraId="077F4236" w14:textId="77777777" w:rsidR="008E7846" w:rsidRDefault="00F53C07" w:rsidP="008E7846">
      <w:pPr>
        <w:pStyle w:val="Heading2"/>
      </w:pPr>
      <w:bookmarkStart w:id="3" w:name="_Toc493685085"/>
      <w:r>
        <w:lastRenderedPageBreak/>
        <w:t>I.</w:t>
      </w:r>
      <w:r w:rsidR="008E7846">
        <w:t xml:space="preserve"> Introduction to product submission</w:t>
      </w:r>
      <w:bookmarkEnd w:id="3"/>
      <w:bookmarkEnd w:id="0"/>
      <w:bookmarkEnd w:id="2"/>
    </w:p>
    <w:p w14:paraId="381BC060" w14:textId="77777777" w:rsidR="008E7846" w:rsidRDefault="008E7846" w:rsidP="008E7846">
      <w:pPr>
        <w:pStyle w:val="Heading3"/>
        <w:rPr>
          <w:lang w:eastAsia="en-AU"/>
        </w:rPr>
      </w:pPr>
      <w:bookmarkStart w:id="4" w:name="_Toc247691502"/>
      <w:bookmarkStart w:id="5" w:name="_Toc314842483"/>
      <w:bookmarkStart w:id="6" w:name="_Toc493685086"/>
      <w:r>
        <w:rPr>
          <w:lang w:eastAsia="en-AU"/>
        </w:rPr>
        <w:t>Submission details</w:t>
      </w:r>
      <w:bookmarkEnd w:id="4"/>
      <w:bookmarkEnd w:id="5"/>
      <w:bookmarkEnd w:id="6"/>
    </w:p>
    <w:tbl>
      <w:tblPr>
        <w:tblW w:w="9497" w:type="dxa"/>
        <w:tblInd w:w="108" w:type="dxa"/>
        <w:tblLook w:val="01E0" w:firstRow="1" w:lastRow="1" w:firstColumn="1" w:lastColumn="1" w:noHBand="0" w:noVBand="0"/>
      </w:tblPr>
      <w:tblGrid>
        <w:gridCol w:w="2907"/>
        <w:gridCol w:w="6307"/>
        <w:gridCol w:w="283"/>
      </w:tblGrid>
      <w:tr w:rsidR="008E7846" w:rsidRPr="003D1E62" w14:paraId="63B3184B" w14:textId="77777777" w:rsidTr="00724C20">
        <w:trPr>
          <w:trHeight w:hRule="exact" w:val="454"/>
        </w:trPr>
        <w:tc>
          <w:tcPr>
            <w:tcW w:w="2907" w:type="dxa"/>
          </w:tcPr>
          <w:p w14:paraId="1BAFE38A" w14:textId="77777777" w:rsidR="008E7846" w:rsidRPr="003D1E62" w:rsidRDefault="001B5C90" w:rsidP="001B5C90">
            <w:pPr>
              <w:rPr>
                <w:i/>
              </w:rPr>
            </w:pPr>
            <w:r>
              <w:rPr>
                <w:i/>
              </w:rPr>
              <w:t>Type of s</w:t>
            </w:r>
            <w:r w:rsidR="008E7846" w:rsidRPr="003D1E62">
              <w:rPr>
                <w:i/>
              </w:rPr>
              <w:t>ubmission</w:t>
            </w:r>
            <w:r>
              <w:rPr>
                <w:i/>
              </w:rPr>
              <w:t>:</w:t>
            </w:r>
          </w:p>
        </w:tc>
        <w:tc>
          <w:tcPr>
            <w:tcW w:w="6590" w:type="dxa"/>
            <w:gridSpan w:val="2"/>
          </w:tcPr>
          <w:p w14:paraId="45B8F59B" w14:textId="0F48909B" w:rsidR="008E7846" w:rsidRPr="003D1E62" w:rsidRDefault="00700861" w:rsidP="001B5C90">
            <w:r>
              <w:t>Extension of indications</w:t>
            </w:r>
          </w:p>
        </w:tc>
      </w:tr>
      <w:tr w:rsidR="008E7846" w:rsidRPr="003D1E62" w14:paraId="72097DDB" w14:textId="77777777" w:rsidTr="00724C20">
        <w:trPr>
          <w:trHeight w:hRule="exact" w:val="454"/>
        </w:trPr>
        <w:tc>
          <w:tcPr>
            <w:tcW w:w="2907" w:type="dxa"/>
          </w:tcPr>
          <w:p w14:paraId="68B7DF0B" w14:textId="77777777" w:rsidR="008E7846" w:rsidRPr="003D1E62" w:rsidRDefault="008E7846" w:rsidP="003D1E62">
            <w:r w:rsidRPr="003D1E62">
              <w:rPr>
                <w:i/>
              </w:rPr>
              <w:t>Decision</w:t>
            </w:r>
            <w:r w:rsidRPr="003D1E62">
              <w:t>:</w:t>
            </w:r>
          </w:p>
        </w:tc>
        <w:tc>
          <w:tcPr>
            <w:tcW w:w="6590" w:type="dxa"/>
            <w:gridSpan w:val="2"/>
          </w:tcPr>
          <w:p w14:paraId="70F4951D" w14:textId="4CC662AB" w:rsidR="008E7846" w:rsidRPr="003D1E62" w:rsidRDefault="00700861" w:rsidP="00700861">
            <w:r>
              <w:t>Approved</w:t>
            </w:r>
          </w:p>
        </w:tc>
      </w:tr>
      <w:tr w:rsidR="008E7846" w:rsidRPr="003D1E62" w14:paraId="3C34332C" w14:textId="77777777" w:rsidTr="00724C20">
        <w:trPr>
          <w:trHeight w:hRule="exact" w:val="454"/>
        </w:trPr>
        <w:tc>
          <w:tcPr>
            <w:tcW w:w="2907" w:type="dxa"/>
          </w:tcPr>
          <w:p w14:paraId="712E325E"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590" w:type="dxa"/>
            <w:gridSpan w:val="2"/>
          </w:tcPr>
          <w:p w14:paraId="144F2B13" w14:textId="584063E5" w:rsidR="008E7846" w:rsidRPr="003D1E62" w:rsidRDefault="00700861" w:rsidP="001B5C90">
            <w:r>
              <w:t>13 January 2017</w:t>
            </w:r>
          </w:p>
        </w:tc>
      </w:tr>
      <w:tr w:rsidR="00ED2922" w:rsidRPr="003D1E62" w14:paraId="69097195" w14:textId="77777777" w:rsidTr="00724C20">
        <w:trPr>
          <w:trHeight w:hRule="exact" w:val="454"/>
        </w:trPr>
        <w:tc>
          <w:tcPr>
            <w:tcW w:w="2907" w:type="dxa"/>
          </w:tcPr>
          <w:p w14:paraId="399BEC76" w14:textId="77777777" w:rsidR="00ED2922" w:rsidRPr="00441C3F" w:rsidRDefault="00ED2922" w:rsidP="001B5C90">
            <w:pPr>
              <w:rPr>
                <w:i/>
              </w:rPr>
            </w:pPr>
            <w:r w:rsidRPr="00441C3F">
              <w:rPr>
                <w:i/>
              </w:rPr>
              <w:t>Date of entry onto ARTG</w:t>
            </w:r>
          </w:p>
        </w:tc>
        <w:tc>
          <w:tcPr>
            <w:tcW w:w="6590" w:type="dxa"/>
            <w:gridSpan w:val="2"/>
          </w:tcPr>
          <w:p w14:paraId="2DCB3DAA" w14:textId="450E4636" w:rsidR="00ED2922" w:rsidRPr="00441C3F" w:rsidRDefault="00AB08BB" w:rsidP="00EC463D">
            <w:pPr>
              <w:rPr>
                <w:i/>
              </w:rPr>
            </w:pPr>
            <w:r>
              <w:t>20 January 2017</w:t>
            </w:r>
          </w:p>
        </w:tc>
      </w:tr>
      <w:tr w:rsidR="008E7846" w:rsidRPr="00487162" w14:paraId="1B78EB71" w14:textId="77777777" w:rsidTr="00724C20">
        <w:trPr>
          <w:gridAfter w:val="1"/>
          <w:wAfter w:w="283" w:type="dxa"/>
        </w:trPr>
        <w:tc>
          <w:tcPr>
            <w:tcW w:w="2907" w:type="dxa"/>
          </w:tcPr>
          <w:p w14:paraId="6FFC8813" w14:textId="304DAF81" w:rsidR="008E7846" w:rsidRPr="00487162" w:rsidRDefault="00700861" w:rsidP="00E45619">
            <w:pPr>
              <w:rPr>
                <w:i/>
              </w:rPr>
            </w:pPr>
            <w:r>
              <w:rPr>
                <w:i/>
              </w:rPr>
              <w:t>Active ingredient</w:t>
            </w:r>
            <w:r w:rsidR="001B5C90">
              <w:rPr>
                <w:i/>
              </w:rPr>
              <w:t>:</w:t>
            </w:r>
          </w:p>
        </w:tc>
        <w:tc>
          <w:tcPr>
            <w:tcW w:w="6307" w:type="dxa"/>
          </w:tcPr>
          <w:p w14:paraId="45FD24C8" w14:textId="4231785B" w:rsidR="008E7846" w:rsidRPr="00487162" w:rsidRDefault="00700861" w:rsidP="00E45619">
            <w:r>
              <w:t>Everolimus</w:t>
            </w:r>
          </w:p>
        </w:tc>
      </w:tr>
      <w:tr w:rsidR="008E7846" w:rsidRPr="00487162" w14:paraId="1BF6A177" w14:textId="77777777" w:rsidTr="00724C20">
        <w:trPr>
          <w:gridAfter w:val="1"/>
          <w:wAfter w:w="283" w:type="dxa"/>
        </w:trPr>
        <w:tc>
          <w:tcPr>
            <w:tcW w:w="2907" w:type="dxa"/>
          </w:tcPr>
          <w:p w14:paraId="08ED1F47" w14:textId="68665012" w:rsidR="008E7846" w:rsidRPr="00487162" w:rsidRDefault="008E7846" w:rsidP="001B5C90">
            <w:pPr>
              <w:rPr>
                <w:i/>
              </w:rPr>
            </w:pPr>
            <w:r w:rsidRPr="00487162">
              <w:rPr>
                <w:i/>
              </w:rPr>
              <w:t>Product</w:t>
            </w:r>
            <w:r w:rsidR="00700861">
              <w:rPr>
                <w:i/>
              </w:rPr>
              <w:t xml:space="preserve"> name</w:t>
            </w:r>
            <w:r w:rsidR="001B5C90">
              <w:rPr>
                <w:i/>
              </w:rPr>
              <w:t>:</w:t>
            </w:r>
          </w:p>
        </w:tc>
        <w:tc>
          <w:tcPr>
            <w:tcW w:w="6307" w:type="dxa"/>
          </w:tcPr>
          <w:p w14:paraId="0BD59660" w14:textId="7A797610" w:rsidR="008E7846" w:rsidRPr="00487162" w:rsidRDefault="00700861" w:rsidP="00E45619">
            <w:r>
              <w:t>Afinitor</w:t>
            </w:r>
          </w:p>
        </w:tc>
      </w:tr>
      <w:tr w:rsidR="008E7846" w:rsidRPr="00487162" w14:paraId="453D44D8" w14:textId="77777777" w:rsidTr="00724C20">
        <w:trPr>
          <w:gridAfter w:val="1"/>
          <w:wAfter w:w="283" w:type="dxa"/>
        </w:trPr>
        <w:tc>
          <w:tcPr>
            <w:tcW w:w="2907" w:type="dxa"/>
          </w:tcPr>
          <w:p w14:paraId="5F9D1BBC"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307" w:type="dxa"/>
          </w:tcPr>
          <w:p w14:paraId="293DDC68" w14:textId="7AC41A5D" w:rsidR="008E7846" w:rsidRPr="00700861" w:rsidRDefault="00700861" w:rsidP="00E45619">
            <w:pPr>
              <w:rPr>
                <w:lang w:val="en-GB"/>
              </w:rPr>
            </w:pPr>
            <w:r>
              <w:rPr>
                <w:lang w:val="en-GB"/>
              </w:rPr>
              <w:t>Novartis Pharmaceuticals Australia Pty Ltd</w:t>
            </w:r>
            <w:r w:rsidR="004D6FA4">
              <w:rPr>
                <w:lang w:val="en-GB"/>
              </w:rPr>
              <w:br/>
            </w:r>
            <w:r>
              <w:rPr>
                <w:lang w:val="en-GB"/>
              </w:rPr>
              <w:t>54 Waterloo Road</w:t>
            </w:r>
            <w:r w:rsidR="004D6FA4">
              <w:rPr>
                <w:lang w:val="en-GB"/>
              </w:rPr>
              <w:br/>
            </w:r>
            <w:r>
              <w:rPr>
                <w:lang w:val="en-GB"/>
              </w:rPr>
              <w:t>North Ryde</w:t>
            </w:r>
            <w:r w:rsidRPr="00700861">
              <w:rPr>
                <w:lang w:val="en-GB"/>
              </w:rPr>
              <w:t xml:space="preserve"> NSW </w:t>
            </w:r>
            <w:r>
              <w:rPr>
                <w:lang w:val="en-GB"/>
              </w:rPr>
              <w:t>2113</w:t>
            </w:r>
          </w:p>
        </w:tc>
      </w:tr>
      <w:tr w:rsidR="008E7846" w:rsidRPr="00487162" w14:paraId="2D620011" w14:textId="77777777" w:rsidTr="00724C20">
        <w:trPr>
          <w:gridAfter w:val="1"/>
          <w:wAfter w:w="283" w:type="dxa"/>
        </w:trPr>
        <w:tc>
          <w:tcPr>
            <w:tcW w:w="2907" w:type="dxa"/>
          </w:tcPr>
          <w:p w14:paraId="5A86DBBF" w14:textId="1427111B" w:rsidR="008E7846" w:rsidRPr="00487162" w:rsidRDefault="00AB08BB" w:rsidP="00E45619">
            <w:pPr>
              <w:rPr>
                <w:i/>
              </w:rPr>
            </w:pPr>
            <w:r>
              <w:rPr>
                <w:i/>
              </w:rPr>
              <w:t>Dose forms</w:t>
            </w:r>
            <w:r w:rsidR="001B5C90">
              <w:rPr>
                <w:i/>
              </w:rPr>
              <w:t>:</w:t>
            </w:r>
          </w:p>
        </w:tc>
        <w:tc>
          <w:tcPr>
            <w:tcW w:w="6307" w:type="dxa"/>
          </w:tcPr>
          <w:p w14:paraId="02A920F5" w14:textId="118C47C7" w:rsidR="008E7846" w:rsidRPr="00487162" w:rsidRDefault="002E34A1" w:rsidP="00E45619">
            <w:r>
              <w:t>Uncoated tablet</w:t>
            </w:r>
            <w:r w:rsidR="00AB08BB">
              <w:t>, and dispersible tablet</w:t>
            </w:r>
          </w:p>
        </w:tc>
      </w:tr>
      <w:tr w:rsidR="008E7846" w:rsidRPr="00487162" w14:paraId="71AB741D" w14:textId="77777777" w:rsidTr="00724C20">
        <w:trPr>
          <w:gridAfter w:val="1"/>
          <w:wAfter w:w="283" w:type="dxa"/>
        </w:trPr>
        <w:tc>
          <w:tcPr>
            <w:tcW w:w="2907" w:type="dxa"/>
          </w:tcPr>
          <w:p w14:paraId="23A95456" w14:textId="6F3F9A52" w:rsidR="008E7846" w:rsidRPr="00487162" w:rsidRDefault="008E7846" w:rsidP="00AB08BB">
            <w:pPr>
              <w:rPr>
                <w:i/>
              </w:rPr>
            </w:pPr>
            <w:r w:rsidRPr="00487162">
              <w:rPr>
                <w:i/>
              </w:rPr>
              <w:t>Strength</w:t>
            </w:r>
            <w:r w:rsidR="00AB08BB">
              <w:rPr>
                <w:i/>
              </w:rPr>
              <w:t>s</w:t>
            </w:r>
            <w:r w:rsidRPr="00487162">
              <w:rPr>
                <w:i/>
              </w:rPr>
              <w:t xml:space="preserve">: </w:t>
            </w:r>
          </w:p>
        </w:tc>
        <w:tc>
          <w:tcPr>
            <w:tcW w:w="6307" w:type="dxa"/>
          </w:tcPr>
          <w:p w14:paraId="6AF0A648" w14:textId="58690165" w:rsidR="008E7846" w:rsidRDefault="007032D6" w:rsidP="00E45619">
            <w:r>
              <w:t>Uncoated tablet: 2.5 mg, 5 mg, and 10 mg</w:t>
            </w:r>
          </w:p>
          <w:p w14:paraId="32152EA6" w14:textId="4BAC8817" w:rsidR="007032D6" w:rsidRPr="00487162" w:rsidRDefault="007032D6" w:rsidP="000F37D2">
            <w:r>
              <w:t>Dispersible table</w:t>
            </w:r>
            <w:r w:rsidR="00AB08BB">
              <w:t>t</w:t>
            </w:r>
            <w:r>
              <w:t>: 2 mg, 3 mg, and 5 mg</w:t>
            </w:r>
          </w:p>
        </w:tc>
      </w:tr>
      <w:tr w:rsidR="008E7846" w:rsidRPr="00487162" w14:paraId="5771CEF0" w14:textId="77777777" w:rsidTr="00724C20">
        <w:trPr>
          <w:gridAfter w:val="1"/>
          <w:wAfter w:w="283" w:type="dxa"/>
        </w:trPr>
        <w:tc>
          <w:tcPr>
            <w:tcW w:w="2907" w:type="dxa"/>
          </w:tcPr>
          <w:p w14:paraId="59926642" w14:textId="2D280999" w:rsidR="008E7846" w:rsidRPr="00487162" w:rsidRDefault="008E7846" w:rsidP="00E45619">
            <w:pPr>
              <w:rPr>
                <w:i/>
              </w:rPr>
            </w:pPr>
            <w:r w:rsidRPr="00487162">
              <w:rPr>
                <w:i/>
              </w:rPr>
              <w:t>Container(s):</w:t>
            </w:r>
          </w:p>
        </w:tc>
        <w:tc>
          <w:tcPr>
            <w:tcW w:w="6307" w:type="dxa"/>
          </w:tcPr>
          <w:p w14:paraId="6069D734" w14:textId="1EF3FF0D" w:rsidR="008E7846" w:rsidRPr="00487162" w:rsidRDefault="00AB08BB" w:rsidP="00E45619">
            <w:r>
              <w:t>Blister pack</w:t>
            </w:r>
          </w:p>
        </w:tc>
      </w:tr>
      <w:tr w:rsidR="008E7846" w:rsidRPr="00487162" w14:paraId="51D4AB6A" w14:textId="77777777" w:rsidTr="00724C20">
        <w:trPr>
          <w:gridAfter w:val="1"/>
          <w:wAfter w:w="283" w:type="dxa"/>
        </w:trPr>
        <w:tc>
          <w:tcPr>
            <w:tcW w:w="2907" w:type="dxa"/>
          </w:tcPr>
          <w:p w14:paraId="441CC05A" w14:textId="77777777" w:rsidR="008E7846" w:rsidRPr="00487162" w:rsidRDefault="008E7846" w:rsidP="00E45619">
            <w:pPr>
              <w:rPr>
                <w:i/>
              </w:rPr>
            </w:pPr>
            <w:r w:rsidRPr="00487162">
              <w:rPr>
                <w:i/>
              </w:rPr>
              <w:t>Pack size(s):</w:t>
            </w:r>
          </w:p>
        </w:tc>
        <w:tc>
          <w:tcPr>
            <w:tcW w:w="6307" w:type="dxa"/>
          </w:tcPr>
          <w:p w14:paraId="65A2CD3E" w14:textId="77777777" w:rsidR="008E7846" w:rsidRDefault="007032D6" w:rsidP="00E45619">
            <w:pPr>
              <w:rPr>
                <w:lang w:val="en-GB"/>
              </w:rPr>
            </w:pPr>
            <w:r>
              <w:rPr>
                <w:lang w:val="en-GB"/>
              </w:rPr>
              <w:t xml:space="preserve">Uncoated tablet: </w:t>
            </w:r>
            <w:r w:rsidR="008C3B1F">
              <w:rPr>
                <w:lang w:val="en-GB"/>
              </w:rPr>
              <w:t>Packs</w:t>
            </w:r>
            <w:r w:rsidRPr="007032D6">
              <w:rPr>
                <w:lang w:val="en-GB"/>
              </w:rPr>
              <w:t xml:space="preserve"> of 3</w:t>
            </w:r>
            <w:r>
              <w:rPr>
                <w:lang w:val="en-GB"/>
              </w:rPr>
              <w:t>0, 50, 60, 100, and 120 tablets</w:t>
            </w:r>
          </w:p>
          <w:p w14:paraId="1E0C1D81" w14:textId="10B53C35" w:rsidR="008C3B1F" w:rsidRPr="007032D6" w:rsidRDefault="008C3B1F" w:rsidP="00E45619">
            <w:pPr>
              <w:rPr>
                <w:lang w:val="en-GB"/>
              </w:rPr>
            </w:pPr>
            <w:r>
              <w:rPr>
                <w:lang w:val="en-GB"/>
              </w:rPr>
              <w:t>Dispersible tablet: Packs</w:t>
            </w:r>
            <w:r w:rsidRPr="007032D6">
              <w:rPr>
                <w:lang w:val="en-GB"/>
              </w:rPr>
              <w:t xml:space="preserve"> of 3</w:t>
            </w:r>
            <w:r>
              <w:rPr>
                <w:lang w:val="en-GB"/>
              </w:rPr>
              <w:t>0, 50, 60, 100, and 120 tablets</w:t>
            </w:r>
          </w:p>
        </w:tc>
      </w:tr>
      <w:tr w:rsidR="008E7846" w:rsidRPr="00487162" w14:paraId="5B5210DC" w14:textId="77777777" w:rsidTr="00724C20">
        <w:trPr>
          <w:gridAfter w:val="1"/>
          <w:wAfter w:w="283" w:type="dxa"/>
        </w:trPr>
        <w:tc>
          <w:tcPr>
            <w:tcW w:w="2907" w:type="dxa"/>
          </w:tcPr>
          <w:p w14:paraId="66C0DB45"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307" w:type="dxa"/>
          </w:tcPr>
          <w:p w14:paraId="0FA8D723" w14:textId="0DD92553" w:rsidR="008E7846" w:rsidRPr="00071092" w:rsidRDefault="00071092" w:rsidP="00071092">
            <w:pPr>
              <w:rPr>
                <w:i/>
                <w:lang w:val="en-GB"/>
              </w:rPr>
            </w:pPr>
            <w:r w:rsidRPr="00071092">
              <w:rPr>
                <w:bCs/>
                <w:i/>
                <w:iCs/>
                <w:lang w:val="en-GB"/>
              </w:rPr>
              <w:t>Afinitor is indicated for the treatment of progressive, unresectable or metastatic, well-differentiated, non-functional neuroendocrine tumours (NET) of gastrointestinal or lung origin in adults</w:t>
            </w:r>
            <w:r>
              <w:rPr>
                <w:bCs/>
                <w:i/>
                <w:iCs/>
                <w:lang w:val="en-GB"/>
              </w:rPr>
              <w:t>.</w:t>
            </w:r>
          </w:p>
        </w:tc>
      </w:tr>
      <w:tr w:rsidR="008E7846" w:rsidRPr="00487162" w14:paraId="06141FA5" w14:textId="77777777" w:rsidTr="00724C20">
        <w:trPr>
          <w:gridAfter w:val="1"/>
          <w:wAfter w:w="283" w:type="dxa"/>
        </w:trPr>
        <w:tc>
          <w:tcPr>
            <w:tcW w:w="2907" w:type="dxa"/>
          </w:tcPr>
          <w:p w14:paraId="765DBC22" w14:textId="77777777" w:rsidR="008E7846" w:rsidRPr="00487162" w:rsidRDefault="008E7846" w:rsidP="00E45619">
            <w:pPr>
              <w:rPr>
                <w:i/>
              </w:rPr>
            </w:pPr>
            <w:r w:rsidRPr="00487162">
              <w:rPr>
                <w:i/>
              </w:rPr>
              <w:t>Route(s) of administration:</w:t>
            </w:r>
          </w:p>
        </w:tc>
        <w:tc>
          <w:tcPr>
            <w:tcW w:w="6307" w:type="dxa"/>
          </w:tcPr>
          <w:p w14:paraId="050759FE" w14:textId="2A738A52" w:rsidR="008E7846" w:rsidRPr="00487162" w:rsidRDefault="002E34A1" w:rsidP="00E45619">
            <w:r>
              <w:t>Oral</w:t>
            </w:r>
          </w:p>
        </w:tc>
      </w:tr>
      <w:tr w:rsidR="008E7846" w:rsidRPr="00487162" w14:paraId="3D948A01" w14:textId="77777777" w:rsidTr="00724C20">
        <w:trPr>
          <w:gridAfter w:val="1"/>
          <w:wAfter w:w="283" w:type="dxa"/>
        </w:trPr>
        <w:tc>
          <w:tcPr>
            <w:tcW w:w="2907" w:type="dxa"/>
          </w:tcPr>
          <w:p w14:paraId="4D0EC386" w14:textId="77777777" w:rsidR="008E7846" w:rsidRPr="00487162" w:rsidRDefault="008E7846" w:rsidP="00E45619">
            <w:pPr>
              <w:rPr>
                <w:i/>
              </w:rPr>
            </w:pPr>
            <w:r w:rsidRPr="00487162">
              <w:rPr>
                <w:i/>
              </w:rPr>
              <w:t>Dosage:</w:t>
            </w:r>
          </w:p>
        </w:tc>
        <w:tc>
          <w:tcPr>
            <w:tcW w:w="6307" w:type="dxa"/>
          </w:tcPr>
          <w:p w14:paraId="5031A94C" w14:textId="77777777" w:rsidR="008E7846" w:rsidRDefault="004D2A1D" w:rsidP="004D2A1D">
            <w:pPr>
              <w:rPr>
                <w:i/>
                <w:lang w:val="en-GB"/>
              </w:rPr>
            </w:pPr>
            <w:r w:rsidRPr="001435B7">
              <w:rPr>
                <w:i/>
                <w:lang w:val="en-GB"/>
              </w:rPr>
              <w:t>The recommended dose of Afinitor is 10 mg to be taken once daily.</w:t>
            </w:r>
          </w:p>
          <w:p w14:paraId="4A6FC991" w14:textId="229E094A" w:rsidR="000202D2" w:rsidRPr="000202D2" w:rsidRDefault="000202D2" w:rsidP="004D2A1D">
            <w:pPr>
              <w:rPr>
                <w:lang w:val="en-GB"/>
              </w:rPr>
            </w:pPr>
            <w:r>
              <w:rPr>
                <w:lang w:val="en-GB"/>
              </w:rPr>
              <w:t>See the ‘Dosage and Administration’ in the Product Information (PI) available as Attachment 1, for further information.</w:t>
            </w:r>
          </w:p>
        </w:tc>
      </w:tr>
      <w:tr w:rsidR="008E7846" w:rsidRPr="00487162" w14:paraId="2F1A8135" w14:textId="77777777" w:rsidTr="00724C20">
        <w:trPr>
          <w:gridAfter w:val="1"/>
          <w:wAfter w:w="283" w:type="dxa"/>
        </w:trPr>
        <w:tc>
          <w:tcPr>
            <w:tcW w:w="2907" w:type="dxa"/>
          </w:tcPr>
          <w:p w14:paraId="067F2966" w14:textId="35D6CCA0" w:rsidR="008E7846" w:rsidRPr="00487162" w:rsidRDefault="008E7846" w:rsidP="001B5C90">
            <w:pPr>
              <w:rPr>
                <w:i/>
              </w:rPr>
            </w:pPr>
            <w:r w:rsidRPr="00487162">
              <w:rPr>
                <w:i/>
              </w:rPr>
              <w:t xml:space="preserve">ARTG </w:t>
            </w:r>
            <w:r w:rsidR="001B5C90">
              <w:rPr>
                <w:i/>
              </w:rPr>
              <w:t>n</w:t>
            </w:r>
            <w:r w:rsidR="002E34A1">
              <w:rPr>
                <w:i/>
              </w:rPr>
              <w:t>umbers</w:t>
            </w:r>
            <w:r w:rsidR="001B5C90">
              <w:rPr>
                <w:i/>
              </w:rPr>
              <w:t>:</w:t>
            </w:r>
          </w:p>
        </w:tc>
        <w:tc>
          <w:tcPr>
            <w:tcW w:w="6307" w:type="dxa"/>
          </w:tcPr>
          <w:p w14:paraId="5763EA25" w14:textId="67783A29" w:rsidR="008E7846" w:rsidRPr="002E34A1" w:rsidRDefault="002E34A1" w:rsidP="002D0D3F">
            <w:pPr>
              <w:rPr>
                <w:lang w:val="en-GB"/>
              </w:rPr>
            </w:pPr>
            <w:r w:rsidRPr="002E34A1">
              <w:rPr>
                <w:lang w:val="en-GB"/>
              </w:rPr>
              <w:t>177648, 154661, 174</w:t>
            </w:r>
            <w:r>
              <w:rPr>
                <w:lang w:val="en-GB"/>
              </w:rPr>
              <w:t>663, 200203, 200204 and 200205</w:t>
            </w:r>
          </w:p>
        </w:tc>
      </w:tr>
    </w:tbl>
    <w:p w14:paraId="26DB9A15" w14:textId="77777777" w:rsidR="008E7846" w:rsidRDefault="008E7846" w:rsidP="008E7846">
      <w:pPr>
        <w:pStyle w:val="Heading3"/>
      </w:pPr>
      <w:bookmarkStart w:id="7" w:name="_Toc247691503"/>
      <w:bookmarkStart w:id="8" w:name="_Toc314842484"/>
      <w:bookmarkStart w:id="9" w:name="_Toc493685087"/>
      <w:r>
        <w:t>Product background</w:t>
      </w:r>
      <w:bookmarkEnd w:id="7"/>
      <w:bookmarkEnd w:id="8"/>
      <w:bookmarkEnd w:id="9"/>
    </w:p>
    <w:p w14:paraId="51B2EA93" w14:textId="3A29A788" w:rsidR="008E7846" w:rsidRDefault="00940A89" w:rsidP="00940A89">
      <w:r w:rsidRPr="00940A89">
        <w:t xml:space="preserve">This AusPAR describes the application by the sponsor to </w:t>
      </w:r>
      <w:r w:rsidR="002D0D3F">
        <w:t xml:space="preserve">extend the indications for </w:t>
      </w:r>
      <w:r w:rsidR="00806B68">
        <w:t xml:space="preserve">Afinitor </w:t>
      </w:r>
      <w:r w:rsidR="002D0D3F">
        <w:t>(</w:t>
      </w:r>
      <w:r w:rsidR="00806B68">
        <w:t>everolimus</w:t>
      </w:r>
      <w:r w:rsidR="002D0D3F">
        <w:t>)</w:t>
      </w:r>
      <w:r w:rsidR="00806B68">
        <w:t xml:space="preserve"> in the dose forms and strengths listed above</w:t>
      </w:r>
      <w:r w:rsidRPr="00940A89">
        <w:t xml:space="preserve"> f</w:t>
      </w:r>
      <w:r w:rsidR="00806B68">
        <w:t>or the following indication:</w:t>
      </w:r>
    </w:p>
    <w:p w14:paraId="1AB0755B" w14:textId="2D34B65D" w:rsidR="00806B68" w:rsidRDefault="00806B68" w:rsidP="00806B68">
      <w:pPr>
        <w:ind w:left="720"/>
        <w:rPr>
          <w:i/>
        </w:rPr>
      </w:pPr>
      <w:r w:rsidRPr="00806B68">
        <w:rPr>
          <w:b/>
          <w:i/>
        </w:rPr>
        <w:t>‘</w:t>
      </w:r>
      <w:r w:rsidRPr="00806B68">
        <w:rPr>
          <w:i/>
        </w:rPr>
        <w:t>Afinitor is indicated for the treatment of progressive, unresectable or metastatic, well-differentiated, non-functional neuroendocrine tumours (NET) of gastrointestinal or lung origin</w:t>
      </w:r>
      <w:r>
        <w:rPr>
          <w:i/>
        </w:rPr>
        <w:t>.’</w:t>
      </w:r>
    </w:p>
    <w:p w14:paraId="0520F057" w14:textId="534FC09A" w:rsidR="00396398" w:rsidRDefault="00396398" w:rsidP="00396398">
      <w:r>
        <w:lastRenderedPageBreak/>
        <w:t xml:space="preserve">This AusPAR also </w:t>
      </w:r>
      <w:r w:rsidR="000202D2">
        <w:t xml:space="preserve">briefly </w:t>
      </w:r>
      <w:r>
        <w:t xml:space="preserve">describes the sponsor’s </w:t>
      </w:r>
      <w:r w:rsidRPr="00396398">
        <w:t>update t</w:t>
      </w:r>
      <w:r>
        <w:t>o</w:t>
      </w:r>
      <w:r w:rsidR="000202D2">
        <w:t xml:space="preserve"> the</w:t>
      </w:r>
      <w:r>
        <w:t xml:space="preserve"> </w:t>
      </w:r>
      <w:r w:rsidRPr="000202D2">
        <w:t>Clinical Trials</w:t>
      </w:r>
      <w:r>
        <w:t xml:space="preserve"> sect</w:t>
      </w:r>
      <w:r w:rsidR="007C52CE">
        <w:t xml:space="preserve">ion of </w:t>
      </w:r>
      <w:r w:rsidR="000202D2">
        <w:t xml:space="preserve">the </w:t>
      </w:r>
      <w:r w:rsidR="007C52CE">
        <w:t xml:space="preserve">Product Information (PI) following submission of updated long-term clinical trial data for </w:t>
      </w:r>
      <w:r w:rsidR="00223441">
        <w:t>some</w:t>
      </w:r>
      <w:r w:rsidR="000202D2">
        <w:t xml:space="preserve"> </w:t>
      </w:r>
      <w:r w:rsidR="007C52CE">
        <w:t xml:space="preserve">indications previously approved by the TGA. These </w:t>
      </w:r>
      <w:r w:rsidR="000202D2">
        <w:t xml:space="preserve">indications </w:t>
      </w:r>
      <w:r w:rsidR="007C52CE">
        <w:t>are as follows:</w:t>
      </w:r>
    </w:p>
    <w:p w14:paraId="0A8FC415" w14:textId="30502807" w:rsidR="007C52CE" w:rsidRPr="007C52CE" w:rsidRDefault="007C52CE" w:rsidP="007C52CE">
      <w:pPr>
        <w:ind w:left="720"/>
        <w:rPr>
          <w:i/>
          <w:lang w:val="en-GB"/>
        </w:rPr>
      </w:pPr>
      <w:r>
        <w:rPr>
          <w:i/>
          <w:lang w:val="en-GB"/>
        </w:rPr>
        <w:t>‘</w:t>
      </w:r>
      <w:r w:rsidRPr="007C52CE">
        <w:rPr>
          <w:i/>
          <w:lang w:val="en-GB"/>
        </w:rPr>
        <w:t>Afinitor is indicated for the treatment of:</w:t>
      </w:r>
    </w:p>
    <w:p w14:paraId="15E13CFD" w14:textId="77777777" w:rsidR="007C52CE" w:rsidRPr="007C52CE" w:rsidRDefault="007C52CE" w:rsidP="007C52CE">
      <w:pPr>
        <w:ind w:left="720"/>
        <w:rPr>
          <w:i/>
          <w:lang w:val="en-GB"/>
        </w:rPr>
      </w:pPr>
      <w:r w:rsidRPr="007C52CE">
        <w:rPr>
          <w:i/>
          <w:lang w:val="en-GB"/>
        </w:rPr>
        <w:t>Subependymal giant cell astrocytoma (SEGA) associated with tuberous sclerosis complex (TSC) who require therapeutic intervention but are not candidates for curative surgical resection.</w:t>
      </w:r>
    </w:p>
    <w:p w14:paraId="232983D3" w14:textId="5DE4E35E" w:rsidR="007C52CE" w:rsidRDefault="007C52CE" w:rsidP="007C52CE">
      <w:pPr>
        <w:ind w:left="720"/>
        <w:rPr>
          <w:i/>
          <w:lang w:val="en-GB"/>
        </w:rPr>
      </w:pPr>
      <w:r w:rsidRPr="007C52CE">
        <w:rPr>
          <w:i/>
          <w:lang w:val="en-GB"/>
        </w:rPr>
        <w:t xml:space="preserve">Patients with tuberous sclerosis complex (TSC) who have renal angiomyolipoma </w:t>
      </w:r>
      <w:r>
        <w:rPr>
          <w:i/>
          <w:lang w:val="en-GB"/>
        </w:rPr>
        <w:t>not requiring immediate surgery.’</w:t>
      </w:r>
    </w:p>
    <w:p w14:paraId="4BBED696" w14:textId="68B05325" w:rsidR="007C52CE" w:rsidRPr="007C52CE" w:rsidRDefault="007C52CE" w:rsidP="007C52CE">
      <w:pPr>
        <w:pStyle w:val="Heading4"/>
      </w:pPr>
      <w:r w:rsidRPr="007C52CE">
        <w:t>Neuroendocrine tumours</w:t>
      </w:r>
      <w:r w:rsidR="002D0D3F">
        <w:t xml:space="preserve"> (NETs)</w:t>
      </w:r>
    </w:p>
    <w:p w14:paraId="3DF8A481" w14:textId="4A25BEFC" w:rsidR="007C52CE" w:rsidRPr="007C52CE" w:rsidRDefault="007C52CE" w:rsidP="007C52CE">
      <w:r w:rsidRPr="007C52CE">
        <w:t>NETs are</w:t>
      </w:r>
      <w:r w:rsidR="00655D8F">
        <w:t xml:space="preserve"> neoplasms derived from peptide producing</w:t>
      </w:r>
      <w:r w:rsidRPr="007C52CE">
        <w:t xml:space="preserve"> an</w:t>
      </w:r>
      <w:r w:rsidR="00655D8F">
        <w:t xml:space="preserve">d amine </w:t>
      </w:r>
      <w:r w:rsidRPr="007C52CE">
        <w:t>producing cells of the neuroendocrine system with histological markers</w:t>
      </w:r>
      <w:r w:rsidR="00655D8F">
        <w:t xml:space="preserve"> such as chromogranin A (CgA). </w:t>
      </w:r>
      <w:r w:rsidRPr="007C52CE">
        <w:t>NETs can arise in most organs but overall are rare malignancies, with an estimated annual incidence of approximately 5 cases per 100,000 of population. NETs usually occur sporadically but may be a feature of various inherited genetic syndromes such as multiple endocrine neoplasia types 1 and 2 (MEN1 and MEN2), von Hippel-Lindau disease, tuberous sclerosis complex and neurofibromatosis.</w:t>
      </w:r>
    </w:p>
    <w:p w14:paraId="53ED6E8F" w14:textId="59BE6BB1" w:rsidR="007C52CE" w:rsidRPr="007C52CE" w:rsidRDefault="007C52CE" w:rsidP="007C52CE">
      <w:r w:rsidRPr="007C52CE">
        <w:t xml:space="preserve">NET classification is complex, including classification based on anatomical site of origin, ‘carcinoid’ or ‘non-carcinoid/pancreatic’, well or poorly differentiated and functionality. Features such as the proliferative rate of the tumour and extent of local spread are shared by most classification systems. More than 50% of </w:t>
      </w:r>
      <w:r w:rsidR="002D0D3F">
        <w:t>gastrointestinal (</w:t>
      </w:r>
      <w:r w:rsidRPr="007C52CE">
        <w:t>GI</w:t>
      </w:r>
      <w:r w:rsidR="002D0D3F">
        <w:t>)</w:t>
      </w:r>
      <w:r w:rsidRPr="007C52CE">
        <w:t xml:space="preserve"> NETs and 90% of lung NETs are non-functional (that is, not producing hormones).</w:t>
      </w:r>
    </w:p>
    <w:p w14:paraId="56B7492D" w14:textId="77777777" w:rsidR="007C52CE" w:rsidRPr="007C52CE" w:rsidRDefault="007C52CE" w:rsidP="00917DAC">
      <w:pPr>
        <w:pStyle w:val="Heading5"/>
      </w:pPr>
      <w:r w:rsidRPr="007C52CE">
        <w:t>Staging and natural history</w:t>
      </w:r>
    </w:p>
    <w:p w14:paraId="507F2C65" w14:textId="1ED37AF7" w:rsidR="007C52CE" w:rsidRPr="007C52CE" w:rsidRDefault="007C52CE" w:rsidP="007C52CE">
      <w:r w:rsidRPr="007C52CE">
        <w:t>Extent of disease is usually described using a tumour, nodes and metastasis (TNM) staging system such as those produced by the American Joi</w:t>
      </w:r>
      <w:r w:rsidR="00917DAC">
        <w:t xml:space="preserve">nt Committee on Cancer (AJCC). </w:t>
      </w:r>
      <w:r w:rsidRPr="007C52CE">
        <w:t xml:space="preserve">Separate staging systems are used for the various anatomical sites of primary tumour. The most common sites for metastases are regional </w:t>
      </w:r>
      <w:r w:rsidR="00917DAC">
        <w:t>liver nodes, the liver and bone.</w:t>
      </w:r>
      <w:r w:rsidR="00917DAC">
        <w:rPr>
          <w:rStyle w:val="FootnoteReference"/>
        </w:rPr>
        <w:footnoteReference w:id="1"/>
      </w:r>
    </w:p>
    <w:p w14:paraId="0AD4DF5F" w14:textId="64CBBC95" w:rsidR="007C52CE" w:rsidRPr="007C52CE" w:rsidRDefault="007C52CE" w:rsidP="007C52CE">
      <w:r w:rsidRPr="007C52CE">
        <w:t>Approximately 50% of subjects have metastatic disease at the time of initial diagnosis. NETs typically express receptors for somatostatin, an endogenous hormone with inhibitory effects on a number of cellular functions.</w:t>
      </w:r>
    </w:p>
    <w:p w14:paraId="7C643ACA" w14:textId="637186C3" w:rsidR="007C52CE" w:rsidRPr="007C52CE" w:rsidRDefault="007C52CE" w:rsidP="007C52CE">
      <w:r w:rsidRPr="007C52CE">
        <w:t>Surge</w:t>
      </w:r>
      <w:r w:rsidR="00917DAC">
        <w:t xml:space="preserve">ry for cure is limited to early </w:t>
      </w:r>
      <w:r w:rsidRPr="007C52CE">
        <w:t>stage localised disease.</w:t>
      </w:r>
    </w:p>
    <w:p w14:paraId="2C304873" w14:textId="77777777" w:rsidR="007C52CE" w:rsidRPr="007C52CE" w:rsidRDefault="007C52CE" w:rsidP="00917DAC">
      <w:pPr>
        <w:pStyle w:val="Heading5"/>
      </w:pPr>
      <w:r w:rsidRPr="007C52CE">
        <w:t>Other therapies</w:t>
      </w:r>
    </w:p>
    <w:p w14:paraId="5358415D" w14:textId="61D82F50" w:rsidR="007C52CE" w:rsidRPr="007C52CE" w:rsidRDefault="007C52CE" w:rsidP="007C52CE">
      <w:r w:rsidRPr="007C52CE">
        <w:t>For patients with poorly differentiated unresectable or metastatic disease, cytotoxic chemotherapy is used (</w:t>
      </w:r>
      <w:r w:rsidR="00917DAC">
        <w:t>for example, use of</w:t>
      </w:r>
      <w:r w:rsidRPr="007C52CE">
        <w:t xml:space="preserve"> platinum-b</w:t>
      </w:r>
      <w:r w:rsidR="00917DAC">
        <w:t>ased regimens).</w:t>
      </w:r>
    </w:p>
    <w:p w14:paraId="043D4277" w14:textId="4AF95505" w:rsidR="007C52CE" w:rsidRPr="007C52CE" w:rsidRDefault="007C52CE" w:rsidP="007C52CE">
      <w:r w:rsidRPr="007C52CE">
        <w:t xml:space="preserve">For subjects with unresectable or metastatic well-differentiated disease, established treatments include: </w:t>
      </w:r>
      <w:r w:rsidR="00917DAC">
        <w:t>the somatostatin analogues (SSA</w:t>
      </w:r>
      <w:r w:rsidRPr="007C52CE">
        <w:t>) octreotide and lanreotide</w:t>
      </w:r>
      <w:r w:rsidR="00917DAC">
        <w:t>; sunitinib; and everolimus.</w:t>
      </w:r>
    </w:p>
    <w:p w14:paraId="3D2B89E6" w14:textId="31F4D6DB" w:rsidR="007C52CE" w:rsidRPr="007C52CE" w:rsidRDefault="007C52CE" w:rsidP="007C52CE">
      <w:r w:rsidRPr="007C52CE">
        <w:t xml:space="preserve">The approved indications for these products in Australia are summarised </w:t>
      </w:r>
      <w:r w:rsidR="00BF5FD4">
        <w:t xml:space="preserve">below </w:t>
      </w:r>
      <w:r w:rsidRPr="007C52CE">
        <w:t xml:space="preserve">in </w:t>
      </w:r>
      <w:r w:rsidR="00BF5FD4">
        <w:t>Table 1</w:t>
      </w:r>
      <w:r w:rsidRPr="007C52CE">
        <w:t xml:space="preserve">. The indications are limited to NETs arising in certain anatomical locations. Sunitinib and everolimus are currently restricted for use in </w:t>
      </w:r>
      <w:r w:rsidR="00917DAC">
        <w:t>subjects with pancreatic NETs.</w:t>
      </w:r>
    </w:p>
    <w:p w14:paraId="64F0837D" w14:textId="1D382959" w:rsidR="007C52CE" w:rsidRPr="00917DAC" w:rsidRDefault="00917DAC" w:rsidP="007C52CE">
      <w:pPr>
        <w:rPr>
          <w:i/>
        </w:rPr>
      </w:pPr>
      <w:r>
        <w:t xml:space="preserve">Octreotide as </w:t>
      </w:r>
      <w:r w:rsidR="007C52CE" w:rsidRPr="007C52CE">
        <w:t xml:space="preserve">Sandostatin LAR </w:t>
      </w:r>
      <w:r w:rsidR="005F6200">
        <w:t>(long-acting repeatable octreotide</w:t>
      </w:r>
      <w:r w:rsidR="008744E8">
        <w:t xml:space="preserve"> also by Novartis Pharmaceuticals Australia</w:t>
      </w:r>
      <w:r w:rsidR="005F6200">
        <w:t xml:space="preserve">) </w:t>
      </w:r>
      <w:r w:rsidR="007C52CE" w:rsidRPr="007C52CE">
        <w:t>was approved in 2012 for</w:t>
      </w:r>
      <w:r>
        <w:t xml:space="preserve"> the</w:t>
      </w:r>
      <w:r w:rsidR="007C52CE" w:rsidRPr="007C52CE">
        <w:t xml:space="preserve"> </w:t>
      </w:r>
      <w:r w:rsidR="007C52CE" w:rsidRPr="00917DAC">
        <w:rPr>
          <w:i/>
        </w:rPr>
        <w:t>‘</w:t>
      </w:r>
      <w:r w:rsidRPr="00917DAC">
        <w:rPr>
          <w:i/>
        </w:rPr>
        <w:t>t</w:t>
      </w:r>
      <w:r w:rsidR="007C52CE" w:rsidRPr="00917DAC">
        <w:rPr>
          <w:i/>
        </w:rPr>
        <w:t xml:space="preserve">reatment of patients with </w:t>
      </w:r>
      <w:r w:rsidR="007C52CE" w:rsidRPr="00917DAC">
        <w:rPr>
          <w:i/>
        </w:rPr>
        <w:lastRenderedPageBreak/>
        <w:t>progression of well-differentiated, advanced neuroendocrine tumours of the midgut or suspected midgut origin</w:t>
      </w:r>
      <w:r>
        <w:rPr>
          <w:i/>
        </w:rPr>
        <w:t>’.</w:t>
      </w:r>
    </w:p>
    <w:p w14:paraId="37E19AE4" w14:textId="5620FC06" w:rsidR="007C52CE" w:rsidRPr="00917DAC" w:rsidRDefault="007C52CE" w:rsidP="007C52CE">
      <w:r w:rsidRPr="007C52CE">
        <w:t>The rationale for this submission was that there are limited treatment options available for subjects with advanced NETs arising from sites other than the pancreas.</w:t>
      </w:r>
    </w:p>
    <w:p w14:paraId="64FFF9AA" w14:textId="6EEBE74B" w:rsidR="007C52CE" w:rsidRPr="007C52CE" w:rsidRDefault="001B405D" w:rsidP="00917DAC">
      <w:pPr>
        <w:pStyle w:val="Heading5"/>
      </w:pPr>
      <w:r>
        <w:t>Drug class and mechanism of action</w:t>
      </w:r>
    </w:p>
    <w:p w14:paraId="15A73C3E" w14:textId="492360B3" w:rsidR="007C52CE" w:rsidRDefault="007C52CE" w:rsidP="007C52CE">
      <w:r w:rsidRPr="007C52CE">
        <w:t>Everolimus</w:t>
      </w:r>
      <w:r w:rsidR="001B405D">
        <w:t xml:space="preserve"> (Afinitor)</w:t>
      </w:r>
      <w:r w:rsidRPr="007C52CE">
        <w:t xml:space="preserve"> is a ‘kinase inhibitor’, a signal transduction inhibitor selectively inhibiting mTORC1 (mammalian ‘target of rapamycin’ complex 1). Everolimus interrupts the mTORC1 signalling cascade and thereby inhibits cell growth, proliferation and tumour angiogenesis.</w:t>
      </w:r>
    </w:p>
    <w:p w14:paraId="340F2D1F" w14:textId="77777777" w:rsidR="00BF5FD4" w:rsidRPr="00A95723" w:rsidRDefault="00BF5FD4" w:rsidP="00BF5FD4">
      <w:pPr>
        <w:pStyle w:val="Tabletitle0"/>
        <w:rPr>
          <w:lang w:eastAsia="ja-JP"/>
        </w:rPr>
      </w:pPr>
      <w:r w:rsidRPr="00A95723">
        <w:rPr>
          <w:lang w:eastAsia="ja-JP"/>
        </w:rPr>
        <w:t>Table 1. Drugs registered in Australia for the treatment of NETs</w:t>
      </w:r>
    </w:p>
    <w:tbl>
      <w:tblPr>
        <w:tblStyle w:val="TableTGAblue"/>
        <w:tblW w:w="9196" w:type="dxa"/>
        <w:tblLayout w:type="fixed"/>
        <w:tblLook w:val="01E0" w:firstRow="1" w:lastRow="1" w:firstColumn="1" w:lastColumn="1" w:noHBand="0" w:noVBand="0"/>
      </w:tblPr>
      <w:tblGrid>
        <w:gridCol w:w="1546"/>
        <w:gridCol w:w="1980"/>
        <w:gridCol w:w="5670"/>
      </w:tblGrid>
      <w:tr w:rsidR="00BF5FD4" w:rsidRPr="008744E8" w14:paraId="5287A553" w14:textId="77777777" w:rsidTr="00C97873">
        <w:trPr>
          <w:cnfStyle w:val="100000000000" w:firstRow="1" w:lastRow="0" w:firstColumn="0" w:lastColumn="0" w:oddVBand="0" w:evenVBand="0" w:oddHBand="0" w:evenHBand="0" w:firstRowFirstColumn="0" w:firstRowLastColumn="0" w:lastRowFirstColumn="0" w:lastRowLastColumn="0"/>
        </w:trPr>
        <w:tc>
          <w:tcPr>
            <w:tcW w:w="1546" w:type="dxa"/>
          </w:tcPr>
          <w:p w14:paraId="4542D88D" w14:textId="77777777" w:rsidR="00BF5FD4" w:rsidRPr="000B0784" w:rsidRDefault="00BF5FD4" w:rsidP="000B0784">
            <w:pPr>
              <w:rPr>
                <w:sz w:val="20"/>
                <w:szCs w:val="20"/>
              </w:rPr>
            </w:pPr>
            <w:r w:rsidRPr="000B0784">
              <w:rPr>
                <w:sz w:val="20"/>
                <w:szCs w:val="20"/>
              </w:rPr>
              <w:t>Generic</w:t>
            </w:r>
          </w:p>
        </w:tc>
        <w:tc>
          <w:tcPr>
            <w:tcW w:w="1980" w:type="dxa"/>
          </w:tcPr>
          <w:p w14:paraId="307A6E58" w14:textId="77777777" w:rsidR="00BF5FD4" w:rsidRPr="000B0784" w:rsidRDefault="00BF5FD4" w:rsidP="000B0784">
            <w:pPr>
              <w:rPr>
                <w:sz w:val="20"/>
                <w:szCs w:val="20"/>
              </w:rPr>
            </w:pPr>
            <w:r w:rsidRPr="000B0784">
              <w:rPr>
                <w:sz w:val="20"/>
                <w:szCs w:val="20"/>
              </w:rPr>
              <w:t>Tradename</w:t>
            </w:r>
          </w:p>
        </w:tc>
        <w:tc>
          <w:tcPr>
            <w:tcW w:w="5670" w:type="dxa"/>
          </w:tcPr>
          <w:p w14:paraId="63E7E6A1" w14:textId="77777777" w:rsidR="00BF5FD4" w:rsidRPr="000B0784" w:rsidRDefault="00BF5FD4" w:rsidP="000B0784">
            <w:pPr>
              <w:rPr>
                <w:sz w:val="20"/>
                <w:szCs w:val="20"/>
              </w:rPr>
            </w:pPr>
            <w:r w:rsidRPr="000B0784">
              <w:rPr>
                <w:sz w:val="20"/>
                <w:szCs w:val="20"/>
              </w:rPr>
              <w:t>Approved indication</w:t>
            </w:r>
          </w:p>
        </w:tc>
      </w:tr>
      <w:tr w:rsidR="00BF5FD4" w:rsidRPr="008744E8" w14:paraId="08D2B18B" w14:textId="77777777" w:rsidTr="00BF5FD4">
        <w:tc>
          <w:tcPr>
            <w:tcW w:w="1546" w:type="dxa"/>
            <w:vMerge w:val="restart"/>
          </w:tcPr>
          <w:p w14:paraId="38DE3E24" w14:textId="77777777" w:rsidR="00BF5FD4" w:rsidRPr="000B0784" w:rsidRDefault="00BF5FD4" w:rsidP="000B0784">
            <w:pPr>
              <w:rPr>
                <w:sz w:val="20"/>
                <w:szCs w:val="20"/>
              </w:rPr>
            </w:pPr>
            <w:r w:rsidRPr="000B0784">
              <w:rPr>
                <w:sz w:val="20"/>
                <w:szCs w:val="20"/>
              </w:rPr>
              <w:t>Octreotide</w:t>
            </w:r>
          </w:p>
        </w:tc>
        <w:tc>
          <w:tcPr>
            <w:tcW w:w="1980" w:type="dxa"/>
          </w:tcPr>
          <w:p w14:paraId="4102AE84" w14:textId="77777777" w:rsidR="00BF5FD4" w:rsidRPr="000B0784" w:rsidRDefault="00BF5FD4" w:rsidP="000B0784">
            <w:pPr>
              <w:rPr>
                <w:sz w:val="20"/>
                <w:szCs w:val="20"/>
              </w:rPr>
            </w:pPr>
            <w:r w:rsidRPr="000B0784">
              <w:rPr>
                <w:sz w:val="20"/>
                <w:szCs w:val="20"/>
              </w:rPr>
              <w:t>Sandostatin</w:t>
            </w:r>
          </w:p>
        </w:tc>
        <w:tc>
          <w:tcPr>
            <w:tcW w:w="5670" w:type="dxa"/>
          </w:tcPr>
          <w:p w14:paraId="1EEDC3B7" w14:textId="77777777" w:rsidR="00BF5FD4" w:rsidRPr="000B0784" w:rsidRDefault="00BF5FD4" w:rsidP="000B0784">
            <w:pPr>
              <w:rPr>
                <w:sz w:val="20"/>
                <w:szCs w:val="20"/>
              </w:rPr>
            </w:pPr>
            <w:r w:rsidRPr="000B0784">
              <w:rPr>
                <w:sz w:val="20"/>
                <w:szCs w:val="20"/>
              </w:rPr>
              <w:t>For the relief of symptoms associated with the following functional tumours of the gastro-entero-pancreatic endocrine system:</w:t>
            </w:r>
          </w:p>
          <w:p w14:paraId="2279FB14" w14:textId="77777777" w:rsidR="00BF5FD4" w:rsidRPr="000B0784" w:rsidRDefault="00BF5FD4" w:rsidP="000B0784">
            <w:pPr>
              <w:pStyle w:val="ListBullet"/>
              <w:rPr>
                <w:sz w:val="20"/>
                <w:szCs w:val="20"/>
              </w:rPr>
            </w:pPr>
            <w:r w:rsidRPr="000B0784">
              <w:rPr>
                <w:sz w:val="20"/>
                <w:szCs w:val="20"/>
              </w:rPr>
              <w:t>Carcinoid tumours with features of the carcinoid syndrome;</w:t>
            </w:r>
          </w:p>
          <w:p w14:paraId="3CA1FF90" w14:textId="77777777" w:rsidR="00BF5FD4" w:rsidRPr="000B0784" w:rsidRDefault="00BF5FD4" w:rsidP="000B0784">
            <w:pPr>
              <w:pStyle w:val="ListBullet"/>
              <w:rPr>
                <w:sz w:val="20"/>
                <w:szCs w:val="20"/>
              </w:rPr>
            </w:pPr>
            <w:r w:rsidRPr="000B0784">
              <w:rPr>
                <w:sz w:val="20"/>
                <w:szCs w:val="20"/>
              </w:rPr>
              <w:t>Vasoactive intestinal peptide secreting tumours (VIPomas).</w:t>
            </w:r>
          </w:p>
          <w:p w14:paraId="2DD6143A" w14:textId="77777777" w:rsidR="00BF5FD4" w:rsidRPr="000B0784" w:rsidRDefault="00BF5FD4" w:rsidP="000B0784">
            <w:pPr>
              <w:rPr>
                <w:sz w:val="20"/>
                <w:szCs w:val="20"/>
              </w:rPr>
            </w:pPr>
            <w:r w:rsidRPr="000B0784">
              <w:rPr>
                <w:sz w:val="20"/>
                <w:szCs w:val="20"/>
              </w:rPr>
              <w:t>Sandostatin is not curative in these patients.</w:t>
            </w:r>
          </w:p>
        </w:tc>
      </w:tr>
      <w:tr w:rsidR="00BF5FD4" w:rsidRPr="008744E8" w14:paraId="30F49C36" w14:textId="77777777" w:rsidTr="00BF5FD4">
        <w:tc>
          <w:tcPr>
            <w:tcW w:w="1546" w:type="dxa"/>
            <w:vMerge/>
          </w:tcPr>
          <w:p w14:paraId="15F1C504" w14:textId="77777777" w:rsidR="00BF5FD4" w:rsidRPr="000B0784" w:rsidRDefault="00BF5FD4" w:rsidP="000B0784">
            <w:pPr>
              <w:rPr>
                <w:sz w:val="20"/>
                <w:szCs w:val="20"/>
              </w:rPr>
            </w:pPr>
          </w:p>
        </w:tc>
        <w:tc>
          <w:tcPr>
            <w:tcW w:w="1980" w:type="dxa"/>
          </w:tcPr>
          <w:p w14:paraId="771FE1AC" w14:textId="77777777" w:rsidR="00BF5FD4" w:rsidRPr="000B0784" w:rsidRDefault="00BF5FD4" w:rsidP="000B0784">
            <w:pPr>
              <w:rPr>
                <w:sz w:val="20"/>
                <w:szCs w:val="20"/>
              </w:rPr>
            </w:pPr>
            <w:r w:rsidRPr="000B0784">
              <w:rPr>
                <w:sz w:val="20"/>
                <w:szCs w:val="20"/>
              </w:rPr>
              <w:t>Sandostatin LAR (long acting repeatable octeotride depot)</w:t>
            </w:r>
          </w:p>
        </w:tc>
        <w:tc>
          <w:tcPr>
            <w:tcW w:w="5670" w:type="dxa"/>
          </w:tcPr>
          <w:p w14:paraId="1D217EAB" w14:textId="77777777" w:rsidR="00BF5FD4" w:rsidRPr="000B0784" w:rsidRDefault="00BF5FD4" w:rsidP="000B0784">
            <w:pPr>
              <w:rPr>
                <w:sz w:val="20"/>
                <w:szCs w:val="20"/>
              </w:rPr>
            </w:pPr>
            <w:r w:rsidRPr="000B0784">
              <w:rPr>
                <w:sz w:val="20"/>
                <w:szCs w:val="20"/>
              </w:rPr>
              <w:t>Treatment of patients with progression of well-differentiated, advanced neuroendocrine tumours of the midgut or suspected midgut origin.</w:t>
            </w:r>
          </w:p>
          <w:p w14:paraId="29053147" w14:textId="77777777" w:rsidR="00BF5FD4" w:rsidRPr="000B0784" w:rsidRDefault="00BF5FD4" w:rsidP="000B0784">
            <w:pPr>
              <w:rPr>
                <w:sz w:val="20"/>
                <w:szCs w:val="20"/>
              </w:rPr>
            </w:pPr>
            <w:r w:rsidRPr="000B0784">
              <w:rPr>
                <w:sz w:val="20"/>
                <w:szCs w:val="20"/>
              </w:rPr>
              <w:t>For the relief of symptoms associated with the following functional tumours of the gastro-entero-pancreatic endocrine system:</w:t>
            </w:r>
          </w:p>
          <w:p w14:paraId="47402B63" w14:textId="77777777" w:rsidR="00BF5FD4" w:rsidRPr="000B0784" w:rsidRDefault="00BF5FD4" w:rsidP="000B0784">
            <w:pPr>
              <w:pStyle w:val="ListBullet"/>
              <w:rPr>
                <w:sz w:val="20"/>
                <w:szCs w:val="20"/>
              </w:rPr>
            </w:pPr>
            <w:r w:rsidRPr="000B0784">
              <w:rPr>
                <w:sz w:val="20"/>
                <w:szCs w:val="20"/>
              </w:rPr>
              <w:t>Carcinoid tumours with features of the carcinoid syndrome;</w:t>
            </w:r>
          </w:p>
          <w:p w14:paraId="03CD5075" w14:textId="77777777" w:rsidR="00BF5FD4" w:rsidRPr="000B0784" w:rsidRDefault="00BF5FD4" w:rsidP="000B0784">
            <w:pPr>
              <w:pStyle w:val="ListBullet"/>
              <w:rPr>
                <w:sz w:val="20"/>
                <w:szCs w:val="20"/>
              </w:rPr>
            </w:pPr>
            <w:r w:rsidRPr="000B0784">
              <w:rPr>
                <w:sz w:val="20"/>
                <w:szCs w:val="20"/>
              </w:rPr>
              <w:t>Vasoactive intestinal peptide secreting tumours (VIPomas) in patients who are adequately controlled on subcutaneous treatment with Sandostatin.</w:t>
            </w:r>
          </w:p>
          <w:p w14:paraId="769443A9" w14:textId="77777777" w:rsidR="00BF5FD4" w:rsidRPr="000B0784" w:rsidRDefault="00BF5FD4" w:rsidP="000B0784">
            <w:pPr>
              <w:rPr>
                <w:sz w:val="20"/>
                <w:szCs w:val="20"/>
              </w:rPr>
            </w:pPr>
            <w:r w:rsidRPr="000B0784">
              <w:rPr>
                <w:sz w:val="20"/>
                <w:szCs w:val="20"/>
              </w:rPr>
              <w:t>Sandostatin LAR is not curative in these patients.</w:t>
            </w:r>
          </w:p>
        </w:tc>
      </w:tr>
      <w:tr w:rsidR="00BF5FD4" w:rsidRPr="008744E8" w14:paraId="6415C9DA" w14:textId="77777777" w:rsidTr="00BF5FD4">
        <w:tc>
          <w:tcPr>
            <w:tcW w:w="1546" w:type="dxa"/>
          </w:tcPr>
          <w:p w14:paraId="33199A29" w14:textId="77777777" w:rsidR="00BF5FD4" w:rsidRPr="000B0784" w:rsidRDefault="00BF5FD4" w:rsidP="000B0784">
            <w:pPr>
              <w:rPr>
                <w:sz w:val="20"/>
                <w:szCs w:val="20"/>
              </w:rPr>
            </w:pPr>
            <w:r w:rsidRPr="000B0784">
              <w:rPr>
                <w:sz w:val="20"/>
                <w:szCs w:val="20"/>
              </w:rPr>
              <w:t>Lanreotide acetate</w:t>
            </w:r>
          </w:p>
        </w:tc>
        <w:tc>
          <w:tcPr>
            <w:tcW w:w="1980" w:type="dxa"/>
          </w:tcPr>
          <w:p w14:paraId="783BE8DD" w14:textId="77777777" w:rsidR="00BF5FD4" w:rsidRPr="000B0784" w:rsidRDefault="00BF5FD4" w:rsidP="000B0784">
            <w:pPr>
              <w:rPr>
                <w:sz w:val="20"/>
                <w:szCs w:val="20"/>
              </w:rPr>
            </w:pPr>
            <w:r w:rsidRPr="000B0784">
              <w:rPr>
                <w:sz w:val="20"/>
                <w:szCs w:val="20"/>
              </w:rPr>
              <w:t>Somatuline Autogel</w:t>
            </w:r>
          </w:p>
        </w:tc>
        <w:tc>
          <w:tcPr>
            <w:tcW w:w="5670" w:type="dxa"/>
          </w:tcPr>
          <w:p w14:paraId="2D615B8D" w14:textId="77777777" w:rsidR="00BF5FD4" w:rsidRPr="000B0784" w:rsidRDefault="00BF5FD4" w:rsidP="000B0784">
            <w:pPr>
              <w:rPr>
                <w:sz w:val="20"/>
                <w:szCs w:val="20"/>
              </w:rPr>
            </w:pPr>
            <w:r w:rsidRPr="000B0784">
              <w:rPr>
                <w:sz w:val="20"/>
                <w:szCs w:val="20"/>
              </w:rPr>
              <w:t>For the treatment of gastroenteropancreatic neuroendocrine tumours (GEP-NETs) in adult patients with unresectable locally advanced or metastatic disease.</w:t>
            </w:r>
          </w:p>
          <w:p w14:paraId="0B01EE0B" w14:textId="77777777" w:rsidR="00BF5FD4" w:rsidRPr="000B0784" w:rsidRDefault="00BF5FD4" w:rsidP="000B0784">
            <w:pPr>
              <w:rPr>
                <w:sz w:val="20"/>
                <w:szCs w:val="20"/>
              </w:rPr>
            </w:pPr>
            <w:r w:rsidRPr="000B0784">
              <w:rPr>
                <w:sz w:val="20"/>
                <w:szCs w:val="20"/>
              </w:rPr>
              <w:t>For the treatment of symptoms of carcinoid syndrome associated with carcinoid tumours.</w:t>
            </w:r>
          </w:p>
        </w:tc>
      </w:tr>
      <w:tr w:rsidR="00BF5FD4" w:rsidRPr="008744E8" w14:paraId="2F1D46CF" w14:textId="77777777" w:rsidTr="00BF5FD4">
        <w:tc>
          <w:tcPr>
            <w:tcW w:w="1546" w:type="dxa"/>
          </w:tcPr>
          <w:p w14:paraId="32ED9054" w14:textId="77777777" w:rsidR="00BF5FD4" w:rsidRPr="000B0784" w:rsidRDefault="00BF5FD4" w:rsidP="000B0784">
            <w:pPr>
              <w:rPr>
                <w:sz w:val="20"/>
                <w:szCs w:val="20"/>
              </w:rPr>
            </w:pPr>
            <w:r w:rsidRPr="000B0784">
              <w:rPr>
                <w:sz w:val="20"/>
                <w:szCs w:val="20"/>
              </w:rPr>
              <w:t>Sunitinib malate</w:t>
            </w:r>
          </w:p>
        </w:tc>
        <w:tc>
          <w:tcPr>
            <w:tcW w:w="1980" w:type="dxa"/>
          </w:tcPr>
          <w:p w14:paraId="5EC6C214" w14:textId="77777777" w:rsidR="00BF5FD4" w:rsidRPr="000B0784" w:rsidRDefault="00BF5FD4" w:rsidP="000B0784">
            <w:pPr>
              <w:rPr>
                <w:sz w:val="20"/>
                <w:szCs w:val="20"/>
              </w:rPr>
            </w:pPr>
            <w:r w:rsidRPr="000B0784">
              <w:rPr>
                <w:sz w:val="20"/>
                <w:szCs w:val="20"/>
              </w:rPr>
              <w:t>Sutent</w:t>
            </w:r>
          </w:p>
        </w:tc>
        <w:tc>
          <w:tcPr>
            <w:tcW w:w="5670" w:type="dxa"/>
          </w:tcPr>
          <w:p w14:paraId="0A1051C2" w14:textId="77777777" w:rsidR="00BF5FD4" w:rsidRPr="000B0784" w:rsidRDefault="00BF5FD4" w:rsidP="000B0784">
            <w:pPr>
              <w:rPr>
                <w:sz w:val="20"/>
                <w:szCs w:val="20"/>
              </w:rPr>
            </w:pPr>
            <w:r w:rsidRPr="000B0784">
              <w:rPr>
                <w:sz w:val="20"/>
                <w:szCs w:val="20"/>
              </w:rPr>
              <w:t>For the treatment of unresectable, well-differentiated pancreatic neuroendocrine tumours (pancreatic NET).</w:t>
            </w:r>
          </w:p>
        </w:tc>
      </w:tr>
      <w:tr w:rsidR="00BF5FD4" w:rsidRPr="008744E8" w14:paraId="6BAA04AF" w14:textId="77777777" w:rsidTr="00BF5FD4">
        <w:tc>
          <w:tcPr>
            <w:tcW w:w="1546" w:type="dxa"/>
          </w:tcPr>
          <w:p w14:paraId="11324A0B" w14:textId="77777777" w:rsidR="00BF5FD4" w:rsidRPr="000B0784" w:rsidRDefault="00BF5FD4" w:rsidP="000B0784">
            <w:pPr>
              <w:rPr>
                <w:sz w:val="20"/>
                <w:szCs w:val="20"/>
              </w:rPr>
            </w:pPr>
            <w:r w:rsidRPr="000B0784">
              <w:rPr>
                <w:sz w:val="20"/>
                <w:szCs w:val="20"/>
              </w:rPr>
              <w:t>Everolimus</w:t>
            </w:r>
          </w:p>
        </w:tc>
        <w:tc>
          <w:tcPr>
            <w:tcW w:w="1980" w:type="dxa"/>
          </w:tcPr>
          <w:p w14:paraId="514F4F7A" w14:textId="77777777" w:rsidR="00BF5FD4" w:rsidRPr="000B0784" w:rsidRDefault="00BF5FD4" w:rsidP="000B0784">
            <w:pPr>
              <w:rPr>
                <w:sz w:val="20"/>
                <w:szCs w:val="20"/>
              </w:rPr>
            </w:pPr>
            <w:r w:rsidRPr="000B0784">
              <w:rPr>
                <w:sz w:val="20"/>
                <w:szCs w:val="20"/>
              </w:rPr>
              <w:t>Afinitor</w:t>
            </w:r>
          </w:p>
        </w:tc>
        <w:tc>
          <w:tcPr>
            <w:tcW w:w="5670" w:type="dxa"/>
          </w:tcPr>
          <w:p w14:paraId="6AA8E019" w14:textId="77777777" w:rsidR="00BF5FD4" w:rsidRPr="000B0784" w:rsidRDefault="00BF5FD4" w:rsidP="000B0784">
            <w:pPr>
              <w:rPr>
                <w:sz w:val="20"/>
                <w:szCs w:val="20"/>
              </w:rPr>
            </w:pPr>
            <w:r w:rsidRPr="000B0784">
              <w:rPr>
                <w:sz w:val="20"/>
                <w:szCs w:val="20"/>
              </w:rPr>
              <w:t>Progressive, unresectable or metastatic, well or moderately differentiated neuroendocrine tumours (NETs) of pancreatic origin.</w:t>
            </w:r>
          </w:p>
        </w:tc>
      </w:tr>
    </w:tbl>
    <w:p w14:paraId="31CCE04A" w14:textId="77777777" w:rsidR="008E7846" w:rsidRPr="003F31A2" w:rsidRDefault="00386150" w:rsidP="00701F0B">
      <w:pPr>
        <w:pStyle w:val="Heading3"/>
      </w:pPr>
      <w:bookmarkStart w:id="10" w:name="_Toc314842485"/>
      <w:bookmarkStart w:id="11" w:name="_Toc247691504"/>
      <w:bookmarkStart w:id="12" w:name="_Toc493685088"/>
      <w:r>
        <w:lastRenderedPageBreak/>
        <w:t>Regulatory s</w:t>
      </w:r>
      <w:r w:rsidR="008E7846">
        <w:t>tatus</w:t>
      </w:r>
      <w:bookmarkEnd w:id="10"/>
      <w:bookmarkEnd w:id="11"/>
      <w:bookmarkEnd w:id="12"/>
    </w:p>
    <w:p w14:paraId="1BC553B9" w14:textId="72710F1D" w:rsidR="00940A89" w:rsidRDefault="00940A89" w:rsidP="00940A89">
      <w:bookmarkStart w:id="13" w:name="_Toc247691505"/>
      <w:bookmarkStart w:id="14" w:name="_Toc314842486"/>
      <w:r w:rsidRPr="00940A89">
        <w:t>The product received initial registration on the Australian Register</w:t>
      </w:r>
      <w:r w:rsidR="00CD42AC">
        <w:t xml:space="preserve"> of Therapeutic Goods (ARTG) on </w:t>
      </w:r>
      <w:r w:rsidR="0094337E">
        <w:t>06 July 2009.</w:t>
      </w:r>
    </w:p>
    <w:p w14:paraId="3B162FCD" w14:textId="3056B055" w:rsidR="005373AB" w:rsidRPr="005373AB" w:rsidRDefault="0068496F" w:rsidP="005373AB">
      <w:r>
        <w:t xml:space="preserve">At the time of </w:t>
      </w:r>
      <w:r w:rsidR="008744E8">
        <w:t xml:space="preserve">this </w:t>
      </w:r>
      <w:r>
        <w:t>evaluation, everolimus ‘Afinitor’ was</w:t>
      </w:r>
      <w:r w:rsidR="005373AB" w:rsidRPr="005373AB">
        <w:t xml:space="preserve"> approved by the TGA for onco</w:t>
      </w:r>
      <w:r w:rsidR="005373AB">
        <w:t>logy use, for the treatment of:</w:t>
      </w:r>
    </w:p>
    <w:p w14:paraId="5D349EF1" w14:textId="2CD54567" w:rsidR="005373AB" w:rsidRPr="005373AB" w:rsidRDefault="005373AB" w:rsidP="005373AB">
      <w:pPr>
        <w:pStyle w:val="ListBullet"/>
      </w:pPr>
      <w:r w:rsidRPr="005373AB">
        <w:t>advanced renal cell carcinoma (RCC) (29 July 2009)</w:t>
      </w:r>
    </w:p>
    <w:p w14:paraId="46C26ABA" w14:textId="0CD45577" w:rsidR="005373AB" w:rsidRPr="005373AB" w:rsidRDefault="005373AB" w:rsidP="005373AB">
      <w:pPr>
        <w:pStyle w:val="ListBullet"/>
      </w:pPr>
      <w:r w:rsidRPr="005373AB">
        <w:t>advanced pancreatic NET (10 July 2012)</w:t>
      </w:r>
    </w:p>
    <w:p w14:paraId="2B853FFB" w14:textId="262881EA" w:rsidR="005373AB" w:rsidRPr="005373AB" w:rsidRDefault="005373AB" w:rsidP="005373AB">
      <w:pPr>
        <w:pStyle w:val="ListBullet"/>
      </w:pPr>
      <w:r w:rsidRPr="005373AB">
        <w:t>advanced hormone receptor-positive breast cancer (</w:t>
      </w:r>
      <w:r>
        <w:t>21 February 2013)</w:t>
      </w:r>
    </w:p>
    <w:p w14:paraId="31F454EE" w14:textId="61F7355D" w:rsidR="005373AB" w:rsidRPr="005373AB" w:rsidRDefault="005373AB" w:rsidP="005373AB">
      <w:pPr>
        <w:pStyle w:val="ListBullet"/>
      </w:pPr>
      <w:r w:rsidRPr="005373AB">
        <w:t>subependymal giant-cell astrocytoma (SEGA) associated with tuberous sclerosis complex (TSC) (</w:t>
      </w:r>
      <w:r w:rsidR="00E85DF2">
        <w:t>16 January 2012)</w:t>
      </w:r>
    </w:p>
    <w:p w14:paraId="72EB8904" w14:textId="3729CDCA" w:rsidR="005373AB" w:rsidRPr="005373AB" w:rsidRDefault="005373AB" w:rsidP="005373AB">
      <w:pPr>
        <w:pStyle w:val="ListBullet"/>
      </w:pPr>
      <w:r w:rsidRPr="005373AB">
        <w:t>renal angiomyolipoma (AML) associated with TSC (</w:t>
      </w:r>
      <w:r>
        <w:t>19 August 2013).</w:t>
      </w:r>
    </w:p>
    <w:p w14:paraId="716FA853" w14:textId="4F370E18" w:rsidR="005373AB" w:rsidRPr="005373AB" w:rsidRDefault="005373AB" w:rsidP="005373AB">
      <w:r w:rsidRPr="005373AB">
        <w:t xml:space="preserve">TGA approval for </w:t>
      </w:r>
      <w:r w:rsidRPr="001B405D">
        <w:rPr>
          <w:i/>
        </w:rPr>
        <w:t>the treatment of progressive, unresectable or metastatic, we</w:t>
      </w:r>
      <w:r w:rsidR="001B405D">
        <w:rPr>
          <w:i/>
        </w:rPr>
        <w:t>ll or moderately differentiated,</w:t>
      </w:r>
      <w:r w:rsidRPr="001B405D">
        <w:rPr>
          <w:i/>
        </w:rPr>
        <w:t xml:space="preserve"> NETs of pancreatic origin</w:t>
      </w:r>
      <w:r w:rsidRPr="005373AB">
        <w:t xml:space="preserve"> was based on the results </w:t>
      </w:r>
      <w:r>
        <w:t xml:space="preserve">of a Phase III randomised placebo </w:t>
      </w:r>
      <w:r w:rsidRPr="005373AB">
        <w:t>controlled trial (</w:t>
      </w:r>
      <w:r>
        <w:t>Study CRAD001</w:t>
      </w:r>
      <w:r w:rsidR="001B405D">
        <w:t>C2324, also referred to as the RADIANT-3</w:t>
      </w:r>
      <w:r>
        <w:t xml:space="preserve"> trial).</w:t>
      </w:r>
      <w:r w:rsidR="008744E8">
        <w:t xml:space="preserve"> </w:t>
      </w:r>
      <w:r w:rsidRPr="005373AB">
        <w:t xml:space="preserve">In </w:t>
      </w:r>
      <w:r w:rsidR="001B405D">
        <w:t xml:space="preserve">the </w:t>
      </w:r>
      <w:r w:rsidR="008744E8">
        <w:t xml:space="preserve">same </w:t>
      </w:r>
      <w:r w:rsidRPr="005373AB">
        <w:t>application</w:t>
      </w:r>
      <w:r w:rsidR="001B405D">
        <w:t xml:space="preserve"> </w:t>
      </w:r>
      <w:r w:rsidRPr="005373AB">
        <w:t xml:space="preserve">the </w:t>
      </w:r>
      <w:r>
        <w:t>s</w:t>
      </w:r>
      <w:r w:rsidRPr="005373AB">
        <w:t xml:space="preserve">ponsor also sought approval for the indication of treatment of NETs of gastrointestinal or lung origin, based </w:t>
      </w:r>
      <w:r w:rsidR="001B405D">
        <w:t>on the results of another Phase </w:t>
      </w:r>
      <w:r>
        <w:t>III</w:t>
      </w:r>
      <w:r w:rsidRPr="005373AB">
        <w:t xml:space="preserve"> randomised trial of Afinitor plus depot octreotide (Sandostatin LAR) versus placebo plus depot octreotide (</w:t>
      </w:r>
      <w:r>
        <w:t xml:space="preserve">Study </w:t>
      </w:r>
      <w:r w:rsidRPr="005373AB">
        <w:t>CRAD001C2325</w:t>
      </w:r>
      <w:r w:rsidR="001B405D">
        <w:t>, also referred to as the RADIANT-2</w:t>
      </w:r>
      <w:r>
        <w:t xml:space="preserve"> trial</w:t>
      </w:r>
      <w:r w:rsidRPr="005373AB">
        <w:t>). Statistical significance was not achieved for the primary endpo</w:t>
      </w:r>
      <w:r w:rsidR="002175A8">
        <w:t>int of progression</w:t>
      </w:r>
      <w:r w:rsidR="002175A8">
        <w:noBreakHyphen/>
      </w:r>
      <w:r>
        <w:t>free survival (</w:t>
      </w:r>
      <w:r w:rsidRPr="005373AB">
        <w:t>PFS</w:t>
      </w:r>
      <w:r>
        <w:t>)</w:t>
      </w:r>
      <w:r w:rsidRPr="005373AB">
        <w:t xml:space="preserve"> evaluated by RECIST as per i</w:t>
      </w:r>
      <w:r>
        <w:t>ndependent radiological review.</w:t>
      </w:r>
    </w:p>
    <w:p w14:paraId="121567F3" w14:textId="1E2AD7D9" w:rsidR="005373AB" w:rsidRPr="00003BF8" w:rsidRDefault="005373AB" w:rsidP="005373AB">
      <w:pPr>
        <w:rPr>
          <w:lang w:val="en-GB"/>
        </w:rPr>
      </w:pPr>
      <w:r w:rsidRPr="005373AB">
        <w:t xml:space="preserve">The </w:t>
      </w:r>
      <w:r w:rsidR="00003BF8">
        <w:t>Advisory Committee on Prescription Medicines (</w:t>
      </w:r>
      <w:r w:rsidRPr="005373AB">
        <w:t>ACPM</w:t>
      </w:r>
      <w:r w:rsidR="00003BF8">
        <w:t>)</w:t>
      </w:r>
      <w:r w:rsidRPr="005373AB">
        <w:t xml:space="preserve"> considered</w:t>
      </w:r>
      <w:r w:rsidR="00003BF8">
        <w:t xml:space="preserve"> the</w:t>
      </w:r>
      <w:r w:rsidRPr="005373AB">
        <w:t xml:space="preserve"> submission </w:t>
      </w:r>
      <w:r w:rsidR="00003BF8">
        <w:t xml:space="preserve">outlined above at </w:t>
      </w:r>
      <w:r w:rsidRPr="005373AB">
        <w:t>Meeting</w:t>
      </w:r>
      <w:r w:rsidR="00003BF8">
        <w:t xml:space="preserve"> 284 in 2012</w:t>
      </w:r>
      <w:r w:rsidRPr="005373AB">
        <w:t xml:space="preserve">. </w:t>
      </w:r>
      <w:r w:rsidR="00003BF8">
        <w:t>The D</w:t>
      </w:r>
      <w:r w:rsidRPr="005373AB">
        <w:t>elegate’s issues included</w:t>
      </w:r>
      <w:r w:rsidR="002175A8">
        <w:t>:</w:t>
      </w:r>
      <w:r w:rsidRPr="005373AB">
        <w:t xml:space="preserve"> ‘</w:t>
      </w:r>
      <w:r w:rsidRPr="002175A8">
        <w:rPr>
          <w:i/>
          <w:lang w:val="en-GB"/>
        </w:rPr>
        <w:t>Study C2325 raises some doubts regarding the efficacy of everolimus in the treatment of NETs originating at anatomical sites other than the pancreas. Given the substantial toxicity produced by the product, a favourable benefit-risk balance for this p</w:t>
      </w:r>
      <w:r w:rsidR="002175A8">
        <w:rPr>
          <w:i/>
          <w:lang w:val="en-GB"/>
        </w:rPr>
        <w:t>atient group cannot be conclude</w:t>
      </w:r>
      <w:r w:rsidR="002175A8" w:rsidRPr="008F225F">
        <w:rPr>
          <w:i/>
          <w:lang w:val="en-GB"/>
        </w:rPr>
        <w:t>d</w:t>
      </w:r>
      <w:r w:rsidR="008F225F" w:rsidRPr="008F225F">
        <w:rPr>
          <w:i/>
          <w:lang w:val="en-GB"/>
        </w:rPr>
        <w:t>’.</w:t>
      </w:r>
    </w:p>
    <w:p w14:paraId="1F3C44E2" w14:textId="529353E3" w:rsidR="005373AB" w:rsidRPr="005373AB" w:rsidRDefault="00003BF8" w:rsidP="005373AB">
      <w:r>
        <w:t xml:space="preserve">At the time, the </w:t>
      </w:r>
      <w:r w:rsidR="005373AB" w:rsidRPr="005373AB">
        <w:t>ACPM considered Afinitor products to have an overall positive benefit-risk profile for the indication</w:t>
      </w:r>
      <w:r>
        <w:t>:</w:t>
      </w:r>
      <w:r w:rsidR="005373AB" w:rsidRPr="005373AB">
        <w:t xml:space="preserve"> ‘</w:t>
      </w:r>
      <w:r w:rsidR="005373AB" w:rsidRPr="005373AB">
        <w:rPr>
          <w:bCs/>
          <w:i/>
          <w:iCs/>
          <w:lang w:val="en-GB"/>
        </w:rPr>
        <w:t>The treatment of progressive, unresectable or metastatic, well or moderately differentiated, neuroendocrine tumours (NETs) of pancreatic origin.’</w:t>
      </w:r>
    </w:p>
    <w:p w14:paraId="2674E0CA" w14:textId="5CDFCFD5" w:rsidR="005373AB" w:rsidRPr="005373AB" w:rsidRDefault="00003BF8" w:rsidP="005373AB">
      <w:r>
        <w:t xml:space="preserve">The </w:t>
      </w:r>
      <w:r w:rsidR="005373AB" w:rsidRPr="005373AB">
        <w:t xml:space="preserve">ACPM specifically advised on the inclusion of ‘a statement in the appropriate sections of the PI and </w:t>
      </w:r>
      <w:r>
        <w:t>Consumer Medicines Information (</w:t>
      </w:r>
      <w:r w:rsidR="005373AB" w:rsidRPr="005373AB">
        <w:t>CMI</w:t>
      </w:r>
      <w:r>
        <w:t>)</w:t>
      </w:r>
      <w:r w:rsidR="005373AB" w:rsidRPr="005373AB">
        <w:t xml:space="preserve"> to accurately refl</w:t>
      </w:r>
      <w:r w:rsidR="0068496F">
        <w:t>ect the lack of efficacy in NETs</w:t>
      </w:r>
      <w:r w:rsidR="005373AB" w:rsidRPr="005373AB">
        <w:t xml:space="preserve"> with the e</w:t>
      </w:r>
      <w:r w:rsidR="005336D8">
        <w:t xml:space="preserve">xception of pancreatic origin’ as reflected under </w:t>
      </w:r>
      <w:r w:rsidR="005373AB" w:rsidRPr="005336D8">
        <w:t>‘Clinical Trials’</w:t>
      </w:r>
      <w:r w:rsidR="005336D8" w:rsidRPr="005336D8">
        <w:t xml:space="preserve"> in the </w:t>
      </w:r>
      <w:r w:rsidRPr="005336D8">
        <w:t>PI.</w:t>
      </w:r>
      <w:r w:rsidRPr="005336D8">
        <w:rPr>
          <w:rStyle w:val="FootnoteReference"/>
        </w:rPr>
        <w:footnoteReference w:id="2"/>
      </w:r>
    </w:p>
    <w:p w14:paraId="7B6F2006" w14:textId="1E2329D4" w:rsidR="005373AB" w:rsidRPr="0068496F" w:rsidRDefault="005373AB" w:rsidP="005373AB">
      <w:r w:rsidRPr="005373AB">
        <w:t>The current application seeks approval for use in advanced non-functional NETs of GI or lun</w:t>
      </w:r>
      <w:r w:rsidR="008F225F">
        <w:t>g origin, based on the</w:t>
      </w:r>
      <w:r w:rsidR="0068496F">
        <w:t xml:space="preserve"> new Phase III</w:t>
      </w:r>
      <w:r w:rsidRPr="005373AB">
        <w:t xml:space="preserve"> random</w:t>
      </w:r>
      <w:r w:rsidR="008F225F">
        <w:t>ised placebo-controlled trial RADIANT-4</w:t>
      </w:r>
      <w:r w:rsidR="0068496F">
        <w:t>.</w:t>
      </w:r>
    </w:p>
    <w:p w14:paraId="4A869580" w14:textId="7A2750A0" w:rsidR="005373AB" w:rsidRPr="005373AB" w:rsidRDefault="0094337E" w:rsidP="0094337E">
      <w:pPr>
        <w:pStyle w:val="Heading4"/>
      </w:pPr>
      <w:r>
        <w:t>Regulatory status overseas</w:t>
      </w:r>
    </w:p>
    <w:p w14:paraId="28223E05" w14:textId="37E7B82D" w:rsidR="005373AB" w:rsidRPr="005373AB" w:rsidRDefault="0048794C" w:rsidP="005373AB">
      <w:r>
        <w:t>Similar a</w:t>
      </w:r>
      <w:r w:rsidR="005373AB" w:rsidRPr="005373AB">
        <w:t xml:space="preserve">pplications were filed in the </w:t>
      </w:r>
      <w:r w:rsidR="0068496F">
        <w:t>European Union (</w:t>
      </w:r>
      <w:r w:rsidR="005373AB" w:rsidRPr="005373AB">
        <w:t>EU</w:t>
      </w:r>
      <w:r w:rsidR="0068496F">
        <w:t>)</w:t>
      </w:r>
      <w:r w:rsidR="005373AB" w:rsidRPr="005373AB">
        <w:t xml:space="preserve"> </w:t>
      </w:r>
      <w:r w:rsidR="0068496F">
        <w:t xml:space="preserve">on 3 August </w:t>
      </w:r>
      <w:r w:rsidR="005373AB" w:rsidRPr="005373AB">
        <w:t xml:space="preserve">2015, </w:t>
      </w:r>
      <w:r w:rsidR="0068496F">
        <w:t xml:space="preserve">in the United States on 27 August </w:t>
      </w:r>
      <w:r w:rsidR="005373AB" w:rsidRPr="005373AB">
        <w:t xml:space="preserve">2015, </w:t>
      </w:r>
      <w:r w:rsidR="0068496F">
        <w:t xml:space="preserve">in </w:t>
      </w:r>
      <w:r w:rsidR="005373AB" w:rsidRPr="005373AB">
        <w:t xml:space="preserve">Switzerland </w:t>
      </w:r>
      <w:r w:rsidR="0068496F">
        <w:t xml:space="preserve">on the 23 September 2015, and in </w:t>
      </w:r>
      <w:r w:rsidR="005373AB" w:rsidRPr="005373AB">
        <w:t xml:space="preserve">Canada </w:t>
      </w:r>
      <w:r w:rsidR="0068496F">
        <w:t xml:space="preserve">on 9 August </w:t>
      </w:r>
      <w:r w:rsidR="005373AB" w:rsidRPr="005373AB">
        <w:t>2015.</w:t>
      </w:r>
    </w:p>
    <w:p w14:paraId="44B21C95" w14:textId="123919C9" w:rsidR="005373AB" w:rsidRPr="005373AB" w:rsidRDefault="0048794C" w:rsidP="005373AB">
      <w:pPr>
        <w:rPr>
          <w:bCs/>
        </w:rPr>
      </w:pPr>
      <w:r w:rsidRPr="0048794C">
        <w:rPr>
          <w:bCs/>
        </w:rPr>
        <w:t>In the US, the Food and Drugs Administration (</w:t>
      </w:r>
      <w:r w:rsidR="005373AB" w:rsidRPr="0048794C">
        <w:rPr>
          <w:bCs/>
        </w:rPr>
        <w:t>FDA</w:t>
      </w:r>
      <w:r w:rsidRPr="0048794C">
        <w:rPr>
          <w:bCs/>
        </w:rPr>
        <w:t>)</w:t>
      </w:r>
      <w:r w:rsidR="0094337E">
        <w:rPr>
          <w:bCs/>
        </w:rPr>
        <w:t xml:space="preserve"> approved Afinitor for </w:t>
      </w:r>
      <w:r w:rsidR="005373AB" w:rsidRPr="005373AB">
        <w:rPr>
          <w:bCs/>
        </w:rPr>
        <w:t>the following comparable indication in February 2016:</w:t>
      </w:r>
    </w:p>
    <w:p w14:paraId="7FFF6700" w14:textId="2B0AFD93" w:rsidR="005373AB" w:rsidRPr="0048794C" w:rsidRDefault="005373AB" w:rsidP="0048794C">
      <w:pPr>
        <w:ind w:left="720"/>
        <w:rPr>
          <w:i/>
        </w:rPr>
      </w:pPr>
      <w:r w:rsidRPr="0048794C">
        <w:rPr>
          <w:i/>
        </w:rPr>
        <w:t>‘Advan</w:t>
      </w:r>
      <w:r w:rsidR="0048794C">
        <w:rPr>
          <w:i/>
        </w:rPr>
        <w:t>ced neuroendocrine tumors (NET)</w:t>
      </w:r>
    </w:p>
    <w:p w14:paraId="041F7A44" w14:textId="7391C8B7" w:rsidR="005373AB" w:rsidRPr="0048794C" w:rsidRDefault="0048794C" w:rsidP="0048794C">
      <w:pPr>
        <w:ind w:left="720"/>
        <w:rPr>
          <w:i/>
        </w:rPr>
      </w:pPr>
      <w:r w:rsidRPr="0048794C">
        <w:rPr>
          <w:i/>
        </w:rPr>
        <w:lastRenderedPageBreak/>
        <w:t>Afinitor</w:t>
      </w:r>
      <w:r w:rsidR="005373AB" w:rsidRPr="0048794C">
        <w:rPr>
          <w:i/>
          <w:vertAlign w:val="superscript"/>
        </w:rPr>
        <w:t xml:space="preserve"> </w:t>
      </w:r>
      <w:r w:rsidR="005373AB" w:rsidRPr="0048794C">
        <w:rPr>
          <w:i/>
        </w:rPr>
        <w:t xml:space="preserve">is indicated for the treatment of adult patients with progressive neuroendocrine tumors of pancreatic origin (PNET) with unresectable, locally </w:t>
      </w:r>
      <w:r w:rsidRPr="0048794C">
        <w:rPr>
          <w:i/>
        </w:rPr>
        <w:t>advanced or metastatic disease.</w:t>
      </w:r>
    </w:p>
    <w:p w14:paraId="46A24191" w14:textId="0CCEA86A" w:rsidR="005373AB" w:rsidRPr="0048794C" w:rsidRDefault="0048794C" w:rsidP="0048794C">
      <w:pPr>
        <w:ind w:left="720"/>
        <w:rPr>
          <w:i/>
        </w:rPr>
      </w:pPr>
      <w:r w:rsidRPr="0048794C">
        <w:rPr>
          <w:i/>
        </w:rPr>
        <w:t>Afinitor</w:t>
      </w:r>
      <w:r w:rsidR="005373AB" w:rsidRPr="0048794C">
        <w:rPr>
          <w:i/>
          <w:vertAlign w:val="superscript"/>
        </w:rPr>
        <w:t xml:space="preserve"> </w:t>
      </w:r>
      <w:r w:rsidR="005373AB" w:rsidRPr="0048794C">
        <w:rPr>
          <w:i/>
        </w:rPr>
        <w:t>is indicated for the treatment of adult patients with progressive, well-differentiated, non-functional neuroendocrine tumors (NET) of gastrointestinal (GI) or lung origin with unresectable, locally advanced or</w:t>
      </w:r>
      <w:r w:rsidRPr="0048794C">
        <w:rPr>
          <w:i/>
        </w:rPr>
        <w:t xml:space="preserve"> metastatic disease.</w:t>
      </w:r>
    </w:p>
    <w:p w14:paraId="5951EC5F" w14:textId="39EDCDB7" w:rsidR="005373AB" w:rsidRPr="0048794C" w:rsidRDefault="0048794C" w:rsidP="0048794C">
      <w:pPr>
        <w:ind w:left="720"/>
      </w:pPr>
      <w:r w:rsidRPr="0048794C">
        <w:rPr>
          <w:i/>
        </w:rPr>
        <w:t>Afinitor</w:t>
      </w:r>
      <w:r w:rsidR="005373AB" w:rsidRPr="0048794C">
        <w:rPr>
          <w:i/>
          <w:vertAlign w:val="superscript"/>
        </w:rPr>
        <w:t xml:space="preserve"> </w:t>
      </w:r>
      <w:r w:rsidR="005373AB" w:rsidRPr="0048794C">
        <w:rPr>
          <w:i/>
        </w:rPr>
        <w:t xml:space="preserve">is not indicated for the treatment of patients with functional carcinoid tumors </w:t>
      </w:r>
      <w:r w:rsidRPr="0048794C">
        <w:rPr>
          <w:i/>
          <w:iCs/>
        </w:rPr>
        <w:t>(</w:t>
      </w:r>
      <w:r w:rsidR="00DC1D68">
        <w:rPr>
          <w:i/>
          <w:iCs/>
        </w:rPr>
        <w:t>see Clinical Studies</w:t>
      </w:r>
      <w:r w:rsidRPr="0048794C">
        <w:rPr>
          <w:i/>
          <w:iCs/>
        </w:rPr>
        <w:t>)</w:t>
      </w:r>
      <w:r w:rsidR="00DC1D68">
        <w:rPr>
          <w:i/>
          <w:iCs/>
        </w:rPr>
        <w:t>’</w:t>
      </w:r>
      <w:r w:rsidRPr="0048794C">
        <w:rPr>
          <w:i/>
        </w:rPr>
        <w:t>.</w:t>
      </w:r>
      <w:r>
        <w:rPr>
          <w:rStyle w:val="FootnoteReference"/>
        </w:rPr>
        <w:footnoteReference w:id="3"/>
      </w:r>
    </w:p>
    <w:p w14:paraId="36E5D952" w14:textId="5B1C8B55" w:rsidR="005373AB" w:rsidRPr="0048794C" w:rsidRDefault="0048794C" w:rsidP="005373AB">
      <w:r w:rsidRPr="0048794C">
        <w:rPr>
          <w:bCs/>
        </w:rPr>
        <w:t>In the EU, the European Medicines Agency (</w:t>
      </w:r>
      <w:r w:rsidR="005373AB" w:rsidRPr="0048794C">
        <w:rPr>
          <w:bCs/>
        </w:rPr>
        <w:t>EMA</w:t>
      </w:r>
      <w:r w:rsidRPr="0048794C">
        <w:rPr>
          <w:bCs/>
        </w:rPr>
        <w:t>) Committee on Medicinal Products for Human Use</w:t>
      </w:r>
      <w:r w:rsidR="005373AB" w:rsidRPr="0048794C">
        <w:rPr>
          <w:bCs/>
        </w:rPr>
        <w:t xml:space="preserve"> </w:t>
      </w:r>
      <w:r w:rsidRPr="0048794C">
        <w:rPr>
          <w:bCs/>
        </w:rPr>
        <w:t>(</w:t>
      </w:r>
      <w:r w:rsidR="005373AB" w:rsidRPr="0048794C">
        <w:t>CHMP</w:t>
      </w:r>
      <w:r w:rsidRPr="0048794C">
        <w:t>)</w:t>
      </w:r>
      <w:r w:rsidR="005373AB" w:rsidRPr="0048794C">
        <w:t xml:space="preserve"> provided a positive opinion 28</w:t>
      </w:r>
      <w:r>
        <w:t xml:space="preserve"> April </w:t>
      </w:r>
      <w:r w:rsidR="005373AB" w:rsidRPr="0048794C">
        <w:t>2016.</w:t>
      </w:r>
    </w:p>
    <w:p w14:paraId="5F4D9F5E" w14:textId="711A2F0B" w:rsidR="005373AB" w:rsidRPr="0048794C" w:rsidRDefault="005373AB" w:rsidP="005373AB">
      <w:pPr>
        <w:rPr>
          <w:b/>
          <w:bCs/>
        </w:rPr>
      </w:pPr>
      <w:r w:rsidRPr="005373AB">
        <w:t>Therapeutic indications now include:</w:t>
      </w:r>
    </w:p>
    <w:p w14:paraId="3FE7CA37" w14:textId="4C8986BA" w:rsidR="005373AB" w:rsidRPr="0048794C" w:rsidRDefault="005373AB" w:rsidP="0048794C">
      <w:pPr>
        <w:ind w:left="720"/>
        <w:rPr>
          <w:i/>
        </w:rPr>
      </w:pPr>
      <w:r w:rsidRPr="0048794C">
        <w:rPr>
          <w:i/>
        </w:rPr>
        <w:t>‘Neuroendocrine</w:t>
      </w:r>
      <w:r w:rsidR="0048794C" w:rsidRPr="0048794C">
        <w:rPr>
          <w:i/>
        </w:rPr>
        <w:t xml:space="preserve"> tumours of pancreatic origin</w:t>
      </w:r>
    </w:p>
    <w:p w14:paraId="16EC18A0" w14:textId="73E26ACD" w:rsidR="005373AB" w:rsidRPr="0048794C" w:rsidRDefault="005373AB" w:rsidP="0048794C">
      <w:pPr>
        <w:ind w:left="720"/>
        <w:rPr>
          <w:i/>
        </w:rPr>
      </w:pPr>
      <w:r w:rsidRPr="0048794C">
        <w:rPr>
          <w:i/>
        </w:rPr>
        <w:t>Afinitor is indicated for the treatment of unresectable or metastatic, well- or moderately-differentiated neuroendocrine tumours of pancreatic origin in a</w:t>
      </w:r>
      <w:r w:rsidR="00DC1D68">
        <w:rPr>
          <w:i/>
        </w:rPr>
        <w:t>dults with progressive disease.</w:t>
      </w:r>
    </w:p>
    <w:p w14:paraId="7A798165" w14:textId="4E114CBA" w:rsidR="005373AB" w:rsidRPr="0048794C" w:rsidRDefault="005373AB" w:rsidP="0048794C">
      <w:pPr>
        <w:ind w:left="720"/>
        <w:rPr>
          <w:i/>
        </w:rPr>
      </w:pPr>
      <w:r w:rsidRPr="0048794C">
        <w:rPr>
          <w:i/>
        </w:rPr>
        <w:t>Neuroendocrine tumours of gastrointes</w:t>
      </w:r>
      <w:r w:rsidR="0048794C" w:rsidRPr="0048794C">
        <w:rPr>
          <w:i/>
        </w:rPr>
        <w:t>tinal or lung origin</w:t>
      </w:r>
    </w:p>
    <w:p w14:paraId="3F197A4D" w14:textId="6F64F1FA" w:rsidR="005373AB" w:rsidRPr="007B492B" w:rsidRDefault="005373AB" w:rsidP="007B492B">
      <w:pPr>
        <w:ind w:left="720"/>
      </w:pPr>
      <w:r w:rsidRPr="0048794C">
        <w:rPr>
          <w:i/>
        </w:rPr>
        <w:t>Afinitor is indicated for the treatment of unresectable or metastatic, well-differentiated (Grade 1 or Grade 2) non-functional neuroendocrine tumours of gastrointestinal or lung origin in adults with progressive disease</w:t>
      </w:r>
      <w:r w:rsidR="00DC1D68">
        <w:rPr>
          <w:i/>
        </w:rPr>
        <w:t>’</w:t>
      </w:r>
      <w:r w:rsidRPr="0048794C">
        <w:rPr>
          <w:i/>
        </w:rPr>
        <w:t>.</w:t>
      </w:r>
      <w:r w:rsidR="007B492B" w:rsidRPr="007B492B">
        <w:rPr>
          <w:rStyle w:val="FootnoteReference"/>
        </w:rPr>
        <w:footnoteReference w:id="4"/>
      </w:r>
    </w:p>
    <w:p w14:paraId="2944D3EE" w14:textId="339EE9D2" w:rsidR="005373AB" w:rsidRPr="00940A89" w:rsidRDefault="005373AB" w:rsidP="00940A89">
      <w:r w:rsidRPr="005373AB">
        <w:t xml:space="preserve">Of note, both </w:t>
      </w:r>
      <w:r w:rsidR="007B492B">
        <w:t>FDA and EMA i</w:t>
      </w:r>
      <w:r w:rsidRPr="005373AB">
        <w:t xml:space="preserve">ndications specify </w:t>
      </w:r>
      <w:r w:rsidR="0094337E">
        <w:t xml:space="preserve">use in </w:t>
      </w:r>
      <w:r w:rsidRPr="005373AB">
        <w:t>adult patients.</w:t>
      </w:r>
    </w:p>
    <w:p w14:paraId="62610EC1" w14:textId="77777777" w:rsidR="008E7846" w:rsidRDefault="008E7846" w:rsidP="00940A89">
      <w:pPr>
        <w:pStyle w:val="Heading3"/>
      </w:pPr>
      <w:bookmarkStart w:id="15" w:name="_Toc493685089"/>
      <w:r>
        <w:t>Product Information</w:t>
      </w:r>
      <w:bookmarkEnd w:id="13"/>
      <w:bookmarkEnd w:id="14"/>
      <w:bookmarkEnd w:id="15"/>
    </w:p>
    <w:p w14:paraId="407FDF66" w14:textId="77777777" w:rsidR="00940A89" w:rsidRDefault="006136D7" w:rsidP="00940A89">
      <w:pPr>
        <w:rPr>
          <w:b/>
          <w:bCs/>
        </w:rPr>
      </w:pPr>
      <w:bookmarkStart w:id="16" w:name="_Toc247691506"/>
      <w:bookmarkStart w:id="17"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14" w:history="1">
        <w:r w:rsidR="00441C3F" w:rsidRPr="00441C3F">
          <w:rPr>
            <w:rStyle w:val="Hyperlink"/>
          </w:rPr>
          <w:t>https://www.tga.gov.au/product-information-pi</w:t>
        </w:r>
      </w:hyperlink>
      <w:r w:rsidR="00441C3F">
        <w:t>&gt;</w:t>
      </w:r>
      <w:r w:rsidR="00940A89" w:rsidRPr="00940A89">
        <w:t>.</w:t>
      </w:r>
    </w:p>
    <w:p w14:paraId="04AA2B5E" w14:textId="77777777" w:rsidR="008E7846" w:rsidRPr="003602A9" w:rsidRDefault="008E7846" w:rsidP="008E7846">
      <w:pPr>
        <w:pStyle w:val="Heading2"/>
        <w:ind w:left="-11"/>
      </w:pPr>
      <w:bookmarkStart w:id="18" w:name="_Toc493685090"/>
      <w:r>
        <w:t>II. Quality</w:t>
      </w:r>
      <w:bookmarkEnd w:id="1"/>
      <w:r>
        <w:t xml:space="preserve"> findings</w:t>
      </w:r>
      <w:bookmarkEnd w:id="16"/>
      <w:bookmarkEnd w:id="17"/>
      <w:bookmarkEnd w:id="18"/>
    </w:p>
    <w:p w14:paraId="0F4E6A6D" w14:textId="08407CE6" w:rsidR="00940A89" w:rsidRDefault="00940A89" w:rsidP="00940A89">
      <w:pPr>
        <w:pStyle w:val="Heading3"/>
      </w:pPr>
      <w:bookmarkStart w:id="19" w:name="_Toc493685091"/>
      <w:bookmarkStart w:id="20" w:name="_Toc247691507"/>
      <w:bookmarkStart w:id="21" w:name="_Toc314842488"/>
      <w:r w:rsidRPr="00940A89">
        <w:t>Introduction</w:t>
      </w:r>
      <w:bookmarkEnd w:id="19"/>
      <w:r w:rsidRPr="00940A89">
        <w:t xml:space="preserve"> </w:t>
      </w:r>
    </w:p>
    <w:p w14:paraId="1D788A47" w14:textId="176F432D" w:rsidR="007B492B" w:rsidRPr="007B492B" w:rsidRDefault="007B492B" w:rsidP="007B492B">
      <w:r w:rsidRPr="007B492B">
        <w:t xml:space="preserve">The submission included new </w:t>
      </w:r>
      <w:r w:rsidR="004402C9">
        <w:t>quality</w:t>
      </w:r>
      <w:r w:rsidR="00075172">
        <w:t xml:space="preserve"> data</w:t>
      </w:r>
      <w:r w:rsidRPr="007B492B">
        <w:t xml:space="preserve"> but this was only updated</w:t>
      </w:r>
      <w:r w:rsidR="004402C9">
        <w:t xml:space="preserve"> p</w:t>
      </w:r>
      <w:r w:rsidR="00AB259F">
        <w:t>harmaceutical development</w:t>
      </w:r>
      <w:r w:rsidR="004402C9">
        <w:t xml:space="preserve"> </w:t>
      </w:r>
      <w:r w:rsidR="00AB259F">
        <w:t>data</w:t>
      </w:r>
      <w:r w:rsidRPr="007B492B">
        <w:t xml:space="preserve">. This </w:t>
      </w:r>
      <w:r w:rsidR="00075172">
        <w:t>wa</w:t>
      </w:r>
      <w:r w:rsidRPr="007B492B">
        <w:t xml:space="preserve">s provided as </w:t>
      </w:r>
      <w:r w:rsidR="00DC1D68">
        <w:t xml:space="preserve">the </w:t>
      </w:r>
      <w:r w:rsidR="00AB259F">
        <w:rPr>
          <w:i/>
        </w:rPr>
        <w:t>‘</w:t>
      </w:r>
      <w:r w:rsidRPr="007B492B">
        <w:rPr>
          <w:i/>
        </w:rPr>
        <w:t xml:space="preserve">2.5 mg, 5 mg and 10 mg Tablets </w:t>
      </w:r>
      <w:r w:rsidR="00AB259F">
        <w:rPr>
          <w:i/>
        </w:rPr>
        <w:t>Clinical trial formulae’.</w:t>
      </w:r>
      <w:r w:rsidRPr="007B492B">
        <w:rPr>
          <w:i/>
        </w:rPr>
        <w:t xml:space="preserve"> </w:t>
      </w:r>
      <w:r w:rsidRPr="007B492B">
        <w:t xml:space="preserve">This </w:t>
      </w:r>
      <w:r w:rsidR="00AB259F">
        <w:t xml:space="preserve">data </w:t>
      </w:r>
      <w:r w:rsidRPr="007B492B">
        <w:t>details the formulations used in all everolimus clinical trials.</w:t>
      </w:r>
    </w:p>
    <w:p w14:paraId="3417180D" w14:textId="5D38185A" w:rsidR="00AB259F" w:rsidRPr="007B492B" w:rsidRDefault="007B492B" w:rsidP="007B492B">
      <w:r w:rsidRPr="007B492B">
        <w:t>The extension of indications r</w:t>
      </w:r>
      <w:r w:rsidR="00A95C25">
        <w:t>elates to Study CRAD001T2302 (</w:t>
      </w:r>
      <w:r w:rsidR="00786FB2">
        <w:t xml:space="preserve">the </w:t>
      </w:r>
      <w:r w:rsidR="00075172">
        <w:t>RADIANT</w:t>
      </w:r>
      <w:r w:rsidR="00786FB2">
        <w:t>-4 trial</w:t>
      </w:r>
      <w:r w:rsidRPr="00AB259F">
        <w:t>)</w:t>
      </w:r>
      <w:r w:rsidRPr="007B492B">
        <w:t xml:space="preserve"> in 302 patients with adv</w:t>
      </w:r>
      <w:r w:rsidR="00AB259F">
        <w:t xml:space="preserve">anced NET of GI or lung origin. </w:t>
      </w:r>
      <w:r w:rsidR="00A95C25">
        <w:t xml:space="preserve">Study </w:t>
      </w:r>
      <w:r w:rsidR="00581AD9">
        <w:t>CRAD001T2302 (RADIANT-4)</w:t>
      </w:r>
      <w:r w:rsidR="00A95C25">
        <w:t xml:space="preserve"> used 5 </w:t>
      </w:r>
      <w:r w:rsidR="00AB259F" w:rsidRPr="00AB259F">
        <w:t>mg tablets only</w:t>
      </w:r>
      <w:r w:rsidR="00AB259F">
        <w:t>.</w:t>
      </w:r>
    </w:p>
    <w:p w14:paraId="17A865D1" w14:textId="77777777" w:rsidR="008E7846" w:rsidRPr="008751DC" w:rsidRDefault="008E7846" w:rsidP="008E7846">
      <w:pPr>
        <w:pStyle w:val="Heading3"/>
      </w:pPr>
      <w:bookmarkStart w:id="22" w:name="_Toc247691509"/>
      <w:bookmarkStart w:id="23" w:name="_Toc314842493"/>
      <w:bookmarkStart w:id="24" w:name="_Toc493685092"/>
      <w:bookmarkEnd w:id="20"/>
      <w:bookmarkEnd w:id="21"/>
      <w:r>
        <w:t>Quality s</w:t>
      </w:r>
      <w:r w:rsidRPr="008751DC">
        <w:t>ummary</w:t>
      </w:r>
      <w:r>
        <w:t xml:space="preserve"> and conclusions</w:t>
      </w:r>
      <w:bookmarkEnd w:id="22"/>
      <w:bookmarkEnd w:id="23"/>
      <w:bookmarkEnd w:id="24"/>
    </w:p>
    <w:p w14:paraId="3256CEFB" w14:textId="607FB0CC" w:rsidR="008E7846" w:rsidRPr="00A95C25" w:rsidRDefault="007B492B" w:rsidP="00A95C25">
      <w:r w:rsidRPr="00A95C25">
        <w:t xml:space="preserve">Study </w:t>
      </w:r>
      <w:r w:rsidR="00581AD9">
        <w:t>CRAD001T2302 (RADIANT-4)</w:t>
      </w:r>
      <w:r w:rsidRPr="00A95C25">
        <w:t xml:space="preserve"> used 5 mg tablets as currently registered or pharmaceutically equivalent. The results of the study relate directly to Australian Afinitor tablets.</w:t>
      </w:r>
    </w:p>
    <w:p w14:paraId="474F34AC" w14:textId="77777777" w:rsidR="008E7846" w:rsidRDefault="008E7846" w:rsidP="008E7846">
      <w:pPr>
        <w:pStyle w:val="Heading2"/>
      </w:pPr>
      <w:bookmarkStart w:id="25" w:name="_Toc196046439"/>
      <w:bookmarkStart w:id="26" w:name="_Toc247691510"/>
      <w:bookmarkStart w:id="27" w:name="_Toc314842494"/>
      <w:bookmarkStart w:id="28" w:name="_Toc493685093"/>
      <w:r>
        <w:lastRenderedPageBreak/>
        <w:t>III. Nonclinical</w:t>
      </w:r>
      <w:bookmarkEnd w:id="25"/>
      <w:r>
        <w:t xml:space="preserve"> findings</w:t>
      </w:r>
      <w:bookmarkEnd w:id="26"/>
      <w:bookmarkEnd w:id="27"/>
      <w:bookmarkEnd w:id="28"/>
    </w:p>
    <w:p w14:paraId="42F69AD2" w14:textId="77777777" w:rsidR="00940A89" w:rsidRDefault="00940A89" w:rsidP="000E6196">
      <w:bookmarkStart w:id="29" w:name="_Toc247691511"/>
      <w:bookmarkStart w:id="30" w:name="_Toc314842495"/>
      <w:r>
        <w:t>There was no requirement for a nonclinical evaluation in a submission of this type.</w:t>
      </w:r>
    </w:p>
    <w:p w14:paraId="228F769A" w14:textId="77777777" w:rsidR="008E7846" w:rsidRPr="00254787" w:rsidRDefault="008E7846" w:rsidP="008E7846">
      <w:pPr>
        <w:pStyle w:val="Heading2"/>
      </w:pPr>
      <w:bookmarkStart w:id="31" w:name="_Toc196046462"/>
      <w:bookmarkStart w:id="32" w:name="_Toc247691516"/>
      <w:bookmarkStart w:id="33" w:name="_Toc314842500"/>
      <w:bookmarkStart w:id="34" w:name="_Toc493685094"/>
      <w:bookmarkStart w:id="35" w:name="_Toc163441353"/>
      <w:bookmarkStart w:id="36" w:name="_Toc163441348"/>
      <w:bookmarkEnd w:id="29"/>
      <w:bookmarkEnd w:id="30"/>
      <w:r>
        <w:t xml:space="preserve">IV. </w:t>
      </w:r>
      <w:r w:rsidRPr="00254787">
        <w:t>Clinical</w:t>
      </w:r>
      <w:bookmarkEnd w:id="31"/>
      <w:r>
        <w:t xml:space="preserve"> </w:t>
      </w:r>
      <w:r w:rsidR="003A7F6C">
        <w:t>f</w:t>
      </w:r>
      <w:r>
        <w:t>indings</w:t>
      </w:r>
      <w:bookmarkEnd w:id="32"/>
      <w:bookmarkEnd w:id="33"/>
      <w:bookmarkEnd w:id="34"/>
    </w:p>
    <w:p w14:paraId="74C5C483" w14:textId="77777777" w:rsidR="00C80137" w:rsidRDefault="00C80137" w:rsidP="00D425BB">
      <w:bookmarkStart w:id="37" w:name="_Toc196046463"/>
      <w:r>
        <w:t xml:space="preserve">A summary of the </w:t>
      </w:r>
      <w:r w:rsidRPr="00FD70B8">
        <w:t xml:space="preserve">clinical findings is presented in this section. </w:t>
      </w:r>
      <w:r>
        <w:t xml:space="preserve">Further details of these </w:t>
      </w:r>
      <w:r w:rsidRPr="00FD70B8">
        <w:t>clinical findings can be found in Attachment 2.</w:t>
      </w:r>
    </w:p>
    <w:p w14:paraId="3BDDD35F" w14:textId="77777777" w:rsidR="008E7846" w:rsidRDefault="008E7846" w:rsidP="008E7846">
      <w:pPr>
        <w:pStyle w:val="Heading3"/>
      </w:pPr>
      <w:bookmarkStart w:id="38" w:name="_Toc247691517"/>
      <w:bookmarkStart w:id="39" w:name="_Toc314842501"/>
      <w:bookmarkStart w:id="40" w:name="_Toc493685095"/>
      <w:r w:rsidRPr="00254787">
        <w:t>Introduction</w:t>
      </w:r>
      <w:bookmarkEnd w:id="37"/>
      <w:bookmarkEnd w:id="38"/>
      <w:bookmarkEnd w:id="39"/>
      <w:bookmarkEnd w:id="40"/>
    </w:p>
    <w:p w14:paraId="4802BABA" w14:textId="77777777" w:rsidR="00605AD4" w:rsidRDefault="00605AD4" w:rsidP="00605AD4">
      <w:pPr>
        <w:pStyle w:val="Heading4"/>
      </w:pPr>
      <w:bookmarkStart w:id="41" w:name="_Toc196046464"/>
      <w:bookmarkStart w:id="42" w:name="_Toc247691518"/>
      <w:bookmarkStart w:id="43" w:name="_Toc314842502"/>
      <w:r w:rsidRPr="00605AD4">
        <w:t xml:space="preserve">Clinical </w:t>
      </w:r>
      <w:r w:rsidR="00EF59DC">
        <w:t>r</w:t>
      </w:r>
      <w:r w:rsidRPr="00605AD4">
        <w:t>ationale</w:t>
      </w:r>
    </w:p>
    <w:p w14:paraId="641A03FC" w14:textId="1DAE7DF8" w:rsidR="00D26289" w:rsidRPr="00A95723" w:rsidRDefault="00D26289" w:rsidP="00D26289">
      <w:pPr>
        <w:rPr>
          <w:lang w:eastAsia="ja-JP"/>
        </w:rPr>
      </w:pPr>
      <w:r w:rsidRPr="00A95723">
        <w:rPr>
          <w:lang w:eastAsia="ja-JP"/>
        </w:rPr>
        <w:t xml:space="preserve">A </w:t>
      </w:r>
      <w:r w:rsidR="00A010B7">
        <w:rPr>
          <w:lang w:eastAsia="ja-JP"/>
        </w:rPr>
        <w:t>NET</w:t>
      </w:r>
      <w:r w:rsidRPr="00A95723">
        <w:rPr>
          <w:lang w:eastAsia="ja-JP"/>
        </w:rPr>
        <w:t xml:space="preserve"> can be defined as a tumour that forms from cells that release hormones into the blood in response to a signal from the nervous system.</w:t>
      </w:r>
      <w:r w:rsidRPr="00A95723">
        <w:rPr>
          <w:rStyle w:val="FootnoteReference"/>
          <w:lang w:eastAsia="ja-JP"/>
        </w:rPr>
        <w:footnoteReference w:id="5"/>
      </w:r>
      <w:r w:rsidRPr="00A95723">
        <w:rPr>
          <w:lang w:eastAsia="ja-JP"/>
        </w:rPr>
        <w:t xml:space="preserve"> NETs are a diverse collection of tumours that demonstrate varied clinical behaviour.</w:t>
      </w:r>
      <w:bookmarkStart w:id="44" w:name="_Ref491260771"/>
      <w:r w:rsidRPr="00A95723">
        <w:rPr>
          <w:rStyle w:val="FootnoteReference"/>
          <w:lang w:eastAsia="ja-JP"/>
        </w:rPr>
        <w:footnoteReference w:id="6"/>
      </w:r>
      <w:bookmarkEnd w:id="44"/>
      <w:r w:rsidRPr="00A95723">
        <w:rPr>
          <w:lang w:eastAsia="ja-JP"/>
        </w:rPr>
        <w:t xml:space="preserve"> They can arise in most organs of the body.</w:t>
      </w:r>
      <w:bookmarkStart w:id="45" w:name="_Ref491260701"/>
      <w:r w:rsidRPr="00A95723">
        <w:rPr>
          <w:rStyle w:val="FootnoteReference"/>
          <w:lang w:eastAsia="ja-JP"/>
        </w:rPr>
        <w:footnoteReference w:id="7"/>
      </w:r>
      <w:bookmarkEnd w:id="45"/>
      <w:r w:rsidRPr="00A95723">
        <w:rPr>
          <w:lang w:eastAsia="ja-JP"/>
        </w:rPr>
        <w:t xml:space="preserve"> Common sites include the gastrointestinal tract, lungs, pancreas and thymus. Other less common sites include the parathyroid, thyroid, adrenal and pituitary glands.</w:t>
      </w:r>
      <w:bookmarkStart w:id="46" w:name="_Ref491260669"/>
      <w:r w:rsidRPr="00A95723">
        <w:rPr>
          <w:rStyle w:val="FootnoteReference"/>
          <w:lang w:eastAsia="ja-JP"/>
        </w:rPr>
        <w:footnoteReference w:id="8"/>
      </w:r>
      <w:bookmarkEnd w:id="46"/>
    </w:p>
    <w:p w14:paraId="5517B702" w14:textId="77777777" w:rsidR="00D26289" w:rsidRPr="00A95723" w:rsidRDefault="00D26289" w:rsidP="00D26289">
      <w:pPr>
        <w:rPr>
          <w:lang w:eastAsia="ja-JP"/>
        </w:rPr>
      </w:pPr>
      <w:r w:rsidRPr="00A95723">
        <w:rPr>
          <w:lang w:eastAsia="ja-JP"/>
        </w:rPr>
        <w:t>NETs are rare malignancies with an estimated annual incidence of approximately 5 cases per 100,000 of population.</w:t>
      </w:r>
      <w:r w:rsidRPr="00A95723">
        <w:rPr>
          <w:rStyle w:val="FootnoteReference"/>
          <w:lang w:eastAsia="ja-JP"/>
        </w:rPr>
        <w:footnoteReference w:id="9"/>
      </w:r>
    </w:p>
    <w:p w14:paraId="09D4A71D" w14:textId="03CA169D" w:rsidR="00D26289" w:rsidRPr="00A95723" w:rsidRDefault="00D26289" w:rsidP="00D26289">
      <w:pPr>
        <w:rPr>
          <w:lang w:eastAsia="ja-JP"/>
        </w:rPr>
      </w:pPr>
      <w:r w:rsidRPr="00A95723">
        <w:rPr>
          <w:lang w:eastAsia="ja-JP"/>
        </w:rPr>
        <w:t>There are currently a number of systems used to classify grade and stage NETs. Relevant documents include guidelines produced by the World Health Organisation (WHO)</w:t>
      </w:r>
      <w:r w:rsidRPr="00A95723">
        <w:rPr>
          <w:rStyle w:val="FootnoteReference"/>
          <w:lang w:eastAsia="ja-JP"/>
        </w:rPr>
        <w:footnoteReference w:id="10"/>
      </w:r>
      <w:r w:rsidR="00075172">
        <w:rPr>
          <w:lang w:eastAsia="ja-JP"/>
        </w:rPr>
        <w:t>;</w:t>
      </w:r>
      <w:r w:rsidRPr="00A95723">
        <w:rPr>
          <w:lang w:eastAsia="ja-JP"/>
        </w:rPr>
        <w:t xml:space="preserve"> the European Neuroendocrine Tumo</w:t>
      </w:r>
      <w:r w:rsidR="00A95C25">
        <w:rPr>
          <w:lang w:eastAsia="ja-JP"/>
        </w:rPr>
        <w:t>u</w:t>
      </w:r>
      <w:r w:rsidRPr="00A95723">
        <w:rPr>
          <w:lang w:eastAsia="ja-JP"/>
        </w:rPr>
        <w:t>r Society (ENETS)</w:t>
      </w:r>
      <w:r w:rsidRPr="00A95723">
        <w:rPr>
          <w:rStyle w:val="FootnoteReference"/>
          <w:lang w:eastAsia="ja-JP"/>
        </w:rPr>
        <w:footnoteReference w:id="11"/>
      </w:r>
      <w:r w:rsidR="00075172">
        <w:rPr>
          <w:lang w:eastAsia="ja-JP"/>
        </w:rPr>
        <w:t>;</w:t>
      </w:r>
      <w:r w:rsidRPr="00A95723">
        <w:rPr>
          <w:lang w:eastAsia="ja-JP"/>
        </w:rPr>
        <w:t xml:space="preserve"> the North American Neuroendocrine Tumor Society (NANETS)</w:t>
      </w:r>
      <w:r w:rsidRPr="00A95723">
        <w:rPr>
          <w:rStyle w:val="FootnoteReference"/>
          <w:lang w:eastAsia="ja-JP"/>
        </w:rPr>
        <w:footnoteReference w:id="12"/>
      </w:r>
      <w:r w:rsidR="00075172">
        <w:rPr>
          <w:lang w:eastAsia="ja-JP"/>
        </w:rPr>
        <w:t>;</w:t>
      </w:r>
      <w:r w:rsidRPr="00A95723">
        <w:rPr>
          <w:lang w:eastAsia="ja-JP"/>
        </w:rPr>
        <w:t xml:space="preserve"> and guidelines produced by the National Comprehensive Cancer Network (NCCN) in the United States</w:t>
      </w:r>
      <w:r w:rsidR="00A95C25">
        <w:rPr>
          <w:lang w:eastAsia="ja-JP"/>
        </w:rPr>
        <w:t>.</w:t>
      </w:r>
      <w:r w:rsidRPr="00A95723">
        <w:rPr>
          <w:vertAlign w:val="superscript"/>
          <w:lang w:eastAsia="ja-JP"/>
        </w:rPr>
        <w:fldChar w:fldCharType="begin"/>
      </w:r>
      <w:r w:rsidRPr="00A95723">
        <w:rPr>
          <w:vertAlign w:val="superscript"/>
          <w:lang w:eastAsia="ja-JP"/>
        </w:rPr>
        <w:instrText xml:space="preserve"> NOTEREF _Ref491260669 \h  \* MERGEFORMAT </w:instrText>
      </w:r>
      <w:r w:rsidRPr="00A95723">
        <w:rPr>
          <w:vertAlign w:val="superscript"/>
          <w:lang w:eastAsia="ja-JP"/>
        </w:rPr>
      </w:r>
      <w:r w:rsidRPr="00A95723">
        <w:rPr>
          <w:vertAlign w:val="superscript"/>
          <w:lang w:eastAsia="ja-JP"/>
        </w:rPr>
        <w:fldChar w:fldCharType="separate"/>
      </w:r>
      <w:r w:rsidR="002A5AE3">
        <w:rPr>
          <w:vertAlign w:val="superscript"/>
          <w:lang w:eastAsia="ja-JP"/>
        </w:rPr>
        <w:t>8</w:t>
      </w:r>
      <w:r w:rsidRPr="00A95723">
        <w:rPr>
          <w:vertAlign w:val="superscript"/>
          <w:lang w:eastAsia="ja-JP"/>
        </w:rPr>
        <w:fldChar w:fldCharType="end"/>
      </w:r>
      <w:r w:rsidRPr="00A95723">
        <w:rPr>
          <w:lang w:eastAsia="ja-JP"/>
        </w:rPr>
        <w:t xml:space="preserve"> Guidelines generally classify NETs as either well differentiated or poorly differentiated. They are also graded as low grade (Grade 1), intermediate grade (</w:t>
      </w:r>
      <w:r>
        <w:rPr>
          <w:lang w:eastAsia="ja-JP"/>
        </w:rPr>
        <w:t>G</w:t>
      </w:r>
      <w:r w:rsidRPr="00A95723">
        <w:rPr>
          <w:lang w:eastAsia="ja-JP"/>
        </w:rPr>
        <w:t>rade 2) or high grade (Grade 3) tumours on the basis of the rate of proliferation of cells in the tumour. Rate of proliferation is determined using th</w:t>
      </w:r>
      <w:r w:rsidR="00A95C25">
        <w:rPr>
          <w:lang w:eastAsia="ja-JP"/>
        </w:rPr>
        <w:t xml:space="preserve">e number of mitoses per 10 high </w:t>
      </w:r>
      <w:r w:rsidRPr="00A95723">
        <w:rPr>
          <w:lang w:eastAsia="ja-JP"/>
        </w:rPr>
        <w:t>power microscopic fields (HPF) or the percentage of cells expressing Ki-67, a nuclear protein that is a general marker of tumour proliferation.</w:t>
      </w:r>
      <w:r w:rsidRPr="00A95723">
        <w:rPr>
          <w:vertAlign w:val="superscript"/>
          <w:lang w:eastAsia="ja-JP"/>
        </w:rPr>
        <w:fldChar w:fldCharType="begin"/>
      </w:r>
      <w:r w:rsidRPr="00A95723">
        <w:rPr>
          <w:vertAlign w:val="superscript"/>
          <w:lang w:eastAsia="ja-JP"/>
        </w:rPr>
        <w:instrText xml:space="preserve"> NOTEREF _Ref491260701 \h  \* MERGEFORMAT </w:instrText>
      </w:r>
      <w:r w:rsidRPr="00A95723">
        <w:rPr>
          <w:vertAlign w:val="superscript"/>
          <w:lang w:eastAsia="ja-JP"/>
        </w:rPr>
      </w:r>
      <w:r w:rsidRPr="00A95723">
        <w:rPr>
          <w:vertAlign w:val="superscript"/>
          <w:lang w:eastAsia="ja-JP"/>
        </w:rPr>
        <w:fldChar w:fldCharType="separate"/>
      </w:r>
      <w:r w:rsidR="002A5AE3">
        <w:rPr>
          <w:vertAlign w:val="superscript"/>
          <w:lang w:eastAsia="ja-JP"/>
        </w:rPr>
        <w:t>7</w:t>
      </w:r>
      <w:r w:rsidRPr="00A95723">
        <w:rPr>
          <w:vertAlign w:val="superscript"/>
          <w:lang w:eastAsia="ja-JP"/>
        </w:rPr>
        <w:fldChar w:fldCharType="end"/>
      </w:r>
    </w:p>
    <w:p w14:paraId="3E1BBFC7" w14:textId="77777777" w:rsidR="00D26289" w:rsidRPr="00A95723" w:rsidRDefault="00D26289" w:rsidP="00D26289">
      <w:pPr>
        <w:rPr>
          <w:lang w:eastAsia="ja-JP"/>
        </w:rPr>
      </w:pPr>
      <w:r w:rsidRPr="00A95723">
        <w:rPr>
          <w:lang w:eastAsia="ja-JP"/>
        </w:rPr>
        <w:t xml:space="preserve">A proportion of NETs express excessive amounts of hormones, resulting in distinct clinical syndromes. Examples include Zollinger-Ellinson syndrome associated with excess production of gastrin (gastrinoma) and hypoglycaemia with excess insulin (insulinoma). Tumours that secrete excess amounts of vasoactive peptides such as serotonin can be associated with a distinct clinical syndrome known as ‘carcinoid syndrome’ which is characterised by flushing, diarrhoea and abdominal pain. Tumours producing excessive amounts of hormones are referred to as ‘functioning’ NETs whereas those not producing </w:t>
      </w:r>
      <w:r w:rsidRPr="00A95723">
        <w:rPr>
          <w:lang w:eastAsia="ja-JP"/>
        </w:rPr>
        <w:lastRenderedPageBreak/>
        <w:t>excessive hormones are referred to as ‘non-functioning’ NETs. Functioning NETs may produce more than one hormone.</w:t>
      </w:r>
      <w:r w:rsidRPr="00A95723">
        <w:rPr>
          <w:vertAlign w:val="superscript"/>
          <w:lang w:eastAsia="ja-JP"/>
        </w:rPr>
        <w:fldChar w:fldCharType="begin"/>
      </w:r>
      <w:r w:rsidRPr="00A95723">
        <w:rPr>
          <w:vertAlign w:val="superscript"/>
          <w:lang w:eastAsia="ja-JP"/>
        </w:rPr>
        <w:instrText xml:space="preserve"> NOTEREF _Ref491260771 \h  \* MERGEFORMAT </w:instrText>
      </w:r>
      <w:r w:rsidRPr="00A95723">
        <w:rPr>
          <w:vertAlign w:val="superscript"/>
          <w:lang w:eastAsia="ja-JP"/>
        </w:rPr>
      </w:r>
      <w:r w:rsidRPr="00A95723">
        <w:rPr>
          <w:vertAlign w:val="superscript"/>
          <w:lang w:eastAsia="ja-JP"/>
        </w:rPr>
        <w:fldChar w:fldCharType="separate"/>
      </w:r>
      <w:r w:rsidR="002A5AE3">
        <w:rPr>
          <w:vertAlign w:val="superscript"/>
          <w:lang w:eastAsia="ja-JP"/>
        </w:rPr>
        <w:t>6</w:t>
      </w:r>
      <w:r w:rsidRPr="00A95723">
        <w:rPr>
          <w:vertAlign w:val="superscript"/>
          <w:lang w:eastAsia="ja-JP"/>
        </w:rPr>
        <w:fldChar w:fldCharType="end"/>
      </w:r>
    </w:p>
    <w:p w14:paraId="499910A1" w14:textId="7AD2307E" w:rsidR="00D26289" w:rsidRPr="00A95723" w:rsidRDefault="00A010B7" w:rsidP="00D26289">
      <w:pPr>
        <w:rPr>
          <w:lang w:eastAsia="ja-JP"/>
        </w:rPr>
      </w:pPr>
      <w:r>
        <w:rPr>
          <w:lang w:eastAsia="ja-JP"/>
        </w:rPr>
        <w:t>CgA</w:t>
      </w:r>
      <w:r w:rsidR="00D26289" w:rsidRPr="00A95723">
        <w:rPr>
          <w:lang w:eastAsia="ja-JP"/>
        </w:rPr>
        <w:t xml:space="preserve"> is a protein contained in the secretory granules of neuroendocrine cells. Serum CgA levels can be used to monitor disease burden for both functioning and non-functioning NETs.</w:t>
      </w:r>
      <w:bookmarkStart w:id="47" w:name="_Ref491261138"/>
      <w:r w:rsidR="00D26289" w:rsidRPr="00A95723">
        <w:rPr>
          <w:rStyle w:val="FootnoteReference"/>
          <w:lang w:eastAsia="ja-JP"/>
        </w:rPr>
        <w:footnoteReference w:id="13"/>
      </w:r>
      <w:bookmarkEnd w:id="47"/>
      <w:r w:rsidR="00D26289" w:rsidRPr="00A95723">
        <w:rPr>
          <w:lang w:eastAsia="ja-JP"/>
        </w:rPr>
        <w:t xml:space="preserve"> Another biomarker often overexpressed by NETs is neuron-specific enolase (NSE), a glycolytic enzyme found in neuronal and neuroendocrine tissues.</w:t>
      </w:r>
      <w:r w:rsidR="00D26289" w:rsidRPr="00A95723">
        <w:rPr>
          <w:rStyle w:val="FootnoteReference"/>
          <w:lang w:eastAsia="ja-JP"/>
        </w:rPr>
        <w:footnoteReference w:id="14"/>
      </w:r>
      <w:r w:rsidR="00D26289" w:rsidRPr="00A95723">
        <w:rPr>
          <w:lang w:eastAsia="ja-JP"/>
        </w:rPr>
        <w:t xml:space="preserve"> Other biomarkers include 5-hydroxyindole acetic acid (5-HIAA), the urinary breakdown product of serotonin and specific hormones associated with functioning tumours (for example, </w:t>
      </w:r>
      <w:r w:rsidR="00AB71D4">
        <w:rPr>
          <w:lang w:eastAsia="ja-JP"/>
        </w:rPr>
        <w:t>gastrin and</w:t>
      </w:r>
      <w:r w:rsidR="00D26289" w:rsidRPr="00A95723">
        <w:rPr>
          <w:lang w:eastAsia="ja-JP"/>
        </w:rPr>
        <w:t xml:space="preserve"> insulin).</w:t>
      </w:r>
    </w:p>
    <w:p w14:paraId="101FDA71" w14:textId="676DD619" w:rsidR="00D26289" w:rsidRPr="00A95723" w:rsidRDefault="00D26289" w:rsidP="00D26289">
      <w:pPr>
        <w:rPr>
          <w:lang w:eastAsia="ja-JP"/>
        </w:rPr>
      </w:pPr>
      <w:r w:rsidRPr="00A95723">
        <w:rPr>
          <w:lang w:eastAsia="ja-JP"/>
        </w:rPr>
        <w:t>Extent of disea</w:t>
      </w:r>
      <w:r w:rsidR="00AB71D4">
        <w:rPr>
          <w:lang w:eastAsia="ja-JP"/>
        </w:rPr>
        <w:t>se is usually described using TNM</w:t>
      </w:r>
      <w:r w:rsidRPr="00A95723">
        <w:rPr>
          <w:lang w:eastAsia="ja-JP"/>
        </w:rPr>
        <w:t xml:space="preserve"> staging systems such as those produced by the AJ</w:t>
      </w:r>
      <w:r w:rsidR="00AB71D4">
        <w:rPr>
          <w:lang w:eastAsia="ja-JP"/>
        </w:rPr>
        <w:t>CC</w:t>
      </w:r>
      <w:r w:rsidRPr="00A95723">
        <w:rPr>
          <w:lang w:eastAsia="ja-JP"/>
        </w:rPr>
        <w:t>.</w:t>
      </w:r>
      <w:r w:rsidRPr="00A95723">
        <w:rPr>
          <w:rStyle w:val="FootnoteReference"/>
          <w:lang w:eastAsia="ja-JP"/>
        </w:rPr>
        <w:footnoteReference w:id="15"/>
      </w:r>
      <w:r w:rsidRPr="00A95723">
        <w:rPr>
          <w:lang w:eastAsia="ja-JP"/>
        </w:rPr>
        <w:t xml:space="preserve"> Separate staging systems are used for the various anatomical sites of primary tumour. The most common sites for metastases are regional liver nodes, the liver and bone.</w:t>
      </w:r>
      <w:r w:rsidRPr="00A95723">
        <w:rPr>
          <w:vertAlign w:val="superscript"/>
          <w:lang w:eastAsia="ja-JP"/>
        </w:rPr>
        <w:fldChar w:fldCharType="begin"/>
      </w:r>
      <w:r w:rsidRPr="00A95723">
        <w:rPr>
          <w:vertAlign w:val="superscript"/>
          <w:lang w:eastAsia="ja-JP"/>
        </w:rPr>
        <w:instrText xml:space="preserve"> NOTEREF _Ref491260669 \h  \* MERGEFORMAT </w:instrText>
      </w:r>
      <w:r w:rsidRPr="00A95723">
        <w:rPr>
          <w:vertAlign w:val="superscript"/>
          <w:lang w:eastAsia="ja-JP"/>
        </w:rPr>
      </w:r>
      <w:r w:rsidRPr="00A95723">
        <w:rPr>
          <w:vertAlign w:val="superscript"/>
          <w:lang w:eastAsia="ja-JP"/>
        </w:rPr>
        <w:fldChar w:fldCharType="separate"/>
      </w:r>
      <w:r w:rsidR="002A5AE3">
        <w:rPr>
          <w:vertAlign w:val="superscript"/>
          <w:lang w:eastAsia="ja-JP"/>
        </w:rPr>
        <w:t>8</w:t>
      </w:r>
      <w:r w:rsidRPr="00A95723">
        <w:rPr>
          <w:vertAlign w:val="superscript"/>
          <w:lang w:eastAsia="ja-JP"/>
        </w:rPr>
        <w:fldChar w:fldCharType="end"/>
      </w:r>
      <w:r w:rsidRPr="00A95723">
        <w:rPr>
          <w:lang w:eastAsia="ja-JP"/>
        </w:rPr>
        <w:t xml:space="preserve"> Approximately 50% of subjects have metastatic disease at the time of initial diagnosis.</w:t>
      </w:r>
      <w:r w:rsidRPr="00A95723">
        <w:rPr>
          <w:vertAlign w:val="superscript"/>
          <w:lang w:eastAsia="ja-JP"/>
        </w:rPr>
        <w:fldChar w:fldCharType="begin"/>
      </w:r>
      <w:r w:rsidRPr="00A95723">
        <w:rPr>
          <w:vertAlign w:val="superscript"/>
          <w:lang w:eastAsia="ja-JP"/>
        </w:rPr>
        <w:instrText xml:space="preserve"> NOTEREF _Ref491261138 \h  \* MERGEFORMAT </w:instrText>
      </w:r>
      <w:r w:rsidRPr="00A95723">
        <w:rPr>
          <w:vertAlign w:val="superscript"/>
          <w:lang w:eastAsia="ja-JP"/>
        </w:rPr>
      </w:r>
      <w:r w:rsidRPr="00A95723">
        <w:rPr>
          <w:vertAlign w:val="superscript"/>
          <w:lang w:eastAsia="ja-JP"/>
        </w:rPr>
        <w:fldChar w:fldCharType="separate"/>
      </w:r>
      <w:r w:rsidR="002A5AE3">
        <w:rPr>
          <w:vertAlign w:val="superscript"/>
          <w:lang w:eastAsia="ja-JP"/>
        </w:rPr>
        <w:t>13</w:t>
      </w:r>
      <w:r w:rsidRPr="00A95723">
        <w:rPr>
          <w:vertAlign w:val="superscript"/>
          <w:lang w:eastAsia="ja-JP"/>
        </w:rPr>
        <w:fldChar w:fldCharType="end"/>
      </w:r>
    </w:p>
    <w:p w14:paraId="310BCE62" w14:textId="7189C367" w:rsidR="00D26289" w:rsidRPr="00A95723" w:rsidRDefault="00D26289" w:rsidP="00D26289">
      <w:pPr>
        <w:rPr>
          <w:lang w:eastAsia="ja-JP"/>
        </w:rPr>
      </w:pPr>
      <w:r w:rsidRPr="00A95723">
        <w:rPr>
          <w:lang w:eastAsia="ja-JP"/>
        </w:rPr>
        <w:t xml:space="preserve">NETs typically express receptors for somatostatin, an endogenous hormone that has inhibitory effects on a number of cellular functions. These receptors provide a target for imaging of the disease through the use of radiolabelled </w:t>
      </w:r>
      <w:r w:rsidR="00701F0B">
        <w:rPr>
          <w:lang w:eastAsia="ja-JP"/>
        </w:rPr>
        <w:t>SSAs</w:t>
      </w:r>
      <w:r w:rsidRPr="00A95723">
        <w:rPr>
          <w:lang w:eastAsia="ja-JP"/>
        </w:rPr>
        <w:t xml:space="preserve"> (use of Octreoscan, for example). </w:t>
      </w:r>
      <w:r w:rsidR="00701F0B">
        <w:rPr>
          <w:lang w:eastAsia="ja-JP"/>
        </w:rPr>
        <w:t>SSAs</w:t>
      </w:r>
      <w:r w:rsidRPr="00A95723">
        <w:rPr>
          <w:lang w:eastAsia="ja-JP"/>
        </w:rPr>
        <w:t xml:space="preserve"> are also used in the treatment of these tumours.</w:t>
      </w:r>
    </w:p>
    <w:p w14:paraId="1817CCD7" w14:textId="429677F5" w:rsidR="00D26289" w:rsidRDefault="00D26289" w:rsidP="00D26289">
      <w:pPr>
        <w:rPr>
          <w:vertAlign w:val="superscript"/>
          <w:lang w:eastAsia="ja-JP"/>
        </w:rPr>
      </w:pPr>
      <w:r w:rsidRPr="00A95723">
        <w:rPr>
          <w:lang w:eastAsia="ja-JP"/>
        </w:rPr>
        <w:t xml:space="preserve">NETs usually occur sporadically but may be a feature of various inherited genetic syndromes such as </w:t>
      </w:r>
      <w:r w:rsidR="00AB71D4">
        <w:rPr>
          <w:lang w:eastAsia="ja-JP"/>
        </w:rPr>
        <w:t>MEN1 and MEN2</w:t>
      </w:r>
      <w:r w:rsidRPr="00A95723">
        <w:rPr>
          <w:lang w:eastAsia="ja-JP"/>
        </w:rPr>
        <w:t>, von Hippel-Lindau disease, tuberous sclerosis complex and neurofibromatosis.</w:t>
      </w:r>
      <w:r w:rsidRPr="00A95723">
        <w:rPr>
          <w:vertAlign w:val="superscript"/>
          <w:lang w:eastAsia="ja-JP"/>
        </w:rPr>
        <w:fldChar w:fldCharType="begin"/>
      </w:r>
      <w:r w:rsidRPr="00A95723">
        <w:rPr>
          <w:vertAlign w:val="superscript"/>
          <w:lang w:eastAsia="ja-JP"/>
        </w:rPr>
        <w:instrText xml:space="preserve"> NOTEREF _Ref491260669 \h  \* MERGEFORMAT </w:instrText>
      </w:r>
      <w:r w:rsidRPr="00A95723">
        <w:rPr>
          <w:vertAlign w:val="superscript"/>
          <w:lang w:eastAsia="ja-JP"/>
        </w:rPr>
      </w:r>
      <w:r w:rsidRPr="00A95723">
        <w:rPr>
          <w:vertAlign w:val="superscript"/>
          <w:lang w:eastAsia="ja-JP"/>
        </w:rPr>
        <w:fldChar w:fldCharType="separate"/>
      </w:r>
      <w:r w:rsidR="002A5AE3">
        <w:rPr>
          <w:vertAlign w:val="superscript"/>
          <w:lang w:eastAsia="ja-JP"/>
        </w:rPr>
        <w:t>8</w:t>
      </w:r>
      <w:r w:rsidRPr="00A95723">
        <w:rPr>
          <w:vertAlign w:val="superscript"/>
          <w:lang w:eastAsia="ja-JP"/>
        </w:rPr>
        <w:fldChar w:fldCharType="end"/>
      </w:r>
    </w:p>
    <w:p w14:paraId="5572A27A" w14:textId="77777777" w:rsidR="00AB71D4" w:rsidRPr="00A95723" w:rsidRDefault="00AB71D4" w:rsidP="00AB71D4">
      <w:pPr>
        <w:pStyle w:val="Heading4"/>
        <w:numPr>
          <w:ilvl w:val="2"/>
          <w:numId w:val="0"/>
        </w:numPr>
        <w:tabs>
          <w:tab w:val="num" w:pos="1134"/>
        </w:tabs>
        <w:adjustRightInd w:val="0"/>
        <w:snapToGrid w:val="0"/>
        <w:spacing w:before="120" w:after="120"/>
        <w:ind w:left="1134" w:hanging="964"/>
      </w:pPr>
      <w:r w:rsidRPr="00A95723">
        <w:t>Treatment</w:t>
      </w:r>
    </w:p>
    <w:p w14:paraId="29D016FC" w14:textId="51FCB4C7" w:rsidR="00AB71D4" w:rsidRPr="00A95723" w:rsidRDefault="00AB71D4" w:rsidP="00AB71D4">
      <w:pPr>
        <w:rPr>
          <w:lang w:eastAsia="ja-JP"/>
        </w:rPr>
      </w:pPr>
      <w:r w:rsidRPr="00A95723">
        <w:rPr>
          <w:lang w:eastAsia="ja-JP"/>
        </w:rPr>
        <w:t>Surgery is the treatment of choice for patients with resectable disease. For patients with poorly differentiated unresectable or metastatic disease, cytotoxic chemotherapy is used (</w:t>
      </w:r>
      <w:r>
        <w:rPr>
          <w:lang w:eastAsia="ja-JP"/>
        </w:rPr>
        <w:t>use</w:t>
      </w:r>
      <w:r w:rsidRPr="00A95723">
        <w:rPr>
          <w:lang w:eastAsia="ja-JP"/>
        </w:rPr>
        <w:t xml:space="preserve"> of platinum-based regimens, for example).</w:t>
      </w:r>
    </w:p>
    <w:p w14:paraId="2F0E9445" w14:textId="77777777" w:rsidR="00AB71D4" w:rsidRPr="00A95723" w:rsidRDefault="00AB71D4" w:rsidP="00AB71D4">
      <w:pPr>
        <w:rPr>
          <w:lang w:eastAsia="ja-JP"/>
        </w:rPr>
      </w:pPr>
      <w:r w:rsidRPr="00A95723">
        <w:rPr>
          <w:lang w:eastAsia="ja-JP"/>
        </w:rPr>
        <w:t>For subjects with unresectable or metastatic well-differentiated disease, established treatments include the following:</w:t>
      </w:r>
    </w:p>
    <w:p w14:paraId="5D5AE2EC" w14:textId="6C9B3919" w:rsidR="00AB71D4" w:rsidRPr="00A95723" w:rsidRDefault="00896505" w:rsidP="009E79FB">
      <w:pPr>
        <w:pStyle w:val="ListBullet"/>
        <w:numPr>
          <w:ilvl w:val="0"/>
          <w:numId w:val="1"/>
        </w:numPr>
        <w:rPr>
          <w:lang w:eastAsia="ja-JP"/>
        </w:rPr>
      </w:pPr>
      <w:r>
        <w:rPr>
          <w:lang w:eastAsia="ja-JP"/>
        </w:rPr>
        <w:t>s</w:t>
      </w:r>
      <w:r w:rsidR="00AB71D4" w:rsidRPr="00A95723">
        <w:rPr>
          <w:lang w:eastAsia="ja-JP"/>
        </w:rPr>
        <w:t>omatostatin analogues (SSAs): octreotide (Sandostatin) and lanreotide (Somatuline);</w:t>
      </w:r>
    </w:p>
    <w:p w14:paraId="02C058FF" w14:textId="77777777" w:rsidR="00AB71D4" w:rsidRPr="00A95723" w:rsidRDefault="00AB71D4" w:rsidP="009E79FB">
      <w:pPr>
        <w:pStyle w:val="ListBullet"/>
        <w:numPr>
          <w:ilvl w:val="0"/>
          <w:numId w:val="1"/>
        </w:numPr>
        <w:rPr>
          <w:lang w:eastAsia="ja-JP"/>
        </w:rPr>
      </w:pPr>
      <w:r w:rsidRPr="00A95723">
        <w:rPr>
          <w:lang w:eastAsia="ja-JP"/>
        </w:rPr>
        <w:t>sunitinib;</w:t>
      </w:r>
    </w:p>
    <w:p w14:paraId="2822D946" w14:textId="77777777" w:rsidR="00AB71D4" w:rsidRPr="00A95723" w:rsidRDefault="00AB71D4" w:rsidP="009E79FB">
      <w:pPr>
        <w:pStyle w:val="ListBullet"/>
        <w:numPr>
          <w:ilvl w:val="0"/>
          <w:numId w:val="1"/>
        </w:numPr>
        <w:rPr>
          <w:lang w:eastAsia="ja-JP"/>
        </w:rPr>
      </w:pPr>
      <w:r w:rsidRPr="00A95723">
        <w:rPr>
          <w:lang w:eastAsia="ja-JP"/>
        </w:rPr>
        <w:t>everolimus.</w:t>
      </w:r>
    </w:p>
    <w:p w14:paraId="5BF61378" w14:textId="34859C68" w:rsidR="00AB71D4" w:rsidRPr="00A95723" w:rsidRDefault="00AB71D4" w:rsidP="00AB71D4">
      <w:pPr>
        <w:rPr>
          <w:lang w:eastAsia="ja-JP"/>
        </w:rPr>
      </w:pPr>
      <w:r w:rsidRPr="00A95723">
        <w:rPr>
          <w:lang w:eastAsia="ja-JP"/>
        </w:rPr>
        <w:t>The approved indications for these products in Australi</w:t>
      </w:r>
      <w:r w:rsidR="00DB6E93">
        <w:rPr>
          <w:lang w:eastAsia="ja-JP"/>
        </w:rPr>
        <w:t xml:space="preserve">a </w:t>
      </w:r>
      <w:r w:rsidR="00701F0B">
        <w:rPr>
          <w:lang w:eastAsia="ja-JP"/>
        </w:rPr>
        <w:t>have been</w:t>
      </w:r>
      <w:r w:rsidR="00DB6E93">
        <w:rPr>
          <w:lang w:eastAsia="ja-JP"/>
        </w:rPr>
        <w:t xml:space="preserve"> summarised </w:t>
      </w:r>
      <w:r w:rsidR="00701F0B">
        <w:rPr>
          <w:lang w:eastAsia="ja-JP"/>
        </w:rPr>
        <w:t>above</w:t>
      </w:r>
      <w:r w:rsidR="00DB6E93">
        <w:rPr>
          <w:lang w:eastAsia="ja-JP"/>
        </w:rPr>
        <w:t xml:space="preserve"> in Table </w:t>
      </w:r>
      <w:r w:rsidRPr="00A95723">
        <w:rPr>
          <w:lang w:eastAsia="ja-JP"/>
        </w:rPr>
        <w:t>1. The indications for the various products are limited to NETs arising in certain anatomical locations. In particular sunitinib and everolimus are currently restricted for use in subjects with pancreatic NETs. The rationale for this submission was that there are limited treatment options available for subjects with advanced NETs arising from sites other than the pancreas.</w:t>
      </w:r>
    </w:p>
    <w:p w14:paraId="57B1D261" w14:textId="4F850868" w:rsidR="00AB71D4" w:rsidRPr="00AB71D4" w:rsidRDefault="00AB71D4" w:rsidP="00D26289">
      <w:pPr>
        <w:rPr>
          <w:vertAlign w:val="superscript"/>
          <w:lang w:eastAsia="ja-JP"/>
        </w:rPr>
      </w:pPr>
      <w:r w:rsidRPr="00A95723">
        <w:rPr>
          <w:lang w:eastAsia="ja-JP"/>
        </w:rPr>
        <w:t xml:space="preserve">Other registered agents that are used for well-differentiated NETs but do not have regulatory approval in Australia include interferon alpha 2b and various cytotoxic agents (examples include temozolomide, 5-fluorouracil, capecitabine and dacarbazine). Radionuclide therapy with radiolabelled </w:t>
      </w:r>
      <w:r>
        <w:rPr>
          <w:lang w:eastAsia="ja-JP"/>
        </w:rPr>
        <w:t>SSAs</w:t>
      </w:r>
      <w:r w:rsidRPr="00A95723">
        <w:rPr>
          <w:lang w:eastAsia="ja-JP"/>
        </w:rPr>
        <w:t xml:space="preserve"> (LuTate for example) is an experimental therapy that has shown promising results in these patients.</w:t>
      </w:r>
      <w:r w:rsidRPr="00A95723">
        <w:rPr>
          <w:vertAlign w:val="superscript"/>
          <w:lang w:eastAsia="ja-JP"/>
        </w:rPr>
        <w:fldChar w:fldCharType="begin"/>
      </w:r>
      <w:r w:rsidRPr="00A95723">
        <w:rPr>
          <w:vertAlign w:val="superscript"/>
          <w:lang w:eastAsia="ja-JP"/>
        </w:rPr>
        <w:instrText xml:space="preserve"> NOTEREF _Ref491260669 \h  \* MERGEFORMAT </w:instrText>
      </w:r>
      <w:r w:rsidRPr="00A95723">
        <w:rPr>
          <w:vertAlign w:val="superscript"/>
          <w:lang w:eastAsia="ja-JP"/>
        </w:rPr>
      </w:r>
      <w:r w:rsidRPr="00A95723">
        <w:rPr>
          <w:vertAlign w:val="superscript"/>
          <w:lang w:eastAsia="ja-JP"/>
        </w:rPr>
        <w:fldChar w:fldCharType="separate"/>
      </w:r>
      <w:r w:rsidR="002A5AE3">
        <w:rPr>
          <w:vertAlign w:val="superscript"/>
          <w:lang w:eastAsia="ja-JP"/>
        </w:rPr>
        <w:t>8</w:t>
      </w:r>
      <w:r w:rsidRPr="00A95723">
        <w:rPr>
          <w:vertAlign w:val="superscript"/>
          <w:lang w:eastAsia="ja-JP"/>
        </w:rPr>
        <w:fldChar w:fldCharType="end"/>
      </w:r>
    </w:p>
    <w:p w14:paraId="2BC25BE5" w14:textId="77777777" w:rsidR="00605AD4" w:rsidRDefault="00605AD4" w:rsidP="00605AD4">
      <w:pPr>
        <w:pStyle w:val="Heading4"/>
      </w:pPr>
      <w:r w:rsidRPr="00605AD4">
        <w:lastRenderedPageBreak/>
        <w:t>Guidance</w:t>
      </w:r>
    </w:p>
    <w:p w14:paraId="06700D65" w14:textId="4E593D63" w:rsidR="00AB71D4" w:rsidRPr="00A95723" w:rsidRDefault="00AB71D4" w:rsidP="00AB71D4">
      <w:pPr>
        <w:rPr>
          <w:lang w:eastAsia="ja-JP"/>
        </w:rPr>
      </w:pPr>
      <w:r w:rsidRPr="00A95723">
        <w:rPr>
          <w:lang w:eastAsia="ja-JP"/>
        </w:rPr>
        <w:t>The following E</w:t>
      </w:r>
      <w:r w:rsidR="00896505">
        <w:rPr>
          <w:lang w:eastAsia="ja-JP"/>
        </w:rPr>
        <w:t>U</w:t>
      </w:r>
      <w:r w:rsidRPr="00A95723">
        <w:rPr>
          <w:lang w:eastAsia="ja-JP"/>
        </w:rPr>
        <w:t xml:space="preserve"> guidelines which have been adopted by the TGA are considered relevant to the current submission:</w:t>
      </w:r>
    </w:p>
    <w:p w14:paraId="13BEA08E" w14:textId="77777777" w:rsidR="00AB71D4" w:rsidRPr="00A95723" w:rsidRDefault="00AB71D4" w:rsidP="009E79FB">
      <w:pPr>
        <w:pStyle w:val="ListBullet"/>
        <w:numPr>
          <w:ilvl w:val="0"/>
          <w:numId w:val="1"/>
        </w:numPr>
        <w:rPr>
          <w:lang w:eastAsia="ja-JP"/>
        </w:rPr>
      </w:pPr>
      <w:r w:rsidRPr="00A95723">
        <w:rPr>
          <w:lang w:eastAsia="ja-JP"/>
        </w:rPr>
        <w:t>Guideline on the evaluation of anticancer medicinal products;</w:t>
      </w:r>
      <w:bookmarkStart w:id="48" w:name="_Ref491268716"/>
      <w:r w:rsidRPr="00A95723">
        <w:rPr>
          <w:rStyle w:val="FootnoteReference"/>
          <w:lang w:eastAsia="ja-JP"/>
        </w:rPr>
        <w:footnoteReference w:id="16"/>
      </w:r>
      <w:bookmarkEnd w:id="48"/>
    </w:p>
    <w:p w14:paraId="1322184B" w14:textId="77777777" w:rsidR="00AB71D4" w:rsidRPr="00A95723" w:rsidRDefault="00AB71D4" w:rsidP="009E79FB">
      <w:pPr>
        <w:pStyle w:val="ListBullet"/>
        <w:numPr>
          <w:ilvl w:val="0"/>
          <w:numId w:val="1"/>
        </w:numPr>
        <w:rPr>
          <w:lang w:eastAsia="ja-JP"/>
        </w:rPr>
      </w:pPr>
      <w:r w:rsidRPr="00A95723">
        <w:rPr>
          <w:lang w:eastAsia="ja-JP"/>
        </w:rPr>
        <w:t>Appendix 1 to the guideline on the evaluation of anticancer medicinal products in man. (Methodological consideration for using progression-free survival or disease-free survival in confirmatory trials);</w:t>
      </w:r>
      <w:bookmarkStart w:id="49" w:name="_Ref491268694"/>
      <w:r w:rsidRPr="00A95723">
        <w:rPr>
          <w:rStyle w:val="FootnoteReference"/>
          <w:lang w:eastAsia="ja-JP"/>
        </w:rPr>
        <w:footnoteReference w:id="17"/>
      </w:r>
      <w:bookmarkEnd w:id="49"/>
    </w:p>
    <w:p w14:paraId="3AE18E5F" w14:textId="303C0C70" w:rsidR="00A8678B" w:rsidRPr="00AB71D4" w:rsidRDefault="00AB71D4" w:rsidP="009E79FB">
      <w:pPr>
        <w:pStyle w:val="ListBullet"/>
        <w:numPr>
          <w:ilvl w:val="0"/>
          <w:numId w:val="1"/>
        </w:numPr>
        <w:rPr>
          <w:lang w:eastAsia="ja-JP"/>
        </w:rPr>
      </w:pPr>
      <w:r w:rsidRPr="00A95723">
        <w:rPr>
          <w:lang w:eastAsia="ja-JP"/>
        </w:rPr>
        <w:t>Points to consider on application with 1. Meta-analyses; 2. One pivotal study.</w:t>
      </w:r>
      <w:bookmarkStart w:id="50" w:name="_Ref491348688"/>
      <w:r w:rsidRPr="00A95723">
        <w:rPr>
          <w:rStyle w:val="FootnoteReference"/>
          <w:lang w:eastAsia="ja-JP"/>
        </w:rPr>
        <w:footnoteReference w:id="18"/>
      </w:r>
      <w:bookmarkEnd w:id="50"/>
    </w:p>
    <w:p w14:paraId="5A4C305D" w14:textId="77777777" w:rsidR="00605AD4" w:rsidRDefault="00605AD4" w:rsidP="00605AD4">
      <w:pPr>
        <w:pStyle w:val="Heading4"/>
      </w:pPr>
      <w:r w:rsidRPr="00605AD4">
        <w:t>Contents of the clinical dossier</w:t>
      </w:r>
    </w:p>
    <w:p w14:paraId="22DA43FE" w14:textId="77777777" w:rsidR="00AB71D4" w:rsidRPr="00A95723" w:rsidRDefault="00AB71D4" w:rsidP="00AB71D4">
      <w:pPr>
        <w:rPr>
          <w:lang w:eastAsia="ja-JP"/>
        </w:rPr>
      </w:pPr>
      <w:r w:rsidRPr="00A95723">
        <w:rPr>
          <w:lang w:eastAsia="ja-JP"/>
        </w:rPr>
        <w:t>The submission contained the following clinical information relevant to the proposed new indication:</w:t>
      </w:r>
    </w:p>
    <w:p w14:paraId="2A6F33B4" w14:textId="77777777" w:rsidR="00AB71D4" w:rsidRPr="00A95723" w:rsidRDefault="00AB71D4" w:rsidP="009E79FB">
      <w:pPr>
        <w:pStyle w:val="ListBullet"/>
        <w:numPr>
          <w:ilvl w:val="0"/>
          <w:numId w:val="1"/>
        </w:numPr>
        <w:rPr>
          <w:lang w:eastAsia="ja-JP"/>
        </w:rPr>
      </w:pPr>
      <w:r w:rsidRPr="00A95723">
        <w:rPr>
          <w:lang w:eastAsia="ja-JP"/>
        </w:rPr>
        <w:t>A single pivotal efficacy/safety study (Study CRAD001T2302, otherwise referred to as the RADIANT-4 study).</w:t>
      </w:r>
    </w:p>
    <w:p w14:paraId="54A80B37" w14:textId="77777777" w:rsidR="00AB71D4" w:rsidRDefault="00AB71D4" w:rsidP="009E79FB">
      <w:pPr>
        <w:pStyle w:val="ListBullet"/>
        <w:numPr>
          <w:ilvl w:val="0"/>
          <w:numId w:val="1"/>
        </w:numPr>
        <w:rPr>
          <w:lang w:eastAsia="ja-JP"/>
        </w:rPr>
      </w:pPr>
      <w:r w:rsidRPr="00A95723">
        <w:rPr>
          <w:lang w:eastAsia="ja-JP"/>
        </w:rPr>
        <w:t>A Clinical Overview, Summary of Clinical Pharmacology, Summary of Clinical Efficacy, and a Summary of Clinical Safety.</w:t>
      </w:r>
    </w:p>
    <w:p w14:paraId="0018047F" w14:textId="74990B5B" w:rsidR="00764DE1" w:rsidRPr="00A95723" w:rsidRDefault="00764DE1" w:rsidP="00764DE1">
      <w:pPr>
        <w:pStyle w:val="ListBullet"/>
        <w:rPr>
          <w:lang w:eastAsia="ja-JP"/>
        </w:rPr>
      </w:pPr>
      <w:r w:rsidRPr="00764DE1">
        <w:rPr>
          <w:lang w:eastAsia="ja-JP"/>
        </w:rPr>
        <w:t>Literature references</w:t>
      </w:r>
    </w:p>
    <w:p w14:paraId="200960FB" w14:textId="002692EC" w:rsidR="00AB71D4" w:rsidRPr="00AB71D4" w:rsidRDefault="00AB71D4" w:rsidP="00AB71D4">
      <w:pPr>
        <w:rPr>
          <w:lang w:eastAsia="ja-JP"/>
        </w:rPr>
      </w:pPr>
      <w:r w:rsidRPr="00A95723">
        <w:rPr>
          <w:lang w:eastAsia="ja-JP"/>
        </w:rPr>
        <w:t xml:space="preserve">In support of the updates to the PI concerning </w:t>
      </w:r>
      <w:r w:rsidR="009C4454">
        <w:rPr>
          <w:lang w:eastAsia="ja-JP"/>
        </w:rPr>
        <w:t>tuberous sclerosis complex (</w:t>
      </w:r>
      <w:r w:rsidRPr="00A95723">
        <w:rPr>
          <w:lang w:eastAsia="ja-JP"/>
        </w:rPr>
        <w:t>TSC</w:t>
      </w:r>
      <w:r w:rsidR="009C4454">
        <w:rPr>
          <w:lang w:eastAsia="ja-JP"/>
        </w:rPr>
        <w:t>)</w:t>
      </w:r>
      <w:r w:rsidRPr="00A95723">
        <w:rPr>
          <w:lang w:eastAsia="ja-JP"/>
        </w:rPr>
        <w:t xml:space="preserve"> studies, the submission included final study reports for 3 trials: M2301, M2302, and C2485. The submission also included summaries of efficac</w:t>
      </w:r>
      <w:r>
        <w:rPr>
          <w:lang w:eastAsia="ja-JP"/>
        </w:rPr>
        <w:t>y and safety for these studies.</w:t>
      </w:r>
    </w:p>
    <w:p w14:paraId="37E84743" w14:textId="77777777" w:rsidR="00605AD4" w:rsidRDefault="00605AD4" w:rsidP="00605AD4">
      <w:pPr>
        <w:pStyle w:val="Heading4"/>
      </w:pPr>
      <w:r w:rsidRPr="00605AD4">
        <w:t>Paediatric data</w:t>
      </w:r>
    </w:p>
    <w:p w14:paraId="61B28E8C" w14:textId="251ED293" w:rsidR="00AB71D4" w:rsidRPr="00AB71D4" w:rsidRDefault="00AB71D4" w:rsidP="00AB71D4">
      <w:pPr>
        <w:rPr>
          <w:lang w:eastAsia="ja-JP"/>
        </w:rPr>
      </w:pPr>
      <w:r w:rsidRPr="00A95723">
        <w:rPr>
          <w:lang w:eastAsia="ja-JP"/>
        </w:rPr>
        <w:t>The submission did not include paediatric data. The sponsor has obtained waivers for paediatric data from both the FDA in the USA and the EMA in Europe. In the U</w:t>
      </w:r>
      <w:r w:rsidR="008B426E">
        <w:rPr>
          <w:lang w:eastAsia="ja-JP"/>
        </w:rPr>
        <w:t>S</w:t>
      </w:r>
      <w:r w:rsidRPr="00A95723">
        <w:rPr>
          <w:lang w:eastAsia="ja-JP"/>
        </w:rPr>
        <w:t xml:space="preserve"> the waiver appears to have been based on the fact that the drug had received orphan designation. In Europe it appears that the waiver was granted on the grounds that </w:t>
      </w:r>
      <w:r w:rsidR="008B426E">
        <w:rPr>
          <w:lang w:eastAsia="ja-JP"/>
        </w:rPr>
        <w:t>GEP </w:t>
      </w:r>
      <w:r w:rsidRPr="00A95723">
        <w:rPr>
          <w:lang w:eastAsia="ja-JP"/>
        </w:rPr>
        <w:t xml:space="preserve">NETs do </w:t>
      </w:r>
      <w:r>
        <w:rPr>
          <w:lang w:eastAsia="ja-JP"/>
        </w:rPr>
        <w:t>not normally occur in children.</w:t>
      </w:r>
    </w:p>
    <w:p w14:paraId="6502A942" w14:textId="77777777" w:rsidR="00605AD4" w:rsidRDefault="00605AD4" w:rsidP="00605AD4">
      <w:pPr>
        <w:pStyle w:val="Heading4"/>
      </w:pPr>
      <w:r w:rsidRPr="00605AD4">
        <w:t>Good clinical practice</w:t>
      </w:r>
    </w:p>
    <w:p w14:paraId="02896B95" w14:textId="294D9128" w:rsidR="00AB71D4" w:rsidRPr="00AB71D4" w:rsidRDefault="00AB71D4" w:rsidP="00AB71D4">
      <w:pPr>
        <w:rPr>
          <w:lang w:eastAsia="ja-JP"/>
        </w:rPr>
      </w:pPr>
      <w:bookmarkStart w:id="51" w:name="_Toc241374282"/>
      <w:r w:rsidRPr="00A95723">
        <w:rPr>
          <w:lang w:eastAsia="ja-JP"/>
        </w:rPr>
        <w:t xml:space="preserve">The submission included one new trial to support the proposed new indication. The study report included an assurance that the trial was conducted in accordance with the </w:t>
      </w:r>
      <w:r w:rsidR="008B426E">
        <w:rPr>
          <w:lang w:eastAsia="ja-JP"/>
        </w:rPr>
        <w:t>International Conference on Harmonisation (</w:t>
      </w:r>
      <w:r w:rsidRPr="00A95723">
        <w:rPr>
          <w:lang w:eastAsia="ja-JP"/>
        </w:rPr>
        <w:t>ICH</w:t>
      </w:r>
      <w:r w:rsidR="008B426E">
        <w:rPr>
          <w:lang w:eastAsia="ja-JP"/>
        </w:rPr>
        <w:t xml:space="preserve">) </w:t>
      </w:r>
      <w:r w:rsidRPr="00A95723">
        <w:rPr>
          <w:lang w:eastAsia="ja-JP"/>
        </w:rPr>
        <w:t>Guidelines for Good Clinical Practice</w:t>
      </w:r>
      <w:r w:rsidR="008B426E">
        <w:rPr>
          <w:lang w:eastAsia="ja-JP"/>
        </w:rPr>
        <w:t xml:space="preserve"> (GCP)</w:t>
      </w:r>
      <w:r w:rsidRPr="00A95723">
        <w:rPr>
          <w:lang w:eastAsia="ja-JP"/>
        </w:rPr>
        <w:t xml:space="preserve"> and with the ethical principles laid down by the Declaration of Helsinki.</w:t>
      </w:r>
      <w:bookmarkEnd w:id="51"/>
    </w:p>
    <w:p w14:paraId="3224339A" w14:textId="77777777" w:rsidR="008E7846" w:rsidRDefault="008E7846" w:rsidP="00605AD4">
      <w:pPr>
        <w:pStyle w:val="Heading3"/>
      </w:pPr>
      <w:bookmarkStart w:id="52" w:name="_Toc493685096"/>
      <w:r w:rsidRPr="00254787">
        <w:t>Pharmacokinetics</w:t>
      </w:r>
      <w:bookmarkEnd w:id="35"/>
      <w:bookmarkEnd w:id="41"/>
      <w:bookmarkEnd w:id="42"/>
      <w:bookmarkEnd w:id="43"/>
      <w:bookmarkEnd w:id="52"/>
    </w:p>
    <w:p w14:paraId="5A9FFFAB" w14:textId="1C5C51AE" w:rsidR="00AB71D4" w:rsidRPr="00A95723" w:rsidRDefault="00AB71D4" w:rsidP="00AB71D4">
      <w:pPr>
        <w:rPr>
          <w:lang w:eastAsia="ja-JP"/>
        </w:rPr>
      </w:pPr>
      <w:r w:rsidRPr="00A95723">
        <w:rPr>
          <w:lang w:eastAsia="ja-JP"/>
        </w:rPr>
        <w:t xml:space="preserve">The pivotal study in GIT/lung NETs collected a very limited amount of </w:t>
      </w:r>
      <w:r w:rsidR="008B426E">
        <w:rPr>
          <w:lang w:eastAsia="ja-JP"/>
        </w:rPr>
        <w:t>pharmacokinetic (</w:t>
      </w:r>
      <w:r w:rsidRPr="00A95723">
        <w:rPr>
          <w:lang w:eastAsia="ja-JP"/>
        </w:rPr>
        <w:t>PK</w:t>
      </w:r>
      <w:r w:rsidR="008B426E">
        <w:rPr>
          <w:lang w:eastAsia="ja-JP"/>
        </w:rPr>
        <w:t>)</w:t>
      </w:r>
      <w:r w:rsidRPr="00A95723">
        <w:rPr>
          <w:lang w:eastAsia="ja-JP"/>
        </w:rPr>
        <w:t xml:space="preserve"> data. These data are summarised below in Table 2. No significant new information was generated regarding the PK of everolimus.</w:t>
      </w:r>
    </w:p>
    <w:p w14:paraId="47203A08" w14:textId="77777777" w:rsidR="00AB71D4" w:rsidRPr="00A95723" w:rsidRDefault="00AB71D4" w:rsidP="00AB71D4">
      <w:pPr>
        <w:pStyle w:val="Tabletitle0"/>
        <w:rPr>
          <w:lang w:eastAsia="ja-JP"/>
        </w:rPr>
      </w:pPr>
      <w:r w:rsidRPr="00A95723">
        <w:rPr>
          <w:lang w:eastAsia="ja-JP"/>
        </w:rPr>
        <w:lastRenderedPageBreak/>
        <w:t>Table 2. Summary of the PK data from the RADIANT-4 study</w:t>
      </w:r>
    </w:p>
    <w:tbl>
      <w:tblPr>
        <w:tblStyle w:val="TableTGAblue"/>
        <w:tblW w:w="0" w:type="auto"/>
        <w:tblLayout w:type="fixed"/>
        <w:tblLook w:val="04A0" w:firstRow="1" w:lastRow="0" w:firstColumn="1" w:lastColumn="0" w:noHBand="0" w:noVBand="1"/>
      </w:tblPr>
      <w:tblGrid>
        <w:gridCol w:w="1638"/>
        <w:gridCol w:w="7604"/>
      </w:tblGrid>
      <w:tr w:rsidR="00AB71D4" w:rsidRPr="00896505" w14:paraId="6FAF6599" w14:textId="77777777" w:rsidTr="007A2BF4">
        <w:trPr>
          <w:cnfStyle w:val="100000000000" w:firstRow="1" w:lastRow="0" w:firstColumn="0" w:lastColumn="0" w:oddVBand="0" w:evenVBand="0" w:oddHBand="0" w:evenHBand="0" w:firstRowFirstColumn="0" w:firstRowLastColumn="0" w:lastRowFirstColumn="0" w:lastRowLastColumn="0"/>
        </w:trPr>
        <w:tc>
          <w:tcPr>
            <w:tcW w:w="9242" w:type="dxa"/>
            <w:gridSpan w:val="2"/>
          </w:tcPr>
          <w:p w14:paraId="3A5F28DC" w14:textId="77777777" w:rsidR="00AB71D4" w:rsidRPr="000B0784" w:rsidRDefault="00AB71D4" w:rsidP="005B63BA">
            <w:pPr>
              <w:rPr>
                <w:sz w:val="20"/>
                <w:szCs w:val="20"/>
              </w:rPr>
            </w:pPr>
            <w:r w:rsidRPr="000B0784">
              <w:rPr>
                <w:sz w:val="20"/>
                <w:szCs w:val="20"/>
              </w:rPr>
              <w:t>Summary of PK data</w:t>
            </w:r>
          </w:p>
        </w:tc>
      </w:tr>
      <w:tr w:rsidR="00AB71D4" w:rsidRPr="00896505" w14:paraId="2B8CD473" w14:textId="77777777" w:rsidTr="005B63BA">
        <w:tc>
          <w:tcPr>
            <w:tcW w:w="1638" w:type="dxa"/>
          </w:tcPr>
          <w:p w14:paraId="36D98B14" w14:textId="77777777" w:rsidR="00AB71D4" w:rsidRPr="000B0784" w:rsidRDefault="00AB71D4" w:rsidP="005B63BA">
            <w:pPr>
              <w:ind w:left="0"/>
              <w:rPr>
                <w:sz w:val="20"/>
                <w:szCs w:val="20"/>
                <w:lang w:eastAsia="ja-JP"/>
              </w:rPr>
            </w:pPr>
            <w:r w:rsidRPr="000B0784">
              <w:rPr>
                <w:sz w:val="20"/>
                <w:szCs w:val="20"/>
                <w:lang w:eastAsia="ja-JP"/>
              </w:rPr>
              <w:t>Objectives</w:t>
            </w:r>
          </w:p>
        </w:tc>
        <w:tc>
          <w:tcPr>
            <w:tcW w:w="7604" w:type="dxa"/>
          </w:tcPr>
          <w:p w14:paraId="52B958B4" w14:textId="05383B9E" w:rsidR="00AB71D4" w:rsidRPr="000B0784" w:rsidRDefault="00AB71D4" w:rsidP="005B63BA">
            <w:pPr>
              <w:ind w:left="0"/>
              <w:rPr>
                <w:sz w:val="20"/>
                <w:szCs w:val="20"/>
                <w:lang w:eastAsia="ja-JP"/>
              </w:rPr>
            </w:pPr>
            <w:r w:rsidRPr="000B0784">
              <w:rPr>
                <w:sz w:val="20"/>
                <w:szCs w:val="20"/>
                <w:lang w:eastAsia="ja-JP"/>
              </w:rPr>
              <w:t xml:space="preserve">This was the pivotal efficacy study supporting the proposed new indication. One of the secondary objectives of the study was to determine the exposure of everolimus at the steady state pre-dose </w:t>
            </w:r>
            <w:r w:rsidR="00DA2455" w:rsidRPr="000B0784">
              <w:rPr>
                <w:sz w:val="20"/>
                <w:szCs w:val="20"/>
                <w:lang w:eastAsia="ja-JP"/>
              </w:rPr>
              <w:t xml:space="preserve">minimum plasma </w:t>
            </w:r>
            <w:r w:rsidRPr="000B0784">
              <w:rPr>
                <w:sz w:val="20"/>
                <w:szCs w:val="20"/>
                <w:lang w:eastAsia="ja-JP"/>
              </w:rPr>
              <w:t>concentration (C</w:t>
            </w:r>
            <w:r w:rsidRPr="000B0784">
              <w:rPr>
                <w:sz w:val="20"/>
                <w:szCs w:val="20"/>
                <w:vertAlign w:val="subscript"/>
                <w:lang w:eastAsia="ja-JP"/>
              </w:rPr>
              <w:t>min</w:t>
            </w:r>
            <w:r w:rsidRPr="000B0784">
              <w:rPr>
                <w:sz w:val="20"/>
                <w:szCs w:val="20"/>
                <w:lang w:eastAsia="ja-JP"/>
              </w:rPr>
              <w:t>) at Cycle 2 (Day 29). Two of the exploratory objectives were to explore the relationship between C</w:t>
            </w:r>
            <w:r w:rsidRPr="000B0784">
              <w:rPr>
                <w:sz w:val="20"/>
                <w:szCs w:val="20"/>
                <w:vertAlign w:val="subscript"/>
                <w:lang w:eastAsia="ja-JP"/>
              </w:rPr>
              <w:t>min</w:t>
            </w:r>
            <w:r w:rsidRPr="000B0784">
              <w:rPr>
                <w:sz w:val="20"/>
                <w:szCs w:val="20"/>
                <w:lang w:eastAsia="ja-JP"/>
              </w:rPr>
              <w:t xml:space="preserve"> an</w:t>
            </w:r>
            <w:r w:rsidR="00DA2455" w:rsidRPr="000B0784">
              <w:rPr>
                <w:sz w:val="20"/>
                <w:szCs w:val="20"/>
                <w:lang w:eastAsia="ja-JP"/>
              </w:rPr>
              <w:t>d progression-free survival (</w:t>
            </w:r>
            <w:r w:rsidRPr="000B0784">
              <w:rPr>
                <w:sz w:val="20"/>
                <w:szCs w:val="20"/>
                <w:lang w:eastAsia="ja-JP"/>
              </w:rPr>
              <w:t>PFS</w:t>
            </w:r>
            <w:r w:rsidR="00DA2455" w:rsidRPr="000B0784">
              <w:rPr>
                <w:sz w:val="20"/>
                <w:szCs w:val="20"/>
                <w:lang w:eastAsia="ja-JP"/>
              </w:rPr>
              <w:t>)</w:t>
            </w:r>
            <w:r w:rsidRPr="000B0784">
              <w:rPr>
                <w:sz w:val="20"/>
                <w:szCs w:val="20"/>
                <w:lang w:eastAsia="ja-JP"/>
              </w:rPr>
              <w:t>, and to explore the relationship between C</w:t>
            </w:r>
            <w:r w:rsidRPr="000B0784">
              <w:rPr>
                <w:sz w:val="20"/>
                <w:szCs w:val="20"/>
                <w:vertAlign w:val="subscript"/>
                <w:lang w:eastAsia="ja-JP"/>
              </w:rPr>
              <w:t>min</w:t>
            </w:r>
            <w:r w:rsidRPr="000B0784">
              <w:rPr>
                <w:sz w:val="20"/>
                <w:szCs w:val="20"/>
                <w:lang w:eastAsia="ja-JP"/>
              </w:rPr>
              <w:t xml:space="preserve"> and safety endpoints.</w:t>
            </w:r>
          </w:p>
        </w:tc>
      </w:tr>
      <w:tr w:rsidR="00AB71D4" w:rsidRPr="00896505" w14:paraId="10327141" w14:textId="77777777" w:rsidTr="005B63BA">
        <w:tc>
          <w:tcPr>
            <w:tcW w:w="1638" w:type="dxa"/>
          </w:tcPr>
          <w:p w14:paraId="54BEF833" w14:textId="77777777" w:rsidR="00AB71D4" w:rsidRPr="000B0784" w:rsidRDefault="00AB71D4" w:rsidP="005B63BA">
            <w:pPr>
              <w:ind w:left="0"/>
              <w:rPr>
                <w:sz w:val="20"/>
                <w:szCs w:val="20"/>
                <w:lang w:eastAsia="ja-JP"/>
              </w:rPr>
            </w:pPr>
            <w:r w:rsidRPr="000B0784">
              <w:rPr>
                <w:sz w:val="20"/>
                <w:szCs w:val="20"/>
                <w:lang w:eastAsia="ja-JP"/>
              </w:rPr>
              <w:t>Methodology</w:t>
            </w:r>
          </w:p>
        </w:tc>
        <w:tc>
          <w:tcPr>
            <w:tcW w:w="7604" w:type="dxa"/>
          </w:tcPr>
          <w:p w14:paraId="3D448DC0" w14:textId="01689E62" w:rsidR="00AB71D4" w:rsidRPr="000B0784" w:rsidRDefault="00AB71D4" w:rsidP="005B63BA">
            <w:pPr>
              <w:ind w:left="0"/>
              <w:rPr>
                <w:sz w:val="20"/>
                <w:szCs w:val="20"/>
                <w:lang w:eastAsia="ja-JP"/>
              </w:rPr>
            </w:pPr>
            <w:r w:rsidRPr="000B0784">
              <w:rPr>
                <w:i/>
                <w:sz w:val="20"/>
                <w:szCs w:val="20"/>
                <w:lang w:eastAsia="ja-JP"/>
              </w:rPr>
              <w:t>Design</w:t>
            </w:r>
            <w:r w:rsidRPr="000B0784">
              <w:rPr>
                <w:sz w:val="20"/>
                <w:szCs w:val="20"/>
                <w:lang w:eastAsia="ja-JP"/>
              </w:rPr>
              <w:t>:</w:t>
            </w:r>
            <w:r w:rsidRPr="000B0784">
              <w:rPr>
                <w:i/>
                <w:sz w:val="20"/>
                <w:szCs w:val="20"/>
                <w:lang w:eastAsia="ja-JP"/>
              </w:rPr>
              <w:t xml:space="preserve"> </w:t>
            </w:r>
            <w:r w:rsidRPr="000B0784">
              <w:rPr>
                <w:sz w:val="20"/>
                <w:szCs w:val="20"/>
                <w:lang w:eastAsia="ja-JP"/>
              </w:rPr>
              <w:t xml:space="preserve">Details of the study design, treatments and so on are given in Section 7: Clinical Efficacy </w:t>
            </w:r>
            <w:r w:rsidR="00DA2455" w:rsidRPr="000B0784">
              <w:rPr>
                <w:sz w:val="20"/>
                <w:szCs w:val="20"/>
                <w:lang w:eastAsia="ja-JP"/>
              </w:rPr>
              <w:t>of Attachment 2.</w:t>
            </w:r>
          </w:p>
          <w:p w14:paraId="09FED4B2" w14:textId="7BB44BFB" w:rsidR="00AB71D4" w:rsidRPr="000B0784" w:rsidRDefault="00AB71D4" w:rsidP="005B63BA">
            <w:pPr>
              <w:ind w:left="0"/>
              <w:rPr>
                <w:sz w:val="20"/>
                <w:szCs w:val="20"/>
                <w:lang w:eastAsia="ja-JP"/>
              </w:rPr>
            </w:pPr>
            <w:r w:rsidRPr="000B0784">
              <w:rPr>
                <w:i/>
                <w:sz w:val="20"/>
                <w:szCs w:val="20"/>
                <w:lang w:eastAsia="ja-JP"/>
              </w:rPr>
              <w:t>PK sampling and analysis:</w:t>
            </w:r>
            <w:r w:rsidRPr="000B0784">
              <w:rPr>
                <w:sz w:val="20"/>
                <w:szCs w:val="20"/>
                <w:lang w:eastAsia="ja-JP"/>
              </w:rPr>
              <w:t xml:space="preserve"> A single blood sample for PK analysis was collected on pre-dose on day 29 of the study (that is, Day 1 of Cycle 2). Whole blood everolimus concentrations were determined by a liquid chromatography mass spectrometry me</w:t>
            </w:r>
            <w:r w:rsidR="009B6FAA" w:rsidRPr="000B0784">
              <w:rPr>
                <w:sz w:val="20"/>
                <w:szCs w:val="20"/>
                <w:lang w:eastAsia="ja-JP"/>
              </w:rPr>
              <w:t>thod. The lower limit of quantific</w:t>
            </w:r>
            <w:r w:rsidRPr="000B0784">
              <w:rPr>
                <w:sz w:val="20"/>
                <w:szCs w:val="20"/>
                <w:lang w:eastAsia="ja-JP"/>
              </w:rPr>
              <w:t>ation (LLOQ) was 0.3 ng/mL.</w:t>
            </w:r>
          </w:p>
        </w:tc>
      </w:tr>
      <w:tr w:rsidR="00AB71D4" w:rsidRPr="00896505" w14:paraId="1E35C5AA" w14:textId="77777777" w:rsidTr="005B63BA">
        <w:tc>
          <w:tcPr>
            <w:tcW w:w="1638" w:type="dxa"/>
          </w:tcPr>
          <w:p w14:paraId="7A2F941D" w14:textId="77777777" w:rsidR="00AB71D4" w:rsidRPr="000B0784" w:rsidRDefault="00AB71D4" w:rsidP="005B63BA">
            <w:pPr>
              <w:ind w:left="0"/>
              <w:rPr>
                <w:sz w:val="20"/>
                <w:szCs w:val="20"/>
                <w:lang w:eastAsia="ja-JP"/>
              </w:rPr>
            </w:pPr>
            <w:r w:rsidRPr="000B0784">
              <w:rPr>
                <w:sz w:val="20"/>
                <w:szCs w:val="20"/>
                <w:lang w:eastAsia="ja-JP"/>
              </w:rPr>
              <w:t>Study participants</w:t>
            </w:r>
          </w:p>
        </w:tc>
        <w:tc>
          <w:tcPr>
            <w:tcW w:w="7604" w:type="dxa"/>
          </w:tcPr>
          <w:p w14:paraId="0E522402" w14:textId="4C1378BB" w:rsidR="00AB71D4" w:rsidRPr="000B0784" w:rsidRDefault="00AB71D4" w:rsidP="005B63BA">
            <w:pPr>
              <w:ind w:left="0"/>
              <w:rPr>
                <w:sz w:val="20"/>
                <w:szCs w:val="20"/>
                <w:lang w:eastAsia="ja-JP"/>
              </w:rPr>
            </w:pPr>
            <w:r w:rsidRPr="000B0784">
              <w:rPr>
                <w:i/>
                <w:sz w:val="20"/>
                <w:szCs w:val="20"/>
                <w:lang w:eastAsia="ja-JP"/>
              </w:rPr>
              <w:t>Enrolled:</w:t>
            </w:r>
            <w:r w:rsidRPr="000B0784">
              <w:rPr>
                <w:sz w:val="20"/>
                <w:szCs w:val="20"/>
                <w:lang w:eastAsia="ja-JP"/>
              </w:rPr>
              <w:t xml:space="preserve"> Full details of study participants are summarised un</w:t>
            </w:r>
            <w:r w:rsidR="009B6FAA" w:rsidRPr="000B0784">
              <w:rPr>
                <w:sz w:val="20"/>
                <w:szCs w:val="20"/>
                <w:lang w:eastAsia="ja-JP"/>
              </w:rPr>
              <w:t>der Section 7: </w:t>
            </w:r>
            <w:r w:rsidRPr="000B0784">
              <w:rPr>
                <w:sz w:val="20"/>
                <w:szCs w:val="20"/>
                <w:lang w:eastAsia="ja-JP"/>
              </w:rPr>
              <w:t xml:space="preserve">Clinical efficacy of </w:t>
            </w:r>
            <w:r w:rsidR="009B6FAA" w:rsidRPr="000B0784">
              <w:rPr>
                <w:sz w:val="20"/>
                <w:szCs w:val="20"/>
                <w:lang w:eastAsia="ja-JP"/>
              </w:rPr>
              <w:t>Attachment 2.</w:t>
            </w:r>
          </w:p>
          <w:p w14:paraId="003C23CB" w14:textId="77777777" w:rsidR="00AB71D4" w:rsidRPr="000B0784" w:rsidRDefault="00AB71D4" w:rsidP="005B63BA">
            <w:pPr>
              <w:ind w:left="0"/>
              <w:rPr>
                <w:sz w:val="20"/>
                <w:szCs w:val="20"/>
                <w:lang w:eastAsia="ja-JP"/>
              </w:rPr>
            </w:pPr>
            <w:r w:rsidRPr="000B0784">
              <w:rPr>
                <w:i/>
                <w:sz w:val="20"/>
                <w:szCs w:val="20"/>
                <w:lang w:eastAsia="ja-JP"/>
              </w:rPr>
              <w:t>Analysed:</w:t>
            </w:r>
            <w:r w:rsidRPr="000B0784">
              <w:rPr>
                <w:sz w:val="20"/>
                <w:szCs w:val="20"/>
                <w:lang w:eastAsia="ja-JP"/>
              </w:rPr>
              <w:t xml:space="preserve"> Only 51 subjects in the everolimus arm provided suitable samples that were analysed. 48 subjects were receiving 10 mg per day and 3 subjects were receiving 5 mg/day.</w:t>
            </w:r>
          </w:p>
        </w:tc>
      </w:tr>
      <w:tr w:rsidR="00AB71D4" w:rsidRPr="00896505" w14:paraId="2B0EA0B2" w14:textId="77777777" w:rsidTr="005B63BA">
        <w:tc>
          <w:tcPr>
            <w:tcW w:w="1638" w:type="dxa"/>
          </w:tcPr>
          <w:p w14:paraId="0FECD6F7" w14:textId="77777777" w:rsidR="00AB71D4" w:rsidRPr="000B0784" w:rsidRDefault="00AB71D4" w:rsidP="005B63BA">
            <w:pPr>
              <w:ind w:left="0"/>
              <w:rPr>
                <w:sz w:val="20"/>
                <w:szCs w:val="20"/>
                <w:lang w:eastAsia="ja-JP"/>
              </w:rPr>
            </w:pPr>
            <w:r w:rsidRPr="000B0784">
              <w:rPr>
                <w:sz w:val="20"/>
                <w:szCs w:val="20"/>
                <w:lang w:eastAsia="ja-JP"/>
              </w:rPr>
              <w:t>PK results</w:t>
            </w:r>
          </w:p>
        </w:tc>
        <w:tc>
          <w:tcPr>
            <w:tcW w:w="7604" w:type="dxa"/>
          </w:tcPr>
          <w:p w14:paraId="0BFF792E" w14:textId="77777777" w:rsidR="00AB71D4" w:rsidRPr="000B0784" w:rsidRDefault="00AB71D4" w:rsidP="005B63BA">
            <w:pPr>
              <w:ind w:left="0"/>
              <w:rPr>
                <w:sz w:val="20"/>
                <w:szCs w:val="20"/>
                <w:lang w:eastAsia="ja-JP"/>
              </w:rPr>
            </w:pPr>
            <w:r w:rsidRPr="000B0784">
              <w:rPr>
                <w:noProof/>
                <w:sz w:val="20"/>
                <w:szCs w:val="20"/>
              </w:rPr>
              <w:drawing>
                <wp:inline distT="0" distB="0" distL="0" distR="0" wp14:anchorId="215B8A90" wp14:editId="220B7C58">
                  <wp:extent cx="3819525" cy="1736263"/>
                  <wp:effectExtent l="0" t="0" r="0" b="0"/>
                  <wp:docPr id="8" name="Picture 8" descr="PK Results of everolimus plus best supportive care (BSC) at 10 mg/day and 5 mg/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6081" cy="1739243"/>
                          </a:xfrm>
                          <a:prstGeom prst="rect">
                            <a:avLst/>
                          </a:prstGeom>
                        </pic:spPr>
                      </pic:pic>
                    </a:graphicData>
                  </a:graphic>
                </wp:inline>
              </w:drawing>
            </w:r>
          </w:p>
          <w:p w14:paraId="62D89D12" w14:textId="77777777" w:rsidR="00AB71D4" w:rsidRPr="000B0784" w:rsidRDefault="00AB71D4" w:rsidP="005B63BA">
            <w:pPr>
              <w:ind w:left="0"/>
              <w:rPr>
                <w:sz w:val="20"/>
                <w:szCs w:val="20"/>
              </w:rPr>
            </w:pPr>
            <w:r w:rsidRPr="000B0784">
              <w:rPr>
                <w:sz w:val="20"/>
                <w:szCs w:val="20"/>
              </w:rPr>
              <w:t>According to the sponsor, these data were consistent with values observed in previous studies for the everolimus 5 mg and 10 mg daily doses.</w:t>
            </w:r>
          </w:p>
        </w:tc>
      </w:tr>
      <w:tr w:rsidR="00AB71D4" w:rsidRPr="00896505" w14:paraId="2F203D1D" w14:textId="77777777" w:rsidTr="005B63BA">
        <w:tc>
          <w:tcPr>
            <w:tcW w:w="1638" w:type="dxa"/>
          </w:tcPr>
          <w:p w14:paraId="6B378861" w14:textId="77777777" w:rsidR="00AB71D4" w:rsidRPr="000B0784" w:rsidRDefault="00AB71D4" w:rsidP="005B63BA">
            <w:pPr>
              <w:ind w:left="0"/>
              <w:rPr>
                <w:sz w:val="20"/>
                <w:szCs w:val="20"/>
                <w:lang w:eastAsia="ja-JP"/>
              </w:rPr>
            </w:pPr>
            <w:r w:rsidRPr="000B0784">
              <w:rPr>
                <w:sz w:val="20"/>
                <w:szCs w:val="20"/>
                <w:lang w:eastAsia="ja-JP"/>
              </w:rPr>
              <w:t>PK efficacy analyses</w:t>
            </w:r>
          </w:p>
        </w:tc>
        <w:tc>
          <w:tcPr>
            <w:tcW w:w="7604" w:type="dxa"/>
          </w:tcPr>
          <w:p w14:paraId="4C77E886" w14:textId="2A934EF5" w:rsidR="00AB71D4" w:rsidRPr="000B0784" w:rsidRDefault="00AB71D4" w:rsidP="005B63BA">
            <w:pPr>
              <w:ind w:left="0"/>
              <w:rPr>
                <w:sz w:val="20"/>
                <w:szCs w:val="20"/>
                <w:lang w:eastAsia="ja-JP"/>
              </w:rPr>
            </w:pPr>
            <w:r w:rsidRPr="000B0784">
              <w:rPr>
                <w:sz w:val="20"/>
                <w:szCs w:val="20"/>
                <w:lang w:eastAsia="ja-JP"/>
              </w:rPr>
              <w:t>The relationship between PFS and C</w:t>
            </w:r>
            <w:r w:rsidRPr="000B0784">
              <w:rPr>
                <w:sz w:val="20"/>
                <w:szCs w:val="20"/>
                <w:vertAlign w:val="subscript"/>
                <w:lang w:eastAsia="ja-JP"/>
              </w:rPr>
              <w:t>min</w:t>
            </w:r>
            <w:r w:rsidRPr="000B0784">
              <w:rPr>
                <w:sz w:val="20"/>
                <w:szCs w:val="20"/>
                <w:lang w:eastAsia="ja-JP"/>
              </w:rPr>
              <w:t xml:space="preserve"> was analysed using a Cox regression analysis. For a two-fold increase in C</w:t>
            </w:r>
            <w:r w:rsidRPr="000B0784">
              <w:rPr>
                <w:sz w:val="20"/>
                <w:szCs w:val="20"/>
                <w:vertAlign w:val="subscript"/>
                <w:lang w:eastAsia="ja-JP"/>
              </w:rPr>
              <w:t>min</w:t>
            </w:r>
            <w:r w:rsidRPr="000B0784">
              <w:rPr>
                <w:sz w:val="20"/>
                <w:szCs w:val="20"/>
                <w:lang w:eastAsia="ja-JP"/>
              </w:rPr>
              <w:t xml:space="preserve"> there was a non-significant trend towards improved PFS (</w:t>
            </w:r>
            <w:r w:rsidR="009B6FAA" w:rsidRPr="000B0784">
              <w:rPr>
                <w:sz w:val="20"/>
                <w:szCs w:val="20"/>
                <w:lang w:eastAsia="ja-JP"/>
              </w:rPr>
              <w:t>hazard ratio (</w:t>
            </w:r>
            <w:r w:rsidRPr="000B0784">
              <w:rPr>
                <w:sz w:val="20"/>
                <w:szCs w:val="20"/>
                <w:lang w:eastAsia="ja-JP"/>
              </w:rPr>
              <w:t>HR</w:t>
            </w:r>
            <w:r w:rsidR="009B6FAA" w:rsidRPr="000B0784">
              <w:rPr>
                <w:sz w:val="20"/>
                <w:szCs w:val="20"/>
                <w:lang w:eastAsia="ja-JP"/>
              </w:rPr>
              <w:t>)</w:t>
            </w:r>
            <w:r w:rsidRPr="000B0784">
              <w:rPr>
                <w:sz w:val="20"/>
                <w:szCs w:val="20"/>
                <w:lang w:eastAsia="ja-JP"/>
              </w:rPr>
              <w:t xml:space="preserve"> = 0.898; 95%CI: 0.586, 1.374). Another analysis indicated that a two-fold increase in C</w:t>
            </w:r>
            <w:r w:rsidRPr="000B0784">
              <w:rPr>
                <w:sz w:val="20"/>
                <w:szCs w:val="20"/>
                <w:vertAlign w:val="subscript"/>
                <w:lang w:eastAsia="ja-JP"/>
              </w:rPr>
              <w:t>min</w:t>
            </w:r>
            <w:r w:rsidRPr="000B0784">
              <w:rPr>
                <w:sz w:val="20"/>
                <w:szCs w:val="20"/>
                <w:lang w:eastAsia="ja-JP"/>
              </w:rPr>
              <w:t xml:space="preserve"> was associated with an increased probability of a reduction in tumour size (Odds ratio</w:t>
            </w:r>
            <w:r w:rsidR="009B6FAA" w:rsidRPr="000B0784">
              <w:rPr>
                <w:sz w:val="20"/>
                <w:szCs w:val="20"/>
                <w:lang w:eastAsia="ja-JP"/>
              </w:rPr>
              <w:t xml:space="preserve"> (OR) </w:t>
            </w:r>
            <w:r w:rsidRPr="000B0784">
              <w:rPr>
                <w:sz w:val="20"/>
                <w:szCs w:val="20"/>
                <w:lang w:eastAsia="ja-JP"/>
              </w:rPr>
              <w:t>= 1.58; 95% CI: 1.23, 2.04). There was no relationship demonstrated between C</w:t>
            </w:r>
            <w:r w:rsidRPr="000B0784">
              <w:rPr>
                <w:sz w:val="20"/>
                <w:szCs w:val="20"/>
                <w:vertAlign w:val="subscript"/>
                <w:lang w:eastAsia="ja-JP"/>
              </w:rPr>
              <w:t>min</w:t>
            </w:r>
            <w:r w:rsidRPr="000B0784">
              <w:rPr>
                <w:sz w:val="20"/>
                <w:szCs w:val="20"/>
                <w:lang w:eastAsia="ja-JP"/>
              </w:rPr>
              <w:t xml:space="preserve"> and the change from baseline in tumour biomarkers.</w:t>
            </w:r>
          </w:p>
        </w:tc>
      </w:tr>
      <w:tr w:rsidR="00AB71D4" w:rsidRPr="00896505" w14:paraId="61FA73C1" w14:textId="77777777" w:rsidTr="005B63BA">
        <w:tc>
          <w:tcPr>
            <w:tcW w:w="1638" w:type="dxa"/>
          </w:tcPr>
          <w:p w14:paraId="02D5529D" w14:textId="77777777" w:rsidR="00AB71D4" w:rsidRPr="000B0784" w:rsidRDefault="00AB71D4" w:rsidP="005B63BA">
            <w:pPr>
              <w:ind w:left="0"/>
              <w:rPr>
                <w:sz w:val="20"/>
                <w:szCs w:val="20"/>
                <w:lang w:eastAsia="ja-JP"/>
              </w:rPr>
            </w:pPr>
            <w:r w:rsidRPr="000B0784">
              <w:rPr>
                <w:sz w:val="20"/>
                <w:szCs w:val="20"/>
                <w:lang w:eastAsia="ja-JP"/>
              </w:rPr>
              <w:t>PK safety analyses</w:t>
            </w:r>
          </w:p>
        </w:tc>
        <w:tc>
          <w:tcPr>
            <w:tcW w:w="7604" w:type="dxa"/>
          </w:tcPr>
          <w:p w14:paraId="4CCEF2AD" w14:textId="134446B8" w:rsidR="00AB71D4" w:rsidRPr="000B0784" w:rsidRDefault="00AB71D4" w:rsidP="005B63BA">
            <w:pPr>
              <w:ind w:left="0"/>
              <w:rPr>
                <w:sz w:val="20"/>
                <w:szCs w:val="20"/>
                <w:lang w:eastAsia="ja-JP"/>
              </w:rPr>
            </w:pPr>
            <w:r w:rsidRPr="000B0784">
              <w:rPr>
                <w:sz w:val="20"/>
                <w:szCs w:val="20"/>
                <w:lang w:eastAsia="ja-JP"/>
              </w:rPr>
              <w:t>The relationship between C</w:t>
            </w:r>
            <w:r w:rsidRPr="000B0784">
              <w:rPr>
                <w:sz w:val="20"/>
                <w:szCs w:val="20"/>
                <w:vertAlign w:val="subscript"/>
                <w:lang w:eastAsia="ja-JP"/>
              </w:rPr>
              <w:t>min</w:t>
            </w:r>
            <w:r w:rsidRPr="000B0784">
              <w:rPr>
                <w:sz w:val="20"/>
                <w:szCs w:val="20"/>
                <w:lang w:eastAsia="ja-JP"/>
              </w:rPr>
              <w:t xml:space="preserve"> </w:t>
            </w:r>
            <w:r w:rsidR="009B6FAA" w:rsidRPr="000B0784">
              <w:rPr>
                <w:sz w:val="20"/>
                <w:szCs w:val="20"/>
                <w:lang w:eastAsia="ja-JP"/>
              </w:rPr>
              <w:t xml:space="preserve">and time to first onset of 3 adverse events (AE) </w:t>
            </w:r>
            <w:r w:rsidRPr="000B0784">
              <w:rPr>
                <w:sz w:val="20"/>
                <w:szCs w:val="20"/>
                <w:lang w:eastAsia="ja-JP"/>
              </w:rPr>
              <w:t>(stomatitis, non-infectious pneumonitis and infections) were explored. No relationship was demonstrated.</w:t>
            </w:r>
          </w:p>
          <w:p w14:paraId="3A40C60B" w14:textId="77777777" w:rsidR="00AB71D4" w:rsidRPr="000B0784" w:rsidRDefault="00AB71D4" w:rsidP="005B63BA">
            <w:pPr>
              <w:ind w:left="0"/>
              <w:rPr>
                <w:sz w:val="20"/>
                <w:szCs w:val="20"/>
                <w:lang w:eastAsia="ja-JP"/>
              </w:rPr>
            </w:pPr>
            <w:r w:rsidRPr="000B0784">
              <w:rPr>
                <w:noProof/>
                <w:sz w:val="20"/>
                <w:szCs w:val="20"/>
              </w:rPr>
              <w:lastRenderedPageBreak/>
              <w:drawing>
                <wp:inline distT="0" distB="0" distL="0" distR="0" wp14:anchorId="4A20AE16" wp14:editId="5C1690BE">
                  <wp:extent cx="4611413" cy="969694"/>
                  <wp:effectExtent l="0" t="0" r="11430" b="0"/>
                  <wp:docPr id="27" name="Picture 27" descr="Cox regression analysis of the relationship between time-normalised everolimus Cmin and risk of clinical notable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56079" cy="979086"/>
                          </a:xfrm>
                          <a:prstGeom prst="rect">
                            <a:avLst/>
                          </a:prstGeom>
                        </pic:spPr>
                      </pic:pic>
                    </a:graphicData>
                  </a:graphic>
                </wp:inline>
              </w:drawing>
            </w:r>
          </w:p>
        </w:tc>
      </w:tr>
      <w:tr w:rsidR="00AB71D4" w:rsidRPr="00896505" w14:paraId="79CF50CC" w14:textId="77777777" w:rsidTr="005B63BA">
        <w:tc>
          <w:tcPr>
            <w:tcW w:w="1638" w:type="dxa"/>
          </w:tcPr>
          <w:p w14:paraId="60379232" w14:textId="77777777" w:rsidR="00AB71D4" w:rsidRPr="000B0784" w:rsidRDefault="00AB71D4" w:rsidP="005B63BA">
            <w:pPr>
              <w:ind w:left="0"/>
              <w:rPr>
                <w:sz w:val="20"/>
                <w:szCs w:val="20"/>
                <w:lang w:eastAsia="ja-JP"/>
              </w:rPr>
            </w:pPr>
            <w:r w:rsidRPr="000B0784">
              <w:rPr>
                <w:sz w:val="20"/>
                <w:szCs w:val="20"/>
                <w:lang w:eastAsia="ja-JP"/>
              </w:rPr>
              <w:lastRenderedPageBreak/>
              <w:t>Evaluator’s comments</w:t>
            </w:r>
          </w:p>
        </w:tc>
        <w:tc>
          <w:tcPr>
            <w:tcW w:w="7604" w:type="dxa"/>
          </w:tcPr>
          <w:p w14:paraId="4EF07542" w14:textId="77777777" w:rsidR="00AB71D4" w:rsidRPr="000B0784" w:rsidRDefault="00AB71D4" w:rsidP="005B63BA">
            <w:pPr>
              <w:ind w:left="0"/>
              <w:rPr>
                <w:sz w:val="20"/>
                <w:szCs w:val="20"/>
                <w:lang w:eastAsia="ja-JP"/>
              </w:rPr>
            </w:pPr>
            <w:r w:rsidRPr="000B0784">
              <w:rPr>
                <w:sz w:val="20"/>
                <w:szCs w:val="20"/>
                <w:lang w:eastAsia="ja-JP"/>
              </w:rPr>
              <w:t>The study design, conduct and analysis were satisfactory.</w:t>
            </w:r>
          </w:p>
        </w:tc>
      </w:tr>
    </w:tbl>
    <w:p w14:paraId="413344FB" w14:textId="77777777" w:rsidR="008E7846" w:rsidRDefault="008E7846" w:rsidP="008E7846">
      <w:pPr>
        <w:pStyle w:val="Heading3"/>
      </w:pPr>
      <w:bookmarkStart w:id="53" w:name="_Toc196046481"/>
      <w:bookmarkStart w:id="54" w:name="_Toc247691520"/>
      <w:bookmarkStart w:id="55" w:name="_Toc314842503"/>
      <w:bookmarkStart w:id="56" w:name="_Toc493685097"/>
      <w:r w:rsidRPr="00254787">
        <w:t>Pharmacodynamics</w:t>
      </w:r>
      <w:bookmarkEnd w:id="36"/>
      <w:bookmarkEnd w:id="53"/>
      <w:bookmarkEnd w:id="54"/>
      <w:bookmarkEnd w:id="55"/>
      <w:bookmarkEnd w:id="56"/>
    </w:p>
    <w:p w14:paraId="3285FED5" w14:textId="598E0705" w:rsidR="00AB71D4" w:rsidRPr="00AB71D4" w:rsidRDefault="00AB71D4" w:rsidP="00AB71D4">
      <w:r w:rsidRPr="00A95723">
        <w:rPr>
          <w:lang w:eastAsia="ja-JP"/>
        </w:rPr>
        <w:t>There were no new pharmacodynamic data in the submission.</w:t>
      </w:r>
    </w:p>
    <w:p w14:paraId="1B234038" w14:textId="77777777" w:rsidR="008E7846" w:rsidRDefault="00605AD4" w:rsidP="00605AD4">
      <w:pPr>
        <w:pStyle w:val="Heading3"/>
      </w:pPr>
      <w:bookmarkStart w:id="57" w:name="_Toc493685098"/>
      <w:r>
        <w:t>Dosage selection for the pivotal studies</w:t>
      </w:r>
      <w:bookmarkEnd w:id="57"/>
    </w:p>
    <w:p w14:paraId="4FE4500B" w14:textId="0DFFE90A" w:rsidR="00DC27E9" w:rsidRPr="00DC27E9" w:rsidRDefault="00DC27E9" w:rsidP="00DC27E9">
      <w:pPr>
        <w:rPr>
          <w:lang w:eastAsia="ja-JP"/>
        </w:rPr>
      </w:pPr>
      <w:r w:rsidRPr="00A95723">
        <w:rPr>
          <w:lang w:eastAsia="ja-JP"/>
        </w:rPr>
        <w:t>The dosage of everolimus used in the pivotal study was 10 mg once daily. This dose had been associated with evidence of efficacy in previous Phase II and Phase III studies conducted in patients with NETs (for example, in the RADIANT-2 AND RADIANT-3 studies).</w:t>
      </w:r>
    </w:p>
    <w:p w14:paraId="326364C9" w14:textId="77777777" w:rsidR="008E7846" w:rsidRPr="00254787" w:rsidRDefault="008E7846" w:rsidP="008E7846">
      <w:pPr>
        <w:pStyle w:val="Heading3"/>
      </w:pPr>
      <w:bookmarkStart w:id="58" w:name="_Toc163441372"/>
      <w:bookmarkStart w:id="59" w:name="_Toc196046485"/>
      <w:bookmarkStart w:id="60" w:name="_Toc247691521"/>
      <w:bookmarkStart w:id="61" w:name="_Toc314842504"/>
      <w:bookmarkStart w:id="62" w:name="_Toc493685099"/>
      <w:r w:rsidRPr="00254787">
        <w:t>Efficacy</w:t>
      </w:r>
      <w:bookmarkEnd w:id="58"/>
      <w:bookmarkEnd w:id="59"/>
      <w:bookmarkEnd w:id="60"/>
      <w:bookmarkEnd w:id="61"/>
      <w:bookmarkEnd w:id="62"/>
    </w:p>
    <w:p w14:paraId="2A1E2E97" w14:textId="77777777" w:rsidR="00605AD4" w:rsidRDefault="00605AD4" w:rsidP="00605AD4">
      <w:pPr>
        <w:pStyle w:val="Heading4"/>
      </w:pPr>
      <w:bookmarkStart w:id="63" w:name="_Toc184439992"/>
      <w:bookmarkStart w:id="64" w:name="_Toc184440279"/>
      <w:bookmarkStart w:id="65" w:name="_Toc184444657"/>
      <w:bookmarkStart w:id="66" w:name="_Toc196046487"/>
      <w:r>
        <w:t>Studies providing efficacy data</w:t>
      </w:r>
    </w:p>
    <w:p w14:paraId="5107DDE7" w14:textId="6E4BA528" w:rsidR="00DC27E9" w:rsidRPr="00DC27E9" w:rsidRDefault="009B6FAA" w:rsidP="00DC27E9">
      <w:r>
        <w:t xml:space="preserve">One pivotal efficacy study, </w:t>
      </w:r>
      <w:r w:rsidR="00DC27E9" w:rsidRPr="00DC27E9">
        <w:t>Study CRAD001T2302 (RADIANT-4)</w:t>
      </w:r>
      <w:r>
        <w:t xml:space="preserve"> was submitted.</w:t>
      </w:r>
    </w:p>
    <w:p w14:paraId="62EE19D7" w14:textId="77777777" w:rsidR="008E7846" w:rsidRDefault="00605AD4" w:rsidP="00605AD4">
      <w:pPr>
        <w:pStyle w:val="Heading4"/>
      </w:pPr>
      <w:r>
        <w:t>Evaluator’s conclusions on efficacy</w:t>
      </w:r>
    </w:p>
    <w:p w14:paraId="0FE53A17" w14:textId="77777777" w:rsidR="00DC27E9" w:rsidRPr="00DC27E9" w:rsidRDefault="00DC27E9" w:rsidP="00E7578E">
      <w:pPr>
        <w:pStyle w:val="Heading5"/>
      </w:pPr>
      <w:bookmarkStart w:id="67" w:name="_Toc457131971"/>
      <w:r w:rsidRPr="00DC27E9">
        <w:t>Neuroendocrine tumours</w:t>
      </w:r>
      <w:bookmarkEnd w:id="67"/>
    </w:p>
    <w:p w14:paraId="67F24F82" w14:textId="789910A7" w:rsidR="00DC27E9" w:rsidRPr="00DC27E9" w:rsidRDefault="00DC27E9" w:rsidP="00DC27E9">
      <w:r w:rsidRPr="00DC27E9">
        <w:t xml:space="preserve">Study </w:t>
      </w:r>
      <w:r w:rsidRPr="00DC27E9">
        <w:rPr>
          <w:lang w:val="en-US"/>
        </w:rPr>
        <w:t xml:space="preserve">CRAD001T2302 </w:t>
      </w:r>
      <w:r w:rsidR="00896505" w:rsidRPr="00DC27E9">
        <w:t>(RADIANT-4)</w:t>
      </w:r>
      <w:r w:rsidR="00896505">
        <w:t xml:space="preserve"> </w:t>
      </w:r>
      <w:r w:rsidRPr="00DC27E9">
        <w:rPr>
          <w:lang w:val="en-US"/>
        </w:rPr>
        <w:t>was well designed and executed. The design of the study complied with the recommendations of the relevant EMA guidelines adopted by the TGA for anticancer agents.</w:t>
      </w:r>
      <w:r w:rsidRPr="00DC27E9">
        <w:rPr>
          <w:vertAlign w:val="superscript"/>
          <w:lang w:val="en-US"/>
        </w:rPr>
        <w:fldChar w:fldCharType="begin"/>
      </w:r>
      <w:r w:rsidRPr="00DC27E9">
        <w:rPr>
          <w:vertAlign w:val="superscript"/>
          <w:lang w:val="en-US"/>
        </w:rPr>
        <w:instrText xml:space="preserve"> NOTEREF _Ref491268716 \h  \* MERGEFORMAT </w:instrText>
      </w:r>
      <w:r w:rsidRPr="00DC27E9">
        <w:rPr>
          <w:vertAlign w:val="superscript"/>
          <w:lang w:val="en-US"/>
        </w:rPr>
      </w:r>
      <w:r w:rsidRPr="00DC27E9">
        <w:rPr>
          <w:vertAlign w:val="superscript"/>
          <w:lang w:val="en-US"/>
        </w:rPr>
        <w:fldChar w:fldCharType="separate"/>
      </w:r>
      <w:r w:rsidR="002A5AE3">
        <w:rPr>
          <w:vertAlign w:val="superscript"/>
          <w:lang w:val="en-US"/>
        </w:rPr>
        <w:t>16</w:t>
      </w:r>
      <w:r w:rsidRPr="00DC27E9">
        <w:fldChar w:fldCharType="end"/>
      </w:r>
      <w:proofErr w:type="gramStart"/>
      <w:r w:rsidRPr="00DC27E9">
        <w:rPr>
          <w:vertAlign w:val="superscript"/>
          <w:lang w:val="en-US"/>
        </w:rPr>
        <w:t>,</w:t>
      </w:r>
      <w:proofErr w:type="gramEnd"/>
      <w:r w:rsidRPr="00DC27E9">
        <w:rPr>
          <w:vertAlign w:val="superscript"/>
          <w:lang w:val="en-US"/>
        </w:rPr>
        <w:fldChar w:fldCharType="begin"/>
      </w:r>
      <w:r w:rsidRPr="00DC27E9">
        <w:rPr>
          <w:vertAlign w:val="superscript"/>
          <w:lang w:val="en-US"/>
        </w:rPr>
        <w:instrText xml:space="preserve"> NOTEREF _Ref491268694 \h  \* MERGEFORMAT </w:instrText>
      </w:r>
      <w:r w:rsidRPr="00DC27E9">
        <w:rPr>
          <w:vertAlign w:val="superscript"/>
          <w:lang w:val="en-US"/>
        </w:rPr>
      </w:r>
      <w:r w:rsidRPr="00DC27E9">
        <w:rPr>
          <w:vertAlign w:val="superscript"/>
          <w:lang w:val="en-US"/>
        </w:rPr>
        <w:fldChar w:fldCharType="separate"/>
      </w:r>
      <w:r w:rsidR="002A5AE3">
        <w:rPr>
          <w:vertAlign w:val="superscript"/>
          <w:lang w:val="en-US"/>
        </w:rPr>
        <w:t>17</w:t>
      </w:r>
      <w:r w:rsidRPr="00DC27E9">
        <w:fldChar w:fldCharType="end"/>
      </w:r>
      <w:r w:rsidRPr="00DC27E9">
        <w:rPr>
          <w:lang w:val="en-US"/>
        </w:rPr>
        <w:t xml:space="preserve"> The study demonstrated that compared to placebo, everolimus was associated with a significant reduction in the risk of experiencing a PFS event. The magnitude of the reduction was clinically significant with a prolongation of median PFS of approximately 7 months and </w:t>
      </w:r>
      <w:r w:rsidRPr="00DC27E9">
        <w:t>an increase in the proportion of</w:t>
      </w:r>
      <w:r w:rsidR="00E7578E">
        <w:t xml:space="preserve"> subjects alive and progression-</w:t>
      </w:r>
      <w:r w:rsidRPr="00DC27E9">
        <w:t>free at 12 months from 28.1% to 44.4%. The efficacy benefit was apparent across most patient subgroups. The magnitude of the clinical benefit also appeared comparable to that seen with other agents that have been granted TGA approval for NETs in recent years on the basis of PFS as the primary endpoint as shown below in Table 3.</w:t>
      </w:r>
    </w:p>
    <w:p w14:paraId="55E12630" w14:textId="2320CD82" w:rsidR="00DC27E9" w:rsidRPr="00DC27E9" w:rsidRDefault="00E7578E" w:rsidP="00B9237C">
      <w:pPr>
        <w:pStyle w:val="Tabletitle0"/>
        <w:pageBreakBefore/>
      </w:pPr>
      <w:r>
        <w:lastRenderedPageBreak/>
        <w:t xml:space="preserve">Table </w:t>
      </w:r>
      <w:r w:rsidR="00DC27E9" w:rsidRPr="00DC27E9">
        <w:t>3. Recent TGA drug approvals for NETs</w:t>
      </w:r>
      <w:r w:rsidR="00302349">
        <w:t xml:space="preserve"> and</w:t>
      </w:r>
      <w:r w:rsidR="00DC27E9" w:rsidRPr="00DC27E9">
        <w:t xml:space="preserve"> pivotal Phase III studies using PFS as primary endpoint</w:t>
      </w:r>
    </w:p>
    <w:tbl>
      <w:tblPr>
        <w:tblStyle w:val="TableTGAblue"/>
        <w:tblW w:w="5479" w:type="pct"/>
        <w:tblLayout w:type="fixed"/>
        <w:tblLook w:val="04A0" w:firstRow="1" w:lastRow="0" w:firstColumn="1" w:lastColumn="0" w:noHBand="0" w:noVBand="1"/>
      </w:tblPr>
      <w:tblGrid>
        <w:gridCol w:w="1381"/>
        <w:gridCol w:w="1168"/>
        <w:gridCol w:w="1248"/>
        <w:gridCol w:w="1349"/>
        <w:gridCol w:w="1080"/>
        <w:gridCol w:w="814"/>
        <w:gridCol w:w="1431"/>
        <w:gridCol w:w="1084"/>
      </w:tblGrid>
      <w:tr w:rsidR="00444CF8" w:rsidRPr="00302349" w14:paraId="71755A0B" w14:textId="77777777" w:rsidTr="00B9237C">
        <w:trPr>
          <w:cnfStyle w:val="100000000000" w:firstRow="1" w:lastRow="0" w:firstColumn="0" w:lastColumn="0" w:oddVBand="0" w:evenVBand="0" w:oddHBand="0" w:evenHBand="0" w:firstRowFirstColumn="0" w:firstRowLastColumn="0" w:lastRowFirstColumn="0" w:lastRowLastColumn="0"/>
        </w:trPr>
        <w:tc>
          <w:tcPr>
            <w:tcW w:w="723" w:type="pct"/>
            <w:vMerge w:val="restart"/>
            <w:tcBorders>
              <w:right w:val="single" w:sz="4" w:space="0" w:color="000000"/>
            </w:tcBorders>
          </w:tcPr>
          <w:p w14:paraId="3982D1DC" w14:textId="77777777" w:rsidR="00DC27E9" w:rsidRPr="000B0784" w:rsidRDefault="00DC27E9" w:rsidP="002A5AE3">
            <w:pPr>
              <w:ind w:left="0" w:right="0"/>
              <w:rPr>
                <w:sz w:val="20"/>
                <w:szCs w:val="20"/>
              </w:rPr>
            </w:pPr>
            <w:r w:rsidRPr="000B0784">
              <w:rPr>
                <w:sz w:val="20"/>
                <w:szCs w:val="20"/>
              </w:rPr>
              <w:t>Trial</w:t>
            </w:r>
          </w:p>
        </w:tc>
        <w:tc>
          <w:tcPr>
            <w:tcW w:w="611" w:type="pct"/>
            <w:vMerge w:val="restart"/>
            <w:tcBorders>
              <w:left w:val="single" w:sz="4" w:space="0" w:color="000000"/>
              <w:right w:val="single" w:sz="4" w:space="0" w:color="000000"/>
            </w:tcBorders>
          </w:tcPr>
          <w:p w14:paraId="6AB9B744" w14:textId="77777777" w:rsidR="00DC27E9" w:rsidRPr="000B0784" w:rsidRDefault="00DC27E9" w:rsidP="002A5AE3">
            <w:pPr>
              <w:ind w:left="0" w:right="0"/>
              <w:rPr>
                <w:sz w:val="20"/>
                <w:szCs w:val="20"/>
              </w:rPr>
            </w:pPr>
            <w:r w:rsidRPr="000B0784">
              <w:rPr>
                <w:sz w:val="20"/>
                <w:szCs w:val="20"/>
              </w:rPr>
              <w:t>Indication</w:t>
            </w:r>
          </w:p>
        </w:tc>
        <w:tc>
          <w:tcPr>
            <w:tcW w:w="653" w:type="pct"/>
            <w:vMerge w:val="restart"/>
            <w:tcBorders>
              <w:left w:val="single" w:sz="4" w:space="0" w:color="000000"/>
              <w:right w:val="single" w:sz="4" w:space="0" w:color="000000"/>
            </w:tcBorders>
          </w:tcPr>
          <w:p w14:paraId="71B89D71" w14:textId="77777777" w:rsidR="00DC27E9" w:rsidRPr="000B0784" w:rsidRDefault="00DC27E9" w:rsidP="002A5AE3">
            <w:pPr>
              <w:ind w:left="0" w:right="0"/>
              <w:rPr>
                <w:sz w:val="20"/>
                <w:szCs w:val="20"/>
              </w:rPr>
            </w:pPr>
            <w:r w:rsidRPr="000B0784">
              <w:rPr>
                <w:sz w:val="20"/>
                <w:szCs w:val="20"/>
              </w:rPr>
              <w:t>Drug</w:t>
            </w:r>
          </w:p>
        </w:tc>
        <w:tc>
          <w:tcPr>
            <w:tcW w:w="706" w:type="pct"/>
            <w:vMerge w:val="restart"/>
            <w:tcBorders>
              <w:left w:val="single" w:sz="4" w:space="0" w:color="000000"/>
              <w:right w:val="single" w:sz="4" w:space="0" w:color="000000"/>
            </w:tcBorders>
          </w:tcPr>
          <w:p w14:paraId="527CEDEA" w14:textId="77777777" w:rsidR="00DC27E9" w:rsidRPr="000B0784" w:rsidRDefault="00DC27E9" w:rsidP="002A5AE3">
            <w:pPr>
              <w:ind w:left="0" w:right="0"/>
              <w:rPr>
                <w:sz w:val="20"/>
                <w:szCs w:val="20"/>
              </w:rPr>
            </w:pPr>
            <w:r w:rsidRPr="000B0784">
              <w:rPr>
                <w:sz w:val="20"/>
                <w:szCs w:val="20"/>
              </w:rPr>
              <w:t>Comparator</w:t>
            </w:r>
          </w:p>
        </w:tc>
        <w:tc>
          <w:tcPr>
            <w:tcW w:w="565" w:type="pct"/>
            <w:vMerge w:val="restart"/>
            <w:tcBorders>
              <w:left w:val="single" w:sz="4" w:space="0" w:color="000000"/>
              <w:right w:val="single" w:sz="4" w:space="0" w:color="000000"/>
            </w:tcBorders>
          </w:tcPr>
          <w:p w14:paraId="1DBFF936" w14:textId="77777777" w:rsidR="00DC27E9" w:rsidRPr="000B0784" w:rsidRDefault="00DC27E9" w:rsidP="002A5AE3">
            <w:pPr>
              <w:ind w:left="0" w:right="0"/>
              <w:rPr>
                <w:sz w:val="20"/>
                <w:szCs w:val="20"/>
              </w:rPr>
            </w:pPr>
            <w:r w:rsidRPr="000B0784">
              <w:rPr>
                <w:sz w:val="20"/>
                <w:szCs w:val="20"/>
              </w:rPr>
              <w:t>HR</w:t>
            </w:r>
            <w:r w:rsidRPr="000B0784">
              <w:rPr>
                <w:sz w:val="20"/>
                <w:szCs w:val="20"/>
              </w:rPr>
              <w:br/>
              <w:t>(95% CI)</w:t>
            </w:r>
          </w:p>
        </w:tc>
        <w:tc>
          <w:tcPr>
            <w:tcW w:w="1175" w:type="pct"/>
            <w:gridSpan w:val="2"/>
            <w:tcBorders>
              <w:left w:val="single" w:sz="4" w:space="0" w:color="000000"/>
              <w:right w:val="single" w:sz="4" w:space="0" w:color="000000"/>
            </w:tcBorders>
          </w:tcPr>
          <w:p w14:paraId="68C83FDE" w14:textId="77777777" w:rsidR="00DC27E9" w:rsidRPr="000B0784" w:rsidRDefault="00DC27E9" w:rsidP="002A5AE3">
            <w:pPr>
              <w:ind w:left="0" w:right="0"/>
              <w:rPr>
                <w:sz w:val="20"/>
                <w:szCs w:val="20"/>
              </w:rPr>
            </w:pPr>
            <w:r w:rsidRPr="000B0784">
              <w:rPr>
                <w:sz w:val="20"/>
                <w:szCs w:val="20"/>
              </w:rPr>
              <w:t>Median PFS (months)</w:t>
            </w:r>
          </w:p>
        </w:tc>
        <w:tc>
          <w:tcPr>
            <w:tcW w:w="567" w:type="pct"/>
            <w:vMerge w:val="restart"/>
            <w:tcBorders>
              <w:left w:val="single" w:sz="4" w:space="0" w:color="000000"/>
            </w:tcBorders>
          </w:tcPr>
          <w:p w14:paraId="65470AC7" w14:textId="77777777" w:rsidR="00DC27E9" w:rsidRPr="000B0784" w:rsidRDefault="00DC27E9" w:rsidP="002A5AE3">
            <w:pPr>
              <w:ind w:left="0" w:right="0"/>
              <w:rPr>
                <w:sz w:val="20"/>
                <w:szCs w:val="20"/>
              </w:rPr>
            </w:pPr>
            <w:r w:rsidRPr="000B0784">
              <w:rPr>
                <w:sz w:val="20"/>
                <w:szCs w:val="20"/>
              </w:rPr>
              <w:t>p-value</w:t>
            </w:r>
          </w:p>
        </w:tc>
      </w:tr>
      <w:tr w:rsidR="00444CF8" w:rsidRPr="00302349" w14:paraId="525357CA" w14:textId="77777777" w:rsidTr="002A5AE3">
        <w:trPr>
          <w:cantSplit/>
          <w:trHeight w:val="514"/>
        </w:trPr>
        <w:tc>
          <w:tcPr>
            <w:tcW w:w="723" w:type="pct"/>
            <w:vMerge/>
            <w:tcBorders>
              <w:right w:val="single" w:sz="4" w:space="0" w:color="000000"/>
            </w:tcBorders>
          </w:tcPr>
          <w:p w14:paraId="3E0C4B76" w14:textId="77777777" w:rsidR="00DC27E9" w:rsidRPr="000B0784" w:rsidRDefault="00DC27E9" w:rsidP="002A5AE3">
            <w:pPr>
              <w:ind w:left="0" w:right="0"/>
              <w:rPr>
                <w:sz w:val="20"/>
                <w:szCs w:val="20"/>
              </w:rPr>
            </w:pPr>
          </w:p>
        </w:tc>
        <w:tc>
          <w:tcPr>
            <w:tcW w:w="611" w:type="pct"/>
            <w:vMerge/>
            <w:tcBorders>
              <w:left w:val="single" w:sz="4" w:space="0" w:color="000000"/>
              <w:right w:val="single" w:sz="4" w:space="0" w:color="000000"/>
            </w:tcBorders>
          </w:tcPr>
          <w:p w14:paraId="78B7C442" w14:textId="77777777" w:rsidR="00DC27E9" w:rsidRPr="000B0784" w:rsidRDefault="00DC27E9" w:rsidP="002A5AE3">
            <w:pPr>
              <w:ind w:left="0" w:right="0"/>
              <w:rPr>
                <w:sz w:val="20"/>
                <w:szCs w:val="20"/>
              </w:rPr>
            </w:pPr>
          </w:p>
        </w:tc>
        <w:tc>
          <w:tcPr>
            <w:tcW w:w="653" w:type="pct"/>
            <w:vMerge/>
            <w:tcBorders>
              <w:left w:val="single" w:sz="4" w:space="0" w:color="000000"/>
              <w:right w:val="single" w:sz="4" w:space="0" w:color="000000"/>
            </w:tcBorders>
          </w:tcPr>
          <w:p w14:paraId="3CF10260" w14:textId="77777777" w:rsidR="00DC27E9" w:rsidRPr="000B0784" w:rsidRDefault="00DC27E9" w:rsidP="002A5AE3">
            <w:pPr>
              <w:ind w:left="0" w:right="0"/>
              <w:rPr>
                <w:sz w:val="20"/>
                <w:szCs w:val="20"/>
              </w:rPr>
            </w:pPr>
          </w:p>
        </w:tc>
        <w:tc>
          <w:tcPr>
            <w:tcW w:w="706" w:type="pct"/>
            <w:vMerge/>
            <w:tcBorders>
              <w:left w:val="single" w:sz="4" w:space="0" w:color="000000"/>
              <w:right w:val="single" w:sz="4" w:space="0" w:color="000000"/>
            </w:tcBorders>
          </w:tcPr>
          <w:p w14:paraId="04F4F405" w14:textId="77777777" w:rsidR="00DC27E9" w:rsidRPr="000B0784" w:rsidRDefault="00DC27E9" w:rsidP="002A5AE3">
            <w:pPr>
              <w:ind w:left="0" w:right="0"/>
              <w:rPr>
                <w:sz w:val="20"/>
                <w:szCs w:val="20"/>
              </w:rPr>
            </w:pPr>
          </w:p>
        </w:tc>
        <w:tc>
          <w:tcPr>
            <w:tcW w:w="565" w:type="pct"/>
            <w:vMerge/>
            <w:tcBorders>
              <w:left w:val="single" w:sz="4" w:space="0" w:color="000000"/>
              <w:right w:val="single" w:sz="4" w:space="0" w:color="000000"/>
            </w:tcBorders>
          </w:tcPr>
          <w:p w14:paraId="444220CF" w14:textId="77777777" w:rsidR="00DC27E9" w:rsidRPr="000B0784" w:rsidRDefault="00DC27E9" w:rsidP="002A5AE3">
            <w:pPr>
              <w:ind w:left="0" w:right="0"/>
              <w:rPr>
                <w:sz w:val="20"/>
                <w:szCs w:val="20"/>
              </w:rPr>
            </w:pPr>
          </w:p>
        </w:tc>
        <w:tc>
          <w:tcPr>
            <w:tcW w:w="426" w:type="pct"/>
            <w:tcBorders>
              <w:left w:val="single" w:sz="4" w:space="0" w:color="000000"/>
            </w:tcBorders>
          </w:tcPr>
          <w:p w14:paraId="37F1797F" w14:textId="77777777" w:rsidR="00DC27E9" w:rsidRPr="00302349" w:rsidRDefault="00DC27E9" w:rsidP="002A5AE3">
            <w:pPr>
              <w:ind w:left="0" w:right="0"/>
              <w:rPr>
                <w:sz w:val="20"/>
                <w:szCs w:val="20"/>
              </w:rPr>
            </w:pPr>
            <w:r w:rsidRPr="00302349">
              <w:rPr>
                <w:sz w:val="20"/>
                <w:szCs w:val="20"/>
              </w:rPr>
              <w:t>Drug</w:t>
            </w:r>
          </w:p>
        </w:tc>
        <w:tc>
          <w:tcPr>
            <w:tcW w:w="749" w:type="pct"/>
            <w:tcBorders>
              <w:right w:val="single" w:sz="4" w:space="0" w:color="000000"/>
            </w:tcBorders>
          </w:tcPr>
          <w:p w14:paraId="45CEBDE0" w14:textId="77777777" w:rsidR="00DC27E9" w:rsidRPr="00302349" w:rsidRDefault="00DC27E9" w:rsidP="002A5AE3">
            <w:pPr>
              <w:ind w:left="0" w:right="0"/>
              <w:rPr>
                <w:sz w:val="20"/>
                <w:szCs w:val="20"/>
              </w:rPr>
            </w:pPr>
            <w:r w:rsidRPr="00302349">
              <w:rPr>
                <w:sz w:val="20"/>
                <w:szCs w:val="20"/>
              </w:rPr>
              <w:t>Comparator</w:t>
            </w:r>
          </w:p>
        </w:tc>
        <w:tc>
          <w:tcPr>
            <w:tcW w:w="567" w:type="pct"/>
            <w:vMerge/>
            <w:tcBorders>
              <w:left w:val="single" w:sz="4" w:space="0" w:color="000000"/>
            </w:tcBorders>
          </w:tcPr>
          <w:p w14:paraId="275711D1" w14:textId="77777777" w:rsidR="00DC27E9" w:rsidRPr="000B0784" w:rsidRDefault="00DC27E9" w:rsidP="002A5AE3">
            <w:pPr>
              <w:ind w:left="0" w:right="0"/>
              <w:rPr>
                <w:sz w:val="20"/>
                <w:szCs w:val="20"/>
              </w:rPr>
            </w:pPr>
          </w:p>
        </w:tc>
      </w:tr>
      <w:tr w:rsidR="00444CF8" w:rsidRPr="00302349" w14:paraId="5B2DED1B" w14:textId="77777777" w:rsidTr="000B0784">
        <w:tc>
          <w:tcPr>
            <w:tcW w:w="723" w:type="pct"/>
          </w:tcPr>
          <w:p w14:paraId="625BCA8E" w14:textId="77777777" w:rsidR="00DC27E9" w:rsidRPr="000B0784" w:rsidRDefault="00DC27E9" w:rsidP="00B9237C">
            <w:pPr>
              <w:ind w:left="0"/>
              <w:rPr>
                <w:vertAlign w:val="superscript"/>
              </w:rPr>
            </w:pPr>
            <w:r w:rsidRPr="000B0784">
              <w:t>PROMID</w:t>
            </w:r>
            <w:r w:rsidRPr="000B0784">
              <w:rPr>
                <w:vertAlign w:val="superscript"/>
              </w:rPr>
              <w:t>(a)</w:t>
            </w:r>
          </w:p>
        </w:tc>
        <w:tc>
          <w:tcPr>
            <w:tcW w:w="611" w:type="pct"/>
          </w:tcPr>
          <w:p w14:paraId="7676922F" w14:textId="77777777" w:rsidR="00DC27E9" w:rsidRPr="000B0784" w:rsidRDefault="00DC27E9" w:rsidP="002A5AE3">
            <w:pPr>
              <w:keepNext/>
              <w:ind w:left="0" w:right="0"/>
              <w:rPr>
                <w:sz w:val="20"/>
                <w:szCs w:val="20"/>
              </w:rPr>
            </w:pPr>
            <w:r w:rsidRPr="000B0784">
              <w:rPr>
                <w:sz w:val="20"/>
                <w:szCs w:val="20"/>
              </w:rPr>
              <w:t>NET: GIT (midgut)</w:t>
            </w:r>
          </w:p>
        </w:tc>
        <w:tc>
          <w:tcPr>
            <w:tcW w:w="653" w:type="pct"/>
          </w:tcPr>
          <w:p w14:paraId="3DD304CB" w14:textId="77777777" w:rsidR="00DC27E9" w:rsidRPr="000B0784" w:rsidRDefault="00DC27E9" w:rsidP="002A5AE3">
            <w:pPr>
              <w:keepNext/>
              <w:ind w:left="0" w:right="0"/>
              <w:rPr>
                <w:sz w:val="20"/>
                <w:szCs w:val="20"/>
              </w:rPr>
            </w:pPr>
            <w:r w:rsidRPr="000B0784">
              <w:rPr>
                <w:sz w:val="20"/>
                <w:szCs w:val="20"/>
              </w:rPr>
              <w:t>Octreotide LAR</w:t>
            </w:r>
          </w:p>
        </w:tc>
        <w:tc>
          <w:tcPr>
            <w:tcW w:w="706" w:type="pct"/>
          </w:tcPr>
          <w:p w14:paraId="636BB2FD" w14:textId="77777777" w:rsidR="00DC27E9" w:rsidRPr="000B0784" w:rsidRDefault="00DC27E9" w:rsidP="002A5AE3">
            <w:pPr>
              <w:keepNext/>
              <w:ind w:left="0" w:right="0"/>
              <w:rPr>
                <w:sz w:val="20"/>
                <w:szCs w:val="20"/>
              </w:rPr>
            </w:pPr>
            <w:r w:rsidRPr="000B0784">
              <w:rPr>
                <w:sz w:val="20"/>
                <w:szCs w:val="20"/>
              </w:rPr>
              <w:t>Placebo</w:t>
            </w:r>
          </w:p>
        </w:tc>
        <w:tc>
          <w:tcPr>
            <w:tcW w:w="565" w:type="pct"/>
          </w:tcPr>
          <w:p w14:paraId="35BE8C8C" w14:textId="4D3FCB44" w:rsidR="00DC27E9" w:rsidRPr="000B0784" w:rsidRDefault="00444CF8" w:rsidP="002A5AE3">
            <w:pPr>
              <w:keepNext/>
              <w:ind w:left="0" w:right="0"/>
              <w:rPr>
                <w:sz w:val="20"/>
                <w:szCs w:val="20"/>
              </w:rPr>
            </w:pPr>
            <w:r w:rsidRPr="000B0784">
              <w:rPr>
                <w:sz w:val="20"/>
                <w:szCs w:val="20"/>
              </w:rPr>
              <w:t xml:space="preserve">0.34 (0.20, </w:t>
            </w:r>
            <w:r w:rsidR="00DC27E9" w:rsidRPr="000B0784">
              <w:rPr>
                <w:sz w:val="20"/>
                <w:szCs w:val="20"/>
              </w:rPr>
              <w:t>0.59)</w:t>
            </w:r>
          </w:p>
        </w:tc>
        <w:tc>
          <w:tcPr>
            <w:tcW w:w="426" w:type="pct"/>
          </w:tcPr>
          <w:p w14:paraId="6A229B44" w14:textId="77777777" w:rsidR="00DC27E9" w:rsidRPr="000B0784" w:rsidRDefault="00DC27E9" w:rsidP="002A5AE3">
            <w:pPr>
              <w:keepNext/>
              <w:ind w:left="0" w:right="0"/>
              <w:rPr>
                <w:sz w:val="20"/>
                <w:szCs w:val="20"/>
              </w:rPr>
            </w:pPr>
            <w:r w:rsidRPr="000B0784">
              <w:rPr>
                <w:sz w:val="20"/>
                <w:szCs w:val="20"/>
              </w:rPr>
              <w:t>14.3</w:t>
            </w:r>
          </w:p>
        </w:tc>
        <w:tc>
          <w:tcPr>
            <w:tcW w:w="749" w:type="pct"/>
          </w:tcPr>
          <w:p w14:paraId="4CAB79B0" w14:textId="77777777" w:rsidR="00DC27E9" w:rsidRPr="000B0784" w:rsidRDefault="00DC27E9" w:rsidP="002A5AE3">
            <w:pPr>
              <w:keepNext/>
              <w:ind w:left="0" w:right="0"/>
              <w:rPr>
                <w:sz w:val="20"/>
                <w:szCs w:val="20"/>
              </w:rPr>
            </w:pPr>
            <w:r w:rsidRPr="000B0784">
              <w:rPr>
                <w:sz w:val="20"/>
                <w:szCs w:val="20"/>
              </w:rPr>
              <w:t>6.0</w:t>
            </w:r>
          </w:p>
        </w:tc>
        <w:tc>
          <w:tcPr>
            <w:tcW w:w="567" w:type="pct"/>
          </w:tcPr>
          <w:p w14:paraId="696823AF" w14:textId="77777777" w:rsidR="00DC27E9" w:rsidRPr="000B0784" w:rsidRDefault="00DC27E9" w:rsidP="002A5AE3">
            <w:pPr>
              <w:keepNext/>
              <w:ind w:left="0" w:right="0"/>
              <w:rPr>
                <w:sz w:val="20"/>
                <w:szCs w:val="20"/>
              </w:rPr>
            </w:pPr>
            <w:r w:rsidRPr="000B0784">
              <w:rPr>
                <w:sz w:val="20"/>
                <w:szCs w:val="20"/>
              </w:rPr>
              <w:t>= 0.000072</w:t>
            </w:r>
          </w:p>
        </w:tc>
      </w:tr>
      <w:tr w:rsidR="00444CF8" w:rsidRPr="00302349" w14:paraId="5D8A3AC0" w14:textId="77777777" w:rsidTr="000B0784">
        <w:tc>
          <w:tcPr>
            <w:tcW w:w="723" w:type="pct"/>
          </w:tcPr>
          <w:p w14:paraId="0BEDFA4E" w14:textId="77777777" w:rsidR="00DC27E9" w:rsidRPr="000B0784" w:rsidRDefault="00DC27E9" w:rsidP="00E7578E">
            <w:pPr>
              <w:ind w:left="0" w:right="0"/>
              <w:rPr>
                <w:sz w:val="20"/>
                <w:szCs w:val="20"/>
                <w:vertAlign w:val="superscript"/>
              </w:rPr>
            </w:pPr>
            <w:r w:rsidRPr="000B0784">
              <w:rPr>
                <w:sz w:val="20"/>
                <w:szCs w:val="20"/>
              </w:rPr>
              <w:t>CLARINET</w:t>
            </w:r>
            <w:r w:rsidRPr="000B0784">
              <w:rPr>
                <w:sz w:val="20"/>
                <w:szCs w:val="20"/>
                <w:vertAlign w:val="superscript"/>
              </w:rPr>
              <w:t>(b)</w:t>
            </w:r>
          </w:p>
        </w:tc>
        <w:tc>
          <w:tcPr>
            <w:tcW w:w="611" w:type="pct"/>
          </w:tcPr>
          <w:p w14:paraId="43A83F7A" w14:textId="77777777" w:rsidR="00DC27E9" w:rsidRPr="000B0784" w:rsidRDefault="00DC27E9" w:rsidP="00E7578E">
            <w:pPr>
              <w:ind w:left="0" w:right="0"/>
              <w:rPr>
                <w:sz w:val="20"/>
                <w:szCs w:val="20"/>
              </w:rPr>
            </w:pPr>
            <w:r w:rsidRPr="000B0784">
              <w:rPr>
                <w:sz w:val="20"/>
                <w:szCs w:val="20"/>
              </w:rPr>
              <w:t>NET: GIT or pancreas</w:t>
            </w:r>
          </w:p>
        </w:tc>
        <w:tc>
          <w:tcPr>
            <w:tcW w:w="653" w:type="pct"/>
          </w:tcPr>
          <w:p w14:paraId="28980D8E" w14:textId="77777777" w:rsidR="00DC27E9" w:rsidRPr="000B0784" w:rsidRDefault="00DC27E9" w:rsidP="00E7578E">
            <w:pPr>
              <w:ind w:left="0" w:right="0"/>
              <w:rPr>
                <w:sz w:val="20"/>
                <w:szCs w:val="20"/>
              </w:rPr>
            </w:pPr>
            <w:r w:rsidRPr="000B0784">
              <w:rPr>
                <w:sz w:val="20"/>
                <w:szCs w:val="20"/>
              </w:rPr>
              <w:t>Lanreotide</w:t>
            </w:r>
          </w:p>
        </w:tc>
        <w:tc>
          <w:tcPr>
            <w:tcW w:w="706" w:type="pct"/>
          </w:tcPr>
          <w:p w14:paraId="6C4CB914" w14:textId="77777777" w:rsidR="00DC27E9" w:rsidRPr="000B0784" w:rsidRDefault="00DC27E9" w:rsidP="00E7578E">
            <w:pPr>
              <w:ind w:left="0" w:right="0"/>
              <w:rPr>
                <w:sz w:val="20"/>
                <w:szCs w:val="20"/>
              </w:rPr>
            </w:pPr>
            <w:r w:rsidRPr="000B0784">
              <w:rPr>
                <w:sz w:val="20"/>
                <w:szCs w:val="20"/>
              </w:rPr>
              <w:t>Placebo</w:t>
            </w:r>
          </w:p>
        </w:tc>
        <w:tc>
          <w:tcPr>
            <w:tcW w:w="565" w:type="pct"/>
          </w:tcPr>
          <w:p w14:paraId="566532D2" w14:textId="61DC7D5C" w:rsidR="00DC27E9" w:rsidRPr="000B0784" w:rsidRDefault="00444CF8" w:rsidP="00E7578E">
            <w:pPr>
              <w:ind w:left="0" w:right="0"/>
              <w:rPr>
                <w:sz w:val="20"/>
                <w:szCs w:val="20"/>
              </w:rPr>
            </w:pPr>
            <w:r w:rsidRPr="000B0784">
              <w:rPr>
                <w:sz w:val="20"/>
                <w:szCs w:val="20"/>
              </w:rPr>
              <w:t xml:space="preserve">0.47 (0.30, </w:t>
            </w:r>
            <w:r w:rsidR="00DC27E9" w:rsidRPr="000B0784">
              <w:rPr>
                <w:sz w:val="20"/>
                <w:szCs w:val="20"/>
              </w:rPr>
              <w:t>0.73)</w:t>
            </w:r>
          </w:p>
        </w:tc>
        <w:tc>
          <w:tcPr>
            <w:tcW w:w="426" w:type="pct"/>
          </w:tcPr>
          <w:p w14:paraId="035B7431" w14:textId="77777777" w:rsidR="00DC27E9" w:rsidRPr="000B0784" w:rsidRDefault="00DC27E9" w:rsidP="00E7578E">
            <w:pPr>
              <w:ind w:left="0" w:right="0"/>
              <w:rPr>
                <w:sz w:val="20"/>
                <w:szCs w:val="20"/>
              </w:rPr>
            </w:pPr>
            <w:r w:rsidRPr="000B0784">
              <w:rPr>
                <w:sz w:val="20"/>
                <w:szCs w:val="20"/>
              </w:rPr>
              <w:t>NR</w:t>
            </w:r>
          </w:p>
        </w:tc>
        <w:tc>
          <w:tcPr>
            <w:tcW w:w="749" w:type="pct"/>
          </w:tcPr>
          <w:p w14:paraId="66851D5E" w14:textId="77777777" w:rsidR="00DC27E9" w:rsidRPr="000B0784" w:rsidRDefault="00DC27E9" w:rsidP="00E7578E">
            <w:pPr>
              <w:ind w:left="0" w:right="0"/>
              <w:rPr>
                <w:sz w:val="20"/>
                <w:szCs w:val="20"/>
              </w:rPr>
            </w:pPr>
            <w:r w:rsidRPr="000B0784">
              <w:rPr>
                <w:sz w:val="20"/>
                <w:szCs w:val="20"/>
              </w:rPr>
              <w:t>18.0</w:t>
            </w:r>
          </w:p>
        </w:tc>
        <w:tc>
          <w:tcPr>
            <w:tcW w:w="567" w:type="pct"/>
          </w:tcPr>
          <w:p w14:paraId="1BC48760" w14:textId="77777777" w:rsidR="00DC27E9" w:rsidRPr="000B0784" w:rsidRDefault="00DC27E9" w:rsidP="00E7578E">
            <w:pPr>
              <w:ind w:left="0" w:right="0"/>
              <w:rPr>
                <w:sz w:val="20"/>
                <w:szCs w:val="20"/>
              </w:rPr>
            </w:pPr>
            <w:r w:rsidRPr="000B0784">
              <w:rPr>
                <w:sz w:val="20"/>
                <w:szCs w:val="20"/>
              </w:rPr>
              <w:t>&lt; 0.001</w:t>
            </w:r>
          </w:p>
        </w:tc>
      </w:tr>
      <w:tr w:rsidR="00444CF8" w:rsidRPr="00302349" w14:paraId="1F3215B2" w14:textId="77777777" w:rsidTr="000B0784">
        <w:tc>
          <w:tcPr>
            <w:tcW w:w="723" w:type="pct"/>
          </w:tcPr>
          <w:p w14:paraId="1AFCBF87" w14:textId="77777777" w:rsidR="00DC27E9" w:rsidRPr="000B0784" w:rsidRDefault="00DC27E9" w:rsidP="00E7578E">
            <w:pPr>
              <w:ind w:left="0" w:right="0"/>
              <w:rPr>
                <w:sz w:val="20"/>
                <w:szCs w:val="20"/>
                <w:vertAlign w:val="superscript"/>
              </w:rPr>
            </w:pPr>
            <w:r w:rsidRPr="000B0784">
              <w:rPr>
                <w:sz w:val="20"/>
                <w:szCs w:val="20"/>
              </w:rPr>
              <w:t>NCT00428597</w:t>
            </w:r>
            <w:r w:rsidRPr="000B0784">
              <w:rPr>
                <w:sz w:val="20"/>
                <w:szCs w:val="20"/>
                <w:vertAlign w:val="superscript"/>
              </w:rPr>
              <w:t>(c)</w:t>
            </w:r>
          </w:p>
        </w:tc>
        <w:tc>
          <w:tcPr>
            <w:tcW w:w="611" w:type="pct"/>
          </w:tcPr>
          <w:p w14:paraId="6D4C6778" w14:textId="77777777" w:rsidR="00DC27E9" w:rsidRPr="000B0784" w:rsidRDefault="00DC27E9" w:rsidP="00E7578E">
            <w:pPr>
              <w:ind w:left="0" w:right="0"/>
              <w:rPr>
                <w:sz w:val="20"/>
                <w:szCs w:val="20"/>
              </w:rPr>
            </w:pPr>
            <w:r w:rsidRPr="000B0784">
              <w:rPr>
                <w:sz w:val="20"/>
                <w:szCs w:val="20"/>
              </w:rPr>
              <w:t>NET: Pancreas</w:t>
            </w:r>
          </w:p>
        </w:tc>
        <w:tc>
          <w:tcPr>
            <w:tcW w:w="653" w:type="pct"/>
          </w:tcPr>
          <w:p w14:paraId="272A6719" w14:textId="77777777" w:rsidR="00DC27E9" w:rsidRPr="000B0784" w:rsidRDefault="00DC27E9" w:rsidP="00E7578E">
            <w:pPr>
              <w:ind w:left="0" w:right="0"/>
              <w:rPr>
                <w:sz w:val="20"/>
                <w:szCs w:val="20"/>
              </w:rPr>
            </w:pPr>
            <w:r w:rsidRPr="000B0784">
              <w:rPr>
                <w:sz w:val="20"/>
                <w:szCs w:val="20"/>
              </w:rPr>
              <w:t>Sunitinib</w:t>
            </w:r>
          </w:p>
        </w:tc>
        <w:tc>
          <w:tcPr>
            <w:tcW w:w="706" w:type="pct"/>
          </w:tcPr>
          <w:p w14:paraId="20C1F157" w14:textId="77777777" w:rsidR="00DC27E9" w:rsidRPr="000B0784" w:rsidRDefault="00DC27E9" w:rsidP="00E7578E">
            <w:pPr>
              <w:ind w:left="0" w:right="0"/>
              <w:rPr>
                <w:sz w:val="20"/>
                <w:szCs w:val="20"/>
              </w:rPr>
            </w:pPr>
            <w:r w:rsidRPr="000B0784">
              <w:rPr>
                <w:sz w:val="20"/>
                <w:szCs w:val="20"/>
              </w:rPr>
              <w:t>Placebo</w:t>
            </w:r>
          </w:p>
        </w:tc>
        <w:tc>
          <w:tcPr>
            <w:tcW w:w="565" w:type="pct"/>
          </w:tcPr>
          <w:p w14:paraId="4B54667B" w14:textId="0CDED301" w:rsidR="00DC27E9" w:rsidRPr="000B0784" w:rsidRDefault="00444CF8" w:rsidP="00E7578E">
            <w:pPr>
              <w:ind w:left="0" w:right="0"/>
              <w:rPr>
                <w:sz w:val="20"/>
                <w:szCs w:val="20"/>
              </w:rPr>
            </w:pPr>
            <w:r w:rsidRPr="000B0784">
              <w:rPr>
                <w:sz w:val="20"/>
                <w:szCs w:val="20"/>
              </w:rPr>
              <w:t xml:space="preserve">0.42 (0.26, </w:t>
            </w:r>
            <w:r w:rsidR="00DC27E9" w:rsidRPr="000B0784">
              <w:rPr>
                <w:sz w:val="20"/>
                <w:szCs w:val="20"/>
              </w:rPr>
              <w:t>0.66)</w:t>
            </w:r>
          </w:p>
        </w:tc>
        <w:tc>
          <w:tcPr>
            <w:tcW w:w="426" w:type="pct"/>
          </w:tcPr>
          <w:p w14:paraId="7FEC4848" w14:textId="77777777" w:rsidR="00DC27E9" w:rsidRPr="000B0784" w:rsidRDefault="00DC27E9" w:rsidP="00E7578E">
            <w:pPr>
              <w:ind w:left="0" w:right="0"/>
              <w:rPr>
                <w:sz w:val="20"/>
                <w:szCs w:val="20"/>
              </w:rPr>
            </w:pPr>
            <w:r w:rsidRPr="000B0784">
              <w:rPr>
                <w:sz w:val="20"/>
                <w:szCs w:val="20"/>
              </w:rPr>
              <w:t>11.4</w:t>
            </w:r>
          </w:p>
        </w:tc>
        <w:tc>
          <w:tcPr>
            <w:tcW w:w="749" w:type="pct"/>
          </w:tcPr>
          <w:p w14:paraId="269DFCED" w14:textId="77777777" w:rsidR="00DC27E9" w:rsidRPr="000B0784" w:rsidRDefault="00DC27E9" w:rsidP="00E7578E">
            <w:pPr>
              <w:ind w:left="0" w:right="0"/>
              <w:rPr>
                <w:sz w:val="20"/>
                <w:szCs w:val="20"/>
              </w:rPr>
            </w:pPr>
            <w:r w:rsidRPr="000B0784">
              <w:rPr>
                <w:sz w:val="20"/>
                <w:szCs w:val="20"/>
              </w:rPr>
              <w:t>5.5</w:t>
            </w:r>
          </w:p>
        </w:tc>
        <w:tc>
          <w:tcPr>
            <w:tcW w:w="567" w:type="pct"/>
          </w:tcPr>
          <w:p w14:paraId="15FCD2DD" w14:textId="77777777" w:rsidR="00DC27E9" w:rsidRPr="000B0784" w:rsidRDefault="00DC27E9" w:rsidP="00E7578E">
            <w:pPr>
              <w:ind w:left="0" w:right="0"/>
              <w:rPr>
                <w:sz w:val="20"/>
                <w:szCs w:val="20"/>
              </w:rPr>
            </w:pPr>
            <w:r w:rsidRPr="000B0784">
              <w:rPr>
                <w:sz w:val="20"/>
                <w:szCs w:val="20"/>
              </w:rPr>
              <w:t>&lt; 0.001</w:t>
            </w:r>
          </w:p>
        </w:tc>
      </w:tr>
      <w:tr w:rsidR="00444CF8" w:rsidRPr="00302349" w14:paraId="088D3B4B" w14:textId="77777777" w:rsidTr="000B0784">
        <w:tc>
          <w:tcPr>
            <w:tcW w:w="723" w:type="pct"/>
          </w:tcPr>
          <w:p w14:paraId="5F7703FC" w14:textId="3C78AADA" w:rsidR="00DC27E9" w:rsidRPr="000B0784" w:rsidRDefault="00067D00" w:rsidP="00E7578E">
            <w:pPr>
              <w:ind w:left="0" w:right="0"/>
              <w:rPr>
                <w:sz w:val="20"/>
                <w:szCs w:val="20"/>
                <w:vertAlign w:val="superscript"/>
              </w:rPr>
            </w:pPr>
            <w:r>
              <w:rPr>
                <w:sz w:val="20"/>
                <w:szCs w:val="20"/>
              </w:rPr>
              <w:t>RADIANT-3</w:t>
            </w:r>
            <w:r w:rsidR="00DC27E9" w:rsidRPr="000B0784">
              <w:rPr>
                <w:sz w:val="20"/>
                <w:szCs w:val="20"/>
                <w:vertAlign w:val="superscript"/>
              </w:rPr>
              <w:t>(d)</w:t>
            </w:r>
          </w:p>
        </w:tc>
        <w:tc>
          <w:tcPr>
            <w:tcW w:w="611" w:type="pct"/>
          </w:tcPr>
          <w:p w14:paraId="73E0CED5" w14:textId="77777777" w:rsidR="00DC27E9" w:rsidRPr="000B0784" w:rsidRDefault="00DC27E9" w:rsidP="00E7578E">
            <w:pPr>
              <w:ind w:left="0" w:right="0"/>
              <w:rPr>
                <w:sz w:val="20"/>
                <w:szCs w:val="20"/>
              </w:rPr>
            </w:pPr>
            <w:r w:rsidRPr="000B0784">
              <w:rPr>
                <w:sz w:val="20"/>
                <w:szCs w:val="20"/>
              </w:rPr>
              <w:t>NET: Pancreas</w:t>
            </w:r>
          </w:p>
        </w:tc>
        <w:tc>
          <w:tcPr>
            <w:tcW w:w="653" w:type="pct"/>
          </w:tcPr>
          <w:p w14:paraId="126BBDFD" w14:textId="77777777" w:rsidR="00DC27E9" w:rsidRPr="000B0784" w:rsidRDefault="00DC27E9" w:rsidP="00E7578E">
            <w:pPr>
              <w:ind w:left="0" w:right="0"/>
              <w:rPr>
                <w:sz w:val="20"/>
                <w:szCs w:val="20"/>
              </w:rPr>
            </w:pPr>
            <w:r w:rsidRPr="000B0784">
              <w:rPr>
                <w:sz w:val="20"/>
                <w:szCs w:val="20"/>
              </w:rPr>
              <w:t>Everolimus</w:t>
            </w:r>
          </w:p>
        </w:tc>
        <w:tc>
          <w:tcPr>
            <w:tcW w:w="706" w:type="pct"/>
          </w:tcPr>
          <w:p w14:paraId="4A644915" w14:textId="77777777" w:rsidR="00DC27E9" w:rsidRPr="000B0784" w:rsidRDefault="00DC27E9" w:rsidP="00E7578E">
            <w:pPr>
              <w:ind w:left="0" w:right="0"/>
              <w:rPr>
                <w:sz w:val="20"/>
                <w:szCs w:val="20"/>
              </w:rPr>
            </w:pPr>
            <w:r w:rsidRPr="000B0784">
              <w:rPr>
                <w:sz w:val="20"/>
                <w:szCs w:val="20"/>
              </w:rPr>
              <w:t>Placebo</w:t>
            </w:r>
          </w:p>
        </w:tc>
        <w:tc>
          <w:tcPr>
            <w:tcW w:w="565" w:type="pct"/>
          </w:tcPr>
          <w:p w14:paraId="045490FC" w14:textId="7EC2F0A8" w:rsidR="00DC27E9" w:rsidRPr="000B0784" w:rsidRDefault="00444CF8" w:rsidP="00E7578E">
            <w:pPr>
              <w:ind w:left="0" w:right="0"/>
              <w:rPr>
                <w:sz w:val="20"/>
                <w:szCs w:val="20"/>
              </w:rPr>
            </w:pPr>
            <w:r w:rsidRPr="000B0784">
              <w:rPr>
                <w:sz w:val="20"/>
                <w:szCs w:val="20"/>
              </w:rPr>
              <w:t xml:space="preserve">0.35 (0.27, </w:t>
            </w:r>
            <w:r w:rsidR="00DC27E9" w:rsidRPr="000B0784">
              <w:rPr>
                <w:sz w:val="20"/>
                <w:szCs w:val="20"/>
              </w:rPr>
              <w:t>0.45)</w:t>
            </w:r>
          </w:p>
        </w:tc>
        <w:tc>
          <w:tcPr>
            <w:tcW w:w="426" w:type="pct"/>
          </w:tcPr>
          <w:p w14:paraId="3B4ACBAB" w14:textId="77777777" w:rsidR="00DC27E9" w:rsidRPr="000B0784" w:rsidRDefault="00DC27E9" w:rsidP="00E7578E">
            <w:pPr>
              <w:ind w:left="0" w:right="0"/>
              <w:rPr>
                <w:sz w:val="20"/>
                <w:szCs w:val="20"/>
              </w:rPr>
            </w:pPr>
            <w:r w:rsidRPr="000B0784">
              <w:rPr>
                <w:sz w:val="20"/>
                <w:szCs w:val="20"/>
              </w:rPr>
              <w:t>11.0</w:t>
            </w:r>
          </w:p>
        </w:tc>
        <w:tc>
          <w:tcPr>
            <w:tcW w:w="749" w:type="pct"/>
          </w:tcPr>
          <w:p w14:paraId="3F743AD5" w14:textId="77777777" w:rsidR="00DC27E9" w:rsidRPr="000B0784" w:rsidRDefault="00DC27E9" w:rsidP="00E7578E">
            <w:pPr>
              <w:ind w:left="0" w:right="0"/>
              <w:rPr>
                <w:sz w:val="20"/>
                <w:szCs w:val="20"/>
              </w:rPr>
            </w:pPr>
            <w:r w:rsidRPr="000B0784">
              <w:rPr>
                <w:sz w:val="20"/>
                <w:szCs w:val="20"/>
              </w:rPr>
              <w:t>4.6</w:t>
            </w:r>
          </w:p>
        </w:tc>
        <w:tc>
          <w:tcPr>
            <w:tcW w:w="567" w:type="pct"/>
          </w:tcPr>
          <w:p w14:paraId="6901E3CE" w14:textId="77777777" w:rsidR="00DC27E9" w:rsidRPr="000B0784" w:rsidRDefault="00DC27E9" w:rsidP="00E7578E">
            <w:pPr>
              <w:ind w:left="0" w:right="0"/>
              <w:rPr>
                <w:sz w:val="20"/>
                <w:szCs w:val="20"/>
              </w:rPr>
            </w:pPr>
            <w:r w:rsidRPr="000B0784">
              <w:rPr>
                <w:sz w:val="20"/>
                <w:szCs w:val="20"/>
              </w:rPr>
              <w:t>&lt; 0.0001</w:t>
            </w:r>
          </w:p>
        </w:tc>
      </w:tr>
      <w:tr w:rsidR="00444CF8" w:rsidRPr="00302349" w14:paraId="7704BD47" w14:textId="77777777" w:rsidTr="000B0784">
        <w:tc>
          <w:tcPr>
            <w:tcW w:w="723" w:type="pct"/>
          </w:tcPr>
          <w:p w14:paraId="2D285D7A" w14:textId="77777777" w:rsidR="00DC27E9" w:rsidRPr="000B0784" w:rsidRDefault="00DC27E9" w:rsidP="00E7578E">
            <w:pPr>
              <w:ind w:left="0" w:right="0"/>
              <w:rPr>
                <w:sz w:val="20"/>
                <w:szCs w:val="20"/>
              </w:rPr>
            </w:pPr>
            <w:r w:rsidRPr="000B0784">
              <w:rPr>
                <w:sz w:val="20"/>
                <w:szCs w:val="20"/>
              </w:rPr>
              <w:t>Radiant–4</w:t>
            </w:r>
          </w:p>
        </w:tc>
        <w:tc>
          <w:tcPr>
            <w:tcW w:w="611" w:type="pct"/>
          </w:tcPr>
          <w:p w14:paraId="0096D1C3" w14:textId="77777777" w:rsidR="00DC27E9" w:rsidRPr="000B0784" w:rsidRDefault="00DC27E9" w:rsidP="00E7578E">
            <w:pPr>
              <w:ind w:left="0" w:right="0"/>
              <w:rPr>
                <w:sz w:val="20"/>
                <w:szCs w:val="20"/>
              </w:rPr>
            </w:pPr>
            <w:r w:rsidRPr="000B0784">
              <w:rPr>
                <w:sz w:val="20"/>
                <w:szCs w:val="20"/>
              </w:rPr>
              <w:t>NET: GIT or lung</w:t>
            </w:r>
          </w:p>
        </w:tc>
        <w:tc>
          <w:tcPr>
            <w:tcW w:w="653" w:type="pct"/>
          </w:tcPr>
          <w:p w14:paraId="34F9E169" w14:textId="77777777" w:rsidR="00DC27E9" w:rsidRPr="000B0784" w:rsidRDefault="00DC27E9" w:rsidP="00E7578E">
            <w:pPr>
              <w:ind w:left="0" w:right="0"/>
              <w:rPr>
                <w:sz w:val="20"/>
                <w:szCs w:val="20"/>
              </w:rPr>
            </w:pPr>
            <w:r w:rsidRPr="000B0784">
              <w:rPr>
                <w:sz w:val="20"/>
                <w:szCs w:val="20"/>
              </w:rPr>
              <w:t>Everolimus</w:t>
            </w:r>
          </w:p>
        </w:tc>
        <w:tc>
          <w:tcPr>
            <w:tcW w:w="706" w:type="pct"/>
          </w:tcPr>
          <w:p w14:paraId="71493C21" w14:textId="77777777" w:rsidR="00DC27E9" w:rsidRPr="000B0784" w:rsidRDefault="00DC27E9" w:rsidP="00E7578E">
            <w:pPr>
              <w:ind w:left="0" w:right="0"/>
              <w:rPr>
                <w:sz w:val="20"/>
                <w:szCs w:val="20"/>
              </w:rPr>
            </w:pPr>
            <w:r w:rsidRPr="000B0784">
              <w:rPr>
                <w:sz w:val="20"/>
                <w:szCs w:val="20"/>
              </w:rPr>
              <w:t>Placebo</w:t>
            </w:r>
          </w:p>
        </w:tc>
        <w:tc>
          <w:tcPr>
            <w:tcW w:w="565" w:type="pct"/>
          </w:tcPr>
          <w:p w14:paraId="2194B22B" w14:textId="11E93712" w:rsidR="00DC27E9" w:rsidRPr="000B0784" w:rsidRDefault="00444CF8" w:rsidP="00E7578E">
            <w:pPr>
              <w:ind w:left="0" w:right="0"/>
              <w:rPr>
                <w:sz w:val="20"/>
                <w:szCs w:val="20"/>
              </w:rPr>
            </w:pPr>
            <w:r w:rsidRPr="000B0784">
              <w:rPr>
                <w:sz w:val="20"/>
                <w:szCs w:val="20"/>
              </w:rPr>
              <w:t xml:space="preserve">0.48 (0.35, </w:t>
            </w:r>
            <w:r w:rsidR="00DC27E9" w:rsidRPr="000B0784">
              <w:rPr>
                <w:sz w:val="20"/>
                <w:szCs w:val="20"/>
              </w:rPr>
              <w:t>0.67)</w:t>
            </w:r>
          </w:p>
        </w:tc>
        <w:tc>
          <w:tcPr>
            <w:tcW w:w="426" w:type="pct"/>
          </w:tcPr>
          <w:p w14:paraId="6083D457" w14:textId="77777777" w:rsidR="00DC27E9" w:rsidRPr="000B0784" w:rsidRDefault="00DC27E9" w:rsidP="00E7578E">
            <w:pPr>
              <w:ind w:left="0" w:right="0"/>
              <w:rPr>
                <w:sz w:val="20"/>
                <w:szCs w:val="20"/>
              </w:rPr>
            </w:pPr>
            <w:r w:rsidRPr="000B0784">
              <w:rPr>
                <w:sz w:val="20"/>
                <w:szCs w:val="20"/>
              </w:rPr>
              <w:t>11.01</w:t>
            </w:r>
          </w:p>
        </w:tc>
        <w:tc>
          <w:tcPr>
            <w:tcW w:w="749" w:type="pct"/>
          </w:tcPr>
          <w:p w14:paraId="3C75FAB4" w14:textId="77777777" w:rsidR="00DC27E9" w:rsidRPr="000B0784" w:rsidRDefault="00DC27E9" w:rsidP="00E7578E">
            <w:pPr>
              <w:ind w:left="0" w:right="0"/>
              <w:rPr>
                <w:sz w:val="20"/>
                <w:szCs w:val="20"/>
              </w:rPr>
            </w:pPr>
            <w:r w:rsidRPr="000B0784">
              <w:rPr>
                <w:sz w:val="20"/>
                <w:szCs w:val="20"/>
              </w:rPr>
              <w:t>3.91</w:t>
            </w:r>
          </w:p>
        </w:tc>
        <w:tc>
          <w:tcPr>
            <w:tcW w:w="567" w:type="pct"/>
          </w:tcPr>
          <w:p w14:paraId="151F90DA" w14:textId="77777777" w:rsidR="00DC27E9" w:rsidRPr="000B0784" w:rsidRDefault="00DC27E9" w:rsidP="00E7578E">
            <w:pPr>
              <w:ind w:left="0" w:right="0"/>
              <w:rPr>
                <w:sz w:val="20"/>
                <w:szCs w:val="20"/>
              </w:rPr>
            </w:pPr>
            <w:r w:rsidRPr="000B0784">
              <w:rPr>
                <w:sz w:val="20"/>
                <w:szCs w:val="20"/>
              </w:rPr>
              <w:t>&lt; 0.001</w:t>
            </w:r>
          </w:p>
        </w:tc>
      </w:tr>
      <w:tr w:rsidR="00444CF8" w:rsidRPr="00302349" w14:paraId="0B114134" w14:textId="77777777" w:rsidTr="00444CF8">
        <w:tc>
          <w:tcPr>
            <w:tcW w:w="5000" w:type="pct"/>
            <w:gridSpan w:val="8"/>
          </w:tcPr>
          <w:p w14:paraId="0BDE54F1" w14:textId="7C3F30A1" w:rsidR="00DC27E9" w:rsidRPr="000B0784" w:rsidRDefault="00DC27E9" w:rsidP="00E7578E">
            <w:pPr>
              <w:ind w:left="0" w:right="0"/>
              <w:rPr>
                <w:sz w:val="20"/>
                <w:szCs w:val="20"/>
              </w:rPr>
            </w:pPr>
            <w:r w:rsidRPr="000B0784">
              <w:rPr>
                <w:sz w:val="20"/>
                <w:szCs w:val="20"/>
              </w:rPr>
              <w:t xml:space="preserve">a) Rinke A et al. Placebo Controlled, Double Blind, Prospective, </w:t>
            </w:r>
            <w:r w:rsidR="00423796" w:rsidRPr="00423796">
              <w:rPr>
                <w:sz w:val="20"/>
                <w:szCs w:val="20"/>
              </w:rPr>
              <w:t>Randomised</w:t>
            </w:r>
            <w:r w:rsidRPr="000B0784">
              <w:rPr>
                <w:sz w:val="20"/>
                <w:szCs w:val="20"/>
              </w:rPr>
              <w:t xml:space="preserve"> Study on the Effect of Octreotide LAR in the Control of Tumor Growth in Patients With Metastatic Neuroendocrine Midgut Tumors: A Report From the PROMID Study Group. J Clin Oncol. 2009; 27 (28): 4656-4663.</w:t>
            </w:r>
          </w:p>
          <w:p w14:paraId="6B6D56AC" w14:textId="77777777" w:rsidR="00DC27E9" w:rsidRPr="000B0784" w:rsidRDefault="00DC27E9" w:rsidP="00E7578E">
            <w:pPr>
              <w:ind w:left="0" w:right="0"/>
              <w:rPr>
                <w:sz w:val="20"/>
                <w:szCs w:val="20"/>
              </w:rPr>
            </w:pPr>
            <w:r w:rsidRPr="000B0784">
              <w:rPr>
                <w:sz w:val="20"/>
                <w:szCs w:val="20"/>
              </w:rPr>
              <w:t>b) Caplin M et al. Lanreotide in Metastatic Enteropancreatic Neuroendocrine Tumors. N Engl J Med 2014; 371:224-33.</w:t>
            </w:r>
          </w:p>
          <w:p w14:paraId="5CA2FC5E" w14:textId="77777777" w:rsidR="00DC27E9" w:rsidRPr="000B0784" w:rsidRDefault="00DC27E9" w:rsidP="00E7578E">
            <w:pPr>
              <w:ind w:left="0" w:right="0"/>
              <w:rPr>
                <w:sz w:val="20"/>
                <w:szCs w:val="20"/>
              </w:rPr>
            </w:pPr>
            <w:r w:rsidRPr="000B0784">
              <w:rPr>
                <w:sz w:val="20"/>
                <w:szCs w:val="20"/>
              </w:rPr>
              <w:t>c) Raymond E et al. Sunitinib Malate for the Treatment of Pancreatic Neuroendocrine Tumors. N Engl J Med 2011; 364:501-13.</w:t>
            </w:r>
          </w:p>
          <w:p w14:paraId="73B893F6" w14:textId="77777777" w:rsidR="00DC27E9" w:rsidRPr="000B0784" w:rsidRDefault="00DC27E9" w:rsidP="00E7578E">
            <w:pPr>
              <w:ind w:left="0" w:right="0"/>
              <w:rPr>
                <w:sz w:val="20"/>
                <w:szCs w:val="20"/>
              </w:rPr>
            </w:pPr>
            <w:r w:rsidRPr="000B0784">
              <w:rPr>
                <w:sz w:val="20"/>
                <w:szCs w:val="20"/>
              </w:rPr>
              <w:t>d) Yao J et al. Everolimus for Advanced Pancreatic Neuroendocrine Tumors. N Engl J Med 2011; 364:514-23.</w:t>
            </w:r>
          </w:p>
        </w:tc>
      </w:tr>
    </w:tbl>
    <w:p w14:paraId="2FFF0CAF" w14:textId="77777777" w:rsidR="00DC27E9" w:rsidRPr="00DC27E9" w:rsidRDefault="00DC27E9" w:rsidP="00DC27E9">
      <w:r w:rsidRPr="00DC27E9">
        <w:t>Everolimus treatment was also associated with a non-significant trend towards improved overall survival. The sponsor should be asked to provide a summary of any further analyses of overall survival that have been conducted. The drug did not have any significant effects on quality of life compared to placebo.</w:t>
      </w:r>
    </w:p>
    <w:p w14:paraId="6696502B" w14:textId="77985794" w:rsidR="00DC27E9" w:rsidRPr="00DC27E9" w:rsidRDefault="00DC27E9" w:rsidP="00DC27E9">
      <w:r w:rsidRPr="00DC27E9">
        <w:t>The submission for the new indication is based on a single pivotal study and the TGA has adopted an EMA guideline that deals with this situation.</w:t>
      </w:r>
      <w:r w:rsidRPr="00DC27E9">
        <w:rPr>
          <w:vertAlign w:val="superscript"/>
        </w:rPr>
        <w:fldChar w:fldCharType="begin"/>
      </w:r>
      <w:r w:rsidRPr="00DC27E9">
        <w:rPr>
          <w:vertAlign w:val="superscript"/>
        </w:rPr>
        <w:instrText xml:space="preserve"> NOTEREF _Ref491348688 \h  \* MERGEFORMAT </w:instrText>
      </w:r>
      <w:r w:rsidRPr="00DC27E9">
        <w:rPr>
          <w:vertAlign w:val="superscript"/>
        </w:rPr>
      </w:r>
      <w:r w:rsidRPr="00DC27E9">
        <w:rPr>
          <w:vertAlign w:val="superscript"/>
        </w:rPr>
        <w:fldChar w:fldCharType="separate"/>
      </w:r>
      <w:r w:rsidR="002A5AE3">
        <w:rPr>
          <w:vertAlign w:val="superscript"/>
        </w:rPr>
        <w:t>18</w:t>
      </w:r>
      <w:r w:rsidRPr="00DC27E9">
        <w:fldChar w:fldCharType="end"/>
      </w:r>
      <w:r w:rsidRPr="00DC27E9">
        <w:t xml:space="preserve"> This guideline sets out certain ‘prerequisites’ that must be met for approval of such a submission. In the opinion of the </w:t>
      </w:r>
      <w:r w:rsidR="00302349">
        <w:t xml:space="preserve">clinical </w:t>
      </w:r>
      <w:r w:rsidRPr="00DC27E9">
        <w:t>evaluator, the design and results of the pivotal study allow the conclusion that these prerequisites have been met.</w:t>
      </w:r>
    </w:p>
    <w:p w14:paraId="2F8E5D1C" w14:textId="77777777" w:rsidR="00DC27E9" w:rsidRPr="00DC27E9" w:rsidRDefault="00DC27E9" w:rsidP="00DC27E9">
      <w:r w:rsidRPr="00DC27E9">
        <w:t>Overall the evidence submitted to support the efficacy of everolimus for the new indication is considered acceptable.</w:t>
      </w:r>
    </w:p>
    <w:p w14:paraId="0396CCB3" w14:textId="77777777" w:rsidR="00DC27E9" w:rsidRPr="00DC27E9" w:rsidRDefault="00DC27E9" w:rsidP="00444CF8">
      <w:pPr>
        <w:pStyle w:val="Heading5"/>
      </w:pPr>
      <w:bookmarkStart w:id="68" w:name="_Toc457131972"/>
      <w:r w:rsidRPr="00DC27E9">
        <w:t>Tuberous sclerosis</w:t>
      </w:r>
      <w:bookmarkEnd w:id="68"/>
    </w:p>
    <w:p w14:paraId="032A7C0A" w14:textId="072CB6C6" w:rsidR="00DC27E9" w:rsidRPr="00DC27E9" w:rsidRDefault="00DC27E9" w:rsidP="00DC27E9">
      <w:r w:rsidRPr="00DC27E9">
        <w:t>Data from the three TSC studies demonstrate that efficacy of everolimus is maintained and even improved with long-term use.</w:t>
      </w:r>
    </w:p>
    <w:p w14:paraId="636235C7" w14:textId="77777777" w:rsidR="008E7846" w:rsidRPr="002E238E" w:rsidRDefault="008E7846" w:rsidP="008E7846">
      <w:pPr>
        <w:pStyle w:val="Heading3"/>
      </w:pPr>
      <w:bookmarkStart w:id="69" w:name="_Toc163441378"/>
      <w:bookmarkStart w:id="70" w:name="_Toc196046495"/>
      <w:bookmarkStart w:id="71" w:name="_Toc247691522"/>
      <w:bookmarkStart w:id="72" w:name="_Toc314842505"/>
      <w:bookmarkStart w:id="73" w:name="_Toc493685100"/>
      <w:bookmarkEnd w:id="63"/>
      <w:bookmarkEnd w:id="64"/>
      <w:bookmarkEnd w:id="65"/>
      <w:bookmarkEnd w:id="66"/>
      <w:r w:rsidRPr="002E238E">
        <w:lastRenderedPageBreak/>
        <w:t>Safety</w:t>
      </w:r>
      <w:bookmarkEnd w:id="69"/>
      <w:bookmarkEnd w:id="70"/>
      <w:bookmarkEnd w:id="71"/>
      <w:bookmarkEnd w:id="72"/>
      <w:bookmarkEnd w:id="73"/>
    </w:p>
    <w:p w14:paraId="0FD985E9" w14:textId="77777777" w:rsidR="00EB2A06" w:rsidRDefault="00EB2A06" w:rsidP="00EB2A06">
      <w:bookmarkStart w:id="74" w:name="_Toc247691524"/>
      <w:bookmarkStart w:id="75" w:name="_Toc314842508"/>
      <w:bookmarkStart w:id="76" w:name="_Toc196046504"/>
      <w:bookmarkStart w:id="77" w:name="_Toc163441390"/>
      <w:r>
        <w:t>Safety issues previously identified with everolimus include the following:</w:t>
      </w:r>
    </w:p>
    <w:p w14:paraId="26F2F903" w14:textId="77777777" w:rsidR="00EB2A06" w:rsidRDefault="00EB2A06" w:rsidP="000B0784">
      <w:pPr>
        <w:pStyle w:val="ListBullet"/>
      </w:pPr>
      <w:r>
        <w:t>Non-infectious pneumonitis/interstitial lung disease;</w:t>
      </w:r>
    </w:p>
    <w:p w14:paraId="5247B8DD" w14:textId="77777777" w:rsidR="00EB2A06" w:rsidRDefault="00EB2A06" w:rsidP="000B0784">
      <w:pPr>
        <w:pStyle w:val="ListBullet"/>
      </w:pPr>
      <w:r>
        <w:t>Immunosuppression resulting in infections;</w:t>
      </w:r>
    </w:p>
    <w:p w14:paraId="248BC8C9" w14:textId="77777777" w:rsidR="00EB2A06" w:rsidRDefault="00EB2A06" w:rsidP="000B0784">
      <w:pPr>
        <w:pStyle w:val="ListBullet"/>
      </w:pPr>
      <w:r>
        <w:t>Impaired wound healing;</w:t>
      </w:r>
    </w:p>
    <w:p w14:paraId="21A279F9" w14:textId="77777777" w:rsidR="00EB2A06" w:rsidRDefault="00EB2A06" w:rsidP="000B0784">
      <w:pPr>
        <w:pStyle w:val="ListBullet"/>
      </w:pPr>
      <w:r>
        <w:t>Hypersensitivity reactions;</w:t>
      </w:r>
    </w:p>
    <w:p w14:paraId="712E0CB6" w14:textId="77777777" w:rsidR="00EB2A06" w:rsidRDefault="00EB2A06" w:rsidP="000B0784">
      <w:pPr>
        <w:pStyle w:val="ListBullet"/>
      </w:pPr>
      <w:r>
        <w:t>Angioedema when used in common with ACE inhibitors;</w:t>
      </w:r>
    </w:p>
    <w:p w14:paraId="0EAA985B" w14:textId="77777777" w:rsidR="00EB2A06" w:rsidRDefault="00EB2A06" w:rsidP="000B0784">
      <w:pPr>
        <w:pStyle w:val="ListBullet"/>
      </w:pPr>
      <w:r>
        <w:t>Stomatitis/oral mucositis;</w:t>
      </w:r>
    </w:p>
    <w:p w14:paraId="41A3A6A9" w14:textId="77777777" w:rsidR="00EB2A06" w:rsidRDefault="00EB2A06" w:rsidP="000B0784">
      <w:pPr>
        <w:pStyle w:val="ListBullet"/>
      </w:pPr>
      <w:r>
        <w:t>Renal impairment;</w:t>
      </w:r>
    </w:p>
    <w:p w14:paraId="3E3D85CD" w14:textId="77777777" w:rsidR="00EB2A06" w:rsidRDefault="00EB2A06" w:rsidP="000B0784">
      <w:pPr>
        <w:pStyle w:val="ListBullet"/>
      </w:pPr>
      <w:r>
        <w:t>Hyperglycaemia;</w:t>
      </w:r>
    </w:p>
    <w:p w14:paraId="5942CC3C" w14:textId="77777777" w:rsidR="00EB2A06" w:rsidRDefault="00EB2A06" w:rsidP="000B0784">
      <w:pPr>
        <w:pStyle w:val="ListBullet"/>
      </w:pPr>
      <w:r>
        <w:t>Dyslipidaemia;</w:t>
      </w:r>
    </w:p>
    <w:p w14:paraId="50D82A3F" w14:textId="72A1ED90" w:rsidR="00EB2A06" w:rsidRDefault="00EB2A06" w:rsidP="000B0784">
      <w:pPr>
        <w:pStyle w:val="ListBullet"/>
      </w:pPr>
      <w:r>
        <w:t>Haematological cytopaenias.</w:t>
      </w:r>
    </w:p>
    <w:p w14:paraId="49B609FB" w14:textId="77777777" w:rsidR="00605AD4" w:rsidRDefault="00605AD4" w:rsidP="00605AD4">
      <w:pPr>
        <w:pStyle w:val="Heading4"/>
      </w:pPr>
      <w:r w:rsidRPr="00605AD4">
        <w:t>Studies providing safety data</w:t>
      </w:r>
    </w:p>
    <w:p w14:paraId="32502DBD" w14:textId="1F397C9D" w:rsidR="00DC27E9" w:rsidRPr="00DC27E9" w:rsidRDefault="00DC27E9" w:rsidP="00DC27E9">
      <w:r w:rsidRPr="00A95723">
        <w:rPr>
          <w:lang w:eastAsia="ja-JP"/>
        </w:rPr>
        <w:t xml:space="preserve">Study </w:t>
      </w:r>
      <w:r w:rsidR="00581AD9">
        <w:rPr>
          <w:lang w:eastAsia="ja-JP"/>
        </w:rPr>
        <w:t>CRAD001T2302 (RADIANT-4)</w:t>
      </w:r>
      <w:r w:rsidRPr="00A95723">
        <w:rPr>
          <w:lang w:eastAsia="ja-JP"/>
        </w:rPr>
        <w:t xml:space="preserve"> was the only study submitted in support of the new indication.</w:t>
      </w:r>
    </w:p>
    <w:p w14:paraId="67A9B13B" w14:textId="77777777" w:rsidR="00605AD4" w:rsidRDefault="00605AD4" w:rsidP="00605AD4">
      <w:pPr>
        <w:pStyle w:val="Heading4"/>
      </w:pPr>
      <w:r w:rsidRPr="00605AD4">
        <w:t>Patient exposure</w:t>
      </w:r>
    </w:p>
    <w:p w14:paraId="10C396FE" w14:textId="7B6E4AB4" w:rsidR="00DC27E9" w:rsidRPr="00A95723" w:rsidRDefault="00DC27E9" w:rsidP="00DC27E9">
      <w:pPr>
        <w:rPr>
          <w:lang w:eastAsia="ja-JP"/>
        </w:rPr>
      </w:pPr>
      <w:r w:rsidRPr="00A95723">
        <w:rPr>
          <w:lang w:eastAsia="ja-JP"/>
        </w:rPr>
        <w:t xml:space="preserve">The safety analysis </w:t>
      </w:r>
      <w:r>
        <w:rPr>
          <w:lang w:eastAsia="ja-JP"/>
        </w:rPr>
        <w:t xml:space="preserve">set consisted of 300 subjects: </w:t>
      </w:r>
      <w:r w:rsidRPr="00A95723">
        <w:rPr>
          <w:lang w:eastAsia="ja-JP"/>
        </w:rPr>
        <w:t>202</w:t>
      </w:r>
      <w:r w:rsidR="00444CF8">
        <w:rPr>
          <w:lang w:eastAsia="ja-JP"/>
        </w:rPr>
        <w:t xml:space="preserve"> treated with everolimus and 98 </w:t>
      </w:r>
      <w:r w:rsidRPr="00A95723">
        <w:rPr>
          <w:lang w:eastAsia="ja-JP"/>
        </w:rPr>
        <w:t xml:space="preserve">subjects treated with placebo. Details of duration of exposure are summarised </w:t>
      </w:r>
      <w:r>
        <w:rPr>
          <w:lang w:eastAsia="ja-JP"/>
        </w:rPr>
        <w:t xml:space="preserve">below </w:t>
      </w:r>
      <w:r w:rsidRPr="00A95723">
        <w:rPr>
          <w:lang w:eastAsia="ja-JP"/>
        </w:rPr>
        <w:t xml:space="preserve">in </w:t>
      </w:r>
      <w:r>
        <w:rPr>
          <w:lang w:eastAsia="ja-JP"/>
        </w:rPr>
        <w:t xml:space="preserve">Table </w:t>
      </w:r>
      <w:r w:rsidR="00302349">
        <w:rPr>
          <w:lang w:eastAsia="ja-JP"/>
        </w:rPr>
        <w:t>4</w:t>
      </w:r>
      <w:r>
        <w:rPr>
          <w:lang w:eastAsia="ja-JP"/>
        </w:rPr>
        <w:t xml:space="preserve">. </w:t>
      </w:r>
      <w:r w:rsidRPr="00A95723">
        <w:rPr>
          <w:lang w:eastAsia="ja-JP"/>
        </w:rPr>
        <w:t>Duration of exposure to study drug was longer in the everolimus arm than in the placebo</w:t>
      </w:r>
      <w:r>
        <w:rPr>
          <w:lang w:eastAsia="ja-JP"/>
        </w:rPr>
        <w:t xml:space="preserve"> arm (median duration: 40.43 versus</w:t>
      </w:r>
      <w:r w:rsidRPr="00A95723">
        <w:rPr>
          <w:lang w:eastAsia="ja-JP"/>
        </w:rPr>
        <w:t xml:space="preserve"> 19.64 weeks; pati</w:t>
      </w:r>
      <w:r>
        <w:rPr>
          <w:lang w:eastAsia="ja-JP"/>
        </w:rPr>
        <w:t>ent-years of exposure: 180.7 versus</w:t>
      </w:r>
      <w:r w:rsidRPr="00A95723">
        <w:rPr>
          <w:lang w:eastAsia="ja-JP"/>
        </w:rPr>
        <w:t xml:space="preserve"> 65.8). In the everolimus arm 137 subjects were treated for at least 24 weeks and 86 were treated for at least 48 weeks. Mean dose intensity was 79.4% in the everolimus arm and 96.2% in the placebo arm.</w:t>
      </w:r>
    </w:p>
    <w:p w14:paraId="3A8459F4" w14:textId="5134DA05" w:rsidR="00DC27E9" w:rsidRPr="00854469" w:rsidRDefault="00DC27E9" w:rsidP="00DC27E9">
      <w:pPr>
        <w:pStyle w:val="Tabletitle0"/>
        <w:rPr>
          <w:lang w:eastAsia="ja-JP"/>
        </w:rPr>
      </w:pPr>
      <w:bookmarkStart w:id="78" w:name="_Ref320183416"/>
      <w:bookmarkStart w:id="79" w:name="_Toc457132061"/>
      <w:r w:rsidRPr="00854469">
        <w:rPr>
          <w:lang w:eastAsia="ja-JP"/>
        </w:rPr>
        <w:t xml:space="preserve">Table </w:t>
      </w:r>
      <w:bookmarkEnd w:id="78"/>
      <w:r w:rsidR="00444CF8">
        <w:rPr>
          <w:lang w:eastAsia="ja-JP"/>
        </w:rPr>
        <w:t>4</w:t>
      </w:r>
      <w:r>
        <w:rPr>
          <w:lang w:eastAsia="ja-JP"/>
        </w:rPr>
        <w:t xml:space="preserve">. Study </w:t>
      </w:r>
      <w:r w:rsidR="00581AD9">
        <w:rPr>
          <w:lang w:eastAsia="ja-JP"/>
        </w:rPr>
        <w:t>CRAD001T2302 (RADIANT-4)</w:t>
      </w:r>
      <w:r>
        <w:rPr>
          <w:lang w:eastAsia="ja-JP"/>
        </w:rPr>
        <w:t xml:space="preserve"> </w:t>
      </w:r>
      <w:r w:rsidRPr="00854469">
        <w:rPr>
          <w:lang w:eastAsia="ja-JP"/>
        </w:rPr>
        <w:t>Duration of exposure</w:t>
      </w:r>
      <w:bookmarkEnd w:id="79"/>
    </w:p>
    <w:p w14:paraId="505966A5" w14:textId="3CBD1A94" w:rsidR="00DC27E9" w:rsidRPr="00DC27E9" w:rsidRDefault="00DC27E9" w:rsidP="00DC27E9">
      <w:pPr>
        <w:rPr>
          <w:lang w:eastAsia="ja-JP"/>
        </w:rPr>
      </w:pPr>
      <w:r w:rsidRPr="00854469">
        <w:rPr>
          <w:noProof/>
          <w:lang w:eastAsia="en-AU"/>
        </w:rPr>
        <w:drawing>
          <wp:inline distT="0" distB="0" distL="0" distR="0" wp14:anchorId="5D4E874E" wp14:editId="2BCDD1F6">
            <wp:extent cx="4189681" cy="3069037"/>
            <wp:effectExtent l="0" t="0" r="1905" b="4445"/>
            <wp:docPr id="24" name="Picture 1" descr="Study CRAD001T2302 Duration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28997" cy="3097837"/>
                    </a:xfrm>
                    <a:prstGeom prst="rect">
                      <a:avLst/>
                    </a:prstGeom>
                    <a:noFill/>
                    <a:ln>
                      <a:noFill/>
                    </a:ln>
                  </pic:spPr>
                </pic:pic>
              </a:graphicData>
            </a:graphic>
          </wp:inline>
        </w:drawing>
      </w:r>
    </w:p>
    <w:p w14:paraId="74011679" w14:textId="77777777" w:rsidR="00605AD4" w:rsidRDefault="00605AD4" w:rsidP="00605AD4">
      <w:pPr>
        <w:pStyle w:val="Heading4"/>
      </w:pPr>
      <w:r w:rsidRPr="00605AD4">
        <w:lastRenderedPageBreak/>
        <w:t>Safety issues with the potential for major regulatory impact</w:t>
      </w:r>
    </w:p>
    <w:p w14:paraId="45B6EEE9" w14:textId="77777777" w:rsidR="00DC27E9" w:rsidRPr="00DC27E9" w:rsidRDefault="00DC27E9" w:rsidP="00444CF8">
      <w:pPr>
        <w:pStyle w:val="Heading5"/>
      </w:pPr>
      <w:bookmarkStart w:id="80" w:name="_Toc272414681"/>
      <w:bookmarkStart w:id="81" w:name="_Toc290846319"/>
      <w:bookmarkStart w:id="82" w:name="_Toc457131999"/>
      <w:r w:rsidRPr="00DC27E9">
        <w:t>Liver toxicity</w:t>
      </w:r>
      <w:bookmarkEnd w:id="80"/>
      <w:bookmarkEnd w:id="81"/>
      <w:bookmarkEnd w:id="82"/>
    </w:p>
    <w:p w14:paraId="15F83671" w14:textId="4923B05D" w:rsidR="00DC27E9" w:rsidRPr="00DC27E9" w:rsidRDefault="00DC27E9" w:rsidP="00444CF8">
      <w:pPr>
        <w:pStyle w:val="Heading6"/>
      </w:pPr>
      <w:r w:rsidRPr="00DC27E9">
        <w:t>Neuroendocrine tumours</w:t>
      </w:r>
    </w:p>
    <w:p w14:paraId="6E4D3FB3" w14:textId="61157F83" w:rsidR="00DC27E9" w:rsidRPr="00DC27E9" w:rsidRDefault="00444CF8" w:rsidP="00DC27E9">
      <w:r>
        <w:t>E</w:t>
      </w:r>
      <w:r w:rsidR="00DC27E9" w:rsidRPr="00DC27E9">
        <w:t xml:space="preserve">levations in </w:t>
      </w:r>
      <w:r w:rsidR="00B67FE6">
        <w:t>aspartate transaminase (</w:t>
      </w:r>
      <w:r w:rsidR="00DC27E9" w:rsidRPr="00DC27E9">
        <w:t>AST</w:t>
      </w:r>
      <w:r w:rsidR="00B67FE6">
        <w:t>)</w:t>
      </w:r>
      <w:r w:rsidR="00DC27E9" w:rsidRPr="00DC27E9">
        <w:t xml:space="preserve">, </w:t>
      </w:r>
      <w:r w:rsidR="00B67FE6">
        <w:t>alanine transaminase (</w:t>
      </w:r>
      <w:r w:rsidR="00DC27E9" w:rsidRPr="00DC27E9">
        <w:t>ALT</w:t>
      </w:r>
      <w:r w:rsidR="00B67FE6">
        <w:t>)</w:t>
      </w:r>
      <w:r w:rsidR="00DC27E9" w:rsidRPr="00DC27E9">
        <w:t xml:space="preserve">, </w:t>
      </w:r>
      <w:r w:rsidR="00B67FE6">
        <w:rPr>
          <w:color w:val="000000" w:themeColor="text1"/>
          <w:szCs w:val="21"/>
          <w:lang w:val="en-GB" w:eastAsia="en-AU"/>
        </w:rPr>
        <w:t xml:space="preserve">gamma </w:t>
      </w:r>
      <w:r w:rsidR="008258B1" w:rsidRPr="008258B1">
        <w:rPr>
          <w:color w:val="000000" w:themeColor="text1"/>
          <w:szCs w:val="21"/>
          <w:lang w:val="en-GB" w:eastAsia="en-AU"/>
        </w:rPr>
        <w:t>glutamyltransferase</w:t>
      </w:r>
      <w:r w:rsidR="008258B1" w:rsidRPr="00DC27E9">
        <w:t xml:space="preserve"> </w:t>
      </w:r>
      <w:r w:rsidR="008258B1">
        <w:t>(</w:t>
      </w:r>
      <w:r w:rsidR="00DC27E9" w:rsidRPr="00DC27E9">
        <w:t>γ-GT</w:t>
      </w:r>
      <w:r w:rsidR="00B67FE6">
        <w:t>)</w:t>
      </w:r>
      <w:r w:rsidR="00DC27E9" w:rsidRPr="00DC27E9">
        <w:t xml:space="preserve"> and alkaline phosphatase and decreases in serum albumin occurred more commonly in the everolimus arm in the pivotal study. However, elevations in bilirubin occurred more commonly in the placebo arm.</w:t>
      </w:r>
    </w:p>
    <w:p w14:paraId="2491AE24" w14:textId="56575D0E" w:rsidR="00DC27E9" w:rsidRPr="00DC27E9" w:rsidRDefault="00DC27E9" w:rsidP="00DC27E9">
      <w:r w:rsidRPr="00DC27E9">
        <w:t>There were two cases of hepatic f</w:t>
      </w:r>
      <w:r w:rsidR="00B67FE6">
        <w:t>ailure in the everolimus arm versus</w:t>
      </w:r>
      <w:r w:rsidRPr="00DC27E9">
        <w:t xml:space="preserve"> none in the placebo arm.</w:t>
      </w:r>
      <w:r w:rsidR="00B67FE6">
        <w:t xml:space="preserve"> </w:t>
      </w:r>
      <w:r w:rsidR="00B67FE6" w:rsidRPr="00DC27E9">
        <w:t>Due to hepatic metastases in both cases it is difficult to attri</w:t>
      </w:r>
      <w:r w:rsidR="00B67FE6">
        <w:t>bute these events to everolimus.</w:t>
      </w:r>
    </w:p>
    <w:p w14:paraId="3FED4638" w14:textId="77777777" w:rsidR="00DC27E9" w:rsidRPr="00DC27E9" w:rsidRDefault="00DC27E9" w:rsidP="00B67FE6">
      <w:pPr>
        <w:pStyle w:val="Heading6"/>
      </w:pPr>
      <w:r w:rsidRPr="00DC27E9">
        <w:t>TSC studies</w:t>
      </w:r>
    </w:p>
    <w:p w14:paraId="0CAB9B1A" w14:textId="77777777" w:rsidR="00DC27E9" w:rsidRPr="00DC27E9" w:rsidRDefault="00DC27E9" w:rsidP="00DC27E9">
      <w:r w:rsidRPr="00DC27E9">
        <w:t>There were no cases of serious hepatic toxicity in the three TSC studies.</w:t>
      </w:r>
    </w:p>
    <w:p w14:paraId="2E69F63C" w14:textId="77777777" w:rsidR="00DC27E9" w:rsidRPr="00DC27E9" w:rsidRDefault="00DC27E9" w:rsidP="00B67FE6">
      <w:pPr>
        <w:pStyle w:val="Heading5"/>
      </w:pPr>
      <w:bookmarkStart w:id="83" w:name="_Toc272414682"/>
      <w:bookmarkStart w:id="84" w:name="_Toc290846320"/>
      <w:bookmarkStart w:id="85" w:name="_Toc457132000"/>
      <w:r w:rsidRPr="00DC27E9">
        <w:t>Haematological toxicity</w:t>
      </w:r>
      <w:bookmarkEnd w:id="83"/>
      <w:bookmarkEnd w:id="84"/>
      <w:bookmarkEnd w:id="85"/>
    </w:p>
    <w:p w14:paraId="321821B5" w14:textId="7931ADC8" w:rsidR="00DC27E9" w:rsidRPr="00DC27E9" w:rsidRDefault="00DC27E9" w:rsidP="00B67FE6">
      <w:pPr>
        <w:pStyle w:val="Heading6"/>
      </w:pPr>
      <w:r w:rsidRPr="00DC27E9">
        <w:t>Neuroendocrine tumours</w:t>
      </w:r>
    </w:p>
    <w:p w14:paraId="62D1E249" w14:textId="77777777" w:rsidR="00DC27E9" w:rsidRPr="00DC27E9" w:rsidRDefault="00DC27E9" w:rsidP="00DC27E9">
      <w:r w:rsidRPr="00DC27E9">
        <w:t>Everolimus is known to be associated with an increased incidence of haematological cytopaenias. This was confirmed in the pivotal study with increased incidence of anaemia (22.3% versus 9.2%), thrombocytopaenia (3.5% versus 1.0%) and neutropaenia 2.5% versus 1.0%) in the everolimus arm. There was one report of pancytopaenia in the everolimus arm and none in the placebo arm.</w:t>
      </w:r>
    </w:p>
    <w:p w14:paraId="28E2F9F1" w14:textId="77777777" w:rsidR="00DC27E9" w:rsidRPr="00DC27E9" w:rsidRDefault="00DC27E9" w:rsidP="00B67FE6">
      <w:pPr>
        <w:pStyle w:val="Heading6"/>
      </w:pPr>
      <w:r w:rsidRPr="00DC27E9">
        <w:t>TSC studies</w:t>
      </w:r>
    </w:p>
    <w:p w14:paraId="269B49DA" w14:textId="77777777" w:rsidR="00DC27E9" w:rsidRPr="00DC27E9" w:rsidRDefault="00DC27E9" w:rsidP="00DC27E9">
      <w:r w:rsidRPr="00DC27E9">
        <w:t>Cytopaenias were also observed in the three TSC studies.</w:t>
      </w:r>
    </w:p>
    <w:p w14:paraId="2E6CE59F" w14:textId="77777777" w:rsidR="00DC27E9" w:rsidRPr="00DC27E9" w:rsidRDefault="00DC27E9" w:rsidP="00B67FE6">
      <w:pPr>
        <w:pStyle w:val="Heading5"/>
      </w:pPr>
      <w:bookmarkStart w:id="86" w:name="_Toc272414683"/>
      <w:bookmarkStart w:id="87" w:name="_Toc290846321"/>
      <w:bookmarkStart w:id="88" w:name="_Toc457132001"/>
      <w:r w:rsidRPr="00DC27E9">
        <w:t>Serious skin reactions</w:t>
      </w:r>
      <w:bookmarkEnd w:id="86"/>
      <w:bookmarkEnd w:id="87"/>
      <w:bookmarkEnd w:id="88"/>
    </w:p>
    <w:p w14:paraId="22B1CBCC" w14:textId="01E4D53C" w:rsidR="00DC27E9" w:rsidRPr="00DC27E9" w:rsidRDefault="00DC27E9" w:rsidP="00B67FE6">
      <w:pPr>
        <w:pStyle w:val="Heading6"/>
      </w:pPr>
      <w:r w:rsidRPr="00DC27E9">
        <w:t>Neuroendocrine tumours</w:t>
      </w:r>
    </w:p>
    <w:p w14:paraId="19E40C15" w14:textId="77777777" w:rsidR="00DC27E9" w:rsidRPr="00DC27E9" w:rsidRDefault="00DC27E9" w:rsidP="00DC27E9">
      <w:r w:rsidRPr="00DC27E9">
        <w:t>Everolimus is known to be associated with dermatological toxicity. In the pivotal study skin disorders occurred in 67.8% of everolimus-treated subjects and 27.6% of placebo-treated subjects. The most common events were rash and pruritus. Serious skin disorders occurred in 2.0% of subjects with everolimus (n = 4) versus no subject with placebo. The specific serious events reported were angioedema, drug eruption, hyperhidrosis and toxic skin eruption (Grade 2).</w:t>
      </w:r>
    </w:p>
    <w:p w14:paraId="5CB0333B" w14:textId="77777777" w:rsidR="00DC27E9" w:rsidRPr="00DC27E9" w:rsidRDefault="00DC27E9" w:rsidP="00B67FE6">
      <w:pPr>
        <w:pStyle w:val="Heading6"/>
      </w:pPr>
      <w:r w:rsidRPr="00DC27E9">
        <w:t>TSC studies</w:t>
      </w:r>
    </w:p>
    <w:p w14:paraId="6EAA41B6" w14:textId="77777777" w:rsidR="00DC27E9" w:rsidRPr="00DC27E9" w:rsidRDefault="00DC27E9" w:rsidP="00DC27E9">
      <w:r w:rsidRPr="00DC27E9">
        <w:t>No serious skin reactions were reported in the TSC studies.</w:t>
      </w:r>
    </w:p>
    <w:p w14:paraId="14A7D6CF" w14:textId="77777777" w:rsidR="00DC27E9" w:rsidRPr="00DC27E9" w:rsidRDefault="00DC27E9" w:rsidP="00B67FE6">
      <w:pPr>
        <w:pStyle w:val="Heading5"/>
      </w:pPr>
      <w:bookmarkStart w:id="89" w:name="_Toc272414684"/>
      <w:bookmarkStart w:id="90" w:name="_Toc290846322"/>
      <w:bookmarkStart w:id="91" w:name="_Toc457132002"/>
      <w:r w:rsidRPr="00DC27E9">
        <w:t>Cardiovascular safety</w:t>
      </w:r>
      <w:bookmarkEnd w:id="89"/>
      <w:bookmarkEnd w:id="90"/>
      <w:bookmarkEnd w:id="91"/>
    </w:p>
    <w:p w14:paraId="05E88810" w14:textId="42D510C6" w:rsidR="00DC27E9" w:rsidRPr="00DC27E9" w:rsidRDefault="00DC27E9" w:rsidP="00B67FE6">
      <w:pPr>
        <w:pStyle w:val="Heading6"/>
      </w:pPr>
      <w:r w:rsidRPr="00DC27E9">
        <w:t>Neuroendocrine tumours</w:t>
      </w:r>
    </w:p>
    <w:p w14:paraId="44B87E84" w14:textId="3B9174A8" w:rsidR="00DC27E9" w:rsidRPr="00DC27E9" w:rsidRDefault="00B67FE6" w:rsidP="00DC27E9">
      <w:r>
        <w:t>T</w:t>
      </w:r>
      <w:r w:rsidR="00DC27E9" w:rsidRPr="00DC27E9">
        <w:t>here was an increase in the incidence of cardiac disorders with everolimus in the pivotal study. The most common eve</w:t>
      </w:r>
      <w:r>
        <w:t>nt was cardiac failure. Table 5</w:t>
      </w:r>
      <w:r w:rsidR="00DC27E9" w:rsidRPr="00DC27E9">
        <w:t xml:space="preserve"> (shown below) lists vascular AEs (irrespective of relationship to study treatment) observed in the study</w:t>
      </w:r>
      <w:r w:rsidR="00F85007">
        <w:t xml:space="preserve"> by System Organ Class (SOC) and Preferred Term (PT)</w:t>
      </w:r>
      <w:r w:rsidR="00DC27E9" w:rsidRPr="00DC27E9">
        <w:t>. AEs of hypertension and hypotension occurred more frequently with everolimus. The other vascular events occurred with comparable frequency in the two study arms.</w:t>
      </w:r>
    </w:p>
    <w:p w14:paraId="74DA6A56" w14:textId="10C9B150" w:rsidR="00DC27E9" w:rsidRPr="00DC27E9" w:rsidRDefault="00F85007" w:rsidP="00F85007">
      <w:pPr>
        <w:pStyle w:val="Tabletitle0"/>
      </w:pPr>
      <w:r>
        <w:lastRenderedPageBreak/>
        <w:t>Table 5</w:t>
      </w:r>
      <w:r w:rsidR="00DC27E9" w:rsidRPr="00DC27E9">
        <w:t xml:space="preserve">. Study </w:t>
      </w:r>
      <w:r w:rsidR="00581AD9">
        <w:t>CRAD001T2302 (RADIANT-4)</w:t>
      </w:r>
      <w:r w:rsidR="00DC27E9" w:rsidRPr="00DC27E9">
        <w:t xml:space="preserve"> Vascular AEs by SOC and PT</w:t>
      </w:r>
    </w:p>
    <w:p w14:paraId="7A2E6405" w14:textId="77777777" w:rsidR="00DC27E9" w:rsidRPr="00DC27E9" w:rsidRDefault="00DC27E9" w:rsidP="00DC27E9">
      <w:r w:rsidRPr="00DC27E9">
        <w:rPr>
          <w:noProof/>
          <w:lang w:eastAsia="en-AU"/>
        </w:rPr>
        <w:drawing>
          <wp:inline distT="0" distB="0" distL="0" distR="0" wp14:anchorId="29A2731E" wp14:editId="10858789">
            <wp:extent cx="5505993" cy="2736574"/>
            <wp:effectExtent l="0" t="0" r="0" b="6985"/>
            <wp:docPr id="39" name="Picture 5" descr="Study CRAD001T2302 Vascular AEs by SOC and 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l="1299" t="3402" r="4208" b="10020"/>
                    <a:stretch/>
                  </pic:blipFill>
                  <pic:spPr bwMode="auto">
                    <a:xfrm>
                      <a:off x="0" y="0"/>
                      <a:ext cx="5534576" cy="2750780"/>
                    </a:xfrm>
                    <a:prstGeom prst="rect">
                      <a:avLst/>
                    </a:prstGeom>
                    <a:noFill/>
                    <a:ln>
                      <a:noFill/>
                    </a:ln>
                    <a:extLst>
                      <a:ext uri="{53640926-AAD7-44D8-BBD7-CCE9431645EC}">
                        <a14:shadowObscured xmlns:a14="http://schemas.microsoft.com/office/drawing/2010/main"/>
                      </a:ext>
                    </a:extLst>
                  </pic:spPr>
                </pic:pic>
              </a:graphicData>
            </a:graphic>
          </wp:inline>
        </w:drawing>
      </w:r>
    </w:p>
    <w:p w14:paraId="60BFFA8B" w14:textId="77777777" w:rsidR="00DC27E9" w:rsidRPr="00DC27E9" w:rsidRDefault="00DC27E9" w:rsidP="00F85007">
      <w:pPr>
        <w:pStyle w:val="Heading6"/>
      </w:pPr>
      <w:r w:rsidRPr="00DC27E9">
        <w:t>TSC studies</w:t>
      </w:r>
    </w:p>
    <w:p w14:paraId="3FFB8189" w14:textId="77777777" w:rsidR="00DC27E9" w:rsidRPr="00DC27E9" w:rsidRDefault="00DC27E9" w:rsidP="00DC27E9">
      <w:r w:rsidRPr="00DC27E9">
        <w:t>Some serious cardiovascular AEs were reported in Study M2302. Hypertension (n = 2) was the only event reported in more than 1 subject.</w:t>
      </w:r>
    </w:p>
    <w:p w14:paraId="2EA532D9" w14:textId="77777777" w:rsidR="00DC27E9" w:rsidRPr="00DC27E9" w:rsidRDefault="00DC27E9" w:rsidP="00F85007">
      <w:pPr>
        <w:pStyle w:val="Heading5"/>
      </w:pPr>
      <w:bookmarkStart w:id="92" w:name="_Toc241374323"/>
      <w:bookmarkStart w:id="93" w:name="_Toc272414685"/>
      <w:bookmarkStart w:id="94" w:name="_Toc290846323"/>
      <w:bookmarkStart w:id="95" w:name="_Toc457132003"/>
      <w:r w:rsidRPr="00DC27E9">
        <w:t>Unwanted immunological events</w:t>
      </w:r>
      <w:bookmarkEnd w:id="92"/>
      <w:bookmarkEnd w:id="93"/>
      <w:bookmarkEnd w:id="94"/>
      <w:bookmarkEnd w:id="95"/>
    </w:p>
    <w:p w14:paraId="129C6CA7" w14:textId="02F15BB2" w:rsidR="00DC27E9" w:rsidRPr="00DC27E9" w:rsidRDefault="00DC27E9" w:rsidP="00F85007">
      <w:pPr>
        <w:pStyle w:val="Heading6"/>
      </w:pPr>
      <w:r w:rsidRPr="00DC27E9">
        <w:t>Neuroendocrine tumours</w:t>
      </w:r>
    </w:p>
    <w:p w14:paraId="1600F087" w14:textId="5F25CA34" w:rsidR="00DC27E9" w:rsidRPr="00DC27E9" w:rsidRDefault="00DC27E9" w:rsidP="00DC27E9">
      <w:r w:rsidRPr="00DC27E9">
        <w:t>Hypersensitivity events (for example, anaphylaxis and angioedema) are known to occur with everolimus. In the pivotal study</w:t>
      </w:r>
      <w:r w:rsidR="00F85007">
        <w:t>,</w:t>
      </w:r>
      <w:r w:rsidRPr="00DC27E9">
        <w:t xml:space="preserve"> there were 2 cases of angioedema reported, both in the everolimus arm. There were no reports of anaphylaxis.</w:t>
      </w:r>
    </w:p>
    <w:p w14:paraId="3D1824D0" w14:textId="77777777" w:rsidR="00DC27E9" w:rsidRPr="00DC27E9" w:rsidRDefault="00DC27E9" w:rsidP="00F85007">
      <w:pPr>
        <w:pStyle w:val="Heading6"/>
      </w:pPr>
      <w:r w:rsidRPr="00DC27E9">
        <w:t>TSC studies</w:t>
      </w:r>
    </w:p>
    <w:p w14:paraId="6EA186A2" w14:textId="335BE88C" w:rsidR="00DC27E9" w:rsidRPr="00DC27E9" w:rsidRDefault="00DC27E9" w:rsidP="00DC27E9">
      <w:r w:rsidRPr="00DC27E9">
        <w:t>There were no reports of serious immunological reactions in the TSC studies.</w:t>
      </w:r>
    </w:p>
    <w:p w14:paraId="68C80B54" w14:textId="67F50060" w:rsidR="00605AD4" w:rsidRDefault="00605AD4" w:rsidP="00605AD4">
      <w:pPr>
        <w:pStyle w:val="Heading4"/>
      </w:pPr>
      <w:r w:rsidRPr="00605AD4">
        <w:t>Post</w:t>
      </w:r>
      <w:r w:rsidR="00DC27E9">
        <w:t>-</w:t>
      </w:r>
      <w:r w:rsidRPr="00605AD4">
        <w:t>marketing data</w:t>
      </w:r>
    </w:p>
    <w:p w14:paraId="3D1C4196" w14:textId="000CE1C0" w:rsidR="00DC27E9" w:rsidRPr="00DC27E9" w:rsidRDefault="00DC27E9" w:rsidP="00DC27E9">
      <w:r>
        <w:t>No post-marketing data was submitted.</w:t>
      </w:r>
    </w:p>
    <w:p w14:paraId="5D677A98" w14:textId="77777777" w:rsidR="00605AD4" w:rsidRPr="00605AD4" w:rsidRDefault="00605AD4" w:rsidP="00605AD4">
      <w:pPr>
        <w:pStyle w:val="Heading4"/>
      </w:pPr>
      <w:r w:rsidRPr="00605AD4">
        <w:t>Evaluator’s conclusions on safety</w:t>
      </w:r>
    </w:p>
    <w:p w14:paraId="5CC7F984" w14:textId="77777777" w:rsidR="00DC27E9" w:rsidRPr="006810B4" w:rsidRDefault="00DC27E9" w:rsidP="00F85007">
      <w:pPr>
        <w:pStyle w:val="Heading5"/>
      </w:pPr>
      <w:bookmarkStart w:id="96" w:name="_Toc457132005"/>
      <w:r w:rsidRPr="006810B4">
        <w:t>Neuroendocrine tumours (GIT/Lung)</w:t>
      </w:r>
      <w:bookmarkEnd w:id="96"/>
    </w:p>
    <w:p w14:paraId="7EBC239A" w14:textId="24A4130B" w:rsidR="00DC27E9" w:rsidRDefault="00DC27E9" w:rsidP="00DC27E9">
      <w:r w:rsidRPr="006810B4">
        <w:t xml:space="preserve">Data from the pivotal study indicate that everolimus is associated with significant toxicity in subjects with advanced neuroendocrine tumours. Compared to placebo, everolimus was associated with a </w:t>
      </w:r>
      <w:r>
        <w:t>notably increased incidence of Grade 3 or 4 AEs (69.3% versus</w:t>
      </w:r>
      <w:r w:rsidRPr="006810B4">
        <w:t xml:space="preserve"> 2</w:t>
      </w:r>
      <w:r>
        <w:t>8.6%) and serious AEs (42.1% versus</w:t>
      </w:r>
      <w:r w:rsidRPr="006810B4">
        <w:t xml:space="preserve"> 19.4%). Approximately an extra 20% of subjects had to discontinue study treatment due to AEs (29</w:t>
      </w:r>
      <w:r>
        <w:t>.2% versus</w:t>
      </w:r>
      <w:r w:rsidRPr="006810B4">
        <w:t xml:space="preserve"> 7.1%). Some of the increased incidence in AEs may have been due to the longer duration of treatment with everolimus and therefore longer duration of follow-up for AEs. </w:t>
      </w:r>
      <w:r w:rsidR="00A07D31">
        <w:t>Table 6</w:t>
      </w:r>
      <w:r>
        <w:t xml:space="preserve"> (</w:t>
      </w:r>
      <w:r w:rsidR="00A07D31">
        <w:t xml:space="preserve">shown </w:t>
      </w:r>
      <w:r>
        <w:t xml:space="preserve">below) </w:t>
      </w:r>
      <w:r w:rsidRPr="006810B4">
        <w:t>presents a cross-trial comparison of the inci</w:t>
      </w:r>
      <w:r>
        <w:t>dence of AEs in S</w:t>
      </w:r>
      <w:r w:rsidRPr="006810B4">
        <w:t>tudies 2324 an</w:t>
      </w:r>
      <w:r w:rsidR="00747EFC">
        <w:t xml:space="preserve">d </w:t>
      </w:r>
      <w:r w:rsidR="00581AD9">
        <w:t>CRAD001T2302 (RADIANT-4)</w:t>
      </w:r>
      <w:r w:rsidR="00747EFC">
        <w:t>. Study </w:t>
      </w:r>
      <w:r w:rsidRPr="006810B4">
        <w:t>2324 (RADIANT-3) was the pivotal study that led to TGA approval of everolimus for pancreatic NETs. Although there were diff</w:t>
      </w:r>
      <w:r w:rsidR="00F85007">
        <w:t>erences in the design of the 2</w:t>
      </w:r>
      <w:r w:rsidRPr="006810B4">
        <w:t xml:space="preserve"> studies, a notable increase in the incidence of AEs compared to placebo was observed in both trials.</w:t>
      </w:r>
    </w:p>
    <w:p w14:paraId="12AEC54E" w14:textId="1F36DC2B" w:rsidR="00DC27E9" w:rsidRDefault="00F85007" w:rsidP="00DC27E9">
      <w:pPr>
        <w:pStyle w:val="Tabletitle0"/>
      </w:pPr>
      <w:r>
        <w:lastRenderedPageBreak/>
        <w:t>Table 6</w:t>
      </w:r>
      <w:r w:rsidR="00DC27E9">
        <w:t>. Comparison of AE incidence in pivotal NET studies</w:t>
      </w:r>
    </w:p>
    <w:tbl>
      <w:tblPr>
        <w:tblStyle w:val="TableTGAblue"/>
        <w:tblW w:w="0" w:type="auto"/>
        <w:tblLook w:val="04A0" w:firstRow="1" w:lastRow="0" w:firstColumn="1" w:lastColumn="0" w:noHBand="0" w:noVBand="1"/>
      </w:tblPr>
      <w:tblGrid>
        <w:gridCol w:w="3168"/>
        <w:gridCol w:w="2520"/>
        <w:gridCol w:w="2700"/>
      </w:tblGrid>
      <w:tr w:rsidR="00DC27E9" w:rsidRPr="00574CC8" w14:paraId="1EC575D1" w14:textId="77777777" w:rsidTr="005B63BA">
        <w:trPr>
          <w:cnfStyle w:val="100000000000" w:firstRow="1" w:lastRow="0" w:firstColumn="0" w:lastColumn="0" w:oddVBand="0" w:evenVBand="0" w:oddHBand="0" w:evenHBand="0" w:firstRowFirstColumn="0" w:firstRowLastColumn="0" w:lastRowFirstColumn="0" w:lastRowLastColumn="0"/>
        </w:trPr>
        <w:tc>
          <w:tcPr>
            <w:tcW w:w="3168" w:type="dxa"/>
          </w:tcPr>
          <w:p w14:paraId="55D40CA3" w14:textId="77777777" w:rsidR="00DC27E9" w:rsidRPr="00574CC8" w:rsidRDefault="00DC27E9" w:rsidP="00D419E8"/>
        </w:tc>
        <w:tc>
          <w:tcPr>
            <w:tcW w:w="2520" w:type="dxa"/>
          </w:tcPr>
          <w:p w14:paraId="42F5B81C" w14:textId="77777777" w:rsidR="00DC27E9" w:rsidRPr="00E8350B" w:rsidRDefault="00DC27E9" w:rsidP="005B63BA">
            <w:pPr>
              <w:ind w:left="0"/>
              <w:rPr>
                <w:vertAlign w:val="superscript"/>
              </w:rPr>
            </w:pPr>
            <w:r w:rsidRPr="00574CC8">
              <w:t>Study 2324</w:t>
            </w:r>
            <w:r>
              <w:rPr>
                <w:vertAlign w:val="superscript"/>
              </w:rPr>
              <w:t>(a)</w:t>
            </w:r>
          </w:p>
          <w:p w14:paraId="67A4DD6A" w14:textId="77777777" w:rsidR="00DC27E9" w:rsidRPr="00574CC8" w:rsidRDefault="00DC27E9" w:rsidP="005B63BA">
            <w:pPr>
              <w:ind w:left="0"/>
            </w:pPr>
            <w:r>
              <w:t xml:space="preserve">(Pancreatic NETs) versus </w:t>
            </w:r>
            <w:r w:rsidRPr="00574CC8">
              <w:t>placebo</w:t>
            </w:r>
          </w:p>
        </w:tc>
        <w:tc>
          <w:tcPr>
            <w:tcW w:w="2700" w:type="dxa"/>
          </w:tcPr>
          <w:p w14:paraId="3ACF2425" w14:textId="77777777" w:rsidR="00DC27E9" w:rsidRDefault="00DC27E9" w:rsidP="005B63BA">
            <w:pPr>
              <w:ind w:left="0"/>
            </w:pPr>
            <w:r w:rsidRPr="00574CC8">
              <w:t>Study CRAD001T2302</w:t>
            </w:r>
          </w:p>
          <w:p w14:paraId="37AA63DA" w14:textId="77777777" w:rsidR="00DC27E9" w:rsidRPr="00574CC8" w:rsidRDefault="00DC27E9" w:rsidP="005B63BA">
            <w:pPr>
              <w:ind w:left="0"/>
            </w:pPr>
            <w:r w:rsidRPr="00574CC8">
              <w:t>(GIT/Lung NETs)</w:t>
            </w:r>
            <w:r>
              <w:t xml:space="preserve"> versus </w:t>
            </w:r>
            <w:r w:rsidRPr="00574CC8">
              <w:t>placebo</w:t>
            </w:r>
          </w:p>
        </w:tc>
      </w:tr>
      <w:tr w:rsidR="00DC27E9" w:rsidRPr="00574CC8" w14:paraId="6BF05D6B" w14:textId="77777777" w:rsidTr="005B63BA">
        <w:tc>
          <w:tcPr>
            <w:tcW w:w="3168" w:type="dxa"/>
          </w:tcPr>
          <w:p w14:paraId="1845A1AE" w14:textId="77777777" w:rsidR="00DC27E9" w:rsidRPr="00574CC8" w:rsidRDefault="00DC27E9" w:rsidP="00D419E8">
            <w:r>
              <w:t xml:space="preserve">Grade 3 or </w:t>
            </w:r>
            <w:r w:rsidRPr="00574CC8">
              <w:t>4 AEs</w:t>
            </w:r>
          </w:p>
        </w:tc>
        <w:tc>
          <w:tcPr>
            <w:tcW w:w="2520" w:type="dxa"/>
          </w:tcPr>
          <w:p w14:paraId="42584004" w14:textId="77777777" w:rsidR="00DC27E9" w:rsidRPr="00574CC8" w:rsidRDefault="00DC27E9" w:rsidP="005B63BA">
            <w:pPr>
              <w:keepNext/>
              <w:ind w:left="0"/>
            </w:pPr>
            <w:r w:rsidRPr="00574CC8">
              <w:t xml:space="preserve">59.8% </w:t>
            </w:r>
            <w:r>
              <w:t>versus</w:t>
            </w:r>
            <w:r w:rsidRPr="00574CC8">
              <w:t xml:space="preserve"> 38.9%</w:t>
            </w:r>
          </w:p>
        </w:tc>
        <w:tc>
          <w:tcPr>
            <w:tcW w:w="2700" w:type="dxa"/>
          </w:tcPr>
          <w:p w14:paraId="4E9CAEF2" w14:textId="77777777" w:rsidR="00DC27E9" w:rsidRPr="00574CC8" w:rsidRDefault="00DC27E9" w:rsidP="005B63BA">
            <w:pPr>
              <w:keepNext/>
              <w:ind w:left="0"/>
            </w:pPr>
            <w:r w:rsidRPr="00574CC8">
              <w:t xml:space="preserve">69.3% </w:t>
            </w:r>
            <w:r>
              <w:t>versus</w:t>
            </w:r>
            <w:r w:rsidRPr="00574CC8">
              <w:t xml:space="preserve"> 28.6%</w:t>
            </w:r>
          </w:p>
        </w:tc>
      </w:tr>
      <w:tr w:rsidR="00DC27E9" w:rsidRPr="00574CC8" w14:paraId="273126A1" w14:textId="77777777" w:rsidTr="005B63BA">
        <w:tc>
          <w:tcPr>
            <w:tcW w:w="3168" w:type="dxa"/>
          </w:tcPr>
          <w:p w14:paraId="7F3CB419" w14:textId="77777777" w:rsidR="00DC27E9" w:rsidRPr="00574CC8" w:rsidRDefault="00DC27E9" w:rsidP="00D419E8">
            <w:r w:rsidRPr="00574CC8">
              <w:t>Serious AEs</w:t>
            </w:r>
          </w:p>
        </w:tc>
        <w:tc>
          <w:tcPr>
            <w:tcW w:w="2520" w:type="dxa"/>
          </w:tcPr>
          <w:p w14:paraId="56D62861" w14:textId="77777777" w:rsidR="00DC27E9" w:rsidRPr="00574CC8" w:rsidRDefault="00DC27E9" w:rsidP="005B63BA">
            <w:pPr>
              <w:keepNext/>
              <w:ind w:left="0"/>
            </w:pPr>
            <w:r w:rsidRPr="00574CC8">
              <w:t xml:space="preserve">40.2% </w:t>
            </w:r>
            <w:r>
              <w:t>versus</w:t>
            </w:r>
            <w:r w:rsidRPr="00574CC8">
              <w:t xml:space="preserve"> 24.6%</w:t>
            </w:r>
          </w:p>
        </w:tc>
        <w:tc>
          <w:tcPr>
            <w:tcW w:w="2700" w:type="dxa"/>
          </w:tcPr>
          <w:p w14:paraId="70D7F078" w14:textId="77777777" w:rsidR="00DC27E9" w:rsidRPr="00574CC8" w:rsidRDefault="00DC27E9" w:rsidP="005B63BA">
            <w:pPr>
              <w:keepNext/>
              <w:ind w:left="0"/>
            </w:pPr>
            <w:r w:rsidRPr="00574CC8">
              <w:t xml:space="preserve">42.1% </w:t>
            </w:r>
            <w:r>
              <w:t>versus</w:t>
            </w:r>
            <w:r w:rsidRPr="00574CC8">
              <w:t xml:space="preserve"> 19.4%</w:t>
            </w:r>
          </w:p>
        </w:tc>
      </w:tr>
      <w:tr w:rsidR="00DC27E9" w:rsidRPr="00574CC8" w14:paraId="24D6B831" w14:textId="77777777" w:rsidTr="005B63BA">
        <w:tc>
          <w:tcPr>
            <w:tcW w:w="3168" w:type="dxa"/>
          </w:tcPr>
          <w:p w14:paraId="23A3ABDB" w14:textId="77777777" w:rsidR="00DC27E9" w:rsidRPr="00574CC8" w:rsidRDefault="00DC27E9" w:rsidP="00D419E8">
            <w:r w:rsidRPr="00574CC8">
              <w:t>Discontinuation due to AEs</w:t>
            </w:r>
          </w:p>
        </w:tc>
        <w:tc>
          <w:tcPr>
            <w:tcW w:w="2520" w:type="dxa"/>
          </w:tcPr>
          <w:p w14:paraId="5904C155" w14:textId="77777777" w:rsidR="00DC27E9" w:rsidRPr="00574CC8" w:rsidRDefault="00DC27E9" w:rsidP="005B63BA">
            <w:pPr>
              <w:keepNext/>
              <w:ind w:left="0"/>
            </w:pPr>
            <w:r>
              <w:t xml:space="preserve">19.1% versus </w:t>
            </w:r>
            <w:r w:rsidRPr="00574CC8">
              <w:t>5.9%</w:t>
            </w:r>
          </w:p>
        </w:tc>
        <w:tc>
          <w:tcPr>
            <w:tcW w:w="2700" w:type="dxa"/>
          </w:tcPr>
          <w:p w14:paraId="2679AC60" w14:textId="77777777" w:rsidR="00DC27E9" w:rsidRPr="00574CC8" w:rsidRDefault="00DC27E9" w:rsidP="005B63BA">
            <w:pPr>
              <w:keepNext/>
              <w:ind w:left="0"/>
            </w:pPr>
            <w:r w:rsidRPr="00574CC8">
              <w:t xml:space="preserve">29.2% </w:t>
            </w:r>
            <w:r>
              <w:t>versus</w:t>
            </w:r>
            <w:r w:rsidRPr="00574CC8">
              <w:t xml:space="preserve"> 7.1%</w:t>
            </w:r>
          </w:p>
        </w:tc>
      </w:tr>
    </w:tbl>
    <w:p w14:paraId="5C64F70E" w14:textId="77777777" w:rsidR="00DC27E9" w:rsidRPr="006810B4" w:rsidRDefault="00DC27E9" w:rsidP="00DC27E9">
      <w:pPr>
        <w:pStyle w:val="TableDescription"/>
      </w:pPr>
      <w:r>
        <w:t>a) Data available from the AusPAR for this TGA approved indication.</w:t>
      </w:r>
      <w:r>
        <w:rPr>
          <w:rStyle w:val="FootnoteReference"/>
        </w:rPr>
        <w:footnoteReference w:id="19"/>
      </w:r>
    </w:p>
    <w:p w14:paraId="2866CA53" w14:textId="77777777" w:rsidR="00DC27E9" w:rsidRPr="006810B4" w:rsidRDefault="00DC27E9" w:rsidP="00DC27E9">
      <w:r w:rsidRPr="006810B4">
        <w:t>There were two deaths on treatment that were plausibly related to everolimus. However, the drug was associated with a trend towards improved overall survival.</w:t>
      </w:r>
    </w:p>
    <w:p w14:paraId="0A6C9DC2" w14:textId="16AF237F" w:rsidR="00DC27E9" w:rsidRDefault="00DC27E9" w:rsidP="00DC27E9">
      <w:r w:rsidRPr="006810B4">
        <w:t xml:space="preserve">The pattern of </w:t>
      </w:r>
      <w:r w:rsidR="00747EFC">
        <w:t>AEs</w:t>
      </w:r>
      <w:r w:rsidRPr="006810B4">
        <w:t xml:space="preserve"> observed in the pivotal study was generally consistent with that previously observed with the drug. No new safety issues were identified.</w:t>
      </w:r>
    </w:p>
    <w:p w14:paraId="03ECD985" w14:textId="77777777" w:rsidR="00DC27E9" w:rsidRPr="00E8350B" w:rsidRDefault="00DC27E9" w:rsidP="00F85007">
      <w:pPr>
        <w:pStyle w:val="Heading5"/>
      </w:pPr>
      <w:bookmarkStart w:id="97" w:name="_Toc457132006"/>
      <w:r w:rsidRPr="00E8350B">
        <w:t>Tuberous sclerosis</w:t>
      </w:r>
      <w:bookmarkEnd w:id="97"/>
    </w:p>
    <w:p w14:paraId="65D6F454" w14:textId="7082EC6C" w:rsidR="00605AD4" w:rsidRPr="00605AD4" w:rsidRDefault="00F85007" w:rsidP="00605AD4">
      <w:r>
        <w:t xml:space="preserve">Long </w:t>
      </w:r>
      <w:r w:rsidR="00DC27E9" w:rsidRPr="00E8350B">
        <w:t>term follow-up of subjects in the three TSC studies did not identify any novel safety issues. The incidence of AEs generally decreased over time.</w:t>
      </w:r>
    </w:p>
    <w:p w14:paraId="026835ED" w14:textId="77777777" w:rsidR="00605AD4" w:rsidRPr="00605AD4" w:rsidRDefault="00605AD4" w:rsidP="00605AD4">
      <w:pPr>
        <w:pStyle w:val="Heading3"/>
        <w:rPr>
          <w:rFonts w:eastAsia="Cambria"/>
        </w:rPr>
      </w:pPr>
      <w:bookmarkStart w:id="98" w:name="_Toc493685101"/>
      <w:r w:rsidRPr="00605AD4">
        <w:rPr>
          <w:rFonts w:eastAsia="Cambria"/>
        </w:rPr>
        <w:t>First Round Benefit-Risk Assessment</w:t>
      </w:r>
      <w:bookmarkEnd w:id="98"/>
    </w:p>
    <w:p w14:paraId="72E97ECA" w14:textId="77777777" w:rsidR="00605AD4" w:rsidRDefault="00605AD4" w:rsidP="00605AD4">
      <w:pPr>
        <w:pStyle w:val="Heading4"/>
      </w:pPr>
      <w:r w:rsidRPr="00605AD4">
        <w:t>First round assessment of benefits</w:t>
      </w:r>
    </w:p>
    <w:p w14:paraId="7DD4460C" w14:textId="77777777" w:rsidR="00C51B5E" w:rsidRPr="005E71FE" w:rsidRDefault="00C51B5E" w:rsidP="00C51B5E">
      <w:pPr>
        <w:rPr>
          <w:lang w:eastAsia="ja-JP"/>
        </w:rPr>
      </w:pPr>
      <w:r w:rsidRPr="005E71FE">
        <w:rPr>
          <w:lang w:eastAsia="ja-JP"/>
        </w:rPr>
        <w:t>The benefits of everolimus in the proposed usage are:</w:t>
      </w:r>
    </w:p>
    <w:p w14:paraId="1AA9C416" w14:textId="643678FD" w:rsidR="00C51B5E" w:rsidRPr="00C51B5E" w:rsidRDefault="00C51B5E" w:rsidP="009E79FB">
      <w:pPr>
        <w:pStyle w:val="ListBullet"/>
        <w:numPr>
          <w:ilvl w:val="0"/>
          <w:numId w:val="1"/>
        </w:numPr>
        <w:rPr>
          <w:lang w:eastAsia="ja-JP"/>
        </w:rPr>
      </w:pPr>
      <w:r w:rsidRPr="005E71FE">
        <w:rPr>
          <w:lang w:eastAsia="ja-JP"/>
        </w:rPr>
        <w:t>A significant reduction in the risk of experiencing a PFS event (disease progression or death), with prolongation of median PFS by approximately 7 months.</w:t>
      </w:r>
    </w:p>
    <w:p w14:paraId="02B20659" w14:textId="77777777" w:rsidR="00605AD4" w:rsidRDefault="00605AD4" w:rsidP="00605AD4">
      <w:pPr>
        <w:pStyle w:val="Heading4"/>
      </w:pPr>
      <w:r w:rsidRPr="00605AD4">
        <w:t>First round assessment of risks</w:t>
      </w:r>
    </w:p>
    <w:p w14:paraId="54FB4C14" w14:textId="77777777" w:rsidR="00C51B5E" w:rsidRPr="005E71FE" w:rsidRDefault="00C51B5E" w:rsidP="00C51B5E">
      <w:pPr>
        <w:rPr>
          <w:lang w:eastAsia="ja-JP"/>
        </w:rPr>
      </w:pPr>
      <w:r w:rsidRPr="005E71FE">
        <w:rPr>
          <w:lang w:eastAsia="ja-JP"/>
        </w:rPr>
        <w:t>The risks of everolimus in the proposed usage are:</w:t>
      </w:r>
    </w:p>
    <w:p w14:paraId="47A2770D" w14:textId="77777777" w:rsidR="00C51B5E" w:rsidRPr="005E71FE" w:rsidRDefault="00C51B5E" w:rsidP="009E79FB">
      <w:pPr>
        <w:pStyle w:val="ListBullet"/>
        <w:numPr>
          <w:ilvl w:val="0"/>
          <w:numId w:val="1"/>
        </w:numPr>
        <w:rPr>
          <w:lang w:eastAsia="ja-JP"/>
        </w:rPr>
      </w:pPr>
      <w:r w:rsidRPr="005E71FE">
        <w:rPr>
          <w:lang w:eastAsia="ja-JP"/>
        </w:rPr>
        <w:t>A range of adverse events, consistent with those previously documented for the drug.</w:t>
      </w:r>
    </w:p>
    <w:p w14:paraId="038D0B68" w14:textId="5C7EAD9F" w:rsidR="00C51B5E" w:rsidRPr="00C51B5E" w:rsidRDefault="00C51B5E" w:rsidP="009E79FB">
      <w:pPr>
        <w:pStyle w:val="ListBullet"/>
        <w:numPr>
          <w:ilvl w:val="0"/>
          <w:numId w:val="1"/>
        </w:numPr>
        <w:rPr>
          <w:lang w:eastAsia="ja-JP"/>
        </w:rPr>
      </w:pPr>
      <w:r w:rsidRPr="005E71FE">
        <w:rPr>
          <w:lang w:eastAsia="ja-JP"/>
        </w:rPr>
        <w:t>Although the drug produces a notable increase in the risk of significant AEs (</w:t>
      </w:r>
      <w:r>
        <w:rPr>
          <w:lang w:eastAsia="ja-JP"/>
        </w:rPr>
        <w:t>G</w:t>
      </w:r>
      <w:r w:rsidRPr="005E71FE">
        <w:rPr>
          <w:lang w:eastAsia="ja-JP"/>
        </w:rPr>
        <w:t xml:space="preserve">rade 3 or 4 AEs, serious AEs </w:t>
      </w:r>
      <w:r>
        <w:rPr>
          <w:lang w:eastAsia="ja-JP"/>
        </w:rPr>
        <w:t xml:space="preserve">and so on) </w:t>
      </w:r>
      <w:r w:rsidRPr="005E71FE">
        <w:rPr>
          <w:lang w:eastAsia="ja-JP"/>
        </w:rPr>
        <w:t>compared to placebo, the increase is of a similar magnitude to that observed when everolimus is used for the treatment of pancreatic NETs.</w:t>
      </w:r>
    </w:p>
    <w:p w14:paraId="02AA2B39" w14:textId="77777777" w:rsidR="00605AD4" w:rsidRDefault="00605AD4" w:rsidP="00605AD4">
      <w:pPr>
        <w:pStyle w:val="Heading4"/>
      </w:pPr>
      <w:r w:rsidRPr="00605AD4">
        <w:t>First round assessment of benefit-risk balance</w:t>
      </w:r>
    </w:p>
    <w:p w14:paraId="27FBC431" w14:textId="00A24E6B" w:rsidR="007A2C21" w:rsidRPr="007A2C21" w:rsidRDefault="007A2C21" w:rsidP="007A2C21">
      <w:pPr>
        <w:pStyle w:val="Heading5"/>
      </w:pPr>
      <w:r>
        <w:t>Neuroendocrine tumours</w:t>
      </w:r>
    </w:p>
    <w:p w14:paraId="5548E799" w14:textId="5E9BEA81" w:rsidR="00605AD4" w:rsidRDefault="00C51B5E" w:rsidP="00605AD4">
      <w:pPr>
        <w:rPr>
          <w:lang w:eastAsia="ja-JP"/>
        </w:rPr>
      </w:pPr>
      <w:r w:rsidRPr="005E71FE">
        <w:rPr>
          <w:lang w:eastAsia="ja-JP"/>
        </w:rPr>
        <w:t xml:space="preserve">The benefit-risk balance of everolimus given the proposed </w:t>
      </w:r>
      <w:r>
        <w:rPr>
          <w:lang w:eastAsia="ja-JP"/>
        </w:rPr>
        <w:t>usage is favourable.</w:t>
      </w:r>
    </w:p>
    <w:p w14:paraId="55DBDF9A" w14:textId="77777777" w:rsidR="00C51B5E" w:rsidRPr="00E8350B" w:rsidRDefault="00C51B5E" w:rsidP="007A2C21">
      <w:pPr>
        <w:pStyle w:val="Heading5"/>
        <w:rPr>
          <w:rFonts w:eastAsia="Cambria"/>
        </w:rPr>
      </w:pPr>
      <w:bookmarkStart w:id="99" w:name="_Toc457132012"/>
      <w:bookmarkStart w:id="100" w:name="_Toc491440366"/>
      <w:r w:rsidRPr="00E8350B">
        <w:rPr>
          <w:rFonts w:eastAsia="Cambria"/>
        </w:rPr>
        <w:t>Tuberous sclerosis</w:t>
      </w:r>
      <w:bookmarkEnd w:id="99"/>
      <w:bookmarkEnd w:id="100"/>
    </w:p>
    <w:p w14:paraId="038400CA" w14:textId="6B8596DC" w:rsidR="00C51B5E" w:rsidRPr="00605AD4" w:rsidRDefault="00C51B5E" w:rsidP="00605AD4">
      <w:pPr>
        <w:rPr>
          <w:lang w:eastAsia="ja-JP"/>
        </w:rPr>
      </w:pPr>
      <w:r w:rsidRPr="00E8350B">
        <w:rPr>
          <w:lang w:eastAsia="ja-JP"/>
        </w:rPr>
        <w:t>The benefit-risk balance of everolimus in the treatment of TSC with SEGA or angiomyolipoma remains favourable.</w:t>
      </w:r>
    </w:p>
    <w:p w14:paraId="68E9CAC4" w14:textId="77777777" w:rsidR="00605AD4" w:rsidRPr="00605AD4" w:rsidRDefault="00605AD4" w:rsidP="00605AD4">
      <w:pPr>
        <w:pStyle w:val="Heading3"/>
        <w:rPr>
          <w:rFonts w:eastAsia="Cambria"/>
        </w:rPr>
      </w:pPr>
      <w:bookmarkStart w:id="101" w:name="_Toc493685102"/>
      <w:r w:rsidRPr="00605AD4">
        <w:rPr>
          <w:rFonts w:eastAsia="Cambria"/>
        </w:rPr>
        <w:lastRenderedPageBreak/>
        <w:t>First Round Recommendation Regarding Authorisation</w:t>
      </w:r>
      <w:bookmarkEnd w:id="101"/>
    </w:p>
    <w:p w14:paraId="26CD5072" w14:textId="3A783489" w:rsidR="00C51B5E" w:rsidRPr="00E8350B" w:rsidRDefault="007A2C21" w:rsidP="007A2C21">
      <w:pPr>
        <w:pStyle w:val="Heading4"/>
      </w:pPr>
      <w:bookmarkStart w:id="102" w:name="_Toc491440368"/>
      <w:r>
        <w:t>Neuroendocrine</w:t>
      </w:r>
      <w:r w:rsidR="00C51B5E">
        <w:t xml:space="preserve"> tumours</w:t>
      </w:r>
      <w:bookmarkEnd w:id="102"/>
    </w:p>
    <w:p w14:paraId="2D93F870" w14:textId="77777777" w:rsidR="00C51B5E" w:rsidRDefault="00C51B5E" w:rsidP="00C51B5E">
      <w:pPr>
        <w:rPr>
          <w:lang w:eastAsia="ja-JP"/>
        </w:rPr>
      </w:pPr>
      <w:r w:rsidRPr="00054086">
        <w:rPr>
          <w:lang w:eastAsia="ja-JP"/>
        </w:rPr>
        <w:t>It is recommended that the proposed new indication (NETs of gastrointestinal or lung origin) be approved. The wording of the indication proposed by the sponsor is considered acceptable.</w:t>
      </w:r>
    </w:p>
    <w:p w14:paraId="20AE9E0E" w14:textId="77777777" w:rsidR="00C51B5E" w:rsidRPr="00054086" w:rsidRDefault="00C51B5E" w:rsidP="007A2C21">
      <w:pPr>
        <w:pStyle w:val="Heading4"/>
      </w:pPr>
      <w:bookmarkStart w:id="103" w:name="_Toc491440369"/>
      <w:r>
        <w:t>Tuberous sclerosis</w:t>
      </w:r>
      <w:bookmarkEnd w:id="103"/>
    </w:p>
    <w:p w14:paraId="6C14B2DE" w14:textId="1BEE7D6C" w:rsidR="00605AD4" w:rsidRPr="00605AD4" w:rsidRDefault="00C51B5E" w:rsidP="00605AD4">
      <w:pPr>
        <w:rPr>
          <w:lang w:eastAsia="ja-JP"/>
        </w:rPr>
      </w:pPr>
      <w:r w:rsidRPr="00054086">
        <w:rPr>
          <w:lang w:eastAsia="ja-JP"/>
        </w:rPr>
        <w:t>The updated data on TSC with SEGA or angiomyolipoma supports continued registration of these indications.</w:t>
      </w:r>
    </w:p>
    <w:p w14:paraId="711EDD8A" w14:textId="77777777" w:rsidR="00605AD4" w:rsidRDefault="00605AD4" w:rsidP="00605AD4">
      <w:pPr>
        <w:pStyle w:val="Heading3"/>
        <w:rPr>
          <w:rFonts w:eastAsia="Cambria"/>
        </w:rPr>
      </w:pPr>
      <w:bookmarkStart w:id="104" w:name="_Toc493685103"/>
      <w:r w:rsidRPr="00605AD4">
        <w:rPr>
          <w:rFonts w:eastAsia="Cambria"/>
        </w:rPr>
        <w:t>Clinical Questions</w:t>
      </w:r>
      <w:bookmarkEnd w:id="104"/>
    </w:p>
    <w:p w14:paraId="208035B0" w14:textId="719869FD" w:rsidR="00557368" w:rsidRPr="00557368" w:rsidRDefault="00557368" w:rsidP="00557368">
      <w:r>
        <w:t>The clinical evaluator had the following clinical questions for the sponsor:</w:t>
      </w:r>
    </w:p>
    <w:p w14:paraId="73131C4C" w14:textId="457B63B0" w:rsidR="00C51B5E" w:rsidRPr="00054086" w:rsidRDefault="00C51B5E" w:rsidP="009E79FB">
      <w:pPr>
        <w:pStyle w:val="Numberbullet0"/>
        <w:numPr>
          <w:ilvl w:val="0"/>
          <w:numId w:val="6"/>
        </w:numPr>
        <w:rPr>
          <w:lang w:eastAsia="ja-JP"/>
        </w:rPr>
      </w:pPr>
      <w:r w:rsidRPr="00054086">
        <w:rPr>
          <w:lang w:eastAsia="ja-JP"/>
        </w:rPr>
        <w:t>Please provide an assurance that the formulation of e</w:t>
      </w:r>
      <w:r w:rsidR="00747EFC">
        <w:rPr>
          <w:lang w:eastAsia="ja-JP"/>
        </w:rPr>
        <w:t>verolimus tablets used in Study </w:t>
      </w:r>
      <w:r w:rsidR="00581AD9">
        <w:rPr>
          <w:lang w:eastAsia="ja-JP"/>
        </w:rPr>
        <w:t>CRAD001T2302 (RADIANT-4)</w:t>
      </w:r>
      <w:r w:rsidRPr="00054086">
        <w:rPr>
          <w:lang w:eastAsia="ja-JP"/>
        </w:rPr>
        <w:t xml:space="preserve"> was identical to that currently registered in Australia.</w:t>
      </w:r>
    </w:p>
    <w:p w14:paraId="4825F0BE" w14:textId="29AC36D9" w:rsidR="00605AD4" w:rsidRPr="00605AD4" w:rsidRDefault="00C51B5E" w:rsidP="009E79FB">
      <w:pPr>
        <w:pStyle w:val="Numberbullet0"/>
        <w:numPr>
          <w:ilvl w:val="0"/>
          <w:numId w:val="5"/>
        </w:numPr>
        <w:rPr>
          <w:lang w:eastAsia="ja-JP"/>
        </w:rPr>
      </w:pPr>
      <w:r w:rsidRPr="00054086">
        <w:rPr>
          <w:lang w:eastAsia="ja-JP"/>
        </w:rPr>
        <w:t xml:space="preserve">Please provide a summary of the results of any further analyses of overall survival conducted for </w:t>
      </w:r>
      <w:r>
        <w:rPr>
          <w:lang w:eastAsia="ja-JP"/>
        </w:rPr>
        <w:t>S</w:t>
      </w:r>
      <w:r w:rsidRPr="00054086">
        <w:rPr>
          <w:lang w:eastAsia="ja-JP"/>
        </w:rPr>
        <w:t xml:space="preserve">tudy </w:t>
      </w:r>
      <w:r w:rsidR="00581AD9">
        <w:rPr>
          <w:lang w:eastAsia="ja-JP"/>
        </w:rPr>
        <w:t>CRAD001T2302 (RADIANT-4)</w:t>
      </w:r>
      <w:r w:rsidRPr="00054086">
        <w:rPr>
          <w:lang w:eastAsia="ja-JP"/>
        </w:rPr>
        <w:t>.</w:t>
      </w:r>
    </w:p>
    <w:p w14:paraId="72917B5E" w14:textId="77777777" w:rsidR="00605AD4" w:rsidRPr="00605AD4" w:rsidRDefault="00605AD4" w:rsidP="00605AD4">
      <w:pPr>
        <w:pStyle w:val="Heading3"/>
        <w:rPr>
          <w:rFonts w:eastAsia="Cambria"/>
        </w:rPr>
      </w:pPr>
      <w:bookmarkStart w:id="105" w:name="_Toc493685104"/>
      <w:r w:rsidRPr="00605AD4">
        <w:rPr>
          <w:rFonts w:eastAsia="Cambria"/>
        </w:rPr>
        <w:t>Second Round Evaluation of clinical data submitted in response to questions</w:t>
      </w:r>
      <w:bookmarkEnd w:id="105"/>
    </w:p>
    <w:p w14:paraId="5236B6E4" w14:textId="77777777" w:rsidR="006136D7" w:rsidRPr="00605AD4" w:rsidRDefault="006136D7" w:rsidP="006136D7">
      <w:r>
        <w:t>For details of the sponsor’s responses and the evaluation of these responses please see Attachment 2.</w:t>
      </w:r>
    </w:p>
    <w:p w14:paraId="1813187B" w14:textId="77777777" w:rsidR="00605AD4" w:rsidRDefault="00605AD4" w:rsidP="007A2C21">
      <w:pPr>
        <w:pStyle w:val="Heading3"/>
        <w:rPr>
          <w:rFonts w:eastAsia="Cambria"/>
        </w:rPr>
      </w:pPr>
      <w:bookmarkStart w:id="106" w:name="_Toc493685105"/>
      <w:r w:rsidRPr="00605AD4">
        <w:rPr>
          <w:rFonts w:eastAsia="Cambria"/>
        </w:rPr>
        <w:t>Second Round Benefit-Risk Assessment</w:t>
      </w:r>
      <w:bookmarkEnd w:id="106"/>
    </w:p>
    <w:p w14:paraId="03D8B5D6" w14:textId="77777777" w:rsidR="00C51B5E" w:rsidRPr="007F26B0" w:rsidRDefault="00C51B5E" w:rsidP="007A2C21">
      <w:pPr>
        <w:pStyle w:val="Heading4"/>
      </w:pPr>
      <w:bookmarkStart w:id="107" w:name="_Toc272414709"/>
      <w:bookmarkStart w:id="108" w:name="_Toc290846349"/>
      <w:bookmarkStart w:id="109" w:name="_Toc290888886"/>
      <w:bookmarkStart w:id="110" w:name="_Toc457132023"/>
      <w:bookmarkStart w:id="111" w:name="_Toc491440375"/>
      <w:r w:rsidRPr="007F26B0">
        <w:t>Second round assessment of benefits</w:t>
      </w:r>
      <w:bookmarkEnd w:id="107"/>
      <w:bookmarkEnd w:id="108"/>
      <w:bookmarkEnd w:id="109"/>
      <w:bookmarkEnd w:id="110"/>
      <w:bookmarkEnd w:id="111"/>
    </w:p>
    <w:p w14:paraId="2BC47BBB" w14:textId="208C14CF" w:rsidR="00C51B5E" w:rsidRPr="007F26B0" w:rsidRDefault="00C51B5E" w:rsidP="00C51B5E">
      <w:pPr>
        <w:rPr>
          <w:lang w:eastAsia="ja-JP"/>
        </w:rPr>
      </w:pPr>
      <w:r w:rsidRPr="007F26B0">
        <w:rPr>
          <w:lang w:eastAsia="ja-JP"/>
        </w:rPr>
        <w:t xml:space="preserve">After consideration of the responses to clinical questions, the benefits of everolimus in the proposed usage are unchanged from those identified in </w:t>
      </w:r>
      <w:r>
        <w:rPr>
          <w:lang w:eastAsia="ja-JP"/>
        </w:rPr>
        <w:t>the fir</w:t>
      </w:r>
      <w:r w:rsidR="007A2C21">
        <w:rPr>
          <w:lang w:eastAsia="ja-JP"/>
        </w:rPr>
        <w:t>st round assessment of benefits.</w:t>
      </w:r>
    </w:p>
    <w:p w14:paraId="2BCB761F" w14:textId="77777777" w:rsidR="00C51B5E" w:rsidRPr="007F26B0" w:rsidRDefault="00C51B5E" w:rsidP="007A2C21">
      <w:pPr>
        <w:pStyle w:val="Heading4"/>
      </w:pPr>
      <w:bookmarkStart w:id="112" w:name="_Toc272414710"/>
      <w:bookmarkStart w:id="113" w:name="_Toc290846350"/>
      <w:bookmarkStart w:id="114" w:name="_Toc290888887"/>
      <w:bookmarkStart w:id="115" w:name="_Toc457132024"/>
      <w:bookmarkStart w:id="116" w:name="_Toc491440376"/>
      <w:r w:rsidRPr="007F26B0">
        <w:t>Second round assessment of risks</w:t>
      </w:r>
      <w:bookmarkEnd w:id="112"/>
      <w:bookmarkEnd w:id="113"/>
      <w:bookmarkEnd w:id="114"/>
      <w:bookmarkEnd w:id="115"/>
      <w:bookmarkEnd w:id="116"/>
    </w:p>
    <w:p w14:paraId="377F5E27" w14:textId="45AE2D44" w:rsidR="00C51B5E" w:rsidRPr="007F26B0" w:rsidRDefault="00C51B5E" w:rsidP="00C51B5E">
      <w:pPr>
        <w:rPr>
          <w:lang w:eastAsia="ja-JP"/>
        </w:rPr>
      </w:pPr>
      <w:r w:rsidRPr="007F26B0">
        <w:rPr>
          <w:lang w:eastAsia="ja-JP"/>
        </w:rPr>
        <w:t xml:space="preserve">No new clinical information was submitted in response to questions. Accordingly, the risks of everolimus are unchanged from those identified in </w:t>
      </w:r>
      <w:r>
        <w:rPr>
          <w:lang w:eastAsia="ja-JP"/>
        </w:rPr>
        <w:t>the first round assessment of risks</w:t>
      </w:r>
      <w:r w:rsidR="00747EFC">
        <w:rPr>
          <w:lang w:eastAsia="ja-JP"/>
        </w:rPr>
        <w:t>.</w:t>
      </w:r>
    </w:p>
    <w:p w14:paraId="2C4BBE4F" w14:textId="77777777" w:rsidR="00C51B5E" w:rsidRPr="007F26B0" w:rsidRDefault="00C51B5E" w:rsidP="007A2C21">
      <w:pPr>
        <w:pStyle w:val="Heading4"/>
      </w:pPr>
      <w:bookmarkStart w:id="117" w:name="_Toc272414711"/>
      <w:bookmarkStart w:id="118" w:name="_Toc290846351"/>
      <w:bookmarkStart w:id="119" w:name="_Toc290888888"/>
      <w:bookmarkStart w:id="120" w:name="_Toc457132025"/>
      <w:bookmarkStart w:id="121" w:name="_Toc491440377"/>
      <w:r w:rsidRPr="007F26B0">
        <w:t>Second round assessment of benefit-risk balance</w:t>
      </w:r>
      <w:bookmarkEnd w:id="117"/>
      <w:bookmarkEnd w:id="118"/>
      <w:bookmarkEnd w:id="119"/>
      <w:bookmarkEnd w:id="120"/>
      <w:bookmarkEnd w:id="121"/>
    </w:p>
    <w:p w14:paraId="70D0A2C1" w14:textId="77777777" w:rsidR="00C51B5E" w:rsidRPr="007F26B0" w:rsidRDefault="00C51B5E" w:rsidP="00C51B5E">
      <w:pPr>
        <w:rPr>
          <w:lang w:eastAsia="ja-JP"/>
        </w:rPr>
      </w:pPr>
      <w:r w:rsidRPr="007F26B0">
        <w:rPr>
          <w:lang w:eastAsia="ja-JP"/>
        </w:rPr>
        <w:t>The benefit-risk balance of everolimus, given the proposed usage, is favourable.</w:t>
      </w:r>
    </w:p>
    <w:p w14:paraId="1DEDA682" w14:textId="77777777" w:rsidR="00C51B5E" w:rsidRPr="00A95723" w:rsidRDefault="00C51B5E" w:rsidP="007A2C21">
      <w:pPr>
        <w:pStyle w:val="Heading3"/>
      </w:pPr>
      <w:bookmarkStart w:id="122" w:name="_Toc491440378"/>
      <w:bookmarkStart w:id="123" w:name="_Toc493685106"/>
      <w:r w:rsidRPr="00A95723">
        <w:t>Second round recommendation regarding authorisation</w:t>
      </w:r>
      <w:bookmarkEnd w:id="122"/>
      <w:bookmarkEnd w:id="123"/>
    </w:p>
    <w:p w14:paraId="2F9EDD62" w14:textId="321281AF" w:rsidR="00605AD4" w:rsidRPr="00605AD4" w:rsidRDefault="00C51B5E" w:rsidP="00546154">
      <w:pPr>
        <w:rPr>
          <w:lang w:eastAsia="ja-JP"/>
        </w:rPr>
      </w:pPr>
      <w:r w:rsidRPr="003F399E">
        <w:rPr>
          <w:lang w:eastAsia="ja-JP"/>
        </w:rPr>
        <w:t>It is recommended that the proposed new indication (NETs of gastrointestinal or lung origin) be approved.</w:t>
      </w:r>
    </w:p>
    <w:p w14:paraId="7C9FC301" w14:textId="77777777" w:rsidR="008E7846" w:rsidRPr="00E41208" w:rsidRDefault="008E7846" w:rsidP="00546154">
      <w:pPr>
        <w:pStyle w:val="Heading2"/>
      </w:pPr>
      <w:bookmarkStart w:id="124" w:name="_Toc493685107"/>
      <w:r w:rsidRPr="00E41208">
        <w:lastRenderedPageBreak/>
        <w:t xml:space="preserve">V. Pharmacovigilance </w:t>
      </w:r>
      <w:r>
        <w:t>f</w:t>
      </w:r>
      <w:r w:rsidRPr="00E41208">
        <w:t>indings</w:t>
      </w:r>
      <w:bookmarkEnd w:id="74"/>
      <w:bookmarkEnd w:id="75"/>
      <w:bookmarkEnd w:id="124"/>
    </w:p>
    <w:p w14:paraId="75AD45F0" w14:textId="77777777" w:rsidR="008E7846" w:rsidRDefault="00386150" w:rsidP="008E7846">
      <w:pPr>
        <w:pStyle w:val="Heading3"/>
        <w:rPr>
          <w:lang w:eastAsia="en-AU"/>
        </w:rPr>
      </w:pPr>
      <w:bookmarkStart w:id="125" w:name="_Toc247691526"/>
      <w:bookmarkStart w:id="126" w:name="_Toc314842509"/>
      <w:bookmarkStart w:id="127" w:name="_Toc493685108"/>
      <w:r>
        <w:rPr>
          <w:lang w:eastAsia="en-AU"/>
        </w:rPr>
        <w:t>Risk m</w:t>
      </w:r>
      <w:r w:rsidR="008E7846">
        <w:rPr>
          <w:lang w:eastAsia="en-AU"/>
        </w:rPr>
        <w:t xml:space="preserve">anagement </w:t>
      </w:r>
      <w:r>
        <w:rPr>
          <w:lang w:eastAsia="en-AU"/>
        </w:rPr>
        <w:t>p</w:t>
      </w:r>
      <w:r w:rsidR="008E7846">
        <w:rPr>
          <w:lang w:eastAsia="en-AU"/>
        </w:rPr>
        <w:t>lan</w:t>
      </w:r>
      <w:bookmarkEnd w:id="125"/>
      <w:bookmarkEnd w:id="126"/>
      <w:bookmarkEnd w:id="127"/>
    </w:p>
    <w:p w14:paraId="1360ECE5" w14:textId="07ACFC07" w:rsidR="008E7846" w:rsidRDefault="008E7846" w:rsidP="008E7846">
      <w:pPr>
        <w:rPr>
          <w:lang w:eastAsia="en-AU"/>
        </w:rPr>
      </w:pPr>
      <w:r>
        <w:rPr>
          <w:lang w:eastAsia="en-AU"/>
        </w:rPr>
        <w:t>The sponsor submitted a Risk Management Plan</w:t>
      </w:r>
      <w:r w:rsidR="005B63BA">
        <w:rPr>
          <w:lang w:eastAsia="en-AU"/>
        </w:rPr>
        <w:t xml:space="preserve"> (RMP): </w:t>
      </w:r>
      <w:r w:rsidR="00F95D2D">
        <w:rPr>
          <w:lang w:eastAsia="en-AU"/>
        </w:rPr>
        <w:t>EU-RMP Version 12.1</w:t>
      </w:r>
      <w:r w:rsidR="005B63BA" w:rsidRPr="005B63BA">
        <w:rPr>
          <w:lang w:eastAsia="en-AU"/>
        </w:rPr>
        <w:t xml:space="preserve"> (Afinitor)/</w:t>
      </w:r>
      <w:r w:rsidR="005B63BA">
        <w:rPr>
          <w:lang w:eastAsia="en-AU"/>
        </w:rPr>
        <w:t xml:space="preserve">Version </w:t>
      </w:r>
      <w:r w:rsidR="005B63BA" w:rsidRPr="005B63BA">
        <w:rPr>
          <w:lang w:eastAsia="en-AU"/>
        </w:rPr>
        <w:t xml:space="preserve">11 (Votubia) dated 25 April 2016, </w:t>
      </w:r>
      <w:r w:rsidR="005B63BA">
        <w:rPr>
          <w:lang w:eastAsia="en-AU"/>
        </w:rPr>
        <w:t>with a data lock point</w:t>
      </w:r>
      <w:r w:rsidR="000B1382">
        <w:rPr>
          <w:lang w:eastAsia="en-AU"/>
        </w:rPr>
        <w:t xml:space="preserve"> (DLP)</w:t>
      </w:r>
      <w:r w:rsidR="005B63BA">
        <w:rPr>
          <w:lang w:eastAsia="en-AU"/>
        </w:rPr>
        <w:t xml:space="preserve"> of</w:t>
      </w:r>
      <w:r w:rsidR="00DE508D">
        <w:rPr>
          <w:lang w:eastAsia="en-AU"/>
        </w:rPr>
        <w:t xml:space="preserve"> 31 </w:t>
      </w:r>
      <w:r w:rsidR="005B63BA" w:rsidRPr="005B63BA">
        <w:rPr>
          <w:lang w:eastAsia="en-AU"/>
        </w:rPr>
        <w:t xml:space="preserve">March 2015 and </w:t>
      </w:r>
      <w:r w:rsidR="005B63BA">
        <w:rPr>
          <w:lang w:eastAsia="en-AU"/>
        </w:rPr>
        <w:t xml:space="preserve">an </w:t>
      </w:r>
      <w:r w:rsidR="005B63BA" w:rsidRPr="005B63BA">
        <w:rPr>
          <w:lang w:eastAsia="en-AU"/>
        </w:rPr>
        <w:t xml:space="preserve">Australian Specific Annex </w:t>
      </w:r>
      <w:r w:rsidR="005B63BA">
        <w:rPr>
          <w:lang w:eastAsia="en-AU"/>
        </w:rPr>
        <w:t xml:space="preserve">(ASA) </w:t>
      </w:r>
      <w:r w:rsidR="005B63BA" w:rsidRPr="005B63BA">
        <w:rPr>
          <w:lang w:eastAsia="en-AU"/>
        </w:rPr>
        <w:t xml:space="preserve">Version 7.0 (dated 11 July 2016) </w:t>
      </w:r>
      <w:r>
        <w:rPr>
          <w:lang w:eastAsia="en-AU"/>
        </w:rPr>
        <w:t xml:space="preserve">which was reviewed by the </w:t>
      </w:r>
      <w:r w:rsidR="00FC1FCA">
        <w:rPr>
          <w:lang w:eastAsia="en-AU"/>
        </w:rPr>
        <w:t>RMP evaluator.</w:t>
      </w:r>
      <w:r w:rsidR="00DE508D">
        <w:rPr>
          <w:rStyle w:val="FootnoteReference"/>
          <w:lang w:eastAsia="en-AU"/>
        </w:rPr>
        <w:footnoteReference w:id="20"/>
      </w:r>
    </w:p>
    <w:p w14:paraId="086CC577" w14:textId="77777777" w:rsidR="008E7846" w:rsidRDefault="003A7F6C" w:rsidP="008E7846">
      <w:pPr>
        <w:pStyle w:val="Heading4"/>
        <w:rPr>
          <w:lang w:eastAsia="en-AU"/>
        </w:rPr>
      </w:pPr>
      <w:r>
        <w:rPr>
          <w:lang w:eastAsia="en-AU"/>
        </w:rPr>
        <w:t>Safety s</w:t>
      </w:r>
      <w:r w:rsidR="008E7846">
        <w:rPr>
          <w:lang w:eastAsia="en-AU"/>
        </w:rPr>
        <w:t>pecification</w:t>
      </w:r>
    </w:p>
    <w:p w14:paraId="1BC60DE3" w14:textId="2B69DD29" w:rsidR="00DC039D" w:rsidRDefault="006A0ED1" w:rsidP="000B0784">
      <w:r w:rsidRPr="006A0ED1">
        <w:t xml:space="preserve">The summary of the ongoing safety concerns as specified </w:t>
      </w:r>
      <w:r>
        <w:t xml:space="preserve">by the sponsor is shown </w:t>
      </w:r>
      <w:r w:rsidR="00557368">
        <w:t xml:space="preserve">below </w:t>
      </w:r>
      <w:r>
        <w:t xml:space="preserve">in Table </w:t>
      </w:r>
      <w:r w:rsidR="00557368">
        <w:t>7.</w:t>
      </w:r>
    </w:p>
    <w:p w14:paraId="1756427E" w14:textId="57DDCB36" w:rsidR="00557368" w:rsidRDefault="00557368" w:rsidP="00557368">
      <w:pPr>
        <w:pStyle w:val="Tabletitle0"/>
      </w:pPr>
      <w:r>
        <w:t>Table 7. Summary of safety concerns as specified by the sponsor</w:t>
      </w:r>
    </w:p>
    <w:tbl>
      <w:tblPr>
        <w:tblStyle w:val="TableTGAblue"/>
        <w:tblW w:w="8755" w:type="dxa"/>
        <w:tblLayout w:type="fixed"/>
        <w:tblLook w:val="04A0" w:firstRow="1" w:lastRow="0" w:firstColumn="1" w:lastColumn="0" w:noHBand="0" w:noVBand="1"/>
      </w:tblPr>
      <w:tblGrid>
        <w:gridCol w:w="2266"/>
        <w:gridCol w:w="6489"/>
      </w:tblGrid>
      <w:tr w:rsidR="006A0ED1" w:rsidRPr="006A0ED1" w14:paraId="39D3E200" w14:textId="77777777" w:rsidTr="0036276C">
        <w:trPr>
          <w:cnfStyle w:val="100000000000" w:firstRow="1" w:lastRow="0" w:firstColumn="0" w:lastColumn="0" w:oddVBand="0" w:evenVBand="0" w:oddHBand="0" w:evenHBand="0" w:firstRowFirstColumn="0" w:firstRowLastColumn="0" w:lastRowFirstColumn="0" w:lastRowLastColumn="0"/>
        </w:trPr>
        <w:tc>
          <w:tcPr>
            <w:tcW w:w="8755" w:type="dxa"/>
            <w:gridSpan w:val="2"/>
          </w:tcPr>
          <w:p w14:paraId="36536EF1" w14:textId="7312C364" w:rsidR="006A0ED1" w:rsidRPr="006A0ED1" w:rsidRDefault="006A0ED1" w:rsidP="006A0ED1">
            <w:r w:rsidRPr="006A0ED1">
              <w:t>Summary of safety concerns</w:t>
            </w:r>
          </w:p>
        </w:tc>
      </w:tr>
      <w:tr w:rsidR="00924700" w:rsidRPr="006A0ED1" w14:paraId="4067B583" w14:textId="77777777" w:rsidTr="00924700">
        <w:trPr>
          <w:trHeight w:val="6256"/>
        </w:trPr>
        <w:tc>
          <w:tcPr>
            <w:tcW w:w="2266" w:type="dxa"/>
          </w:tcPr>
          <w:p w14:paraId="1091FAA9" w14:textId="77777777" w:rsidR="006A0ED1" w:rsidRPr="006A0ED1" w:rsidRDefault="006A0ED1" w:rsidP="00924700">
            <w:pPr>
              <w:ind w:left="0"/>
            </w:pPr>
            <w:r w:rsidRPr="006A0ED1">
              <w:t>Important identified risks</w:t>
            </w:r>
          </w:p>
        </w:tc>
        <w:tc>
          <w:tcPr>
            <w:tcW w:w="6489" w:type="dxa"/>
          </w:tcPr>
          <w:p w14:paraId="38F9D1EA" w14:textId="77777777" w:rsidR="0036276C" w:rsidRPr="0036276C" w:rsidRDefault="006A0ED1" w:rsidP="0036276C">
            <w:r w:rsidRPr="0036276C">
              <w:t>Non-infectious pneumonitis</w:t>
            </w:r>
          </w:p>
          <w:p w14:paraId="62F6C437" w14:textId="77777777" w:rsidR="0036276C" w:rsidRPr="0036276C" w:rsidRDefault="006A0ED1" w:rsidP="0036276C">
            <w:r w:rsidRPr="0036276C">
              <w:t>Severe infections</w:t>
            </w:r>
          </w:p>
          <w:p w14:paraId="2FD25363" w14:textId="77777777" w:rsidR="0036276C" w:rsidRPr="0036276C" w:rsidRDefault="006A0ED1" w:rsidP="0036276C">
            <w:r w:rsidRPr="0036276C">
              <w:t>Hypersensitivity (anaphylactic reactions)</w:t>
            </w:r>
          </w:p>
          <w:p w14:paraId="32D5DBE6" w14:textId="77777777" w:rsidR="0036276C" w:rsidRPr="0036276C" w:rsidRDefault="006A0ED1" w:rsidP="0036276C">
            <w:r w:rsidRPr="0036276C">
              <w:t>Stomatitis</w:t>
            </w:r>
          </w:p>
          <w:p w14:paraId="5161E5B6" w14:textId="77777777" w:rsidR="0036276C" w:rsidRPr="0036276C" w:rsidRDefault="006A0ED1" w:rsidP="0036276C">
            <w:r w:rsidRPr="0036276C">
              <w:t>Wound healing complications</w:t>
            </w:r>
          </w:p>
          <w:p w14:paraId="33B66B2F" w14:textId="77777777" w:rsidR="0036276C" w:rsidRPr="0036276C" w:rsidRDefault="00557368" w:rsidP="0036276C">
            <w:r w:rsidRPr="0036276C">
              <w:t>Increased creatinine/proteinuria/</w:t>
            </w:r>
            <w:r w:rsidR="006A0ED1" w:rsidRPr="0036276C">
              <w:t>renal failure</w:t>
            </w:r>
          </w:p>
          <w:p w14:paraId="783AAB69" w14:textId="77777777" w:rsidR="0036276C" w:rsidRPr="0036276C" w:rsidRDefault="006A0ED1" w:rsidP="0036276C">
            <w:r w:rsidRPr="0036276C">
              <w:t>Hyperglyc</w:t>
            </w:r>
            <w:r w:rsidR="00557368" w:rsidRPr="0036276C">
              <w:t>a</w:t>
            </w:r>
            <w:r w:rsidRPr="0036276C">
              <w:t>emia/new onset diabetes mellitus</w:t>
            </w:r>
          </w:p>
          <w:p w14:paraId="7DCEC3F7" w14:textId="77777777" w:rsidR="0036276C" w:rsidRPr="0036276C" w:rsidRDefault="006A0ED1" w:rsidP="0036276C">
            <w:r w:rsidRPr="0036276C">
              <w:t>Dyslipid</w:t>
            </w:r>
            <w:r w:rsidR="00557368" w:rsidRPr="0036276C">
              <w:t>a</w:t>
            </w:r>
            <w:r w:rsidRPr="0036276C">
              <w:t>emia</w:t>
            </w:r>
          </w:p>
          <w:p w14:paraId="0040DF6F" w14:textId="77777777" w:rsidR="0036276C" w:rsidRPr="0036276C" w:rsidRDefault="006A0ED1" w:rsidP="0036276C">
            <w:r w:rsidRPr="0036276C">
              <w:t>Hypophosphatemia</w:t>
            </w:r>
          </w:p>
          <w:p w14:paraId="53C84CD0" w14:textId="77777777" w:rsidR="0036276C" w:rsidRPr="0036276C" w:rsidRDefault="006A0ED1" w:rsidP="0036276C">
            <w:r w:rsidRPr="0036276C">
              <w:t>Cardiac failure</w:t>
            </w:r>
          </w:p>
          <w:p w14:paraId="463796D7" w14:textId="77777777" w:rsidR="0036276C" w:rsidRPr="0036276C" w:rsidRDefault="006A0ED1" w:rsidP="0036276C">
            <w:r w:rsidRPr="0036276C">
              <w:t>Cytop</w:t>
            </w:r>
            <w:r w:rsidR="00557368" w:rsidRPr="0036276C">
              <w:t>a</w:t>
            </w:r>
            <w:r w:rsidRPr="0036276C">
              <w:t>enia</w:t>
            </w:r>
          </w:p>
          <w:p w14:paraId="5DA27EB6" w14:textId="77777777" w:rsidR="0036276C" w:rsidRPr="0036276C" w:rsidRDefault="006A0ED1" w:rsidP="0036276C">
            <w:r w:rsidRPr="0036276C">
              <w:t>H</w:t>
            </w:r>
            <w:r w:rsidR="00557368" w:rsidRPr="0036276C">
              <w:t>a</w:t>
            </w:r>
            <w:r w:rsidRPr="0036276C">
              <w:t>emorrhages</w:t>
            </w:r>
          </w:p>
          <w:p w14:paraId="3DE3E655" w14:textId="77777777" w:rsidR="0036276C" w:rsidRPr="0036276C" w:rsidRDefault="006A0ED1" w:rsidP="0036276C">
            <w:r w:rsidRPr="0036276C">
              <w:t>Thrombotic and embolic events</w:t>
            </w:r>
          </w:p>
          <w:p w14:paraId="6B081907" w14:textId="77777777" w:rsidR="0036276C" w:rsidRPr="0036276C" w:rsidRDefault="006A0ED1" w:rsidP="0036276C">
            <w:r w:rsidRPr="0036276C">
              <w:t>Female fertility (including secondary amenorrh</w:t>
            </w:r>
            <w:r w:rsidR="00557368" w:rsidRPr="0036276C">
              <w:t>o</w:t>
            </w:r>
            <w:r w:rsidRPr="0036276C">
              <w:t>ea)</w:t>
            </w:r>
          </w:p>
          <w:p w14:paraId="30B50CB1" w14:textId="77777777" w:rsidR="0036276C" w:rsidRPr="0036276C" w:rsidRDefault="006A0ED1" w:rsidP="0036276C">
            <w:r w:rsidRPr="0036276C">
              <w:t>Pre-existing infection (reactivation, aggravation, or exacerbation)</w:t>
            </w:r>
          </w:p>
          <w:p w14:paraId="4932E428" w14:textId="32FD6E83" w:rsidR="0036276C" w:rsidRPr="0036276C" w:rsidRDefault="006A0ED1" w:rsidP="0036276C">
            <w:r w:rsidRPr="0036276C">
              <w:t>Safety in patients with hepatic impairment</w:t>
            </w:r>
          </w:p>
        </w:tc>
      </w:tr>
      <w:tr w:rsidR="00924700" w:rsidRPr="006A0ED1" w14:paraId="16DB2F37" w14:textId="77777777" w:rsidTr="00924700">
        <w:tc>
          <w:tcPr>
            <w:tcW w:w="2266" w:type="dxa"/>
          </w:tcPr>
          <w:p w14:paraId="65AB3A67" w14:textId="77777777" w:rsidR="006A0ED1" w:rsidRPr="006A0ED1" w:rsidRDefault="006A0ED1" w:rsidP="00924700">
            <w:pPr>
              <w:ind w:left="0"/>
            </w:pPr>
            <w:r w:rsidRPr="006A0ED1">
              <w:t>Important potential risks</w:t>
            </w:r>
          </w:p>
        </w:tc>
        <w:tc>
          <w:tcPr>
            <w:tcW w:w="6489" w:type="dxa"/>
          </w:tcPr>
          <w:p w14:paraId="297D77A8" w14:textId="77777777" w:rsidR="0036276C" w:rsidRPr="0036276C" w:rsidRDefault="006A0ED1" w:rsidP="0036276C">
            <w:r w:rsidRPr="0036276C">
              <w:t>Postnatal developmental toxicity</w:t>
            </w:r>
          </w:p>
          <w:p w14:paraId="4D642433" w14:textId="77777777" w:rsidR="0036276C" w:rsidRPr="0036276C" w:rsidRDefault="006A0ED1" w:rsidP="0036276C">
            <w:r w:rsidRPr="0036276C">
              <w:t>Pregnant or breast-feeding women</w:t>
            </w:r>
          </w:p>
          <w:p w14:paraId="15CD8CE6" w14:textId="77777777" w:rsidR="0036276C" w:rsidRPr="0036276C" w:rsidRDefault="00557368" w:rsidP="0036276C">
            <w:r w:rsidRPr="0036276C">
              <w:t>Intestinal obstruction/</w:t>
            </w:r>
            <w:r w:rsidR="006A0ED1" w:rsidRPr="0036276C">
              <w:t>ileus</w:t>
            </w:r>
          </w:p>
          <w:p w14:paraId="09A31B44" w14:textId="77777777" w:rsidR="0036276C" w:rsidRPr="0036276C" w:rsidRDefault="006A0ED1" w:rsidP="0036276C">
            <w:r w:rsidRPr="0036276C">
              <w:t>Male infertility</w:t>
            </w:r>
          </w:p>
          <w:p w14:paraId="5159ACA9" w14:textId="77777777" w:rsidR="0036276C" w:rsidRPr="0036276C" w:rsidRDefault="006A0ED1" w:rsidP="0036276C">
            <w:r w:rsidRPr="0036276C">
              <w:t>Pancreatitis</w:t>
            </w:r>
          </w:p>
          <w:p w14:paraId="7841A8A2" w14:textId="77777777" w:rsidR="0036276C" w:rsidRPr="0036276C" w:rsidRDefault="006A0ED1" w:rsidP="0036276C">
            <w:r w:rsidRPr="0036276C">
              <w:lastRenderedPageBreak/>
              <w:t>Cholelithiasis</w:t>
            </w:r>
          </w:p>
          <w:p w14:paraId="6912F202" w14:textId="09EF3582" w:rsidR="006A0ED1" w:rsidRPr="0036276C" w:rsidRDefault="00557368" w:rsidP="0036276C">
            <w:r w:rsidRPr="0036276C">
              <w:t xml:space="preserve">Muscle wasting/muscle </w:t>
            </w:r>
            <w:r w:rsidR="006A0ED1" w:rsidRPr="0036276C">
              <w:t>loss</w:t>
            </w:r>
          </w:p>
        </w:tc>
      </w:tr>
      <w:tr w:rsidR="00924700" w:rsidRPr="006A0ED1" w14:paraId="4DD1FD30" w14:textId="77777777" w:rsidTr="00924700">
        <w:tc>
          <w:tcPr>
            <w:tcW w:w="2266" w:type="dxa"/>
          </w:tcPr>
          <w:p w14:paraId="71AF0773" w14:textId="77777777" w:rsidR="006A0ED1" w:rsidRPr="006A0ED1" w:rsidRDefault="006A0ED1" w:rsidP="00924700">
            <w:pPr>
              <w:ind w:left="0"/>
            </w:pPr>
            <w:r w:rsidRPr="006A0ED1">
              <w:lastRenderedPageBreak/>
              <w:t>Important identified interactions</w:t>
            </w:r>
          </w:p>
        </w:tc>
        <w:tc>
          <w:tcPr>
            <w:tcW w:w="6489" w:type="dxa"/>
          </w:tcPr>
          <w:p w14:paraId="0F6F4C28" w14:textId="77777777" w:rsidR="0036276C" w:rsidRPr="0036276C" w:rsidRDefault="006A0ED1" w:rsidP="0036276C">
            <w:r w:rsidRPr="0036276C">
              <w:t>Strong CYP3A4 inhibitors and PgP inhibitors</w:t>
            </w:r>
          </w:p>
          <w:p w14:paraId="3BC953C7" w14:textId="77777777" w:rsidR="0036276C" w:rsidRPr="0036276C" w:rsidRDefault="006A0ED1" w:rsidP="0036276C">
            <w:r w:rsidRPr="0036276C">
              <w:t>Moderate CYP3A4 inhibitors and PgP inhibitor</w:t>
            </w:r>
          </w:p>
          <w:p w14:paraId="359FCA71" w14:textId="77777777" w:rsidR="0036276C" w:rsidRPr="0036276C" w:rsidRDefault="006A0ED1" w:rsidP="0036276C">
            <w:r w:rsidRPr="0036276C">
              <w:t>Strong CYP3A4 inducers and PgP inducers</w:t>
            </w:r>
          </w:p>
          <w:p w14:paraId="4E262006" w14:textId="77777777" w:rsidR="0036276C" w:rsidRPr="0036276C" w:rsidRDefault="006A0ED1" w:rsidP="0036276C">
            <w:r w:rsidRPr="0036276C">
              <w:t>CYP3A4 substrates and PgP substrates</w:t>
            </w:r>
          </w:p>
          <w:p w14:paraId="67BCB754" w14:textId="000A9EF0" w:rsidR="006A0ED1" w:rsidRPr="0036276C" w:rsidRDefault="006A0ED1" w:rsidP="00924700">
            <w:r w:rsidRPr="0036276C">
              <w:t>Increased risk for angioedema when combining mTOR inhibitors</w:t>
            </w:r>
            <w:r w:rsidR="00924700">
              <w:t xml:space="preserve"> </w:t>
            </w:r>
            <w:r w:rsidRPr="0036276C">
              <w:t>and ACE inhibitors</w:t>
            </w:r>
          </w:p>
        </w:tc>
      </w:tr>
      <w:tr w:rsidR="00924700" w:rsidRPr="006A0ED1" w14:paraId="68CF4ACF" w14:textId="77777777" w:rsidTr="00924700">
        <w:tc>
          <w:tcPr>
            <w:tcW w:w="2266" w:type="dxa"/>
          </w:tcPr>
          <w:p w14:paraId="0BEAF4F4" w14:textId="77777777" w:rsidR="006A0ED1" w:rsidRPr="006A0ED1" w:rsidRDefault="006A0ED1" w:rsidP="00924700">
            <w:pPr>
              <w:ind w:left="0"/>
            </w:pPr>
            <w:r w:rsidRPr="006A0ED1">
              <w:t>Important potential interactions</w:t>
            </w:r>
          </w:p>
        </w:tc>
        <w:tc>
          <w:tcPr>
            <w:tcW w:w="6489" w:type="dxa"/>
          </w:tcPr>
          <w:p w14:paraId="2C197CA3" w14:textId="32801B74" w:rsidR="006A0ED1" w:rsidRPr="0036276C" w:rsidRDefault="006A0ED1" w:rsidP="00924700">
            <w:r w:rsidRPr="0036276C">
              <w:t>Everolimus with concomitant exemestane use (Oncology setting only)</w:t>
            </w:r>
          </w:p>
        </w:tc>
      </w:tr>
      <w:tr w:rsidR="00924700" w:rsidRPr="006A0ED1" w14:paraId="17889BB4" w14:textId="77777777" w:rsidTr="00924700">
        <w:trPr>
          <w:cantSplit/>
        </w:trPr>
        <w:tc>
          <w:tcPr>
            <w:tcW w:w="2266" w:type="dxa"/>
          </w:tcPr>
          <w:p w14:paraId="7375DFFB" w14:textId="77777777" w:rsidR="006A0ED1" w:rsidRPr="006A0ED1" w:rsidRDefault="006A0ED1" w:rsidP="00924700">
            <w:pPr>
              <w:ind w:left="0"/>
            </w:pPr>
            <w:r w:rsidRPr="006A0ED1">
              <w:t>Missing information</w:t>
            </w:r>
          </w:p>
        </w:tc>
        <w:tc>
          <w:tcPr>
            <w:tcW w:w="6489" w:type="dxa"/>
          </w:tcPr>
          <w:p w14:paraId="38586925" w14:textId="007926B1" w:rsidR="00924700" w:rsidRPr="00924700" w:rsidRDefault="006A0ED1" w:rsidP="00924700">
            <w:r w:rsidRPr="00924700">
              <w:t>Off-label use in p</w:t>
            </w:r>
            <w:r w:rsidR="00924700">
              <w:t>a</w:t>
            </w:r>
            <w:r w:rsidRPr="00924700">
              <w:t>ediatric and adolescent patients</w:t>
            </w:r>
          </w:p>
          <w:p w14:paraId="32C678E6" w14:textId="77777777" w:rsidR="00924700" w:rsidRPr="00924700" w:rsidRDefault="006A0ED1" w:rsidP="00924700">
            <w:r w:rsidRPr="00924700">
              <w:t>Patients with renal impairment (Oncology setting only)</w:t>
            </w:r>
          </w:p>
          <w:p w14:paraId="0318DBD6" w14:textId="77777777" w:rsidR="00924700" w:rsidRPr="00924700" w:rsidRDefault="006A0ED1" w:rsidP="00924700">
            <w:r w:rsidRPr="00924700">
              <w:t>Patients with CNS metastases (Oncology setting only)</w:t>
            </w:r>
          </w:p>
          <w:p w14:paraId="6BB650C5" w14:textId="77777777" w:rsidR="00924700" w:rsidRPr="00924700" w:rsidRDefault="006A0ED1" w:rsidP="00924700">
            <w:r w:rsidRPr="00924700">
              <w:t>Patients with uncontrolled cardiac disease (Oncology setting only)</w:t>
            </w:r>
          </w:p>
          <w:p w14:paraId="4C457FF7" w14:textId="77777777" w:rsidR="00924700" w:rsidRPr="00924700" w:rsidRDefault="006A0ED1" w:rsidP="00924700">
            <w:r w:rsidRPr="00924700">
              <w:t>Patients with impairment of GI function (Oncology setting only)</w:t>
            </w:r>
          </w:p>
          <w:p w14:paraId="214B14F4" w14:textId="77777777" w:rsidR="00924700" w:rsidRPr="00924700" w:rsidRDefault="0036276C" w:rsidP="00924700">
            <w:r w:rsidRPr="00924700">
              <w:t xml:space="preserve">Long </w:t>
            </w:r>
            <w:r w:rsidR="006A0ED1" w:rsidRPr="00924700">
              <w:t>term safety</w:t>
            </w:r>
          </w:p>
          <w:p w14:paraId="586F8F88" w14:textId="44537389" w:rsidR="00924700" w:rsidRPr="00924700" w:rsidRDefault="006A0ED1" w:rsidP="00924700">
            <w:r w:rsidRPr="00924700">
              <w:t>Onset of benign or malignant tumo</w:t>
            </w:r>
            <w:r w:rsidR="00924700">
              <w:t>u</w:t>
            </w:r>
            <w:r w:rsidRPr="00924700">
              <w:t>rs</w:t>
            </w:r>
          </w:p>
          <w:p w14:paraId="6681859A" w14:textId="22A0F93E" w:rsidR="00924700" w:rsidRPr="00924700" w:rsidRDefault="006A0ED1" w:rsidP="00924700">
            <w:r w:rsidRPr="00924700">
              <w:t>Effects of everolimus on brain growth and development, particularly</w:t>
            </w:r>
            <w:r w:rsidR="00924700">
              <w:t xml:space="preserve"> </w:t>
            </w:r>
            <w:r w:rsidRPr="00924700">
              <w:t>in pat</w:t>
            </w:r>
            <w:r w:rsidR="00501A81">
              <w:t>ients under 3 years of age (TSC/</w:t>
            </w:r>
            <w:r w:rsidRPr="00924700">
              <w:t>SEGA setting only)</w:t>
            </w:r>
          </w:p>
          <w:p w14:paraId="2619CAB9" w14:textId="6EC044C6" w:rsidR="00924700" w:rsidRPr="00924700" w:rsidRDefault="006A0ED1" w:rsidP="00924700">
            <w:r w:rsidRPr="00924700">
              <w:t>Comparative safety of everolimus and exemestane t</w:t>
            </w:r>
            <w:r w:rsidR="00924700">
              <w:t xml:space="preserve">herapy versus </w:t>
            </w:r>
            <w:r w:rsidRPr="00924700">
              <w:t>everolimus monotherapy (Oncology setting only)</w:t>
            </w:r>
          </w:p>
          <w:p w14:paraId="334FCD6D" w14:textId="71B9D04E" w:rsidR="006A0ED1" w:rsidRPr="0036276C" w:rsidRDefault="006A0ED1" w:rsidP="00924700">
            <w:r w:rsidRPr="00924700">
              <w:t>Safety in breast cancer patients pre-treated with cytotoxic therapies</w:t>
            </w:r>
            <w:r w:rsidR="00924700">
              <w:t xml:space="preserve"> </w:t>
            </w:r>
            <w:r w:rsidRPr="00924700">
              <w:t>(Oncology setting only)</w:t>
            </w:r>
          </w:p>
        </w:tc>
      </w:tr>
    </w:tbl>
    <w:p w14:paraId="1AD7A3EB" w14:textId="77777777" w:rsidR="008E7846" w:rsidRDefault="008E7846" w:rsidP="008E7846">
      <w:pPr>
        <w:pStyle w:val="Heading4"/>
        <w:rPr>
          <w:lang w:eastAsia="en-AU"/>
        </w:rPr>
      </w:pPr>
      <w:r>
        <w:rPr>
          <w:lang w:eastAsia="en-AU"/>
        </w:rPr>
        <w:t xml:space="preserve">Pharmacovigilance </w:t>
      </w:r>
      <w:r w:rsidR="003A7F6C">
        <w:rPr>
          <w:lang w:eastAsia="en-AU"/>
        </w:rPr>
        <w:t>p</w:t>
      </w:r>
      <w:r>
        <w:rPr>
          <w:lang w:eastAsia="en-AU"/>
        </w:rPr>
        <w:t>lan</w:t>
      </w:r>
    </w:p>
    <w:p w14:paraId="29A0764B" w14:textId="3FD007E9" w:rsidR="00501A81" w:rsidRDefault="00501A81" w:rsidP="00501A81">
      <w:pPr>
        <w:rPr>
          <w:lang w:eastAsia="en-AU"/>
        </w:rPr>
      </w:pPr>
      <w:r w:rsidRPr="00501A81">
        <w:rPr>
          <w:lang w:eastAsia="en-AU"/>
        </w:rPr>
        <w:t xml:space="preserve">There are no new proposed additional pharmacovigilance </w:t>
      </w:r>
      <w:r w:rsidR="00423796" w:rsidRPr="00501A81">
        <w:rPr>
          <w:lang w:eastAsia="en-AU"/>
        </w:rPr>
        <w:t>activities;</w:t>
      </w:r>
      <w:r w:rsidRPr="00501A81">
        <w:rPr>
          <w:lang w:eastAsia="en-AU"/>
        </w:rPr>
        <w:t xml:space="preserve"> however ongoing additional pharmacovigilance activities </w:t>
      </w:r>
      <w:r w:rsidR="00FA3E2E">
        <w:rPr>
          <w:lang w:eastAsia="en-AU"/>
        </w:rPr>
        <w:t>are listed in T</w:t>
      </w:r>
      <w:r w:rsidRPr="00501A81">
        <w:rPr>
          <w:lang w:eastAsia="en-AU"/>
        </w:rPr>
        <w:t>able</w:t>
      </w:r>
      <w:r w:rsidR="00FA3E2E">
        <w:rPr>
          <w:lang w:eastAsia="en-AU"/>
        </w:rPr>
        <w:t xml:space="preserve"> 8</w:t>
      </w:r>
      <w:r w:rsidRPr="00501A81">
        <w:rPr>
          <w:lang w:eastAsia="en-AU"/>
        </w:rPr>
        <w:t xml:space="preserve"> below</w:t>
      </w:r>
      <w:r w:rsidR="00581AD9">
        <w:rPr>
          <w:lang w:eastAsia="en-AU"/>
        </w:rPr>
        <w:t xml:space="preserve">. These </w:t>
      </w:r>
      <w:r w:rsidRPr="00501A81">
        <w:rPr>
          <w:lang w:eastAsia="en-AU"/>
        </w:rPr>
        <w:t>includ</w:t>
      </w:r>
      <w:r w:rsidR="00581AD9">
        <w:rPr>
          <w:lang w:eastAsia="en-AU"/>
        </w:rPr>
        <w:t>e</w:t>
      </w:r>
      <w:r w:rsidRPr="00501A81">
        <w:rPr>
          <w:lang w:eastAsia="en-AU"/>
        </w:rPr>
        <w:t xml:space="preserve"> studies from which long term safety will be analysed and a patient registry (for TSC, not oncology patients).</w:t>
      </w:r>
    </w:p>
    <w:p w14:paraId="50127501" w14:textId="6F1F8EB0" w:rsidR="00FA3E2E" w:rsidRPr="00501A81" w:rsidRDefault="00FA3E2E" w:rsidP="00CA100B">
      <w:pPr>
        <w:pStyle w:val="Tabletitle0"/>
        <w:pageBreakBefore/>
        <w:rPr>
          <w:lang w:eastAsia="en-AU"/>
        </w:rPr>
      </w:pPr>
      <w:r>
        <w:rPr>
          <w:lang w:eastAsia="en-AU"/>
        </w:rPr>
        <w:lastRenderedPageBreak/>
        <w:t>Table 8. Ongoing additional pharmacovigilance activities</w:t>
      </w:r>
    </w:p>
    <w:tbl>
      <w:tblPr>
        <w:tblStyle w:val="TableTGAblue"/>
        <w:tblW w:w="8897" w:type="dxa"/>
        <w:tblLook w:val="04A0" w:firstRow="1" w:lastRow="0" w:firstColumn="1" w:lastColumn="0" w:noHBand="0" w:noVBand="1"/>
      </w:tblPr>
      <w:tblGrid>
        <w:gridCol w:w="3436"/>
        <w:gridCol w:w="2044"/>
        <w:gridCol w:w="1858"/>
        <w:gridCol w:w="1559"/>
      </w:tblGrid>
      <w:tr w:rsidR="00FA3E2E" w14:paraId="2C9AE711" w14:textId="77777777" w:rsidTr="000B0784">
        <w:trPr>
          <w:cnfStyle w:val="100000000000" w:firstRow="1" w:lastRow="0" w:firstColumn="0" w:lastColumn="0" w:oddVBand="0" w:evenVBand="0" w:oddHBand="0" w:evenHBand="0" w:firstRowFirstColumn="0" w:firstRowLastColumn="0" w:lastRowFirstColumn="0" w:lastRowLastColumn="0"/>
        </w:trPr>
        <w:tc>
          <w:tcPr>
            <w:tcW w:w="3436" w:type="dxa"/>
          </w:tcPr>
          <w:p w14:paraId="2CDDD968" w14:textId="7933A568" w:rsidR="006C000F" w:rsidRDefault="006C000F" w:rsidP="00CA100B">
            <w:r>
              <w:t>Study</w:t>
            </w:r>
          </w:p>
        </w:tc>
        <w:tc>
          <w:tcPr>
            <w:tcW w:w="2044" w:type="dxa"/>
          </w:tcPr>
          <w:p w14:paraId="55EA3449" w14:textId="4D5D8689" w:rsidR="006C000F" w:rsidRDefault="006C000F" w:rsidP="00FA3E2E">
            <w:pPr>
              <w:ind w:left="0"/>
            </w:pPr>
            <w:r>
              <w:t>Status</w:t>
            </w:r>
          </w:p>
        </w:tc>
        <w:tc>
          <w:tcPr>
            <w:tcW w:w="1858" w:type="dxa"/>
          </w:tcPr>
          <w:p w14:paraId="14E4B5A1" w14:textId="17FF11B6" w:rsidR="006C000F" w:rsidRDefault="006C000F" w:rsidP="00FA3E2E">
            <w:pPr>
              <w:ind w:left="0"/>
            </w:pPr>
            <w:r>
              <w:t>Inclusion of Australian patients</w:t>
            </w:r>
          </w:p>
        </w:tc>
        <w:tc>
          <w:tcPr>
            <w:tcW w:w="1559" w:type="dxa"/>
          </w:tcPr>
          <w:p w14:paraId="2518A48D" w14:textId="2F5721B9" w:rsidR="006C000F" w:rsidRDefault="006C000F" w:rsidP="00FA3E2E">
            <w:pPr>
              <w:ind w:left="0"/>
            </w:pPr>
            <w:r>
              <w:t>Protocol</w:t>
            </w:r>
          </w:p>
        </w:tc>
      </w:tr>
      <w:tr w:rsidR="00FA3E2E" w14:paraId="6867F325" w14:textId="77777777" w:rsidTr="000B0784">
        <w:tc>
          <w:tcPr>
            <w:tcW w:w="3436" w:type="dxa"/>
          </w:tcPr>
          <w:p w14:paraId="6C0A3B57" w14:textId="64F05C48" w:rsidR="00D63C8B" w:rsidRPr="00D63C8B" w:rsidRDefault="00D63C8B" w:rsidP="00FA3E2E">
            <w:pPr>
              <w:ind w:left="0"/>
              <w:rPr>
                <w:sz w:val="21"/>
                <w:lang w:val="en-GB"/>
              </w:rPr>
            </w:pPr>
            <w:r>
              <w:rPr>
                <w:lang w:val="en-GB"/>
              </w:rPr>
              <w:t>Disease registry/Study</w:t>
            </w:r>
            <w:r w:rsidRPr="00D63C8B">
              <w:rPr>
                <w:sz w:val="21"/>
                <w:lang w:val="en-GB"/>
              </w:rPr>
              <w:t xml:space="preserve"> CRAD001MIC03 </w:t>
            </w:r>
          </w:p>
          <w:p w14:paraId="076CD38C" w14:textId="481B2D5C" w:rsidR="00AA7919" w:rsidRDefault="00D63C8B" w:rsidP="00FA3E2E">
            <w:pPr>
              <w:ind w:left="0"/>
              <w:rPr>
                <w:lang w:val="en-GB"/>
              </w:rPr>
            </w:pPr>
            <w:r w:rsidRPr="00D63C8B">
              <w:rPr>
                <w:sz w:val="21"/>
                <w:lang w:val="en-GB"/>
              </w:rPr>
              <w:t xml:space="preserve">An international disease registry collecting data on manifestations, interventions, and outcomes in patients with </w:t>
            </w:r>
            <w:r>
              <w:rPr>
                <w:lang w:val="en-GB"/>
              </w:rPr>
              <w:t>TSC (</w:t>
            </w:r>
            <w:r w:rsidRPr="00D63C8B">
              <w:rPr>
                <w:sz w:val="21"/>
                <w:lang w:val="en-GB"/>
              </w:rPr>
              <w:t>TOSCA</w:t>
            </w:r>
            <w:r>
              <w:rPr>
                <w:lang w:val="en-GB"/>
              </w:rPr>
              <w:t>)</w:t>
            </w:r>
            <w:r w:rsidRPr="00D63C8B">
              <w:rPr>
                <w:sz w:val="21"/>
                <w:lang w:val="en-GB"/>
              </w:rPr>
              <w:t xml:space="preserve">. </w:t>
            </w:r>
          </w:p>
        </w:tc>
        <w:tc>
          <w:tcPr>
            <w:tcW w:w="2044" w:type="dxa"/>
          </w:tcPr>
          <w:p w14:paraId="6E16BB48" w14:textId="77777777" w:rsidR="00AA7919" w:rsidRDefault="00D63C8B" w:rsidP="00FA3E2E">
            <w:pPr>
              <w:ind w:left="0"/>
            </w:pPr>
            <w:r>
              <w:t>CSR Disease registry: Q4 2017</w:t>
            </w:r>
          </w:p>
          <w:p w14:paraId="74FC4872" w14:textId="362A4109" w:rsidR="00D63C8B" w:rsidRDefault="00D63C8B" w:rsidP="00FA3E2E">
            <w:pPr>
              <w:ind w:left="0"/>
            </w:pPr>
            <w:r>
              <w:t>CSR Pass: Q4 2027</w:t>
            </w:r>
          </w:p>
        </w:tc>
        <w:tc>
          <w:tcPr>
            <w:tcW w:w="1858" w:type="dxa"/>
          </w:tcPr>
          <w:p w14:paraId="0D742C29" w14:textId="0E0DD282" w:rsidR="00AA7919" w:rsidRDefault="00D63C8B" w:rsidP="00FA3E2E">
            <w:pPr>
              <w:ind w:left="0"/>
            </w:pPr>
            <w:r>
              <w:t>Yes</w:t>
            </w:r>
          </w:p>
        </w:tc>
        <w:tc>
          <w:tcPr>
            <w:tcW w:w="1559" w:type="dxa"/>
          </w:tcPr>
          <w:p w14:paraId="3CCEE65B" w14:textId="43518FB5" w:rsidR="00AA7919" w:rsidRDefault="00D63C8B" w:rsidP="00FA3E2E">
            <w:pPr>
              <w:ind w:left="0"/>
            </w:pPr>
            <w:r>
              <w:t>Final</w:t>
            </w:r>
          </w:p>
        </w:tc>
      </w:tr>
      <w:tr w:rsidR="00FA3E2E" w14:paraId="2FB44004" w14:textId="77777777" w:rsidTr="000B0784">
        <w:tc>
          <w:tcPr>
            <w:tcW w:w="3436" w:type="dxa"/>
          </w:tcPr>
          <w:p w14:paraId="25E0C11E" w14:textId="791BAF8A" w:rsidR="006C000F" w:rsidRPr="006C000F" w:rsidRDefault="006C000F" w:rsidP="00FA3E2E">
            <w:pPr>
              <w:ind w:left="0"/>
              <w:rPr>
                <w:sz w:val="21"/>
                <w:lang w:val="en-GB"/>
              </w:rPr>
            </w:pPr>
            <w:r>
              <w:rPr>
                <w:lang w:val="en-GB"/>
              </w:rPr>
              <w:t>Clinical Study CRAD001J2301</w:t>
            </w:r>
          </w:p>
          <w:p w14:paraId="2BA33C51" w14:textId="4DECF798" w:rsidR="006C000F" w:rsidRPr="006C000F" w:rsidRDefault="006C000F" w:rsidP="00FA3E2E">
            <w:pPr>
              <w:ind w:left="0"/>
              <w:rPr>
                <w:lang w:val="en-GB"/>
              </w:rPr>
            </w:pPr>
            <w:r>
              <w:rPr>
                <w:lang w:val="en-GB"/>
              </w:rPr>
              <w:t>A randomised, Phase III, double blind, placebo controlled multicent</w:t>
            </w:r>
            <w:r w:rsidRPr="006C000F">
              <w:rPr>
                <w:sz w:val="21"/>
                <w:lang w:val="en-GB"/>
              </w:rPr>
              <w:t>r</w:t>
            </w:r>
            <w:r>
              <w:rPr>
                <w:lang w:val="en-GB"/>
              </w:rPr>
              <w:t>e</w:t>
            </w:r>
            <w:r w:rsidRPr="006C000F">
              <w:rPr>
                <w:sz w:val="21"/>
                <w:lang w:val="en-GB"/>
              </w:rPr>
              <w:t xml:space="preserve"> trial of everolimus in combination with tras</w:t>
            </w:r>
            <w:r>
              <w:rPr>
                <w:lang w:val="en-GB"/>
              </w:rPr>
              <w:t xml:space="preserve">tuzumab and paclitaxel as first </w:t>
            </w:r>
            <w:r w:rsidRPr="006C000F">
              <w:rPr>
                <w:sz w:val="21"/>
                <w:lang w:val="en-GB"/>
              </w:rPr>
              <w:t>line therapy in women with HER2 positive locally advanc</w:t>
            </w:r>
            <w:r>
              <w:rPr>
                <w:lang w:val="en-GB"/>
              </w:rPr>
              <w:t>ed or metastatic breast cancer.</w:t>
            </w:r>
          </w:p>
        </w:tc>
        <w:tc>
          <w:tcPr>
            <w:tcW w:w="2044" w:type="dxa"/>
          </w:tcPr>
          <w:p w14:paraId="304DC3F2" w14:textId="2B02DB5C" w:rsidR="006C000F" w:rsidRDefault="00D63C8B" w:rsidP="00FA3E2E">
            <w:pPr>
              <w:ind w:left="0"/>
            </w:pPr>
            <w:r>
              <w:t>CSR: Q4 2016</w:t>
            </w:r>
          </w:p>
        </w:tc>
        <w:tc>
          <w:tcPr>
            <w:tcW w:w="1858" w:type="dxa"/>
          </w:tcPr>
          <w:p w14:paraId="3262F08F" w14:textId="27A632A3" w:rsidR="006C000F" w:rsidRDefault="00D63C8B" w:rsidP="00FA3E2E">
            <w:pPr>
              <w:ind w:left="0"/>
            </w:pPr>
            <w:r>
              <w:t>Yes</w:t>
            </w:r>
          </w:p>
        </w:tc>
        <w:tc>
          <w:tcPr>
            <w:tcW w:w="1559" w:type="dxa"/>
          </w:tcPr>
          <w:p w14:paraId="18B36908" w14:textId="2DF1655E" w:rsidR="006C000F" w:rsidRDefault="00D63C8B" w:rsidP="00FA3E2E">
            <w:pPr>
              <w:ind w:left="0"/>
            </w:pPr>
            <w:r>
              <w:t>Final</w:t>
            </w:r>
          </w:p>
        </w:tc>
      </w:tr>
      <w:tr w:rsidR="00FA3E2E" w14:paraId="3FB8B44B" w14:textId="77777777" w:rsidTr="000B0784">
        <w:tc>
          <w:tcPr>
            <w:tcW w:w="3436" w:type="dxa"/>
          </w:tcPr>
          <w:p w14:paraId="7CD76659" w14:textId="77777777" w:rsidR="006C000F" w:rsidRDefault="006C000F" w:rsidP="00FA3E2E">
            <w:pPr>
              <w:ind w:left="0"/>
              <w:rPr>
                <w:lang w:val="en-GB"/>
              </w:rPr>
            </w:pPr>
            <w:r>
              <w:rPr>
                <w:lang w:val="en-GB"/>
              </w:rPr>
              <w:t>Clinical Study CRAD001W2301</w:t>
            </w:r>
          </w:p>
          <w:p w14:paraId="3108AA9A" w14:textId="012FC824" w:rsidR="006C000F" w:rsidRPr="006C000F" w:rsidRDefault="006C000F" w:rsidP="00FA3E2E">
            <w:pPr>
              <w:ind w:left="0"/>
              <w:rPr>
                <w:lang w:val="en-GB"/>
              </w:rPr>
            </w:pPr>
            <w:r>
              <w:rPr>
                <w:lang w:val="en-GB"/>
              </w:rPr>
              <w:t>A randomised, P</w:t>
            </w:r>
            <w:r w:rsidRPr="006C000F">
              <w:rPr>
                <w:sz w:val="21"/>
                <w:lang w:val="en-GB"/>
              </w:rPr>
              <w:t>hase III, double</w:t>
            </w:r>
            <w:r>
              <w:rPr>
                <w:lang w:val="en-GB"/>
              </w:rPr>
              <w:t xml:space="preserve"> blind, placebo controlled multicent</w:t>
            </w:r>
            <w:r w:rsidRPr="006C000F">
              <w:rPr>
                <w:sz w:val="21"/>
                <w:lang w:val="en-GB"/>
              </w:rPr>
              <w:t>r</w:t>
            </w:r>
            <w:r>
              <w:rPr>
                <w:lang w:val="en-GB"/>
              </w:rPr>
              <w:t>e</w:t>
            </w:r>
            <w:r w:rsidRPr="006C000F">
              <w:rPr>
                <w:sz w:val="21"/>
                <w:lang w:val="en-GB"/>
              </w:rPr>
              <w:t xml:space="preserve"> trial of daily everolimus in combination with trastuzumab and vinorelbine, in pre</w:t>
            </w:r>
            <w:r>
              <w:rPr>
                <w:lang w:val="en-GB"/>
              </w:rPr>
              <w:t>-</w:t>
            </w:r>
            <w:r w:rsidRPr="006C000F">
              <w:rPr>
                <w:sz w:val="21"/>
                <w:lang w:val="en-GB"/>
              </w:rPr>
              <w:t>treated wo</w:t>
            </w:r>
            <w:r>
              <w:rPr>
                <w:lang w:val="en-GB"/>
              </w:rPr>
              <w:t>men with HER2/neu over-</w:t>
            </w:r>
            <w:r w:rsidRPr="006C000F">
              <w:rPr>
                <w:sz w:val="21"/>
                <w:lang w:val="en-GB"/>
              </w:rPr>
              <w:t>expressing locally advanc</w:t>
            </w:r>
            <w:r>
              <w:rPr>
                <w:lang w:val="en-GB"/>
              </w:rPr>
              <w:t>ed or metastatic breast cancer.</w:t>
            </w:r>
          </w:p>
        </w:tc>
        <w:tc>
          <w:tcPr>
            <w:tcW w:w="2044" w:type="dxa"/>
          </w:tcPr>
          <w:p w14:paraId="3485A4EC" w14:textId="20CA8BEF" w:rsidR="006C000F" w:rsidRDefault="00D63C8B" w:rsidP="00FA3E2E">
            <w:pPr>
              <w:ind w:left="0"/>
            </w:pPr>
            <w:r>
              <w:t>CSR: Q4 2016</w:t>
            </w:r>
          </w:p>
        </w:tc>
        <w:tc>
          <w:tcPr>
            <w:tcW w:w="1858" w:type="dxa"/>
          </w:tcPr>
          <w:p w14:paraId="0614B673" w14:textId="15671FED" w:rsidR="006C000F" w:rsidRDefault="00D63C8B" w:rsidP="00FA3E2E">
            <w:pPr>
              <w:ind w:left="0"/>
            </w:pPr>
            <w:r>
              <w:t>Yes</w:t>
            </w:r>
          </w:p>
        </w:tc>
        <w:tc>
          <w:tcPr>
            <w:tcW w:w="1559" w:type="dxa"/>
          </w:tcPr>
          <w:p w14:paraId="63A7FC8B" w14:textId="3040813E" w:rsidR="006C000F" w:rsidRDefault="00D63C8B" w:rsidP="00FA3E2E">
            <w:pPr>
              <w:ind w:left="0"/>
            </w:pPr>
            <w:r>
              <w:t>Final</w:t>
            </w:r>
          </w:p>
        </w:tc>
      </w:tr>
      <w:tr w:rsidR="00FA3E2E" w14:paraId="279C8521" w14:textId="77777777" w:rsidTr="000B0784">
        <w:tc>
          <w:tcPr>
            <w:tcW w:w="3436" w:type="dxa"/>
          </w:tcPr>
          <w:p w14:paraId="33C9E021" w14:textId="306CF21E" w:rsidR="007874BB" w:rsidRPr="007874BB" w:rsidRDefault="007874BB" w:rsidP="00FA3E2E">
            <w:pPr>
              <w:ind w:left="0"/>
              <w:rPr>
                <w:sz w:val="21"/>
                <w:lang w:val="en-GB"/>
              </w:rPr>
            </w:pPr>
            <w:r>
              <w:rPr>
                <w:lang w:val="en-GB"/>
              </w:rPr>
              <w:t>Clinical Study CRAD001Y2201</w:t>
            </w:r>
          </w:p>
          <w:p w14:paraId="2BE968A8" w14:textId="246ACB23" w:rsidR="006C000F" w:rsidRPr="007874BB" w:rsidRDefault="007874BB" w:rsidP="00FA3E2E">
            <w:pPr>
              <w:ind w:left="0"/>
              <w:rPr>
                <w:lang w:val="en-GB"/>
              </w:rPr>
            </w:pPr>
            <w:r>
              <w:rPr>
                <w:lang w:val="en-GB"/>
              </w:rPr>
              <w:t>A 3 arm randomised P</w:t>
            </w:r>
            <w:r w:rsidRPr="007874BB">
              <w:rPr>
                <w:sz w:val="21"/>
                <w:lang w:val="en-GB"/>
              </w:rPr>
              <w:t>hase II study investigating the combination o</w:t>
            </w:r>
            <w:r>
              <w:rPr>
                <w:lang w:val="en-GB"/>
              </w:rPr>
              <w:t xml:space="preserve">f everolimus with exemestane versus everolimus alone versus </w:t>
            </w:r>
            <w:r w:rsidRPr="007874BB">
              <w:rPr>
                <w:sz w:val="21"/>
                <w:lang w:val="en-GB"/>
              </w:rPr>
              <w:t xml:space="preserve">capecitabine in patients with </w:t>
            </w:r>
            <w:r>
              <w:rPr>
                <w:lang w:val="en-GB"/>
              </w:rPr>
              <w:t xml:space="preserve">oestrogen </w:t>
            </w:r>
            <w:r w:rsidRPr="007874BB">
              <w:rPr>
                <w:sz w:val="21"/>
                <w:lang w:val="en-GB"/>
              </w:rPr>
              <w:t>receptor positive metastatic breast cancer after recurrence or progression on letrozole or anastrozole.</w:t>
            </w:r>
          </w:p>
        </w:tc>
        <w:tc>
          <w:tcPr>
            <w:tcW w:w="2044" w:type="dxa"/>
          </w:tcPr>
          <w:p w14:paraId="3460AC7B" w14:textId="35AAFF91" w:rsidR="006C000F" w:rsidRDefault="00D63C8B" w:rsidP="00FA3E2E">
            <w:pPr>
              <w:ind w:left="0"/>
            </w:pPr>
            <w:r>
              <w:t>CSR: Q3 2017</w:t>
            </w:r>
          </w:p>
        </w:tc>
        <w:tc>
          <w:tcPr>
            <w:tcW w:w="1858" w:type="dxa"/>
          </w:tcPr>
          <w:p w14:paraId="7BC5AE0A" w14:textId="7C1B218F" w:rsidR="006C000F" w:rsidRDefault="00D63C8B" w:rsidP="00FA3E2E">
            <w:pPr>
              <w:ind w:left="0"/>
            </w:pPr>
            <w:r>
              <w:t>Yes</w:t>
            </w:r>
          </w:p>
        </w:tc>
        <w:tc>
          <w:tcPr>
            <w:tcW w:w="1559" w:type="dxa"/>
          </w:tcPr>
          <w:p w14:paraId="69B2C126" w14:textId="37E35A85" w:rsidR="006C000F" w:rsidRDefault="00D63C8B" w:rsidP="00FA3E2E">
            <w:pPr>
              <w:ind w:left="0"/>
            </w:pPr>
            <w:r>
              <w:t>Final</w:t>
            </w:r>
          </w:p>
        </w:tc>
      </w:tr>
      <w:tr w:rsidR="00FA3E2E" w14:paraId="3572FF38" w14:textId="77777777" w:rsidTr="000B0784">
        <w:tc>
          <w:tcPr>
            <w:tcW w:w="3436" w:type="dxa"/>
          </w:tcPr>
          <w:p w14:paraId="3AAC1B2E" w14:textId="7E5CC8F0" w:rsidR="006C000F" w:rsidRDefault="000F1079" w:rsidP="00FA3E2E">
            <w:pPr>
              <w:ind w:left="0"/>
            </w:pPr>
            <w:r>
              <w:t>Statistical analysis/formal amenorrhoea analysis across the 3 TSC studies (Studies CRAD001C2485, CRAD001M2301, and CRAD001M2302) after study completion.</w:t>
            </w:r>
          </w:p>
        </w:tc>
        <w:tc>
          <w:tcPr>
            <w:tcW w:w="2044" w:type="dxa"/>
          </w:tcPr>
          <w:p w14:paraId="779B8588" w14:textId="03DCFAA6" w:rsidR="006C000F" w:rsidRDefault="00FA3E2E" w:rsidP="00FA3E2E">
            <w:pPr>
              <w:ind w:left="0"/>
            </w:pPr>
            <w:r>
              <w:t xml:space="preserve">Final Report: </w:t>
            </w:r>
            <w:r w:rsidR="00D63C8B">
              <w:t>Q3 201</w:t>
            </w:r>
            <w:r>
              <w:t>5</w:t>
            </w:r>
          </w:p>
        </w:tc>
        <w:tc>
          <w:tcPr>
            <w:tcW w:w="1858" w:type="dxa"/>
          </w:tcPr>
          <w:p w14:paraId="245E99BC" w14:textId="4F885CDD" w:rsidR="006C000F" w:rsidRDefault="00FA3E2E" w:rsidP="00FA3E2E">
            <w:pPr>
              <w:ind w:left="0"/>
            </w:pPr>
            <w:r>
              <w:t>Yes</w:t>
            </w:r>
          </w:p>
        </w:tc>
        <w:tc>
          <w:tcPr>
            <w:tcW w:w="1559" w:type="dxa"/>
          </w:tcPr>
          <w:p w14:paraId="5C3C875A" w14:textId="3D5F6AB8" w:rsidR="006C000F" w:rsidRDefault="00FA3E2E" w:rsidP="00FA3E2E">
            <w:pPr>
              <w:ind w:left="0"/>
            </w:pPr>
            <w:r>
              <w:t>Final</w:t>
            </w:r>
          </w:p>
        </w:tc>
      </w:tr>
      <w:tr w:rsidR="00FA3E2E" w14:paraId="0469612E" w14:textId="77777777" w:rsidTr="000B0784">
        <w:tc>
          <w:tcPr>
            <w:tcW w:w="3436" w:type="dxa"/>
          </w:tcPr>
          <w:p w14:paraId="147B5C2E" w14:textId="77777777" w:rsidR="00D63C8B" w:rsidRPr="006C000F" w:rsidRDefault="00D63C8B" w:rsidP="00FA3E2E">
            <w:pPr>
              <w:ind w:left="0"/>
              <w:rPr>
                <w:sz w:val="21"/>
                <w:lang w:val="en-GB"/>
              </w:rPr>
            </w:pPr>
            <w:r>
              <w:rPr>
                <w:lang w:val="en-GB"/>
              </w:rPr>
              <w:lastRenderedPageBreak/>
              <w:t>Clinical Study CRAD001M2305</w:t>
            </w:r>
          </w:p>
          <w:p w14:paraId="2B278CA1" w14:textId="5B8C0383" w:rsidR="000F1079" w:rsidRDefault="00D63C8B" w:rsidP="00FA3E2E">
            <w:pPr>
              <w:ind w:left="0"/>
            </w:pPr>
            <w:r w:rsidRPr="006C000F">
              <w:rPr>
                <w:sz w:val="21"/>
                <w:lang w:val="en-GB"/>
              </w:rPr>
              <w:t>Long-term follow-up study to monitor for growth and development of p</w:t>
            </w:r>
            <w:r>
              <w:rPr>
                <w:lang w:val="en-GB"/>
              </w:rPr>
              <w:t>a</w:t>
            </w:r>
            <w:r w:rsidRPr="006C000F">
              <w:rPr>
                <w:sz w:val="21"/>
                <w:lang w:val="en-GB"/>
              </w:rPr>
              <w:t>ediatric patients previously treated with ev</w:t>
            </w:r>
            <w:r>
              <w:rPr>
                <w:lang w:val="en-GB"/>
              </w:rPr>
              <w:t>erolimus in Study CRAD001M2301.</w:t>
            </w:r>
          </w:p>
        </w:tc>
        <w:tc>
          <w:tcPr>
            <w:tcW w:w="2044" w:type="dxa"/>
          </w:tcPr>
          <w:p w14:paraId="274AD295" w14:textId="108DE5EB" w:rsidR="000F1079" w:rsidRDefault="00FA3E2E" w:rsidP="00FA3E2E">
            <w:pPr>
              <w:ind w:left="0"/>
            </w:pPr>
            <w:r>
              <w:t>Ongoing: Final CSR 2025</w:t>
            </w:r>
          </w:p>
        </w:tc>
        <w:tc>
          <w:tcPr>
            <w:tcW w:w="1858" w:type="dxa"/>
          </w:tcPr>
          <w:p w14:paraId="7C7D6CA7" w14:textId="2EBA3061" w:rsidR="000F1079" w:rsidRDefault="00FA3E2E" w:rsidP="00FA3E2E">
            <w:pPr>
              <w:ind w:left="0"/>
            </w:pPr>
            <w:r>
              <w:t>Yes</w:t>
            </w:r>
          </w:p>
        </w:tc>
        <w:tc>
          <w:tcPr>
            <w:tcW w:w="1559" w:type="dxa"/>
          </w:tcPr>
          <w:p w14:paraId="72BE2A4B" w14:textId="37DEC212" w:rsidR="000F1079" w:rsidRDefault="00FA3E2E" w:rsidP="00FA3E2E">
            <w:pPr>
              <w:ind w:left="0"/>
            </w:pPr>
            <w:r>
              <w:t>Final</w:t>
            </w:r>
          </w:p>
        </w:tc>
      </w:tr>
    </w:tbl>
    <w:p w14:paraId="0052A154" w14:textId="77777777" w:rsidR="008E7846" w:rsidRDefault="008E7846" w:rsidP="008E7846">
      <w:pPr>
        <w:pStyle w:val="Heading4"/>
        <w:rPr>
          <w:lang w:eastAsia="en-AU"/>
        </w:rPr>
      </w:pPr>
      <w:r>
        <w:rPr>
          <w:lang w:eastAsia="en-AU"/>
        </w:rPr>
        <w:t xml:space="preserve">Risk </w:t>
      </w:r>
      <w:r w:rsidR="003A7F6C">
        <w:rPr>
          <w:lang w:eastAsia="en-AU"/>
        </w:rPr>
        <w:t>m</w:t>
      </w:r>
      <w:r>
        <w:rPr>
          <w:lang w:eastAsia="en-AU"/>
        </w:rPr>
        <w:t xml:space="preserve">inimisation </w:t>
      </w:r>
      <w:r w:rsidR="003A7F6C">
        <w:rPr>
          <w:lang w:eastAsia="en-AU"/>
        </w:rPr>
        <w:t>a</w:t>
      </w:r>
      <w:r>
        <w:rPr>
          <w:lang w:eastAsia="en-AU"/>
        </w:rPr>
        <w:t>ctivities</w:t>
      </w:r>
    </w:p>
    <w:p w14:paraId="2E6FE755" w14:textId="39F3EBBF" w:rsidR="00C636CF" w:rsidRPr="00C636CF" w:rsidRDefault="00C636CF" w:rsidP="00C636CF">
      <w:pPr>
        <w:rPr>
          <w:lang w:eastAsia="en-AU"/>
        </w:rPr>
      </w:pPr>
      <w:r w:rsidRPr="00C636CF">
        <w:rPr>
          <w:lang w:eastAsia="en-AU"/>
        </w:rPr>
        <w:t xml:space="preserve">The sponsor states </w:t>
      </w:r>
      <w:r w:rsidR="00581AD9">
        <w:rPr>
          <w:lang w:eastAsia="en-AU"/>
        </w:rPr>
        <w:t xml:space="preserve">that </w:t>
      </w:r>
      <w:r w:rsidRPr="00C636CF">
        <w:rPr>
          <w:lang w:eastAsia="en-AU"/>
        </w:rPr>
        <w:t>no additional risk minimisation activities are planned.</w:t>
      </w:r>
    </w:p>
    <w:p w14:paraId="16BBFB84" w14:textId="6976782F" w:rsidR="006F25B8" w:rsidRDefault="006F25B8" w:rsidP="006F25B8">
      <w:pPr>
        <w:pStyle w:val="Heading4"/>
        <w:rPr>
          <w:lang w:eastAsia="en-AU"/>
        </w:rPr>
      </w:pPr>
      <w:bookmarkStart w:id="128" w:name="_Toc247691527"/>
      <w:r w:rsidRPr="006F25B8">
        <w:rPr>
          <w:lang w:eastAsia="en-AU"/>
        </w:rPr>
        <w:t>Reconciliation of is</w:t>
      </w:r>
      <w:r w:rsidR="00DC039D">
        <w:rPr>
          <w:lang w:eastAsia="en-AU"/>
        </w:rPr>
        <w:t>sues outlined in the RMP report</w:t>
      </w:r>
    </w:p>
    <w:p w14:paraId="3151F5C5" w14:textId="41D27BEB" w:rsidR="006F25B8" w:rsidRDefault="00C636CF" w:rsidP="006F25B8">
      <w:pPr>
        <w:rPr>
          <w:lang w:eastAsia="en-AU"/>
        </w:rPr>
      </w:pPr>
      <w:r>
        <w:rPr>
          <w:lang w:eastAsia="en-AU"/>
        </w:rPr>
        <w:t>Table 9 below</w:t>
      </w:r>
      <w:r w:rsidR="00660BFC">
        <w:rPr>
          <w:lang w:eastAsia="en-AU"/>
        </w:rPr>
        <w:t xml:space="preserve"> summarises recommendations following the </w:t>
      </w:r>
      <w:r w:rsidR="006F25B8">
        <w:rPr>
          <w:lang w:eastAsia="en-AU"/>
        </w:rPr>
        <w:t>first round evaluation of the RMP, the sponsor’s respon</w:t>
      </w:r>
      <w:r w:rsidR="00660BFC">
        <w:rPr>
          <w:lang w:eastAsia="en-AU"/>
        </w:rPr>
        <w:t xml:space="preserve">ses to issues raised and the RMP </w:t>
      </w:r>
      <w:r w:rsidR="006F25B8">
        <w:rPr>
          <w:lang w:eastAsia="en-AU"/>
        </w:rPr>
        <w:t>evaluat</w:t>
      </w:r>
      <w:r w:rsidR="00660BFC">
        <w:rPr>
          <w:lang w:eastAsia="en-AU"/>
        </w:rPr>
        <w:t>ion of the sponsor’s responses.</w:t>
      </w:r>
    </w:p>
    <w:p w14:paraId="7BAD48D8" w14:textId="3E9B9AB9" w:rsidR="00660BFC" w:rsidRDefault="00C636CF" w:rsidP="00660BFC">
      <w:pPr>
        <w:pStyle w:val="Tabletitle0"/>
        <w:rPr>
          <w:lang w:eastAsia="en-AU"/>
        </w:rPr>
      </w:pPr>
      <w:r>
        <w:rPr>
          <w:lang w:eastAsia="en-AU"/>
        </w:rPr>
        <w:t>Table 9</w:t>
      </w:r>
      <w:r w:rsidR="00660BFC">
        <w:rPr>
          <w:lang w:eastAsia="en-AU"/>
        </w:rPr>
        <w:t xml:space="preserve">. Summary of the first round </w:t>
      </w:r>
      <w:r w:rsidR="00886D68">
        <w:rPr>
          <w:lang w:eastAsia="en-AU"/>
        </w:rPr>
        <w:t xml:space="preserve">RMP </w:t>
      </w:r>
      <w:r w:rsidR="00660BFC">
        <w:rPr>
          <w:lang w:eastAsia="en-AU"/>
        </w:rPr>
        <w:t>recommendations with sponsor’s responses and RMP evaluator</w:t>
      </w:r>
      <w:r w:rsidR="001766A0">
        <w:rPr>
          <w:lang w:eastAsia="en-AU"/>
        </w:rPr>
        <w:t>’</w:t>
      </w:r>
      <w:r w:rsidR="00660BFC">
        <w:rPr>
          <w:lang w:eastAsia="en-AU"/>
        </w:rPr>
        <w:t>s comments</w:t>
      </w:r>
    </w:p>
    <w:tbl>
      <w:tblPr>
        <w:tblStyle w:val="TableTGAblue"/>
        <w:tblW w:w="5122" w:type="pct"/>
        <w:tblLayout w:type="fixed"/>
        <w:tblLook w:val="04A0" w:firstRow="1" w:lastRow="0" w:firstColumn="1" w:lastColumn="0" w:noHBand="0" w:noVBand="1"/>
      </w:tblPr>
      <w:tblGrid>
        <w:gridCol w:w="8933"/>
      </w:tblGrid>
      <w:tr w:rsidR="00DC039D" w:rsidRPr="00502C09" w14:paraId="3D994612" w14:textId="77777777" w:rsidTr="00DC039D">
        <w:trPr>
          <w:cnfStyle w:val="100000000000" w:firstRow="1" w:lastRow="0" w:firstColumn="0" w:lastColumn="0" w:oddVBand="0" w:evenVBand="0" w:oddHBand="0" w:evenHBand="0" w:firstRowFirstColumn="0" w:firstRowLastColumn="0" w:lastRowFirstColumn="0" w:lastRowLastColumn="0"/>
          <w:trHeight w:val="260"/>
        </w:trPr>
        <w:tc>
          <w:tcPr>
            <w:tcW w:w="5000" w:type="pct"/>
            <w:noWrap/>
          </w:tcPr>
          <w:p w14:paraId="3D1DDC4D" w14:textId="769F276A" w:rsidR="000B1382" w:rsidRPr="000B1382" w:rsidRDefault="001766A0" w:rsidP="000B1382">
            <w:r>
              <w:t>Summary of first round RMP recommendations with sponsor’s responses and RMP evaluator’s comments</w:t>
            </w:r>
          </w:p>
        </w:tc>
      </w:tr>
      <w:tr w:rsidR="00DC039D" w:rsidRPr="00502C09" w14:paraId="7F8F0166" w14:textId="77777777" w:rsidTr="000B0784">
        <w:tc>
          <w:tcPr>
            <w:tcW w:w="5000" w:type="pct"/>
            <w:shd w:val="clear" w:color="auto" w:fill="DADCDF" w:themeFill="background2" w:themeFillTint="33"/>
            <w:noWrap/>
          </w:tcPr>
          <w:p w14:paraId="3C22010C" w14:textId="70C00DD4" w:rsidR="000B1382" w:rsidRPr="000B1382" w:rsidRDefault="000B1382" w:rsidP="00DD4D8C">
            <w:pPr>
              <w:ind w:left="173" w:right="173"/>
            </w:pPr>
            <w:r w:rsidRPr="000B1382">
              <w:rPr>
                <w:b/>
              </w:rPr>
              <w:t>TGA recommendation 1:</w:t>
            </w:r>
            <w:r w:rsidR="00660BFC">
              <w:t xml:space="preserve"> Study CRAD001M2302</w:t>
            </w:r>
            <w:r w:rsidRPr="000B1382">
              <w:t xml:space="preserve"> should be removed from the listed ongoing additional pharmacovigilance activities</w:t>
            </w:r>
          </w:p>
        </w:tc>
      </w:tr>
      <w:tr w:rsidR="00DC039D" w:rsidRPr="00502C09" w14:paraId="1DEDC9B1" w14:textId="77777777" w:rsidTr="00DC039D">
        <w:tc>
          <w:tcPr>
            <w:tcW w:w="5000" w:type="pct"/>
            <w:noWrap/>
          </w:tcPr>
          <w:p w14:paraId="2C35904E" w14:textId="3BF226D9" w:rsidR="000B1382" w:rsidRPr="000B1382" w:rsidRDefault="000B1382" w:rsidP="00DD4D8C">
            <w:pPr>
              <w:ind w:left="173" w:right="173"/>
            </w:pPr>
            <w:r w:rsidRPr="000B1382">
              <w:rPr>
                <w:i/>
              </w:rPr>
              <w:t>Sponsor’s response</w:t>
            </w:r>
            <w:r w:rsidR="004C5BFB">
              <w:t>: The completed S</w:t>
            </w:r>
            <w:r w:rsidRPr="000B1382">
              <w:t>tudy CRAD001M2302, has been removed from the list of ongoing pharmacovigilance activities in the mo</w:t>
            </w:r>
            <w:r w:rsidR="004C5BFB">
              <w:t xml:space="preserve">st current EMA approved EU RMP version </w:t>
            </w:r>
            <w:r w:rsidRPr="000B1382">
              <w:t>12.1/11. The ASA v</w:t>
            </w:r>
            <w:r w:rsidR="004C5BFB">
              <w:t xml:space="preserve">ersion </w:t>
            </w:r>
            <w:r w:rsidRPr="000B1382">
              <w:t>7.0 has been updated to align with EU RMP v</w:t>
            </w:r>
            <w:r w:rsidR="004C5BFB">
              <w:t>ersion 12.1/11 and consequently, S</w:t>
            </w:r>
            <w:r w:rsidRPr="000B1382">
              <w:t>tudy CRAD001M2302 has also been removed from the list of ongoing safety concerns in A</w:t>
            </w:r>
            <w:r w:rsidR="004C5BFB">
              <w:t>SA version 7.0.</w:t>
            </w:r>
          </w:p>
        </w:tc>
      </w:tr>
      <w:tr w:rsidR="00DC039D" w:rsidRPr="00502C09" w14:paraId="53B81342" w14:textId="77777777" w:rsidTr="00DC039D">
        <w:tc>
          <w:tcPr>
            <w:tcW w:w="5000" w:type="pct"/>
            <w:noWrap/>
          </w:tcPr>
          <w:p w14:paraId="465F5E79" w14:textId="6705DCB1" w:rsidR="000B1382" w:rsidRPr="000B1382" w:rsidRDefault="000B1382" w:rsidP="00DD4D8C">
            <w:pPr>
              <w:ind w:left="173" w:right="173"/>
            </w:pPr>
            <w:r>
              <w:rPr>
                <w:b/>
              </w:rPr>
              <w:t>RMP e</w:t>
            </w:r>
            <w:r w:rsidRPr="000B1382">
              <w:rPr>
                <w:b/>
              </w:rPr>
              <w:t>valuator comment</w:t>
            </w:r>
            <w:r w:rsidRPr="000B1382">
              <w:t>: The ongoing pharmacovigilance activities have been updated in the RMP documents</w:t>
            </w:r>
            <w:r w:rsidR="00DC039D">
              <w:t>.</w:t>
            </w:r>
            <w:r w:rsidRPr="000B1382">
              <w:t xml:space="preserve"> The sp</w:t>
            </w:r>
            <w:r w:rsidR="004C5BFB">
              <w:t>onsor’s response is acceptable.</w:t>
            </w:r>
          </w:p>
        </w:tc>
      </w:tr>
      <w:tr w:rsidR="00DC039D" w:rsidRPr="00502C09" w14:paraId="24327342" w14:textId="77777777" w:rsidTr="000B0784">
        <w:tc>
          <w:tcPr>
            <w:tcW w:w="5000" w:type="pct"/>
            <w:shd w:val="clear" w:color="auto" w:fill="DADCDF" w:themeFill="background2" w:themeFillTint="33"/>
            <w:noWrap/>
          </w:tcPr>
          <w:p w14:paraId="57C7B9DF" w14:textId="0CF80D60" w:rsidR="000B1382" w:rsidRPr="000B1382" w:rsidRDefault="000B1382" w:rsidP="00DD4D8C">
            <w:pPr>
              <w:ind w:left="173" w:right="173"/>
            </w:pPr>
            <w:r w:rsidRPr="000B1382">
              <w:rPr>
                <w:b/>
              </w:rPr>
              <w:t xml:space="preserve">TGA recommendation 2: </w:t>
            </w:r>
            <w:r w:rsidRPr="000B1382">
              <w:t>The sponsor should append the targeted follow up questionnaires to the ASA.</w:t>
            </w:r>
          </w:p>
        </w:tc>
      </w:tr>
      <w:tr w:rsidR="00DC039D" w:rsidRPr="00502C09" w14:paraId="48DDC4A9" w14:textId="77777777" w:rsidTr="00DC039D">
        <w:tc>
          <w:tcPr>
            <w:tcW w:w="5000" w:type="pct"/>
            <w:noWrap/>
          </w:tcPr>
          <w:p w14:paraId="3E7C7D40" w14:textId="6360B1A6" w:rsidR="000B1382" w:rsidRPr="000B1382" w:rsidRDefault="000B1382" w:rsidP="00DD4D8C">
            <w:pPr>
              <w:ind w:left="173" w:right="173"/>
            </w:pPr>
            <w:r w:rsidRPr="00DC039D">
              <w:rPr>
                <w:i/>
              </w:rPr>
              <w:t>Sponsor’s response:</w:t>
            </w:r>
            <w:r w:rsidRPr="000B1382">
              <w:t xml:space="preserve"> The targeted follow-up questionnaires included in annex 7 of the EU RMP have also been attached to the ASA v</w:t>
            </w:r>
            <w:r w:rsidR="00DD4D8C">
              <w:t xml:space="preserve">ersion </w:t>
            </w:r>
            <w:r w:rsidRPr="000B1382">
              <w:t>7.0. The reference to these questionnaires in the ASA v</w:t>
            </w:r>
            <w:r w:rsidR="00DD4D8C">
              <w:t xml:space="preserve">ersion 7.0, </w:t>
            </w:r>
            <w:r w:rsidRPr="000B1382">
              <w:t>has been updated to reference these questionnaires as an attachment to the ASA.</w:t>
            </w:r>
          </w:p>
        </w:tc>
      </w:tr>
      <w:tr w:rsidR="00DC039D" w:rsidRPr="00502C09" w14:paraId="4D867734" w14:textId="77777777" w:rsidTr="00DC039D">
        <w:tc>
          <w:tcPr>
            <w:tcW w:w="5000" w:type="pct"/>
            <w:noWrap/>
          </w:tcPr>
          <w:p w14:paraId="7ECE5B03" w14:textId="77777777" w:rsidR="000B1382" w:rsidRPr="000B1382" w:rsidRDefault="000B1382" w:rsidP="00DD4D8C">
            <w:pPr>
              <w:ind w:left="173" w:right="173"/>
            </w:pPr>
            <w:r w:rsidRPr="00DC039D">
              <w:rPr>
                <w:b/>
              </w:rPr>
              <w:t>RMP Evaluator comment</w:t>
            </w:r>
            <w:r w:rsidRPr="000B1382">
              <w:t>: The follow-up questionnaires are attached to the ASA. The sponsor’s response is acceptable.</w:t>
            </w:r>
          </w:p>
        </w:tc>
      </w:tr>
      <w:tr w:rsidR="00DC039D" w:rsidRPr="00502C09" w14:paraId="6EE4E0CF" w14:textId="77777777" w:rsidTr="000B0784">
        <w:tc>
          <w:tcPr>
            <w:tcW w:w="5000" w:type="pct"/>
            <w:shd w:val="clear" w:color="auto" w:fill="DADCDF" w:themeFill="background2" w:themeFillTint="33"/>
            <w:noWrap/>
          </w:tcPr>
          <w:p w14:paraId="3A97DC22" w14:textId="7D3459FE" w:rsidR="000B1382" w:rsidRPr="000B1382" w:rsidRDefault="000B1382" w:rsidP="00DD4D8C">
            <w:pPr>
              <w:ind w:left="173" w:right="173"/>
            </w:pPr>
            <w:r w:rsidRPr="000B1382">
              <w:rPr>
                <w:b/>
              </w:rPr>
              <w:t>TGA recommendation 3</w:t>
            </w:r>
            <w:r w:rsidRPr="00DC039D">
              <w:t xml:space="preserve">: </w:t>
            </w:r>
            <w:r w:rsidRPr="000B1382">
              <w:t xml:space="preserve">Product information document be revised to reflect the proposed indication for ‘treatment of NET of GI and lung origin’ in ‘Dosage and </w:t>
            </w:r>
            <w:r w:rsidRPr="000B1382">
              <w:lastRenderedPageBreak/>
              <w:t>administration’.</w:t>
            </w:r>
          </w:p>
        </w:tc>
      </w:tr>
      <w:tr w:rsidR="00DC039D" w:rsidRPr="00502C09" w14:paraId="2EC0A899" w14:textId="77777777" w:rsidTr="00DC039D">
        <w:trPr>
          <w:trHeight w:val="180"/>
        </w:trPr>
        <w:tc>
          <w:tcPr>
            <w:tcW w:w="5000" w:type="pct"/>
            <w:noWrap/>
          </w:tcPr>
          <w:p w14:paraId="5D916AF2" w14:textId="0F8C22A5" w:rsidR="000B1382" w:rsidRPr="000B1382" w:rsidRDefault="000B1382" w:rsidP="00DD4D8C">
            <w:pPr>
              <w:ind w:left="173" w:right="173"/>
            </w:pPr>
            <w:r w:rsidRPr="00DC039D">
              <w:rPr>
                <w:i/>
              </w:rPr>
              <w:lastRenderedPageBreak/>
              <w:t>Sponsor’s response</w:t>
            </w:r>
            <w:r w:rsidRPr="000B1382">
              <w:t>: No comment made</w:t>
            </w:r>
            <w:r w:rsidR="00DD4D8C">
              <w:t>.</w:t>
            </w:r>
          </w:p>
        </w:tc>
      </w:tr>
      <w:tr w:rsidR="00DC039D" w:rsidRPr="00502C09" w14:paraId="0B774783" w14:textId="77777777" w:rsidTr="00DC039D">
        <w:trPr>
          <w:trHeight w:val="110"/>
        </w:trPr>
        <w:tc>
          <w:tcPr>
            <w:tcW w:w="5000" w:type="pct"/>
            <w:noWrap/>
          </w:tcPr>
          <w:p w14:paraId="3010B187" w14:textId="109947CD" w:rsidR="000B1382" w:rsidRPr="000B1382" w:rsidRDefault="000B1382" w:rsidP="00DD4D8C">
            <w:pPr>
              <w:ind w:left="173" w:right="173"/>
            </w:pPr>
            <w:r w:rsidRPr="00DC039D">
              <w:rPr>
                <w:b/>
              </w:rPr>
              <w:t>RMP Evaluator comment</w:t>
            </w:r>
            <w:r w:rsidRPr="000B1382">
              <w:t>: The PI has been updated appropriately in response t</w:t>
            </w:r>
            <w:r w:rsidR="00DC039D">
              <w:t>o similar comments made by the clinical e</w:t>
            </w:r>
            <w:r w:rsidRPr="000B1382">
              <w:t>valuator. The PI has been appended to the ASA document which is considered unn</w:t>
            </w:r>
            <w:r w:rsidR="00DD4D8C">
              <w:t>ecessary by the e</w:t>
            </w:r>
            <w:r w:rsidR="00DC039D">
              <w:t>valuator. The s</w:t>
            </w:r>
            <w:r w:rsidRPr="000B1382">
              <w:t>ponsor is requested to remove this from subsequent revisions.</w:t>
            </w:r>
          </w:p>
        </w:tc>
      </w:tr>
    </w:tbl>
    <w:p w14:paraId="304E4D60" w14:textId="77777777" w:rsidR="008E7846" w:rsidRPr="00114181" w:rsidRDefault="008E7846" w:rsidP="00114181">
      <w:pPr>
        <w:pStyle w:val="Heading4"/>
      </w:pPr>
      <w:r w:rsidRPr="00114181">
        <w:t xml:space="preserve">Summary of </w:t>
      </w:r>
      <w:r w:rsidR="003A7F6C" w:rsidRPr="00114181">
        <w:t>r</w:t>
      </w:r>
      <w:r w:rsidRPr="00114181">
        <w:t>ecommendations</w:t>
      </w:r>
    </w:p>
    <w:p w14:paraId="34C38D51" w14:textId="241CE521" w:rsidR="00DC039D" w:rsidRDefault="00DC039D" w:rsidP="00DC039D">
      <w:r w:rsidRPr="00DC039D">
        <w:t xml:space="preserve">It is considered that the sponsor’s response to </w:t>
      </w:r>
      <w:r>
        <w:t xml:space="preserve">TGA recommendations </w:t>
      </w:r>
      <w:r w:rsidRPr="00DC039D">
        <w:t>has adequately addressed all of the issues identified in the RMP evaluation report.</w:t>
      </w:r>
    </w:p>
    <w:p w14:paraId="25FF456A" w14:textId="5BA2E0DE" w:rsidR="000B1382" w:rsidRPr="000B1382" w:rsidRDefault="000B1382" w:rsidP="000B1382">
      <w:pPr>
        <w:pStyle w:val="Heading4"/>
        <w:rPr>
          <w:lang w:eastAsia="en-AU"/>
        </w:rPr>
      </w:pPr>
      <w:r w:rsidRPr="000B1382">
        <w:rPr>
          <w:lang w:eastAsia="en-AU"/>
        </w:rPr>
        <w:t>Suggested wording</w:t>
      </w:r>
      <w:r>
        <w:rPr>
          <w:lang w:eastAsia="en-AU"/>
        </w:rPr>
        <w:t xml:space="preserve"> for conditions of registration</w:t>
      </w:r>
    </w:p>
    <w:p w14:paraId="7BE542A0" w14:textId="129985AF" w:rsidR="000B1382" w:rsidRPr="000B1382" w:rsidRDefault="000B1382" w:rsidP="000B1382">
      <w:pPr>
        <w:rPr>
          <w:lang w:eastAsia="en-AU"/>
        </w:rPr>
      </w:pPr>
      <w:r w:rsidRPr="000B1382">
        <w:rPr>
          <w:lang w:eastAsia="en-AU"/>
        </w:rPr>
        <w:t>The suggested wording is</w:t>
      </w:r>
      <w:r>
        <w:rPr>
          <w:lang w:eastAsia="en-AU"/>
        </w:rPr>
        <w:t xml:space="preserve"> for the RMP/ASA is as follows</w:t>
      </w:r>
      <w:r w:rsidRPr="000B1382">
        <w:rPr>
          <w:lang w:eastAsia="en-AU"/>
        </w:rPr>
        <w:t>:</w:t>
      </w:r>
    </w:p>
    <w:p w14:paraId="7200DBDB" w14:textId="26AA46AB" w:rsidR="000B1382" w:rsidRPr="000B1382" w:rsidRDefault="000B1382" w:rsidP="000B1382">
      <w:pPr>
        <w:pStyle w:val="ListBullet"/>
        <w:rPr>
          <w:lang w:eastAsia="en-AU"/>
        </w:rPr>
      </w:pPr>
      <w:r w:rsidRPr="000B1382">
        <w:rPr>
          <w:lang w:eastAsia="en-AU"/>
        </w:rPr>
        <w:t>Implement European Union RMP Version 12.1 (Afinitor)/11 (Votubia) (dated 25 April 2016, DLP 31 March 2015) and Australian Specific Annex Version 7.0 (dated 11 July 2016) and any future updates as a condition of registration.</w:t>
      </w:r>
    </w:p>
    <w:p w14:paraId="2C45F64E" w14:textId="77777777" w:rsidR="008E7846" w:rsidRPr="00792A32" w:rsidRDefault="008E7846" w:rsidP="008E7846">
      <w:pPr>
        <w:pStyle w:val="Heading2"/>
      </w:pPr>
      <w:bookmarkStart w:id="129" w:name="_Toc314842510"/>
      <w:bookmarkStart w:id="130" w:name="_Toc493685109"/>
      <w:r>
        <w:t xml:space="preserve">VI.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76"/>
      <w:bookmarkEnd w:id="128"/>
      <w:bookmarkEnd w:id="129"/>
      <w:bookmarkEnd w:id="130"/>
    </w:p>
    <w:p w14:paraId="1306CA22" w14:textId="77777777" w:rsidR="008E7846" w:rsidRDefault="008E7846" w:rsidP="008E7846">
      <w:bookmarkStart w:id="131" w:name="_Toc247691528"/>
      <w:r>
        <w:t xml:space="preserve">The submission was summarised in the following </w:t>
      </w:r>
      <w:r w:rsidRPr="00EF5C48">
        <w:t xml:space="preserve">Delegate’s </w:t>
      </w:r>
      <w:r>
        <w:t>overview</w:t>
      </w:r>
      <w:r w:rsidRPr="00EF5C48">
        <w:t xml:space="preserve"> and recommendation</w:t>
      </w:r>
      <w:r>
        <w:t>s:</w:t>
      </w:r>
    </w:p>
    <w:p w14:paraId="06852BE2" w14:textId="77777777" w:rsidR="008E7846" w:rsidRDefault="008E7846" w:rsidP="008E7846">
      <w:pPr>
        <w:pStyle w:val="Heading3"/>
      </w:pPr>
      <w:bookmarkStart w:id="132" w:name="_Toc314842511"/>
      <w:bookmarkStart w:id="133" w:name="_Toc493685110"/>
      <w:r>
        <w:t>Quality</w:t>
      </w:r>
      <w:bookmarkEnd w:id="131"/>
      <w:bookmarkEnd w:id="132"/>
      <w:bookmarkEnd w:id="133"/>
    </w:p>
    <w:p w14:paraId="089FD3A3" w14:textId="7C56D4CC" w:rsidR="00114181" w:rsidRPr="00114181" w:rsidRDefault="00114181" w:rsidP="00114181">
      <w:r>
        <w:t>Quality</w:t>
      </w:r>
      <w:r w:rsidRPr="00114181">
        <w:t xml:space="preserve"> data provided with this submission detailed the tablet formulations for ba</w:t>
      </w:r>
      <w:r>
        <w:t>tches used in clinical studies.</w:t>
      </w:r>
    </w:p>
    <w:p w14:paraId="7686CE5B" w14:textId="05C8853A" w:rsidR="00114181" w:rsidRPr="00114181" w:rsidRDefault="00114181" w:rsidP="00114181">
      <w:r w:rsidRPr="00114181">
        <w:t xml:space="preserve">The </w:t>
      </w:r>
      <w:r>
        <w:t>quality e</w:t>
      </w:r>
      <w:r w:rsidRPr="00114181">
        <w:t>valuator</w:t>
      </w:r>
      <w:r>
        <w:t>’s</w:t>
      </w:r>
      <w:r w:rsidRPr="00114181">
        <w:t xml:space="preserve"> recommendation was</w:t>
      </w:r>
      <w:r>
        <w:t>:</w:t>
      </w:r>
    </w:p>
    <w:p w14:paraId="2CA77777" w14:textId="36373184" w:rsidR="00114181" w:rsidRPr="00114181" w:rsidRDefault="00114181" w:rsidP="00114181">
      <w:pPr>
        <w:ind w:left="720"/>
        <w:rPr>
          <w:i/>
        </w:rPr>
      </w:pPr>
      <w:r w:rsidRPr="00114181">
        <w:rPr>
          <w:i/>
        </w:rPr>
        <w:t>‘Study T2302 used 5 mg tablets as currently registered or pharmaceutically equivalent. The results of the Study relate directly to Australian Afinitor tablets.’</w:t>
      </w:r>
    </w:p>
    <w:p w14:paraId="05841A4A" w14:textId="7B7DEBE9" w:rsidR="00114181" w:rsidRPr="00114181" w:rsidRDefault="00114181" w:rsidP="00114181">
      <w:pPr>
        <w:pStyle w:val="Heading4"/>
      </w:pPr>
      <w:r>
        <w:t>Recommended condition</w:t>
      </w:r>
      <w:r w:rsidRPr="00114181">
        <w:t xml:space="preserve">s of registration for </w:t>
      </w:r>
      <w:r>
        <w:t>quality</w:t>
      </w:r>
      <w:r w:rsidRPr="00114181">
        <w:t xml:space="preserve"> issues</w:t>
      </w:r>
    </w:p>
    <w:p w14:paraId="3DF1330D" w14:textId="5A3F7A0E" w:rsidR="00730F8A" w:rsidRDefault="00114181" w:rsidP="008E7846">
      <w:r w:rsidRPr="00114181">
        <w:t>The</w:t>
      </w:r>
      <w:r w:rsidR="00581AD9">
        <w:t xml:space="preserve"> quality evaluator did not raise any</w:t>
      </w:r>
      <w:r w:rsidRPr="00114181">
        <w:t xml:space="preserve"> questions and no change was recommended.</w:t>
      </w:r>
    </w:p>
    <w:p w14:paraId="60A9252E" w14:textId="77777777" w:rsidR="008E7846" w:rsidRDefault="008E7846" w:rsidP="008E7846">
      <w:pPr>
        <w:pStyle w:val="Heading3"/>
      </w:pPr>
      <w:bookmarkStart w:id="134" w:name="_Toc314842512"/>
      <w:bookmarkStart w:id="135" w:name="_Toc493685111"/>
      <w:r>
        <w:t>Nonclinical</w:t>
      </w:r>
      <w:bookmarkEnd w:id="134"/>
      <w:bookmarkEnd w:id="135"/>
    </w:p>
    <w:p w14:paraId="43193DEF" w14:textId="1276F193" w:rsidR="008E7846" w:rsidRDefault="00114181" w:rsidP="00114181">
      <w:r>
        <w:t xml:space="preserve">No nonclinical data were included with this submission. </w:t>
      </w:r>
      <w:r w:rsidR="008E7846">
        <w:t>There was no requirement for a nonclinical evaluation in a submission of this type.</w:t>
      </w:r>
    </w:p>
    <w:p w14:paraId="3A69CBCC" w14:textId="77777777" w:rsidR="008E7846" w:rsidRDefault="008E7846" w:rsidP="008E7846">
      <w:pPr>
        <w:pStyle w:val="Heading3"/>
      </w:pPr>
      <w:bookmarkStart w:id="136" w:name="_Toc247691530"/>
      <w:bookmarkStart w:id="137" w:name="_Toc314842513"/>
      <w:bookmarkStart w:id="138" w:name="_Toc493685112"/>
      <w:r>
        <w:t>Clinical</w:t>
      </w:r>
      <w:bookmarkEnd w:id="136"/>
      <w:bookmarkEnd w:id="137"/>
      <w:bookmarkEnd w:id="138"/>
    </w:p>
    <w:p w14:paraId="0763B43E" w14:textId="33ED5E3B" w:rsidR="00114181" w:rsidRDefault="00114181" w:rsidP="00114181">
      <w:r w:rsidRPr="00114181">
        <w:t>T</w:t>
      </w:r>
      <w:r>
        <w:t xml:space="preserve">here was a single pivotal study, Study </w:t>
      </w:r>
      <w:r w:rsidR="00581AD9">
        <w:t>CRAD001T2302 (RADIANT-4)</w:t>
      </w:r>
      <w:r w:rsidRPr="00114181">
        <w:t>.</w:t>
      </w:r>
      <w:r w:rsidR="001766A0">
        <w:t xml:space="preserve"> The study overview is shown below in Table 10.</w:t>
      </w:r>
    </w:p>
    <w:p w14:paraId="468954FA" w14:textId="25816BB8" w:rsidR="00B9544D" w:rsidRPr="00114181" w:rsidRDefault="001766A0" w:rsidP="00B9544D">
      <w:pPr>
        <w:pStyle w:val="Tabletitle0"/>
      </w:pPr>
      <w:r>
        <w:lastRenderedPageBreak/>
        <w:t>Table 10</w:t>
      </w:r>
      <w:r w:rsidR="00B9544D">
        <w:t xml:space="preserve">. Study CRAD001T2302 </w:t>
      </w:r>
      <w:r w:rsidR="003727F1">
        <w:t xml:space="preserve">(RADIANT-4) </w:t>
      </w:r>
      <w:r w:rsidR="00B9544D">
        <w:t>overview</w:t>
      </w:r>
    </w:p>
    <w:p w14:paraId="17067110" w14:textId="77777777" w:rsidR="00114181" w:rsidRPr="00114181" w:rsidRDefault="00114181" w:rsidP="00114181">
      <w:r w:rsidRPr="00114181">
        <w:rPr>
          <w:noProof/>
          <w:lang w:eastAsia="en-AU"/>
        </w:rPr>
        <w:drawing>
          <wp:inline distT="0" distB="0" distL="0" distR="0" wp14:anchorId="537AA2E5" wp14:editId="6D238BBF">
            <wp:extent cx="5399554" cy="2101361"/>
            <wp:effectExtent l="0" t="0" r="10795" b="6985"/>
            <wp:docPr id="17" name="Picture 17" descr="Study CRAD001T2302 overview&#10;This study took place in 97 centres, in 25 countries. Design was multicentre, double blind, randomised (2:1), parallel group. This was a Phase 3, efficacy and safety study. Population was patients with histologically confirmed advanced (nonresectable or metastatic) low or intermediate non-functional NET of GI or lung origin (with measurable disease at Baseline with progression within 6 months prior to randomisation). 302 patients were treated, 2:1, with 205 recieving everolimus 10 mg/day plus best supportive care and 97 recieving placebo plus best supportive care. Patients were treated until disease progression, unnaceptable toxicity or death, unless withdrawal of concent. Endpoint was (primary) PFS. Secondary endpoints included OS, safety, tolerability, ORR/DCT/QoL, biomarkers and WHO PS sco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b="7821"/>
                    <a:stretch/>
                  </pic:blipFill>
                  <pic:spPr bwMode="auto">
                    <a:xfrm>
                      <a:off x="0" y="0"/>
                      <a:ext cx="5400040" cy="2101550"/>
                    </a:xfrm>
                    <a:prstGeom prst="rect">
                      <a:avLst/>
                    </a:prstGeom>
                    <a:noFill/>
                    <a:ln>
                      <a:noFill/>
                    </a:ln>
                    <a:extLst>
                      <a:ext uri="{53640926-AAD7-44D8-BBD7-CCE9431645EC}">
                        <a14:shadowObscured xmlns:a14="http://schemas.microsoft.com/office/drawing/2010/main"/>
                      </a:ext>
                    </a:extLst>
                  </pic:spPr>
                </pic:pic>
              </a:graphicData>
            </a:graphic>
          </wp:inline>
        </w:drawing>
      </w:r>
    </w:p>
    <w:p w14:paraId="69470487" w14:textId="77777777" w:rsidR="00114181" w:rsidRPr="00114181" w:rsidRDefault="00114181" w:rsidP="00114181">
      <w:pPr>
        <w:pStyle w:val="Heading4"/>
      </w:pPr>
      <w:r w:rsidRPr="00114181">
        <w:t>Pharmacology</w:t>
      </w:r>
    </w:p>
    <w:p w14:paraId="6D2C31AD" w14:textId="15F742B6" w:rsidR="00114181" w:rsidRPr="00114181" w:rsidRDefault="00114181" w:rsidP="00114181">
      <w:r w:rsidRPr="00114181">
        <w:t>The pivotal study in GIT/lung NETs collected a v</w:t>
      </w:r>
      <w:r w:rsidR="00FB116F">
        <w:t xml:space="preserve">ery limited amount of PK data. </w:t>
      </w:r>
      <w:r w:rsidRPr="00114181">
        <w:t xml:space="preserve">See </w:t>
      </w:r>
      <w:r w:rsidR="00FB116F">
        <w:t>Attachment 2 for further details</w:t>
      </w:r>
      <w:r w:rsidRPr="00114181">
        <w:t>. No significant new information was generated regarding the PK of everolimus.</w:t>
      </w:r>
    </w:p>
    <w:p w14:paraId="27A63EF5" w14:textId="581F150D" w:rsidR="00114181" w:rsidRPr="00114181" w:rsidRDefault="00114181" w:rsidP="00FB116F">
      <w:pPr>
        <w:pStyle w:val="Heading4"/>
      </w:pPr>
      <w:r w:rsidRPr="00114181">
        <w:t>Efficacy</w:t>
      </w:r>
      <w:r w:rsidR="00647FC6">
        <w:t xml:space="preserve"> (neuroendocrine tumours)</w:t>
      </w:r>
    </w:p>
    <w:p w14:paraId="740C8E78" w14:textId="3F075F23" w:rsidR="00114181" w:rsidRPr="00FB116F" w:rsidRDefault="00114181" w:rsidP="00114181">
      <w:r w:rsidRPr="00114181">
        <w:t>Study T2302 was a ra</w:t>
      </w:r>
      <w:r w:rsidR="00FB116F">
        <w:t>ndomised, double blind, placebo controlled Phase III study with 2 </w:t>
      </w:r>
      <w:r w:rsidRPr="00114181">
        <w:t>parallel groups (everol</w:t>
      </w:r>
      <w:r w:rsidR="00FB116F">
        <w:t>imus plus best supportive care (BSC)</w:t>
      </w:r>
      <w:r w:rsidRPr="00114181">
        <w:t xml:space="preserve">, n = 205 versus placebo plus BSC, n = 97). The study schema is </w:t>
      </w:r>
      <w:r w:rsidR="00FB116F">
        <w:t>provided in Attachment 2</w:t>
      </w:r>
      <w:r w:rsidRPr="00114181">
        <w:t xml:space="preserve">. At the time of data cut-off the median duration of follow-up was 21.3 months. The evaluator considered that the study </w:t>
      </w:r>
      <w:r w:rsidRPr="00114181">
        <w:rPr>
          <w:lang w:val="en-US"/>
        </w:rPr>
        <w:t>was well designed and executed.</w:t>
      </w:r>
    </w:p>
    <w:p w14:paraId="20C28BCE" w14:textId="77777777" w:rsidR="00114181" w:rsidRPr="00114181" w:rsidRDefault="00114181" w:rsidP="00FB116F">
      <w:pPr>
        <w:pStyle w:val="Heading5"/>
      </w:pPr>
      <w:r w:rsidRPr="00114181">
        <w:t>Inclusion and exclusion criteria</w:t>
      </w:r>
    </w:p>
    <w:p w14:paraId="01726AAB" w14:textId="7966F297" w:rsidR="00114181" w:rsidRPr="00114181" w:rsidRDefault="00114181" w:rsidP="00114181">
      <w:r w:rsidRPr="00114181">
        <w:t xml:space="preserve">Subjects had pathologically confirmed, well differentiated advanced (unresectable or metastatic) NET of GI or lung origin, with no history or active symptoms of carcinoid syndrome, and good </w:t>
      </w:r>
      <w:r w:rsidR="00895976">
        <w:t xml:space="preserve">World Health Organization </w:t>
      </w:r>
      <w:r w:rsidR="00895976" w:rsidRPr="007A5302">
        <w:t>(</w:t>
      </w:r>
      <w:r w:rsidRPr="007A5302">
        <w:t>WHO</w:t>
      </w:r>
      <w:r w:rsidR="00895976" w:rsidRPr="007A5302">
        <w:t>)</w:t>
      </w:r>
      <w:r w:rsidRPr="00114181">
        <w:t xml:space="preserve"> performance status (0 or 1) and no more than one prior line of chemotherapy. In addition to treatment-naïve patients, patients previously treated with SSA, interferon, up to one prior line of chemotherapy, and/or peptide radionuclide receptor therapy, w</w:t>
      </w:r>
      <w:r w:rsidR="007A5302">
        <w:t>ere allowed into the study. Pre-</w:t>
      </w:r>
      <w:r w:rsidRPr="00114181">
        <w:t xml:space="preserve">treated patients must have progressed on or after the last treatment. Patients had radiological documentation of disease progression within 6 months prior to randomisation and measurable disease according to </w:t>
      </w:r>
      <w:r w:rsidRPr="007A5302">
        <w:t>RECIST</w:t>
      </w:r>
      <w:r w:rsidRPr="00114181">
        <w:t xml:space="preserve"> </w:t>
      </w:r>
      <w:r w:rsidR="00895976">
        <w:t xml:space="preserve">version </w:t>
      </w:r>
      <w:r w:rsidRPr="00114181">
        <w:t>1.0.</w:t>
      </w:r>
      <w:r w:rsidR="00895976">
        <w:rPr>
          <w:rStyle w:val="FootnoteReference"/>
        </w:rPr>
        <w:footnoteReference w:id="21"/>
      </w:r>
    </w:p>
    <w:p w14:paraId="585F6CEE" w14:textId="66D5C427" w:rsidR="00114181" w:rsidRPr="00FB116F" w:rsidRDefault="00114181" w:rsidP="00114181">
      <w:r w:rsidRPr="00114181">
        <w:t>The clinical evaluator noted that subjects with functioning tumours were excluded; treatment in this group would be with SSA.</w:t>
      </w:r>
    </w:p>
    <w:p w14:paraId="5FE2B938" w14:textId="77777777" w:rsidR="00114181" w:rsidRPr="00114181" w:rsidRDefault="00114181" w:rsidP="00FB116F">
      <w:pPr>
        <w:pStyle w:val="Heading5"/>
      </w:pPr>
      <w:r w:rsidRPr="00114181">
        <w:t>Randomisation and interventions</w:t>
      </w:r>
    </w:p>
    <w:p w14:paraId="4C4CBB99" w14:textId="7F388DD7" w:rsidR="00114181" w:rsidRPr="00114181" w:rsidRDefault="00114181" w:rsidP="00114181">
      <w:r w:rsidRPr="00114181">
        <w:t>Subjects were randomised (2:1) to the everolimus 10 mg or placebo arm, st</w:t>
      </w:r>
      <w:r w:rsidR="00FB116F">
        <w:t>ratified by prior SSA treatment</w:t>
      </w:r>
      <w:r w:rsidRPr="00114181">
        <w:t xml:space="preserve"> (SSA continuously for ≥ 12 weeks any time </w:t>
      </w:r>
      <w:r w:rsidR="00FB116F">
        <w:t>prior to study), tumour origin</w:t>
      </w:r>
      <w:r w:rsidRPr="00114181">
        <w:t xml:space="preserve"> a</w:t>
      </w:r>
      <w:r w:rsidR="00FB116F">
        <w:t xml:space="preserve">nd WHO performance status (0 versus </w:t>
      </w:r>
      <w:r w:rsidRPr="00114181">
        <w:t>1).</w:t>
      </w:r>
      <w:r w:rsidR="00FB116F">
        <w:rPr>
          <w:rStyle w:val="FootnoteReference"/>
        </w:rPr>
        <w:footnoteReference w:id="22"/>
      </w:r>
      <w:r w:rsidRPr="00114181">
        <w:t xml:space="preserve"> Everolimus was supplied as 5 mg </w:t>
      </w:r>
      <w:r w:rsidRPr="00114181">
        <w:lastRenderedPageBreak/>
        <w:t>tablets. Treatment continued until disease progression, start of a new anticancer therapy, intolerable toxicity or withdrawal of consent. Study drug was taken continuously, in ‘cycles’ lasting 28 days. Patients in the placebo arm were not permitted to crossover to everolimus following disease progression.</w:t>
      </w:r>
    </w:p>
    <w:p w14:paraId="5B38F04B" w14:textId="19778772" w:rsidR="00114181" w:rsidRPr="00114181" w:rsidRDefault="007A5302" w:rsidP="00114181">
      <w:r>
        <w:t xml:space="preserve">BSC </w:t>
      </w:r>
      <w:r w:rsidR="00114181" w:rsidRPr="00114181">
        <w:t>included all care deemed necessary by the treating physician, excluding anti-tumour therapies; palliative radiation, surgery and SSA therapy for patients whose tumours became functional were permitted. Dose delays and reductions to 5</w:t>
      </w:r>
      <w:r>
        <w:t xml:space="preserve"> </w:t>
      </w:r>
      <w:r w:rsidR="00114181" w:rsidRPr="00114181">
        <w:t>mg daily, then 5 mg every other day were permitted in the event of toxicity prior to discontinuation.</w:t>
      </w:r>
    </w:p>
    <w:p w14:paraId="32674151" w14:textId="77777777" w:rsidR="00114181" w:rsidRPr="00114181" w:rsidRDefault="00114181" w:rsidP="00FB116F">
      <w:pPr>
        <w:pStyle w:val="Heading5"/>
      </w:pPr>
      <w:r w:rsidRPr="00114181">
        <w:t>Demographic and baseline characteristics</w:t>
      </w:r>
    </w:p>
    <w:p w14:paraId="3E41929F" w14:textId="00039C7E" w:rsidR="00114181" w:rsidRPr="00114181" w:rsidRDefault="00114181" w:rsidP="00114181">
      <w:r w:rsidRPr="00114181">
        <w:t>Median age was 63 years, 76% were Caucasian, approximatel</w:t>
      </w:r>
      <w:r w:rsidR="007A5302">
        <w:t>y 70% had tumours arising in</w:t>
      </w:r>
      <w:r w:rsidRPr="00114181">
        <w:t xml:space="preserve"> GI</w:t>
      </w:r>
      <w:r w:rsidR="007A5302">
        <w:t xml:space="preserve"> tissue</w:t>
      </w:r>
      <w:r w:rsidRPr="00114181">
        <w:t xml:space="preserve">, 30% </w:t>
      </w:r>
      <w:r w:rsidR="007A5302">
        <w:t xml:space="preserve">in </w:t>
      </w:r>
      <w:r w:rsidRPr="00114181">
        <w:t>lung, and the majority (94.7%) had dis</w:t>
      </w:r>
      <w:r w:rsidR="007A5302">
        <w:t>tant metastases. Overall the 2 </w:t>
      </w:r>
      <w:r w:rsidRPr="00114181">
        <w:t>treatment groups were reasonably well balanced wi</w:t>
      </w:r>
      <w:r w:rsidR="007A5302">
        <w:t>th respect to baseline factors.</w:t>
      </w:r>
    </w:p>
    <w:p w14:paraId="539E6A52" w14:textId="75687DD2" w:rsidR="00114181" w:rsidRPr="00114181" w:rsidRDefault="00114181" w:rsidP="00114181">
      <w:r w:rsidRPr="00114181">
        <w:t>Over 50% had received prior SSAs, mostly octreotide LAR</w:t>
      </w:r>
      <w:r w:rsidR="00FB116F">
        <w:t xml:space="preserve">. </w:t>
      </w:r>
      <w:r w:rsidRPr="00114181">
        <w:t>Around 80% had received any</w:t>
      </w:r>
      <w:r w:rsidR="00FB116F">
        <w:t xml:space="preserve"> prior antineoplastic therapy. </w:t>
      </w:r>
      <w:r w:rsidRPr="00114181">
        <w:t>Of note, in the placebo group a higher proportion</w:t>
      </w:r>
      <w:r w:rsidR="00FB116F">
        <w:t xml:space="preserve"> of subjects was male (54.6% versus</w:t>
      </w:r>
      <w:r w:rsidRPr="00114181">
        <w:t xml:space="preserve"> 43.4%) and also a greater proportion </w:t>
      </w:r>
      <w:r w:rsidR="00FB116F">
        <w:t>had prior surgery (72.2% versus</w:t>
      </w:r>
      <w:r w:rsidRPr="00114181">
        <w:t xml:space="preserve"> 59.0%). The clinical evaluator commented that these differences would be unlikely to influence the results of the study.</w:t>
      </w:r>
    </w:p>
    <w:p w14:paraId="7F61AC71" w14:textId="77777777" w:rsidR="00114181" w:rsidRPr="00114181" w:rsidRDefault="00114181" w:rsidP="00642A06">
      <w:pPr>
        <w:pStyle w:val="Heading5"/>
      </w:pPr>
      <w:r w:rsidRPr="00114181">
        <w:t>Efficacy assessment methodology</w:t>
      </w:r>
    </w:p>
    <w:p w14:paraId="61217764" w14:textId="62DBE6C9" w:rsidR="00114181" w:rsidRPr="00114181" w:rsidRDefault="00114181" w:rsidP="00114181">
      <w:r w:rsidRPr="00114181">
        <w:t xml:space="preserve">Subjects had </w:t>
      </w:r>
      <w:r w:rsidR="00642A06">
        <w:t>computerised tomography (</w:t>
      </w:r>
      <w:r w:rsidRPr="00114181">
        <w:t>CT</w:t>
      </w:r>
      <w:r w:rsidR="00642A06">
        <w:t>)</w:t>
      </w:r>
      <w:r w:rsidRPr="00114181">
        <w:t xml:space="preserve"> or </w:t>
      </w:r>
      <w:r w:rsidR="00642A06">
        <w:t>magnetic resonance imaging (</w:t>
      </w:r>
      <w:r w:rsidRPr="00114181">
        <w:t>MRI</w:t>
      </w:r>
      <w:r w:rsidR="00642A06">
        <w:t>)</w:t>
      </w:r>
      <w:r w:rsidRPr="00114181">
        <w:t xml:space="preserve"> scans of the chest, abdomen and pelvis at screening. Subsequent imaging was every 8 weeks after randomisation for the first 12 months and every 12 weeks thereafter until disease progression was documented or the subject commenced new anticancer therapy. Imaging of the abdomen was always required and imaging of the chest and pelvis was required if involvement of</w:t>
      </w:r>
      <w:r w:rsidR="00642A06">
        <w:t xml:space="preserve"> these areas was documented at B</w:t>
      </w:r>
      <w:r w:rsidR="007A5302">
        <w:t>aseline.</w:t>
      </w:r>
    </w:p>
    <w:p w14:paraId="5851A211" w14:textId="518829E9" w:rsidR="00114181" w:rsidRPr="00114181" w:rsidRDefault="00114181" w:rsidP="00114181">
      <w:r w:rsidRPr="00114181">
        <w:t>The FACT-G questionnaire was administered at randomisation and then every 8 weeks for the first 12 months and every 12 weeks thereafter.</w:t>
      </w:r>
    </w:p>
    <w:p w14:paraId="34789FBF" w14:textId="3B2F83F4" w:rsidR="00114181" w:rsidRPr="00114181" w:rsidRDefault="00114181" w:rsidP="00114181">
      <w:r w:rsidRPr="00114181">
        <w:t xml:space="preserve">The primary efficacy endpoint was </w:t>
      </w:r>
      <w:r w:rsidR="00642A06">
        <w:t>PFS</w:t>
      </w:r>
      <w:r w:rsidRPr="00114181">
        <w:t xml:space="preserve"> defined as the time from the date of randomisation to the date of first documented radiological progression or death due to any cause. Disease progression was defined according to a modified version of the </w:t>
      </w:r>
      <w:r w:rsidR="00642A06">
        <w:t>RECIST</w:t>
      </w:r>
      <w:r w:rsidRPr="00114181">
        <w:t xml:space="preserve"> version 1.0. Decision on progression was by a central independent review panel of diagnostic radiologists.</w:t>
      </w:r>
    </w:p>
    <w:p w14:paraId="7F882D85" w14:textId="18CB54C4" w:rsidR="00114181" w:rsidRPr="00114181" w:rsidRDefault="00114181" w:rsidP="00114181">
      <w:r w:rsidRPr="00114181">
        <w:t>Overall survival (OS) was the key secondary endpoint. Other secondary endpoints included overall response rate (ORR), and disease control rate (DCR) and Quality of Life</w:t>
      </w:r>
      <w:r w:rsidR="00642A06">
        <w:t xml:space="preserve"> (QoL)</w:t>
      </w:r>
      <w:r w:rsidRPr="00114181">
        <w:t>.</w:t>
      </w:r>
    </w:p>
    <w:p w14:paraId="1500288D" w14:textId="29D57121" w:rsidR="00114181" w:rsidRPr="00114181" w:rsidRDefault="00642A06" w:rsidP="00114181">
      <w:r>
        <w:t>QoL</w:t>
      </w:r>
      <w:r w:rsidR="00114181" w:rsidRPr="00114181">
        <w:t xml:space="preserve"> was assessed by the </w:t>
      </w:r>
      <w:r w:rsidR="00114181" w:rsidRPr="00114181">
        <w:rPr>
          <w:lang w:val="en-US"/>
        </w:rPr>
        <w:t>Functional</w:t>
      </w:r>
      <w:r>
        <w:rPr>
          <w:lang w:val="en-US"/>
        </w:rPr>
        <w:t xml:space="preserve"> Assessment of Cancer Therapy: </w:t>
      </w:r>
      <w:r w:rsidR="00114181" w:rsidRPr="00114181">
        <w:rPr>
          <w:lang w:val="en-US"/>
        </w:rPr>
        <w:t xml:space="preserve">General (FACT-G) instrument. Details of FACT-G from the CSR for T2302 are as follows: it </w:t>
      </w:r>
      <w:r w:rsidR="00114181" w:rsidRPr="00114181">
        <w:t xml:space="preserve">is comprised of 27 statements which patients need to endorse on a five-point scale (not at all, a little, somewhat, quite a bit, very much). The statements cover four subscales (Physical Well-being, Social/Family Well-Being, Emotional Well-Being, and Functional Well-Being). For the Total Score of 27 FACT-G items, minimally important difference is established as 3 to 7 points which represents 3.7% to 6.5% of total score. For each of four subscales on Physical </w:t>
      </w:r>
      <w:r>
        <w:t>Well-being, Social/Family Well-</w:t>
      </w:r>
      <w:r w:rsidR="00114181" w:rsidRPr="00114181">
        <w:t>Being, Emotional Well-Being, and Functional Well-Being, minimally important</w:t>
      </w:r>
      <w:r>
        <w:t xml:space="preserve"> difference is established as 2 or </w:t>
      </w:r>
      <w:r w:rsidR="00114181" w:rsidRPr="00114181">
        <w:t>3 points change.</w:t>
      </w:r>
      <w:r w:rsidR="00114181" w:rsidRPr="00114181">
        <w:rPr>
          <w:lang w:val="en-US"/>
        </w:rPr>
        <w:t xml:space="preserve"> </w:t>
      </w:r>
      <w:r w:rsidR="00114181" w:rsidRPr="00114181">
        <w:t>Higher scores indicate better quality of life. For this study, the specified endpoint of interest was time to definitive deterioration in FACT-G total score, where deterioration was defined as a decrease by</w:t>
      </w:r>
      <w:r>
        <w:t xml:space="preserve"> at least 7 points compared to B</w:t>
      </w:r>
      <w:r w:rsidR="00114181" w:rsidRPr="00114181">
        <w:t>aseline.</w:t>
      </w:r>
    </w:p>
    <w:p w14:paraId="76AC1E71" w14:textId="5ECE393E" w:rsidR="00114181" w:rsidRDefault="00114181" w:rsidP="00114181">
      <w:r w:rsidRPr="00114181">
        <w:t>The evaluator considered the efficacy</w:t>
      </w:r>
      <w:r w:rsidR="00642A06">
        <w:t xml:space="preserve"> endpoints were standard for a P</w:t>
      </w:r>
      <w:r w:rsidRPr="00114181">
        <w:t>hase III oncology study and consistent with the relevant EM</w:t>
      </w:r>
      <w:r w:rsidR="00642A06">
        <w:t>A guideline adopted by the TGA.</w:t>
      </w:r>
    </w:p>
    <w:p w14:paraId="21F01FBF" w14:textId="77777777" w:rsidR="00642A06" w:rsidRPr="00642A06" w:rsidRDefault="00642A06" w:rsidP="00D863B3">
      <w:pPr>
        <w:pStyle w:val="Heading5"/>
      </w:pPr>
      <w:r w:rsidRPr="00642A06">
        <w:lastRenderedPageBreak/>
        <w:t>Efficacy outcomes</w:t>
      </w:r>
    </w:p>
    <w:p w14:paraId="13FEB629" w14:textId="77777777" w:rsidR="00642A06" w:rsidRPr="00642A06" w:rsidRDefault="00642A06" w:rsidP="00D863B3">
      <w:pPr>
        <w:pStyle w:val="Heading6"/>
      </w:pPr>
      <w:r w:rsidRPr="00642A06">
        <w:t>Progression-free survival</w:t>
      </w:r>
    </w:p>
    <w:p w14:paraId="46CBA745" w14:textId="33C473B9" w:rsidR="00642A06" w:rsidRDefault="00642A06" w:rsidP="00642A06">
      <w:pPr>
        <w:rPr>
          <w:bCs/>
        </w:rPr>
      </w:pPr>
      <w:r w:rsidRPr="00642A06">
        <w:rPr>
          <w:bCs/>
        </w:rPr>
        <w:t>The analysis of PFS was conducted after a total of 178 PFS events had occurred</w:t>
      </w:r>
      <w:r w:rsidR="00D863B3">
        <w:rPr>
          <w:bCs/>
        </w:rPr>
        <w:t>.</w:t>
      </w:r>
    </w:p>
    <w:p w14:paraId="129859E6" w14:textId="75882854" w:rsidR="00D863B3" w:rsidRPr="00642A06" w:rsidRDefault="00030600" w:rsidP="00B95732">
      <w:pPr>
        <w:pStyle w:val="FigureTitle"/>
      </w:pPr>
      <w:r>
        <w:t>Figure 1.</w:t>
      </w:r>
      <w:r w:rsidR="00B95732">
        <w:t xml:space="preserve"> Kaplan-Meier analysis</w:t>
      </w:r>
      <w:r>
        <w:t xml:space="preserve"> of PFS</w:t>
      </w:r>
    </w:p>
    <w:p w14:paraId="0DDCD850" w14:textId="77777777" w:rsidR="00642A06" w:rsidRPr="00642A06" w:rsidRDefault="00642A06" w:rsidP="00642A06">
      <w:pPr>
        <w:rPr>
          <w:bCs/>
        </w:rPr>
      </w:pPr>
      <w:r w:rsidRPr="00642A06">
        <w:rPr>
          <w:noProof/>
          <w:lang w:eastAsia="en-AU"/>
        </w:rPr>
        <w:drawing>
          <wp:inline distT="0" distB="0" distL="0" distR="0" wp14:anchorId="7E734B93" wp14:editId="44B9FDF5">
            <wp:extent cx="4958382" cy="2716696"/>
            <wp:effectExtent l="0" t="0" r="0" b="7620"/>
            <wp:docPr id="9" name="Picture 2" descr="Kaplan-Meier analysis of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64162" cy="2719863"/>
                    </a:xfrm>
                    <a:prstGeom prst="rect">
                      <a:avLst/>
                    </a:prstGeom>
                    <a:noFill/>
                    <a:ln>
                      <a:noFill/>
                    </a:ln>
                  </pic:spPr>
                </pic:pic>
              </a:graphicData>
            </a:graphic>
          </wp:inline>
        </w:drawing>
      </w:r>
    </w:p>
    <w:p w14:paraId="2933BD7A" w14:textId="7D7588BB" w:rsidR="00642A06" w:rsidRPr="00642A06" w:rsidRDefault="00642A06" w:rsidP="00642A06">
      <w:r w:rsidRPr="00642A06">
        <w:t>Treatment with everolimus was associated with a significant reduction in the risk of a PFS event (HR = 0.48; 95%</w:t>
      </w:r>
      <w:r w:rsidR="00D863B3">
        <w:t xml:space="preserve"> </w:t>
      </w:r>
      <w:r w:rsidRPr="00642A06">
        <w:t>CI: 0.35 to 0.67; p</w:t>
      </w:r>
      <w:r w:rsidR="00D863B3">
        <w:t xml:space="preserve"> </w:t>
      </w:r>
      <w:r w:rsidRPr="00642A06">
        <w:t>&lt;</w:t>
      </w:r>
      <w:r w:rsidR="00D863B3">
        <w:t xml:space="preserve"> </w:t>
      </w:r>
      <w:r w:rsidRPr="00642A06">
        <w:t>0.001</w:t>
      </w:r>
      <w:r w:rsidR="00B95732">
        <w:t xml:space="preserve"> as shown in Figure 1 above</w:t>
      </w:r>
      <w:r w:rsidRPr="00642A06">
        <w:t>. Median PFS was in</w:t>
      </w:r>
      <w:r w:rsidR="00D863B3">
        <w:t>creased by 7.1 months (11.01 versus</w:t>
      </w:r>
      <w:r w:rsidRPr="00642A06">
        <w:t xml:space="preserve"> 3.91 months).</w:t>
      </w:r>
    </w:p>
    <w:p w14:paraId="40F8AD43" w14:textId="0A66DEC2" w:rsidR="00642A06" w:rsidRPr="00642A06" w:rsidRDefault="00642A06" w:rsidP="00642A06">
      <w:r w:rsidRPr="00642A06">
        <w:t xml:space="preserve">The results of PFS subgroup analyses are shown </w:t>
      </w:r>
      <w:r w:rsidR="00D863B3">
        <w:t xml:space="preserve">in Attachment 2. </w:t>
      </w:r>
      <w:r w:rsidRPr="00642A06">
        <w:t xml:space="preserve">The effect of everolimus was consistent for PFS by stratification factor per central review, with hazard ratios all </w:t>
      </w:r>
      <w:r w:rsidR="00D863B3">
        <w:t>&lt; </w:t>
      </w:r>
      <w:r w:rsidRPr="00642A06">
        <w:t xml:space="preserve">1.0 as shown </w:t>
      </w:r>
      <w:r w:rsidR="00B95732">
        <w:t>below in Figure 2</w:t>
      </w:r>
      <w:r w:rsidR="00CD0779">
        <w:t>.</w:t>
      </w:r>
    </w:p>
    <w:p w14:paraId="1F1BC92B" w14:textId="7AB76805" w:rsidR="00642A06" w:rsidRPr="00642A06" w:rsidRDefault="00B95732" w:rsidP="00B95732">
      <w:pPr>
        <w:pStyle w:val="FigureTitle"/>
      </w:pPr>
      <w:r>
        <w:t>Figure 2</w:t>
      </w:r>
      <w:r w:rsidR="00CD0779">
        <w:t>.</w:t>
      </w:r>
      <w:r w:rsidR="00F81D24">
        <w:t xml:space="preserve"> PFS analysis (hazard ratios) of everolimus</w:t>
      </w:r>
      <w:r>
        <w:t xml:space="preserve"> by central review stratification factors</w:t>
      </w:r>
    </w:p>
    <w:p w14:paraId="08014AB2" w14:textId="77777777" w:rsidR="00642A06" w:rsidRPr="00642A06" w:rsidRDefault="00642A06" w:rsidP="00642A06">
      <w:r w:rsidRPr="00642A06">
        <w:rPr>
          <w:noProof/>
          <w:lang w:eastAsia="en-AU"/>
        </w:rPr>
        <w:drawing>
          <wp:inline distT="0" distB="0" distL="0" distR="0" wp14:anchorId="038AB421" wp14:editId="221B25F3">
            <wp:extent cx="4960512" cy="2392017"/>
            <wp:effectExtent l="0" t="0" r="0" b="8890"/>
            <wp:docPr id="10" name="Picture 1" descr="Effect (hazard ratios) of everolimus for PFS by central review stratification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960342" cy="2391935"/>
                    </a:xfrm>
                    <a:prstGeom prst="rect">
                      <a:avLst/>
                    </a:prstGeom>
                    <a:noFill/>
                    <a:ln>
                      <a:noFill/>
                    </a:ln>
                  </pic:spPr>
                </pic:pic>
              </a:graphicData>
            </a:graphic>
          </wp:inline>
        </w:drawing>
      </w:r>
    </w:p>
    <w:p w14:paraId="605DDE4A" w14:textId="4049A964" w:rsidR="00642A06" w:rsidRDefault="00B95732" w:rsidP="00642A06">
      <w:r>
        <w:t>In post-hoc sub</w:t>
      </w:r>
      <w:r w:rsidR="00642A06" w:rsidRPr="00642A06">
        <w:t xml:space="preserve">group analyses of PFS some differences in efficacy were suggested between gender and race, as shown </w:t>
      </w:r>
      <w:r>
        <w:t>below in Figure 3</w:t>
      </w:r>
      <w:r w:rsidR="00CD0779">
        <w:t>.</w:t>
      </w:r>
    </w:p>
    <w:p w14:paraId="751DEBC9" w14:textId="7A64B0E9" w:rsidR="00CD0779" w:rsidRPr="00642A06" w:rsidRDefault="00680E16" w:rsidP="00CD0779">
      <w:pPr>
        <w:pStyle w:val="FigureTitle"/>
      </w:pPr>
      <w:r>
        <w:lastRenderedPageBreak/>
        <w:t>Figure 3</w:t>
      </w:r>
      <w:r w:rsidR="00CD0779">
        <w:t>.</w:t>
      </w:r>
      <w:r w:rsidR="00B95732">
        <w:t xml:space="preserve"> Post-hoc subgroup </w:t>
      </w:r>
      <w:r w:rsidR="00135755">
        <w:t>PFS analyses (hazard ratios)</w:t>
      </w:r>
    </w:p>
    <w:p w14:paraId="0C25B1A0" w14:textId="77777777" w:rsidR="00642A06" w:rsidRPr="00642A06" w:rsidRDefault="00642A06" w:rsidP="004A1194">
      <w:r w:rsidRPr="00642A06">
        <w:rPr>
          <w:noProof/>
          <w:lang w:eastAsia="en-AU"/>
        </w:rPr>
        <w:drawing>
          <wp:inline distT="0" distB="0" distL="0" distR="0" wp14:anchorId="097D8FA8" wp14:editId="333270D0">
            <wp:extent cx="5400040" cy="2523529"/>
            <wp:effectExtent l="0" t="0" r="0" b="0"/>
            <wp:docPr id="11" name="Picture 3" descr="Post-hoc subgroup analyses of 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2523529"/>
                    </a:xfrm>
                    <a:prstGeom prst="rect">
                      <a:avLst/>
                    </a:prstGeom>
                    <a:noFill/>
                    <a:ln>
                      <a:noFill/>
                    </a:ln>
                  </pic:spPr>
                </pic:pic>
              </a:graphicData>
            </a:graphic>
          </wp:inline>
        </w:drawing>
      </w:r>
    </w:p>
    <w:p w14:paraId="77292E01" w14:textId="6E130C7A" w:rsidR="00642A06" w:rsidRPr="00642A06" w:rsidRDefault="00642A06" w:rsidP="00642A06">
      <w:r w:rsidRPr="00642A06">
        <w:t>There was a trend towards a harmful effect for everolimus in the group of subjects who had tumours arising in the ileum (HR = 1.34; 95%</w:t>
      </w:r>
      <w:r w:rsidR="00CD0779">
        <w:t xml:space="preserve"> CI: 0.63 to</w:t>
      </w:r>
      <w:r w:rsidRPr="00642A06">
        <w:t xml:space="preserve"> 2.87), as shown </w:t>
      </w:r>
      <w:r w:rsidR="00F81D24">
        <w:t>in Figure 4</w:t>
      </w:r>
      <w:r w:rsidR="00CD0779">
        <w:t xml:space="preserve"> below.</w:t>
      </w:r>
    </w:p>
    <w:p w14:paraId="01D6D035" w14:textId="691E77C2" w:rsidR="00642A06" w:rsidRPr="00642A06" w:rsidRDefault="00F81D24" w:rsidP="00CD0779">
      <w:pPr>
        <w:pStyle w:val="FigureTitle"/>
      </w:pPr>
      <w:r>
        <w:t>Figure 4</w:t>
      </w:r>
      <w:r w:rsidR="00CD0779">
        <w:t>.</w:t>
      </w:r>
      <w:r>
        <w:t xml:space="preserve"> PFS analysis (hazard ratios) by site of primary tumour origin</w:t>
      </w:r>
    </w:p>
    <w:p w14:paraId="28FE2DD7" w14:textId="77777777" w:rsidR="00642A06" w:rsidRPr="00642A06" w:rsidRDefault="00642A06" w:rsidP="00642A06">
      <w:r w:rsidRPr="00642A06">
        <w:rPr>
          <w:noProof/>
          <w:lang w:eastAsia="en-AU"/>
        </w:rPr>
        <w:drawing>
          <wp:inline distT="0" distB="0" distL="0" distR="0" wp14:anchorId="6EE62CEA" wp14:editId="7F5C0208">
            <wp:extent cx="5400040" cy="2584973"/>
            <wp:effectExtent l="0" t="0" r="0" b="6350"/>
            <wp:docPr id="12" name="Picture 8" descr="PFS analysis (hazard ratios) by site of primary tumour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2584973"/>
                    </a:xfrm>
                    <a:prstGeom prst="rect">
                      <a:avLst/>
                    </a:prstGeom>
                    <a:noFill/>
                    <a:ln>
                      <a:noFill/>
                    </a:ln>
                  </pic:spPr>
                </pic:pic>
              </a:graphicData>
            </a:graphic>
          </wp:inline>
        </w:drawing>
      </w:r>
    </w:p>
    <w:p w14:paraId="4A7D00E5" w14:textId="101EC67B" w:rsidR="00642A06" w:rsidRPr="00642A06" w:rsidRDefault="00642A06" w:rsidP="00642A06">
      <w:r w:rsidRPr="00642A06">
        <w:t>For the subgroup analyses hazard ratios were calculated us</w:t>
      </w:r>
      <w:r w:rsidR="00CD0779">
        <w:t>ing unstratified Cox analysis.</w:t>
      </w:r>
    </w:p>
    <w:p w14:paraId="414A3CFC" w14:textId="6C089F8C" w:rsidR="00642A06" w:rsidRDefault="00642A06" w:rsidP="00642A06">
      <w:r w:rsidRPr="00642A06">
        <w:t>Further exploratory analyses using a stratified Cox analysis (using the three stratification factors at randomisation) and a stratified Cox analysis adjusted for baseline prognostic factors (such as tumour grade, prior chemotherapy, baseline biomarker levels, liver metastases and age) produced lower HRs for the ileum subgroup and reduced the variability between genders and races (</w:t>
      </w:r>
      <w:r w:rsidR="001766A0">
        <w:t>see Table 11</w:t>
      </w:r>
      <w:r w:rsidR="00CD0779">
        <w:t xml:space="preserve"> below</w:t>
      </w:r>
      <w:r w:rsidRPr="00642A06">
        <w:t xml:space="preserve">). The </w:t>
      </w:r>
      <w:r w:rsidR="00CD0779">
        <w:t>CSR</w:t>
      </w:r>
      <w:r w:rsidRPr="00642A06">
        <w:t xml:space="preserve"> for</w:t>
      </w:r>
      <w:r w:rsidR="00CD0779">
        <w:t xml:space="preserve"> Study T2302 </w:t>
      </w:r>
      <w:r w:rsidRPr="00642A06">
        <w:t>describes this as indicative of a confounding effect of other prognostic factors, including the known favourable prognosis for patients with small intestine (including jejunum and ileum</w:t>
      </w:r>
      <w:r w:rsidR="00E21B4C">
        <w:t>) as the primary tumour origin</w:t>
      </w:r>
      <w:r w:rsidR="00135755">
        <w:t>.</w:t>
      </w:r>
      <w:r w:rsidR="00E21B4C">
        <w:rPr>
          <w:rStyle w:val="FootnoteReference"/>
        </w:rPr>
        <w:footnoteReference w:id="23"/>
      </w:r>
      <w:r w:rsidR="00E21B4C">
        <w:rPr>
          <w:vertAlign w:val="superscript"/>
        </w:rPr>
        <w:t>,</w:t>
      </w:r>
      <w:r w:rsidR="00E21B4C">
        <w:rPr>
          <w:rStyle w:val="FootnoteReference"/>
        </w:rPr>
        <w:footnoteReference w:id="24"/>
      </w:r>
      <w:r w:rsidR="00135755">
        <w:t xml:space="preserve"> </w:t>
      </w:r>
      <w:r w:rsidRPr="00642A06">
        <w:t xml:space="preserve">It was proposed that the findings might be partly </w:t>
      </w:r>
      <w:r w:rsidRPr="00642A06">
        <w:lastRenderedPageBreak/>
        <w:t>due to a random effect (smaller sample size and large number of subgroup analyses) and to the low number of events in the group with better prognosis.</w:t>
      </w:r>
    </w:p>
    <w:p w14:paraId="420C8AA3" w14:textId="52B47EDA" w:rsidR="00CD0779" w:rsidRPr="00642A06" w:rsidRDefault="001766A0" w:rsidP="00CD0779">
      <w:pPr>
        <w:pStyle w:val="Tabletitle0"/>
      </w:pPr>
      <w:r>
        <w:t>Table 11</w:t>
      </w:r>
      <w:r w:rsidR="00CD0779">
        <w:t>.</w:t>
      </w:r>
      <w:r w:rsidR="00A5670F">
        <w:t xml:space="preserve"> Cox regression exploratory analyses of PFS (hazard ratio)</w:t>
      </w:r>
      <w:r w:rsidR="00E21B4C">
        <w:t xml:space="preserve"> </w:t>
      </w:r>
      <w:r w:rsidR="00A5670F">
        <w:t>by race, gender and primary site of tumour origin (ileum versus other site)</w:t>
      </w:r>
    </w:p>
    <w:p w14:paraId="58125694" w14:textId="77777777" w:rsidR="00642A06" w:rsidRPr="00642A06" w:rsidRDefault="00642A06" w:rsidP="00642A06">
      <w:r w:rsidRPr="00642A06">
        <w:rPr>
          <w:noProof/>
          <w:lang w:eastAsia="en-AU"/>
        </w:rPr>
        <w:drawing>
          <wp:inline distT="0" distB="0" distL="0" distR="0" wp14:anchorId="6E99D829" wp14:editId="72C2DC87">
            <wp:extent cx="5400040" cy="2328186"/>
            <wp:effectExtent l="0" t="0" r="0" b="0"/>
            <wp:docPr id="16" name="Picture 9" descr="Cox regression exploratory analyses of PFS (hazard ratio) by race, gender and primary site of tumour origin (ileum versus othe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400040" cy="2328186"/>
                    </a:xfrm>
                    <a:prstGeom prst="rect">
                      <a:avLst/>
                    </a:prstGeom>
                    <a:noFill/>
                    <a:ln>
                      <a:noFill/>
                    </a:ln>
                  </pic:spPr>
                </pic:pic>
              </a:graphicData>
            </a:graphic>
          </wp:inline>
        </w:drawing>
      </w:r>
    </w:p>
    <w:p w14:paraId="04EA900D" w14:textId="77777777" w:rsidR="00642A06" w:rsidRPr="00642A06" w:rsidRDefault="00642A06" w:rsidP="00CD0779">
      <w:pPr>
        <w:pStyle w:val="Heading6"/>
      </w:pPr>
      <w:r w:rsidRPr="00642A06">
        <w:t>Overall survival</w:t>
      </w:r>
    </w:p>
    <w:p w14:paraId="15F003E8" w14:textId="29EB412A" w:rsidR="00642A06" w:rsidRPr="00642A06" w:rsidRDefault="00642A06" w:rsidP="00642A06">
      <w:r w:rsidRPr="00642A06">
        <w:t>Interim analysis, with 70/302 patients having died, showed a trend towards improved survival with everolimus treatment (HR = 0.64; 95% CI: 0.40 to 1.05; p</w:t>
      </w:r>
      <w:r w:rsidR="00CD0779">
        <w:t xml:space="preserve"> </w:t>
      </w:r>
      <w:r w:rsidRPr="00642A06">
        <w:t>=</w:t>
      </w:r>
      <w:r w:rsidR="00CD0779">
        <w:t xml:space="preserve"> 0.037).</w:t>
      </w:r>
    </w:p>
    <w:p w14:paraId="33D2A024" w14:textId="210B7422" w:rsidR="00642A06" w:rsidRPr="00642A06" w:rsidRDefault="00642A06" w:rsidP="00642A06">
      <w:r w:rsidRPr="00642A06">
        <w:t xml:space="preserve">At </w:t>
      </w:r>
      <w:r w:rsidR="00CD0779">
        <w:t xml:space="preserve">the second round, </w:t>
      </w:r>
      <w:r w:rsidRPr="00642A06">
        <w:t xml:space="preserve">the sponsor provided a report on the results of the second interim analysis of overall survival from Study </w:t>
      </w:r>
      <w:r w:rsidR="00581AD9">
        <w:t>CRAD001T2302 (RADIANT-4)</w:t>
      </w:r>
      <w:r w:rsidRPr="00642A06">
        <w:t>; data cut-off date for inclusion in the report was 30 November 2015. The median duration of follow-up was 33.4 months (compared with a value of 21.3 months for the first interim analysis). A total of 101 deaths (33.4% of the population) had occurred (compared with 70 deaths fo</w:t>
      </w:r>
      <w:r w:rsidR="00CD0779">
        <w:t>r the first interim analysis).</w:t>
      </w:r>
    </w:p>
    <w:p w14:paraId="3619D3D4" w14:textId="41DDDC9E" w:rsidR="00642A06" w:rsidRPr="00642A06" w:rsidRDefault="00642A06" w:rsidP="00642A06">
      <w:r w:rsidRPr="00642A06">
        <w:t>Results of the analysis are summarised in</w:t>
      </w:r>
      <w:r w:rsidR="00CD0779">
        <w:t xml:space="preserve"> Attachment 2</w:t>
      </w:r>
      <w:r w:rsidRPr="00642A06">
        <w:t>. There was a trend towards improved survival with everolimus treatment (HR = 0.73; 95% CI: 0.48 to 1.11; p</w:t>
      </w:r>
      <w:r w:rsidR="00CD0779">
        <w:t xml:space="preserve"> </w:t>
      </w:r>
      <w:r w:rsidRPr="00642A06">
        <w:t>=</w:t>
      </w:r>
      <w:r w:rsidR="00CD0779">
        <w:t xml:space="preserve"> </w:t>
      </w:r>
      <w:r w:rsidRPr="00642A06">
        <w:t>0.071) but the result was not statistically significant and is</w:t>
      </w:r>
      <w:r w:rsidR="00CD0779">
        <w:t xml:space="preserve"> similar to the first analysis.</w:t>
      </w:r>
    </w:p>
    <w:p w14:paraId="11AE16B1" w14:textId="2F8A90C4" w:rsidR="00642A06" w:rsidRPr="00642A06" w:rsidRDefault="00642A06" w:rsidP="00642A06">
      <w:r w:rsidRPr="00642A06">
        <w:t xml:space="preserve">A greater proportion of subjects in the placebo arm had received further antineoplastic therapy after </w:t>
      </w:r>
      <w:r w:rsidR="00CD0779">
        <w:t>study discontinuation (62.9% versus 50.7%</w:t>
      </w:r>
      <w:r w:rsidRPr="00642A06">
        <w:t>). However, only 4.1% of subjects randomised to placebo had received everolimus after study discontinuation. The sponsor estimates that the 191 deaths necessary for the final analysis will not occur until 2021/2022.</w:t>
      </w:r>
    </w:p>
    <w:p w14:paraId="5EA938E6" w14:textId="77777777" w:rsidR="00642A06" w:rsidRPr="00642A06" w:rsidRDefault="00642A06" w:rsidP="00CD0779">
      <w:pPr>
        <w:pStyle w:val="Heading6"/>
      </w:pPr>
      <w:r w:rsidRPr="00642A06">
        <w:t>Overall response rate</w:t>
      </w:r>
    </w:p>
    <w:p w14:paraId="0D78777C" w14:textId="7ADC8295" w:rsidR="00642A06" w:rsidRPr="00CD0779" w:rsidRDefault="00CD0779" w:rsidP="00642A06">
      <w:r>
        <w:t>T</w:t>
      </w:r>
      <w:r w:rsidR="00642A06" w:rsidRPr="00642A06">
        <w:t xml:space="preserve">here was no significant difference for overall response but the </w:t>
      </w:r>
      <w:r>
        <w:t xml:space="preserve">DCR </w:t>
      </w:r>
      <w:r w:rsidR="00642A06" w:rsidRPr="00642A06">
        <w:t>was better for everolimus.</w:t>
      </w:r>
      <w:r>
        <w:t xml:space="preserve"> </w:t>
      </w:r>
      <w:r w:rsidRPr="00642A06">
        <w:t xml:space="preserve">See </w:t>
      </w:r>
      <w:r>
        <w:t>Attachment 2 for further details.</w:t>
      </w:r>
    </w:p>
    <w:p w14:paraId="618C7D87" w14:textId="77777777" w:rsidR="00642A06" w:rsidRPr="00642A06" w:rsidRDefault="00642A06" w:rsidP="00CD0779">
      <w:pPr>
        <w:pStyle w:val="Heading6"/>
      </w:pPr>
      <w:r w:rsidRPr="00642A06">
        <w:t>Quality of life</w:t>
      </w:r>
    </w:p>
    <w:p w14:paraId="733AA7D4" w14:textId="07291F84" w:rsidR="00642A06" w:rsidRPr="00CD0779" w:rsidRDefault="00642A06" w:rsidP="00642A06">
      <w:r w:rsidRPr="00642A06">
        <w:t>There was no significant difference between treatment arms for FACT-G questionnaire or WHO performance status; see</w:t>
      </w:r>
      <w:r w:rsidR="00CD0779">
        <w:t xml:space="preserve"> Attachment 2 for further details.</w:t>
      </w:r>
    </w:p>
    <w:p w14:paraId="670FF455" w14:textId="77777777" w:rsidR="00CD0779" w:rsidRDefault="00642A06" w:rsidP="00CD0779">
      <w:pPr>
        <w:pStyle w:val="Heading6"/>
      </w:pPr>
      <w:r w:rsidRPr="00642A06">
        <w:t>Biomarkers</w:t>
      </w:r>
    </w:p>
    <w:p w14:paraId="4C59892B" w14:textId="1EFCA65E" w:rsidR="00642A06" w:rsidRDefault="00642A06" w:rsidP="00114181">
      <w:r w:rsidRPr="00642A06">
        <w:t>Increases over t</w:t>
      </w:r>
      <w:r w:rsidR="00CD0779">
        <w:t>ime were higher in placebo arm.</w:t>
      </w:r>
    </w:p>
    <w:p w14:paraId="43ECB5B5" w14:textId="77777777" w:rsidR="00647FC6" w:rsidRPr="00647FC6" w:rsidRDefault="00647FC6" w:rsidP="00430F0C">
      <w:pPr>
        <w:pStyle w:val="Heading5"/>
      </w:pPr>
      <w:r w:rsidRPr="00647FC6">
        <w:t>Tuberous sclerosis complex</w:t>
      </w:r>
    </w:p>
    <w:p w14:paraId="09D7E25C" w14:textId="63093127" w:rsidR="00647FC6" w:rsidRPr="00647FC6" w:rsidRDefault="00647FC6" w:rsidP="00647FC6">
      <w:r w:rsidRPr="00647FC6">
        <w:t xml:space="preserve">Final study reports were provided for three studies that were the basis for TGA approval of treatment for two manifestations of TSC, </w:t>
      </w:r>
      <w:r>
        <w:t>SEGA</w:t>
      </w:r>
      <w:r w:rsidRPr="00647FC6">
        <w:t xml:space="preserve"> and renal angiomyolipoma, Studies C2485 and M2301 (SEGA), and </w:t>
      </w:r>
      <w:r>
        <w:t xml:space="preserve">Study </w:t>
      </w:r>
      <w:r w:rsidRPr="00647FC6">
        <w:t xml:space="preserve">M2302 (renal angiomyolipoma). See </w:t>
      </w:r>
      <w:r>
        <w:lastRenderedPageBreak/>
        <w:t>Attachment 2 for further details</w:t>
      </w:r>
      <w:r w:rsidRPr="00647FC6">
        <w:t>. The evaluator considered that the data from the TSC studies demonstrated that efficacy of everolimus is maintained in these indications with long-term use.</w:t>
      </w:r>
    </w:p>
    <w:p w14:paraId="3A139301" w14:textId="77777777" w:rsidR="00647FC6" w:rsidRPr="00647FC6" w:rsidRDefault="00647FC6" w:rsidP="00430F0C">
      <w:pPr>
        <w:pStyle w:val="Heading5"/>
      </w:pPr>
      <w:r w:rsidRPr="00647FC6">
        <w:t>Efficacy conclusions</w:t>
      </w:r>
    </w:p>
    <w:p w14:paraId="12EA5326" w14:textId="03E4E06C" w:rsidR="00647FC6" w:rsidRPr="00647FC6" w:rsidRDefault="00647FC6" w:rsidP="00647FC6">
      <w:r w:rsidRPr="00647FC6">
        <w:t>The Delegate agrees wi</w:t>
      </w:r>
      <w:r>
        <w:t>th the clinical evaluator that S</w:t>
      </w:r>
      <w:r w:rsidRPr="00647FC6">
        <w:t xml:space="preserve">tudy T2302 complied with relevant guidelines and demonstrated prolongation of median </w:t>
      </w:r>
      <w:r>
        <w:t>PFS</w:t>
      </w:r>
      <w:r w:rsidRPr="00647FC6">
        <w:t xml:space="preserve"> of approximately 7 m</w:t>
      </w:r>
      <w:r>
        <w:t xml:space="preserve">onths in the study population. </w:t>
      </w:r>
      <w:r w:rsidRPr="00647FC6">
        <w:t>This is comparable to that seen with other agents with</w:t>
      </w:r>
      <w:r w:rsidR="00A5670F">
        <w:t xml:space="preserve"> approval for treatment for NETs</w:t>
      </w:r>
      <w:r w:rsidRPr="00647FC6">
        <w:t xml:space="preserve"> with PFS</w:t>
      </w:r>
      <w:r>
        <w:t>.</w:t>
      </w:r>
    </w:p>
    <w:p w14:paraId="4284938C" w14:textId="77777777" w:rsidR="00647FC6" w:rsidRPr="00647FC6" w:rsidRDefault="00647FC6" w:rsidP="000B0784">
      <w:pPr>
        <w:pStyle w:val="Heading5"/>
      </w:pPr>
      <w:r w:rsidRPr="00647FC6">
        <w:t>Issues</w:t>
      </w:r>
    </w:p>
    <w:p w14:paraId="45DDF8CD" w14:textId="42209257" w:rsidR="00647FC6" w:rsidRPr="00647FC6" w:rsidRDefault="00647FC6" w:rsidP="00647FC6">
      <w:r w:rsidRPr="00647FC6">
        <w:t xml:space="preserve">Considering that in Australia octreotide has an indication for treatment of NETs of midgut origin, it might be considered that placebo treatment was not appropriate for the study patient group, but SSAs were not available as treatment for the complete study population. Overall 50% of the subjects had previously been exposed to octreotide, median duration 15 months. </w:t>
      </w:r>
    </w:p>
    <w:p w14:paraId="32F32804" w14:textId="3A3C2679" w:rsidR="00647FC6" w:rsidRPr="00647FC6" w:rsidRDefault="00647FC6" w:rsidP="00647FC6">
      <w:r w:rsidRPr="00647FC6">
        <w:t>In post-hoc analyses there was a trend towards a harmful effect for everolimus in the group of subjects who had tumours arising in the ileum (HR = 1.34; 95%</w:t>
      </w:r>
      <w:r>
        <w:t xml:space="preserve"> CI: 0.63 to</w:t>
      </w:r>
      <w:r w:rsidRPr="00647FC6">
        <w:t xml:space="preserve"> 2.87). </w:t>
      </w:r>
      <w:r w:rsidRPr="007B3DB0">
        <w:t>This aspect is n</w:t>
      </w:r>
      <w:r w:rsidR="007B3DB0" w:rsidRPr="007B3DB0">
        <w:t>ot included in the proposed PI.</w:t>
      </w:r>
    </w:p>
    <w:p w14:paraId="3552E185" w14:textId="77777777" w:rsidR="00647FC6" w:rsidRPr="00647FC6" w:rsidRDefault="00647FC6" w:rsidP="00647FC6">
      <w:pPr>
        <w:pStyle w:val="Heading4"/>
      </w:pPr>
      <w:r w:rsidRPr="00647FC6">
        <w:t>Safety</w:t>
      </w:r>
    </w:p>
    <w:p w14:paraId="3CD8EF5F" w14:textId="77777777" w:rsidR="00647FC6" w:rsidRPr="00647FC6" w:rsidRDefault="00647FC6" w:rsidP="00430F0C">
      <w:pPr>
        <w:pStyle w:val="Heading5"/>
      </w:pPr>
      <w:r w:rsidRPr="00647FC6">
        <w:t>Exposure</w:t>
      </w:r>
    </w:p>
    <w:p w14:paraId="6963F650" w14:textId="3738A62A" w:rsidR="00647FC6" w:rsidRPr="00647FC6" w:rsidRDefault="00647FC6" w:rsidP="00647FC6">
      <w:r w:rsidRPr="00647FC6">
        <w:t xml:space="preserve">In </w:t>
      </w:r>
      <w:r w:rsidR="00430F0C">
        <w:t xml:space="preserve">Study </w:t>
      </w:r>
      <w:r w:rsidRPr="00647FC6">
        <w:t xml:space="preserve">T2302 the safety analysis set consisted of 300 subjects, everolimus n = </w:t>
      </w:r>
      <w:r w:rsidR="00430F0C">
        <w:t xml:space="preserve">202 and placebo n = 98. </w:t>
      </w:r>
      <w:r w:rsidRPr="00647FC6">
        <w:t xml:space="preserve">Details of duration of exposure are summarised </w:t>
      </w:r>
      <w:r w:rsidR="00430F0C">
        <w:t>in Attachment 2.</w:t>
      </w:r>
    </w:p>
    <w:p w14:paraId="3A49C5A0" w14:textId="476522FC" w:rsidR="00647FC6" w:rsidRPr="00430F0C" w:rsidRDefault="00647FC6" w:rsidP="00647FC6">
      <w:r w:rsidRPr="00647FC6">
        <w:t xml:space="preserve">Duration of exposure to study drug was longer for everolimus than placebo </w:t>
      </w:r>
      <w:r w:rsidR="00430F0C">
        <w:t>(median duration: 40.43 versus</w:t>
      </w:r>
      <w:r w:rsidRPr="00647FC6">
        <w:t xml:space="preserve"> 19.64 weeks; pati</w:t>
      </w:r>
      <w:r w:rsidR="00430F0C">
        <w:t>ent-years of exposure: 180.7 versus</w:t>
      </w:r>
      <w:r w:rsidRPr="00647FC6">
        <w:t xml:space="preserve"> 65.8). For everolimus 137 subjects were treated for at least 24 weeks and 86 for at least 48 weeks</w:t>
      </w:r>
      <w:r w:rsidR="00D00E10">
        <w:t>.</w:t>
      </w:r>
    </w:p>
    <w:p w14:paraId="3B2F4D70" w14:textId="66DB8B10" w:rsidR="00647FC6" w:rsidRPr="00647FC6" w:rsidRDefault="00A5670F" w:rsidP="00430F0C">
      <w:pPr>
        <w:pStyle w:val="Heading5"/>
      </w:pPr>
      <w:r>
        <w:t>Adverse e</w:t>
      </w:r>
      <w:r w:rsidR="00647FC6" w:rsidRPr="00647FC6">
        <w:t>vents</w:t>
      </w:r>
    </w:p>
    <w:p w14:paraId="30804C24" w14:textId="670AFD41" w:rsidR="00647FC6" w:rsidRPr="00262D84" w:rsidRDefault="00647FC6" w:rsidP="00647FC6">
      <w:pPr>
        <w:rPr>
          <w:bCs/>
        </w:rPr>
      </w:pPr>
      <w:r w:rsidRPr="00647FC6">
        <w:rPr>
          <w:bCs/>
        </w:rPr>
        <w:t xml:space="preserve">Common AEs (those occurring in &gt; 10% of subjects in either arm) are summarised in </w:t>
      </w:r>
      <w:r w:rsidR="00262D84">
        <w:rPr>
          <w:bCs/>
        </w:rPr>
        <w:t>in Attachment 2</w:t>
      </w:r>
      <w:r w:rsidRPr="00647FC6">
        <w:rPr>
          <w:bCs/>
        </w:rPr>
        <w:t xml:space="preserve">. Toxicities that occurred more frequently in the everolimus arm included </w:t>
      </w:r>
      <w:r w:rsidRPr="00647FC6">
        <w:rPr>
          <w:bCs/>
          <w:lang w:val="en-US"/>
        </w:rPr>
        <w:t>GIT toxicity (stomatitis, diarrhoea, nausea, decreased appetite, dysgeusia);</w:t>
      </w:r>
      <w:r w:rsidRPr="00647FC6">
        <w:rPr>
          <w:bCs/>
        </w:rPr>
        <w:t xml:space="preserve"> </w:t>
      </w:r>
      <w:r w:rsidRPr="00647FC6">
        <w:rPr>
          <w:bCs/>
          <w:lang w:val="en-US"/>
        </w:rPr>
        <w:t>Skin toxicity (rash, pruritus);</w:t>
      </w:r>
      <w:r w:rsidRPr="00647FC6">
        <w:rPr>
          <w:bCs/>
        </w:rPr>
        <w:t xml:space="preserve"> </w:t>
      </w:r>
      <w:r w:rsidRPr="00647FC6">
        <w:rPr>
          <w:bCs/>
          <w:lang w:val="en-US"/>
        </w:rPr>
        <w:t>Respiratory toxicity (cough, dyspnoea, pneumonitis);</w:t>
      </w:r>
      <w:r w:rsidRPr="00647FC6">
        <w:rPr>
          <w:bCs/>
        </w:rPr>
        <w:t xml:space="preserve"> </w:t>
      </w:r>
      <w:r w:rsidRPr="00647FC6">
        <w:rPr>
          <w:bCs/>
          <w:lang w:val="en-US"/>
        </w:rPr>
        <w:t>Asthenia;</w:t>
      </w:r>
      <w:r w:rsidRPr="00647FC6">
        <w:rPr>
          <w:bCs/>
        </w:rPr>
        <w:t xml:space="preserve"> </w:t>
      </w:r>
      <w:r w:rsidRPr="00647FC6">
        <w:rPr>
          <w:bCs/>
          <w:lang w:val="en-US"/>
        </w:rPr>
        <w:t>Pyrexia;</w:t>
      </w:r>
      <w:r w:rsidRPr="00647FC6">
        <w:rPr>
          <w:bCs/>
        </w:rPr>
        <w:t xml:space="preserve"> </w:t>
      </w:r>
      <w:r w:rsidRPr="00647FC6">
        <w:rPr>
          <w:bCs/>
          <w:lang w:val="en-US"/>
        </w:rPr>
        <w:t>Peripheral oedema;</w:t>
      </w:r>
      <w:r w:rsidRPr="00647FC6">
        <w:rPr>
          <w:bCs/>
        </w:rPr>
        <w:t xml:space="preserve"> </w:t>
      </w:r>
      <w:r w:rsidRPr="00647FC6">
        <w:rPr>
          <w:bCs/>
          <w:lang w:val="en-US"/>
        </w:rPr>
        <w:t>Hyperglycaemia;</w:t>
      </w:r>
      <w:r w:rsidRPr="00647FC6">
        <w:rPr>
          <w:bCs/>
        </w:rPr>
        <w:t xml:space="preserve"> </w:t>
      </w:r>
      <w:r w:rsidRPr="00647FC6">
        <w:rPr>
          <w:bCs/>
          <w:lang w:val="en-US"/>
        </w:rPr>
        <w:t>Anaemia;</w:t>
      </w:r>
      <w:r w:rsidRPr="00647FC6">
        <w:rPr>
          <w:bCs/>
        </w:rPr>
        <w:t xml:space="preserve"> </w:t>
      </w:r>
      <w:r w:rsidRPr="00647FC6">
        <w:rPr>
          <w:bCs/>
          <w:lang w:val="en-US"/>
        </w:rPr>
        <w:t>Hypertension.</w:t>
      </w:r>
    </w:p>
    <w:p w14:paraId="24BCF37D" w14:textId="1D147476" w:rsidR="00647FC6" w:rsidRPr="00647FC6" w:rsidRDefault="00D17E0C" w:rsidP="00647FC6">
      <w:r>
        <w:t xml:space="preserve">Common treatment </w:t>
      </w:r>
      <w:r w:rsidR="00647FC6" w:rsidRPr="00647FC6">
        <w:t xml:space="preserve">related AEs (those occurring in &gt; 10% of subjects in either arm) are </w:t>
      </w:r>
      <w:r w:rsidR="00262D84">
        <w:t>detailed in Attachment 2</w:t>
      </w:r>
      <w:r w:rsidR="00647FC6" w:rsidRPr="00647FC6">
        <w:t xml:space="preserve">. </w:t>
      </w:r>
      <w:r w:rsidR="00262D84">
        <w:t xml:space="preserve">The most frequent Grade 3 or </w:t>
      </w:r>
      <w:r>
        <w:t>4 reactions for everolimus versus</w:t>
      </w:r>
      <w:r w:rsidR="00647FC6" w:rsidRPr="00647FC6">
        <w:t xml:space="preserve"> p</w:t>
      </w:r>
      <w:r w:rsidR="00262D84">
        <w:t>lacebo were stomatitis (7.4% versus 0), diarrhoea (7.4% versus 2%), anaemia (4% versus 1%), fatigue (3.5% versus 1%), hyperglycaemia (3.5% versus 0) peripheral oedema (2% versus</w:t>
      </w:r>
      <w:r w:rsidR="00647FC6" w:rsidRPr="00647FC6">
        <w:t xml:space="preserve"> 1%)</w:t>
      </w:r>
      <w:r w:rsidR="00262D84">
        <w:t xml:space="preserve"> and pyrexia (2% versus 0).</w:t>
      </w:r>
    </w:p>
    <w:p w14:paraId="465BE3DE" w14:textId="4FDCEE01" w:rsidR="00647FC6" w:rsidRPr="00647FC6" w:rsidRDefault="00647FC6" w:rsidP="00647FC6">
      <w:r w:rsidRPr="00647FC6">
        <w:t>AEs lead to discontinuation more frequently across a rang</w:t>
      </w:r>
      <w:r w:rsidR="00262D84">
        <w:t>e of SOCs in the everolimus arm and are detailed in Attachment 2.</w:t>
      </w:r>
    </w:p>
    <w:p w14:paraId="44F9AF1E" w14:textId="69A371EE" w:rsidR="00647FC6" w:rsidRPr="00647FC6" w:rsidRDefault="00647FC6" w:rsidP="00647FC6">
      <w:r w:rsidRPr="00647FC6">
        <w:t>Two deaths in the everolimus arm, due to interstitial pneumonitis and septic shock, were suspected and plausibly related to everolimus.</w:t>
      </w:r>
    </w:p>
    <w:p w14:paraId="11E34D6C" w14:textId="2111AD7B" w:rsidR="00647FC6" w:rsidRPr="00262D84" w:rsidRDefault="00647FC6" w:rsidP="00647FC6">
      <w:r w:rsidRPr="00647FC6">
        <w:t>In two reported cases of hepatic failure in the everolimus arm, the patients had metastatic liver disease at baseline. Haematological cytopaenias and skin disorders were observed with increased frequency for everolimus.  Serious skin disorders reported for everolimus were angioedema, drug eruption, hyperhid</w:t>
      </w:r>
      <w:r w:rsidR="00262D84">
        <w:t>rosis and toxic skin eruption (Grade 2) versus</w:t>
      </w:r>
      <w:r w:rsidRPr="00647FC6">
        <w:t xml:space="preserve"> none for placebo.</w:t>
      </w:r>
    </w:p>
    <w:p w14:paraId="0E9F0E7B" w14:textId="2D556B0E" w:rsidR="00647FC6" w:rsidRPr="00647FC6" w:rsidRDefault="00647FC6" w:rsidP="00647FC6">
      <w:pPr>
        <w:rPr>
          <w:bCs/>
        </w:rPr>
      </w:pPr>
      <w:r w:rsidRPr="00647FC6">
        <w:rPr>
          <w:bCs/>
        </w:rPr>
        <w:t>In summary, there were significant toxicities reported for everolimus, although the pattern was consistent with that previously observed.</w:t>
      </w:r>
    </w:p>
    <w:p w14:paraId="06FB3039" w14:textId="7A5350D0" w:rsidR="00647FC6" w:rsidRPr="00647FC6" w:rsidRDefault="00647FC6" w:rsidP="00647FC6">
      <w:pPr>
        <w:rPr>
          <w:bCs/>
        </w:rPr>
      </w:pPr>
      <w:r w:rsidRPr="00647FC6">
        <w:rPr>
          <w:bCs/>
        </w:rPr>
        <w:lastRenderedPageBreak/>
        <w:t>Clinically notable AEs occurring more frequently in the everolimus arm after adjustment for increased duration of treatment included stomatitis, infections, cytopaenias, pneumonitis, haem</w:t>
      </w:r>
      <w:r w:rsidR="00262D84">
        <w:rPr>
          <w:bCs/>
        </w:rPr>
        <w:t>orrhage, and cardiac disorders (see Attachment 2 for further details).</w:t>
      </w:r>
    </w:p>
    <w:p w14:paraId="6D759C46" w14:textId="52815748" w:rsidR="00647FC6" w:rsidRPr="00647FC6" w:rsidRDefault="00262D84" w:rsidP="00262D84">
      <w:pPr>
        <w:pStyle w:val="ListBullet"/>
      </w:pPr>
      <w:r>
        <w:t>Haemorrhage (Grade 3 or 4 adjusted rate 2.2% versus</w:t>
      </w:r>
      <w:r w:rsidR="00647FC6" w:rsidRPr="00647FC6">
        <w:t xml:space="preserve"> 0%) is listed in the PI, and epistaxis and haemoptysis are specified in t</w:t>
      </w:r>
      <w:r>
        <w:t xml:space="preserve">he PI. It is noted that Grade 3 or </w:t>
      </w:r>
      <w:r w:rsidR="00647FC6" w:rsidRPr="00647FC6">
        <w:t>4 cerebral haemorrhage and GI bleeds were reported in the pivotal trial.</w:t>
      </w:r>
    </w:p>
    <w:p w14:paraId="152726FC" w14:textId="5A1AF199" w:rsidR="00647FC6" w:rsidRPr="00647FC6" w:rsidRDefault="00262D84" w:rsidP="00647FC6">
      <w:pPr>
        <w:pStyle w:val="ListBullet"/>
      </w:pPr>
      <w:r>
        <w:t xml:space="preserve">Cardiac disorders (Grade 3 or </w:t>
      </w:r>
      <w:r w:rsidR="00647FC6" w:rsidRPr="00647FC6">
        <w:t>4 adj</w:t>
      </w:r>
      <w:r>
        <w:t>usted rate 4.4% versus</w:t>
      </w:r>
      <w:r w:rsidR="00647FC6" w:rsidRPr="00647FC6">
        <w:t xml:space="preserve"> 0%) are represented in the PI by ‘congestive cardiac failure’ only.</w:t>
      </w:r>
    </w:p>
    <w:p w14:paraId="1A0F59EE" w14:textId="60B5C85F" w:rsidR="00647FC6" w:rsidRPr="00647FC6" w:rsidRDefault="00647FC6" w:rsidP="00262D84">
      <w:pPr>
        <w:pStyle w:val="Heading5"/>
      </w:pPr>
      <w:r w:rsidRPr="00647FC6">
        <w:t>T</w:t>
      </w:r>
      <w:r w:rsidR="00262D84">
        <w:t>uberous sclerosis</w:t>
      </w:r>
      <w:r w:rsidRPr="00647FC6">
        <w:t xml:space="preserve"> complex</w:t>
      </w:r>
    </w:p>
    <w:p w14:paraId="5DFE9414" w14:textId="341162B9" w:rsidR="00647FC6" w:rsidRPr="00262D84" w:rsidRDefault="00647FC6" w:rsidP="00647FC6">
      <w:r w:rsidRPr="00647FC6">
        <w:t>In long-term TSC studies, the incidence of AEs was consistent with the pattern previously established, and app</w:t>
      </w:r>
      <w:r w:rsidR="00262D84">
        <w:t>eared to decrease with time.</w:t>
      </w:r>
    </w:p>
    <w:p w14:paraId="0A83AD4B" w14:textId="77777777" w:rsidR="00647FC6" w:rsidRPr="00647FC6" w:rsidRDefault="00647FC6" w:rsidP="009C7B5E">
      <w:pPr>
        <w:pStyle w:val="Heading5"/>
      </w:pPr>
      <w:r w:rsidRPr="00647FC6">
        <w:t>Safety conclusions</w:t>
      </w:r>
    </w:p>
    <w:p w14:paraId="0BB62E76" w14:textId="1D51D0F4" w:rsidR="00647FC6" w:rsidRPr="009C7B5E" w:rsidRDefault="00647FC6" w:rsidP="00647FC6">
      <w:r w:rsidRPr="00647FC6">
        <w:t>The Delegate considers that there were no new safety concerns for everolimus raised by Study T2302 in progressive NETs of GI/Lung origin. Overall the AEs are adequately described in the PI.</w:t>
      </w:r>
    </w:p>
    <w:p w14:paraId="672110FF" w14:textId="6ADDB1E9" w:rsidR="00647FC6" w:rsidRPr="00647FC6" w:rsidRDefault="009C7B5E" w:rsidP="000B0784">
      <w:pPr>
        <w:pStyle w:val="Heading5"/>
      </w:pPr>
      <w:r>
        <w:t>Issues</w:t>
      </w:r>
    </w:p>
    <w:p w14:paraId="687D18AE" w14:textId="377C4996" w:rsidR="00647FC6" w:rsidRPr="009C7B5E" w:rsidRDefault="00647FC6" w:rsidP="00647FC6">
      <w:r w:rsidRPr="00647FC6">
        <w:t xml:space="preserve">While pattern of </w:t>
      </w:r>
      <w:r w:rsidR="00D17E0C">
        <w:t>AEs</w:t>
      </w:r>
      <w:r w:rsidRPr="00647FC6">
        <w:t xml:space="preserve"> observed in the pivotal study was consistent with that previously observed with the drug, everolimus is associated with significant toxicity in subjects with advanced </w:t>
      </w:r>
      <w:r w:rsidR="00D17E0C">
        <w:t xml:space="preserve">NETs. </w:t>
      </w:r>
      <w:r w:rsidRPr="00647FC6">
        <w:t>Compared to placebo, everolimus was associated with a notably increased incidenc</w:t>
      </w:r>
      <w:r w:rsidR="00D17E0C">
        <w:t>e of G</w:t>
      </w:r>
      <w:r w:rsidR="009C7B5E">
        <w:t>rade 3 or 4 AEs (69.3% versus</w:t>
      </w:r>
      <w:r w:rsidRPr="00647FC6">
        <w:t xml:space="preserve"> 2</w:t>
      </w:r>
      <w:r w:rsidR="009C7B5E">
        <w:t>8.6%) and serious AEs (42.1% versus</w:t>
      </w:r>
      <w:r w:rsidRPr="00647FC6">
        <w:t xml:space="preserve"> 19.4%). An additional 20% of subjects had to discontinue study treatment </w:t>
      </w:r>
      <w:r w:rsidR="009C7B5E">
        <w:t>due to AEs (29.2% everolimus versus 7.1% placebo).</w:t>
      </w:r>
    </w:p>
    <w:p w14:paraId="10950441" w14:textId="4F72FC1D" w:rsidR="00647FC6" w:rsidRPr="00647FC6" w:rsidRDefault="00647FC6" w:rsidP="00647FC6">
      <w:r w:rsidRPr="00647FC6">
        <w:t xml:space="preserve">AEs occurred with frequencies similar to those in Study 2324 ‘RADIANT-3’ that supported approval of </w:t>
      </w:r>
      <w:r w:rsidR="009C7B5E">
        <w:t>everolimus for pancreatic NETs</w:t>
      </w:r>
      <w:r w:rsidRPr="00647FC6">
        <w:t xml:space="preserve"> but discontinuations du</w:t>
      </w:r>
      <w:r w:rsidR="00D17E0C">
        <w:t>e to AEs were higher (29.2% in S</w:t>
      </w:r>
      <w:r w:rsidRPr="00647FC6">
        <w:t>tudy T2302 for GIT/Lung NETs compared to 19.1% in pancreatic NETs from S</w:t>
      </w:r>
      <w:r w:rsidR="009C7B5E">
        <w:t>tudy 2324.</w:t>
      </w:r>
    </w:p>
    <w:p w14:paraId="15A2C7C0" w14:textId="3957B4E4" w:rsidR="00647FC6" w:rsidRPr="00114181" w:rsidRDefault="00647FC6" w:rsidP="00114181">
      <w:r w:rsidRPr="00647FC6">
        <w:t>This raises the possibility that for tumours of ileal origin, or with other good prognostic indicators, everolimus toxicities could negatively affect risk-benefit.</w:t>
      </w:r>
    </w:p>
    <w:p w14:paraId="5724D0D4" w14:textId="40985776" w:rsidR="007B6132" w:rsidRDefault="007B6132" w:rsidP="00555280">
      <w:pPr>
        <w:pStyle w:val="Heading4"/>
      </w:pPr>
      <w:bookmarkStart w:id="139" w:name="_Toc314842514"/>
      <w:r w:rsidRPr="007B6132">
        <w:t>Clini</w:t>
      </w:r>
      <w:r w:rsidR="009C7B5E">
        <w:t>cal evaluator’s recommendation</w:t>
      </w:r>
    </w:p>
    <w:p w14:paraId="2D9CDE64" w14:textId="1BFC176E" w:rsidR="00114181" w:rsidRPr="00114181" w:rsidRDefault="00114181" w:rsidP="00114181">
      <w:r w:rsidRPr="00114181">
        <w:t>The clinical evaluator recommended that the proposed new indication, for the treatment of progressive, unresectable or metastatic, well-dif</w:t>
      </w:r>
      <w:r w:rsidR="00D17E0C">
        <w:t>ferentiated, non-functional NETs</w:t>
      </w:r>
      <w:r w:rsidRPr="00114181">
        <w:t xml:space="preserve"> of gastrointestin</w:t>
      </w:r>
      <w:r w:rsidR="00D17E0C">
        <w:t>al or lung origin, be approved.</w:t>
      </w:r>
    </w:p>
    <w:p w14:paraId="3A6C48A1" w14:textId="77777777" w:rsidR="008E7846" w:rsidRDefault="00386150" w:rsidP="007B6132">
      <w:pPr>
        <w:pStyle w:val="Heading3"/>
        <w:rPr>
          <w:lang w:eastAsia="en-AU"/>
        </w:rPr>
      </w:pPr>
      <w:bookmarkStart w:id="140" w:name="_Toc493685113"/>
      <w:r>
        <w:rPr>
          <w:lang w:eastAsia="en-AU"/>
        </w:rPr>
        <w:t>Risk m</w:t>
      </w:r>
      <w:r w:rsidR="008E7846">
        <w:rPr>
          <w:lang w:eastAsia="en-AU"/>
        </w:rPr>
        <w:t xml:space="preserve">anagement </w:t>
      </w:r>
      <w:r>
        <w:rPr>
          <w:lang w:eastAsia="en-AU"/>
        </w:rPr>
        <w:t>p</w:t>
      </w:r>
      <w:r w:rsidR="008E7846">
        <w:rPr>
          <w:lang w:eastAsia="en-AU"/>
        </w:rPr>
        <w:t>lan</w:t>
      </w:r>
      <w:bookmarkEnd w:id="139"/>
      <w:bookmarkEnd w:id="140"/>
    </w:p>
    <w:p w14:paraId="00559DB6" w14:textId="00A76AD0" w:rsidR="009C7B5E" w:rsidRPr="009C7B5E" w:rsidRDefault="009C7B5E" w:rsidP="009C7B5E">
      <w:r w:rsidRPr="009C7B5E">
        <w:t>The proposed pharmacovigilance plan has not changed from that previously accepted and includes routine reporting and targeted follow-up questionnaires addressing the safety concerns. Additional pharmacovigilance studies and registries are also in place, a</w:t>
      </w:r>
      <w:r>
        <w:t xml:space="preserve">nd include Australian patients. </w:t>
      </w:r>
      <w:r w:rsidRPr="009C7B5E">
        <w:t>No new additional pharmacovigilance activities are proposed.</w:t>
      </w:r>
    </w:p>
    <w:p w14:paraId="6F8FFE9F" w14:textId="69B2040D" w:rsidR="009C7B5E" w:rsidRPr="009C7B5E" w:rsidRDefault="009C7B5E" w:rsidP="009C7B5E">
      <w:r w:rsidRPr="009C7B5E">
        <w:t>The proposed additional pharmacovigilance activities do not include any specific study of the neuroendocrine tumour of GI or lung origin patient population and are limited to studies of patients receiving everolimus for other indications. The sponsor justified</w:t>
      </w:r>
      <w:r>
        <w:t xml:space="preserve"> this </w:t>
      </w:r>
      <w:r w:rsidRPr="009C7B5E">
        <w:t>with the following statement:</w:t>
      </w:r>
    </w:p>
    <w:p w14:paraId="52A4F079" w14:textId="131563E7" w:rsidR="009C7B5E" w:rsidRPr="009C7B5E" w:rsidRDefault="009C7B5E" w:rsidP="009C7B5E">
      <w:pPr>
        <w:ind w:left="720"/>
        <w:rPr>
          <w:i/>
        </w:rPr>
      </w:pPr>
      <w:r w:rsidRPr="009C7B5E">
        <w:rPr>
          <w:i/>
        </w:rPr>
        <w:t xml:space="preserve">‘Based on the totality of the data, the safety profile of everolimus in the NET population is generally comparable to the safety profile of everolimus in the oncology setting. No new risks with NET were identified and the safety profile for NET is </w:t>
      </w:r>
      <w:r w:rsidRPr="009C7B5E">
        <w:rPr>
          <w:i/>
        </w:rPr>
        <w:lastRenderedPageBreak/>
        <w:t>provided on the basis of the current identified and potential risks of everolimus in this submission’.</w:t>
      </w:r>
    </w:p>
    <w:p w14:paraId="48BAEA23" w14:textId="093ED47B" w:rsidR="009C7B5E" w:rsidRDefault="009C7B5E" w:rsidP="009C7B5E">
      <w:pPr>
        <w:rPr>
          <w:i/>
        </w:rPr>
      </w:pPr>
      <w:r w:rsidRPr="009C7B5E">
        <w:t xml:space="preserve">All identified issues were resolved, including dosage advice for the proposed indication, as also identified by the clinical evaluator. The evaluator recommended to the </w:t>
      </w:r>
      <w:r w:rsidR="00AA7113">
        <w:t>D</w:t>
      </w:r>
      <w:r w:rsidR="00AA7113" w:rsidRPr="009C7B5E">
        <w:t xml:space="preserve">elegate </w:t>
      </w:r>
      <w:r w:rsidRPr="009C7B5E">
        <w:t xml:space="preserve">that the updated version of EU-RMP and the </w:t>
      </w:r>
      <w:r>
        <w:t>ASA</w:t>
      </w:r>
      <w:r w:rsidRPr="009C7B5E">
        <w:t xml:space="preserve"> is implemented.</w:t>
      </w:r>
    </w:p>
    <w:p w14:paraId="08743FF3" w14:textId="77777777" w:rsidR="009C7B5E" w:rsidRPr="006D79C8" w:rsidRDefault="009C7B5E" w:rsidP="009A0FA5">
      <w:pPr>
        <w:pStyle w:val="Heading4"/>
      </w:pPr>
      <w:r w:rsidRPr="006D79C8">
        <w:t>Planned or ongoing studies</w:t>
      </w:r>
    </w:p>
    <w:p w14:paraId="0943C89F" w14:textId="4A6A3465" w:rsidR="009C7B5E" w:rsidRPr="009C7B5E" w:rsidRDefault="009C7B5E" w:rsidP="009C7B5E">
      <w:r w:rsidRPr="009C7B5E">
        <w:t xml:space="preserve">There are </w:t>
      </w:r>
      <w:r w:rsidR="00AA7113">
        <w:t xml:space="preserve">currently </w:t>
      </w:r>
      <w:r w:rsidRPr="009C7B5E">
        <w:t>no</w:t>
      </w:r>
      <w:r w:rsidR="00AA7113">
        <w:t xml:space="preserve"> planned or on-going studies</w:t>
      </w:r>
      <w:r w:rsidRPr="009C7B5E">
        <w:t xml:space="preserve"> for this indication.</w:t>
      </w:r>
    </w:p>
    <w:p w14:paraId="45B5111D" w14:textId="2DA35231" w:rsidR="009C7B5E" w:rsidRPr="009C7B5E" w:rsidRDefault="009C7B5E" w:rsidP="009C7B5E">
      <w:pPr>
        <w:pStyle w:val="Heading4"/>
      </w:pPr>
      <w:r w:rsidRPr="009C7B5E">
        <w:t>Recommended co</w:t>
      </w:r>
      <w:r>
        <w:t>ndition</w:t>
      </w:r>
      <w:r w:rsidRPr="009C7B5E">
        <w:t>s of registration</w:t>
      </w:r>
    </w:p>
    <w:p w14:paraId="4E5E5B8D" w14:textId="77777777" w:rsidR="009C7B5E" w:rsidRPr="009C7B5E" w:rsidRDefault="009C7B5E" w:rsidP="009C7B5E">
      <w:r w:rsidRPr="009C7B5E">
        <w:t>The suggested wording for conditions of registration is:</w:t>
      </w:r>
    </w:p>
    <w:p w14:paraId="672B2CBE" w14:textId="230B34CC" w:rsidR="008E7846" w:rsidRDefault="009C7B5E" w:rsidP="008E7846">
      <w:pPr>
        <w:pStyle w:val="ListBullet"/>
      </w:pPr>
      <w:r w:rsidRPr="009C7B5E">
        <w:t xml:space="preserve">Implement European Union RMP Version 12.1 (Afinitor)/11 (Votubia) (dated 25 April 2016, DLP 31 March 2015) and Australian Specific Annex Version 7.0 (dated 11 July 2016) and any future updates </w:t>
      </w:r>
      <w:r>
        <w:t>as a condition of registration.</w:t>
      </w:r>
    </w:p>
    <w:p w14:paraId="7E605035" w14:textId="77777777" w:rsidR="008E7846" w:rsidRDefault="00AA0ED0" w:rsidP="008E7846">
      <w:pPr>
        <w:pStyle w:val="Heading3"/>
      </w:pPr>
      <w:bookmarkStart w:id="141" w:name="_Toc247691531"/>
      <w:bookmarkStart w:id="142" w:name="_Toc314842515"/>
      <w:bookmarkStart w:id="143" w:name="_Toc493685114"/>
      <w:bookmarkStart w:id="144" w:name="_Toc196046505"/>
      <w:bookmarkStart w:id="145" w:name="_Toc196046949"/>
      <w:r>
        <w:t>Risk-benefit a</w:t>
      </w:r>
      <w:r w:rsidR="008E7846">
        <w:t>nalysis</w:t>
      </w:r>
      <w:bookmarkEnd w:id="141"/>
      <w:bookmarkEnd w:id="142"/>
      <w:bookmarkEnd w:id="143"/>
    </w:p>
    <w:p w14:paraId="7AE0A009" w14:textId="114F4F57" w:rsidR="009C7B5E" w:rsidRPr="009C7B5E" w:rsidRDefault="009C7B5E" w:rsidP="009C7B5E">
      <w:r w:rsidRPr="009C7B5E">
        <w:t xml:space="preserve">Despite the marked difference in AE profile for everolimus compared to the placebo arm, there was no difference in outcomes in the reported </w:t>
      </w:r>
      <w:r w:rsidR="009A0FA5">
        <w:t xml:space="preserve">QoL </w:t>
      </w:r>
      <w:r w:rsidRPr="009C7B5E">
        <w:t xml:space="preserve">measurements. The study met criteria for efficacy for </w:t>
      </w:r>
      <w:r w:rsidR="00D17E0C">
        <w:t>PFS</w:t>
      </w:r>
      <w:r w:rsidRPr="009C7B5E">
        <w:t>. Overall risk-benefit</w:t>
      </w:r>
      <w:r w:rsidR="00D17E0C">
        <w:t xml:space="preserve"> assessment</w:t>
      </w:r>
      <w:r w:rsidRPr="009C7B5E">
        <w:t xml:space="preserve"> therefore appears positive for the indication sought:</w:t>
      </w:r>
    </w:p>
    <w:p w14:paraId="55B1BF1C" w14:textId="674FED3B" w:rsidR="009C7B5E" w:rsidRPr="009C7B5E" w:rsidRDefault="009C7B5E" w:rsidP="009C7B5E">
      <w:pPr>
        <w:ind w:left="720"/>
        <w:rPr>
          <w:b/>
          <w:i/>
        </w:rPr>
      </w:pPr>
      <w:r w:rsidRPr="009C7B5E">
        <w:rPr>
          <w:b/>
          <w:i/>
        </w:rPr>
        <w:t>‘</w:t>
      </w:r>
      <w:r w:rsidRPr="009C7B5E">
        <w:rPr>
          <w:i/>
        </w:rPr>
        <w:t>Afinitor is indicated for the treatment of progressive, unresectable or metastatic, well-differentiated, non-functional neuroendocrine tumours (NET) of gastrointestinal or lung origin.’</w:t>
      </w:r>
    </w:p>
    <w:p w14:paraId="2B70483E" w14:textId="1EC72950" w:rsidR="00895461" w:rsidRPr="00B14BB6" w:rsidRDefault="00895461" w:rsidP="00895461">
      <w:pPr>
        <w:spacing w:before="0" w:after="0" w:line="240" w:lineRule="auto"/>
        <w:rPr>
          <w:rFonts w:asciiTheme="minorHAnsi" w:hAnsiTheme="minorHAnsi"/>
          <w:b/>
        </w:rPr>
      </w:pPr>
      <w:r>
        <w:rPr>
          <w:rFonts w:asciiTheme="minorHAnsi" w:hAnsiTheme="minorHAnsi"/>
        </w:rPr>
        <w:t>The D</w:t>
      </w:r>
      <w:r w:rsidRPr="006D79C8">
        <w:rPr>
          <w:rFonts w:asciiTheme="minorHAnsi" w:hAnsiTheme="minorHAnsi"/>
        </w:rPr>
        <w:t xml:space="preserve">elegate has reservations about </w:t>
      </w:r>
      <w:r>
        <w:rPr>
          <w:rFonts w:asciiTheme="minorHAnsi" w:hAnsiTheme="minorHAnsi"/>
        </w:rPr>
        <w:t>the following aspects of the proposed PI:</w:t>
      </w:r>
    </w:p>
    <w:p w14:paraId="0D903F1B" w14:textId="77777777" w:rsidR="00895461" w:rsidRPr="006D79C8" w:rsidRDefault="00895461" w:rsidP="000B0784">
      <w:pPr>
        <w:pStyle w:val="ListBullet"/>
      </w:pPr>
      <w:r w:rsidRPr="006D79C8">
        <w:t xml:space="preserve">presentation of subgroup analyses in the </w:t>
      </w:r>
      <w:r>
        <w:t>Clinical Trials section</w:t>
      </w:r>
    </w:p>
    <w:p w14:paraId="1BDA9419" w14:textId="71D19458" w:rsidR="00895461" w:rsidRDefault="00895461" w:rsidP="000B0784">
      <w:pPr>
        <w:pStyle w:val="ListBullet"/>
      </w:pPr>
      <w:r w:rsidRPr="006D79C8">
        <w:t xml:space="preserve">complete </w:t>
      </w:r>
      <w:r>
        <w:t xml:space="preserve">omission </w:t>
      </w:r>
      <w:r w:rsidRPr="006D79C8">
        <w:t xml:space="preserve">of information about trial </w:t>
      </w:r>
      <w:r>
        <w:t xml:space="preserve">C2325 </w:t>
      </w:r>
      <w:r w:rsidRPr="006D79C8">
        <w:t>‘Radiant-2’ from the PI.</w:t>
      </w:r>
    </w:p>
    <w:p w14:paraId="44E7BB1A" w14:textId="6768EBFE" w:rsidR="009A0FA5" w:rsidRPr="009A0FA5" w:rsidRDefault="00764DE1" w:rsidP="009A0FA5">
      <w:pPr>
        <w:pStyle w:val="Heading4"/>
      </w:pPr>
      <w:r>
        <w:t>Summary of issues</w:t>
      </w:r>
    </w:p>
    <w:p w14:paraId="421BCFCC" w14:textId="0355F218" w:rsidR="009A0FA5" w:rsidRPr="009A0FA5" w:rsidRDefault="00BC3D06" w:rsidP="00BC3D06">
      <w:r>
        <w:t xml:space="preserve">Data from placebo </w:t>
      </w:r>
      <w:r w:rsidR="009A0FA5" w:rsidRPr="009A0FA5">
        <w:t xml:space="preserve">controlled trial </w:t>
      </w:r>
      <w:r w:rsidR="00D17E0C">
        <w:t xml:space="preserve">Study </w:t>
      </w:r>
      <w:r w:rsidR="009A0FA5" w:rsidRPr="009A0FA5">
        <w:t>T2302 are considered to support the indication</w:t>
      </w:r>
      <w:r w:rsidR="009A0FA5" w:rsidRPr="009A0FA5">
        <w:rPr>
          <w:b/>
        </w:rPr>
        <w:t xml:space="preserve"> </w:t>
      </w:r>
      <w:r w:rsidR="009A0FA5" w:rsidRPr="009A0FA5">
        <w:t>wordin</w:t>
      </w:r>
      <w:r>
        <w:t>g specifying the patient group:</w:t>
      </w:r>
    </w:p>
    <w:p w14:paraId="3FFF8F97" w14:textId="7185DF3E" w:rsidR="009A0FA5" w:rsidRPr="009A0FA5" w:rsidRDefault="009A0FA5" w:rsidP="00BC3D06">
      <w:pPr>
        <w:pStyle w:val="ListBullet"/>
      </w:pPr>
      <w:r w:rsidRPr="009A0FA5">
        <w:t xml:space="preserve">The </w:t>
      </w:r>
      <w:r>
        <w:t>D</w:t>
      </w:r>
      <w:r w:rsidRPr="009A0FA5">
        <w:t>elegate is uncertain about the utility of the information from pre-specified subgroups and post-hoc subgroup analysis for sites of tumour origin as proposed for inclusion in the PI.</w:t>
      </w:r>
    </w:p>
    <w:p w14:paraId="4A345C76" w14:textId="52D1FA3A" w:rsidR="009A0FA5" w:rsidRPr="009A0FA5" w:rsidRDefault="009A0FA5" w:rsidP="00BC3D06">
      <w:pPr>
        <w:rPr>
          <w:i/>
        </w:rPr>
      </w:pPr>
      <w:r w:rsidRPr="009A0FA5">
        <w:t xml:space="preserve">The proposed PI provided at </w:t>
      </w:r>
      <w:r w:rsidR="00BC3D06">
        <w:t>the second round</w:t>
      </w:r>
      <w:r w:rsidRPr="009A0FA5">
        <w:t xml:space="preserve"> omits information about lack of efficacy in functional NETs of GI or</w:t>
      </w:r>
      <w:r w:rsidR="00BC3D06">
        <w:t>igin:</w:t>
      </w:r>
    </w:p>
    <w:p w14:paraId="37408ADB" w14:textId="190B352F" w:rsidR="009A0FA5" w:rsidRPr="009A0FA5" w:rsidRDefault="009A0FA5" w:rsidP="00BC3D06">
      <w:pPr>
        <w:pStyle w:val="ListBullet"/>
      </w:pPr>
      <w:r>
        <w:t>The D</w:t>
      </w:r>
      <w:r w:rsidRPr="009A0FA5">
        <w:t>elegate considers that complete omission of this information is not appropriate.</w:t>
      </w:r>
    </w:p>
    <w:p w14:paraId="1282136E" w14:textId="77777777" w:rsidR="00D23139" w:rsidRDefault="00D23139" w:rsidP="00D23139">
      <w:pPr>
        <w:pStyle w:val="Heading4"/>
      </w:pPr>
      <w:r w:rsidRPr="00D23139">
        <w:t>Proposed action</w:t>
      </w:r>
    </w:p>
    <w:p w14:paraId="41E8CCDA" w14:textId="22E261EF" w:rsidR="000C3AC5" w:rsidRPr="000C3AC5" w:rsidRDefault="000C3AC5" w:rsidP="000C3AC5">
      <w:r>
        <w:rPr>
          <w:bCs/>
        </w:rPr>
        <w:t>The Delegate had no reason to say, at this</w:t>
      </w:r>
      <w:r w:rsidRPr="000C3AC5">
        <w:rPr>
          <w:bCs/>
        </w:rPr>
        <w:t xml:space="preserve"> time, that the application for extension of indi</w:t>
      </w:r>
      <w:r>
        <w:rPr>
          <w:bCs/>
        </w:rPr>
        <w:t>cations for everolimus (Afinitor</w:t>
      </w:r>
      <w:r w:rsidRPr="000C3AC5">
        <w:rPr>
          <w:bCs/>
        </w:rPr>
        <w:t>) should not be approved for registration.</w:t>
      </w:r>
    </w:p>
    <w:p w14:paraId="23301192" w14:textId="77777777" w:rsidR="00D23139" w:rsidRDefault="00D23139" w:rsidP="00D23139">
      <w:pPr>
        <w:pStyle w:val="Heading4"/>
      </w:pPr>
      <w:r w:rsidRPr="00D23139">
        <w:t>Request for ACPM advice</w:t>
      </w:r>
    </w:p>
    <w:p w14:paraId="551CF647" w14:textId="77777777" w:rsidR="009A0FA5" w:rsidRPr="009A0FA5" w:rsidRDefault="009A0FA5" w:rsidP="009A0FA5">
      <w:r w:rsidRPr="009A0FA5">
        <w:t>The committee is requested to provide advice on the following specific issues:</w:t>
      </w:r>
    </w:p>
    <w:p w14:paraId="5320DC61" w14:textId="797EA266" w:rsidR="009A0FA5" w:rsidRPr="009A0FA5" w:rsidRDefault="009A0FA5" w:rsidP="009E79FB">
      <w:pPr>
        <w:pStyle w:val="Numberbullet0"/>
        <w:numPr>
          <w:ilvl w:val="0"/>
          <w:numId w:val="7"/>
        </w:numPr>
      </w:pPr>
      <w:r w:rsidRPr="009A0FA5">
        <w:lastRenderedPageBreak/>
        <w:t>Please comment on the adequacy of the data supporting the proposed extension of Indication</w:t>
      </w:r>
      <w:r w:rsidR="002C404B">
        <w:t>s in the population described.</w:t>
      </w:r>
    </w:p>
    <w:p w14:paraId="7DBCF557" w14:textId="4C3FED1B" w:rsidR="009A0FA5" w:rsidRDefault="009A0FA5" w:rsidP="009E79FB">
      <w:pPr>
        <w:pStyle w:val="Numberbullet0"/>
        <w:numPr>
          <w:ilvl w:val="0"/>
          <w:numId w:val="7"/>
        </w:numPr>
      </w:pPr>
      <w:r w:rsidRPr="009A0FA5">
        <w:t>Please provide advice regarding the adequacy of the proposed PI for presentation of clinically relevant information.</w:t>
      </w:r>
    </w:p>
    <w:p w14:paraId="04A8F817" w14:textId="61424DCA" w:rsidR="000C3AC5" w:rsidRPr="000C3AC5" w:rsidRDefault="000C3AC5" w:rsidP="000C3AC5">
      <w:r w:rsidRPr="000C3AC5">
        <w:t>The committee is also requested to provide advice on any other issues that it thinks may be relevant to a decision on whether or not to approve this application.</w:t>
      </w:r>
    </w:p>
    <w:p w14:paraId="061EC0C5" w14:textId="37C8B281" w:rsidR="00D23139" w:rsidRDefault="001766A0" w:rsidP="00D23139">
      <w:pPr>
        <w:pStyle w:val="Heading4"/>
      </w:pPr>
      <w:r>
        <w:t>Response from sponsor</w:t>
      </w:r>
    </w:p>
    <w:p w14:paraId="4CB5BD03" w14:textId="7320FA59" w:rsidR="009553EF" w:rsidRPr="009553EF" w:rsidRDefault="009553EF" w:rsidP="009553EF">
      <w:r>
        <w:t>The sponsor provided the following pre-ACPM responses to the issues raised for the Committees discussion.</w:t>
      </w:r>
    </w:p>
    <w:p w14:paraId="00BDC412" w14:textId="055E77DB" w:rsidR="001766A0" w:rsidRPr="001766A0" w:rsidRDefault="001766A0" w:rsidP="001766A0">
      <w:pPr>
        <w:pStyle w:val="Heading5"/>
      </w:pPr>
      <w:r>
        <w:t xml:space="preserve">Sponsor’s response to </w:t>
      </w:r>
      <w:r w:rsidR="00CC7DD4">
        <w:t>issue 1</w:t>
      </w:r>
    </w:p>
    <w:p w14:paraId="0AAE9822" w14:textId="7079B9C6" w:rsidR="00542105" w:rsidRPr="00542105" w:rsidRDefault="00542105" w:rsidP="00542105">
      <w:pPr>
        <w:ind w:left="720"/>
        <w:rPr>
          <w:i/>
          <w:lang w:val="en-GB"/>
        </w:rPr>
      </w:pPr>
      <w:r w:rsidRPr="00542105">
        <w:rPr>
          <w:i/>
          <w:lang w:val="en-GB"/>
        </w:rPr>
        <w:t>‘Please comment on the adequacy of the data supporting the proposed extension of Indications in the population described’.</w:t>
      </w:r>
    </w:p>
    <w:p w14:paraId="670F100A" w14:textId="1371B1E9" w:rsidR="00542105" w:rsidRDefault="00542105" w:rsidP="00542105">
      <w:pPr>
        <w:rPr>
          <w:lang w:val="en-GB"/>
        </w:rPr>
      </w:pPr>
      <w:r w:rsidRPr="00542105">
        <w:rPr>
          <w:lang w:val="en-GB"/>
        </w:rPr>
        <w:t>Study T2302 enrolled patients with pathologically confirmed, well-differentiated (Grade 1 or Grade 2) advanced (unresectable or metastatic) NETs of GI or lung origin representative of the proposed indication. These patients had no history of, and no active symptoms related to, carcinoid syndrome. All patients had radiological documented d</w:t>
      </w:r>
      <w:r>
        <w:rPr>
          <w:lang w:val="en-GB"/>
        </w:rPr>
        <w:t xml:space="preserve">isease progression within the 6 </w:t>
      </w:r>
      <w:r w:rsidR="00BE077F">
        <w:rPr>
          <w:lang w:val="en-GB"/>
        </w:rPr>
        <w:t>month period prior to randomis</w:t>
      </w:r>
      <w:r w:rsidRPr="00542105">
        <w:rPr>
          <w:lang w:val="en-GB"/>
        </w:rPr>
        <w:t xml:space="preserve">ation and thus had progressive disease. Approximately 50% of the study population had progressed after </w:t>
      </w:r>
      <w:r>
        <w:rPr>
          <w:lang w:val="en-GB"/>
        </w:rPr>
        <w:t>SSA</w:t>
      </w:r>
      <w:r w:rsidRPr="00542105">
        <w:rPr>
          <w:lang w:val="en-GB"/>
        </w:rPr>
        <w:t xml:space="preserve"> therapy. Furthermore, 90 patients (29.8%) in Study T2302 presented with lung as the primary site of tumo</w:t>
      </w:r>
      <w:r>
        <w:rPr>
          <w:lang w:val="en-GB"/>
        </w:rPr>
        <w:t>u</w:t>
      </w:r>
      <w:r w:rsidRPr="00542105">
        <w:rPr>
          <w:lang w:val="en-GB"/>
        </w:rPr>
        <w:t>r origin and represent a subgroup for which no treatment is current availabl</w:t>
      </w:r>
      <w:r>
        <w:rPr>
          <w:lang w:val="en-GB"/>
        </w:rPr>
        <w:t>e.</w:t>
      </w:r>
    </w:p>
    <w:p w14:paraId="7CC844AE" w14:textId="5E22282F" w:rsidR="00542105" w:rsidRPr="00542105" w:rsidRDefault="00542105" w:rsidP="00542105">
      <w:pPr>
        <w:rPr>
          <w:lang w:val="en-GB"/>
        </w:rPr>
      </w:pPr>
      <w:r w:rsidRPr="00542105">
        <w:rPr>
          <w:lang w:val="en-GB"/>
        </w:rPr>
        <w:t xml:space="preserve">In this trial, superiority was demonstrated relative to placebo for the primary endpoint of </w:t>
      </w:r>
      <w:r w:rsidR="004E61DF">
        <w:rPr>
          <w:lang w:val="en-GB"/>
        </w:rPr>
        <w:t>PFS</w:t>
      </w:r>
      <w:r w:rsidRPr="00542105">
        <w:rPr>
          <w:lang w:val="en-GB"/>
        </w:rPr>
        <w:t xml:space="preserve"> per independen</w:t>
      </w:r>
      <w:r w:rsidR="007221AF">
        <w:rPr>
          <w:lang w:val="en-GB"/>
        </w:rPr>
        <w:t xml:space="preserve">t central </w:t>
      </w:r>
      <w:r w:rsidR="004E61DF">
        <w:rPr>
          <w:lang w:val="en-GB"/>
        </w:rPr>
        <w:t>radiology review</w:t>
      </w:r>
      <w:r w:rsidR="00CC7DD4">
        <w:rPr>
          <w:lang w:val="en-GB"/>
        </w:rPr>
        <w:t xml:space="preserve"> </w:t>
      </w:r>
      <w:r w:rsidR="007221AF">
        <w:rPr>
          <w:lang w:val="en-GB"/>
        </w:rPr>
        <w:t xml:space="preserve">committee </w:t>
      </w:r>
      <w:r w:rsidR="00CC7DD4">
        <w:rPr>
          <w:lang w:val="en-GB"/>
        </w:rPr>
        <w:t>(IRC</w:t>
      </w:r>
      <w:r w:rsidR="00BE077F">
        <w:rPr>
          <w:lang w:val="en-GB"/>
        </w:rPr>
        <w:t>)</w:t>
      </w:r>
      <w:r w:rsidRPr="00542105">
        <w:rPr>
          <w:lang w:val="en-GB"/>
        </w:rPr>
        <w:t>. A 52% risk reduction was evident in favour of treatment with everolimus: this result was both clinically meaningful and statistically significant</w:t>
      </w:r>
      <w:r w:rsidR="005B2E2B">
        <w:rPr>
          <w:lang w:val="en-GB"/>
        </w:rPr>
        <w:t xml:space="preserve"> (HR 0.48; 95% CI: 0.35, 0.67; p </w:t>
      </w:r>
      <w:r w:rsidRPr="00542105">
        <w:rPr>
          <w:lang w:val="en-GB"/>
        </w:rPr>
        <w:t>&lt;</w:t>
      </w:r>
      <w:r w:rsidR="005B2E2B">
        <w:rPr>
          <w:lang w:val="en-GB"/>
        </w:rPr>
        <w:t xml:space="preserve"> </w:t>
      </w:r>
      <w:r w:rsidR="00BE077F">
        <w:rPr>
          <w:lang w:val="en-GB"/>
        </w:rPr>
        <w:t xml:space="preserve">0.001). The 7.10 </w:t>
      </w:r>
      <w:r w:rsidRPr="00542105">
        <w:rPr>
          <w:lang w:val="en-GB"/>
        </w:rPr>
        <w:t>month prolongation in median PFS (from 3.91 months for placebo to 11.01 months for everolimus per IRC) represents an important clinical benefit. PFS analyses per local investigator assessment (HR 0.39; 95% CI: 0.28, 0.54) were consistent in the magnitude of the treatment effect and were supportive of the primary efficacy analysis. Multiple pre</w:t>
      </w:r>
      <w:r w:rsidR="00BE077F">
        <w:rPr>
          <w:lang w:val="en-GB"/>
        </w:rPr>
        <w:noBreakHyphen/>
      </w:r>
      <w:r w:rsidRPr="00542105">
        <w:rPr>
          <w:lang w:val="en-GB"/>
        </w:rPr>
        <w:t>planned sensitivity and subgroup analyses demonstrated that this observed benefit in PFS in favour of everolimus was robust and consistent, with a positive treatment effect evident irrespective of site of tumo</w:t>
      </w:r>
      <w:r w:rsidR="00BE077F">
        <w:rPr>
          <w:lang w:val="en-GB"/>
        </w:rPr>
        <w:t>u</w:t>
      </w:r>
      <w:r w:rsidRPr="00542105">
        <w:rPr>
          <w:lang w:val="en-GB"/>
        </w:rPr>
        <w:t>r origin, prior SSA exposure, and WHO performance status score, and across major demographic and prognostic subgroups. The only notable possible exception was the ileum as the site of primary tumo</w:t>
      </w:r>
      <w:r w:rsidR="00BE077F">
        <w:rPr>
          <w:lang w:val="en-GB"/>
        </w:rPr>
        <w:t>u</w:t>
      </w:r>
      <w:r w:rsidRPr="00542105">
        <w:rPr>
          <w:lang w:val="en-GB"/>
        </w:rPr>
        <w:t xml:space="preserve">r origin where a random effect due to the smaller sample size of this subgroup cannot be excluded. This exception is proposed to be addressed in the proposed PI (see </w:t>
      </w:r>
      <w:r w:rsidR="00BE077F">
        <w:rPr>
          <w:lang w:val="en-GB"/>
        </w:rPr>
        <w:t xml:space="preserve">response to </w:t>
      </w:r>
      <w:r w:rsidRPr="00542105">
        <w:rPr>
          <w:lang w:val="en-GB"/>
        </w:rPr>
        <w:t xml:space="preserve">issue </w:t>
      </w:r>
      <w:r w:rsidR="00BE077F">
        <w:rPr>
          <w:lang w:val="en-GB"/>
        </w:rPr>
        <w:t>2 below). The OS</w:t>
      </w:r>
      <w:r w:rsidRPr="00542105">
        <w:rPr>
          <w:lang w:val="en-GB"/>
        </w:rPr>
        <w:t xml:space="preserve"> results favoured the everolimus arm with an estimated 27% risk reduction relative to placebo although statistical significance was not achieved at the second interim OS analysis (HR 0.73; 95% CI: 0.48, 1.11; p</w:t>
      </w:r>
      <w:r w:rsidR="00BE077F">
        <w:rPr>
          <w:lang w:val="en-GB"/>
        </w:rPr>
        <w:t xml:space="preserve"> </w:t>
      </w:r>
      <w:r w:rsidRPr="00542105">
        <w:rPr>
          <w:lang w:val="en-GB"/>
        </w:rPr>
        <w:t>=</w:t>
      </w:r>
      <w:r w:rsidR="00BE077F">
        <w:rPr>
          <w:lang w:val="en-GB"/>
        </w:rPr>
        <w:t xml:space="preserve"> 0.071 (</w:t>
      </w:r>
      <w:r w:rsidRPr="00542105">
        <w:rPr>
          <w:lang w:val="en-GB"/>
        </w:rPr>
        <w:t>when boundary for significance at thi</w:t>
      </w:r>
      <w:r w:rsidR="00BE077F">
        <w:rPr>
          <w:lang w:val="en-GB"/>
        </w:rPr>
        <w:t>s interim analysis was 0.001982)).</w:t>
      </w:r>
    </w:p>
    <w:p w14:paraId="29FFC4DE" w14:textId="09A04D5E" w:rsidR="00542105" w:rsidRPr="00542105" w:rsidRDefault="00542105" w:rsidP="00542105">
      <w:pPr>
        <w:rPr>
          <w:lang w:val="en-GB"/>
        </w:rPr>
      </w:pPr>
      <w:r w:rsidRPr="00542105">
        <w:rPr>
          <w:lang w:val="en-GB"/>
        </w:rPr>
        <w:t>The safety and tolerability profile of everolimus was consistent with prior experience in the advanced NET and oncology settings and no new safety risk was identified in this study. The grading (severity) of mos</w:t>
      </w:r>
      <w:r w:rsidR="00BE077F">
        <w:rPr>
          <w:lang w:val="en-GB"/>
        </w:rPr>
        <w:t>t events was modest (typically G</w:t>
      </w:r>
      <w:r w:rsidRPr="00542105">
        <w:rPr>
          <w:lang w:val="en-GB"/>
        </w:rPr>
        <w:t xml:space="preserve">rade 1 or 2) and these events were generally manageable with existing </w:t>
      </w:r>
      <w:r w:rsidR="00BE077F">
        <w:rPr>
          <w:lang w:val="en-GB"/>
        </w:rPr>
        <w:t>AE</w:t>
      </w:r>
      <w:r w:rsidRPr="00542105">
        <w:rPr>
          <w:lang w:val="en-GB"/>
        </w:rPr>
        <w:t xml:space="preserve"> management guidance (provided in the Dosage and Administration section of the PI). While many of the AEs reported may have a significant impact on </w:t>
      </w:r>
      <w:r w:rsidR="00BE077F">
        <w:rPr>
          <w:lang w:val="en-GB"/>
        </w:rPr>
        <w:t>QoL</w:t>
      </w:r>
      <w:r w:rsidRPr="00542105">
        <w:rPr>
          <w:lang w:val="en-GB"/>
        </w:rPr>
        <w:t>, it is important to note that QoL was not adversely impacte</w:t>
      </w:r>
      <w:r w:rsidR="00BE077F">
        <w:rPr>
          <w:lang w:val="en-GB"/>
        </w:rPr>
        <w:t>d by AEs.</w:t>
      </w:r>
    </w:p>
    <w:p w14:paraId="42348A85" w14:textId="0AFFEBB8" w:rsidR="00542105" w:rsidRDefault="00542105" w:rsidP="00542105">
      <w:pPr>
        <w:rPr>
          <w:lang w:val="en-GB"/>
        </w:rPr>
      </w:pPr>
      <w:r w:rsidRPr="00542105">
        <w:rPr>
          <w:lang w:val="en-GB"/>
        </w:rPr>
        <w:t xml:space="preserve">Overall, these results demonstrate a clinically meaningful and highly statistically significant improvement in PFS relative to placebo. Furthermore, preliminary OS results </w:t>
      </w:r>
      <w:r w:rsidRPr="00542105">
        <w:rPr>
          <w:lang w:val="en-GB"/>
        </w:rPr>
        <w:lastRenderedPageBreak/>
        <w:t>also favoured treatment with everolimus. This is also the first study to have shown unequivocal treatment benefit for patients with NET of lung origin (HR 0.50; 95% CI: 0.28, 0.88). T</w:t>
      </w:r>
      <w:r w:rsidR="00BE077F">
        <w:rPr>
          <w:lang w:val="en-GB"/>
        </w:rPr>
        <w:t>he proposed PI fully characteris</w:t>
      </w:r>
      <w:r w:rsidRPr="00542105">
        <w:rPr>
          <w:lang w:val="en-GB"/>
        </w:rPr>
        <w:t xml:space="preserve">es both efficacy and safety to enable the appropriate use of Afinitor in patients with progressive non-functional NETs of GI or lung origin with unresectable </w:t>
      </w:r>
      <w:r w:rsidR="00BE077F">
        <w:rPr>
          <w:lang w:val="en-GB"/>
        </w:rPr>
        <w:t>or metastatic disease to maximise benefit while minimis</w:t>
      </w:r>
      <w:r w:rsidRPr="00542105">
        <w:rPr>
          <w:lang w:val="en-GB"/>
        </w:rPr>
        <w:t>ing risk to patients. The data provided in this appl</w:t>
      </w:r>
      <w:r w:rsidR="00BE077F">
        <w:rPr>
          <w:lang w:val="en-GB"/>
        </w:rPr>
        <w:t>ication and the full characteris</w:t>
      </w:r>
      <w:r w:rsidRPr="00542105">
        <w:rPr>
          <w:lang w:val="en-GB"/>
        </w:rPr>
        <w:t>ation of these data in the PI support the use of everolimus in the propos</w:t>
      </w:r>
      <w:r w:rsidR="00BE077F">
        <w:rPr>
          <w:lang w:val="en-GB"/>
        </w:rPr>
        <w:t>ed indication.</w:t>
      </w:r>
    </w:p>
    <w:p w14:paraId="788611CA" w14:textId="1C6A44AC" w:rsidR="00CC7DD4" w:rsidRPr="00BE077F" w:rsidRDefault="00CC7DD4" w:rsidP="00CC7DD4">
      <w:pPr>
        <w:pStyle w:val="Heading5"/>
        <w:rPr>
          <w:lang w:val="en-GB"/>
        </w:rPr>
      </w:pPr>
      <w:r>
        <w:rPr>
          <w:lang w:val="en-GB"/>
        </w:rPr>
        <w:t>Sponsor’s response to issue 2</w:t>
      </w:r>
    </w:p>
    <w:p w14:paraId="20B840A0" w14:textId="1005D8AE" w:rsidR="00B739C1" w:rsidRPr="00B739C1" w:rsidRDefault="00B739C1" w:rsidP="00B739C1">
      <w:pPr>
        <w:ind w:left="720"/>
        <w:rPr>
          <w:i/>
          <w:lang w:val="en-GB"/>
        </w:rPr>
      </w:pPr>
      <w:r w:rsidRPr="00B739C1">
        <w:rPr>
          <w:i/>
          <w:lang w:val="en-GB"/>
        </w:rPr>
        <w:t>‘Please provide advice regarding the adequacy of the proposed PI for presentation of clinically relevant information’.</w:t>
      </w:r>
    </w:p>
    <w:p w14:paraId="3566BFA2" w14:textId="5AEEF393" w:rsidR="00B739C1" w:rsidRPr="00B739C1" w:rsidRDefault="00B739C1" w:rsidP="00B739C1">
      <w:pPr>
        <w:rPr>
          <w:lang w:val="en-GB"/>
        </w:rPr>
      </w:pPr>
      <w:r w:rsidRPr="00B739C1">
        <w:rPr>
          <w:lang w:val="en-GB"/>
        </w:rPr>
        <w:t>This issue mainly concerns proposed changes to other sections of proposed PI. The Delegate has raised the following con</w:t>
      </w:r>
      <w:r w:rsidR="00BE077F">
        <w:rPr>
          <w:lang w:val="en-GB"/>
        </w:rPr>
        <w:t>cerns:</w:t>
      </w:r>
    </w:p>
    <w:p w14:paraId="41D275D4" w14:textId="1109B655" w:rsidR="00B739C1" w:rsidRPr="00BE077F" w:rsidRDefault="00B739C1" w:rsidP="00B739C1">
      <w:pPr>
        <w:pStyle w:val="ListBullet"/>
        <w:rPr>
          <w:i/>
          <w:lang w:val="en-GB"/>
        </w:rPr>
      </w:pPr>
      <w:r w:rsidRPr="00BE077F">
        <w:rPr>
          <w:i/>
          <w:lang w:val="en-GB"/>
        </w:rPr>
        <w:t xml:space="preserve">Presentation of subgroup analyses </w:t>
      </w:r>
      <w:r w:rsidR="00C13976" w:rsidRPr="00BE077F">
        <w:rPr>
          <w:i/>
          <w:lang w:val="en-GB"/>
        </w:rPr>
        <w:t>in the clinical trials section</w:t>
      </w:r>
    </w:p>
    <w:p w14:paraId="41FF26E6" w14:textId="3D93429F" w:rsidR="00B739C1" w:rsidRPr="00B739C1" w:rsidRDefault="00C13976" w:rsidP="00B739C1">
      <w:pPr>
        <w:rPr>
          <w:lang w:val="en-GB"/>
        </w:rPr>
      </w:pPr>
      <w:r>
        <w:rPr>
          <w:lang w:val="en-GB"/>
        </w:rPr>
        <w:t xml:space="preserve">The sponsor </w:t>
      </w:r>
      <w:r w:rsidR="00B739C1" w:rsidRPr="00B739C1">
        <w:rPr>
          <w:lang w:val="en-GB"/>
        </w:rPr>
        <w:t xml:space="preserve">proposes to remove </w:t>
      </w:r>
      <w:r>
        <w:rPr>
          <w:lang w:val="en-GB"/>
        </w:rPr>
        <w:t>figures</w:t>
      </w:r>
      <w:r w:rsidR="00B739C1" w:rsidRPr="00B739C1">
        <w:rPr>
          <w:lang w:val="en-GB"/>
        </w:rPr>
        <w:t xml:space="preserve"> as recommended by the Del</w:t>
      </w:r>
      <w:r>
        <w:rPr>
          <w:lang w:val="en-GB"/>
        </w:rPr>
        <w:t>egate and replace with the pre-specified patient subgroup f</w:t>
      </w:r>
      <w:r w:rsidR="00B739C1" w:rsidRPr="00B739C1">
        <w:rPr>
          <w:lang w:val="en-GB"/>
        </w:rPr>
        <w:t xml:space="preserve">igure from the EU </w:t>
      </w:r>
      <w:r w:rsidR="00AA7113">
        <w:rPr>
          <w:lang w:val="en-GB"/>
        </w:rPr>
        <w:t>Summary of Product Characteristics (</w:t>
      </w:r>
      <w:r w:rsidR="00B739C1" w:rsidRPr="00B739C1">
        <w:rPr>
          <w:lang w:val="en-GB"/>
        </w:rPr>
        <w:t>SmPC</w:t>
      </w:r>
      <w:r w:rsidR="00AA7113">
        <w:rPr>
          <w:lang w:val="en-GB"/>
        </w:rPr>
        <w:t>)</w:t>
      </w:r>
      <w:r w:rsidR="00B739C1" w:rsidRPr="00B739C1">
        <w:rPr>
          <w:lang w:val="en-GB"/>
        </w:rPr>
        <w:t xml:space="preserve"> with associated SmPC text for this </w:t>
      </w:r>
      <w:r>
        <w:rPr>
          <w:lang w:val="en-GB"/>
        </w:rPr>
        <w:t>figure.</w:t>
      </w:r>
    </w:p>
    <w:p w14:paraId="1AD2EC92" w14:textId="23FB0F3A" w:rsidR="00C13976" w:rsidRPr="00BE077F" w:rsidRDefault="00B739C1" w:rsidP="00542105">
      <w:pPr>
        <w:pStyle w:val="ListBullet"/>
        <w:rPr>
          <w:i/>
          <w:lang w:val="en-GB"/>
        </w:rPr>
      </w:pPr>
      <w:r w:rsidRPr="00BE077F">
        <w:rPr>
          <w:i/>
          <w:lang w:val="en-GB"/>
        </w:rPr>
        <w:t>Complete omission of</w:t>
      </w:r>
      <w:r w:rsidR="00C13976" w:rsidRPr="00BE077F">
        <w:rPr>
          <w:i/>
          <w:lang w:val="en-GB"/>
        </w:rPr>
        <w:t xml:space="preserve"> information about trial C2325 ‘Radiant-2’</w:t>
      </w:r>
      <w:r w:rsidRPr="00BE077F">
        <w:rPr>
          <w:i/>
          <w:lang w:val="en-GB"/>
        </w:rPr>
        <w:t xml:space="preserve"> from the PI</w:t>
      </w:r>
    </w:p>
    <w:p w14:paraId="3FC81575" w14:textId="3F325F4B" w:rsidR="00A65F0F" w:rsidRPr="00A65F0F" w:rsidRDefault="00C13976" w:rsidP="00A65F0F">
      <w:pPr>
        <w:rPr>
          <w:lang w:val="en-GB"/>
        </w:rPr>
      </w:pPr>
      <w:r>
        <w:rPr>
          <w:lang w:val="en-GB"/>
        </w:rPr>
        <w:t>The sponsor removed</w:t>
      </w:r>
      <w:r w:rsidR="00B739C1" w:rsidRPr="00C13976">
        <w:rPr>
          <w:lang w:val="en-GB"/>
        </w:rPr>
        <w:t xml:space="preserve"> the information about trial C232</w:t>
      </w:r>
      <w:r>
        <w:rPr>
          <w:lang w:val="en-GB"/>
        </w:rPr>
        <w:t>5 on the recommendation of the clinical e</w:t>
      </w:r>
      <w:r w:rsidR="00B739C1" w:rsidRPr="00C13976">
        <w:rPr>
          <w:lang w:val="en-GB"/>
        </w:rPr>
        <w:t xml:space="preserve">valuator. </w:t>
      </w:r>
      <w:r>
        <w:rPr>
          <w:lang w:val="en-GB"/>
        </w:rPr>
        <w:t>The sponsor</w:t>
      </w:r>
      <w:r w:rsidR="00B739C1" w:rsidRPr="00C13976">
        <w:rPr>
          <w:lang w:val="en-GB"/>
        </w:rPr>
        <w:t xml:space="preserve"> proposes to re-instate the complete details of this trial as previously approved by TGA. In line </w:t>
      </w:r>
      <w:r w:rsidR="00A65F0F" w:rsidRPr="00A65F0F">
        <w:rPr>
          <w:lang w:val="en-GB"/>
        </w:rPr>
        <w:t>with the paragraph of the US</w:t>
      </w:r>
      <w:r w:rsidR="00A65F0F">
        <w:rPr>
          <w:lang w:val="en-GB"/>
        </w:rPr>
        <w:t xml:space="preserve"> </w:t>
      </w:r>
      <w:r w:rsidR="00A65F0F" w:rsidRPr="00A65F0F">
        <w:rPr>
          <w:lang w:val="en-GB"/>
        </w:rPr>
        <w:t xml:space="preserve">PI quoted by the Delegate, and to avoid any confusion between the populations recruited in the </w:t>
      </w:r>
      <w:r w:rsidR="00A65F0F">
        <w:rPr>
          <w:lang w:val="en-GB"/>
        </w:rPr>
        <w:t>C2325 and T2302 trials, the sponsor</w:t>
      </w:r>
      <w:r w:rsidR="00A65F0F" w:rsidRPr="00A65F0F">
        <w:rPr>
          <w:lang w:val="en-GB"/>
        </w:rPr>
        <w:t xml:space="preserve"> is proposing to clarify in the </w:t>
      </w:r>
      <w:r w:rsidR="00AA7113">
        <w:rPr>
          <w:lang w:val="en-GB"/>
        </w:rPr>
        <w:t>PI</w:t>
      </w:r>
      <w:r w:rsidR="00A65F0F" w:rsidRPr="00A65F0F">
        <w:rPr>
          <w:lang w:val="en-GB"/>
        </w:rPr>
        <w:t xml:space="preserve"> that the C2325 study was conducted in patients wi</w:t>
      </w:r>
      <w:r w:rsidR="00A65F0F">
        <w:rPr>
          <w:lang w:val="en-GB"/>
        </w:rPr>
        <w:t>th functional carcinoid tumours.</w:t>
      </w:r>
    </w:p>
    <w:p w14:paraId="79EC11A7" w14:textId="10B2FF5A" w:rsidR="00A65F0F" w:rsidRPr="00A65F0F" w:rsidRDefault="00A65F0F" w:rsidP="00A65F0F">
      <w:pPr>
        <w:rPr>
          <w:lang w:val="en-GB"/>
        </w:rPr>
      </w:pPr>
      <w:r w:rsidRPr="00A65F0F">
        <w:rPr>
          <w:lang w:val="en-GB"/>
        </w:rPr>
        <w:t>Other PI concerns raised by the Delegat</w:t>
      </w:r>
      <w:r w:rsidR="00BE077F">
        <w:rPr>
          <w:lang w:val="en-GB"/>
        </w:rPr>
        <w:t>e include:</w:t>
      </w:r>
    </w:p>
    <w:p w14:paraId="58109AB9" w14:textId="77777777" w:rsidR="00A65F0F" w:rsidRPr="00BE077F" w:rsidRDefault="00A65F0F" w:rsidP="00A65F0F">
      <w:pPr>
        <w:pStyle w:val="ListBullet"/>
        <w:rPr>
          <w:i/>
          <w:lang w:val="en-GB"/>
        </w:rPr>
      </w:pPr>
      <w:r w:rsidRPr="00BE077F">
        <w:rPr>
          <w:i/>
          <w:lang w:val="en-GB"/>
        </w:rPr>
        <w:t>The description of the patient group tumour characteristics should specify that the advanced non-functional NETs were ‘well-differentiated’.</w:t>
      </w:r>
    </w:p>
    <w:p w14:paraId="706E1FF0" w14:textId="6DB06124" w:rsidR="00A65F0F" w:rsidRPr="00A65F0F" w:rsidRDefault="00A65F0F" w:rsidP="00A65F0F">
      <w:pPr>
        <w:rPr>
          <w:lang w:val="en-GB"/>
        </w:rPr>
      </w:pPr>
      <w:r>
        <w:rPr>
          <w:lang w:val="en-GB"/>
        </w:rPr>
        <w:t>The sponsor agrees to include ‘well-differentiated’</w:t>
      </w:r>
      <w:r w:rsidRPr="00A65F0F">
        <w:rPr>
          <w:lang w:val="en-GB"/>
        </w:rPr>
        <w:t xml:space="preserve"> in the description of the patien</w:t>
      </w:r>
      <w:r>
        <w:rPr>
          <w:lang w:val="en-GB"/>
        </w:rPr>
        <w:t>t group tumour characteristics.</w:t>
      </w:r>
    </w:p>
    <w:p w14:paraId="0A62C79C" w14:textId="77777777" w:rsidR="00A65F0F" w:rsidRPr="00BE077F" w:rsidRDefault="00A65F0F" w:rsidP="00A65F0F">
      <w:pPr>
        <w:pStyle w:val="ListBullet"/>
        <w:rPr>
          <w:i/>
          <w:lang w:val="en-GB"/>
        </w:rPr>
      </w:pPr>
      <w:r w:rsidRPr="00BE077F">
        <w:rPr>
          <w:i/>
          <w:lang w:val="en-GB"/>
        </w:rPr>
        <w:t>With respect to baseline demographics please include that approximately 50% in both groups had a history of prior SSA use.</w:t>
      </w:r>
    </w:p>
    <w:p w14:paraId="4BCC2629" w14:textId="4DAC79A4" w:rsidR="00A65F0F" w:rsidRPr="00A65F0F" w:rsidRDefault="00A65F0F" w:rsidP="00A65F0F">
      <w:pPr>
        <w:rPr>
          <w:lang w:val="en-GB"/>
        </w:rPr>
      </w:pPr>
      <w:r>
        <w:rPr>
          <w:lang w:val="en-GB"/>
        </w:rPr>
        <w:t>The sponsor</w:t>
      </w:r>
      <w:r w:rsidRPr="00A65F0F">
        <w:rPr>
          <w:lang w:val="en-GB"/>
        </w:rPr>
        <w:t xml:space="preserve"> proposes to include this</w:t>
      </w:r>
      <w:r>
        <w:rPr>
          <w:lang w:val="en-GB"/>
        </w:rPr>
        <w:t xml:space="preserve"> in baseline demographics text.</w:t>
      </w:r>
    </w:p>
    <w:p w14:paraId="060F33A3" w14:textId="7A76EF0D" w:rsidR="00A65F0F" w:rsidRPr="00BE2BB9" w:rsidRDefault="00A65F0F" w:rsidP="00A65F0F">
      <w:pPr>
        <w:pStyle w:val="ListBullet"/>
        <w:rPr>
          <w:i/>
        </w:rPr>
      </w:pPr>
      <w:r w:rsidRPr="00BE2BB9">
        <w:rPr>
          <w:i/>
        </w:rPr>
        <w:t xml:space="preserve">While the PFS efficacy variables shown in Table 3 and </w:t>
      </w:r>
      <w:r w:rsidR="002469D6" w:rsidRPr="00BE2BB9">
        <w:rPr>
          <w:i/>
        </w:rPr>
        <w:t>the primary efficacy variable K</w:t>
      </w:r>
      <w:r w:rsidR="002469D6" w:rsidRPr="00BE2BB9">
        <w:rPr>
          <w:i/>
        </w:rPr>
        <w:noBreakHyphen/>
      </w:r>
      <w:r w:rsidRPr="00BE2BB9">
        <w:rPr>
          <w:i/>
        </w:rPr>
        <w:t xml:space="preserve">M curve for PFS from independent radiological review shown </w:t>
      </w:r>
      <w:r w:rsidR="00BE2BB9">
        <w:rPr>
          <w:i/>
        </w:rPr>
        <w:t>in Figure</w:t>
      </w:r>
      <w:r w:rsidRPr="00BE2BB9">
        <w:rPr>
          <w:i/>
        </w:rPr>
        <w:t xml:space="preserve"> 5 are acceptable, it is doubtful that there is additional benefit to the prescriber in showing the supportive analysis from local investigator asse</w:t>
      </w:r>
      <w:r w:rsidR="00BE2BB9">
        <w:rPr>
          <w:i/>
        </w:rPr>
        <w:t>ssment again at proposed Figure</w:t>
      </w:r>
      <w:r w:rsidRPr="00BE2BB9">
        <w:rPr>
          <w:i/>
        </w:rPr>
        <w:t xml:space="preserve"> 6 and it is recommended that this figure is omitted.</w:t>
      </w:r>
    </w:p>
    <w:p w14:paraId="71E0C2FD" w14:textId="785F7DA8" w:rsidR="00A65F0F" w:rsidRPr="00A65F0F" w:rsidRDefault="00BE2BB9" w:rsidP="00A65F0F">
      <w:pPr>
        <w:rPr>
          <w:lang w:val="en-GB"/>
        </w:rPr>
      </w:pPr>
      <w:r>
        <w:rPr>
          <w:lang w:val="en-GB"/>
        </w:rPr>
        <w:t>The sponsor</w:t>
      </w:r>
      <w:r w:rsidR="00A65F0F" w:rsidRPr="00A65F0F">
        <w:rPr>
          <w:lang w:val="en-GB"/>
        </w:rPr>
        <w:t xml:space="preserve"> proposes to remove Fig</w:t>
      </w:r>
      <w:r>
        <w:rPr>
          <w:lang w:val="en-GB"/>
        </w:rPr>
        <w:t>ure 6.</w:t>
      </w:r>
    </w:p>
    <w:p w14:paraId="6483148B" w14:textId="0A7E88EE" w:rsidR="00BE2BB9" w:rsidRPr="00BE2BB9" w:rsidRDefault="00BE2BB9" w:rsidP="00BE2BB9">
      <w:pPr>
        <w:pStyle w:val="ListBullet"/>
        <w:rPr>
          <w:rFonts w:ascii="MS Mincho" w:eastAsia="MS Mincho" w:hAnsi="MS Mincho" w:cs="MS Mincho"/>
          <w:i/>
          <w:lang w:val="en-GB"/>
        </w:rPr>
      </w:pPr>
      <w:r>
        <w:rPr>
          <w:i/>
          <w:lang w:val="en-GB"/>
        </w:rPr>
        <w:t>The ‘waterfall’ plot at Figure</w:t>
      </w:r>
      <w:r w:rsidR="00A65F0F" w:rsidRPr="00BE2BB9">
        <w:rPr>
          <w:i/>
          <w:lang w:val="en-GB"/>
        </w:rPr>
        <w:t xml:space="preserve"> 9 appears unnecessary but it is noted that such detail is included for the TSC trials in the approved PI.</w:t>
      </w:r>
    </w:p>
    <w:p w14:paraId="56A56AC8" w14:textId="4CCD39AD" w:rsidR="00A65F0F" w:rsidRPr="00A65F0F" w:rsidRDefault="00A65F0F" w:rsidP="00A65F0F">
      <w:pPr>
        <w:rPr>
          <w:lang w:val="en-GB"/>
        </w:rPr>
      </w:pPr>
      <w:r w:rsidRPr="00A65F0F">
        <w:rPr>
          <w:lang w:val="en-GB"/>
        </w:rPr>
        <w:t>Novartis proposes to keep Figure 9 as it visually supports the text on tumour shrinkage where the alternative to</w:t>
      </w:r>
      <w:r w:rsidR="00BE2BB9">
        <w:rPr>
          <w:lang w:val="en-GB"/>
        </w:rPr>
        <w:t xml:space="preserve"> Afinitor is chemotherapy.</w:t>
      </w:r>
    </w:p>
    <w:p w14:paraId="10762502" w14:textId="62A618AD" w:rsidR="00BE2BB9" w:rsidRPr="00587D1F" w:rsidRDefault="00A65F0F" w:rsidP="00BE2BB9">
      <w:pPr>
        <w:pStyle w:val="ListBullet"/>
        <w:rPr>
          <w:i/>
          <w:lang w:val="en-GB"/>
        </w:rPr>
      </w:pPr>
      <w:r w:rsidRPr="00587D1F">
        <w:rPr>
          <w:i/>
          <w:lang w:val="en-GB"/>
        </w:rPr>
        <w:t xml:space="preserve">The Delegate considers that if C2325 is deleted from </w:t>
      </w:r>
      <w:r w:rsidR="00587D1F">
        <w:rPr>
          <w:i/>
          <w:lang w:val="en-GB"/>
        </w:rPr>
        <w:t>‘</w:t>
      </w:r>
      <w:r w:rsidRPr="00587D1F">
        <w:rPr>
          <w:i/>
          <w:lang w:val="en-GB"/>
        </w:rPr>
        <w:t>Clinical Trials</w:t>
      </w:r>
      <w:r w:rsidR="00A7241D">
        <w:rPr>
          <w:i/>
          <w:lang w:val="en-GB"/>
        </w:rPr>
        <w:t>’</w:t>
      </w:r>
      <w:r w:rsidRPr="00587D1F">
        <w:rPr>
          <w:i/>
          <w:lang w:val="en-GB"/>
        </w:rPr>
        <w:t xml:space="preserve">, information should be added under </w:t>
      </w:r>
      <w:r w:rsidR="00A7241D">
        <w:rPr>
          <w:i/>
          <w:lang w:val="en-GB"/>
        </w:rPr>
        <w:t>‘</w:t>
      </w:r>
      <w:r w:rsidRPr="00587D1F">
        <w:rPr>
          <w:i/>
          <w:lang w:val="en-GB"/>
        </w:rPr>
        <w:t>Precautions</w:t>
      </w:r>
      <w:r w:rsidR="00A7241D">
        <w:rPr>
          <w:i/>
          <w:lang w:val="en-GB"/>
        </w:rPr>
        <w:t>’</w:t>
      </w:r>
      <w:r w:rsidRPr="00587D1F">
        <w:rPr>
          <w:i/>
          <w:lang w:val="en-GB"/>
        </w:rPr>
        <w:t xml:space="preserve"> to explain that safety and efficacy of everolimus in patients with functional carcinoid tumours have not been established.</w:t>
      </w:r>
    </w:p>
    <w:p w14:paraId="22FE52B3" w14:textId="1626972F" w:rsidR="00A65F0F" w:rsidRPr="00A65F0F" w:rsidRDefault="00BE2BB9" w:rsidP="00BE2BB9">
      <w:pPr>
        <w:rPr>
          <w:lang w:val="en-GB"/>
        </w:rPr>
      </w:pPr>
      <w:r>
        <w:rPr>
          <w:lang w:val="en-GB"/>
        </w:rPr>
        <w:t>The sponsor</w:t>
      </w:r>
      <w:r w:rsidR="00A65F0F" w:rsidRPr="00A65F0F">
        <w:rPr>
          <w:lang w:val="en-GB"/>
        </w:rPr>
        <w:t xml:space="preserve"> proposes to include the details of Study C2325 under the Clinical Trials section</w:t>
      </w:r>
      <w:r>
        <w:rPr>
          <w:lang w:val="en-GB"/>
        </w:rPr>
        <w:t xml:space="preserve"> as previously approved by TGA.</w:t>
      </w:r>
    </w:p>
    <w:p w14:paraId="6CFB68DB" w14:textId="77777777" w:rsidR="00BE2BB9" w:rsidRPr="00BE2BB9" w:rsidRDefault="00A65F0F" w:rsidP="00BE2BB9">
      <w:pPr>
        <w:pStyle w:val="ListBullet"/>
        <w:rPr>
          <w:rFonts w:ascii="MS Mincho" w:eastAsia="MS Mincho" w:hAnsi="MS Mincho" w:cs="MS Mincho"/>
          <w:i/>
          <w:lang w:val="en-GB"/>
        </w:rPr>
      </w:pPr>
      <w:r w:rsidRPr="00BE2BB9">
        <w:rPr>
          <w:i/>
          <w:lang w:val="en-GB"/>
        </w:rPr>
        <w:lastRenderedPageBreak/>
        <w:t>The Delegate considers that additional information about outcomes of PFS in the subgroup with ileum as the primary tumour origin should be included under Precautions.</w:t>
      </w:r>
    </w:p>
    <w:p w14:paraId="11B760EA" w14:textId="67DC3DE2" w:rsidR="00A65F0F" w:rsidRPr="00A65F0F" w:rsidRDefault="00BE2BB9" w:rsidP="00A65F0F">
      <w:pPr>
        <w:rPr>
          <w:lang w:val="en-GB"/>
        </w:rPr>
      </w:pPr>
      <w:r>
        <w:rPr>
          <w:lang w:val="en-GB"/>
        </w:rPr>
        <w:t xml:space="preserve">The sponsor </w:t>
      </w:r>
      <w:r w:rsidR="00A65F0F" w:rsidRPr="00A65F0F">
        <w:rPr>
          <w:lang w:val="en-GB"/>
        </w:rPr>
        <w:t>proposes to include additional information about outcomes of PFS in the subgroup of patients with ileum as the primary tumo</w:t>
      </w:r>
      <w:r>
        <w:rPr>
          <w:lang w:val="en-GB"/>
        </w:rPr>
        <w:t>u</w:t>
      </w:r>
      <w:r w:rsidR="00A65F0F" w:rsidRPr="00A65F0F">
        <w:rPr>
          <w:lang w:val="en-GB"/>
        </w:rPr>
        <w:t>r origin in line with EU Sm</w:t>
      </w:r>
      <w:r>
        <w:rPr>
          <w:lang w:val="en-GB"/>
        </w:rPr>
        <w:t>PC text quoted by the Delegate.</w:t>
      </w:r>
    </w:p>
    <w:p w14:paraId="00AD9538" w14:textId="6C36E6C4" w:rsidR="00A65F0F" w:rsidRPr="00BE2BB9" w:rsidRDefault="00A65F0F" w:rsidP="00BE2BB9">
      <w:pPr>
        <w:pStyle w:val="ListBullet"/>
        <w:rPr>
          <w:i/>
          <w:lang w:val="en-GB"/>
        </w:rPr>
      </w:pPr>
      <w:r w:rsidRPr="00BE2BB9">
        <w:rPr>
          <w:i/>
          <w:lang w:val="en-GB"/>
        </w:rPr>
        <w:t>The number in the pooled oncology safety data base has increased from 1175 to 2672. As there were only 205 patients exposed to Afinitor in the T2302 trial, it is not obvious from the submission what other trials</w:t>
      </w:r>
      <w:r w:rsidR="00BE2BB9" w:rsidRPr="00BE2BB9">
        <w:rPr>
          <w:i/>
          <w:lang w:val="en-GB"/>
        </w:rPr>
        <w:t xml:space="preserve"> are contributing to these data. </w:t>
      </w:r>
      <w:r w:rsidRPr="00BE2BB9">
        <w:rPr>
          <w:i/>
          <w:lang w:val="en-GB"/>
        </w:rPr>
        <w:t>This</w:t>
      </w:r>
      <w:r w:rsidR="00BE2BB9" w:rsidRPr="00BE2BB9">
        <w:rPr>
          <w:i/>
          <w:lang w:val="en-GB"/>
        </w:rPr>
        <w:t xml:space="preserve"> number was not located by the D</w:t>
      </w:r>
      <w:r w:rsidRPr="00BE2BB9">
        <w:rPr>
          <w:i/>
          <w:lang w:val="en-GB"/>
        </w:rPr>
        <w:t xml:space="preserve">elegate in either the Summary of Clinical Safety or </w:t>
      </w:r>
      <w:r w:rsidR="00BE2BB9" w:rsidRPr="00BE2BB9">
        <w:rPr>
          <w:i/>
          <w:lang w:val="en-GB"/>
        </w:rPr>
        <w:t>PSUR 10; please clarify.</w:t>
      </w:r>
    </w:p>
    <w:p w14:paraId="1E423287" w14:textId="43787C1E" w:rsidR="00A65F0F" w:rsidRDefault="00A65F0F" w:rsidP="00A65F0F">
      <w:pPr>
        <w:rPr>
          <w:lang w:val="en-GB"/>
        </w:rPr>
      </w:pPr>
      <w:r w:rsidRPr="00A65F0F">
        <w:rPr>
          <w:lang w:val="en-GB"/>
        </w:rPr>
        <w:t>The current (N=1175) safety pool presented in the app</w:t>
      </w:r>
      <w:r w:rsidR="00BE2BB9">
        <w:rPr>
          <w:lang w:val="en-GB"/>
        </w:rPr>
        <w:t xml:space="preserve">roved PI is based on the double </w:t>
      </w:r>
      <w:r w:rsidRPr="00A65F0F">
        <w:rPr>
          <w:lang w:val="en-GB"/>
        </w:rPr>
        <w:t>bl</w:t>
      </w:r>
      <w:r w:rsidR="00CC7DD4">
        <w:rPr>
          <w:lang w:val="en-GB"/>
        </w:rPr>
        <w:t>ind periods of the 4</w:t>
      </w:r>
      <w:r w:rsidR="00BE2BB9">
        <w:rPr>
          <w:lang w:val="en-GB"/>
        </w:rPr>
        <w:t xml:space="preserve"> randomised double </w:t>
      </w:r>
      <w:r w:rsidRPr="00A65F0F">
        <w:rPr>
          <w:lang w:val="en-GB"/>
        </w:rPr>
        <w:t>blind controlled Phase III studies supporting the registered indicat</w:t>
      </w:r>
      <w:r w:rsidR="00CC7DD4">
        <w:rPr>
          <w:lang w:val="en-GB"/>
        </w:rPr>
        <w:t>ions as listed below (Table 12</w:t>
      </w:r>
      <w:r w:rsidR="00BE2BB9">
        <w:rPr>
          <w:lang w:val="en-GB"/>
        </w:rPr>
        <w:t>).</w:t>
      </w:r>
    </w:p>
    <w:p w14:paraId="105864D6" w14:textId="7870610E" w:rsidR="00BE2BB9" w:rsidRPr="00A65F0F" w:rsidRDefault="00CC7DD4" w:rsidP="00BE2BB9">
      <w:pPr>
        <w:pStyle w:val="Tabletitle0"/>
        <w:rPr>
          <w:lang w:val="en-GB"/>
        </w:rPr>
      </w:pPr>
      <w:r>
        <w:rPr>
          <w:lang w:val="en-GB"/>
        </w:rPr>
        <w:t>Table 12</w:t>
      </w:r>
      <w:r w:rsidR="00BE2BB9">
        <w:rPr>
          <w:lang w:val="en-GB"/>
        </w:rPr>
        <w:t>. Oncology studies included in the current safety pool</w:t>
      </w:r>
    </w:p>
    <w:p w14:paraId="0AE9208D" w14:textId="7262959B" w:rsidR="00B739C1" w:rsidRPr="00C13976" w:rsidRDefault="00BE2BB9" w:rsidP="00C13976">
      <w:pPr>
        <w:rPr>
          <w:lang w:val="en-GB"/>
        </w:rPr>
      </w:pPr>
      <w:r w:rsidRPr="00BE2BB9">
        <w:rPr>
          <w:noProof/>
          <w:lang w:eastAsia="en-AU"/>
        </w:rPr>
        <w:drawing>
          <wp:inline distT="0" distB="0" distL="0" distR="0" wp14:anchorId="4B124ED9" wp14:editId="79DABD91">
            <wp:extent cx="5400040" cy="4121150"/>
            <wp:effectExtent l="0" t="0" r="10160" b="0"/>
            <wp:docPr id="1" name="Picture 1" descr="Oncology studies included in the current safety p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4121150"/>
                    </a:xfrm>
                    <a:prstGeom prst="rect">
                      <a:avLst/>
                    </a:prstGeom>
                  </pic:spPr>
                </pic:pic>
              </a:graphicData>
            </a:graphic>
          </wp:inline>
        </w:drawing>
      </w:r>
    </w:p>
    <w:p w14:paraId="2ECE9D58" w14:textId="02D2D684" w:rsidR="008C5459" w:rsidRPr="008C5459" w:rsidRDefault="008C5459" w:rsidP="008C5459">
      <w:pPr>
        <w:rPr>
          <w:lang w:val="en-GB"/>
        </w:rPr>
      </w:pPr>
      <w:r w:rsidRPr="008C5459">
        <w:rPr>
          <w:lang w:val="en-GB"/>
        </w:rPr>
        <w:t>The expanded safety pool (N</w:t>
      </w:r>
      <w:r>
        <w:rPr>
          <w:lang w:val="en-GB"/>
        </w:rPr>
        <w:t xml:space="preserve"> </w:t>
      </w:r>
      <w:r w:rsidRPr="008C5459">
        <w:rPr>
          <w:lang w:val="en-GB"/>
        </w:rPr>
        <w:t>=</w:t>
      </w:r>
      <w:r>
        <w:rPr>
          <w:lang w:val="en-GB"/>
        </w:rPr>
        <w:t xml:space="preserve"> </w:t>
      </w:r>
      <w:r w:rsidRPr="008C5459">
        <w:rPr>
          <w:lang w:val="en-GB"/>
        </w:rPr>
        <w:t xml:space="preserve">2672) is based on the addition </w:t>
      </w:r>
      <w:r>
        <w:rPr>
          <w:lang w:val="en-GB"/>
        </w:rPr>
        <w:t xml:space="preserve">of the open </w:t>
      </w:r>
      <w:r w:rsidRPr="008C5459">
        <w:rPr>
          <w:lang w:val="en-GB"/>
        </w:rPr>
        <w:t>label periods of the trials mentioned in Table 1</w:t>
      </w:r>
      <w:r w:rsidR="00CC7DD4">
        <w:rPr>
          <w:lang w:val="en-GB"/>
        </w:rPr>
        <w:t>2 (above)</w:t>
      </w:r>
      <w:r w:rsidRPr="008C5459">
        <w:rPr>
          <w:lang w:val="en-GB"/>
        </w:rPr>
        <w:t xml:space="preserve"> as well as Phase I, II and Phase III trials which are related to the registered indications and were previously reported in the registration dossiers or </w:t>
      </w:r>
      <w:r w:rsidR="00B14B59">
        <w:rPr>
          <w:lang w:val="en-GB"/>
        </w:rPr>
        <w:t>Periodic Safety Update Reports (</w:t>
      </w:r>
      <w:r w:rsidRPr="008C5459">
        <w:rPr>
          <w:lang w:val="en-GB"/>
        </w:rPr>
        <w:t>PSURs</w:t>
      </w:r>
      <w:r w:rsidR="00B14B59">
        <w:rPr>
          <w:lang w:val="en-GB"/>
        </w:rPr>
        <w:t>)</w:t>
      </w:r>
      <w:r w:rsidRPr="008C5459">
        <w:rPr>
          <w:lang w:val="en-GB"/>
        </w:rPr>
        <w:t xml:space="preserve">. This update is in line with the reference safety information, the Core Data Sheet, as shown in the Afinitor PSUR 10 (Oncology Setting) </w:t>
      </w:r>
      <w:r w:rsidR="00CC7DD4">
        <w:rPr>
          <w:lang w:val="en-GB"/>
        </w:rPr>
        <w:t>previously submitted to TGA. Detailed here,</w:t>
      </w:r>
      <w:r w:rsidRPr="008C5459">
        <w:rPr>
          <w:lang w:val="en-GB"/>
        </w:rPr>
        <w:t xml:space="preserve"> th</w:t>
      </w:r>
      <w:r>
        <w:rPr>
          <w:lang w:val="en-GB"/>
        </w:rPr>
        <w:t>e updated safety pool includes:</w:t>
      </w:r>
    </w:p>
    <w:p w14:paraId="4777041F" w14:textId="2314D72C" w:rsidR="008C5459" w:rsidRPr="00943FE0" w:rsidRDefault="00943FE0" w:rsidP="009E79FB">
      <w:pPr>
        <w:pStyle w:val="Numberbullet0"/>
        <w:numPr>
          <w:ilvl w:val="0"/>
          <w:numId w:val="8"/>
        </w:numPr>
        <w:rPr>
          <w:lang w:val="en-GB"/>
        </w:rPr>
      </w:pPr>
      <w:r>
        <w:rPr>
          <w:lang w:val="en-GB"/>
        </w:rPr>
        <w:t xml:space="preserve">The open </w:t>
      </w:r>
      <w:r w:rsidR="008C5459" w:rsidRPr="00943FE0">
        <w:rPr>
          <w:lang w:val="en-GB"/>
        </w:rPr>
        <w:t>label periods from the 4 randomised</w:t>
      </w:r>
      <w:r>
        <w:rPr>
          <w:lang w:val="en-GB"/>
        </w:rPr>
        <w:t>,</w:t>
      </w:r>
      <w:r w:rsidR="008C5459" w:rsidRPr="00943FE0">
        <w:rPr>
          <w:lang w:val="en-GB"/>
        </w:rPr>
        <w:t xml:space="preserve"> double blind</w:t>
      </w:r>
      <w:r>
        <w:rPr>
          <w:lang w:val="en-GB"/>
        </w:rPr>
        <w:t>,</w:t>
      </w:r>
      <w:r w:rsidR="008C5459" w:rsidRPr="00943FE0">
        <w:rPr>
          <w:lang w:val="en-GB"/>
        </w:rPr>
        <w:t xml:space="preserve"> controlled piv</w:t>
      </w:r>
      <w:r>
        <w:rPr>
          <w:lang w:val="en-GB"/>
        </w:rPr>
        <w:t>otal Phase </w:t>
      </w:r>
      <w:r w:rsidR="008C5459" w:rsidRPr="00943FE0">
        <w:rPr>
          <w:lang w:val="en-GB"/>
        </w:rPr>
        <w:t>III studies listed in</w:t>
      </w:r>
      <w:r w:rsidR="00CC7DD4">
        <w:rPr>
          <w:lang w:val="en-GB"/>
        </w:rPr>
        <w:t xml:space="preserve"> Table 12</w:t>
      </w:r>
      <w:r w:rsidR="008C5459" w:rsidRPr="00943FE0">
        <w:rPr>
          <w:lang w:val="en-GB"/>
        </w:rPr>
        <w:t>.</w:t>
      </w:r>
      <w:r w:rsidR="008C5459" w:rsidRPr="00943FE0">
        <w:rPr>
          <w:rFonts w:ascii="MS Mincho" w:eastAsia="MS Mincho" w:hAnsi="MS Mincho" w:cs="MS Mincho"/>
          <w:lang w:val="en-GB"/>
        </w:rPr>
        <w:t> </w:t>
      </w:r>
    </w:p>
    <w:p w14:paraId="3BE5FA38" w14:textId="20ED02EF" w:rsidR="008C5459" w:rsidRPr="00943FE0" w:rsidRDefault="00943FE0" w:rsidP="009E79FB">
      <w:pPr>
        <w:pStyle w:val="Numberbullet0"/>
        <w:numPr>
          <w:ilvl w:val="0"/>
          <w:numId w:val="8"/>
        </w:numPr>
        <w:rPr>
          <w:lang w:val="en-GB"/>
        </w:rPr>
      </w:pPr>
      <w:r>
        <w:rPr>
          <w:lang w:val="en-GB"/>
        </w:rPr>
        <w:lastRenderedPageBreak/>
        <w:t xml:space="preserve">The additional randomised double </w:t>
      </w:r>
      <w:r w:rsidR="008C5459" w:rsidRPr="00943FE0">
        <w:rPr>
          <w:lang w:val="en-GB"/>
        </w:rPr>
        <w:t>blind controlled Phase III study in advanced, progressive, non-functional neuroendocrine tumo</w:t>
      </w:r>
      <w:r>
        <w:rPr>
          <w:lang w:val="en-GB"/>
        </w:rPr>
        <w:t>u</w:t>
      </w:r>
      <w:r w:rsidR="008C5459" w:rsidRPr="00943FE0">
        <w:rPr>
          <w:lang w:val="en-GB"/>
        </w:rPr>
        <w:t xml:space="preserve">rs of </w:t>
      </w:r>
      <w:r w:rsidRPr="00943FE0">
        <w:rPr>
          <w:lang w:val="en-GB"/>
        </w:rPr>
        <w:t>GI or lung origin (T2302 trial).</w:t>
      </w:r>
    </w:p>
    <w:p w14:paraId="0D70631B" w14:textId="77777777" w:rsidR="00943FE0" w:rsidRDefault="00943FE0" w:rsidP="009E79FB">
      <w:pPr>
        <w:pStyle w:val="Numberbullet0"/>
        <w:numPr>
          <w:ilvl w:val="0"/>
          <w:numId w:val="8"/>
        </w:numPr>
        <w:rPr>
          <w:lang w:val="en-GB"/>
        </w:rPr>
      </w:pPr>
      <w:r>
        <w:rPr>
          <w:lang w:val="en-GB"/>
        </w:rPr>
        <w:t xml:space="preserve">3 additional open </w:t>
      </w:r>
      <w:r w:rsidR="008C5459" w:rsidRPr="00943FE0">
        <w:rPr>
          <w:lang w:val="en-GB"/>
        </w:rPr>
        <w:t>label Phase I and II studies (</w:t>
      </w:r>
      <w:r>
        <w:rPr>
          <w:lang w:val="en-GB"/>
        </w:rPr>
        <w:t>Studies L2201, L2202, and C2239). 2</w:t>
      </w:r>
      <w:r w:rsidR="008C5459" w:rsidRPr="00943FE0">
        <w:rPr>
          <w:lang w:val="en-GB"/>
        </w:rPr>
        <w:t xml:space="preserve"> of these</w:t>
      </w:r>
      <w:r>
        <w:rPr>
          <w:lang w:val="en-GB"/>
        </w:rPr>
        <w:t xml:space="preserve"> open label studies are randomis</w:t>
      </w:r>
      <w:r w:rsidR="008C5459" w:rsidRPr="00943FE0">
        <w:rPr>
          <w:lang w:val="en-GB"/>
        </w:rPr>
        <w:t>ed studies with an active comparator arm (L2201 and L2202) and one (C2239) is a two stratum study</w:t>
      </w:r>
      <w:r>
        <w:rPr>
          <w:lang w:val="en-GB"/>
        </w:rPr>
        <w:t xml:space="preserve"> (with and without octreotide).</w:t>
      </w:r>
    </w:p>
    <w:p w14:paraId="5FEA9D85" w14:textId="17B102E5" w:rsidR="00943FE0" w:rsidRDefault="00943FE0" w:rsidP="009E79FB">
      <w:pPr>
        <w:pStyle w:val="Numberbullet0"/>
        <w:numPr>
          <w:ilvl w:val="0"/>
          <w:numId w:val="8"/>
        </w:numPr>
        <w:rPr>
          <w:lang w:val="en-GB"/>
        </w:rPr>
      </w:pPr>
      <w:r>
        <w:rPr>
          <w:lang w:val="en-GB"/>
        </w:rPr>
        <w:t xml:space="preserve">Study C2222, a randomised, </w:t>
      </w:r>
      <w:r w:rsidR="00317383">
        <w:rPr>
          <w:lang w:val="en-GB"/>
        </w:rPr>
        <w:t xml:space="preserve">double </w:t>
      </w:r>
      <w:r w:rsidR="008C5459" w:rsidRPr="00943FE0">
        <w:rPr>
          <w:lang w:val="en-GB"/>
        </w:rPr>
        <w:t>blind</w:t>
      </w:r>
      <w:r>
        <w:rPr>
          <w:lang w:val="en-GB"/>
        </w:rPr>
        <w:t>,</w:t>
      </w:r>
      <w:r w:rsidR="008C5459" w:rsidRPr="00943FE0">
        <w:rPr>
          <w:lang w:val="en-GB"/>
        </w:rPr>
        <w:t xml:space="preserve"> controlled Phase II study </w:t>
      </w:r>
      <w:r>
        <w:rPr>
          <w:lang w:val="en-GB"/>
        </w:rPr>
        <w:t>in patients with breast cancer.</w:t>
      </w:r>
    </w:p>
    <w:p w14:paraId="77570E5E" w14:textId="6CC05D9F" w:rsidR="008C5459" w:rsidRDefault="008C5459" w:rsidP="009E79FB">
      <w:pPr>
        <w:pStyle w:val="Numberbullet0"/>
        <w:numPr>
          <w:ilvl w:val="0"/>
          <w:numId w:val="8"/>
        </w:numPr>
        <w:rPr>
          <w:lang w:val="en-GB"/>
        </w:rPr>
      </w:pPr>
      <w:r w:rsidRPr="00943FE0">
        <w:rPr>
          <w:lang w:val="en-GB"/>
        </w:rPr>
        <w:t xml:space="preserve">Study L2101, an open label trial in patients with </w:t>
      </w:r>
      <w:r w:rsidR="00943FE0">
        <w:rPr>
          <w:lang w:val="en-GB"/>
        </w:rPr>
        <w:t>advanced RCC conducted in China.</w:t>
      </w:r>
    </w:p>
    <w:p w14:paraId="3F0BD438" w14:textId="43D935F8" w:rsidR="00CC7DD4" w:rsidRPr="00CC7DD4" w:rsidRDefault="00CC7DD4" w:rsidP="00CC7DD4">
      <w:r>
        <w:t>Further details of the oncology studies in the updated safety pool are given in Table 13, below.</w:t>
      </w:r>
    </w:p>
    <w:p w14:paraId="2A4D2326" w14:textId="2893896D" w:rsidR="00317383" w:rsidRPr="00943FE0" w:rsidRDefault="00CC7DD4" w:rsidP="00542105">
      <w:pPr>
        <w:pStyle w:val="Tabletitle0"/>
        <w:rPr>
          <w:lang w:val="en-GB"/>
        </w:rPr>
      </w:pPr>
      <w:r>
        <w:rPr>
          <w:lang w:val="en-GB"/>
        </w:rPr>
        <w:lastRenderedPageBreak/>
        <w:t>Table 13</w:t>
      </w:r>
      <w:r w:rsidR="00542105">
        <w:rPr>
          <w:lang w:val="en-GB"/>
        </w:rPr>
        <w:t xml:space="preserve">. </w:t>
      </w:r>
      <w:r w:rsidR="00317383">
        <w:rPr>
          <w:lang w:val="en-GB"/>
        </w:rPr>
        <w:t>Oncology studies in the updated safety pool</w:t>
      </w:r>
    </w:p>
    <w:p w14:paraId="1ED3444B" w14:textId="0F8C9D68" w:rsidR="0059728F" w:rsidRDefault="00557E70" w:rsidP="0059728F">
      <w:r w:rsidRPr="00557E70">
        <w:rPr>
          <w:noProof/>
          <w:lang w:eastAsia="en-AU"/>
        </w:rPr>
        <w:drawing>
          <wp:inline distT="0" distB="0" distL="0" distR="0" wp14:anchorId="207F66F0" wp14:editId="51C9603E">
            <wp:extent cx="5400040" cy="6555740"/>
            <wp:effectExtent l="0" t="0" r="10160" b="0"/>
            <wp:docPr id="2" name="Picture 2" descr="Oncology studies in the updated safety p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00040" cy="6555740"/>
                    </a:xfrm>
                    <a:prstGeom prst="rect">
                      <a:avLst/>
                    </a:prstGeom>
                  </pic:spPr>
                </pic:pic>
              </a:graphicData>
            </a:graphic>
          </wp:inline>
        </w:drawing>
      </w:r>
    </w:p>
    <w:p w14:paraId="76F22019" w14:textId="1681CA9A" w:rsidR="00542105" w:rsidRDefault="00CC7DD4" w:rsidP="00542105">
      <w:pPr>
        <w:pStyle w:val="Tabletitle0"/>
      </w:pPr>
      <w:r>
        <w:lastRenderedPageBreak/>
        <w:t>Table 13</w:t>
      </w:r>
      <w:r w:rsidR="00542105">
        <w:t xml:space="preserve"> (continued). Oncology studies in the updated safety pool</w:t>
      </w:r>
    </w:p>
    <w:p w14:paraId="56B2CB6E" w14:textId="2EB03C47" w:rsidR="00542105" w:rsidRPr="0059728F" w:rsidRDefault="00542105" w:rsidP="0059728F">
      <w:r w:rsidRPr="00542105">
        <w:rPr>
          <w:noProof/>
          <w:lang w:eastAsia="en-AU"/>
        </w:rPr>
        <w:drawing>
          <wp:inline distT="0" distB="0" distL="0" distR="0" wp14:anchorId="3A05296A" wp14:editId="357E1D3D">
            <wp:extent cx="5400040" cy="2805430"/>
            <wp:effectExtent l="0" t="0" r="10160" b="0"/>
            <wp:docPr id="3" name="Picture 3" descr="Oncology studies in the updated safety p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2805430"/>
                    </a:xfrm>
                    <a:prstGeom prst="rect">
                      <a:avLst/>
                    </a:prstGeom>
                  </pic:spPr>
                </pic:pic>
              </a:graphicData>
            </a:graphic>
          </wp:inline>
        </w:drawing>
      </w:r>
    </w:p>
    <w:p w14:paraId="7F94CE9B" w14:textId="714641D5" w:rsidR="008E7846" w:rsidRDefault="009475E9" w:rsidP="008E7846">
      <w:pPr>
        <w:pStyle w:val="Heading4"/>
      </w:pPr>
      <w:r>
        <w:t>Advisory Committee c</w:t>
      </w:r>
      <w:r w:rsidR="008E7846">
        <w:t>onsiderations</w:t>
      </w:r>
    </w:p>
    <w:p w14:paraId="10107E16" w14:textId="3357CD48" w:rsidR="00241A79" w:rsidRPr="00241A79" w:rsidRDefault="00241A79" w:rsidP="00241A79">
      <w:pPr>
        <w:rPr>
          <w:lang w:val="en-GB"/>
        </w:rPr>
      </w:pPr>
      <w:r w:rsidRPr="00241A79">
        <w:rPr>
          <w:lang w:val="en-GB"/>
        </w:rPr>
        <w:t xml:space="preserve">The ACPM, taking into account the submitted evidence of efficacy, safety and quality, agreed with the </w:t>
      </w:r>
      <w:r w:rsidR="00B14B59">
        <w:rPr>
          <w:lang w:val="en-GB"/>
        </w:rPr>
        <w:t>D</w:t>
      </w:r>
      <w:r w:rsidR="00B14B59" w:rsidRPr="00241A79">
        <w:rPr>
          <w:lang w:val="en-GB"/>
        </w:rPr>
        <w:t xml:space="preserve">elegate </w:t>
      </w:r>
      <w:r w:rsidRPr="00241A79">
        <w:rPr>
          <w:lang w:val="en-GB"/>
        </w:rPr>
        <w:t>and considered A</w:t>
      </w:r>
      <w:r w:rsidR="009475E9">
        <w:rPr>
          <w:lang w:val="en-GB"/>
        </w:rPr>
        <w:t>finitor</w:t>
      </w:r>
      <w:r w:rsidRPr="00241A79">
        <w:rPr>
          <w:lang w:val="en-GB"/>
        </w:rPr>
        <w:t xml:space="preserve"> tablet and disp</w:t>
      </w:r>
      <w:r>
        <w:rPr>
          <w:lang w:val="en-GB"/>
        </w:rPr>
        <w:t>ersible tablet containing 2.5 mg, 5 mg, 10 mg (tablets),</w:t>
      </w:r>
      <w:r w:rsidR="009475E9">
        <w:rPr>
          <w:lang w:val="en-GB"/>
        </w:rPr>
        <w:t xml:space="preserve"> and</w:t>
      </w:r>
      <w:r>
        <w:rPr>
          <w:lang w:val="en-GB"/>
        </w:rPr>
        <w:t xml:space="preserve"> 2 mg, 3 mg, 5 m</w:t>
      </w:r>
      <w:r w:rsidRPr="00241A79">
        <w:rPr>
          <w:lang w:val="en-GB"/>
        </w:rPr>
        <w:t>g (dispersible tablets) of everolimus to have an overall positive benefit-risk profi</w:t>
      </w:r>
      <w:r>
        <w:rPr>
          <w:lang w:val="en-GB"/>
        </w:rPr>
        <w:t>le for the modified indication:</w:t>
      </w:r>
    </w:p>
    <w:p w14:paraId="63C1DCFE" w14:textId="7756C3EA" w:rsidR="00241A79" w:rsidRPr="009475E9" w:rsidRDefault="009475E9" w:rsidP="009475E9">
      <w:pPr>
        <w:ind w:left="720"/>
        <w:rPr>
          <w:i/>
          <w:lang w:val="en-GB"/>
        </w:rPr>
      </w:pPr>
      <w:r>
        <w:rPr>
          <w:i/>
          <w:lang w:val="en-GB"/>
        </w:rPr>
        <w:t>‘</w:t>
      </w:r>
      <w:r w:rsidR="00241A79" w:rsidRPr="009475E9">
        <w:rPr>
          <w:i/>
          <w:lang w:val="en-GB"/>
        </w:rPr>
        <w:t>A</w:t>
      </w:r>
      <w:r w:rsidR="00470545" w:rsidRPr="009475E9">
        <w:rPr>
          <w:i/>
          <w:lang w:val="en-GB"/>
        </w:rPr>
        <w:t>finitor is</w:t>
      </w:r>
      <w:r w:rsidR="00241A79" w:rsidRPr="009475E9">
        <w:rPr>
          <w:i/>
          <w:lang w:val="en-GB"/>
        </w:rPr>
        <w:t xml:space="preserve"> indicated for the tre</w:t>
      </w:r>
      <w:r w:rsidR="00470545" w:rsidRPr="009475E9">
        <w:rPr>
          <w:i/>
          <w:lang w:val="en-GB"/>
        </w:rPr>
        <w:t>atment of progressive, unresectable or metastatic, well-differentiated, non-functional neuroendocrine tumours (NE</w:t>
      </w:r>
      <w:r w:rsidR="00255117" w:rsidRPr="009475E9">
        <w:rPr>
          <w:i/>
          <w:lang w:val="en-GB"/>
        </w:rPr>
        <w:t xml:space="preserve">T) of gastrointestinal or lung </w:t>
      </w:r>
      <w:r w:rsidR="00470545" w:rsidRPr="009475E9">
        <w:rPr>
          <w:i/>
          <w:lang w:val="en-GB"/>
        </w:rPr>
        <w:t>origin in adults</w:t>
      </w:r>
      <w:r>
        <w:rPr>
          <w:i/>
          <w:lang w:val="en-GB"/>
        </w:rPr>
        <w:t>’</w:t>
      </w:r>
    </w:p>
    <w:p w14:paraId="26A811C3" w14:textId="43621F06" w:rsidR="00241A79" w:rsidRPr="00241A79" w:rsidRDefault="00241A79" w:rsidP="00241A79">
      <w:pPr>
        <w:rPr>
          <w:lang w:val="en-GB"/>
        </w:rPr>
      </w:pPr>
      <w:r w:rsidRPr="00241A79">
        <w:rPr>
          <w:lang w:val="en-GB"/>
        </w:rPr>
        <w:t>In mak</w:t>
      </w:r>
      <w:r w:rsidR="009475E9">
        <w:rPr>
          <w:lang w:val="en-GB"/>
        </w:rPr>
        <w:t xml:space="preserve">ing this recommendation the ACPM </w:t>
      </w:r>
      <w:r w:rsidRPr="00241A79">
        <w:rPr>
          <w:lang w:val="en-GB"/>
        </w:rPr>
        <w:t xml:space="preserve">noted there were no data in paediatric populations and this is a very rare disease in </w:t>
      </w:r>
      <w:r w:rsidR="009475E9">
        <w:rPr>
          <w:lang w:val="en-GB"/>
        </w:rPr>
        <w:t>those populations.</w:t>
      </w:r>
    </w:p>
    <w:p w14:paraId="72BBCB07" w14:textId="77777777" w:rsidR="009475E9" w:rsidRDefault="00241A79" w:rsidP="009475E9">
      <w:pPr>
        <w:pStyle w:val="Heading5"/>
        <w:rPr>
          <w:rFonts w:ascii="MS Mincho" w:eastAsia="MS Mincho" w:hAnsi="MS Mincho" w:cs="MS Mincho"/>
          <w:lang w:val="en-GB"/>
        </w:rPr>
      </w:pPr>
      <w:r w:rsidRPr="00241A79">
        <w:rPr>
          <w:rFonts w:eastAsiaTheme="minorHAnsi"/>
          <w:lang w:val="en-GB"/>
        </w:rPr>
        <w:t>Proposed conditions of registration</w:t>
      </w:r>
    </w:p>
    <w:p w14:paraId="18BE369E" w14:textId="4A6B0D2F" w:rsidR="00241A79" w:rsidRPr="00241A79" w:rsidRDefault="00241A79" w:rsidP="00241A79">
      <w:pPr>
        <w:rPr>
          <w:lang w:val="en-GB"/>
        </w:rPr>
      </w:pPr>
      <w:r w:rsidRPr="00241A79">
        <w:rPr>
          <w:lang w:val="en-GB"/>
        </w:rPr>
        <w:t xml:space="preserve">The ACPM agreed with the </w:t>
      </w:r>
      <w:r w:rsidR="00723381">
        <w:rPr>
          <w:lang w:val="en-GB"/>
        </w:rPr>
        <w:t>D</w:t>
      </w:r>
      <w:r w:rsidR="00723381" w:rsidRPr="00241A79">
        <w:rPr>
          <w:lang w:val="en-GB"/>
        </w:rPr>
        <w:t xml:space="preserve">elegate </w:t>
      </w:r>
      <w:r w:rsidRPr="00241A79">
        <w:rPr>
          <w:lang w:val="en-GB"/>
        </w:rPr>
        <w:t>on the proposed conditions of registration and advised on the inclusion of th</w:t>
      </w:r>
      <w:r w:rsidR="009871C0">
        <w:rPr>
          <w:lang w:val="en-GB"/>
        </w:rPr>
        <w:t>e following:</w:t>
      </w:r>
    </w:p>
    <w:p w14:paraId="5441F788" w14:textId="4809351A" w:rsidR="00241A79" w:rsidRPr="00241A79" w:rsidRDefault="00241A79" w:rsidP="009475E9">
      <w:pPr>
        <w:pStyle w:val="ListBullet"/>
        <w:rPr>
          <w:lang w:val="en-GB"/>
        </w:rPr>
      </w:pPr>
      <w:r w:rsidRPr="00241A79">
        <w:rPr>
          <w:lang w:val="en-GB"/>
        </w:rPr>
        <w:t xml:space="preserve">Subject to satisfactory implementation of the Risk Management Plan most </w:t>
      </w:r>
      <w:r w:rsidR="009475E9">
        <w:rPr>
          <w:lang w:val="en-GB"/>
        </w:rPr>
        <w:t>recently negotiated by the TGA.</w:t>
      </w:r>
    </w:p>
    <w:p w14:paraId="01C1F5BA" w14:textId="51CECE9B" w:rsidR="00241A79" w:rsidRPr="00241A79" w:rsidRDefault="00241A79" w:rsidP="009475E9">
      <w:pPr>
        <w:pStyle w:val="ListBullet"/>
        <w:rPr>
          <w:lang w:val="en-GB"/>
        </w:rPr>
      </w:pPr>
      <w:r w:rsidRPr="00241A79">
        <w:rPr>
          <w:lang w:val="en-GB"/>
        </w:rPr>
        <w:t xml:space="preserve">Negotiation of Product Information and Consumer Medicines Information to the </w:t>
      </w:r>
      <w:r w:rsidR="009475E9">
        <w:rPr>
          <w:lang w:val="en-GB"/>
        </w:rPr>
        <w:t>satisfaction of the TGA.</w:t>
      </w:r>
    </w:p>
    <w:p w14:paraId="58B825DF" w14:textId="469FAD64" w:rsidR="009475E9" w:rsidRPr="009475E9" w:rsidRDefault="009475E9" w:rsidP="009475E9">
      <w:pPr>
        <w:pStyle w:val="Heading5"/>
        <w:rPr>
          <w:rFonts w:eastAsiaTheme="minorHAnsi"/>
        </w:rPr>
      </w:pPr>
      <w:r w:rsidRPr="009475E9">
        <w:rPr>
          <w:rFonts w:eastAsiaTheme="minorHAnsi"/>
        </w:rPr>
        <w:t>Proposed Product Information (PI)/Consumer Medicine</w:t>
      </w:r>
      <w:r>
        <w:rPr>
          <w:rFonts w:eastAsiaTheme="minorHAnsi"/>
        </w:rPr>
        <w:t xml:space="preserve"> Information (CMI)</w:t>
      </w:r>
      <w:r w:rsidRPr="009475E9">
        <w:rPr>
          <w:rFonts w:eastAsiaTheme="minorHAnsi"/>
        </w:rPr>
        <w:t xml:space="preserve"> </w:t>
      </w:r>
      <w:r>
        <w:rPr>
          <w:rFonts w:eastAsiaTheme="minorHAnsi"/>
        </w:rPr>
        <w:t>amendments</w:t>
      </w:r>
    </w:p>
    <w:p w14:paraId="2B91BDA5" w14:textId="39EC925E" w:rsidR="009475E9" w:rsidRPr="009475E9" w:rsidRDefault="009475E9" w:rsidP="009475E9">
      <w:pPr>
        <w:pStyle w:val="ListBullet"/>
      </w:pPr>
      <w:r>
        <w:t>The ACPM agreed with the D</w:t>
      </w:r>
      <w:r w:rsidRPr="009475E9">
        <w:t>elegate to the proposed amendments to the</w:t>
      </w:r>
      <w:r>
        <w:t xml:space="preserve"> PI</w:t>
      </w:r>
      <w:r w:rsidRPr="009475E9">
        <w:t xml:space="preserve"> and </w:t>
      </w:r>
      <w:r>
        <w:t>CMI</w:t>
      </w:r>
      <w:r w:rsidRPr="009475E9">
        <w:t xml:space="preserve"> and specifically advised on amendments </w:t>
      </w:r>
      <w:r>
        <w:t>as detailed in Question 2 below.</w:t>
      </w:r>
    </w:p>
    <w:p w14:paraId="7F7D3BAF" w14:textId="06CBD095" w:rsidR="00E4516A" w:rsidRPr="00E4516A" w:rsidRDefault="00E4516A" w:rsidP="00E4516A">
      <w:pPr>
        <w:pStyle w:val="Heading5"/>
        <w:rPr>
          <w:rFonts w:eastAsiaTheme="minorHAnsi"/>
          <w:lang w:val="en-GB"/>
        </w:rPr>
      </w:pPr>
      <w:r w:rsidRPr="00E4516A">
        <w:rPr>
          <w:rFonts w:eastAsiaTheme="minorHAnsi"/>
          <w:lang w:val="en-GB"/>
        </w:rPr>
        <w:t>Sp</w:t>
      </w:r>
      <w:r>
        <w:rPr>
          <w:lang w:val="en-GB"/>
        </w:rPr>
        <w:t>ecific advice</w:t>
      </w:r>
    </w:p>
    <w:p w14:paraId="02679945" w14:textId="29CE37DA" w:rsidR="00E4516A" w:rsidRPr="00E4516A" w:rsidRDefault="00E4516A" w:rsidP="00E4516A">
      <w:pPr>
        <w:rPr>
          <w:lang w:val="en-GB"/>
        </w:rPr>
      </w:pPr>
      <w:r w:rsidRPr="00E4516A">
        <w:rPr>
          <w:lang w:val="en-GB"/>
        </w:rPr>
        <w:t xml:space="preserve">The ACPM advised the following in response to the delegate's specific questions on this </w:t>
      </w:r>
      <w:r>
        <w:rPr>
          <w:lang w:val="en-GB"/>
        </w:rPr>
        <w:t>submission:</w:t>
      </w:r>
    </w:p>
    <w:p w14:paraId="5B6FA6BC" w14:textId="09E129B8" w:rsidR="00E4516A" w:rsidRPr="00E4516A" w:rsidRDefault="00E4516A" w:rsidP="009E79FB">
      <w:pPr>
        <w:pStyle w:val="Numberbullet0"/>
        <w:numPr>
          <w:ilvl w:val="0"/>
          <w:numId w:val="9"/>
        </w:numPr>
        <w:rPr>
          <w:i/>
          <w:lang w:val="en-GB"/>
        </w:rPr>
      </w:pPr>
      <w:r w:rsidRPr="00E4516A">
        <w:rPr>
          <w:i/>
          <w:lang w:val="en-GB"/>
        </w:rPr>
        <w:t>Please comment on the adequacy of the data supporting the proposed extension of Indicatio</w:t>
      </w:r>
      <w:r>
        <w:rPr>
          <w:i/>
          <w:lang w:val="en-GB"/>
        </w:rPr>
        <w:t>ns in the population described.</w:t>
      </w:r>
    </w:p>
    <w:p w14:paraId="21BD5BC9" w14:textId="1D4D13DA" w:rsidR="00E4516A" w:rsidRPr="00E4516A" w:rsidRDefault="00E4516A" w:rsidP="00E4516A">
      <w:pPr>
        <w:rPr>
          <w:lang w:val="en-GB"/>
        </w:rPr>
      </w:pPr>
      <w:r w:rsidRPr="00E4516A">
        <w:t xml:space="preserve">The ACPM advised the Phase III study was a well performed randomised double blind trial in the target population that was adequately powered and demonstrated a statistically </w:t>
      </w:r>
      <w:r w:rsidRPr="00E4516A">
        <w:lastRenderedPageBreak/>
        <w:t xml:space="preserve">significant and clinically meaningful difference in the primary endpoint of PFS. It must be noted that the trial is a significant undertaking in a small subgroup of a rare cancer. Another trial may not be realistic. The OS showed trends towards improved survival but </w:t>
      </w:r>
      <w:r w:rsidRPr="00E4516A">
        <w:rPr>
          <w:lang w:val="en-GB"/>
        </w:rPr>
        <w:t>the result was not statistically significant. Data are not mature to accurately assess OS; final analysis may not occur until</w:t>
      </w:r>
      <w:r w:rsidR="009871C0">
        <w:rPr>
          <w:lang w:val="en-GB"/>
        </w:rPr>
        <w:t xml:space="preserve"> </w:t>
      </w:r>
      <w:r w:rsidRPr="00E4516A">
        <w:rPr>
          <w:lang w:val="en-GB"/>
        </w:rPr>
        <w:t>2021. Therefore OS is too early to assess. Although there were more toxicities with everolimus they were expected from previous studies and it is worth rioting that no differences were found in quality of life between th</w:t>
      </w:r>
      <w:r w:rsidR="009871C0">
        <w:rPr>
          <w:lang w:val="en-GB"/>
        </w:rPr>
        <w:t>e everolimus and placebo group.</w:t>
      </w:r>
    </w:p>
    <w:p w14:paraId="7876EA55" w14:textId="4FFD7CAB" w:rsidR="00E4516A" w:rsidRPr="00E4516A" w:rsidRDefault="00E4516A" w:rsidP="00E4516A">
      <w:pPr>
        <w:rPr>
          <w:lang w:val="en-GB"/>
        </w:rPr>
      </w:pPr>
      <w:r w:rsidRPr="00E4516A">
        <w:rPr>
          <w:lang w:val="en-GB"/>
        </w:rPr>
        <w:t xml:space="preserve">These results in this rare cancer subgroup provide adequate data to support the proposed </w:t>
      </w:r>
      <w:r w:rsidR="009871C0">
        <w:rPr>
          <w:lang w:val="en-GB"/>
        </w:rPr>
        <w:t>extension of indications.</w:t>
      </w:r>
    </w:p>
    <w:p w14:paraId="5BEDBA0E" w14:textId="0D9AA834" w:rsidR="009871C0" w:rsidRPr="009871C0" w:rsidRDefault="009871C0" w:rsidP="009871C0">
      <w:pPr>
        <w:pStyle w:val="Numberbullet0"/>
        <w:rPr>
          <w:i/>
          <w:lang w:val="en-GB"/>
        </w:rPr>
      </w:pPr>
      <w:r w:rsidRPr="009871C0">
        <w:rPr>
          <w:i/>
          <w:lang w:val="en-GB"/>
        </w:rPr>
        <w:t>Please provide advice regarding the adequacy of the proposed PI for presentation of clinically relevant information.</w:t>
      </w:r>
    </w:p>
    <w:p w14:paraId="4A07818E" w14:textId="76D9003C" w:rsidR="009871C0" w:rsidRPr="009871C0" w:rsidRDefault="009871C0" w:rsidP="009871C0">
      <w:pPr>
        <w:rPr>
          <w:lang w:val="en-GB"/>
        </w:rPr>
      </w:pPr>
      <w:r w:rsidRPr="009871C0">
        <w:rPr>
          <w:lang w:val="en-GB"/>
        </w:rPr>
        <w:t>On the issue of the removal of data about the pre-specif</w:t>
      </w:r>
      <w:r>
        <w:rPr>
          <w:lang w:val="en-GB"/>
        </w:rPr>
        <w:t>ied subgroups analysis and post</w:t>
      </w:r>
      <w:r>
        <w:rPr>
          <w:lang w:val="en-GB"/>
        </w:rPr>
        <w:noBreakHyphen/>
      </w:r>
      <w:r w:rsidRPr="009871C0">
        <w:rPr>
          <w:lang w:val="en-GB"/>
        </w:rPr>
        <w:t>hoc analysis, this would remove data about the group with tumours arising from the ileum doing worse. These are referring to a subgroup of a subgroup and a result after multiple dips into the data that could have led to that result randomly. The ACPM advised that there is inadequate evidence to include these data at present in the PI and would favour removing the figures that illustrate these data as has been proposed. The ACPM agreed with the Delegate's suggestion of including the information about the possibility of patients with ileal</w:t>
      </w:r>
      <w:r>
        <w:rPr>
          <w:lang w:val="en-GB"/>
        </w:rPr>
        <w:t xml:space="preserve"> </w:t>
      </w:r>
      <w:r w:rsidRPr="009871C0">
        <w:rPr>
          <w:lang w:val="en-GB"/>
        </w:rPr>
        <w:t xml:space="preserve">tumours doing worse under the </w:t>
      </w:r>
      <w:r>
        <w:rPr>
          <w:lang w:val="en-GB"/>
        </w:rPr>
        <w:t>‘Precautions’ section.</w:t>
      </w:r>
    </w:p>
    <w:p w14:paraId="6E5146E0" w14:textId="07E5AF9A" w:rsidR="009871C0" w:rsidRPr="009871C0" w:rsidRDefault="009871C0" w:rsidP="009871C0">
      <w:pPr>
        <w:rPr>
          <w:lang w:val="en-GB"/>
        </w:rPr>
      </w:pPr>
      <w:r w:rsidRPr="009871C0">
        <w:rPr>
          <w:lang w:val="en-GB"/>
        </w:rPr>
        <w:t xml:space="preserve">The ACPM also advised the </w:t>
      </w:r>
      <w:r w:rsidR="00067D00">
        <w:rPr>
          <w:lang w:val="en-GB"/>
        </w:rPr>
        <w:t>RADIANT-2</w:t>
      </w:r>
      <w:r w:rsidRPr="009871C0">
        <w:rPr>
          <w:lang w:val="en-GB"/>
        </w:rPr>
        <w:t xml:space="preserve"> study information about the safety and efficacy of everolimus not having been established in patients with functional carcinoid tumours can be removed from the </w:t>
      </w:r>
      <w:r>
        <w:rPr>
          <w:lang w:val="en-GB"/>
        </w:rPr>
        <w:t>‘Clinical Trials’</w:t>
      </w:r>
      <w:r w:rsidRPr="009871C0">
        <w:rPr>
          <w:lang w:val="en-GB"/>
        </w:rPr>
        <w:t xml:space="preserve"> section but should be reinforced in the </w:t>
      </w:r>
      <w:r>
        <w:rPr>
          <w:lang w:val="en-GB"/>
        </w:rPr>
        <w:t xml:space="preserve">‘Precautions’ </w:t>
      </w:r>
      <w:r w:rsidRPr="009871C0">
        <w:rPr>
          <w:lang w:val="en-GB"/>
        </w:rPr>
        <w:t xml:space="preserve">section. In addition, the proposed indication statement also makes it quite clear that functional </w:t>
      </w:r>
      <w:r>
        <w:rPr>
          <w:lang w:val="en-GB"/>
        </w:rPr>
        <w:t>carcinoid tumours are excluded.</w:t>
      </w:r>
    </w:p>
    <w:p w14:paraId="38CD53A8" w14:textId="2020E724" w:rsidR="009871C0" w:rsidRPr="009871C0" w:rsidRDefault="009871C0" w:rsidP="009871C0">
      <w:pPr>
        <w:rPr>
          <w:lang w:val="en-GB"/>
        </w:rPr>
      </w:pPr>
      <w:r w:rsidRPr="009871C0">
        <w:rPr>
          <w:lang w:val="en-GB"/>
        </w:rPr>
        <w:t xml:space="preserve">For the issue of limiting the indication to adult patients; there are no data in children, the disease is very rare and everolimus is toxic so the ACPM strongly agreed with excluding </w:t>
      </w:r>
      <w:r>
        <w:rPr>
          <w:lang w:val="en-GB"/>
        </w:rPr>
        <w:t>children from this indication.</w:t>
      </w:r>
    </w:p>
    <w:p w14:paraId="380F2D7F" w14:textId="1A3BD06E" w:rsidR="009871C0" w:rsidRPr="009871C0" w:rsidRDefault="009871C0" w:rsidP="009871C0">
      <w:pPr>
        <w:rPr>
          <w:lang w:val="en-GB"/>
        </w:rPr>
      </w:pPr>
      <w:r w:rsidRPr="009871C0">
        <w:rPr>
          <w:lang w:val="en-GB"/>
        </w:rPr>
        <w:t>Chan</w:t>
      </w:r>
      <w:r>
        <w:rPr>
          <w:lang w:val="en-GB"/>
        </w:rPr>
        <w:t>ges such as including the term ‘well differentiated’</w:t>
      </w:r>
      <w:r w:rsidRPr="009871C0">
        <w:rPr>
          <w:lang w:val="en-GB"/>
        </w:rPr>
        <w:t xml:space="preserve"> and the inclusion of the percentage of patients who had received SSAs are not controversi</w:t>
      </w:r>
      <w:r>
        <w:rPr>
          <w:lang w:val="en-GB"/>
        </w:rPr>
        <w:t>al changes and should be added.</w:t>
      </w:r>
    </w:p>
    <w:p w14:paraId="442751C0" w14:textId="11504A36" w:rsidR="00241A79" w:rsidRPr="009871C0" w:rsidRDefault="009871C0" w:rsidP="008E7846">
      <w:pPr>
        <w:rPr>
          <w:lang w:val="en-GB"/>
        </w:rPr>
      </w:pPr>
      <w:r w:rsidRPr="009871C0">
        <w:rPr>
          <w:lang w:val="en-GB"/>
        </w:rPr>
        <w:t xml:space="preserve">The ACPM advised that implementation by the </w:t>
      </w:r>
      <w:r>
        <w:rPr>
          <w:lang w:val="en-GB"/>
        </w:rPr>
        <w:t>s</w:t>
      </w:r>
      <w:r w:rsidRPr="009871C0">
        <w:rPr>
          <w:lang w:val="en-GB"/>
        </w:rPr>
        <w:t>ponsor of the recommendations outlined above to the satisfaction of the TGA, in addition to the evidence of efficacy and safety provided would support the safe and e</w:t>
      </w:r>
      <w:r>
        <w:rPr>
          <w:lang w:val="en-GB"/>
        </w:rPr>
        <w:t>ffective use of these products.</w:t>
      </w:r>
    </w:p>
    <w:p w14:paraId="0F83FDED" w14:textId="77777777" w:rsidR="008E7846" w:rsidRPr="002E238E" w:rsidRDefault="008E7846" w:rsidP="008E7846">
      <w:pPr>
        <w:pStyle w:val="Heading3"/>
      </w:pPr>
      <w:bookmarkStart w:id="146" w:name="_Toc247691532"/>
      <w:bookmarkStart w:id="147" w:name="_Toc314842516"/>
      <w:bookmarkStart w:id="148" w:name="_Toc493685115"/>
      <w:bookmarkEnd w:id="77"/>
      <w:bookmarkEnd w:id="144"/>
      <w:bookmarkEnd w:id="145"/>
      <w:r>
        <w:t>Outcome</w:t>
      </w:r>
      <w:bookmarkEnd w:id="146"/>
      <w:bookmarkEnd w:id="147"/>
      <w:bookmarkEnd w:id="148"/>
    </w:p>
    <w:p w14:paraId="55B12EE2" w14:textId="7125B9E4" w:rsidR="00D23139" w:rsidRDefault="00D23139" w:rsidP="00D23139">
      <w:bookmarkStart w:id="149" w:name="_Toc247691533"/>
      <w:bookmarkStart w:id="150" w:name="_Toc314842517"/>
      <w:r w:rsidRPr="00D23139">
        <w:t xml:space="preserve">Based on a review of quality, safety and efficacy, TGA approved the registration of </w:t>
      </w:r>
      <w:r w:rsidR="009871C0" w:rsidRPr="009871C0">
        <w:rPr>
          <w:lang w:val="en-GB"/>
        </w:rPr>
        <w:t>Afinitor tablet</w:t>
      </w:r>
      <w:r w:rsidR="009871C0">
        <w:rPr>
          <w:lang w:val="en-GB"/>
        </w:rPr>
        <w:t>s</w:t>
      </w:r>
      <w:r w:rsidR="009871C0" w:rsidRPr="009871C0">
        <w:rPr>
          <w:lang w:val="en-GB"/>
        </w:rPr>
        <w:t xml:space="preserve"> and dispersible tablet</w:t>
      </w:r>
      <w:r w:rsidR="009871C0">
        <w:rPr>
          <w:lang w:val="en-GB"/>
        </w:rPr>
        <w:t>s</w:t>
      </w:r>
      <w:r w:rsidR="009871C0" w:rsidRPr="009871C0">
        <w:rPr>
          <w:lang w:val="en-GB"/>
        </w:rPr>
        <w:t xml:space="preserve"> containing 2.5 mg, 5 mg, 10 mg (tablets), and 2 mg, 3 mg, 5 mg (dispersible tablets) of everolimus </w:t>
      </w:r>
      <w:r w:rsidRPr="00D23139">
        <w:t>indicated for:</w:t>
      </w:r>
    </w:p>
    <w:p w14:paraId="1883BFAA" w14:textId="38F201C1" w:rsidR="00700861" w:rsidRPr="0019242C" w:rsidRDefault="0019242C" w:rsidP="0019242C">
      <w:pPr>
        <w:ind w:left="720"/>
        <w:rPr>
          <w:lang w:val="en-GB"/>
        </w:rPr>
      </w:pPr>
      <w:r>
        <w:rPr>
          <w:bCs/>
          <w:i/>
          <w:iCs/>
          <w:lang w:val="en-GB"/>
        </w:rPr>
        <w:t>‘</w:t>
      </w:r>
      <w:r w:rsidR="00700861" w:rsidRPr="0019242C">
        <w:rPr>
          <w:bCs/>
          <w:i/>
          <w:iCs/>
          <w:lang w:val="en-GB"/>
        </w:rPr>
        <w:t>Afinitor is indicated for the treatment of progressive, unresectable or metastatic, well-differentiated, non-functional neuroendocrine tumours (NET) of gastrointestinal or lung origin in adults</w:t>
      </w:r>
      <w:r>
        <w:rPr>
          <w:bCs/>
          <w:i/>
          <w:iCs/>
          <w:lang w:val="en-GB"/>
        </w:rPr>
        <w:t>’.</w:t>
      </w:r>
    </w:p>
    <w:p w14:paraId="4DBA6C89" w14:textId="77777777" w:rsidR="0019242C" w:rsidRDefault="00700861" w:rsidP="00700861">
      <w:pPr>
        <w:rPr>
          <w:rFonts w:ascii="MS Mincho" w:eastAsia="MS Mincho" w:hAnsi="MS Mincho" w:cs="MS Mincho"/>
          <w:lang w:val="en-GB"/>
        </w:rPr>
      </w:pPr>
      <w:r w:rsidRPr="00700861">
        <w:rPr>
          <w:lang w:val="en-GB"/>
        </w:rPr>
        <w:t xml:space="preserve">The </w:t>
      </w:r>
      <w:r w:rsidRPr="0019242C">
        <w:rPr>
          <w:bCs/>
          <w:lang w:val="en-GB"/>
        </w:rPr>
        <w:t xml:space="preserve">full indications </w:t>
      </w:r>
      <w:r w:rsidRPr="00700861">
        <w:rPr>
          <w:lang w:val="en-GB"/>
        </w:rPr>
        <w:t>are now:</w:t>
      </w:r>
    </w:p>
    <w:p w14:paraId="115CA0DF" w14:textId="771710E3" w:rsidR="00700861" w:rsidRPr="0052416E" w:rsidRDefault="0052416E" w:rsidP="0052416E">
      <w:pPr>
        <w:ind w:left="720"/>
        <w:rPr>
          <w:i/>
          <w:lang w:val="en-GB"/>
        </w:rPr>
      </w:pPr>
      <w:r w:rsidRPr="0052416E">
        <w:rPr>
          <w:i/>
          <w:lang w:val="en-GB"/>
        </w:rPr>
        <w:t>‘</w:t>
      </w:r>
      <w:r w:rsidR="00700861" w:rsidRPr="0052416E">
        <w:rPr>
          <w:i/>
          <w:lang w:val="en-GB"/>
        </w:rPr>
        <w:t xml:space="preserve">Afinitor is </w:t>
      </w:r>
      <w:r w:rsidRPr="0052416E">
        <w:rPr>
          <w:i/>
          <w:lang w:val="en-GB"/>
        </w:rPr>
        <w:t>indicated for the treatment of:</w:t>
      </w:r>
    </w:p>
    <w:p w14:paraId="299442C3" w14:textId="6CA7EF09" w:rsidR="00700861" w:rsidRPr="0052416E" w:rsidRDefault="00700861" w:rsidP="0052416E">
      <w:pPr>
        <w:ind w:left="720"/>
        <w:rPr>
          <w:i/>
        </w:rPr>
      </w:pPr>
      <w:r w:rsidRPr="0052416E">
        <w:rPr>
          <w:i/>
        </w:rPr>
        <w:t>Postmenopausal women with hormone receptor-positive, HER2 negative advanced breast cancer in combination with exemestane after failure of treatment</w:t>
      </w:r>
      <w:r w:rsidR="0052416E" w:rsidRPr="0052416E">
        <w:rPr>
          <w:i/>
        </w:rPr>
        <w:t xml:space="preserve"> with letrozole or anastrozole.</w:t>
      </w:r>
    </w:p>
    <w:p w14:paraId="37D1EBB6" w14:textId="6D58806A" w:rsidR="00700861" w:rsidRPr="0052416E" w:rsidRDefault="00700861" w:rsidP="0052416E">
      <w:pPr>
        <w:ind w:left="720"/>
        <w:rPr>
          <w:i/>
        </w:rPr>
      </w:pPr>
      <w:r w:rsidRPr="0052416E">
        <w:rPr>
          <w:i/>
        </w:rPr>
        <w:lastRenderedPageBreak/>
        <w:t>Progressive, unresectable or metastatic, well or moderately differentiated neuroendocrine tumou</w:t>
      </w:r>
      <w:r w:rsidR="0052416E" w:rsidRPr="0052416E">
        <w:rPr>
          <w:i/>
        </w:rPr>
        <w:t>rs (NETs) of pancreatic origin.</w:t>
      </w:r>
    </w:p>
    <w:p w14:paraId="0B4C79CA" w14:textId="2A1B8F43" w:rsidR="00700861" w:rsidRPr="0052416E" w:rsidRDefault="00700861" w:rsidP="0052416E">
      <w:pPr>
        <w:ind w:left="720"/>
        <w:rPr>
          <w:i/>
        </w:rPr>
      </w:pPr>
      <w:r w:rsidRPr="0052416E">
        <w:rPr>
          <w:i/>
        </w:rPr>
        <w:t>Progressive, unresectable or metastatic, well-differentiated, non-functional neuroendocrine tumours (NET) of gastrointes</w:t>
      </w:r>
      <w:r w:rsidR="0052416E" w:rsidRPr="0052416E">
        <w:rPr>
          <w:i/>
        </w:rPr>
        <w:t>tinal or lung origin in adults.</w:t>
      </w:r>
    </w:p>
    <w:p w14:paraId="0FE8F79A" w14:textId="6DE3A5E1" w:rsidR="00700861" w:rsidRPr="0052416E" w:rsidRDefault="00700861" w:rsidP="0052416E">
      <w:pPr>
        <w:ind w:left="720"/>
        <w:rPr>
          <w:i/>
        </w:rPr>
      </w:pPr>
      <w:r w:rsidRPr="0052416E">
        <w:rPr>
          <w:i/>
        </w:rPr>
        <w:t>Advanced renal cell carcinoma after failure of treatme</w:t>
      </w:r>
      <w:r w:rsidR="0052416E" w:rsidRPr="0052416E">
        <w:rPr>
          <w:i/>
        </w:rPr>
        <w:t>nt with sorafenib or sunitinib.</w:t>
      </w:r>
    </w:p>
    <w:p w14:paraId="776F91C7" w14:textId="759E631C" w:rsidR="00700861" w:rsidRPr="0052416E" w:rsidRDefault="00700861" w:rsidP="0052416E">
      <w:pPr>
        <w:ind w:left="720"/>
        <w:rPr>
          <w:i/>
        </w:rPr>
      </w:pPr>
      <w:r w:rsidRPr="0052416E">
        <w:rPr>
          <w:i/>
        </w:rPr>
        <w:t>Subependymal giant cell astrocytoma (SEGA) associated with tuberous sclerosis complex (TSC) who require therapeutic intervention but are not candidates for curative</w:t>
      </w:r>
      <w:r w:rsidR="0052416E" w:rsidRPr="0052416E">
        <w:rPr>
          <w:i/>
        </w:rPr>
        <w:t xml:space="preserve"> surgical resection.</w:t>
      </w:r>
    </w:p>
    <w:p w14:paraId="5629A868" w14:textId="057B572C" w:rsidR="00D23139" w:rsidRPr="0052416E" w:rsidRDefault="00700861" w:rsidP="0052416E">
      <w:pPr>
        <w:ind w:left="720"/>
        <w:rPr>
          <w:i/>
        </w:rPr>
      </w:pPr>
      <w:r w:rsidRPr="0052416E">
        <w:rPr>
          <w:i/>
        </w:rPr>
        <w:t>Patients with tuberous sclerosis complex (TSC) who have renal angiomyolipoma not requiring immediate surgery.</w:t>
      </w:r>
      <w:r w:rsidR="0052416E">
        <w:rPr>
          <w:i/>
        </w:rPr>
        <w:t>’</w:t>
      </w:r>
    </w:p>
    <w:p w14:paraId="172E8D34" w14:textId="77777777" w:rsidR="00D23139" w:rsidRDefault="00D23139" w:rsidP="00D23139">
      <w:pPr>
        <w:pStyle w:val="Heading4"/>
      </w:pPr>
      <w:r w:rsidRPr="00D23139">
        <w:t>Specific conditions of registration applying to these goods</w:t>
      </w:r>
    </w:p>
    <w:p w14:paraId="6B66D59D" w14:textId="196F898C" w:rsidR="00700861" w:rsidRPr="00700861" w:rsidRDefault="00071092" w:rsidP="0052416E">
      <w:pPr>
        <w:rPr>
          <w:lang w:val="en-GB"/>
        </w:rPr>
      </w:pPr>
      <w:r>
        <w:rPr>
          <w:lang w:val="en-GB"/>
        </w:rPr>
        <w:t xml:space="preserve">Implementation of </w:t>
      </w:r>
      <w:r w:rsidR="00700861" w:rsidRPr="00700861">
        <w:rPr>
          <w:lang w:val="en-GB"/>
        </w:rPr>
        <w:t xml:space="preserve">The </w:t>
      </w:r>
      <w:r w:rsidR="0052416E">
        <w:rPr>
          <w:lang w:val="en-GB"/>
        </w:rPr>
        <w:t>Afinitor</w:t>
      </w:r>
      <w:r w:rsidR="00700861" w:rsidRPr="00700861">
        <w:rPr>
          <w:lang w:val="en-GB"/>
        </w:rPr>
        <w:t xml:space="preserve"> EU Risk Management Plan (EU-RMP</w:t>
      </w:r>
      <w:r w:rsidR="0052416E">
        <w:rPr>
          <w:lang w:val="en-GB"/>
        </w:rPr>
        <w:t>), V</w:t>
      </w:r>
      <w:r w:rsidR="00700861" w:rsidRPr="00700861">
        <w:rPr>
          <w:lang w:val="en-GB"/>
        </w:rPr>
        <w:t>ersion 12.1 (Afinitor</w:t>
      </w:r>
      <w:r w:rsidR="0052416E">
        <w:rPr>
          <w:lang w:val="en-GB"/>
        </w:rPr>
        <w:t>)</w:t>
      </w:r>
      <w:r w:rsidR="00700861" w:rsidRPr="00700861">
        <w:rPr>
          <w:lang w:val="en-GB"/>
        </w:rPr>
        <w:t>/11 (Votubia) dated 25 April 2016, DLP 31 March 2015) and Australian Specific Annex Version 7.0 (dated 11 July 2016), and any subsequent revisions, as agreed with the TGA wi</w:t>
      </w:r>
      <w:r w:rsidR="0052416E">
        <w:rPr>
          <w:lang w:val="en-GB"/>
        </w:rPr>
        <w:t>ll be implemented in Australia.</w:t>
      </w:r>
    </w:p>
    <w:p w14:paraId="3F61FB99" w14:textId="77777777" w:rsidR="008E7846" w:rsidRDefault="00A80B5B" w:rsidP="00D23139">
      <w:pPr>
        <w:pStyle w:val="Heading2"/>
      </w:pPr>
      <w:bookmarkStart w:id="151" w:name="_Toc493685116"/>
      <w:r>
        <w:t xml:space="preserve">Attachment 1. </w:t>
      </w:r>
      <w:r w:rsidR="008E7846">
        <w:t xml:space="preserve">Product </w:t>
      </w:r>
      <w:r w:rsidR="00AA0ED0">
        <w:t>I</w:t>
      </w:r>
      <w:r w:rsidR="008E7846">
        <w:t>nformation</w:t>
      </w:r>
      <w:bookmarkEnd w:id="149"/>
      <w:bookmarkEnd w:id="150"/>
      <w:bookmarkEnd w:id="151"/>
    </w:p>
    <w:p w14:paraId="2CFDFC91" w14:textId="687AF88C" w:rsidR="00C80137" w:rsidRDefault="006136D7" w:rsidP="00C80137">
      <w:pPr>
        <w:rPr>
          <w:color w:val="000000"/>
          <w:lang w:eastAsia="en-AU"/>
        </w:rPr>
      </w:pPr>
      <w:r w:rsidRPr="002B3624">
        <w:t xml:space="preserve">The </w:t>
      </w:r>
      <w:r>
        <w:t>PI</w:t>
      </w:r>
      <w:r w:rsidRPr="002B3624">
        <w:t xml:space="preserve"> for </w:t>
      </w:r>
      <w:r w:rsidR="0052416E">
        <w:t xml:space="preserve">Afinitor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4" w:history="1">
        <w:r w:rsidR="007C6B9B" w:rsidRPr="007C6B9B">
          <w:rPr>
            <w:rStyle w:val="Hyperlink"/>
          </w:rPr>
          <w:t>https://www.tga.gov.au/product-information-pi</w:t>
        </w:r>
      </w:hyperlink>
      <w:r w:rsidR="00CC7DD4">
        <w:t>&gt;.</w:t>
      </w:r>
    </w:p>
    <w:p w14:paraId="26CF144E" w14:textId="77777777" w:rsidR="00C80137" w:rsidRDefault="00C80137" w:rsidP="00C80137">
      <w:pPr>
        <w:pStyle w:val="Heading2"/>
        <w:rPr>
          <w:lang w:eastAsia="en-AU"/>
        </w:rPr>
      </w:pPr>
      <w:bookmarkStart w:id="152" w:name="_Toc493685117"/>
      <w:r>
        <w:rPr>
          <w:lang w:eastAsia="en-AU"/>
        </w:rPr>
        <w:t>Attachment 2.</w:t>
      </w:r>
      <w:r w:rsidR="00A80B5B">
        <w:rPr>
          <w:lang w:eastAsia="en-AU"/>
        </w:rPr>
        <w:t xml:space="preserve"> </w:t>
      </w:r>
      <w:r>
        <w:rPr>
          <w:lang w:eastAsia="en-AU"/>
        </w:rPr>
        <w:t>Extract from the Clinical Evaluation Report</w:t>
      </w:r>
      <w:bookmarkEnd w:id="152"/>
    </w:p>
    <w:p w14:paraId="6829EEE3" w14:textId="77777777" w:rsidR="00291957" w:rsidRDefault="00291957" w:rsidP="000B0784">
      <w:pPr>
        <w:autoSpaceDE w:val="0"/>
        <w:autoSpaceDN w:val="0"/>
        <w:adjustRightInd w:val="0"/>
        <w:spacing w:after="0"/>
        <w:rPr>
          <w:lang w:eastAsia="ja-JP"/>
        </w:rPr>
      </w:pPr>
    </w:p>
    <w:p w14:paraId="2BBE7593" w14:textId="77777777" w:rsidR="00C80137" w:rsidRPr="001D043B" w:rsidRDefault="00C80137" w:rsidP="003A7F6C">
      <w:pPr>
        <w:pStyle w:val="TableTitle"/>
        <w:sectPr w:rsidR="00C80137" w:rsidRPr="001D043B" w:rsidSect="00B452CE">
          <w:headerReference w:type="even" r:id="rId35"/>
          <w:headerReference w:type="default" r:id="rId36"/>
          <w:headerReference w:type="first" r:id="rId37"/>
          <w:footerReference w:type="first" r:id="rId3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0D3FB92" w14:textId="77777777" w:rsidTr="00A05FA4">
        <w:trPr>
          <w:trHeight w:hRule="exact" w:val="704"/>
        </w:trPr>
        <w:tc>
          <w:tcPr>
            <w:tcW w:w="9175" w:type="dxa"/>
          </w:tcPr>
          <w:p w14:paraId="44B14C96" w14:textId="77777777" w:rsidR="001C32CD" w:rsidRPr="00487162" w:rsidRDefault="001C32CD" w:rsidP="00A05FA4">
            <w:pPr>
              <w:pStyle w:val="TGASignoff"/>
            </w:pPr>
            <w:r w:rsidRPr="00487162">
              <w:lastRenderedPageBreak/>
              <w:t>Therapeutic Goods Administration</w:t>
            </w:r>
          </w:p>
        </w:tc>
      </w:tr>
      <w:tr w:rsidR="001C32CD" w:rsidRPr="004C239D" w14:paraId="026BE872" w14:textId="77777777" w:rsidTr="00A05FA4">
        <w:trPr>
          <w:trHeight w:val="1221"/>
        </w:trPr>
        <w:tc>
          <w:tcPr>
            <w:tcW w:w="9175" w:type="dxa"/>
            <w:tcMar>
              <w:top w:w="28" w:type="dxa"/>
            </w:tcMar>
          </w:tcPr>
          <w:p w14:paraId="3F66EB27" w14:textId="77777777" w:rsidR="001C32CD" w:rsidRPr="00487162" w:rsidRDefault="001C32CD" w:rsidP="00A05FA4">
            <w:pPr>
              <w:pStyle w:val="Address"/>
            </w:pPr>
            <w:r w:rsidRPr="00487162">
              <w:t>PO Box 100 Woden ACT 2606 Australia</w:t>
            </w:r>
          </w:p>
          <w:p w14:paraId="6A580C36" w14:textId="77777777" w:rsidR="001C32CD" w:rsidRPr="00487162" w:rsidRDefault="001C32CD" w:rsidP="00A05FA4">
            <w:pPr>
              <w:pStyle w:val="Address"/>
            </w:pPr>
            <w:r w:rsidRPr="00487162">
              <w:t xml:space="preserve">Email: </w:t>
            </w:r>
            <w:hyperlink r:id="rId39" w:history="1">
              <w:r w:rsidRPr="004C239D">
                <w:rPr>
                  <w:rStyle w:val="Hyperlink"/>
                </w:rPr>
                <w:t>info@tga.gov.au</w:t>
              </w:r>
            </w:hyperlink>
            <w:r w:rsidRPr="00487162">
              <w:t xml:space="preserve">  Phone: 1800 020 653  Fax: 02 6232 8605</w:t>
            </w:r>
          </w:p>
          <w:p w14:paraId="4ED953AD" w14:textId="77777777" w:rsidR="001C32CD" w:rsidRPr="004C239D" w:rsidRDefault="00503146" w:rsidP="00A05FA4">
            <w:pPr>
              <w:pStyle w:val="Address"/>
              <w:spacing w:line="260" w:lineRule="atLeast"/>
              <w:rPr>
                <w:b/>
                <w:color w:val="0000FF"/>
                <w:u w:val="single"/>
              </w:rPr>
            </w:pPr>
            <w:hyperlink r:id="rId40" w:history="1">
              <w:r w:rsidR="007C6B9B" w:rsidRPr="007C6B9B">
                <w:rPr>
                  <w:rStyle w:val="Hyperlink"/>
                  <w:b/>
                </w:rPr>
                <w:t>https://www.tga.gov.au</w:t>
              </w:r>
            </w:hyperlink>
            <w:bookmarkStart w:id="153" w:name="_GoBack"/>
            <w:bookmarkEnd w:id="153"/>
          </w:p>
        </w:tc>
      </w:tr>
    </w:tbl>
    <w:p w14:paraId="00C113AB" w14:textId="77777777" w:rsidR="00774E1D" w:rsidRPr="008A5E0B" w:rsidRDefault="00774E1D" w:rsidP="004C239D"/>
    <w:sectPr w:rsidR="00774E1D" w:rsidRPr="008A5E0B" w:rsidSect="001C32CD">
      <w:headerReference w:type="even" r:id="rId41"/>
      <w:headerReference w:type="default" r:id="rId42"/>
      <w:footerReference w:type="default" r:id="rId43"/>
      <w:headerReference w:type="first" r:id="rId44"/>
      <w:footerReference w:type="first" r:id="rId4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33F3D6" w14:textId="77777777" w:rsidR="002D0D3F" w:rsidRDefault="002D0D3F" w:rsidP="00C40A36">
      <w:pPr>
        <w:spacing w:after="0"/>
      </w:pPr>
      <w:r>
        <w:separator/>
      </w:r>
    </w:p>
  </w:endnote>
  <w:endnote w:type="continuationSeparator" w:id="0">
    <w:p w14:paraId="491B19C6" w14:textId="77777777" w:rsidR="002D0D3F" w:rsidRDefault="002D0D3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Helvetica Neue">
    <w:charset w:val="00"/>
    <w:family w:val="swiss"/>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2D0D3F" w:rsidRPr="00487162" w14:paraId="15853275" w14:textId="77777777" w:rsidTr="00DB750B">
      <w:trPr>
        <w:trHeight w:val="269"/>
      </w:trPr>
      <w:tc>
        <w:tcPr>
          <w:tcW w:w="7371" w:type="dxa"/>
          <w:tcMar>
            <w:top w:w="142" w:type="dxa"/>
            <w:bottom w:w="0" w:type="dxa"/>
          </w:tcMar>
        </w:tcPr>
        <w:p w14:paraId="0AA955F3" w14:textId="10A2A750" w:rsidR="002D0D3F" w:rsidRPr="00487162" w:rsidRDefault="002D0D3F" w:rsidP="002A5AE3">
          <w:pPr>
            <w:pStyle w:val="Footer"/>
          </w:pPr>
          <w:r w:rsidRPr="00487162">
            <w:t>AusPA</w:t>
          </w:r>
          <w:r>
            <w:t xml:space="preserve">R for Afinitor Everolimus </w:t>
          </w:r>
          <w:r w:rsidRPr="00BB4731">
            <w:t>Novartis Pharmaceuticals Australia Pty Ltd</w:t>
          </w:r>
          <w:r>
            <w:t xml:space="preserve"> </w:t>
          </w:r>
          <w:r w:rsidRPr="00BB4731">
            <w:t>PM-2015-03569-1-4</w:t>
          </w:r>
          <w:r>
            <w:br/>
          </w:r>
          <w:r w:rsidR="002A5AE3">
            <w:t>Final 31 October 2017</w:t>
          </w:r>
        </w:p>
      </w:tc>
      <w:tc>
        <w:tcPr>
          <w:tcW w:w="1490" w:type="dxa"/>
          <w:tcMar>
            <w:top w:w="142" w:type="dxa"/>
            <w:bottom w:w="0" w:type="dxa"/>
          </w:tcMar>
        </w:tcPr>
        <w:p w14:paraId="1D5308CC" w14:textId="77777777" w:rsidR="002D0D3F" w:rsidRPr="00487162" w:rsidRDefault="002D0D3F" w:rsidP="00DB750B">
          <w:pPr>
            <w:pStyle w:val="Footer"/>
            <w:jc w:val="right"/>
          </w:pPr>
          <w:r w:rsidRPr="00487162">
            <w:t xml:space="preserve">Page </w:t>
          </w:r>
          <w:r>
            <w:fldChar w:fldCharType="begin"/>
          </w:r>
          <w:r>
            <w:instrText xml:space="preserve"> PAGE  \* Arabic </w:instrText>
          </w:r>
          <w:r>
            <w:fldChar w:fldCharType="separate"/>
          </w:r>
          <w:r w:rsidR="00503146">
            <w:rPr>
              <w:noProof/>
            </w:rPr>
            <w:t>43</w:t>
          </w:r>
          <w:r>
            <w:fldChar w:fldCharType="end"/>
          </w:r>
          <w:r w:rsidRPr="00487162">
            <w:t xml:space="preserve"> of </w:t>
          </w:r>
          <w:r w:rsidR="00503146">
            <w:fldChar w:fldCharType="begin"/>
          </w:r>
          <w:r w:rsidR="00503146">
            <w:instrText xml:space="preserve"> NUMPAGES  \* Arabic </w:instrText>
          </w:r>
          <w:r w:rsidR="00503146">
            <w:fldChar w:fldCharType="separate"/>
          </w:r>
          <w:r w:rsidR="00503146">
            <w:rPr>
              <w:noProof/>
            </w:rPr>
            <w:t>44</w:t>
          </w:r>
          <w:r w:rsidR="00503146">
            <w:rPr>
              <w:noProof/>
            </w:rPr>
            <w:fldChar w:fldCharType="end"/>
          </w:r>
        </w:p>
      </w:tc>
    </w:tr>
  </w:tbl>
  <w:p w14:paraId="31ED7CC2" w14:textId="77777777" w:rsidR="002D0D3F" w:rsidRDefault="002D0D3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2D0D3F" w:rsidRPr="00487162" w14:paraId="17D3659B" w14:textId="77777777" w:rsidTr="00E45619">
      <w:trPr>
        <w:trHeight w:val="269"/>
      </w:trPr>
      <w:tc>
        <w:tcPr>
          <w:tcW w:w="4519" w:type="dxa"/>
          <w:tcBorders>
            <w:top w:val="single" w:sz="4" w:space="0" w:color="auto"/>
          </w:tcBorders>
          <w:tcMar>
            <w:top w:w="142" w:type="dxa"/>
            <w:bottom w:w="0" w:type="dxa"/>
          </w:tcMar>
        </w:tcPr>
        <w:p w14:paraId="7BA7C1BE" w14:textId="77777777" w:rsidR="002D0D3F" w:rsidRPr="00487162" w:rsidRDefault="002D0D3F" w:rsidP="00FE1DEE">
          <w:pPr>
            <w:pStyle w:val="Footer"/>
          </w:pPr>
          <w:r w:rsidRPr="00487162">
            <w:t>Document title, Part #, Section # - Section title</w:t>
          </w:r>
        </w:p>
        <w:p w14:paraId="6DC08909" w14:textId="77777777" w:rsidR="002D0D3F" w:rsidRPr="00487162" w:rsidRDefault="002D0D3F" w:rsidP="00FE1DEE">
          <w:pPr>
            <w:pStyle w:val="Footer"/>
          </w:pPr>
          <w:r w:rsidRPr="00487162">
            <w:t>V1.0 October 2010</w:t>
          </w:r>
        </w:p>
      </w:tc>
      <w:tc>
        <w:tcPr>
          <w:tcW w:w="4342" w:type="dxa"/>
          <w:tcBorders>
            <w:top w:val="single" w:sz="4" w:space="0" w:color="auto"/>
          </w:tcBorders>
          <w:tcMar>
            <w:top w:w="142" w:type="dxa"/>
            <w:bottom w:w="0" w:type="dxa"/>
          </w:tcMar>
        </w:tcPr>
        <w:p w14:paraId="0E561795" w14:textId="40D0A87E" w:rsidR="002D0D3F" w:rsidRPr="00487162" w:rsidRDefault="002D0D3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503146">
            <w:fldChar w:fldCharType="begin"/>
          </w:r>
          <w:r w:rsidR="00503146">
            <w:instrText xml:space="preserve"> NUMPAGES  </w:instrText>
          </w:r>
          <w:r w:rsidR="00503146">
            <w:fldChar w:fldCharType="separate"/>
          </w:r>
          <w:r w:rsidR="002A5AE3">
            <w:rPr>
              <w:noProof/>
            </w:rPr>
            <w:t>45</w:t>
          </w:r>
          <w:r w:rsidR="00503146">
            <w:rPr>
              <w:noProof/>
            </w:rPr>
            <w:fldChar w:fldCharType="end"/>
          </w:r>
        </w:p>
      </w:tc>
    </w:tr>
  </w:tbl>
  <w:p w14:paraId="23EDA0CF" w14:textId="77777777" w:rsidR="002D0D3F" w:rsidRDefault="002D0D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BBE61E" w14:textId="77777777" w:rsidR="002D0D3F" w:rsidRPr="001C32CD" w:rsidRDefault="002D0D3F"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2D0D3F" w14:paraId="2E7E96CF" w14:textId="77777777" w:rsidTr="0010601F">
      <w:trPr>
        <w:trHeight w:val="108"/>
      </w:trPr>
      <w:tc>
        <w:tcPr>
          <w:tcW w:w="8875" w:type="dxa"/>
          <w:gridSpan w:val="2"/>
          <w:tcBorders>
            <w:bottom w:val="single" w:sz="4" w:space="0" w:color="auto"/>
          </w:tcBorders>
          <w:tcMar>
            <w:right w:w="284" w:type="dxa"/>
          </w:tcMar>
        </w:tcPr>
        <w:p w14:paraId="34CE6889" w14:textId="77777777" w:rsidR="002D0D3F" w:rsidRDefault="002D0D3F" w:rsidP="006E08B3">
          <w:pPr>
            <w:pStyle w:val="Heading3"/>
          </w:pPr>
          <w:r>
            <w:t>Copyright</w:t>
          </w:r>
        </w:p>
        <w:p w14:paraId="6D8D30C3" w14:textId="77777777" w:rsidR="002D0D3F" w:rsidRDefault="002D0D3F" w:rsidP="006E08B3">
          <w:r>
            <w:rPr>
              <w:rFonts w:cs="Arial"/>
            </w:rPr>
            <w:t>©</w:t>
          </w:r>
          <w:r>
            <w:t xml:space="preserve"> Commonwealth of Australia [add year]</w:t>
          </w:r>
        </w:p>
        <w:p w14:paraId="5C949AFE" w14:textId="77777777" w:rsidR="002D0D3F" w:rsidRDefault="002D0D3F" w:rsidP="006E08B3"/>
        <w:p w14:paraId="4C0AE4F4" w14:textId="77777777" w:rsidR="002D0D3F" w:rsidRDefault="002D0D3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8FE46F2" w14:textId="77777777" w:rsidR="002D0D3F" w:rsidRDefault="002D0D3F" w:rsidP="006E08B3"/>
        <w:p w14:paraId="2DF497BE" w14:textId="77777777" w:rsidR="002D0D3F" w:rsidRDefault="002D0D3F" w:rsidP="006E08B3">
          <w:pPr>
            <w:pStyle w:val="Heading3"/>
          </w:pPr>
          <w:r>
            <w:t>Confidentiality</w:t>
          </w:r>
        </w:p>
        <w:p w14:paraId="1B6E2818" w14:textId="77777777" w:rsidR="002D0D3F" w:rsidRDefault="002D0D3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6C04F2EA" w14:textId="77777777" w:rsidR="002D0D3F" w:rsidRDefault="002D0D3F" w:rsidP="006E08B3"/>
        <w:p w14:paraId="14E7DED1" w14:textId="77777777" w:rsidR="002D0D3F" w:rsidRDefault="002D0D3F" w:rsidP="006E08B3">
          <w:r>
            <w:t>For submission made by individuals, all personal details, other than your name, will be removed from your submission before it is published on the TGA’s Internet site.</w:t>
          </w:r>
        </w:p>
        <w:p w14:paraId="1E5BA94E" w14:textId="77777777" w:rsidR="002D0D3F" w:rsidRDefault="002D0D3F" w:rsidP="006E08B3"/>
        <w:p w14:paraId="3D7AE3B6" w14:textId="77777777" w:rsidR="002D0D3F" w:rsidRDefault="002D0D3F" w:rsidP="006E08B3">
          <w:r>
            <w:t>In addition, a list of parties making submissions will be published. If you do not wish to be identified with your submission you must specifically request this in the space provided ib the submission coversheet.</w:t>
          </w:r>
        </w:p>
      </w:tc>
    </w:tr>
    <w:tr w:rsidR="002D0D3F" w14:paraId="484870FB" w14:textId="77777777" w:rsidTr="0010601F">
      <w:trPr>
        <w:trHeight w:val="417"/>
      </w:trPr>
      <w:tc>
        <w:tcPr>
          <w:tcW w:w="4519" w:type="dxa"/>
          <w:tcBorders>
            <w:top w:val="single" w:sz="4" w:space="0" w:color="auto"/>
          </w:tcBorders>
          <w:tcMar>
            <w:top w:w="142" w:type="dxa"/>
            <w:bottom w:w="0" w:type="dxa"/>
          </w:tcMar>
        </w:tcPr>
        <w:p w14:paraId="496C46EF" w14:textId="77777777" w:rsidR="002D0D3F" w:rsidRDefault="002D0D3F" w:rsidP="006E08B3">
          <w:r>
            <w:t>Document title, Part #, Section # - Section title</w:t>
          </w:r>
        </w:p>
        <w:p w14:paraId="59EA2074" w14:textId="77777777" w:rsidR="002D0D3F" w:rsidRDefault="002D0D3F" w:rsidP="006E08B3">
          <w:r>
            <w:t>V1.0 October 2010</w:t>
          </w:r>
        </w:p>
      </w:tc>
      <w:tc>
        <w:tcPr>
          <w:tcW w:w="4356" w:type="dxa"/>
          <w:tcBorders>
            <w:top w:val="single" w:sz="4" w:space="0" w:color="auto"/>
          </w:tcBorders>
          <w:tcMar>
            <w:top w:w="142" w:type="dxa"/>
            <w:bottom w:w="0" w:type="dxa"/>
          </w:tcMar>
        </w:tcPr>
        <w:p w14:paraId="05EBF5FC" w14:textId="66CBD708" w:rsidR="002D0D3F" w:rsidRDefault="002D0D3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503146">
            <w:fldChar w:fldCharType="begin"/>
          </w:r>
          <w:r w:rsidR="00503146">
            <w:instrText xml:space="preserve"> NUMPAGES  \* Arabic </w:instrText>
          </w:r>
          <w:r w:rsidR="00503146">
            <w:fldChar w:fldCharType="separate"/>
          </w:r>
          <w:r w:rsidR="002A5AE3">
            <w:rPr>
              <w:noProof/>
            </w:rPr>
            <w:t>45</w:t>
          </w:r>
          <w:r w:rsidR="00503146">
            <w:rPr>
              <w:noProof/>
            </w:rPr>
            <w:fldChar w:fldCharType="end"/>
          </w:r>
          <w:r>
            <w:t xml:space="preserve">  </w:t>
          </w:r>
        </w:p>
      </w:tc>
    </w:tr>
  </w:tbl>
  <w:p w14:paraId="1E231C03" w14:textId="77777777" w:rsidR="002D0D3F" w:rsidRDefault="002D0D3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21BBAB" w14:textId="77777777" w:rsidR="002D0D3F" w:rsidRDefault="002D0D3F" w:rsidP="00C40A36">
      <w:pPr>
        <w:spacing w:after="0"/>
      </w:pPr>
      <w:r>
        <w:separator/>
      </w:r>
    </w:p>
  </w:footnote>
  <w:footnote w:type="continuationSeparator" w:id="0">
    <w:p w14:paraId="652588A0" w14:textId="77777777" w:rsidR="002D0D3F" w:rsidRDefault="002D0D3F" w:rsidP="00C40A36">
      <w:pPr>
        <w:spacing w:after="0"/>
      </w:pPr>
      <w:r>
        <w:continuationSeparator/>
      </w:r>
    </w:p>
  </w:footnote>
  <w:footnote w:id="1">
    <w:p w14:paraId="32210D41" w14:textId="393F36BA" w:rsidR="002D0D3F" w:rsidRPr="00917DAC" w:rsidRDefault="002D0D3F">
      <w:pPr>
        <w:pStyle w:val="FootnoteText"/>
        <w:rPr>
          <w:lang w:val="en-GB"/>
        </w:rPr>
      </w:pPr>
      <w:r>
        <w:rPr>
          <w:rStyle w:val="FootnoteReference"/>
        </w:rPr>
        <w:footnoteRef/>
      </w:r>
      <w:r>
        <w:t xml:space="preserve"> </w:t>
      </w:r>
      <w:r w:rsidRPr="001B405D">
        <w:t>National Compre</w:t>
      </w:r>
      <w:r>
        <w:t xml:space="preserve">hensive Cancer Network (NCCN). </w:t>
      </w:r>
      <w:r w:rsidRPr="001B405D">
        <w:t>NCCN Clinical Practice Guidelines in Oncology. Neuroendocrine Tumours. Version 1.2015 (2014).</w:t>
      </w:r>
    </w:p>
  </w:footnote>
  <w:footnote w:id="2">
    <w:p w14:paraId="535CEEAA" w14:textId="5F9ACBA5" w:rsidR="002D0D3F" w:rsidRPr="00003BF8" w:rsidRDefault="002D0D3F">
      <w:pPr>
        <w:pStyle w:val="FootnoteText"/>
        <w:rPr>
          <w:lang w:val="en-GB"/>
        </w:rPr>
      </w:pPr>
      <w:r>
        <w:rPr>
          <w:rStyle w:val="FootnoteReference"/>
        </w:rPr>
        <w:footnoteRef/>
      </w:r>
      <w:r>
        <w:t xml:space="preserve"> Australian PI for Afinitor Everolimus Novartis Pharmaceuticals Australia Pty Ltd (current at the time of submission).</w:t>
      </w:r>
    </w:p>
  </w:footnote>
  <w:footnote w:id="3">
    <w:p w14:paraId="0D7A6A94" w14:textId="0EA3EAED" w:rsidR="002D0D3F" w:rsidRPr="0048794C" w:rsidRDefault="002D0D3F">
      <w:pPr>
        <w:pStyle w:val="FootnoteText"/>
        <w:rPr>
          <w:lang w:val="en-GB"/>
        </w:rPr>
      </w:pPr>
      <w:r>
        <w:rPr>
          <w:rStyle w:val="FootnoteReference"/>
        </w:rPr>
        <w:footnoteRef/>
      </w:r>
      <w:r>
        <w:t xml:space="preserve"> FDA Label for Afinitor (2016)</w:t>
      </w:r>
    </w:p>
  </w:footnote>
  <w:footnote w:id="4">
    <w:p w14:paraId="44C3D808" w14:textId="2950B980" w:rsidR="002D0D3F" w:rsidRPr="007B492B" w:rsidRDefault="002D0D3F">
      <w:pPr>
        <w:pStyle w:val="FootnoteText"/>
        <w:rPr>
          <w:lang w:val="en-GB"/>
        </w:rPr>
      </w:pPr>
      <w:r>
        <w:rPr>
          <w:rStyle w:val="FootnoteReference"/>
        </w:rPr>
        <w:footnoteRef/>
      </w:r>
      <w:r>
        <w:t xml:space="preserve"> EMA SPC for Afinitor tablets (2015)</w:t>
      </w:r>
    </w:p>
  </w:footnote>
  <w:footnote w:id="5">
    <w:p w14:paraId="75312AD5" w14:textId="77777777" w:rsidR="002D0D3F" w:rsidRPr="008A4F08" w:rsidRDefault="002D0D3F" w:rsidP="00D26289">
      <w:pPr>
        <w:pStyle w:val="FootnoteText"/>
        <w:rPr>
          <w:lang w:val="en-GB"/>
        </w:rPr>
      </w:pPr>
      <w:r>
        <w:rPr>
          <w:rStyle w:val="FootnoteReference"/>
        </w:rPr>
        <w:footnoteRef/>
      </w:r>
      <w:r>
        <w:t xml:space="preserve"> </w:t>
      </w:r>
      <w:r w:rsidRPr="008A4F08">
        <w:t>Na</w:t>
      </w:r>
      <w:r>
        <w:t xml:space="preserve">tional Cancer Institute (NCI), </w:t>
      </w:r>
      <w:r w:rsidRPr="008A4F08">
        <w:t>NCI Dictionary of Cancer Terms</w:t>
      </w:r>
    </w:p>
  </w:footnote>
  <w:footnote w:id="6">
    <w:p w14:paraId="7A45299B" w14:textId="77777777" w:rsidR="002D0D3F" w:rsidRPr="008A4F08" w:rsidRDefault="002D0D3F" w:rsidP="00D26289">
      <w:pPr>
        <w:pStyle w:val="FootnoteText"/>
      </w:pPr>
      <w:r>
        <w:rPr>
          <w:rStyle w:val="FootnoteReference"/>
        </w:rPr>
        <w:footnoteRef/>
      </w:r>
      <w:r>
        <w:t xml:space="preserve"> Bergsland E</w:t>
      </w:r>
      <w:r w:rsidRPr="008A4F08">
        <w:t>. The evolving landscape of neuroendocrine tumors. Semin Oncol. 2013; 40 (1): 4-22.</w:t>
      </w:r>
    </w:p>
  </w:footnote>
  <w:footnote w:id="7">
    <w:p w14:paraId="4A5A25CE" w14:textId="77777777" w:rsidR="002D0D3F" w:rsidRPr="006C1E85" w:rsidRDefault="002D0D3F" w:rsidP="00D26289">
      <w:pPr>
        <w:pStyle w:val="FootnoteText"/>
        <w:rPr>
          <w:lang w:val="en-GB"/>
        </w:rPr>
      </w:pPr>
      <w:r>
        <w:rPr>
          <w:rStyle w:val="FootnoteReference"/>
        </w:rPr>
        <w:footnoteRef/>
      </w:r>
      <w:r>
        <w:t xml:space="preserve"> Klimstra D </w:t>
      </w:r>
      <w:r w:rsidRPr="006C1E85">
        <w:t>et al. The pathologic classification of neuroendocrine tumors: a review of nomenclature, grading, and staging systems. Pancreas. 2010; 39 (6): 707-12.</w:t>
      </w:r>
    </w:p>
  </w:footnote>
  <w:footnote w:id="8">
    <w:p w14:paraId="7F692B78" w14:textId="77777777" w:rsidR="002D0D3F" w:rsidRPr="006C1E85" w:rsidRDefault="002D0D3F" w:rsidP="00D26289">
      <w:pPr>
        <w:pStyle w:val="FootnoteText"/>
        <w:rPr>
          <w:lang w:val="en-GB"/>
        </w:rPr>
      </w:pPr>
      <w:r>
        <w:rPr>
          <w:rStyle w:val="FootnoteReference"/>
        </w:rPr>
        <w:footnoteRef/>
      </w:r>
      <w:r>
        <w:t xml:space="preserve"> </w:t>
      </w:r>
      <w:r w:rsidRPr="006C1E85">
        <w:t>National Comprehensive Cancer Network (NCCN). NCCN Clinical Practice Guidelines in Oncology. Neuroendocrine Tumours. Version 1.2015 (2014).</w:t>
      </w:r>
    </w:p>
  </w:footnote>
  <w:footnote w:id="9">
    <w:p w14:paraId="00B5A06B" w14:textId="77777777" w:rsidR="002D0D3F" w:rsidRPr="006C1E85" w:rsidRDefault="002D0D3F" w:rsidP="00D26289">
      <w:pPr>
        <w:pStyle w:val="FootnoteText"/>
        <w:rPr>
          <w:lang w:val="en-GB"/>
        </w:rPr>
      </w:pPr>
      <w:r>
        <w:rPr>
          <w:rStyle w:val="FootnoteReference"/>
        </w:rPr>
        <w:footnoteRef/>
      </w:r>
      <w:r>
        <w:t xml:space="preserve"> Yao J </w:t>
      </w:r>
      <w:r w:rsidRPr="006C1E85">
        <w:t>et a</w:t>
      </w:r>
      <w:r>
        <w:t>l. One hundred years after ‘carcinoid’</w:t>
      </w:r>
      <w:r w:rsidRPr="006C1E85">
        <w:t>: epidemiology of and prognostic factors for neuroendocrine tumors in 35,825 cases in the United States. J Clin Oncol. 2008; 26:3063-72.</w:t>
      </w:r>
    </w:p>
  </w:footnote>
  <w:footnote w:id="10">
    <w:p w14:paraId="52D7EC3B" w14:textId="77777777" w:rsidR="002D0D3F" w:rsidRPr="006C1E85" w:rsidRDefault="002D0D3F" w:rsidP="00D26289">
      <w:pPr>
        <w:pStyle w:val="FootnoteText"/>
        <w:rPr>
          <w:lang w:val="en-GB"/>
        </w:rPr>
      </w:pPr>
      <w:r>
        <w:rPr>
          <w:rStyle w:val="FootnoteReference"/>
        </w:rPr>
        <w:footnoteRef/>
      </w:r>
      <w:r>
        <w:t xml:space="preserve"> Rindi G </w:t>
      </w:r>
      <w:r w:rsidRPr="006C1E85">
        <w:t>et al (2010) Nomenclature and classification of neuroendocrine neoplasms of the digestive system. In: Bosman FT, Carneiro F, Hruban RH et al (eds.) WHO classification of Tumours of the Digestive System. 4th rev. ed; Lyon: IARC Press.</w:t>
      </w:r>
    </w:p>
  </w:footnote>
  <w:footnote w:id="11">
    <w:p w14:paraId="408E7897" w14:textId="54319B6A" w:rsidR="002D0D3F" w:rsidRPr="006C1E85" w:rsidRDefault="002D0D3F" w:rsidP="00D26289">
      <w:pPr>
        <w:pStyle w:val="FootnoteText"/>
        <w:rPr>
          <w:lang w:val="en-GB"/>
        </w:rPr>
      </w:pPr>
      <w:r>
        <w:rPr>
          <w:rStyle w:val="FootnoteReference"/>
        </w:rPr>
        <w:footnoteRef/>
      </w:r>
      <w:r>
        <w:t xml:space="preserve"> </w:t>
      </w:r>
      <w:r w:rsidRPr="006C1E85">
        <w:t>European Neuroendocrine Tumo</w:t>
      </w:r>
      <w:r>
        <w:t>u</w:t>
      </w:r>
      <w:r w:rsidRPr="006C1E85">
        <w:t>r Society (ENETS). Current Guidelines. (2016).</w:t>
      </w:r>
    </w:p>
  </w:footnote>
  <w:footnote w:id="12">
    <w:p w14:paraId="34B5000A" w14:textId="77777777" w:rsidR="002D0D3F" w:rsidRPr="006C1E85" w:rsidRDefault="002D0D3F" w:rsidP="00D26289">
      <w:pPr>
        <w:pStyle w:val="FootnoteText"/>
        <w:rPr>
          <w:lang w:val="en-GB"/>
        </w:rPr>
      </w:pPr>
      <w:r>
        <w:rPr>
          <w:rStyle w:val="FootnoteReference"/>
        </w:rPr>
        <w:footnoteRef/>
      </w:r>
      <w:r>
        <w:t xml:space="preserve"> </w:t>
      </w:r>
      <w:r w:rsidRPr="006C1E85">
        <w:t>North American Neuroendocrine Tumor Society (NANETS). NANETS 2010 Guidelines (2010).</w:t>
      </w:r>
    </w:p>
  </w:footnote>
  <w:footnote w:id="13">
    <w:p w14:paraId="1ECF488A" w14:textId="77777777" w:rsidR="002D0D3F" w:rsidRPr="00681204" w:rsidRDefault="002D0D3F" w:rsidP="00D26289">
      <w:pPr>
        <w:pStyle w:val="FootnoteText"/>
        <w:rPr>
          <w:lang w:val="en-GB"/>
        </w:rPr>
      </w:pPr>
      <w:r>
        <w:rPr>
          <w:rStyle w:val="FootnoteReference"/>
        </w:rPr>
        <w:footnoteRef/>
      </w:r>
      <w:r>
        <w:t xml:space="preserve"> Oberg K</w:t>
      </w:r>
      <w:r w:rsidRPr="00681204">
        <w:t>. The Management of Neuroendocrine Tumours: Current and Future Medical Therapy Options. Clin Oncol. 2012; 24: 282-293.</w:t>
      </w:r>
    </w:p>
  </w:footnote>
  <w:footnote w:id="14">
    <w:p w14:paraId="111EA5DC" w14:textId="77777777" w:rsidR="002D0D3F" w:rsidRPr="00681204" w:rsidRDefault="002D0D3F" w:rsidP="00D26289">
      <w:pPr>
        <w:pStyle w:val="FootnoteText"/>
        <w:rPr>
          <w:lang w:val="en-GB"/>
        </w:rPr>
      </w:pPr>
      <w:r>
        <w:rPr>
          <w:rStyle w:val="FootnoteReference"/>
        </w:rPr>
        <w:footnoteRef/>
      </w:r>
      <w:r>
        <w:t xml:space="preserve"> Oberg K </w:t>
      </w:r>
      <w:r w:rsidRPr="00681204">
        <w:t>et al. Neuroendocrine gastro-entero-pancreatic tumors: ESMO Clinical Practice Guidelines for diagnosis, treatment and follow-up. Ann Oncol. 2012;23 Suppl 7: vii 124-30.</w:t>
      </w:r>
    </w:p>
  </w:footnote>
  <w:footnote w:id="15">
    <w:p w14:paraId="5FCDA696" w14:textId="77777777" w:rsidR="002D0D3F" w:rsidRPr="00681204" w:rsidRDefault="002D0D3F" w:rsidP="00D26289">
      <w:pPr>
        <w:pStyle w:val="FootnoteText"/>
        <w:rPr>
          <w:lang w:val="en-GB"/>
        </w:rPr>
      </w:pPr>
      <w:r>
        <w:rPr>
          <w:rStyle w:val="FootnoteReference"/>
        </w:rPr>
        <w:footnoteRef/>
      </w:r>
      <w:r>
        <w:t xml:space="preserve"> Edge S</w:t>
      </w:r>
      <w:r w:rsidRPr="00681204">
        <w:t xml:space="preserve"> et al. AJCC Cancer Staging Handbook. 7</w:t>
      </w:r>
      <w:r w:rsidRPr="00681204">
        <w:rPr>
          <w:vertAlign w:val="superscript"/>
        </w:rPr>
        <w:t>th</w:t>
      </w:r>
      <w:r w:rsidRPr="00681204">
        <w:t xml:space="preserve"> edition (2010). New York. Springer.</w:t>
      </w:r>
    </w:p>
  </w:footnote>
  <w:footnote w:id="16">
    <w:p w14:paraId="1A594E7C" w14:textId="77777777" w:rsidR="002D0D3F" w:rsidRPr="009025EC" w:rsidRDefault="002D0D3F" w:rsidP="00AB71D4">
      <w:pPr>
        <w:pStyle w:val="FootnoteText"/>
        <w:rPr>
          <w:lang w:val="en-GB"/>
        </w:rPr>
      </w:pPr>
      <w:r>
        <w:rPr>
          <w:rStyle w:val="FootnoteReference"/>
        </w:rPr>
        <w:footnoteRef/>
      </w:r>
      <w:r>
        <w:t xml:space="preserve"> </w:t>
      </w:r>
      <w:r w:rsidRPr="009025EC">
        <w:t>EMA/CHMP/205/95/Rev.4; (2012)</w:t>
      </w:r>
      <w:r>
        <w:t xml:space="preserve">: </w:t>
      </w:r>
      <w:r w:rsidRPr="009025EC">
        <w:t>Guideline on the evaluation of antic</w:t>
      </w:r>
      <w:r>
        <w:t>ancer medicinal products in man; European Medicines Agency.</w:t>
      </w:r>
    </w:p>
  </w:footnote>
  <w:footnote w:id="17">
    <w:p w14:paraId="6F24AB68" w14:textId="77777777" w:rsidR="002D0D3F" w:rsidRPr="009025EC" w:rsidRDefault="002D0D3F" w:rsidP="00AB71D4">
      <w:pPr>
        <w:pStyle w:val="FootnoteText"/>
        <w:rPr>
          <w:lang w:val="en-GB"/>
        </w:rPr>
      </w:pPr>
      <w:r>
        <w:rPr>
          <w:rStyle w:val="FootnoteReference"/>
        </w:rPr>
        <w:footnoteRef/>
      </w:r>
      <w:r>
        <w:t xml:space="preserve"> </w:t>
      </w:r>
      <w:r w:rsidRPr="009025EC">
        <w:t>EM</w:t>
      </w:r>
      <w:r>
        <w:t xml:space="preserve">A/CHMP/27994/2008/Rev.1; (2012): </w:t>
      </w:r>
      <w:r w:rsidRPr="009025EC">
        <w:t>Appendix 1 to the guideline on the evaluation of anticancer medicinal products in man. Methodological consideration for using progression-free survival (PFS) or disease-free surviv</w:t>
      </w:r>
      <w:r>
        <w:t>al (DFS) in confirmatory trials; European Medicines Agency.</w:t>
      </w:r>
    </w:p>
  </w:footnote>
  <w:footnote w:id="18">
    <w:p w14:paraId="6CD0B61B" w14:textId="77777777" w:rsidR="002D0D3F" w:rsidRPr="00A26344" w:rsidRDefault="002D0D3F" w:rsidP="00AB71D4">
      <w:pPr>
        <w:pStyle w:val="FootnoteText"/>
        <w:rPr>
          <w:lang w:val="en-GB"/>
        </w:rPr>
      </w:pPr>
      <w:r>
        <w:rPr>
          <w:rStyle w:val="FootnoteReference"/>
        </w:rPr>
        <w:footnoteRef/>
      </w:r>
      <w:r>
        <w:t xml:space="preserve"> </w:t>
      </w:r>
      <w:r w:rsidRPr="00A26344">
        <w:t>CPMP/EWP/2330/99 (2001)</w:t>
      </w:r>
      <w:r>
        <w:t xml:space="preserve">: </w:t>
      </w:r>
      <w:r w:rsidRPr="00A26344">
        <w:t xml:space="preserve">Points to consider on application with 1. Meta-analyses; 2. One pivotal study; </w:t>
      </w:r>
      <w:r>
        <w:t>European Medicines Agency.</w:t>
      </w:r>
    </w:p>
  </w:footnote>
  <w:footnote w:id="19">
    <w:p w14:paraId="2861810A" w14:textId="77777777" w:rsidR="002D0D3F" w:rsidRPr="00E8350B" w:rsidRDefault="002D0D3F" w:rsidP="00DC27E9">
      <w:pPr>
        <w:pStyle w:val="FootnoteText"/>
        <w:rPr>
          <w:lang w:val="en-GB"/>
        </w:rPr>
      </w:pPr>
      <w:r>
        <w:rPr>
          <w:rStyle w:val="FootnoteReference"/>
        </w:rPr>
        <w:footnoteRef/>
      </w:r>
      <w:r>
        <w:t xml:space="preserve"> </w:t>
      </w:r>
      <w:proofErr w:type="gramStart"/>
      <w:r w:rsidRPr="00E8350B">
        <w:t>Therapeutic Goods Administration.</w:t>
      </w:r>
      <w:proofErr w:type="gramEnd"/>
      <w:r w:rsidRPr="00E8350B">
        <w:t xml:space="preserve"> </w:t>
      </w:r>
      <w:proofErr w:type="gramStart"/>
      <w:r w:rsidRPr="00E8350B">
        <w:t xml:space="preserve">Australian Public Assessment Report for </w:t>
      </w:r>
      <w:proofErr w:type="spellStart"/>
      <w:r w:rsidRPr="00E8350B">
        <w:t>Evero</w:t>
      </w:r>
      <w:r>
        <w:t>limus</w:t>
      </w:r>
      <w:proofErr w:type="spellEnd"/>
      <w:r>
        <w:t xml:space="preserve"> (</w:t>
      </w:r>
      <w:proofErr w:type="spellStart"/>
      <w:r>
        <w:t>Afinitor</w:t>
      </w:r>
      <w:proofErr w:type="spellEnd"/>
      <w:r>
        <w:t>).</w:t>
      </w:r>
      <w:proofErr w:type="gramEnd"/>
      <w:r>
        <w:t xml:space="preserve"> February 2013</w:t>
      </w:r>
    </w:p>
  </w:footnote>
  <w:footnote w:id="20">
    <w:p w14:paraId="78407BB7" w14:textId="5F67440F" w:rsidR="002D0D3F" w:rsidRPr="00DE508D" w:rsidRDefault="002D0D3F">
      <w:pPr>
        <w:pStyle w:val="FootnoteText"/>
        <w:rPr>
          <w:lang w:val="en-GB"/>
        </w:rPr>
      </w:pPr>
      <w:r>
        <w:rPr>
          <w:rStyle w:val="FootnoteReference"/>
        </w:rPr>
        <w:footnoteRef/>
      </w:r>
      <w:r>
        <w:t xml:space="preserve"> </w:t>
      </w:r>
      <w:proofErr w:type="spellStart"/>
      <w:r>
        <w:rPr>
          <w:lang w:val="en-GB"/>
        </w:rPr>
        <w:t>Votubia</w:t>
      </w:r>
      <w:proofErr w:type="spellEnd"/>
      <w:r>
        <w:rPr>
          <w:lang w:val="en-GB"/>
        </w:rPr>
        <w:t xml:space="preserve"> is an alternative tradename for </w:t>
      </w:r>
      <w:proofErr w:type="spellStart"/>
      <w:r>
        <w:rPr>
          <w:lang w:val="en-GB"/>
        </w:rPr>
        <w:t>everolimus</w:t>
      </w:r>
      <w:proofErr w:type="spellEnd"/>
      <w:r>
        <w:rPr>
          <w:lang w:val="en-GB"/>
        </w:rPr>
        <w:t xml:space="preserve"> approved and marketed in the EU and other overseas regions.</w:t>
      </w:r>
    </w:p>
  </w:footnote>
  <w:footnote w:id="21">
    <w:p w14:paraId="0A6709A0" w14:textId="6A623F42" w:rsidR="002D0D3F" w:rsidRPr="00895976" w:rsidRDefault="002D0D3F">
      <w:pPr>
        <w:pStyle w:val="FootnoteText"/>
        <w:rPr>
          <w:lang w:val="en-GB"/>
        </w:rPr>
      </w:pPr>
      <w:r>
        <w:rPr>
          <w:rStyle w:val="FootnoteReference"/>
        </w:rPr>
        <w:footnoteRef/>
      </w:r>
      <w:r>
        <w:t xml:space="preserve"> The </w:t>
      </w:r>
      <w:r w:rsidRPr="00895976">
        <w:rPr>
          <w:bCs/>
          <w:lang w:val="en-GB"/>
        </w:rPr>
        <w:t>Response Evaluation Criteria In Solid Tumors</w:t>
      </w:r>
      <w:r w:rsidRPr="00895976">
        <w:rPr>
          <w:lang w:val="en-GB"/>
        </w:rPr>
        <w:t> (</w:t>
      </w:r>
      <w:r w:rsidRPr="00895976">
        <w:rPr>
          <w:bCs/>
          <w:lang w:val="en-GB"/>
        </w:rPr>
        <w:t>RECIST</w:t>
      </w:r>
      <w:r w:rsidRPr="00895976">
        <w:rPr>
          <w:lang w:val="en-GB"/>
        </w:rPr>
        <w:t>)</w:t>
      </w:r>
      <w:r>
        <w:rPr>
          <w:lang w:val="en-GB"/>
        </w:rPr>
        <w:t xml:space="preserve"> are a</w:t>
      </w:r>
      <w:r w:rsidRPr="00895976">
        <w:rPr>
          <w:lang w:val="en-GB"/>
        </w:rPr>
        <w:t xml:space="preserve"> </w:t>
      </w:r>
      <w:r>
        <w:rPr>
          <w:lang w:val="en-GB"/>
        </w:rPr>
        <w:t>set of widely used published definitions</w:t>
      </w:r>
      <w:r w:rsidRPr="00895976">
        <w:rPr>
          <w:lang w:val="en-GB"/>
        </w:rPr>
        <w:t xml:space="preserve"> </w:t>
      </w:r>
      <w:r>
        <w:rPr>
          <w:lang w:val="en-GB"/>
        </w:rPr>
        <w:t xml:space="preserve">to describe response of </w:t>
      </w:r>
      <w:r w:rsidRPr="00895976">
        <w:rPr>
          <w:lang w:val="en-GB"/>
        </w:rPr>
        <w:t>tumo</w:t>
      </w:r>
      <w:r>
        <w:rPr>
          <w:lang w:val="en-GB"/>
        </w:rPr>
        <w:t>u</w:t>
      </w:r>
      <w:r w:rsidRPr="00895976">
        <w:rPr>
          <w:lang w:val="en-GB"/>
        </w:rPr>
        <w:t>rs in cancer patients</w:t>
      </w:r>
      <w:r>
        <w:rPr>
          <w:lang w:val="en-GB"/>
        </w:rPr>
        <w:t>.</w:t>
      </w:r>
    </w:p>
  </w:footnote>
  <w:footnote w:id="22">
    <w:p w14:paraId="7ADAC1EE" w14:textId="79BC3CC4" w:rsidR="002D0D3F" w:rsidRPr="007A5302" w:rsidRDefault="002D0D3F">
      <w:pPr>
        <w:pStyle w:val="FootnoteText"/>
      </w:pPr>
      <w:r>
        <w:rPr>
          <w:rStyle w:val="FootnoteReference"/>
        </w:rPr>
        <w:footnoteRef/>
      </w:r>
      <w:r>
        <w:t xml:space="preserve"> </w:t>
      </w:r>
      <w:r w:rsidRPr="00FB116F">
        <w:t>Tumour origin was specified as</w:t>
      </w:r>
      <w:r>
        <w:t xml:space="preserve"> stratum A (better prognosis:</w:t>
      </w:r>
      <w:r w:rsidRPr="00FB116F">
        <w:t xml:space="preserve"> appendix, caecum, jejunum, ileum, duodenum, carci</w:t>
      </w:r>
      <w:r>
        <w:t>noma of unknown primary origin *CUP)</w:t>
      </w:r>
      <w:r w:rsidRPr="00FB116F">
        <w:t>) v</w:t>
      </w:r>
      <w:r>
        <w:t>ersus stratum B (worse prognosis:</w:t>
      </w:r>
      <w:r w:rsidRPr="00FB116F">
        <w:t xml:space="preserve"> lung, stomach, rectum, colon except caecum). CUP was defined as well differentiated (G</w:t>
      </w:r>
      <w:r>
        <w:t xml:space="preserve">rade </w:t>
      </w:r>
      <w:r w:rsidRPr="00FB116F">
        <w:t>1 or G</w:t>
      </w:r>
      <w:r>
        <w:t xml:space="preserve">rade </w:t>
      </w:r>
      <w:r w:rsidRPr="00FB116F">
        <w:t>2) NET where any other primary tumour origin than gastrointestinal or lung has been excluded by appropriate diagnostic procedures. NET lesions found solely in the liver were coded as CUP.</w:t>
      </w:r>
    </w:p>
  </w:footnote>
  <w:footnote w:id="23">
    <w:p w14:paraId="433EDD1E" w14:textId="16975702" w:rsidR="002D0D3F" w:rsidRPr="00E21B4C" w:rsidRDefault="002D0D3F">
      <w:pPr>
        <w:pStyle w:val="FootnoteText"/>
      </w:pPr>
      <w:r>
        <w:rPr>
          <w:rStyle w:val="FootnoteReference"/>
        </w:rPr>
        <w:footnoteRef/>
      </w:r>
      <w:r>
        <w:t xml:space="preserve"> Yao J et al. </w:t>
      </w:r>
      <w:r w:rsidRPr="00E21B4C">
        <w:t xml:space="preserve">One hundred years after </w:t>
      </w:r>
      <w:r>
        <w:t>‘</w:t>
      </w:r>
      <w:r w:rsidRPr="00E21B4C">
        <w:t>carcinoid: epidemiology of and prognostic factors for neuroendocrine tumors in 35,825 cases in the United States.</w:t>
      </w:r>
      <w:r>
        <w:t xml:space="preserve"> 2008:</w:t>
      </w:r>
      <w:r w:rsidRPr="00E21B4C">
        <w:t xml:space="preserve"> J Clin Oncol; 26: 3063-72.</w:t>
      </w:r>
    </w:p>
  </w:footnote>
  <w:footnote w:id="24">
    <w:p w14:paraId="286EC642" w14:textId="27A419E2" w:rsidR="002D0D3F" w:rsidRPr="00E21B4C" w:rsidRDefault="002D0D3F">
      <w:pPr>
        <w:pStyle w:val="FootnoteText"/>
      </w:pPr>
      <w:r>
        <w:rPr>
          <w:rStyle w:val="FootnoteReference"/>
        </w:rPr>
        <w:footnoteRef/>
      </w:r>
      <w:r>
        <w:t xml:space="preserve"> Rinke A et al. </w:t>
      </w:r>
      <w:r w:rsidRPr="00E21B4C">
        <w:t xml:space="preserve">Placebo-controlled, double-blind, prospective, randomized study on the effect of octreotide LAR in the control of tumor growth in patients with metastatic neuroendocrine midgut tumors: A report from the PROMID study group. </w:t>
      </w:r>
      <w:r>
        <w:t>2009: J Clin Oncol</w:t>
      </w:r>
      <w:r w:rsidRPr="00E21B4C">
        <w:t>; 27 (28):4656-63.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DE73A4" w14:textId="77777777" w:rsidR="002D0D3F" w:rsidRDefault="002D0D3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66ACB6" w14:textId="77777777" w:rsidR="002D0D3F" w:rsidRDefault="002D0D3F">
    <w:pPr>
      <w:rPr>
        <w:noProof/>
        <w:lang w:eastAsia="en-AU"/>
      </w:rPr>
    </w:pPr>
    <w:r w:rsidRPr="00347824">
      <w:rPr>
        <w:noProof/>
        <w:lang w:eastAsia="en-AU"/>
      </w:rPr>
      <w:drawing>
        <wp:anchor distT="0" distB="0" distL="114300" distR="114300" simplePos="0" relativeHeight="251659264" behindDoc="1" locked="0" layoutInCell="1" allowOverlap="1" wp14:anchorId="7079A0E8" wp14:editId="051EE95C">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3FC8F39" w14:textId="77777777" w:rsidR="002D0D3F" w:rsidRDefault="002D0D3F" w:rsidP="00593AD1">
    <w:pPr>
      <w:pStyle w:val="HeaderNoLine"/>
    </w:pPr>
    <w:r>
      <w:rPr>
        <w:noProof/>
        <w:lang w:eastAsia="en-AU"/>
      </w:rPr>
      <w:drawing>
        <wp:inline distT="0" distB="0" distL="0" distR="0" wp14:anchorId="0DEB1251" wp14:editId="0E2A6121">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A02FFE" w14:textId="77777777" w:rsidR="002D0D3F" w:rsidRDefault="002D0D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6B8EA" w14:textId="77777777" w:rsidR="002D0D3F" w:rsidRDefault="002D0D3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FBF7E0" w14:textId="77777777" w:rsidR="002D0D3F" w:rsidRDefault="002D0D3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4C8BE" w14:textId="77777777" w:rsidR="002D0D3F" w:rsidRDefault="002D0D3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CC86C2" w14:textId="77777777" w:rsidR="002D0D3F" w:rsidRDefault="002D0D3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86AE4" w14:textId="77777777" w:rsidR="002D0D3F" w:rsidRDefault="002D0D3F" w:rsidP="006E08B3">
    <w:r>
      <w:t>Therapeutic Goods Administration</w:t>
    </w:r>
  </w:p>
  <w:p w14:paraId="0C3968ED" w14:textId="77777777" w:rsidR="002D0D3F" w:rsidRDefault="002D0D3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
    <w:nsid w:val="30AE3C99"/>
    <w:multiLevelType w:val="hybridMultilevel"/>
    <w:tmpl w:val="F1F4DBC2"/>
    <w:lvl w:ilvl="0" w:tplc="05C4866C">
      <w:start w:val="1"/>
      <w:numFmt w:val="bullet"/>
      <w:lvlText w:val=""/>
      <w:lvlJc w:val="left"/>
      <w:pPr>
        <w:tabs>
          <w:tab w:val="num" w:pos="567"/>
        </w:tabs>
        <w:ind w:left="567" w:hanging="56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1B92A9E"/>
    <w:multiLevelType w:val="hybridMultilevel"/>
    <w:tmpl w:val="CEE22F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7EDC11A3"/>
    <w:multiLevelType w:val="multilevel"/>
    <w:tmpl w:val="9EBC2A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1"/>
  </w:num>
  <w:num w:numId="4">
    <w:abstractNumId w:val="0"/>
  </w:num>
  <w:num w:numId="5">
    <w:abstractNumId w:val="0"/>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6">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9">
    <w:abstractNumId w:val="0"/>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0">
    <w:abstractNumId w:val="4"/>
  </w:num>
  <w:num w:numId="11">
    <w:abstractNumId w:val="3"/>
  </w:num>
  <w:num w:numId="12">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CD4"/>
    <w:rsid w:val="00002031"/>
    <w:rsid w:val="00003BF8"/>
    <w:rsid w:val="00004734"/>
    <w:rsid w:val="00006B22"/>
    <w:rsid w:val="0001276A"/>
    <w:rsid w:val="000202D2"/>
    <w:rsid w:val="000246AE"/>
    <w:rsid w:val="00025C67"/>
    <w:rsid w:val="00030600"/>
    <w:rsid w:val="00044772"/>
    <w:rsid w:val="0005559E"/>
    <w:rsid w:val="000604D6"/>
    <w:rsid w:val="00067D00"/>
    <w:rsid w:val="00071092"/>
    <w:rsid w:val="0007180C"/>
    <w:rsid w:val="000734D8"/>
    <w:rsid w:val="00075172"/>
    <w:rsid w:val="00077775"/>
    <w:rsid w:val="00080828"/>
    <w:rsid w:val="00090471"/>
    <w:rsid w:val="00092495"/>
    <w:rsid w:val="00096AA7"/>
    <w:rsid w:val="000A3AED"/>
    <w:rsid w:val="000A55A9"/>
    <w:rsid w:val="000B0784"/>
    <w:rsid w:val="000B1382"/>
    <w:rsid w:val="000B3532"/>
    <w:rsid w:val="000B3A75"/>
    <w:rsid w:val="000C00C2"/>
    <w:rsid w:val="000C064B"/>
    <w:rsid w:val="000C3AC5"/>
    <w:rsid w:val="000C690F"/>
    <w:rsid w:val="000D1295"/>
    <w:rsid w:val="000D391B"/>
    <w:rsid w:val="000D3D6D"/>
    <w:rsid w:val="000D4FC7"/>
    <w:rsid w:val="000E6196"/>
    <w:rsid w:val="000F1079"/>
    <w:rsid w:val="000F37D2"/>
    <w:rsid w:val="000F4869"/>
    <w:rsid w:val="000F5B42"/>
    <w:rsid w:val="000F6E6F"/>
    <w:rsid w:val="0010601F"/>
    <w:rsid w:val="0010788A"/>
    <w:rsid w:val="00107A31"/>
    <w:rsid w:val="00110EA5"/>
    <w:rsid w:val="00112F56"/>
    <w:rsid w:val="00114181"/>
    <w:rsid w:val="00125318"/>
    <w:rsid w:val="001305A2"/>
    <w:rsid w:val="00133238"/>
    <w:rsid w:val="00133A1B"/>
    <w:rsid w:val="00135755"/>
    <w:rsid w:val="0014197B"/>
    <w:rsid w:val="001435B7"/>
    <w:rsid w:val="001447CD"/>
    <w:rsid w:val="001516B1"/>
    <w:rsid w:val="00154EBB"/>
    <w:rsid w:val="00156316"/>
    <w:rsid w:val="00161181"/>
    <w:rsid w:val="00162D14"/>
    <w:rsid w:val="00165389"/>
    <w:rsid w:val="001766A0"/>
    <w:rsid w:val="0017693F"/>
    <w:rsid w:val="0018110E"/>
    <w:rsid w:val="00181684"/>
    <w:rsid w:val="001843C6"/>
    <w:rsid w:val="001850E0"/>
    <w:rsid w:val="0019242C"/>
    <w:rsid w:val="001A2158"/>
    <w:rsid w:val="001A525F"/>
    <w:rsid w:val="001B09F9"/>
    <w:rsid w:val="001B405D"/>
    <w:rsid w:val="001B5C90"/>
    <w:rsid w:val="001B6448"/>
    <w:rsid w:val="001C32CD"/>
    <w:rsid w:val="001C7F7B"/>
    <w:rsid w:val="001D2984"/>
    <w:rsid w:val="001E07CF"/>
    <w:rsid w:val="001E59F1"/>
    <w:rsid w:val="001E675B"/>
    <w:rsid w:val="001F2CEE"/>
    <w:rsid w:val="001F49EB"/>
    <w:rsid w:val="001F6CBA"/>
    <w:rsid w:val="00201D4E"/>
    <w:rsid w:val="002076C9"/>
    <w:rsid w:val="002169DF"/>
    <w:rsid w:val="002175A8"/>
    <w:rsid w:val="00220B8A"/>
    <w:rsid w:val="00223441"/>
    <w:rsid w:val="002257F3"/>
    <w:rsid w:val="00233456"/>
    <w:rsid w:val="002339A5"/>
    <w:rsid w:val="00235FA3"/>
    <w:rsid w:val="00241A79"/>
    <w:rsid w:val="002469D6"/>
    <w:rsid w:val="00255117"/>
    <w:rsid w:val="00257848"/>
    <w:rsid w:val="00262D84"/>
    <w:rsid w:val="0027084A"/>
    <w:rsid w:val="00286434"/>
    <w:rsid w:val="00286C59"/>
    <w:rsid w:val="00291957"/>
    <w:rsid w:val="002942D1"/>
    <w:rsid w:val="0029501A"/>
    <w:rsid w:val="002A3721"/>
    <w:rsid w:val="002A5AE3"/>
    <w:rsid w:val="002B1638"/>
    <w:rsid w:val="002B3624"/>
    <w:rsid w:val="002C404B"/>
    <w:rsid w:val="002D0952"/>
    <w:rsid w:val="002D0D3F"/>
    <w:rsid w:val="002E34A1"/>
    <w:rsid w:val="002E40B3"/>
    <w:rsid w:val="002E4C9A"/>
    <w:rsid w:val="002F11F8"/>
    <w:rsid w:val="002F3F56"/>
    <w:rsid w:val="002F44B5"/>
    <w:rsid w:val="00302349"/>
    <w:rsid w:val="003077E6"/>
    <w:rsid w:val="00311AC0"/>
    <w:rsid w:val="00317383"/>
    <w:rsid w:val="003176FC"/>
    <w:rsid w:val="0032583B"/>
    <w:rsid w:val="00327883"/>
    <w:rsid w:val="00334354"/>
    <w:rsid w:val="00335504"/>
    <w:rsid w:val="00340C18"/>
    <w:rsid w:val="003442FD"/>
    <w:rsid w:val="00347824"/>
    <w:rsid w:val="00350567"/>
    <w:rsid w:val="003521E8"/>
    <w:rsid w:val="0036276C"/>
    <w:rsid w:val="00370CE3"/>
    <w:rsid w:val="003727F1"/>
    <w:rsid w:val="003728F3"/>
    <w:rsid w:val="0037496E"/>
    <w:rsid w:val="00383221"/>
    <w:rsid w:val="00386150"/>
    <w:rsid w:val="003874CE"/>
    <w:rsid w:val="00390900"/>
    <w:rsid w:val="003911F4"/>
    <w:rsid w:val="00396398"/>
    <w:rsid w:val="003A7F6C"/>
    <w:rsid w:val="003B4D60"/>
    <w:rsid w:val="003B7E39"/>
    <w:rsid w:val="003C58DC"/>
    <w:rsid w:val="003D1E62"/>
    <w:rsid w:val="003E0A39"/>
    <w:rsid w:val="003E0B99"/>
    <w:rsid w:val="003E2486"/>
    <w:rsid w:val="003E3208"/>
    <w:rsid w:val="003F0B04"/>
    <w:rsid w:val="0040134E"/>
    <w:rsid w:val="00423796"/>
    <w:rsid w:val="00430F0C"/>
    <w:rsid w:val="004334C7"/>
    <w:rsid w:val="00433C52"/>
    <w:rsid w:val="004402C9"/>
    <w:rsid w:val="00440A2D"/>
    <w:rsid w:val="00441C3F"/>
    <w:rsid w:val="00444CF8"/>
    <w:rsid w:val="004564A7"/>
    <w:rsid w:val="004617BF"/>
    <w:rsid w:val="00463658"/>
    <w:rsid w:val="004637A0"/>
    <w:rsid w:val="00470545"/>
    <w:rsid w:val="004722CC"/>
    <w:rsid w:val="0048794C"/>
    <w:rsid w:val="004936E4"/>
    <w:rsid w:val="00494E60"/>
    <w:rsid w:val="00497487"/>
    <w:rsid w:val="004A1194"/>
    <w:rsid w:val="004A3EFE"/>
    <w:rsid w:val="004A6189"/>
    <w:rsid w:val="004A7390"/>
    <w:rsid w:val="004B7B76"/>
    <w:rsid w:val="004C239D"/>
    <w:rsid w:val="004C2DCA"/>
    <w:rsid w:val="004C5BFB"/>
    <w:rsid w:val="004C61D2"/>
    <w:rsid w:val="004D2A1D"/>
    <w:rsid w:val="004D6FA4"/>
    <w:rsid w:val="004E61DF"/>
    <w:rsid w:val="004F0C4A"/>
    <w:rsid w:val="004F0F38"/>
    <w:rsid w:val="004F47D6"/>
    <w:rsid w:val="00501921"/>
    <w:rsid w:val="00501A81"/>
    <w:rsid w:val="00503146"/>
    <w:rsid w:val="0052416E"/>
    <w:rsid w:val="00530354"/>
    <w:rsid w:val="005336D8"/>
    <w:rsid w:val="0053625B"/>
    <w:rsid w:val="005373AB"/>
    <w:rsid w:val="00542105"/>
    <w:rsid w:val="005434C6"/>
    <w:rsid w:val="00543B39"/>
    <w:rsid w:val="00546154"/>
    <w:rsid w:val="00550096"/>
    <w:rsid w:val="00555280"/>
    <w:rsid w:val="00557368"/>
    <w:rsid w:val="00557E70"/>
    <w:rsid w:val="00557FF9"/>
    <w:rsid w:val="00562327"/>
    <w:rsid w:val="005711D5"/>
    <w:rsid w:val="00576378"/>
    <w:rsid w:val="00577130"/>
    <w:rsid w:val="00577945"/>
    <w:rsid w:val="00577E38"/>
    <w:rsid w:val="00581AD9"/>
    <w:rsid w:val="00585322"/>
    <w:rsid w:val="005857C6"/>
    <w:rsid w:val="00587D1F"/>
    <w:rsid w:val="00592F6E"/>
    <w:rsid w:val="00593AD1"/>
    <w:rsid w:val="0059728F"/>
    <w:rsid w:val="005A68B6"/>
    <w:rsid w:val="005B2E2B"/>
    <w:rsid w:val="005B63BA"/>
    <w:rsid w:val="005C5570"/>
    <w:rsid w:val="005C79A4"/>
    <w:rsid w:val="005D5442"/>
    <w:rsid w:val="005F6200"/>
    <w:rsid w:val="00603F32"/>
    <w:rsid w:val="00605AD4"/>
    <w:rsid w:val="006136D7"/>
    <w:rsid w:val="00617C0A"/>
    <w:rsid w:val="00625A6E"/>
    <w:rsid w:val="00632398"/>
    <w:rsid w:val="00640FC3"/>
    <w:rsid w:val="00642020"/>
    <w:rsid w:val="00642A06"/>
    <w:rsid w:val="00647FC6"/>
    <w:rsid w:val="0065337B"/>
    <w:rsid w:val="0065419D"/>
    <w:rsid w:val="00655D8F"/>
    <w:rsid w:val="006604D8"/>
    <w:rsid w:val="00660BFC"/>
    <w:rsid w:val="0066294C"/>
    <w:rsid w:val="00664A5B"/>
    <w:rsid w:val="006662C1"/>
    <w:rsid w:val="0066735C"/>
    <w:rsid w:val="006763D2"/>
    <w:rsid w:val="00680C08"/>
    <w:rsid w:val="00680E16"/>
    <w:rsid w:val="0068496F"/>
    <w:rsid w:val="006916A0"/>
    <w:rsid w:val="006931B1"/>
    <w:rsid w:val="00695D4B"/>
    <w:rsid w:val="00697C90"/>
    <w:rsid w:val="006A0ED1"/>
    <w:rsid w:val="006A15C0"/>
    <w:rsid w:val="006C000F"/>
    <w:rsid w:val="006C3E2A"/>
    <w:rsid w:val="006C642F"/>
    <w:rsid w:val="006D03E5"/>
    <w:rsid w:val="006D4710"/>
    <w:rsid w:val="006D5D3E"/>
    <w:rsid w:val="006E08B3"/>
    <w:rsid w:val="006E4FB0"/>
    <w:rsid w:val="006F17AC"/>
    <w:rsid w:val="006F25B8"/>
    <w:rsid w:val="006F572E"/>
    <w:rsid w:val="00700861"/>
    <w:rsid w:val="00701F0B"/>
    <w:rsid w:val="007032D6"/>
    <w:rsid w:val="007046D6"/>
    <w:rsid w:val="00705DB0"/>
    <w:rsid w:val="007221AF"/>
    <w:rsid w:val="00722B57"/>
    <w:rsid w:val="00723381"/>
    <w:rsid w:val="00724C20"/>
    <w:rsid w:val="007266A2"/>
    <w:rsid w:val="00730F61"/>
    <w:rsid w:val="00730F8A"/>
    <w:rsid w:val="00735A8C"/>
    <w:rsid w:val="0074253D"/>
    <w:rsid w:val="0074429B"/>
    <w:rsid w:val="00747EFC"/>
    <w:rsid w:val="00757CCC"/>
    <w:rsid w:val="007615BC"/>
    <w:rsid w:val="00762F05"/>
    <w:rsid w:val="00764DE1"/>
    <w:rsid w:val="007652FF"/>
    <w:rsid w:val="00770CAC"/>
    <w:rsid w:val="00770EF1"/>
    <w:rsid w:val="00773EF7"/>
    <w:rsid w:val="00774E1D"/>
    <w:rsid w:val="007765D8"/>
    <w:rsid w:val="0077675A"/>
    <w:rsid w:val="00780355"/>
    <w:rsid w:val="007819FD"/>
    <w:rsid w:val="00785717"/>
    <w:rsid w:val="00785721"/>
    <w:rsid w:val="00786FB2"/>
    <w:rsid w:val="007874BB"/>
    <w:rsid w:val="00793A59"/>
    <w:rsid w:val="00795521"/>
    <w:rsid w:val="007A2BF4"/>
    <w:rsid w:val="007A2C21"/>
    <w:rsid w:val="007A5302"/>
    <w:rsid w:val="007B3D77"/>
    <w:rsid w:val="007B3DB0"/>
    <w:rsid w:val="007B492B"/>
    <w:rsid w:val="007B6132"/>
    <w:rsid w:val="007B6E9F"/>
    <w:rsid w:val="007C1216"/>
    <w:rsid w:val="007C1AF7"/>
    <w:rsid w:val="007C52CE"/>
    <w:rsid w:val="007C6B9B"/>
    <w:rsid w:val="007E10D2"/>
    <w:rsid w:val="00805D27"/>
    <w:rsid w:val="00806B68"/>
    <w:rsid w:val="00806DCB"/>
    <w:rsid w:val="00821776"/>
    <w:rsid w:val="008258B1"/>
    <w:rsid w:val="008321F5"/>
    <w:rsid w:val="00832369"/>
    <w:rsid w:val="00834660"/>
    <w:rsid w:val="00836BC2"/>
    <w:rsid w:val="0085156D"/>
    <w:rsid w:val="0085641B"/>
    <w:rsid w:val="00857136"/>
    <w:rsid w:val="008744E8"/>
    <w:rsid w:val="00875A6B"/>
    <w:rsid w:val="00885B11"/>
    <w:rsid w:val="00886D15"/>
    <w:rsid w:val="00886D68"/>
    <w:rsid w:val="00887DD8"/>
    <w:rsid w:val="00891BA9"/>
    <w:rsid w:val="00895461"/>
    <w:rsid w:val="00895976"/>
    <w:rsid w:val="00896018"/>
    <w:rsid w:val="008960DD"/>
    <w:rsid w:val="0089635C"/>
    <w:rsid w:val="00896505"/>
    <w:rsid w:val="008A2B9D"/>
    <w:rsid w:val="008A3D9F"/>
    <w:rsid w:val="008A5E0B"/>
    <w:rsid w:val="008A6D59"/>
    <w:rsid w:val="008B426E"/>
    <w:rsid w:val="008B4B03"/>
    <w:rsid w:val="008B596F"/>
    <w:rsid w:val="008C159F"/>
    <w:rsid w:val="008C1623"/>
    <w:rsid w:val="008C1850"/>
    <w:rsid w:val="008C252C"/>
    <w:rsid w:val="008C3B1F"/>
    <w:rsid w:val="008C51A9"/>
    <w:rsid w:val="008C5459"/>
    <w:rsid w:val="008E7846"/>
    <w:rsid w:val="008F02E5"/>
    <w:rsid w:val="008F1CCC"/>
    <w:rsid w:val="008F225F"/>
    <w:rsid w:val="008F2967"/>
    <w:rsid w:val="008F6943"/>
    <w:rsid w:val="00902A21"/>
    <w:rsid w:val="00917DAC"/>
    <w:rsid w:val="00920330"/>
    <w:rsid w:val="00920ECF"/>
    <w:rsid w:val="009219D7"/>
    <w:rsid w:val="00922D53"/>
    <w:rsid w:val="00923B70"/>
    <w:rsid w:val="00924482"/>
    <w:rsid w:val="00924700"/>
    <w:rsid w:val="00930237"/>
    <w:rsid w:val="00937C17"/>
    <w:rsid w:val="00940A89"/>
    <w:rsid w:val="0094337E"/>
    <w:rsid w:val="00943FE0"/>
    <w:rsid w:val="00946EA5"/>
    <w:rsid w:val="009475E9"/>
    <w:rsid w:val="009553EF"/>
    <w:rsid w:val="00963C08"/>
    <w:rsid w:val="009752A5"/>
    <w:rsid w:val="009815BE"/>
    <w:rsid w:val="0098585A"/>
    <w:rsid w:val="009871C0"/>
    <w:rsid w:val="009A0FA5"/>
    <w:rsid w:val="009A4CED"/>
    <w:rsid w:val="009A690D"/>
    <w:rsid w:val="009B1D12"/>
    <w:rsid w:val="009B416B"/>
    <w:rsid w:val="009B65B4"/>
    <w:rsid w:val="009B6FAA"/>
    <w:rsid w:val="009C4454"/>
    <w:rsid w:val="009C4BD5"/>
    <w:rsid w:val="009C7B5E"/>
    <w:rsid w:val="009D7B77"/>
    <w:rsid w:val="009E0BB0"/>
    <w:rsid w:val="009E3FBB"/>
    <w:rsid w:val="009E4AE9"/>
    <w:rsid w:val="009E79FB"/>
    <w:rsid w:val="009F4FD7"/>
    <w:rsid w:val="009F7353"/>
    <w:rsid w:val="00A010B7"/>
    <w:rsid w:val="00A04F85"/>
    <w:rsid w:val="00A05FA4"/>
    <w:rsid w:val="00A07D31"/>
    <w:rsid w:val="00A102E4"/>
    <w:rsid w:val="00A12C42"/>
    <w:rsid w:val="00A14DF7"/>
    <w:rsid w:val="00A3246D"/>
    <w:rsid w:val="00A34ED6"/>
    <w:rsid w:val="00A36FA7"/>
    <w:rsid w:val="00A4126E"/>
    <w:rsid w:val="00A41283"/>
    <w:rsid w:val="00A44DDB"/>
    <w:rsid w:val="00A475B7"/>
    <w:rsid w:val="00A47AF7"/>
    <w:rsid w:val="00A47C3E"/>
    <w:rsid w:val="00A50226"/>
    <w:rsid w:val="00A5670F"/>
    <w:rsid w:val="00A60BAD"/>
    <w:rsid w:val="00A65F0F"/>
    <w:rsid w:val="00A70BB1"/>
    <w:rsid w:val="00A7241D"/>
    <w:rsid w:val="00A80B5B"/>
    <w:rsid w:val="00A84E36"/>
    <w:rsid w:val="00A8678B"/>
    <w:rsid w:val="00A95C25"/>
    <w:rsid w:val="00A964D1"/>
    <w:rsid w:val="00AA0ED0"/>
    <w:rsid w:val="00AA7113"/>
    <w:rsid w:val="00AA7919"/>
    <w:rsid w:val="00AB08BB"/>
    <w:rsid w:val="00AB259F"/>
    <w:rsid w:val="00AB71D4"/>
    <w:rsid w:val="00AC2B40"/>
    <w:rsid w:val="00AC2BB2"/>
    <w:rsid w:val="00AC2C3C"/>
    <w:rsid w:val="00AC512D"/>
    <w:rsid w:val="00AD0083"/>
    <w:rsid w:val="00AD3935"/>
    <w:rsid w:val="00AD5DAD"/>
    <w:rsid w:val="00AD7522"/>
    <w:rsid w:val="00AE65EB"/>
    <w:rsid w:val="00AE67A7"/>
    <w:rsid w:val="00AF1D94"/>
    <w:rsid w:val="00AF60C5"/>
    <w:rsid w:val="00B009C6"/>
    <w:rsid w:val="00B01548"/>
    <w:rsid w:val="00B13EBD"/>
    <w:rsid w:val="00B14B59"/>
    <w:rsid w:val="00B21D29"/>
    <w:rsid w:val="00B25034"/>
    <w:rsid w:val="00B33588"/>
    <w:rsid w:val="00B33863"/>
    <w:rsid w:val="00B37D17"/>
    <w:rsid w:val="00B4175E"/>
    <w:rsid w:val="00B452CE"/>
    <w:rsid w:val="00B54C25"/>
    <w:rsid w:val="00B67FE6"/>
    <w:rsid w:val="00B739C1"/>
    <w:rsid w:val="00B76B91"/>
    <w:rsid w:val="00B77EB1"/>
    <w:rsid w:val="00B811C6"/>
    <w:rsid w:val="00B855B0"/>
    <w:rsid w:val="00B9237C"/>
    <w:rsid w:val="00B92E08"/>
    <w:rsid w:val="00B9544D"/>
    <w:rsid w:val="00B95732"/>
    <w:rsid w:val="00BB4731"/>
    <w:rsid w:val="00BC3D06"/>
    <w:rsid w:val="00BC622A"/>
    <w:rsid w:val="00BE077F"/>
    <w:rsid w:val="00BE0A78"/>
    <w:rsid w:val="00BE2BB9"/>
    <w:rsid w:val="00BE79F0"/>
    <w:rsid w:val="00BF046D"/>
    <w:rsid w:val="00BF1190"/>
    <w:rsid w:val="00BF5D04"/>
    <w:rsid w:val="00BF5FD4"/>
    <w:rsid w:val="00C009AA"/>
    <w:rsid w:val="00C1164D"/>
    <w:rsid w:val="00C13976"/>
    <w:rsid w:val="00C151C3"/>
    <w:rsid w:val="00C16861"/>
    <w:rsid w:val="00C346AB"/>
    <w:rsid w:val="00C404A6"/>
    <w:rsid w:val="00C40A36"/>
    <w:rsid w:val="00C44419"/>
    <w:rsid w:val="00C45E7B"/>
    <w:rsid w:val="00C471B1"/>
    <w:rsid w:val="00C51B5E"/>
    <w:rsid w:val="00C578BB"/>
    <w:rsid w:val="00C6316B"/>
    <w:rsid w:val="00C634A9"/>
    <w:rsid w:val="00C636CF"/>
    <w:rsid w:val="00C64586"/>
    <w:rsid w:val="00C70D53"/>
    <w:rsid w:val="00C73D0B"/>
    <w:rsid w:val="00C772FF"/>
    <w:rsid w:val="00C80137"/>
    <w:rsid w:val="00C801AF"/>
    <w:rsid w:val="00C80256"/>
    <w:rsid w:val="00C94CD4"/>
    <w:rsid w:val="00C9747E"/>
    <w:rsid w:val="00C97873"/>
    <w:rsid w:val="00CA100B"/>
    <w:rsid w:val="00CB6BC0"/>
    <w:rsid w:val="00CC1B7C"/>
    <w:rsid w:val="00CC727F"/>
    <w:rsid w:val="00CC7DD4"/>
    <w:rsid w:val="00CD0779"/>
    <w:rsid w:val="00CD42AC"/>
    <w:rsid w:val="00CF15C3"/>
    <w:rsid w:val="00CF2B6F"/>
    <w:rsid w:val="00CF2F3E"/>
    <w:rsid w:val="00CF58B6"/>
    <w:rsid w:val="00D0062D"/>
    <w:rsid w:val="00D00E10"/>
    <w:rsid w:val="00D017ED"/>
    <w:rsid w:val="00D040D3"/>
    <w:rsid w:val="00D04C65"/>
    <w:rsid w:val="00D17E0C"/>
    <w:rsid w:val="00D201D2"/>
    <w:rsid w:val="00D224FE"/>
    <w:rsid w:val="00D23139"/>
    <w:rsid w:val="00D260A2"/>
    <w:rsid w:val="00D26289"/>
    <w:rsid w:val="00D419E8"/>
    <w:rsid w:val="00D425BB"/>
    <w:rsid w:val="00D46156"/>
    <w:rsid w:val="00D63C8B"/>
    <w:rsid w:val="00D6493E"/>
    <w:rsid w:val="00D7195D"/>
    <w:rsid w:val="00D7301E"/>
    <w:rsid w:val="00D83AE1"/>
    <w:rsid w:val="00D855D4"/>
    <w:rsid w:val="00D863B3"/>
    <w:rsid w:val="00D902C9"/>
    <w:rsid w:val="00D93466"/>
    <w:rsid w:val="00DA1124"/>
    <w:rsid w:val="00DA2455"/>
    <w:rsid w:val="00DA7132"/>
    <w:rsid w:val="00DB6124"/>
    <w:rsid w:val="00DB6E93"/>
    <w:rsid w:val="00DB750B"/>
    <w:rsid w:val="00DB75B7"/>
    <w:rsid w:val="00DC039D"/>
    <w:rsid w:val="00DC1D68"/>
    <w:rsid w:val="00DC27E9"/>
    <w:rsid w:val="00DC6E02"/>
    <w:rsid w:val="00DD28CD"/>
    <w:rsid w:val="00DD2AC5"/>
    <w:rsid w:val="00DD4D8C"/>
    <w:rsid w:val="00DD6FD8"/>
    <w:rsid w:val="00DE02AE"/>
    <w:rsid w:val="00DE508D"/>
    <w:rsid w:val="00DF1D7F"/>
    <w:rsid w:val="00DF4BE4"/>
    <w:rsid w:val="00E02FB4"/>
    <w:rsid w:val="00E03D25"/>
    <w:rsid w:val="00E13FC7"/>
    <w:rsid w:val="00E20571"/>
    <w:rsid w:val="00E21B4C"/>
    <w:rsid w:val="00E235F7"/>
    <w:rsid w:val="00E23659"/>
    <w:rsid w:val="00E239D4"/>
    <w:rsid w:val="00E26130"/>
    <w:rsid w:val="00E33201"/>
    <w:rsid w:val="00E40B22"/>
    <w:rsid w:val="00E44ED1"/>
    <w:rsid w:val="00E4516A"/>
    <w:rsid w:val="00E45619"/>
    <w:rsid w:val="00E4588F"/>
    <w:rsid w:val="00E46DA3"/>
    <w:rsid w:val="00E51BB1"/>
    <w:rsid w:val="00E53213"/>
    <w:rsid w:val="00E60D4C"/>
    <w:rsid w:val="00E624A5"/>
    <w:rsid w:val="00E64BA4"/>
    <w:rsid w:val="00E7344E"/>
    <w:rsid w:val="00E7578E"/>
    <w:rsid w:val="00E82665"/>
    <w:rsid w:val="00E85DF2"/>
    <w:rsid w:val="00EB0798"/>
    <w:rsid w:val="00EB2A06"/>
    <w:rsid w:val="00EB40AD"/>
    <w:rsid w:val="00EB586E"/>
    <w:rsid w:val="00EB5FC8"/>
    <w:rsid w:val="00EC1D0B"/>
    <w:rsid w:val="00EC463D"/>
    <w:rsid w:val="00EC7A85"/>
    <w:rsid w:val="00ED06FF"/>
    <w:rsid w:val="00ED2922"/>
    <w:rsid w:val="00ED3CAD"/>
    <w:rsid w:val="00ED5A41"/>
    <w:rsid w:val="00ED7B43"/>
    <w:rsid w:val="00EE1DE8"/>
    <w:rsid w:val="00EE27C2"/>
    <w:rsid w:val="00EF4BAD"/>
    <w:rsid w:val="00EF59DC"/>
    <w:rsid w:val="00F033EC"/>
    <w:rsid w:val="00F04F68"/>
    <w:rsid w:val="00F12670"/>
    <w:rsid w:val="00F14B27"/>
    <w:rsid w:val="00F3148D"/>
    <w:rsid w:val="00F325C5"/>
    <w:rsid w:val="00F32FE0"/>
    <w:rsid w:val="00F35298"/>
    <w:rsid w:val="00F47333"/>
    <w:rsid w:val="00F47E37"/>
    <w:rsid w:val="00F53C07"/>
    <w:rsid w:val="00F54B65"/>
    <w:rsid w:val="00F640B6"/>
    <w:rsid w:val="00F66DF2"/>
    <w:rsid w:val="00F7259D"/>
    <w:rsid w:val="00F80E40"/>
    <w:rsid w:val="00F81D24"/>
    <w:rsid w:val="00F848D9"/>
    <w:rsid w:val="00F85007"/>
    <w:rsid w:val="00F95D2D"/>
    <w:rsid w:val="00FA3E2E"/>
    <w:rsid w:val="00FA5B82"/>
    <w:rsid w:val="00FA639E"/>
    <w:rsid w:val="00FB116F"/>
    <w:rsid w:val="00FB1B1A"/>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8D16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871C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AB71D4"/>
    <w:pPr>
      <w:keepNext/>
      <w:spacing w:after="180"/>
      <w:outlineLvl w:val="4"/>
    </w:pPr>
    <w:rPr>
      <w:rFonts w:cstheme="minorBidi"/>
      <w:b/>
    </w:rPr>
  </w:style>
  <w:style w:type="paragraph" w:styleId="ListParagraph">
    <w:name w:val="List Paragraph"/>
    <w:basedOn w:val="Normal"/>
    <w:uiPriority w:val="34"/>
    <w:qFormat/>
    <w:rsid w:val="0066294C"/>
    <w:pPr>
      <w:ind w:left="720"/>
      <w:contextualSpacing/>
    </w:pPr>
  </w:style>
  <w:style w:type="paragraph" w:customStyle="1" w:styleId="p1">
    <w:name w:val="p1"/>
    <w:basedOn w:val="Normal"/>
    <w:rsid w:val="00730F61"/>
    <w:pPr>
      <w:spacing w:before="0" w:after="0" w:line="240" w:lineRule="auto"/>
    </w:pPr>
    <w:rPr>
      <w:rFonts w:ascii="Helvetica Neue" w:eastAsiaTheme="minorHAnsi" w:hAnsi="Helvetica Neue"/>
      <w:color w:val="454545"/>
      <w:sz w:val="18"/>
      <w:szCs w:val="18"/>
      <w:lang w:val="en-GB" w:eastAsia="en-GB"/>
    </w:rPr>
  </w:style>
  <w:style w:type="paragraph" w:styleId="NormalWeb">
    <w:name w:val="Normal (Web)"/>
    <w:basedOn w:val="Normal"/>
    <w:uiPriority w:val="99"/>
    <w:semiHidden/>
    <w:unhideWhenUsed/>
    <w:rsid w:val="006C000F"/>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9871C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1B5C90"/>
    <w:pPr>
      <w:spacing w:before="0" w:line="240" w:lineRule="auto"/>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AB71D4"/>
    <w:pPr>
      <w:keepNext/>
      <w:spacing w:after="180"/>
      <w:outlineLvl w:val="4"/>
    </w:pPr>
    <w:rPr>
      <w:rFonts w:cstheme="minorBidi"/>
      <w:b/>
    </w:rPr>
  </w:style>
  <w:style w:type="paragraph" w:styleId="ListParagraph">
    <w:name w:val="List Paragraph"/>
    <w:basedOn w:val="Normal"/>
    <w:uiPriority w:val="34"/>
    <w:qFormat/>
    <w:rsid w:val="0066294C"/>
    <w:pPr>
      <w:ind w:left="720"/>
      <w:contextualSpacing/>
    </w:pPr>
  </w:style>
  <w:style w:type="paragraph" w:customStyle="1" w:styleId="p1">
    <w:name w:val="p1"/>
    <w:basedOn w:val="Normal"/>
    <w:rsid w:val="00730F61"/>
    <w:pPr>
      <w:spacing w:before="0" w:after="0" w:line="240" w:lineRule="auto"/>
    </w:pPr>
    <w:rPr>
      <w:rFonts w:ascii="Helvetica Neue" w:eastAsiaTheme="minorHAnsi" w:hAnsi="Helvetica Neue"/>
      <w:color w:val="454545"/>
      <w:sz w:val="18"/>
      <w:szCs w:val="18"/>
      <w:lang w:val="en-GB" w:eastAsia="en-GB"/>
    </w:rPr>
  </w:style>
  <w:style w:type="paragraph" w:styleId="NormalWeb">
    <w:name w:val="Normal (Web)"/>
    <w:basedOn w:val="Normal"/>
    <w:uiPriority w:val="99"/>
    <w:semiHidden/>
    <w:unhideWhenUsed/>
    <w:rsid w:val="006C000F"/>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15329">
      <w:bodyDiv w:val="1"/>
      <w:marLeft w:val="0"/>
      <w:marRight w:val="0"/>
      <w:marTop w:val="0"/>
      <w:marBottom w:val="0"/>
      <w:divBdr>
        <w:top w:val="none" w:sz="0" w:space="0" w:color="auto"/>
        <w:left w:val="none" w:sz="0" w:space="0" w:color="auto"/>
        <w:bottom w:val="none" w:sz="0" w:space="0" w:color="auto"/>
        <w:right w:val="none" w:sz="0" w:space="0" w:color="auto"/>
      </w:divBdr>
      <w:divsChild>
        <w:div w:id="571237306">
          <w:marLeft w:val="0"/>
          <w:marRight w:val="0"/>
          <w:marTop w:val="0"/>
          <w:marBottom w:val="0"/>
          <w:divBdr>
            <w:top w:val="none" w:sz="0" w:space="0" w:color="auto"/>
            <w:left w:val="none" w:sz="0" w:space="0" w:color="auto"/>
            <w:bottom w:val="none" w:sz="0" w:space="0" w:color="auto"/>
            <w:right w:val="none" w:sz="0" w:space="0" w:color="auto"/>
          </w:divBdr>
          <w:divsChild>
            <w:div w:id="1833177090">
              <w:marLeft w:val="0"/>
              <w:marRight w:val="0"/>
              <w:marTop w:val="0"/>
              <w:marBottom w:val="0"/>
              <w:divBdr>
                <w:top w:val="none" w:sz="0" w:space="0" w:color="auto"/>
                <w:left w:val="none" w:sz="0" w:space="0" w:color="auto"/>
                <w:bottom w:val="none" w:sz="0" w:space="0" w:color="auto"/>
                <w:right w:val="none" w:sz="0" w:space="0" w:color="auto"/>
              </w:divBdr>
              <w:divsChild>
                <w:div w:id="411438764">
                  <w:marLeft w:val="0"/>
                  <w:marRight w:val="0"/>
                  <w:marTop w:val="0"/>
                  <w:marBottom w:val="0"/>
                  <w:divBdr>
                    <w:top w:val="none" w:sz="0" w:space="0" w:color="auto"/>
                    <w:left w:val="none" w:sz="0" w:space="0" w:color="auto"/>
                    <w:bottom w:val="none" w:sz="0" w:space="0" w:color="auto"/>
                    <w:right w:val="none" w:sz="0" w:space="0" w:color="auto"/>
                  </w:divBdr>
                  <w:divsChild>
                    <w:div w:id="1057364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61130">
      <w:bodyDiv w:val="1"/>
      <w:marLeft w:val="0"/>
      <w:marRight w:val="0"/>
      <w:marTop w:val="0"/>
      <w:marBottom w:val="0"/>
      <w:divBdr>
        <w:top w:val="none" w:sz="0" w:space="0" w:color="auto"/>
        <w:left w:val="none" w:sz="0" w:space="0" w:color="auto"/>
        <w:bottom w:val="none" w:sz="0" w:space="0" w:color="auto"/>
        <w:right w:val="none" w:sz="0" w:space="0" w:color="auto"/>
      </w:divBdr>
      <w:divsChild>
        <w:div w:id="1654405097">
          <w:marLeft w:val="0"/>
          <w:marRight w:val="0"/>
          <w:marTop w:val="0"/>
          <w:marBottom w:val="0"/>
          <w:divBdr>
            <w:top w:val="none" w:sz="0" w:space="0" w:color="auto"/>
            <w:left w:val="none" w:sz="0" w:space="0" w:color="auto"/>
            <w:bottom w:val="none" w:sz="0" w:space="0" w:color="auto"/>
            <w:right w:val="none" w:sz="0" w:space="0" w:color="auto"/>
          </w:divBdr>
          <w:divsChild>
            <w:div w:id="1550604697">
              <w:marLeft w:val="0"/>
              <w:marRight w:val="0"/>
              <w:marTop w:val="0"/>
              <w:marBottom w:val="0"/>
              <w:divBdr>
                <w:top w:val="none" w:sz="0" w:space="0" w:color="auto"/>
                <w:left w:val="none" w:sz="0" w:space="0" w:color="auto"/>
                <w:bottom w:val="none" w:sz="0" w:space="0" w:color="auto"/>
                <w:right w:val="none" w:sz="0" w:space="0" w:color="auto"/>
              </w:divBdr>
              <w:divsChild>
                <w:div w:id="358707107">
                  <w:marLeft w:val="0"/>
                  <w:marRight w:val="0"/>
                  <w:marTop w:val="0"/>
                  <w:marBottom w:val="0"/>
                  <w:divBdr>
                    <w:top w:val="none" w:sz="0" w:space="0" w:color="auto"/>
                    <w:left w:val="none" w:sz="0" w:space="0" w:color="auto"/>
                    <w:bottom w:val="none" w:sz="0" w:space="0" w:color="auto"/>
                    <w:right w:val="none" w:sz="0" w:space="0" w:color="auto"/>
                  </w:divBdr>
                  <w:divsChild>
                    <w:div w:id="145617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505332">
      <w:bodyDiv w:val="1"/>
      <w:marLeft w:val="0"/>
      <w:marRight w:val="0"/>
      <w:marTop w:val="0"/>
      <w:marBottom w:val="0"/>
      <w:divBdr>
        <w:top w:val="none" w:sz="0" w:space="0" w:color="auto"/>
        <w:left w:val="none" w:sz="0" w:space="0" w:color="auto"/>
        <w:bottom w:val="none" w:sz="0" w:space="0" w:color="auto"/>
        <w:right w:val="none" w:sz="0" w:space="0" w:color="auto"/>
      </w:divBdr>
      <w:divsChild>
        <w:div w:id="822047335">
          <w:marLeft w:val="0"/>
          <w:marRight w:val="0"/>
          <w:marTop w:val="0"/>
          <w:marBottom w:val="0"/>
          <w:divBdr>
            <w:top w:val="none" w:sz="0" w:space="0" w:color="auto"/>
            <w:left w:val="none" w:sz="0" w:space="0" w:color="auto"/>
            <w:bottom w:val="none" w:sz="0" w:space="0" w:color="auto"/>
            <w:right w:val="none" w:sz="0" w:space="0" w:color="auto"/>
          </w:divBdr>
          <w:divsChild>
            <w:div w:id="1836219749">
              <w:marLeft w:val="0"/>
              <w:marRight w:val="0"/>
              <w:marTop w:val="0"/>
              <w:marBottom w:val="0"/>
              <w:divBdr>
                <w:top w:val="none" w:sz="0" w:space="0" w:color="auto"/>
                <w:left w:val="none" w:sz="0" w:space="0" w:color="auto"/>
                <w:bottom w:val="none" w:sz="0" w:space="0" w:color="auto"/>
                <w:right w:val="none" w:sz="0" w:space="0" w:color="auto"/>
              </w:divBdr>
              <w:divsChild>
                <w:div w:id="593980670">
                  <w:marLeft w:val="0"/>
                  <w:marRight w:val="0"/>
                  <w:marTop w:val="0"/>
                  <w:marBottom w:val="0"/>
                  <w:divBdr>
                    <w:top w:val="none" w:sz="0" w:space="0" w:color="auto"/>
                    <w:left w:val="none" w:sz="0" w:space="0" w:color="auto"/>
                    <w:bottom w:val="none" w:sz="0" w:space="0" w:color="auto"/>
                    <w:right w:val="none" w:sz="0" w:space="0" w:color="auto"/>
                  </w:divBdr>
                  <w:divsChild>
                    <w:div w:id="6291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9719588">
      <w:bodyDiv w:val="1"/>
      <w:marLeft w:val="0"/>
      <w:marRight w:val="0"/>
      <w:marTop w:val="0"/>
      <w:marBottom w:val="0"/>
      <w:divBdr>
        <w:top w:val="none" w:sz="0" w:space="0" w:color="auto"/>
        <w:left w:val="none" w:sz="0" w:space="0" w:color="auto"/>
        <w:bottom w:val="none" w:sz="0" w:space="0" w:color="auto"/>
        <w:right w:val="none" w:sz="0" w:space="0" w:color="auto"/>
      </w:divBdr>
      <w:divsChild>
        <w:div w:id="1235966549">
          <w:marLeft w:val="0"/>
          <w:marRight w:val="0"/>
          <w:marTop w:val="0"/>
          <w:marBottom w:val="0"/>
          <w:divBdr>
            <w:top w:val="none" w:sz="0" w:space="0" w:color="auto"/>
            <w:left w:val="none" w:sz="0" w:space="0" w:color="auto"/>
            <w:bottom w:val="none" w:sz="0" w:space="0" w:color="auto"/>
            <w:right w:val="none" w:sz="0" w:space="0" w:color="auto"/>
          </w:divBdr>
          <w:divsChild>
            <w:div w:id="1648389386">
              <w:marLeft w:val="0"/>
              <w:marRight w:val="0"/>
              <w:marTop w:val="0"/>
              <w:marBottom w:val="0"/>
              <w:divBdr>
                <w:top w:val="none" w:sz="0" w:space="0" w:color="auto"/>
                <w:left w:val="none" w:sz="0" w:space="0" w:color="auto"/>
                <w:bottom w:val="none" w:sz="0" w:space="0" w:color="auto"/>
                <w:right w:val="none" w:sz="0" w:space="0" w:color="auto"/>
              </w:divBdr>
              <w:divsChild>
                <w:div w:id="2083527741">
                  <w:marLeft w:val="0"/>
                  <w:marRight w:val="0"/>
                  <w:marTop w:val="0"/>
                  <w:marBottom w:val="0"/>
                  <w:divBdr>
                    <w:top w:val="none" w:sz="0" w:space="0" w:color="auto"/>
                    <w:left w:val="none" w:sz="0" w:space="0" w:color="auto"/>
                    <w:bottom w:val="none" w:sz="0" w:space="0" w:color="auto"/>
                    <w:right w:val="none" w:sz="0" w:space="0" w:color="auto"/>
                  </w:divBdr>
                  <w:divsChild>
                    <w:div w:id="8542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553590">
      <w:bodyDiv w:val="1"/>
      <w:marLeft w:val="0"/>
      <w:marRight w:val="0"/>
      <w:marTop w:val="0"/>
      <w:marBottom w:val="0"/>
      <w:divBdr>
        <w:top w:val="none" w:sz="0" w:space="0" w:color="auto"/>
        <w:left w:val="none" w:sz="0" w:space="0" w:color="auto"/>
        <w:bottom w:val="none" w:sz="0" w:space="0" w:color="auto"/>
        <w:right w:val="none" w:sz="0" w:space="0" w:color="auto"/>
      </w:divBdr>
      <w:divsChild>
        <w:div w:id="2041391845">
          <w:marLeft w:val="0"/>
          <w:marRight w:val="0"/>
          <w:marTop w:val="0"/>
          <w:marBottom w:val="0"/>
          <w:divBdr>
            <w:top w:val="none" w:sz="0" w:space="0" w:color="auto"/>
            <w:left w:val="none" w:sz="0" w:space="0" w:color="auto"/>
            <w:bottom w:val="none" w:sz="0" w:space="0" w:color="auto"/>
            <w:right w:val="none" w:sz="0" w:space="0" w:color="auto"/>
          </w:divBdr>
          <w:divsChild>
            <w:div w:id="476145184">
              <w:marLeft w:val="0"/>
              <w:marRight w:val="0"/>
              <w:marTop w:val="0"/>
              <w:marBottom w:val="0"/>
              <w:divBdr>
                <w:top w:val="none" w:sz="0" w:space="0" w:color="auto"/>
                <w:left w:val="none" w:sz="0" w:space="0" w:color="auto"/>
                <w:bottom w:val="none" w:sz="0" w:space="0" w:color="auto"/>
                <w:right w:val="none" w:sz="0" w:space="0" w:color="auto"/>
              </w:divBdr>
              <w:divsChild>
                <w:div w:id="139893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4374790">
      <w:bodyDiv w:val="1"/>
      <w:marLeft w:val="0"/>
      <w:marRight w:val="0"/>
      <w:marTop w:val="0"/>
      <w:marBottom w:val="0"/>
      <w:divBdr>
        <w:top w:val="none" w:sz="0" w:space="0" w:color="auto"/>
        <w:left w:val="none" w:sz="0" w:space="0" w:color="auto"/>
        <w:bottom w:val="none" w:sz="0" w:space="0" w:color="auto"/>
        <w:right w:val="none" w:sz="0" w:space="0" w:color="auto"/>
      </w:divBdr>
      <w:divsChild>
        <w:div w:id="406656045">
          <w:marLeft w:val="0"/>
          <w:marRight w:val="0"/>
          <w:marTop w:val="0"/>
          <w:marBottom w:val="0"/>
          <w:divBdr>
            <w:top w:val="none" w:sz="0" w:space="0" w:color="auto"/>
            <w:left w:val="none" w:sz="0" w:space="0" w:color="auto"/>
            <w:bottom w:val="none" w:sz="0" w:space="0" w:color="auto"/>
            <w:right w:val="none" w:sz="0" w:space="0" w:color="auto"/>
          </w:divBdr>
          <w:divsChild>
            <w:div w:id="1728534061">
              <w:marLeft w:val="0"/>
              <w:marRight w:val="0"/>
              <w:marTop w:val="0"/>
              <w:marBottom w:val="0"/>
              <w:divBdr>
                <w:top w:val="none" w:sz="0" w:space="0" w:color="auto"/>
                <w:left w:val="none" w:sz="0" w:space="0" w:color="auto"/>
                <w:bottom w:val="none" w:sz="0" w:space="0" w:color="auto"/>
                <w:right w:val="none" w:sz="0" w:space="0" w:color="auto"/>
              </w:divBdr>
              <w:divsChild>
                <w:div w:id="1882129384">
                  <w:marLeft w:val="0"/>
                  <w:marRight w:val="0"/>
                  <w:marTop w:val="0"/>
                  <w:marBottom w:val="0"/>
                  <w:divBdr>
                    <w:top w:val="none" w:sz="0" w:space="0" w:color="auto"/>
                    <w:left w:val="none" w:sz="0" w:space="0" w:color="auto"/>
                    <w:bottom w:val="none" w:sz="0" w:space="0" w:color="auto"/>
                    <w:right w:val="none" w:sz="0" w:space="0" w:color="auto"/>
                  </w:divBdr>
                  <w:divsChild>
                    <w:div w:id="308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9633806">
      <w:bodyDiv w:val="1"/>
      <w:marLeft w:val="0"/>
      <w:marRight w:val="0"/>
      <w:marTop w:val="0"/>
      <w:marBottom w:val="0"/>
      <w:divBdr>
        <w:top w:val="none" w:sz="0" w:space="0" w:color="auto"/>
        <w:left w:val="none" w:sz="0" w:space="0" w:color="auto"/>
        <w:bottom w:val="none" w:sz="0" w:space="0" w:color="auto"/>
        <w:right w:val="none" w:sz="0" w:space="0" w:color="auto"/>
      </w:divBdr>
      <w:divsChild>
        <w:div w:id="218903740">
          <w:marLeft w:val="0"/>
          <w:marRight w:val="0"/>
          <w:marTop w:val="0"/>
          <w:marBottom w:val="0"/>
          <w:divBdr>
            <w:top w:val="none" w:sz="0" w:space="0" w:color="auto"/>
            <w:left w:val="none" w:sz="0" w:space="0" w:color="auto"/>
            <w:bottom w:val="none" w:sz="0" w:space="0" w:color="auto"/>
            <w:right w:val="none" w:sz="0" w:space="0" w:color="auto"/>
          </w:divBdr>
          <w:divsChild>
            <w:div w:id="1517428895">
              <w:marLeft w:val="0"/>
              <w:marRight w:val="0"/>
              <w:marTop w:val="0"/>
              <w:marBottom w:val="0"/>
              <w:divBdr>
                <w:top w:val="none" w:sz="0" w:space="0" w:color="auto"/>
                <w:left w:val="none" w:sz="0" w:space="0" w:color="auto"/>
                <w:bottom w:val="none" w:sz="0" w:space="0" w:color="auto"/>
                <w:right w:val="none" w:sz="0" w:space="0" w:color="auto"/>
              </w:divBdr>
              <w:divsChild>
                <w:div w:id="359359797">
                  <w:marLeft w:val="0"/>
                  <w:marRight w:val="0"/>
                  <w:marTop w:val="0"/>
                  <w:marBottom w:val="0"/>
                  <w:divBdr>
                    <w:top w:val="none" w:sz="0" w:space="0" w:color="auto"/>
                    <w:left w:val="none" w:sz="0" w:space="0" w:color="auto"/>
                    <w:bottom w:val="none" w:sz="0" w:space="0" w:color="auto"/>
                    <w:right w:val="none" w:sz="0" w:space="0" w:color="auto"/>
                  </w:divBdr>
                  <w:divsChild>
                    <w:div w:id="54702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985960">
      <w:bodyDiv w:val="1"/>
      <w:marLeft w:val="0"/>
      <w:marRight w:val="0"/>
      <w:marTop w:val="0"/>
      <w:marBottom w:val="0"/>
      <w:divBdr>
        <w:top w:val="none" w:sz="0" w:space="0" w:color="auto"/>
        <w:left w:val="none" w:sz="0" w:space="0" w:color="auto"/>
        <w:bottom w:val="none" w:sz="0" w:space="0" w:color="auto"/>
        <w:right w:val="none" w:sz="0" w:space="0" w:color="auto"/>
      </w:divBdr>
      <w:divsChild>
        <w:div w:id="160893897">
          <w:marLeft w:val="0"/>
          <w:marRight w:val="0"/>
          <w:marTop w:val="0"/>
          <w:marBottom w:val="0"/>
          <w:divBdr>
            <w:top w:val="none" w:sz="0" w:space="0" w:color="auto"/>
            <w:left w:val="none" w:sz="0" w:space="0" w:color="auto"/>
            <w:bottom w:val="none" w:sz="0" w:space="0" w:color="auto"/>
            <w:right w:val="none" w:sz="0" w:space="0" w:color="auto"/>
          </w:divBdr>
          <w:divsChild>
            <w:div w:id="605965374">
              <w:marLeft w:val="0"/>
              <w:marRight w:val="0"/>
              <w:marTop w:val="0"/>
              <w:marBottom w:val="0"/>
              <w:divBdr>
                <w:top w:val="none" w:sz="0" w:space="0" w:color="auto"/>
                <w:left w:val="none" w:sz="0" w:space="0" w:color="auto"/>
                <w:bottom w:val="none" w:sz="0" w:space="0" w:color="auto"/>
                <w:right w:val="none" w:sz="0" w:space="0" w:color="auto"/>
              </w:divBdr>
              <w:divsChild>
                <w:div w:id="1871720455">
                  <w:marLeft w:val="0"/>
                  <w:marRight w:val="0"/>
                  <w:marTop w:val="0"/>
                  <w:marBottom w:val="0"/>
                  <w:divBdr>
                    <w:top w:val="none" w:sz="0" w:space="0" w:color="auto"/>
                    <w:left w:val="none" w:sz="0" w:space="0" w:color="auto"/>
                    <w:bottom w:val="none" w:sz="0" w:space="0" w:color="auto"/>
                    <w:right w:val="none" w:sz="0" w:space="0" w:color="auto"/>
                  </w:divBdr>
                  <w:divsChild>
                    <w:div w:id="31151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8623844">
      <w:bodyDiv w:val="1"/>
      <w:marLeft w:val="0"/>
      <w:marRight w:val="0"/>
      <w:marTop w:val="0"/>
      <w:marBottom w:val="0"/>
      <w:divBdr>
        <w:top w:val="none" w:sz="0" w:space="0" w:color="auto"/>
        <w:left w:val="none" w:sz="0" w:space="0" w:color="auto"/>
        <w:bottom w:val="none" w:sz="0" w:space="0" w:color="auto"/>
        <w:right w:val="none" w:sz="0" w:space="0" w:color="auto"/>
      </w:divBdr>
    </w:div>
    <w:div w:id="976371910">
      <w:bodyDiv w:val="1"/>
      <w:marLeft w:val="0"/>
      <w:marRight w:val="0"/>
      <w:marTop w:val="0"/>
      <w:marBottom w:val="0"/>
      <w:divBdr>
        <w:top w:val="none" w:sz="0" w:space="0" w:color="auto"/>
        <w:left w:val="none" w:sz="0" w:space="0" w:color="auto"/>
        <w:bottom w:val="none" w:sz="0" w:space="0" w:color="auto"/>
        <w:right w:val="none" w:sz="0" w:space="0" w:color="auto"/>
      </w:divBdr>
      <w:divsChild>
        <w:div w:id="994459213">
          <w:marLeft w:val="0"/>
          <w:marRight w:val="0"/>
          <w:marTop w:val="0"/>
          <w:marBottom w:val="0"/>
          <w:divBdr>
            <w:top w:val="none" w:sz="0" w:space="0" w:color="auto"/>
            <w:left w:val="none" w:sz="0" w:space="0" w:color="auto"/>
            <w:bottom w:val="none" w:sz="0" w:space="0" w:color="auto"/>
            <w:right w:val="none" w:sz="0" w:space="0" w:color="auto"/>
          </w:divBdr>
          <w:divsChild>
            <w:div w:id="1600403538">
              <w:marLeft w:val="0"/>
              <w:marRight w:val="0"/>
              <w:marTop w:val="0"/>
              <w:marBottom w:val="0"/>
              <w:divBdr>
                <w:top w:val="none" w:sz="0" w:space="0" w:color="auto"/>
                <w:left w:val="none" w:sz="0" w:space="0" w:color="auto"/>
                <w:bottom w:val="none" w:sz="0" w:space="0" w:color="auto"/>
                <w:right w:val="none" w:sz="0" w:space="0" w:color="auto"/>
              </w:divBdr>
              <w:divsChild>
                <w:div w:id="604924774">
                  <w:marLeft w:val="0"/>
                  <w:marRight w:val="0"/>
                  <w:marTop w:val="0"/>
                  <w:marBottom w:val="0"/>
                  <w:divBdr>
                    <w:top w:val="none" w:sz="0" w:space="0" w:color="auto"/>
                    <w:left w:val="none" w:sz="0" w:space="0" w:color="auto"/>
                    <w:bottom w:val="none" w:sz="0" w:space="0" w:color="auto"/>
                    <w:right w:val="none" w:sz="0" w:space="0" w:color="auto"/>
                  </w:divBdr>
                  <w:divsChild>
                    <w:div w:id="8099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9161202">
      <w:bodyDiv w:val="1"/>
      <w:marLeft w:val="0"/>
      <w:marRight w:val="0"/>
      <w:marTop w:val="0"/>
      <w:marBottom w:val="0"/>
      <w:divBdr>
        <w:top w:val="none" w:sz="0" w:space="0" w:color="auto"/>
        <w:left w:val="none" w:sz="0" w:space="0" w:color="auto"/>
        <w:bottom w:val="none" w:sz="0" w:space="0" w:color="auto"/>
        <w:right w:val="none" w:sz="0" w:space="0" w:color="auto"/>
      </w:divBdr>
      <w:divsChild>
        <w:div w:id="1376389249">
          <w:marLeft w:val="0"/>
          <w:marRight w:val="0"/>
          <w:marTop w:val="0"/>
          <w:marBottom w:val="0"/>
          <w:divBdr>
            <w:top w:val="none" w:sz="0" w:space="0" w:color="auto"/>
            <w:left w:val="none" w:sz="0" w:space="0" w:color="auto"/>
            <w:bottom w:val="none" w:sz="0" w:space="0" w:color="auto"/>
            <w:right w:val="none" w:sz="0" w:space="0" w:color="auto"/>
          </w:divBdr>
          <w:divsChild>
            <w:div w:id="532109687">
              <w:marLeft w:val="0"/>
              <w:marRight w:val="0"/>
              <w:marTop w:val="0"/>
              <w:marBottom w:val="0"/>
              <w:divBdr>
                <w:top w:val="none" w:sz="0" w:space="0" w:color="auto"/>
                <w:left w:val="none" w:sz="0" w:space="0" w:color="auto"/>
                <w:bottom w:val="none" w:sz="0" w:space="0" w:color="auto"/>
                <w:right w:val="none" w:sz="0" w:space="0" w:color="auto"/>
              </w:divBdr>
              <w:divsChild>
                <w:div w:id="1890456218">
                  <w:marLeft w:val="0"/>
                  <w:marRight w:val="0"/>
                  <w:marTop w:val="0"/>
                  <w:marBottom w:val="0"/>
                  <w:divBdr>
                    <w:top w:val="none" w:sz="0" w:space="0" w:color="auto"/>
                    <w:left w:val="none" w:sz="0" w:space="0" w:color="auto"/>
                    <w:bottom w:val="none" w:sz="0" w:space="0" w:color="auto"/>
                    <w:right w:val="none" w:sz="0" w:space="0" w:color="auto"/>
                  </w:divBdr>
                  <w:divsChild>
                    <w:div w:id="52352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243297">
      <w:bodyDiv w:val="1"/>
      <w:marLeft w:val="0"/>
      <w:marRight w:val="0"/>
      <w:marTop w:val="0"/>
      <w:marBottom w:val="0"/>
      <w:divBdr>
        <w:top w:val="none" w:sz="0" w:space="0" w:color="auto"/>
        <w:left w:val="none" w:sz="0" w:space="0" w:color="auto"/>
        <w:bottom w:val="none" w:sz="0" w:space="0" w:color="auto"/>
        <w:right w:val="none" w:sz="0" w:space="0" w:color="auto"/>
      </w:divBdr>
    </w:div>
    <w:div w:id="1139033453">
      <w:bodyDiv w:val="1"/>
      <w:marLeft w:val="0"/>
      <w:marRight w:val="0"/>
      <w:marTop w:val="0"/>
      <w:marBottom w:val="0"/>
      <w:divBdr>
        <w:top w:val="none" w:sz="0" w:space="0" w:color="auto"/>
        <w:left w:val="none" w:sz="0" w:space="0" w:color="auto"/>
        <w:bottom w:val="none" w:sz="0" w:space="0" w:color="auto"/>
        <w:right w:val="none" w:sz="0" w:space="0" w:color="auto"/>
      </w:divBdr>
    </w:div>
    <w:div w:id="1675183309">
      <w:bodyDiv w:val="1"/>
      <w:marLeft w:val="0"/>
      <w:marRight w:val="0"/>
      <w:marTop w:val="0"/>
      <w:marBottom w:val="0"/>
      <w:divBdr>
        <w:top w:val="none" w:sz="0" w:space="0" w:color="auto"/>
        <w:left w:val="none" w:sz="0" w:space="0" w:color="auto"/>
        <w:bottom w:val="none" w:sz="0" w:space="0" w:color="auto"/>
        <w:right w:val="none" w:sz="0" w:space="0" w:color="auto"/>
      </w:divBdr>
      <w:divsChild>
        <w:div w:id="87502227">
          <w:marLeft w:val="0"/>
          <w:marRight w:val="0"/>
          <w:marTop w:val="0"/>
          <w:marBottom w:val="0"/>
          <w:divBdr>
            <w:top w:val="none" w:sz="0" w:space="0" w:color="auto"/>
            <w:left w:val="none" w:sz="0" w:space="0" w:color="auto"/>
            <w:bottom w:val="none" w:sz="0" w:space="0" w:color="auto"/>
            <w:right w:val="none" w:sz="0" w:space="0" w:color="auto"/>
          </w:divBdr>
          <w:divsChild>
            <w:div w:id="1691223040">
              <w:marLeft w:val="0"/>
              <w:marRight w:val="0"/>
              <w:marTop w:val="0"/>
              <w:marBottom w:val="0"/>
              <w:divBdr>
                <w:top w:val="none" w:sz="0" w:space="0" w:color="auto"/>
                <w:left w:val="none" w:sz="0" w:space="0" w:color="auto"/>
                <w:bottom w:val="none" w:sz="0" w:space="0" w:color="auto"/>
                <w:right w:val="none" w:sz="0" w:space="0" w:color="auto"/>
              </w:divBdr>
              <w:divsChild>
                <w:div w:id="1526409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101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26" Type="http://schemas.microsoft.com/office/2007/relationships/hdphoto" Target="media/hdphoto4.wdp"/><Relationship Id="rId39" Type="http://schemas.openxmlformats.org/officeDocument/2006/relationships/hyperlink" Target="mailto:info@tga.gov.au"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www.tga.gov.au/product-information-pi" TargetMode="External"/><Relationship Id="rId42" Type="http://schemas.openxmlformats.org/officeDocument/2006/relationships/header" Target="header7.xm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5.png"/><Relationship Id="rId38" Type="http://schemas.openxmlformats.org/officeDocument/2006/relationships/footer" Target="footer2.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emf"/><Relationship Id="rId29" Type="http://schemas.openxmlformats.org/officeDocument/2006/relationships/image" Target="media/image12.png"/><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3.wdp"/><Relationship Id="rId32" Type="http://schemas.openxmlformats.org/officeDocument/2006/relationships/image" Target="media/image14.png"/><Relationship Id="rId37" Type="http://schemas.openxmlformats.org/officeDocument/2006/relationships/header" Target="header5.xml"/><Relationship Id="rId40" Type="http://schemas.openxmlformats.org/officeDocument/2006/relationships/hyperlink" Target="https://www.tga.gov.au" TargetMode="External"/><Relationship Id="rId45"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microsoft.com/office/2007/relationships/hdphoto" Target="media/hdphoto5.wdp"/><Relationship Id="rId36" Type="http://schemas.openxmlformats.org/officeDocument/2006/relationships/header" Target="header4.xml"/><Relationship Id="rId10" Type="http://schemas.openxmlformats.org/officeDocument/2006/relationships/hyperlink" Target="mailto:tga.copyright@tga.gov.au" TargetMode="External"/><Relationship Id="rId19" Type="http://schemas.microsoft.com/office/2007/relationships/hdphoto" Target="media/hdphoto1.wdp"/><Relationship Id="rId31" Type="http://schemas.openxmlformats.org/officeDocument/2006/relationships/image" Target="media/image13.png"/><Relationship Id="rId44"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www.tga.gov.au/product-information-pi" TargetMode="External"/><Relationship Id="rId22" Type="http://schemas.microsoft.com/office/2007/relationships/hdphoto" Target="media/hdphoto2.wdp"/><Relationship Id="rId27" Type="http://schemas.openxmlformats.org/officeDocument/2006/relationships/image" Target="media/image11.png"/><Relationship Id="rId30" Type="http://schemas.microsoft.com/office/2007/relationships/hdphoto" Target="media/hdphoto6.wdp"/><Relationship Id="rId35" Type="http://schemas.openxmlformats.org/officeDocument/2006/relationships/header" Target="header3.xml"/><Relationship Id="rId43"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10D4F-CA56-4A37-82F6-072B9A32E7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44</Pages>
  <Words>12586</Words>
  <Characters>71743</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Australian public assessment for...</vt:lpstr>
    </vt:vector>
  </TitlesOfParts>
  <Company>Department of Health Therapeutic Goods Administration</Company>
  <LinksUpToDate>false</LinksUpToDate>
  <CharactersWithSpaces>84161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Everolimus</dc:title>
  <dc:subject>prescription medicine regulation</dc:subject>
  <dc:creator>Therapeutic Goods Administration</dc:creator>
  <cp:keywords>auspar, prescription, medicine, assessment, regulation, australia</cp:keywords>
  <cp:lastModifiedBy>THOMPSON, Lynette</cp:lastModifiedBy>
  <cp:revision>12</cp:revision>
  <cp:lastPrinted>2015-09-22T23:39:00Z</cp:lastPrinted>
  <dcterms:created xsi:type="dcterms:W3CDTF">2017-10-31T00:34:00Z</dcterms:created>
  <dcterms:modified xsi:type="dcterms:W3CDTF">2017-11-28T23:44:00Z</dcterms:modified>
  <cp:category>external publication</cp:category>
</cp:coreProperties>
</file>