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899C06" w14:textId="77777777" w:rsidR="00F71679" w:rsidRPr="00375DF3" w:rsidRDefault="00F71679" w:rsidP="00F71679">
      <w:pPr>
        <w:tabs>
          <w:tab w:val="left" w:pos="284"/>
        </w:tabs>
        <w:spacing w:after="480" w:line="240" w:lineRule="auto"/>
        <w:rPr>
          <w:rFonts w:asciiTheme="majorHAnsi" w:hAnsiTheme="majorHAnsi"/>
        </w:rPr>
      </w:pPr>
      <w:r>
        <w:rPr>
          <w:noProof/>
          <w:lang w:eastAsia="en-AU"/>
        </w:rPr>
        <mc:AlternateContent>
          <mc:Choice Requires="wps">
            <w:drawing>
              <wp:inline distT="0" distB="0" distL="0" distR="0" wp14:anchorId="34335E9C" wp14:editId="31C144A4">
                <wp:extent cx="252095" cy="252095"/>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7FCF0" w14:textId="77777777" w:rsidR="00FC2A3B" w:rsidRPr="00BE2A26" w:rsidRDefault="00FC2A3B" w:rsidP="00F71679">
                            <w:pPr>
                              <w:spacing w:after="0"/>
                              <w:rPr>
                                <w:rFonts w:ascii="Wingdings 3" w:hAnsi="Wingdings 3"/>
                                <w:sz w:val="24"/>
                              </w:rPr>
                            </w:pPr>
                            <w:r w:rsidRPr="00BE2A26">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" stroked="f">
                <v:textbox inset="0,0,0,0">
                  <w:txbxContent>
                    <w:p w14:paraId="72E7FCF0" w14:textId="77777777" w:rsidR="00FC2A3B" w:rsidRPr="00BE2A26" w:rsidRDefault="00FC2A3B" w:rsidP="00F71679">
                      <w:pPr>
                        <w:spacing w:after="0"/>
                        <w:rPr>
                          <w:rFonts w:ascii="Wingdings 3" w:hAnsi="Wingdings 3"/>
                          <w:sz w:val="24"/>
                        </w:rPr>
                      </w:pPr>
                      <w:r w:rsidRPr="00BE2A26">
                        <w:rPr>
                          <w:rFonts w:ascii="SimSun" w:eastAsia="SimSun" w:hAnsi="SimSun" w:cs="Arial" w:hint="eastAsia"/>
                          <w:sz w:val="40"/>
                        </w:rPr>
                        <w:t>▼</w:t>
                      </w:r>
                    </w:p>
                  </w:txbxContent>
                </v:textbox>
                <w10:anchorlock/>
              </v:shape>
            </w:pict>
          </mc:Fallback>
        </mc:AlternateContent>
      </w:r>
      <w:r w:rsidRPr="001A3992">
        <w:rPr>
          <w:rFonts w:asciiTheme="majorHAnsi" w:hAnsiTheme="majorHAnsi"/>
        </w:rPr>
        <w:t xml:space="preserve">This medicinal product is subject to additional monitoring in Australia. This will allow quick identification of new safety information. Healthcare professionals are asked to report any suspected adverse events at </w:t>
      </w:r>
      <w:hyperlink r:id="rId9" w:history="1">
        <w:r w:rsidRPr="00375DF3">
          <w:rPr>
            <w:rStyle w:val="Hyperlink"/>
            <w:rFonts w:asciiTheme="majorHAnsi" w:hAnsiTheme="majorHAnsi"/>
          </w:rPr>
          <w:t>www.tga.gov.au/reporting-problems</w:t>
        </w:r>
      </w:hyperlink>
      <w:r w:rsidRPr="00375DF3">
        <w:rPr>
          <w:rFonts w:asciiTheme="majorHAnsi" w:hAnsiTheme="majorHAnsi"/>
        </w:rPr>
        <w:t>.</w:t>
      </w:r>
    </w:p>
    <w:p w14:paraId="584E5CD1" w14:textId="4D8EAAF3" w:rsidR="004032BD" w:rsidRPr="0073696C" w:rsidRDefault="004032BD" w:rsidP="00DF5E99">
      <w:pPr>
        <w:pStyle w:val="Heading1"/>
        <w:numPr>
          <w:ilvl w:val="0"/>
          <w:numId w:val="0"/>
        </w:numPr>
        <w:spacing w:after="240"/>
      </w:pPr>
      <w:r w:rsidRPr="0073696C">
        <w:t xml:space="preserve">Australian PI – </w:t>
      </w:r>
      <w:r w:rsidR="00A950E4">
        <w:rPr>
          <w:rFonts w:eastAsia="SimSun" w:cstheme="minorHAnsi"/>
        </w:rPr>
        <w:t>Afinitor</w:t>
      </w:r>
      <w:r w:rsidR="007E693C" w:rsidRPr="00497C85">
        <w:rPr>
          <w:rFonts w:eastAsia="SimSun" w:cstheme="minorHAnsi"/>
        </w:rPr>
        <w:t xml:space="preserve"> </w:t>
      </w:r>
      <w:r w:rsidRPr="00497C85">
        <w:rPr>
          <w:rFonts w:eastAsia="SimSun" w:cstheme="minorHAnsi"/>
        </w:rPr>
        <w:t>(</w:t>
      </w:r>
      <w:bookmarkStart w:id="0" w:name="_GoBack"/>
      <w:r w:rsidR="00A950E4">
        <w:rPr>
          <w:rFonts w:eastAsia="SimSun" w:cstheme="minorHAnsi"/>
        </w:rPr>
        <w:t>Everolimus</w:t>
      </w:r>
      <w:bookmarkEnd w:id="0"/>
      <w:r w:rsidRPr="00497C85">
        <w:rPr>
          <w:rFonts w:eastAsia="SimSun" w:cstheme="minorHAnsi"/>
        </w:rPr>
        <w:t>)</w:t>
      </w:r>
      <w:r w:rsidR="00497C85" w:rsidRPr="00497C85">
        <w:rPr>
          <w:rFonts w:eastAsia="SimSun" w:cstheme="minorHAnsi"/>
        </w:rPr>
        <w:t xml:space="preserve"> </w:t>
      </w:r>
      <w:r w:rsidR="00A950E4">
        <w:rPr>
          <w:rFonts w:eastAsia="SimSun" w:cstheme="minorHAnsi"/>
        </w:rPr>
        <w:t>tablets and dispersible tablets</w:t>
      </w:r>
    </w:p>
    <w:p w14:paraId="514B92D2" w14:textId="77777777" w:rsidR="001A3992" w:rsidRDefault="001A3992" w:rsidP="0073696C">
      <w:pPr>
        <w:pStyle w:val="Heading1"/>
        <w:spacing w:before="0" w:after="120"/>
        <w:ind w:left="431" w:hanging="431"/>
        <w:rPr>
          <w:rFonts w:cstheme="minorHAnsi"/>
        </w:rPr>
      </w:pPr>
      <w:r w:rsidRPr="00497C85">
        <w:rPr>
          <w:rFonts w:cstheme="minorHAnsi"/>
        </w:rPr>
        <w:t>Name of the medicine</w:t>
      </w:r>
    </w:p>
    <w:p w14:paraId="1DD23FD4" w14:textId="5A34D6F8" w:rsidR="00804221" w:rsidRDefault="00804221" w:rsidP="00804221">
      <w:pPr>
        <w:tabs>
          <w:tab w:val="left" w:pos="567"/>
        </w:tabs>
        <w:spacing w:line="320" w:lineRule="atLeast"/>
        <w:rPr>
          <w:lang w:val="en-GB"/>
        </w:rPr>
      </w:pPr>
      <w:r w:rsidRPr="00804221">
        <w:rPr>
          <w:lang w:val="en-GB"/>
        </w:rPr>
        <w:t>The active ingredi</w:t>
      </w:r>
      <w:r w:rsidR="000E6647">
        <w:rPr>
          <w:lang w:val="en-GB"/>
        </w:rPr>
        <w:t xml:space="preserve">ent of </w:t>
      </w:r>
      <w:proofErr w:type="spellStart"/>
      <w:r w:rsidR="000E6647">
        <w:rPr>
          <w:lang w:val="en-GB"/>
        </w:rPr>
        <w:t>Afinitor</w:t>
      </w:r>
      <w:proofErr w:type="spellEnd"/>
      <w:r w:rsidR="000E6647">
        <w:rPr>
          <w:lang w:val="en-GB"/>
        </w:rPr>
        <w:t xml:space="preserve"> is </w:t>
      </w:r>
      <w:proofErr w:type="spellStart"/>
      <w:r w:rsidR="000E6647">
        <w:rPr>
          <w:lang w:val="en-GB"/>
        </w:rPr>
        <w:t>everolimus</w:t>
      </w:r>
      <w:proofErr w:type="spellEnd"/>
      <w:r w:rsidR="000E6647">
        <w:rPr>
          <w:lang w:val="en-GB"/>
        </w:rPr>
        <w:t>.</w:t>
      </w:r>
    </w:p>
    <w:p w14:paraId="3827D471" w14:textId="77777777" w:rsidR="000E6647" w:rsidRPr="00804221" w:rsidRDefault="000E6647" w:rsidP="00804221">
      <w:pPr>
        <w:tabs>
          <w:tab w:val="left" w:pos="567"/>
        </w:tabs>
        <w:spacing w:line="320" w:lineRule="atLeast"/>
        <w:rPr>
          <w:lang w:val="en-GB"/>
        </w:rPr>
      </w:pPr>
    </w:p>
    <w:p w14:paraId="6817A50B" w14:textId="77777777" w:rsidR="001A3992" w:rsidRPr="00497C85" w:rsidRDefault="001A3992" w:rsidP="001A3992">
      <w:pPr>
        <w:pStyle w:val="Heading1"/>
        <w:spacing w:before="0" w:after="120"/>
        <w:rPr>
          <w:rFonts w:cstheme="minorHAnsi"/>
        </w:rPr>
      </w:pPr>
      <w:r w:rsidRPr="00497C85">
        <w:rPr>
          <w:rFonts w:cstheme="minorHAnsi"/>
        </w:rPr>
        <w:t>Qualitative and quantitative composition</w:t>
      </w:r>
    </w:p>
    <w:p w14:paraId="6E238B5B" w14:textId="77777777" w:rsidR="00A950E4" w:rsidRDefault="00A950E4" w:rsidP="00A950E4">
      <w:pPr>
        <w:rPr>
          <w:lang w:val="en-GB"/>
        </w:rPr>
      </w:pPr>
      <w:proofErr w:type="spellStart"/>
      <w:r w:rsidRPr="003353BC">
        <w:rPr>
          <w:lang w:val="en-GB"/>
        </w:rPr>
        <w:t>Everolimus</w:t>
      </w:r>
      <w:proofErr w:type="spellEnd"/>
      <w:r w:rsidRPr="003353BC">
        <w:rPr>
          <w:lang w:val="en-GB"/>
        </w:rPr>
        <w:t xml:space="preserve"> is a white to faintly yellow powder practically insoluble in water but soluble in organic solvents such as ethanol and methanol.</w:t>
      </w:r>
    </w:p>
    <w:p w14:paraId="64A625A1" w14:textId="77777777" w:rsidR="00A950E4" w:rsidRPr="00804221" w:rsidRDefault="00A950E4" w:rsidP="00A950E4">
      <w:pPr>
        <w:rPr>
          <w:lang w:val="en-GB"/>
        </w:rPr>
      </w:pPr>
      <w:r w:rsidRPr="00804221">
        <w:rPr>
          <w:lang w:val="en-GB"/>
        </w:rPr>
        <w:t xml:space="preserve">Excipients: (Tablets) Butylated </w:t>
      </w:r>
      <w:proofErr w:type="spellStart"/>
      <w:r w:rsidRPr="00804221">
        <w:rPr>
          <w:lang w:val="en-GB"/>
        </w:rPr>
        <w:t>hydroxytoluene</w:t>
      </w:r>
      <w:proofErr w:type="spellEnd"/>
      <w:r w:rsidRPr="00804221">
        <w:rPr>
          <w:lang w:val="en-GB"/>
        </w:rPr>
        <w:t xml:space="preserve">, magnesium stearate, lactose monohydrate, </w:t>
      </w:r>
      <w:proofErr w:type="spellStart"/>
      <w:r w:rsidRPr="00804221">
        <w:rPr>
          <w:lang w:val="en-GB"/>
        </w:rPr>
        <w:t>hypromellose</w:t>
      </w:r>
      <w:proofErr w:type="spellEnd"/>
      <w:r w:rsidRPr="00804221">
        <w:rPr>
          <w:lang w:val="en-GB"/>
        </w:rPr>
        <w:t xml:space="preserve">, </w:t>
      </w:r>
      <w:proofErr w:type="spellStart"/>
      <w:r w:rsidRPr="00804221">
        <w:rPr>
          <w:lang w:val="en-GB"/>
        </w:rPr>
        <w:t>crospovidone</w:t>
      </w:r>
      <w:proofErr w:type="spellEnd"/>
      <w:r w:rsidRPr="00804221">
        <w:rPr>
          <w:lang w:val="en-GB"/>
        </w:rPr>
        <w:t>, lactose anhydrous.</w:t>
      </w:r>
    </w:p>
    <w:p w14:paraId="54FE9031" w14:textId="0D93AD59" w:rsidR="00497C85" w:rsidRDefault="00A950E4" w:rsidP="00A950E4">
      <w:pPr>
        <w:rPr>
          <w:lang w:val="en-GB"/>
        </w:rPr>
      </w:pPr>
      <w:r w:rsidRPr="00804221">
        <w:rPr>
          <w:lang w:val="en-GB"/>
        </w:rPr>
        <w:t xml:space="preserve">Excipients: (dispersible tablets) Butylated </w:t>
      </w:r>
      <w:proofErr w:type="spellStart"/>
      <w:r w:rsidRPr="00804221">
        <w:rPr>
          <w:lang w:val="en-GB"/>
        </w:rPr>
        <w:t>hydroxytoluene</w:t>
      </w:r>
      <w:proofErr w:type="spellEnd"/>
      <w:r w:rsidRPr="00804221">
        <w:rPr>
          <w:lang w:val="en-GB"/>
        </w:rPr>
        <w:t xml:space="preserve">, magnesium stearate, lactose monohydrate, </w:t>
      </w:r>
      <w:proofErr w:type="spellStart"/>
      <w:r w:rsidRPr="00804221">
        <w:rPr>
          <w:lang w:val="en-GB"/>
        </w:rPr>
        <w:t>hypromellose</w:t>
      </w:r>
      <w:proofErr w:type="spellEnd"/>
      <w:r w:rsidRPr="00804221">
        <w:rPr>
          <w:lang w:val="en-GB"/>
        </w:rPr>
        <w:t xml:space="preserve">, </w:t>
      </w:r>
      <w:proofErr w:type="spellStart"/>
      <w:r w:rsidRPr="00804221">
        <w:rPr>
          <w:lang w:val="en-GB"/>
        </w:rPr>
        <w:t>crospovidone</w:t>
      </w:r>
      <w:proofErr w:type="spellEnd"/>
      <w:r w:rsidRPr="00804221">
        <w:rPr>
          <w:lang w:val="en-GB"/>
        </w:rPr>
        <w:t>, mannitol, cellulose microcrystalline, and silica colloidal anhydrous</w:t>
      </w:r>
      <w:r w:rsidR="00804221" w:rsidRPr="00804221">
        <w:rPr>
          <w:lang w:val="en-GB"/>
        </w:rPr>
        <w:t>.</w:t>
      </w:r>
    </w:p>
    <w:p w14:paraId="6B0DBF8D" w14:textId="77777777" w:rsidR="000E6647" w:rsidRPr="0073696C" w:rsidRDefault="000E6647" w:rsidP="00A950E4">
      <w:pPr>
        <w:rPr>
          <w:rFonts w:asciiTheme="majorHAnsi" w:hAnsiTheme="majorHAnsi"/>
        </w:rPr>
      </w:pPr>
    </w:p>
    <w:p w14:paraId="44EE878F" w14:textId="77777777" w:rsidR="001A3992" w:rsidRDefault="001A3992" w:rsidP="001A3992">
      <w:pPr>
        <w:pStyle w:val="Heading1"/>
        <w:spacing w:before="0" w:after="120"/>
        <w:rPr>
          <w:rFonts w:cstheme="minorHAnsi"/>
        </w:rPr>
      </w:pPr>
      <w:r w:rsidRPr="00497C85">
        <w:rPr>
          <w:rFonts w:cstheme="minorHAnsi"/>
        </w:rPr>
        <w:t>Pharmaceutical form</w:t>
      </w:r>
    </w:p>
    <w:p w14:paraId="0DD35809" w14:textId="77777777" w:rsidR="00A950E4" w:rsidRPr="003353BC" w:rsidRDefault="00A950E4" w:rsidP="00A950E4">
      <w:pPr>
        <w:rPr>
          <w:lang w:val="en-GB"/>
        </w:rPr>
      </w:pPr>
      <w:r w:rsidRPr="003353BC">
        <w:rPr>
          <w:lang w:val="en-GB"/>
        </w:rPr>
        <w:t xml:space="preserve">2.5 mg tablet: White to slightly yellowish, elongated tablet with a bevelled edge and no score engraved with “LCL” on one side and “NVR” on the other. </w:t>
      </w:r>
    </w:p>
    <w:p w14:paraId="7FE51800" w14:textId="77777777" w:rsidR="00A950E4" w:rsidRPr="003353BC" w:rsidRDefault="00A950E4" w:rsidP="00A950E4">
      <w:pPr>
        <w:rPr>
          <w:lang w:val="en-GB"/>
        </w:rPr>
      </w:pPr>
      <w:r w:rsidRPr="003353BC">
        <w:rPr>
          <w:lang w:val="en-GB"/>
        </w:rPr>
        <w:t xml:space="preserve">5 mg tablet: White to slightly yellowish, elongated tablet with a bevelled edge and no score engraved with “5” on one side and “NVR” on the other. </w:t>
      </w:r>
    </w:p>
    <w:p w14:paraId="12D6A3D3" w14:textId="77777777" w:rsidR="00A950E4" w:rsidRPr="003353BC" w:rsidRDefault="00A950E4" w:rsidP="00A950E4">
      <w:pPr>
        <w:rPr>
          <w:lang w:val="en-GB"/>
        </w:rPr>
      </w:pPr>
      <w:r w:rsidRPr="003353BC">
        <w:rPr>
          <w:lang w:val="en-GB"/>
        </w:rPr>
        <w:t xml:space="preserve">10 mg tablet: White to slightly yellowish, elongated tablet with a bevelled edge and no score engraved with “UHE” on one side and “NVR” on the other. </w:t>
      </w:r>
    </w:p>
    <w:p w14:paraId="4F5797D0" w14:textId="77777777" w:rsidR="00A950E4" w:rsidRPr="003353BC" w:rsidRDefault="00A950E4" w:rsidP="00A950E4">
      <w:pPr>
        <w:rPr>
          <w:lang w:val="en-GB"/>
        </w:rPr>
      </w:pPr>
      <w:r w:rsidRPr="003353BC">
        <w:rPr>
          <w:lang w:val="en-GB"/>
        </w:rPr>
        <w:t xml:space="preserve">2 mg dispersible tablet: White to slightly yellowish, round, flat tablets with a bevelled edge and no score. The tablets are engraved with “D2” on one side and “NVR” on the other. </w:t>
      </w:r>
    </w:p>
    <w:p w14:paraId="6E67EF4F" w14:textId="77777777" w:rsidR="00A950E4" w:rsidRPr="003353BC" w:rsidRDefault="00A950E4" w:rsidP="00A950E4">
      <w:pPr>
        <w:rPr>
          <w:lang w:val="en-GB"/>
        </w:rPr>
      </w:pPr>
      <w:r w:rsidRPr="003353BC">
        <w:rPr>
          <w:lang w:val="en-GB"/>
        </w:rPr>
        <w:t xml:space="preserve">3 mg dispersible tablet: White to slightly yellowish, round, flat tablets with a bevelled edge and no score. The tablets are engraved with “D3” on one side and “NVR” on the other. </w:t>
      </w:r>
    </w:p>
    <w:p w14:paraId="2454A75B" w14:textId="77777777" w:rsidR="00A950E4" w:rsidRPr="003353BC" w:rsidRDefault="00A950E4" w:rsidP="00A950E4">
      <w:pPr>
        <w:rPr>
          <w:lang w:val="en-GB"/>
        </w:rPr>
      </w:pPr>
      <w:r w:rsidRPr="003353BC">
        <w:rPr>
          <w:lang w:val="en-GB"/>
        </w:rPr>
        <w:t xml:space="preserve">5 mg dispersible tablet: White to slightly yellowish, round, flat tablets with a bevelled edge and no score. The tablets are engraved with “D5” on one side and “NVR” on the other. </w:t>
      </w:r>
    </w:p>
    <w:p w14:paraId="7EBF4DD4" w14:textId="77777777" w:rsidR="001A3992" w:rsidRPr="00497C85" w:rsidRDefault="001A3992" w:rsidP="001A3992">
      <w:pPr>
        <w:pStyle w:val="Heading1"/>
        <w:spacing w:before="0" w:after="120"/>
        <w:rPr>
          <w:rFonts w:cstheme="minorHAnsi"/>
        </w:rPr>
      </w:pPr>
      <w:r w:rsidRPr="00497C85">
        <w:rPr>
          <w:rFonts w:cstheme="minorHAnsi"/>
        </w:rPr>
        <w:t>Clinical particulars</w:t>
      </w:r>
    </w:p>
    <w:p w14:paraId="0C19C81D" w14:textId="77777777" w:rsidR="001A3992" w:rsidRDefault="001A3992" w:rsidP="001A3992">
      <w:pPr>
        <w:pStyle w:val="Heading2"/>
        <w:spacing w:before="0" w:after="120"/>
        <w:rPr>
          <w:rFonts w:cstheme="minorHAnsi"/>
        </w:rPr>
      </w:pPr>
      <w:r w:rsidRPr="00497C85">
        <w:rPr>
          <w:rFonts w:cstheme="minorHAnsi"/>
        </w:rPr>
        <w:t xml:space="preserve">Therapeutic indications </w:t>
      </w:r>
    </w:p>
    <w:p w14:paraId="541EAB05" w14:textId="77777777" w:rsidR="00A950E4" w:rsidRPr="003353BC" w:rsidRDefault="00A950E4" w:rsidP="00A950E4">
      <w:pPr>
        <w:tabs>
          <w:tab w:val="left" w:pos="567"/>
        </w:tabs>
        <w:rPr>
          <w:lang w:val="en-GB"/>
        </w:rPr>
      </w:pPr>
      <w:proofErr w:type="spellStart"/>
      <w:r w:rsidRPr="003353BC">
        <w:rPr>
          <w:lang w:val="en-GB"/>
        </w:rPr>
        <w:t>Afinitor</w:t>
      </w:r>
      <w:proofErr w:type="spellEnd"/>
      <w:r w:rsidRPr="003353BC">
        <w:rPr>
          <w:lang w:val="en-GB"/>
        </w:rPr>
        <w:t xml:space="preserve"> is indicated for the: </w:t>
      </w:r>
    </w:p>
    <w:p w14:paraId="3793B848" w14:textId="77777777" w:rsidR="00A950E4" w:rsidRPr="003353BC" w:rsidRDefault="00A950E4" w:rsidP="0073696C">
      <w:pPr>
        <w:numPr>
          <w:ilvl w:val="0"/>
          <w:numId w:val="11"/>
        </w:numPr>
        <w:tabs>
          <w:tab w:val="left" w:pos="567"/>
        </w:tabs>
        <w:spacing w:after="0"/>
        <w:ind w:left="587"/>
        <w:jc w:val="both"/>
        <w:rPr>
          <w:lang w:val="en-GB"/>
        </w:rPr>
      </w:pPr>
      <w:r w:rsidRPr="003353BC">
        <w:rPr>
          <w:lang w:val="en-GB"/>
        </w:rPr>
        <w:t xml:space="preserve">Treatment of postmenopausal women with hormone receptor-positive, HER2 negative advanced breast cancer in combination with </w:t>
      </w:r>
      <w:proofErr w:type="spellStart"/>
      <w:r w:rsidRPr="003353BC">
        <w:rPr>
          <w:lang w:val="en-GB"/>
        </w:rPr>
        <w:t>exemestane</w:t>
      </w:r>
      <w:proofErr w:type="spellEnd"/>
      <w:r w:rsidRPr="003353BC">
        <w:rPr>
          <w:lang w:val="en-GB"/>
        </w:rPr>
        <w:t xml:space="preserve"> after failure of treatment with </w:t>
      </w:r>
      <w:proofErr w:type="spellStart"/>
      <w:r w:rsidRPr="003353BC">
        <w:rPr>
          <w:lang w:val="en-GB"/>
        </w:rPr>
        <w:t>letrozole</w:t>
      </w:r>
      <w:proofErr w:type="spellEnd"/>
      <w:r w:rsidRPr="003353BC">
        <w:rPr>
          <w:lang w:val="en-GB"/>
        </w:rPr>
        <w:t xml:space="preserve"> or </w:t>
      </w:r>
      <w:proofErr w:type="spellStart"/>
      <w:r w:rsidRPr="003353BC">
        <w:rPr>
          <w:lang w:val="en-GB"/>
        </w:rPr>
        <w:t>anastrozole</w:t>
      </w:r>
      <w:proofErr w:type="spellEnd"/>
      <w:r w:rsidRPr="003353BC">
        <w:rPr>
          <w:lang w:val="en-GB"/>
        </w:rPr>
        <w:t>.</w:t>
      </w:r>
    </w:p>
    <w:p w14:paraId="3911775A" w14:textId="77777777" w:rsidR="00A950E4" w:rsidRPr="003353BC" w:rsidRDefault="00A950E4" w:rsidP="0073696C">
      <w:pPr>
        <w:numPr>
          <w:ilvl w:val="0"/>
          <w:numId w:val="11"/>
        </w:numPr>
        <w:tabs>
          <w:tab w:val="left" w:pos="567"/>
        </w:tabs>
        <w:spacing w:after="0"/>
        <w:ind w:left="587"/>
        <w:jc w:val="both"/>
        <w:rPr>
          <w:lang w:val="en-GB"/>
        </w:rPr>
      </w:pPr>
      <w:r w:rsidRPr="003353BC">
        <w:rPr>
          <w:lang w:val="en-GB"/>
        </w:rPr>
        <w:t xml:space="preserve">Treatment of progressive, </w:t>
      </w:r>
      <w:proofErr w:type="spellStart"/>
      <w:r w:rsidRPr="003353BC">
        <w:rPr>
          <w:lang w:val="en-GB"/>
        </w:rPr>
        <w:t>unresectable</w:t>
      </w:r>
      <w:proofErr w:type="spellEnd"/>
      <w:r w:rsidRPr="003353BC">
        <w:rPr>
          <w:lang w:val="en-GB"/>
        </w:rPr>
        <w:t xml:space="preserve"> or metastatic, well or moderately differentiated neuroendocrine tumours (NETs) of pancreatic origin.</w:t>
      </w:r>
    </w:p>
    <w:p w14:paraId="6E1C7F53" w14:textId="77777777" w:rsidR="00A950E4" w:rsidRPr="003353BC" w:rsidRDefault="00A950E4" w:rsidP="0073696C">
      <w:pPr>
        <w:numPr>
          <w:ilvl w:val="0"/>
          <w:numId w:val="11"/>
        </w:numPr>
        <w:tabs>
          <w:tab w:val="left" w:pos="567"/>
        </w:tabs>
        <w:spacing w:after="0"/>
        <w:ind w:left="587"/>
        <w:jc w:val="both"/>
        <w:rPr>
          <w:lang w:val="en-GB"/>
        </w:rPr>
      </w:pPr>
      <w:r w:rsidRPr="003353BC">
        <w:rPr>
          <w:lang w:val="en-GB"/>
        </w:rPr>
        <w:t>Treatment of progressive</w:t>
      </w:r>
      <w:r w:rsidRPr="003353BC">
        <w:t xml:space="preserve">, </w:t>
      </w:r>
      <w:proofErr w:type="spellStart"/>
      <w:r w:rsidRPr="003353BC">
        <w:t>unresectable</w:t>
      </w:r>
      <w:proofErr w:type="spellEnd"/>
      <w:r w:rsidRPr="003353BC">
        <w:t xml:space="preserve"> or metastatic, well-differentiated, non-functional neuroendocrine tumours (NET) of gastrointestinal or lung origin in adults.</w:t>
      </w:r>
    </w:p>
    <w:p w14:paraId="564D85DE" w14:textId="77777777" w:rsidR="00A950E4" w:rsidRPr="003353BC" w:rsidRDefault="00A950E4" w:rsidP="0073696C">
      <w:pPr>
        <w:numPr>
          <w:ilvl w:val="0"/>
          <w:numId w:val="11"/>
        </w:numPr>
        <w:tabs>
          <w:tab w:val="left" w:pos="567"/>
        </w:tabs>
        <w:spacing w:after="0"/>
        <w:ind w:left="587"/>
        <w:jc w:val="both"/>
        <w:rPr>
          <w:lang w:val="en-GB"/>
        </w:rPr>
      </w:pPr>
      <w:r w:rsidRPr="003353BC">
        <w:rPr>
          <w:lang w:val="en-GB"/>
        </w:rPr>
        <w:t xml:space="preserve">Treatment of advanced renal cell carcinoma after failure of treatment with </w:t>
      </w:r>
      <w:proofErr w:type="spellStart"/>
      <w:r w:rsidRPr="003353BC">
        <w:rPr>
          <w:lang w:val="en-GB"/>
        </w:rPr>
        <w:t>sorafenib</w:t>
      </w:r>
      <w:proofErr w:type="spellEnd"/>
      <w:r w:rsidRPr="003353BC">
        <w:rPr>
          <w:lang w:val="en-GB"/>
        </w:rPr>
        <w:t xml:space="preserve"> or </w:t>
      </w:r>
      <w:proofErr w:type="spellStart"/>
      <w:r w:rsidRPr="003353BC">
        <w:rPr>
          <w:lang w:val="en-GB"/>
        </w:rPr>
        <w:t>sunitinib</w:t>
      </w:r>
      <w:proofErr w:type="spellEnd"/>
      <w:r w:rsidRPr="003353BC">
        <w:rPr>
          <w:lang w:val="en-GB"/>
        </w:rPr>
        <w:t>.</w:t>
      </w:r>
    </w:p>
    <w:p w14:paraId="77157315" w14:textId="77777777" w:rsidR="00A950E4" w:rsidRPr="003353BC" w:rsidRDefault="00A950E4" w:rsidP="0073696C">
      <w:pPr>
        <w:numPr>
          <w:ilvl w:val="0"/>
          <w:numId w:val="11"/>
        </w:numPr>
        <w:tabs>
          <w:tab w:val="left" w:pos="567"/>
        </w:tabs>
        <w:spacing w:after="0"/>
        <w:ind w:left="587"/>
        <w:jc w:val="both"/>
        <w:rPr>
          <w:lang w:val="en-GB"/>
        </w:rPr>
      </w:pPr>
      <w:r w:rsidRPr="003353BC">
        <w:rPr>
          <w:lang w:val="en-GB"/>
        </w:rPr>
        <w:t xml:space="preserve">Treatment of </w:t>
      </w:r>
      <w:proofErr w:type="spellStart"/>
      <w:r w:rsidRPr="003353BC">
        <w:rPr>
          <w:lang w:val="en-GB"/>
        </w:rPr>
        <w:t>subependymal</w:t>
      </w:r>
      <w:proofErr w:type="spellEnd"/>
      <w:r w:rsidRPr="003353BC">
        <w:rPr>
          <w:lang w:val="en-GB"/>
        </w:rPr>
        <w:t xml:space="preserve"> giant cell astrocytoma (SEGA) associated with tuberous sclerosis complex (TSC) who require therapeutic intervention but are not candidates for curative surgical resection. </w:t>
      </w:r>
    </w:p>
    <w:p w14:paraId="0CECD9E1" w14:textId="77777777" w:rsidR="00A950E4" w:rsidRPr="003353BC" w:rsidRDefault="00A950E4" w:rsidP="0073696C">
      <w:pPr>
        <w:numPr>
          <w:ilvl w:val="0"/>
          <w:numId w:val="11"/>
        </w:numPr>
        <w:tabs>
          <w:tab w:val="left" w:pos="567"/>
        </w:tabs>
        <w:spacing w:after="0"/>
        <w:ind w:left="587"/>
        <w:jc w:val="both"/>
        <w:rPr>
          <w:lang w:val="en-GB"/>
        </w:rPr>
      </w:pPr>
      <w:r w:rsidRPr="003353BC">
        <w:rPr>
          <w:lang w:val="en-GB"/>
        </w:rPr>
        <w:t xml:space="preserve">Treatment of patients with tuberous sclerosis complex (TSC) who have renal </w:t>
      </w:r>
      <w:proofErr w:type="spellStart"/>
      <w:r w:rsidRPr="003353BC">
        <w:rPr>
          <w:lang w:val="en-GB"/>
        </w:rPr>
        <w:t>angiomyolipoma</w:t>
      </w:r>
      <w:proofErr w:type="spellEnd"/>
      <w:r w:rsidRPr="003353BC">
        <w:rPr>
          <w:lang w:val="en-GB"/>
        </w:rPr>
        <w:t xml:space="preserve"> not requiring immediate surgery.</w:t>
      </w:r>
    </w:p>
    <w:p w14:paraId="756F39EB" w14:textId="77777777" w:rsidR="00A950E4" w:rsidRPr="003353BC" w:rsidRDefault="00A950E4" w:rsidP="0073696C">
      <w:pPr>
        <w:numPr>
          <w:ilvl w:val="0"/>
          <w:numId w:val="11"/>
        </w:numPr>
        <w:tabs>
          <w:tab w:val="left" w:pos="567"/>
        </w:tabs>
        <w:spacing w:after="0"/>
        <w:ind w:left="587"/>
        <w:jc w:val="both"/>
        <w:rPr>
          <w:lang w:val="en-GB"/>
        </w:rPr>
      </w:pPr>
      <w:r w:rsidRPr="003353BC">
        <w:rPr>
          <w:szCs w:val="24"/>
          <w:lang w:val="en-GB"/>
        </w:rPr>
        <w:t>Adjunctive treatment of patients aged 2 years and older with TSC and associated refractory seizures.</w:t>
      </w:r>
    </w:p>
    <w:p w14:paraId="470DDA84" w14:textId="77777777" w:rsidR="00A950E4" w:rsidRPr="0073696C" w:rsidRDefault="00A950E4" w:rsidP="00A950E4"/>
    <w:p w14:paraId="7984D463" w14:textId="77777777" w:rsidR="001A3992" w:rsidRPr="0073696C" w:rsidRDefault="001A3992" w:rsidP="001A3992">
      <w:pPr>
        <w:pStyle w:val="Heading2"/>
        <w:spacing w:before="0" w:after="120"/>
      </w:pPr>
      <w:r w:rsidRPr="0073696C">
        <w:t xml:space="preserve">Dose and method of administration </w:t>
      </w:r>
    </w:p>
    <w:p w14:paraId="77D4E361" w14:textId="77777777" w:rsidR="00A950E4" w:rsidRPr="003353BC" w:rsidRDefault="00A950E4" w:rsidP="00A950E4">
      <w:pPr>
        <w:pStyle w:val="Text"/>
        <w:spacing w:after="240" w:line="276" w:lineRule="auto"/>
        <w:rPr>
          <w:rFonts w:asciiTheme="minorHAnsi" w:hAnsiTheme="minorHAnsi"/>
          <w:sz w:val="22"/>
          <w:szCs w:val="24"/>
        </w:rPr>
      </w:pPr>
      <w:r w:rsidRPr="003353BC">
        <w:rPr>
          <w:rFonts w:asciiTheme="minorHAnsi" w:hAnsiTheme="minorHAnsi"/>
          <w:sz w:val="22"/>
          <w:szCs w:val="24"/>
        </w:rPr>
        <w:t xml:space="preserve">Treatment with </w:t>
      </w:r>
      <w:proofErr w:type="spellStart"/>
      <w:r w:rsidRPr="003353BC">
        <w:rPr>
          <w:rFonts w:asciiTheme="minorHAnsi" w:hAnsiTheme="minorHAnsi"/>
          <w:sz w:val="22"/>
          <w:szCs w:val="24"/>
        </w:rPr>
        <w:t>Afinitor</w:t>
      </w:r>
      <w:proofErr w:type="spellEnd"/>
      <w:r w:rsidRPr="003353BC">
        <w:rPr>
          <w:rFonts w:asciiTheme="minorHAnsi" w:hAnsiTheme="minorHAnsi"/>
          <w:sz w:val="22"/>
          <w:szCs w:val="24"/>
        </w:rPr>
        <w:t xml:space="preserve"> should be initiated by a physician experienced in the use of anticancer therapies or in the treatment of patients with TSC.</w:t>
      </w:r>
    </w:p>
    <w:p w14:paraId="3D240589" w14:textId="28ECD823" w:rsidR="00A950E4" w:rsidRPr="003353BC" w:rsidRDefault="00A950E4" w:rsidP="00A950E4">
      <w:pPr>
        <w:rPr>
          <w:lang w:val="en-GB"/>
        </w:rPr>
      </w:pPr>
      <w:proofErr w:type="spellStart"/>
      <w:r w:rsidRPr="003353BC">
        <w:rPr>
          <w:lang w:val="en-GB"/>
        </w:rPr>
        <w:t>Afinitor</w:t>
      </w:r>
      <w:proofErr w:type="spellEnd"/>
      <w:r w:rsidRPr="003353BC">
        <w:rPr>
          <w:lang w:val="en-GB"/>
        </w:rPr>
        <w:t xml:space="preserve"> should be administered orally once daily at the same time every day (preferably in the morning), either consistently with or consistently without food (see </w:t>
      </w:r>
      <w:r w:rsidR="00195FA7">
        <w:rPr>
          <w:lang w:val="en-GB"/>
        </w:rPr>
        <w:t xml:space="preserve">section 5.2 </w:t>
      </w:r>
      <w:r w:rsidR="00830F70">
        <w:rPr>
          <w:lang w:val="en-GB"/>
        </w:rPr>
        <w:t>‘</w:t>
      </w:r>
      <w:r w:rsidRPr="003353BC">
        <w:rPr>
          <w:lang w:val="en-GB"/>
        </w:rPr>
        <w:t>Pharmacokinetic</w:t>
      </w:r>
      <w:r w:rsidR="00195FA7">
        <w:rPr>
          <w:lang w:val="en-GB"/>
        </w:rPr>
        <w:t xml:space="preserve"> properties</w:t>
      </w:r>
      <w:r w:rsidR="00830F70">
        <w:rPr>
          <w:lang w:val="en-GB"/>
        </w:rPr>
        <w:t>’</w:t>
      </w:r>
      <w:r w:rsidRPr="003353BC">
        <w:rPr>
          <w:lang w:val="en-GB"/>
        </w:rPr>
        <w:t xml:space="preserve">). </w:t>
      </w:r>
      <w:proofErr w:type="spellStart"/>
      <w:r w:rsidRPr="003353BC">
        <w:rPr>
          <w:lang w:val="en-GB"/>
        </w:rPr>
        <w:t>Afinitor</w:t>
      </w:r>
      <w:proofErr w:type="spellEnd"/>
      <w:r w:rsidRPr="003353BC">
        <w:rPr>
          <w:lang w:val="en-GB"/>
        </w:rPr>
        <w:t xml:space="preserve"> is available in two formulations: tablets (</w:t>
      </w:r>
      <w:proofErr w:type="spellStart"/>
      <w:r w:rsidRPr="003353BC">
        <w:rPr>
          <w:lang w:val="en-GB"/>
        </w:rPr>
        <w:t>Afinitor</w:t>
      </w:r>
      <w:proofErr w:type="spellEnd"/>
      <w:r w:rsidRPr="003353BC">
        <w:rPr>
          <w:lang w:val="en-GB"/>
        </w:rPr>
        <w:t xml:space="preserve"> Tablets) and dispersible tablets (</w:t>
      </w:r>
      <w:proofErr w:type="spellStart"/>
      <w:r w:rsidRPr="003353BC">
        <w:rPr>
          <w:lang w:val="en-GB"/>
        </w:rPr>
        <w:t>Afinitor</w:t>
      </w:r>
      <w:proofErr w:type="spellEnd"/>
      <w:r w:rsidRPr="003353BC">
        <w:rPr>
          <w:lang w:val="en-GB"/>
        </w:rPr>
        <w:t xml:space="preserve"> Dispersible Tablets). </w:t>
      </w:r>
    </w:p>
    <w:p w14:paraId="29F53801" w14:textId="77777777" w:rsidR="00A950E4" w:rsidRPr="003353BC" w:rsidRDefault="00A950E4" w:rsidP="00A950E4">
      <w:pPr>
        <w:rPr>
          <w:lang w:val="en-GB"/>
        </w:rPr>
      </w:pPr>
      <w:proofErr w:type="spellStart"/>
      <w:r w:rsidRPr="003353BC">
        <w:rPr>
          <w:lang w:val="en-GB"/>
        </w:rPr>
        <w:t>Afinitor</w:t>
      </w:r>
      <w:proofErr w:type="spellEnd"/>
      <w:r w:rsidRPr="003353BC">
        <w:rPr>
          <w:lang w:val="en-GB"/>
        </w:rPr>
        <w:t xml:space="preserve"> Tablets may be used in all oncology indications </w:t>
      </w:r>
      <w:r w:rsidRPr="003353BC">
        <w:rPr>
          <w:szCs w:val="24"/>
          <w:lang w:val="en-GB"/>
        </w:rPr>
        <w:t xml:space="preserve">and in the TSC with SEGA and TSC with renal </w:t>
      </w:r>
      <w:proofErr w:type="spellStart"/>
      <w:r w:rsidRPr="003353BC">
        <w:rPr>
          <w:szCs w:val="24"/>
          <w:lang w:val="en-GB"/>
        </w:rPr>
        <w:t>angiomyolipoma</w:t>
      </w:r>
      <w:proofErr w:type="spellEnd"/>
      <w:r w:rsidRPr="003353BC">
        <w:rPr>
          <w:szCs w:val="24"/>
          <w:lang w:val="en-GB"/>
        </w:rPr>
        <w:t xml:space="preserve"> indications. </w:t>
      </w:r>
      <w:proofErr w:type="spellStart"/>
      <w:r w:rsidRPr="003353BC">
        <w:rPr>
          <w:szCs w:val="24"/>
          <w:lang w:val="en-GB"/>
        </w:rPr>
        <w:t>Afinitor</w:t>
      </w:r>
      <w:proofErr w:type="spellEnd"/>
      <w:r w:rsidRPr="003353BC">
        <w:rPr>
          <w:szCs w:val="24"/>
          <w:lang w:val="en-GB"/>
        </w:rPr>
        <w:t xml:space="preserve"> Tablets have not been studied and are not recommended for use in patients with TSC and refractory seizures</w:t>
      </w:r>
      <w:r w:rsidRPr="003353BC">
        <w:rPr>
          <w:lang w:val="en-GB"/>
        </w:rPr>
        <w:t xml:space="preserve">. </w:t>
      </w:r>
    </w:p>
    <w:p w14:paraId="3F725308" w14:textId="212C76B5" w:rsidR="00A950E4" w:rsidRPr="003353BC" w:rsidRDefault="00A950E4" w:rsidP="00A950E4">
      <w:pPr>
        <w:rPr>
          <w:lang w:val="en-GB"/>
        </w:rPr>
      </w:pPr>
      <w:proofErr w:type="spellStart"/>
      <w:r w:rsidRPr="003353BC">
        <w:rPr>
          <w:lang w:val="en-GB"/>
        </w:rPr>
        <w:t>Afinitor</w:t>
      </w:r>
      <w:proofErr w:type="spellEnd"/>
      <w:r w:rsidRPr="003353BC">
        <w:rPr>
          <w:lang w:val="en-GB"/>
        </w:rPr>
        <w:t xml:space="preserve"> Dispersible Tablets may be used for the treatment of patients with TSC who have SEGA and patients with TSC and refractory seizures in conjunction with therapeutic drug monitoring (see </w:t>
      </w:r>
      <w:r>
        <w:rPr>
          <w:lang w:val="en-GB"/>
        </w:rPr>
        <w:t>section 4.2 ‘Dose and method of administration-</w:t>
      </w:r>
      <w:r w:rsidRPr="003353BC">
        <w:rPr>
          <w:lang w:val="en-GB"/>
        </w:rPr>
        <w:t xml:space="preserve">Therapeutic </w:t>
      </w:r>
      <w:r>
        <w:rPr>
          <w:lang w:val="en-GB"/>
        </w:rPr>
        <w:t>drug monitoring’</w:t>
      </w:r>
      <w:r w:rsidRPr="003353BC">
        <w:rPr>
          <w:lang w:val="en-GB"/>
        </w:rPr>
        <w:t xml:space="preserve">). </w:t>
      </w:r>
    </w:p>
    <w:p w14:paraId="1FE83D7D" w14:textId="77777777" w:rsidR="00A950E4" w:rsidRPr="003353BC" w:rsidRDefault="00A950E4" w:rsidP="00A950E4">
      <w:pPr>
        <w:rPr>
          <w:lang w:val="en-GB"/>
        </w:rPr>
      </w:pPr>
      <w:r w:rsidRPr="003353BC">
        <w:rPr>
          <w:lang w:val="en-GB"/>
        </w:rPr>
        <w:t xml:space="preserve">If a dose is missed, the patient should take the next dose at the next scheduled time. Patients should not take two doses to make up for the one that they missed. </w:t>
      </w:r>
    </w:p>
    <w:p w14:paraId="2B8BA73F" w14:textId="77777777" w:rsidR="00A950E4" w:rsidRPr="003353BC" w:rsidRDefault="00A950E4" w:rsidP="00A950E4">
      <w:pPr>
        <w:rPr>
          <w:lang w:val="en-GB"/>
        </w:rPr>
      </w:pPr>
      <w:r w:rsidRPr="003353BC">
        <w:rPr>
          <w:lang w:val="en-GB"/>
        </w:rPr>
        <w:t>Treatment should continue as long as clinical benefit is observed or until unacceptable toxicity occurs.</w:t>
      </w:r>
    </w:p>
    <w:p w14:paraId="279BF6A0" w14:textId="77777777" w:rsidR="00A950E4" w:rsidRPr="003353BC" w:rsidRDefault="00A950E4" w:rsidP="002F78A4">
      <w:pPr>
        <w:keepNext/>
        <w:keepLines/>
        <w:rPr>
          <w:b/>
          <w:lang w:val="en-GB"/>
        </w:rPr>
      </w:pPr>
      <w:proofErr w:type="spellStart"/>
      <w:r w:rsidRPr="003353BC">
        <w:rPr>
          <w:b/>
          <w:lang w:val="en-GB"/>
        </w:rPr>
        <w:lastRenderedPageBreak/>
        <w:t>Afinitor</w:t>
      </w:r>
      <w:proofErr w:type="spellEnd"/>
      <w:r w:rsidRPr="003353BC">
        <w:rPr>
          <w:b/>
          <w:lang w:val="en-GB"/>
        </w:rPr>
        <w:t xml:space="preserve"> Tablets</w:t>
      </w:r>
    </w:p>
    <w:p w14:paraId="255130B1" w14:textId="77777777" w:rsidR="00A950E4" w:rsidRPr="003353BC" w:rsidRDefault="00A950E4" w:rsidP="002F78A4">
      <w:pPr>
        <w:keepNext/>
        <w:keepLines/>
        <w:rPr>
          <w:lang w:val="en-GB"/>
        </w:rPr>
      </w:pPr>
      <w:proofErr w:type="spellStart"/>
      <w:r w:rsidRPr="003353BC">
        <w:rPr>
          <w:lang w:val="en-GB"/>
        </w:rPr>
        <w:t>Afinitor</w:t>
      </w:r>
      <w:proofErr w:type="spellEnd"/>
      <w:r w:rsidRPr="003353BC">
        <w:rPr>
          <w:lang w:val="en-GB"/>
        </w:rPr>
        <w:t xml:space="preserve"> tablets should be swallowed whole with a glass of water.  The tablets should not be chewed or crushed. </w:t>
      </w:r>
    </w:p>
    <w:p w14:paraId="36C5C49A" w14:textId="77777777" w:rsidR="00A950E4" w:rsidRPr="003353BC" w:rsidRDefault="00A950E4" w:rsidP="00A950E4">
      <w:pPr>
        <w:rPr>
          <w:lang w:val="en-GB"/>
        </w:rPr>
      </w:pPr>
      <w:r w:rsidRPr="003353BC">
        <w:rPr>
          <w:lang w:val="en-GB"/>
        </w:rPr>
        <w:t xml:space="preserve">For patients with TSC who have SEGA and are unable to swallow tablets whole, </w:t>
      </w:r>
      <w:proofErr w:type="spellStart"/>
      <w:r w:rsidRPr="003353BC">
        <w:rPr>
          <w:lang w:val="en-GB"/>
        </w:rPr>
        <w:t>Afinitor</w:t>
      </w:r>
      <w:proofErr w:type="spellEnd"/>
      <w:r w:rsidRPr="003353BC">
        <w:rPr>
          <w:lang w:val="en-GB"/>
        </w:rPr>
        <w:t xml:space="preserve"> tablets can be dispersed completely in a glass of water (containing approximately 30 mL) by gently stirring until the tablet(s) is fully disintegrated (approximately 7 minutes), immediately prior to drinking. The glass should be rinsed with the same volume of water and the rinse completely swallowed to ensure the entire dose is administered.</w:t>
      </w:r>
    </w:p>
    <w:p w14:paraId="5C141AAA" w14:textId="77777777" w:rsidR="00A950E4" w:rsidRPr="003353BC" w:rsidRDefault="00A950E4" w:rsidP="00A950E4">
      <w:pPr>
        <w:rPr>
          <w:b/>
          <w:lang w:val="en-GB"/>
        </w:rPr>
      </w:pPr>
      <w:proofErr w:type="spellStart"/>
      <w:r w:rsidRPr="003353BC">
        <w:rPr>
          <w:b/>
          <w:lang w:val="en-GB"/>
        </w:rPr>
        <w:t>Afinitor</w:t>
      </w:r>
      <w:proofErr w:type="spellEnd"/>
      <w:r w:rsidRPr="003353BC">
        <w:rPr>
          <w:b/>
          <w:lang w:val="en-GB"/>
        </w:rPr>
        <w:t xml:space="preserve"> Dispersible tablets</w:t>
      </w:r>
    </w:p>
    <w:p w14:paraId="0A4FD9FB" w14:textId="77777777" w:rsidR="00A950E4" w:rsidRPr="003353BC" w:rsidRDefault="00A950E4" w:rsidP="00A950E4">
      <w:pPr>
        <w:rPr>
          <w:lang w:val="en-GB"/>
        </w:rPr>
      </w:pPr>
      <w:proofErr w:type="spellStart"/>
      <w:r w:rsidRPr="003353BC">
        <w:rPr>
          <w:lang w:val="en-GB"/>
        </w:rPr>
        <w:t>Afinitor</w:t>
      </w:r>
      <w:proofErr w:type="spellEnd"/>
      <w:r w:rsidRPr="003353BC">
        <w:rPr>
          <w:lang w:val="en-GB"/>
        </w:rPr>
        <w:t xml:space="preserve"> Dispersible Tablets are to be taken as a suspension only and should not be swallowed whole, chewed, or crushed. The suspension can be prepared in an oral syringe or in a small drinking glass. Care should be taken to ensure the entire dose is administered.</w:t>
      </w:r>
    </w:p>
    <w:p w14:paraId="346A2D14" w14:textId="77777777" w:rsidR="00A950E4" w:rsidRPr="003353BC" w:rsidRDefault="00A950E4" w:rsidP="00A950E4">
      <w:pPr>
        <w:rPr>
          <w:lang w:val="en-GB"/>
        </w:rPr>
      </w:pPr>
      <w:r w:rsidRPr="003353BC">
        <w:rPr>
          <w:lang w:val="en-GB"/>
        </w:rPr>
        <w:t xml:space="preserve">Administer the suspension immediately after preparation. Discard the suspension if not administered within 60 minutes of preparation. Prepare the suspension in water only. </w:t>
      </w:r>
    </w:p>
    <w:p w14:paraId="68502943" w14:textId="77777777" w:rsidR="00A950E4" w:rsidRPr="003353BC" w:rsidRDefault="00A950E4" w:rsidP="00A950E4">
      <w:pPr>
        <w:rPr>
          <w:lang w:val="en-GB"/>
        </w:rPr>
      </w:pPr>
      <w:r w:rsidRPr="003353BC">
        <w:rPr>
          <w:lang w:val="en-GB"/>
        </w:rPr>
        <w:t>Using an oral syringe:</w:t>
      </w:r>
    </w:p>
    <w:p w14:paraId="664BD6BD" w14:textId="77777777" w:rsidR="00A950E4" w:rsidRPr="003353BC" w:rsidRDefault="00A950E4" w:rsidP="00A950E4">
      <w:pPr>
        <w:pStyle w:val="Text"/>
        <w:numPr>
          <w:ilvl w:val="0"/>
          <w:numId w:val="13"/>
        </w:numPr>
        <w:spacing w:line="276" w:lineRule="auto"/>
        <w:rPr>
          <w:rFonts w:asciiTheme="minorHAnsi" w:hAnsiTheme="minorHAnsi"/>
          <w:sz w:val="22"/>
        </w:rPr>
      </w:pPr>
      <w:r w:rsidRPr="003353BC">
        <w:rPr>
          <w:rFonts w:asciiTheme="minorHAnsi" w:hAnsiTheme="minorHAnsi"/>
          <w:sz w:val="22"/>
        </w:rPr>
        <w:t xml:space="preserve">Place the prescribed dose of </w:t>
      </w:r>
      <w:proofErr w:type="spellStart"/>
      <w:r w:rsidRPr="003353BC">
        <w:rPr>
          <w:rFonts w:asciiTheme="minorHAnsi" w:hAnsiTheme="minorHAnsi"/>
          <w:sz w:val="22"/>
        </w:rPr>
        <w:t>Afinitor</w:t>
      </w:r>
      <w:proofErr w:type="spellEnd"/>
      <w:r w:rsidRPr="003353BC">
        <w:rPr>
          <w:rFonts w:asciiTheme="minorHAnsi" w:hAnsiTheme="minorHAnsi"/>
          <w:sz w:val="22"/>
        </w:rPr>
        <w:t xml:space="preserve"> Dispersible Tablets into a 10-mL syringe. Do not exceed a total of 10 mg per syringe. If higher doses are required, prepare an additional syringe. Do not break or crush tablets.</w:t>
      </w:r>
    </w:p>
    <w:p w14:paraId="067A03FB" w14:textId="77777777" w:rsidR="00A950E4" w:rsidRPr="003353BC" w:rsidRDefault="00A950E4" w:rsidP="00A950E4">
      <w:pPr>
        <w:pStyle w:val="Text"/>
        <w:numPr>
          <w:ilvl w:val="0"/>
          <w:numId w:val="13"/>
        </w:numPr>
        <w:spacing w:line="276" w:lineRule="auto"/>
        <w:rPr>
          <w:rFonts w:asciiTheme="minorHAnsi" w:hAnsiTheme="minorHAnsi"/>
          <w:sz w:val="22"/>
        </w:rPr>
      </w:pPr>
      <w:r w:rsidRPr="003353BC">
        <w:rPr>
          <w:rFonts w:asciiTheme="minorHAnsi" w:hAnsiTheme="minorHAnsi"/>
          <w:sz w:val="22"/>
        </w:rPr>
        <w:t>Draw approximately 5 mL of water and 4 mL of air into the syringe.</w:t>
      </w:r>
    </w:p>
    <w:p w14:paraId="11F75634" w14:textId="77777777" w:rsidR="00A950E4" w:rsidRPr="003353BC" w:rsidRDefault="00A950E4" w:rsidP="00A950E4">
      <w:pPr>
        <w:pStyle w:val="Text"/>
        <w:numPr>
          <w:ilvl w:val="0"/>
          <w:numId w:val="13"/>
        </w:numPr>
        <w:spacing w:line="276" w:lineRule="auto"/>
        <w:rPr>
          <w:rFonts w:asciiTheme="minorHAnsi" w:hAnsiTheme="minorHAnsi"/>
          <w:sz w:val="22"/>
        </w:rPr>
      </w:pPr>
      <w:r w:rsidRPr="003353BC">
        <w:rPr>
          <w:rFonts w:asciiTheme="minorHAnsi" w:hAnsiTheme="minorHAnsi"/>
          <w:sz w:val="22"/>
        </w:rPr>
        <w:t xml:space="preserve">Place the filled syringe into a container (tip up) for 3 minutes, until the </w:t>
      </w:r>
      <w:proofErr w:type="spellStart"/>
      <w:r w:rsidRPr="003353BC">
        <w:rPr>
          <w:rFonts w:asciiTheme="minorHAnsi" w:hAnsiTheme="minorHAnsi"/>
          <w:sz w:val="22"/>
        </w:rPr>
        <w:t>Afinitor</w:t>
      </w:r>
      <w:proofErr w:type="spellEnd"/>
      <w:r w:rsidRPr="003353BC">
        <w:rPr>
          <w:rFonts w:asciiTheme="minorHAnsi" w:hAnsiTheme="minorHAnsi"/>
          <w:sz w:val="22"/>
        </w:rPr>
        <w:t xml:space="preserve"> Dispersible Tablets are in suspension.</w:t>
      </w:r>
    </w:p>
    <w:p w14:paraId="58B2CE33" w14:textId="77777777" w:rsidR="00A950E4" w:rsidRPr="003353BC" w:rsidRDefault="00A950E4" w:rsidP="00A950E4">
      <w:pPr>
        <w:pStyle w:val="Text"/>
        <w:numPr>
          <w:ilvl w:val="0"/>
          <w:numId w:val="13"/>
        </w:numPr>
        <w:spacing w:line="276" w:lineRule="auto"/>
        <w:rPr>
          <w:rFonts w:asciiTheme="minorHAnsi" w:hAnsiTheme="minorHAnsi"/>
          <w:sz w:val="22"/>
        </w:rPr>
      </w:pPr>
      <w:r w:rsidRPr="003353BC">
        <w:rPr>
          <w:rFonts w:asciiTheme="minorHAnsi" w:hAnsiTheme="minorHAnsi"/>
          <w:sz w:val="22"/>
        </w:rPr>
        <w:t>Gently invert the syringe 5 times immediately prior to administration.</w:t>
      </w:r>
    </w:p>
    <w:p w14:paraId="5E9D550A" w14:textId="77777777" w:rsidR="00A950E4" w:rsidRPr="003353BC" w:rsidRDefault="00A950E4" w:rsidP="00A950E4">
      <w:pPr>
        <w:pStyle w:val="Text"/>
        <w:numPr>
          <w:ilvl w:val="0"/>
          <w:numId w:val="13"/>
        </w:numPr>
        <w:spacing w:line="276" w:lineRule="auto"/>
        <w:rPr>
          <w:rFonts w:asciiTheme="minorHAnsi" w:hAnsiTheme="minorHAnsi"/>
          <w:sz w:val="22"/>
        </w:rPr>
      </w:pPr>
      <w:r w:rsidRPr="003353BC">
        <w:rPr>
          <w:rFonts w:asciiTheme="minorHAnsi" w:hAnsiTheme="minorHAnsi"/>
          <w:sz w:val="22"/>
        </w:rPr>
        <w:t>After administration of the prepared suspension, draw approximately 5 mL of water and 4 mL of air into the same syringe, and swirl the contents to suspend remaining particles. Administer the entire contents of the syringe.</w:t>
      </w:r>
    </w:p>
    <w:p w14:paraId="54D44AA8" w14:textId="77777777" w:rsidR="00A950E4" w:rsidRPr="003353BC" w:rsidRDefault="00A950E4" w:rsidP="00A950E4">
      <w:pPr>
        <w:pStyle w:val="Text"/>
        <w:spacing w:line="276" w:lineRule="auto"/>
        <w:rPr>
          <w:rFonts w:asciiTheme="minorHAnsi" w:hAnsiTheme="minorHAnsi"/>
          <w:sz w:val="22"/>
        </w:rPr>
      </w:pPr>
    </w:p>
    <w:p w14:paraId="6F40E9B1" w14:textId="77777777" w:rsidR="00A950E4" w:rsidRPr="003353BC" w:rsidRDefault="00A950E4" w:rsidP="00A950E4">
      <w:pPr>
        <w:pStyle w:val="Text"/>
        <w:spacing w:line="276" w:lineRule="auto"/>
        <w:rPr>
          <w:rFonts w:asciiTheme="minorHAnsi" w:hAnsiTheme="minorHAnsi"/>
          <w:sz w:val="22"/>
        </w:rPr>
      </w:pPr>
      <w:r w:rsidRPr="003353BC">
        <w:rPr>
          <w:rFonts w:asciiTheme="minorHAnsi" w:hAnsiTheme="minorHAnsi"/>
          <w:sz w:val="22"/>
        </w:rPr>
        <w:t>Using a small drinking glass:</w:t>
      </w:r>
    </w:p>
    <w:p w14:paraId="28522343" w14:textId="77777777" w:rsidR="00A950E4" w:rsidRPr="003353BC" w:rsidRDefault="00A950E4" w:rsidP="00A950E4">
      <w:pPr>
        <w:pStyle w:val="Text"/>
        <w:numPr>
          <w:ilvl w:val="0"/>
          <w:numId w:val="14"/>
        </w:numPr>
        <w:spacing w:line="276" w:lineRule="auto"/>
        <w:rPr>
          <w:rFonts w:asciiTheme="minorHAnsi" w:hAnsiTheme="minorHAnsi"/>
          <w:b/>
          <w:sz w:val="22"/>
        </w:rPr>
      </w:pPr>
      <w:r w:rsidRPr="003353BC">
        <w:rPr>
          <w:rFonts w:asciiTheme="minorHAnsi" w:hAnsiTheme="minorHAnsi"/>
          <w:sz w:val="22"/>
        </w:rPr>
        <w:t xml:space="preserve">Place the prescribed dose of </w:t>
      </w:r>
      <w:proofErr w:type="spellStart"/>
      <w:r w:rsidRPr="003353BC">
        <w:rPr>
          <w:rFonts w:asciiTheme="minorHAnsi" w:hAnsiTheme="minorHAnsi"/>
          <w:sz w:val="22"/>
        </w:rPr>
        <w:t>Afinitor</w:t>
      </w:r>
      <w:proofErr w:type="spellEnd"/>
      <w:r w:rsidRPr="003353BC">
        <w:rPr>
          <w:rFonts w:asciiTheme="minorHAnsi" w:hAnsiTheme="minorHAnsi"/>
          <w:sz w:val="22"/>
        </w:rPr>
        <w:t xml:space="preserve"> Dispersible Tablets into a small drinking glass (maximum size 100 mL) containing approximately 25 mL of water. Do not exceed a total of 10 mg of </w:t>
      </w:r>
      <w:proofErr w:type="spellStart"/>
      <w:r w:rsidRPr="003353BC">
        <w:rPr>
          <w:rFonts w:asciiTheme="minorHAnsi" w:hAnsiTheme="minorHAnsi"/>
          <w:sz w:val="22"/>
        </w:rPr>
        <w:t>Afinitor</w:t>
      </w:r>
      <w:proofErr w:type="spellEnd"/>
      <w:r w:rsidRPr="003353BC">
        <w:rPr>
          <w:rFonts w:asciiTheme="minorHAnsi" w:hAnsiTheme="minorHAnsi"/>
          <w:sz w:val="22"/>
        </w:rPr>
        <w:t xml:space="preserve"> Dispersible Tablets per glass. If higher doses are required, prepare an additional glass. Do not break or crush tablets.</w:t>
      </w:r>
    </w:p>
    <w:p w14:paraId="721F93D5" w14:textId="77777777" w:rsidR="00A950E4" w:rsidRPr="003353BC" w:rsidRDefault="00A950E4" w:rsidP="00A950E4">
      <w:pPr>
        <w:pStyle w:val="Text"/>
        <w:numPr>
          <w:ilvl w:val="0"/>
          <w:numId w:val="14"/>
        </w:numPr>
        <w:spacing w:line="276" w:lineRule="auto"/>
        <w:rPr>
          <w:rFonts w:asciiTheme="minorHAnsi" w:hAnsiTheme="minorHAnsi"/>
          <w:b/>
          <w:sz w:val="22"/>
        </w:rPr>
      </w:pPr>
      <w:r w:rsidRPr="003353BC">
        <w:rPr>
          <w:rFonts w:asciiTheme="minorHAnsi" w:hAnsiTheme="minorHAnsi"/>
          <w:sz w:val="22"/>
        </w:rPr>
        <w:t>Allow 3 minutes for suspension to occur.</w:t>
      </w:r>
    </w:p>
    <w:p w14:paraId="4077520F" w14:textId="77777777" w:rsidR="00A950E4" w:rsidRPr="003353BC" w:rsidRDefault="00A950E4" w:rsidP="00A950E4">
      <w:pPr>
        <w:pStyle w:val="Text"/>
        <w:numPr>
          <w:ilvl w:val="0"/>
          <w:numId w:val="14"/>
        </w:numPr>
        <w:spacing w:line="276" w:lineRule="auto"/>
        <w:rPr>
          <w:rFonts w:asciiTheme="minorHAnsi" w:hAnsiTheme="minorHAnsi"/>
          <w:sz w:val="22"/>
        </w:rPr>
      </w:pPr>
      <w:r w:rsidRPr="003353BC">
        <w:rPr>
          <w:rFonts w:asciiTheme="minorHAnsi" w:hAnsiTheme="minorHAnsi"/>
          <w:sz w:val="22"/>
        </w:rPr>
        <w:t>Stir the contents gently with a spoon, immediately prior to drinking.</w:t>
      </w:r>
    </w:p>
    <w:p w14:paraId="3C93D0B5" w14:textId="77777777" w:rsidR="00A950E4" w:rsidRPr="003353BC" w:rsidRDefault="00A950E4" w:rsidP="00A950E4">
      <w:pPr>
        <w:pStyle w:val="Text"/>
        <w:numPr>
          <w:ilvl w:val="0"/>
          <w:numId w:val="14"/>
        </w:numPr>
        <w:spacing w:line="276" w:lineRule="auto"/>
        <w:rPr>
          <w:rFonts w:asciiTheme="minorHAnsi" w:hAnsiTheme="minorHAnsi"/>
          <w:sz w:val="22"/>
        </w:rPr>
      </w:pPr>
      <w:r w:rsidRPr="003353BC">
        <w:rPr>
          <w:rFonts w:asciiTheme="minorHAnsi" w:hAnsiTheme="minorHAnsi"/>
          <w:sz w:val="22"/>
        </w:rPr>
        <w:t>After administration of the prepared suspension, add 25 mL of water and stir with the same spoon to re-suspend remaining particles. Administer the entire contents of the glass.</w:t>
      </w:r>
    </w:p>
    <w:p w14:paraId="0DBA7FA2" w14:textId="77777777" w:rsidR="00A950E4" w:rsidRPr="003353BC" w:rsidRDefault="00A950E4" w:rsidP="00A950E4">
      <w:pPr>
        <w:pStyle w:val="Text"/>
        <w:spacing w:line="276" w:lineRule="auto"/>
        <w:rPr>
          <w:rFonts w:asciiTheme="minorHAnsi" w:hAnsiTheme="minorHAnsi"/>
          <w:sz w:val="22"/>
        </w:rPr>
      </w:pPr>
    </w:p>
    <w:p w14:paraId="46BF0F17" w14:textId="77777777" w:rsidR="00A950E4" w:rsidRPr="003353BC" w:rsidRDefault="00A950E4" w:rsidP="00A950E4">
      <w:pPr>
        <w:pStyle w:val="Text"/>
        <w:spacing w:line="276" w:lineRule="auto"/>
        <w:rPr>
          <w:rFonts w:asciiTheme="minorHAnsi" w:hAnsiTheme="minorHAnsi"/>
          <w:b/>
          <w:sz w:val="22"/>
        </w:rPr>
      </w:pPr>
      <w:r w:rsidRPr="003353BC">
        <w:rPr>
          <w:rFonts w:asciiTheme="minorHAnsi" w:hAnsiTheme="minorHAnsi"/>
          <w:b/>
          <w:sz w:val="22"/>
        </w:rPr>
        <w:lastRenderedPageBreak/>
        <w:t>Switching dosage forms:</w:t>
      </w:r>
    </w:p>
    <w:p w14:paraId="2AB2C9C3" w14:textId="77777777" w:rsidR="00A950E4" w:rsidRPr="003353BC" w:rsidRDefault="00A950E4" w:rsidP="00A950E4">
      <w:pPr>
        <w:pStyle w:val="Text"/>
        <w:spacing w:line="276" w:lineRule="auto"/>
        <w:rPr>
          <w:rFonts w:asciiTheme="minorHAnsi" w:hAnsiTheme="minorHAnsi"/>
          <w:sz w:val="22"/>
        </w:rPr>
      </w:pPr>
      <w:r w:rsidRPr="003353BC">
        <w:rPr>
          <w:rFonts w:asciiTheme="minorHAnsi" w:hAnsiTheme="minorHAnsi"/>
          <w:sz w:val="22"/>
        </w:rPr>
        <w:t>The two dosage forms (</w:t>
      </w:r>
      <w:proofErr w:type="spellStart"/>
      <w:r w:rsidRPr="003353BC">
        <w:rPr>
          <w:rFonts w:asciiTheme="minorHAnsi" w:hAnsiTheme="minorHAnsi"/>
          <w:sz w:val="22"/>
        </w:rPr>
        <w:t>Afinitor</w:t>
      </w:r>
      <w:proofErr w:type="spellEnd"/>
      <w:r w:rsidRPr="003353BC">
        <w:rPr>
          <w:rFonts w:asciiTheme="minorHAnsi" w:hAnsiTheme="minorHAnsi"/>
          <w:sz w:val="22"/>
        </w:rPr>
        <w:t xml:space="preserve"> Tablets and </w:t>
      </w:r>
      <w:proofErr w:type="spellStart"/>
      <w:r w:rsidRPr="003353BC">
        <w:rPr>
          <w:rFonts w:asciiTheme="minorHAnsi" w:hAnsiTheme="minorHAnsi"/>
          <w:sz w:val="22"/>
        </w:rPr>
        <w:t>Afinitor</w:t>
      </w:r>
      <w:proofErr w:type="spellEnd"/>
      <w:r w:rsidRPr="003353BC">
        <w:rPr>
          <w:rFonts w:asciiTheme="minorHAnsi" w:hAnsiTheme="minorHAnsi"/>
          <w:sz w:val="22"/>
        </w:rPr>
        <w:t xml:space="preserve"> Dispersible Tablets) are not interchangeable. Do not combine the two dosage forms to achieve the desired dose. Consistently use the same dosage form, as appropriate for the indication being treated.</w:t>
      </w:r>
    </w:p>
    <w:p w14:paraId="27F3009A" w14:textId="41D2B5E0" w:rsidR="00A950E4" w:rsidRPr="0073696C" w:rsidRDefault="00A950E4" w:rsidP="0073696C">
      <w:r w:rsidRPr="0073696C">
        <w:t xml:space="preserve">When switching dosage forms, the dose should be adjusted to the closest milligram strength of the new dosage form and the </w:t>
      </w:r>
      <w:proofErr w:type="spellStart"/>
      <w:r w:rsidRPr="0073696C">
        <w:t>everolimus</w:t>
      </w:r>
      <w:proofErr w:type="spellEnd"/>
      <w:r w:rsidRPr="0073696C">
        <w:t xml:space="preserve"> trough concentration should be assessed approximately 2 weeks later </w:t>
      </w:r>
      <w:r w:rsidRPr="0073696C">
        <w:rPr>
          <w:lang w:val="en-GB"/>
        </w:rPr>
        <w:t xml:space="preserve">(see </w:t>
      </w:r>
      <w:r>
        <w:rPr>
          <w:lang w:val="en-GB"/>
        </w:rPr>
        <w:t>section 4.2 ‘Dose and method of administration-</w:t>
      </w:r>
      <w:r w:rsidRPr="0073696C">
        <w:rPr>
          <w:lang w:val="en-GB"/>
        </w:rPr>
        <w:t xml:space="preserve">Therapeutic drug </w:t>
      </w:r>
      <w:r>
        <w:rPr>
          <w:lang w:val="en-GB"/>
        </w:rPr>
        <w:t xml:space="preserve">monitoring’). </w:t>
      </w:r>
    </w:p>
    <w:p w14:paraId="306AE7B7" w14:textId="77777777" w:rsidR="00A950E4" w:rsidRPr="001E0751" w:rsidRDefault="00A950E4" w:rsidP="00A950E4">
      <w:pPr>
        <w:pStyle w:val="Text"/>
        <w:spacing w:line="276" w:lineRule="auto"/>
        <w:rPr>
          <w:rFonts w:asciiTheme="minorHAnsi" w:hAnsiTheme="minorHAnsi"/>
        </w:rPr>
      </w:pPr>
    </w:p>
    <w:p w14:paraId="1048342C" w14:textId="77777777" w:rsidR="00A950E4" w:rsidRPr="001E0751" w:rsidRDefault="00A950E4" w:rsidP="00A950E4">
      <w:pPr>
        <w:pStyle w:val="Heading3"/>
        <w:tabs>
          <w:tab w:val="left" w:pos="567"/>
        </w:tabs>
        <w:spacing w:before="0"/>
        <w:ind w:left="0"/>
        <w:rPr>
          <w:rFonts w:asciiTheme="minorHAnsi" w:hAnsiTheme="minorHAnsi"/>
          <w:sz w:val="24"/>
          <w:lang w:val="en-GB"/>
        </w:rPr>
      </w:pPr>
      <w:r w:rsidRPr="001E0751">
        <w:rPr>
          <w:rFonts w:asciiTheme="minorHAnsi" w:hAnsiTheme="minorHAnsi"/>
          <w:sz w:val="24"/>
          <w:lang w:val="en-GB"/>
        </w:rPr>
        <w:t>Adults</w:t>
      </w:r>
    </w:p>
    <w:p w14:paraId="2F8E881A" w14:textId="77777777" w:rsidR="00A950E4" w:rsidRPr="003353BC" w:rsidRDefault="00A950E4" w:rsidP="00A950E4">
      <w:pPr>
        <w:rPr>
          <w:b/>
          <w:u w:val="single"/>
          <w:lang w:val="en-GB"/>
        </w:rPr>
      </w:pPr>
      <w:r w:rsidRPr="003353BC">
        <w:rPr>
          <w:b/>
          <w:u w:val="single"/>
          <w:lang w:val="en-GB"/>
        </w:rPr>
        <w:t xml:space="preserve">Dosing in hormone receptor-positive advanced breast cancer, advanced neuroendocrine tumours, advanced renal cell carcinoma, and TSC with renal </w:t>
      </w:r>
      <w:proofErr w:type="spellStart"/>
      <w:r w:rsidRPr="003353BC">
        <w:rPr>
          <w:b/>
          <w:u w:val="single"/>
          <w:lang w:val="en-GB"/>
        </w:rPr>
        <w:t>angiomyolipoma</w:t>
      </w:r>
      <w:proofErr w:type="spellEnd"/>
    </w:p>
    <w:p w14:paraId="0A0829E9" w14:textId="77777777" w:rsidR="00A950E4" w:rsidRPr="003353BC" w:rsidRDefault="00A950E4" w:rsidP="00A950E4">
      <w:pPr>
        <w:rPr>
          <w:lang w:val="en-GB"/>
        </w:rPr>
      </w:pPr>
      <w:r w:rsidRPr="003353BC">
        <w:rPr>
          <w:lang w:val="en-GB"/>
        </w:rPr>
        <w:t xml:space="preserve">The recommended dose of </w:t>
      </w:r>
      <w:proofErr w:type="spellStart"/>
      <w:r w:rsidRPr="003353BC">
        <w:rPr>
          <w:lang w:val="en-GB"/>
        </w:rPr>
        <w:t>Afinitor</w:t>
      </w:r>
      <w:proofErr w:type="spellEnd"/>
      <w:r w:rsidRPr="003353BC">
        <w:rPr>
          <w:lang w:val="en-GB"/>
        </w:rPr>
        <w:t xml:space="preserve"> is 10 mg to be taken once daily.</w:t>
      </w:r>
    </w:p>
    <w:p w14:paraId="763C88A9" w14:textId="77777777" w:rsidR="00A950E4" w:rsidRPr="003353BC" w:rsidRDefault="00A950E4" w:rsidP="00A950E4">
      <w:pPr>
        <w:spacing w:before="240"/>
        <w:rPr>
          <w:b/>
          <w:lang w:val="en-GB"/>
        </w:rPr>
      </w:pPr>
      <w:r w:rsidRPr="003353BC">
        <w:rPr>
          <w:b/>
          <w:u w:val="single"/>
          <w:lang w:val="en-GB"/>
        </w:rPr>
        <w:t>BSA based Dosing in TSC with SEGA and TSC with refractory seizures</w:t>
      </w:r>
    </w:p>
    <w:p w14:paraId="0B53C45E" w14:textId="77777777" w:rsidR="00A950E4" w:rsidRPr="003353BC" w:rsidRDefault="00A950E4" w:rsidP="00A950E4">
      <w:pPr>
        <w:pStyle w:val="Text"/>
        <w:spacing w:line="276" w:lineRule="auto"/>
        <w:rPr>
          <w:rFonts w:asciiTheme="minorHAnsi" w:hAnsiTheme="minorHAnsi"/>
          <w:sz w:val="22"/>
        </w:rPr>
      </w:pPr>
      <w:r w:rsidRPr="003353BC">
        <w:rPr>
          <w:rFonts w:asciiTheme="minorHAnsi" w:hAnsiTheme="minorHAnsi"/>
          <w:sz w:val="22"/>
        </w:rPr>
        <w:t>Individualise dosing based on the body surface area (BSA, in m</w:t>
      </w:r>
      <w:r w:rsidRPr="003353BC">
        <w:rPr>
          <w:rFonts w:asciiTheme="minorHAnsi" w:hAnsiTheme="minorHAnsi"/>
          <w:sz w:val="22"/>
          <w:vertAlign w:val="superscript"/>
        </w:rPr>
        <w:t>2</w:t>
      </w:r>
      <w:r w:rsidRPr="003353BC">
        <w:rPr>
          <w:rFonts w:asciiTheme="minorHAnsi" w:hAnsiTheme="minorHAnsi"/>
          <w:sz w:val="22"/>
        </w:rPr>
        <w:t xml:space="preserve">) using the Dubois formula, where weight (W) is in kilograms and height (H) is in </w:t>
      </w:r>
      <w:proofErr w:type="spellStart"/>
      <w:r w:rsidRPr="003353BC">
        <w:rPr>
          <w:rFonts w:asciiTheme="minorHAnsi" w:hAnsiTheme="minorHAnsi"/>
          <w:sz w:val="22"/>
        </w:rPr>
        <w:t>centimeters</w:t>
      </w:r>
      <w:proofErr w:type="spellEnd"/>
      <w:r w:rsidRPr="003353BC">
        <w:rPr>
          <w:rFonts w:asciiTheme="minorHAnsi" w:hAnsiTheme="minorHAnsi"/>
          <w:sz w:val="22"/>
        </w:rPr>
        <w:t>:</w:t>
      </w:r>
    </w:p>
    <w:p w14:paraId="27A0FF20" w14:textId="77777777" w:rsidR="00A950E4" w:rsidRPr="003353BC" w:rsidRDefault="00A950E4" w:rsidP="00A950E4">
      <w:pPr>
        <w:pStyle w:val="Text"/>
        <w:spacing w:line="276" w:lineRule="auto"/>
        <w:rPr>
          <w:rFonts w:asciiTheme="minorHAnsi" w:hAnsiTheme="minorHAnsi"/>
          <w:sz w:val="22"/>
        </w:rPr>
      </w:pPr>
      <w:r w:rsidRPr="003353BC">
        <w:rPr>
          <w:rFonts w:asciiTheme="minorHAnsi" w:hAnsiTheme="minorHAnsi"/>
          <w:sz w:val="22"/>
        </w:rPr>
        <w:t>BSA = (W</w:t>
      </w:r>
      <w:r w:rsidRPr="003353BC">
        <w:rPr>
          <w:rFonts w:asciiTheme="minorHAnsi" w:hAnsiTheme="minorHAnsi"/>
          <w:sz w:val="22"/>
          <w:vertAlign w:val="superscript"/>
        </w:rPr>
        <w:t>0.425</w:t>
      </w:r>
      <w:r w:rsidRPr="003353BC">
        <w:rPr>
          <w:rFonts w:asciiTheme="minorHAnsi" w:hAnsiTheme="minorHAnsi"/>
          <w:sz w:val="22"/>
        </w:rPr>
        <w:t xml:space="preserve"> x H</w:t>
      </w:r>
      <w:r w:rsidRPr="003353BC">
        <w:rPr>
          <w:rFonts w:asciiTheme="minorHAnsi" w:hAnsiTheme="minorHAnsi"/>
          <w:sz w:val="22"/>
          <w:vertAlign w:val="superscript"/>
        </w:rPr>
        <w:t>0.725</w:t>
      </w:r>
      <w:r w:rsidRPr="003353BC">
        <w:rPr>
          <w:rFonts w:asciiTheme="minorHAnsi" w:hAnsiTheme="minorHAnsi"/>
          <w:sz w:val="22"/>
        </w:rPr>
        <w:t xml:space="preserve">) x 0.007184 </w:t>
      </w:r>
    </w:p>
    <w:p w14:paraId="66683235" w14:textId="77777777" w:rsidR="00A950E4" w:rsidRPr="003353BC" w:rsidRDefault="00A950E4" w:rsidP="00A950E4">
      <w:pPr>
        <w:pStyle w:val="Text"/>
        <w:spacing w:line="276" w:lineRule="auto"/>
        <w:rPr>
          <w:rFonts w:asciiTheme="minorHAnsi" w:hAnsiTheme="minorHAnsi"/>
          <w:sz w:val="22"/>
        </w:rPr>
      </w:pPr>
    </w:p>
    <w:p w14:paraId="465B1550" w14:textId="77777777" w:rsidR="00A950E4" w:rsidRPr="003353BC" w:rsidRDefault="00A950E4" w:rsidP="00A950E4">
      <w:pPr>
        <w:pStyle w:val="Text"/>
        <w:spacing w:line="276" w:lineRule="auto"/>
        <w:rPr>
          <w:rFonts w:asciiTheme="minorHAnsi" w:hAnsiTheme="minorHAnsi"/>
          <w:sz w:val="22"/>
        </w:rPr>
      </w:pPr>
      <w:r w:rsidRPr="003353BC">
        <w:rPr>
          <w:rFonts w:asciiTheme="minorHAnsi" w:hAnsiTheme="minorHAnsi"/>
          <w:b/>
          <w:sz w:val="22"/>
          <w:u w:val="single"/>
        </w:rPr>
        <w:t>Starting dose and target trough concentrations in TSC with SEGA</w:t>
      </w:r>
      <w:r w:rsidRPr="003353BC">
        <w:rPr>
          <w:rFonts w:asciiTheme="minorHAnsi" w:hAnsiTheme="minorHAnsi"/>
          <w:sz w:val="22"/>
        </w:rPr>
        <w:t xml:space="preserve"> </w:t>
      </w:r>
    </w:p>
    <w:p w14:paraId="2F4D73C8" w14:textId="77777777" w:rsidR="00A950E4" w:rsidRPr="003353BC" w:rsidRDefault="00A950E4" w:rsidP="00A950E4">
      <w:pPr>
        <w:pStyle w:val="Text"/>
        <w:spacing w:line="276" w:lineRule="auto"/>
        <w:rPr>
          <w:rFonts w:asciiTheme="minorHAnsi" w:hAnsiTheme="minorHAnsi"/>
          <w:sz w:val="22"/>
        </w:rPr>
      </w:pPr>
      <w:r w:rsidRPr="003353BC">
        <w:rPr>
          <w:rFonts w:asciiTheme="minorHAnsi" w:hAnsiTheme="minorHAnsi"/>
          <w:sz w:val="22"/>
        </w:rPr>
        <w:t xml:space="preserve">The recommended starting dose of </w:t>
      </w:r>
      <w:proofErr w:type="spellStart"/>
      <w:r w:rsidRPr="003353BC">
        <w:rPr>
          <w:rFonts w:asciiTheme="minorHAnsi" w:hAnsiTheme="minorHAnsi"/>
          <w:sz w:val="22"/>
        </w:rPr>
        <w:t>Afinitor</w:t>
      </w:r>
      <w:proofErr w:type="spellEnd"/>
      <w:r w:rsidRPr="003353BC">
        <w:rPr>
          <w:rFonts w:asciiTheme="minorHAnsi" w:hAnsiTheme="minorHAnsi"/>
          <w:sz w:val="22"/>
        </w:rPr>
        <w:t xml:space="preserve"> for treatment of patients with TSC who have SEGA is 4.5 mg/m</w:t>
      </w:r>
      <w:r w:rsidRPr="003353BC">
        <w:rPr>
          <w:rFonts w:asciiTheme="minorHAnsi" w:hAnsiTheme="minorHAnsi"/>
          <w:sz w:val="22"/>
          <w:vertAlign w:val="superscript"/>
        </w:rPr>
        <w:t>2</w:t>
      </w:r>
      <w:r w:rsidRPr="003353BC">
        <w:rPr>
          <w:rFonts w:asciiTheme="minorHAnsi" w:hAnsiTheme="minorHAnsi"/>
          <w:sz w:val="22"/>
        </w:rPr>
        <w:t xml:space="preserve">, rounded to the nearest strength of </w:t>
      </w:r>
      <w:proofErr w:type="spellStart"/>
      <w:r w:rsidRPr="003353BC">
        <w:rPr>
          <w:rFonts w:asciiTheme="minorHAnsi" w:hAnsiTheme="minorHAnsi"/>
          <w:sz w:val="22"/>
          <w:lang w:val="en-US"/>
        </w:rPr>
        <w:t>Afinitor</w:t>
      </w:r>
      <w:proofErr w:type="spellEnd"/>
      <w:r w:rsidRPr="003353BC">
        <w:rPr>
          <w:rFonts w:asciiTheme="minorHAnsi" w:hAnsiTheme="minorHAnsi"/>
          <w:sz w:val="22"/>
          <w:lang w:val="en-US"/>
        </w:rPr>
        <w:t xml:space="preserve"> Tablets or </w:t>
      </w:r>
      <w:proofErr w:type="spellStart"/>
      <w:r w:rsidRPr="003353BC">
        <w:rPr>
          <w:rFonts w:asciiTheme="minorHAnsi" w:hAnsiTheme="minorHAnsi"/>
          <w:sz w:val="22"/>
        </w:rPr>
        <w:t>Afinitor</w:t>
      </w:r>
      <w:proofErr w:type="spellEnd"/>
      <w:r w:rsidRPr="003353BC">
        <w:rPr>
          <w:rFonts w:asciiTheme="minorHAnsi" w:hAnsiTheme="minorHAnsi"/>
          <w:sz w:val="22"/>
        </w:rPr>
        <w:t xml:space="preserve"> Dispersible Tablets. Different strengths of </w:t>
      </w:r>
      <w:proofErr w:type="spellStart"/>
      <w:r w:rsidRPr="003353BC">
        <w:rPr>
          <w:rFonts w:asciiTheme="minorHAnsi" w:hAnsiTheme="minorHAnsi"/>
          <w:sz w:val="22"/>
        </w:rPr>
        <w:t>Afinitor</w:t>
      </w:r>
      <w:proofErr w:type="spellEnd"/>
      <w:r w:rsidRPr="003353BC">
        <w:rPr>
          <w:rFonts w:asciiTheme="minorHAnsi" w:hAnsiTheme="minorHAnsi"/>
          <w:sz w:val="22"/>
        </w:rPr>
        <w:t xml:space="preserve"> Tablets can be combined to attain the desired dose. Likewise, different strengths of </w:t>
      </w:r>
      <w:proofErr w:type="spellStart"/>
      <w:r w:rsidRPr="003353BC">
        <w:rPr>
          <w:rFonts w:asciiTheme="minorHAnsi" w:hAnsiTheme="minorHAnsi"/>
          <w:sz w:val="22"/>
        </w:rPr>
        <w:t>Afinitor</w:t>
      </w:r>
      <w:proofErr w:type="spellEnd"/>
      <w:r w:rsidRPr="003353BC">
        <w:rPr>
          <w:rFonts w:asciiTheme="minorHAnsi" w:hAnsiTheme="minorHAnsi"/>
          <w:sz w:val="22"/>
        </w:rPr>
        <w:t xml:space="preserve"> </w:t>
      </w:r>
      <w:r w:rsidRPr="003353BC">
        <w:rPr>
          <w:rFonts w:asciiTheme="minorHAnsi" w:hAnsiTheme="minorHAnsi"/>
          <w:sz w:val="22"/>
          <w:lang w:val="en-US"/>
        </w:rPr>
        <w:t xml:space="preserve">Dispersible </w:t>
      </w:r>
      <w:r w:rsidRPr="003353BC">
        <w:rPr>
          <w:rFonts w:asciiTheme="minorHAnsi" w:hAnsiTheme="minorHAnsi"/>
          <w:sz w:val="22"/>
        </w:rPr>
        <w:t>Tablets can be combined to attain the desired dose. The two dosage forms should not be combined to achieve the</w:t>
      </w:r>
      <w:r w:rsidRPr="003353BC">
        <w:rPr>
          <w:rFonts w:asciiTheme="minorHAnsi" w:hAnsiTheme="minorHAnsi"/>
          <w:sz w:val="22"/>
          <w:lang w:val="en-US"/>
        </w:rPr>
        <w:t xml:space="preserve"> </w:t>
      </w:r>
      <w:r w:rsidRPr="003353BC">
        <w:rPr>
          <w:rFonts w:asciiTheme="minorHAnsi" w:hAnsiTheme="minorHAnsi"/>
          <w:sz w:val="22"/>
        </w:rPr>
        <w:t>desired dose.</w:t>
      </w:r>
    </w:p>
    <w:p w14:paraId="495F91B4" w14:textId="77777777" w:rsidR="00A950E4" w:rsidRPr="003353BC" w:rsidRDefault="00A950E4" w:rsidP="00A950E4">
      <w:pPr>
        <w:pStyle w:val="Text"/>
        <w:spacing w:line="276" w:lineRule="auto"/>
        <w:rPr>
          <w:rFonts w:asciiTheme="minorHAnsi" w:hAnsiTheme="minorHAnsi"/>
          <w:sz w:val="22"/>
          <w:lang w:val="en-US"/>
        </w:rPr>
      </w:pPr>
    </w:p>
    <w:p w14:paraId="72657C41" w14:textId="77777777" w:rsidR="00A950E4" w:rsidRPr="003353BC" w:rsidRDefault="00A950E4" w:rsidP="00A950E4">
      <w:pPr>
        <w:rPr>
          <w:szCs w:val="24"/>
          <w:lang w:val="en-GB"/>
        </w:rPr>
      </w:pPr>
      <w:r w:rsidRPr="003353BC">
        <w:rPr>
          <w:szCs w:val="24"/>
        </w:rPr>
        <w:t>Dosing should be titrated to attain trough concentrations of 3 to 15 ng/</w:t>
      </w:r>
      <w:proofErr w:type="spellStart"/>
      <w:r w:rsidRPr="003353BC">
        <w:rPr>
          <w:szCs w:val="24"/>
        </w:rPr>
        <w:t>mL.</w:t>
      </w:r>
      <w:proofErr w:type="spellEnd"/>
    </w:p>
    <w:p w14:paraId="3A5CCFF6" w14:textId="77777777" w:rsidR="00A950E4" w:rsidRPr="003353BC" w:rsidRDefault="00A950E4" w:rsidP="00A950E4">
      <w:pPr>
        <w:pStyle w:val="Text"/>
        <w:spacing w:line="276" w:lineRule="auto"/>
        <w:rPr>
          <w:rFonts w:asciiTheme="minorHAnsi" w:hAnsiTheme="minorHAnsi"/>
          <w:sz w:val="22"/>
        </w:rPr>
      </w:pPr>
      <w:r w:rsidRPr="003353BC">
        <w:rPr>
          <w:rFonts w:asciiTheme="minorHAnsi" w:hAnsiTheme="minorHAnsi"/>
          <w:b/>
          <w:sz w:val="22"/>
          <w:u w:val="single"/>
        </w:rPr>
        <w:t>Starting dose and target trough concentrations in TSC with refractory seizures</w:t>
      </w:r>
      <w:r w:rsidRPr="003353BC">
        <w:rPr>
          <w:rFonts w:asciiTheme="minorHAnsi" w:hAnsiTheme="minorHAnsi"/>
          <w:sz w:val="22"/>
        </w:rPr>
        <w:t xml:space="preserve"> </w:t>
      </w:r>
    </w:p>
    <w:p w14:paraId="15A2DE12" w14:textId="14CDE36D" w:rsidR="00A950E4" w:rsidRPr="003353BC" w:rsidRDefault="00A950E4" w:rsidP="00A950E4">
      <w:pPr>
        <w:pStyle w:val="Text"/>
        <w:spacing w:line="276" w:lineRule="auto"/>
        <w:rPr>
          <w:rFonts w:asciiTheme="minorHAnsi" w:hAnsiTheme="minorHAnsi"/>
          <w:sz w:val="22"/>
        </w:rPr>
      </w:pPr>
      <w:r w:rsidRPr="003353BC">
        <w:rPr>
          <w:rFonts w:asciiTheme="minorHAnsi" w:hAnsiTheme="minorHAnsi"/>
          <w:sz w:val="22"/>
        </w:rPr>
        <w:t xml:space="preserve">The recommended starting daily dose for </w:t>
      </w:r>
      <w:proofErr w:type="spellStart"/>
      <w:r w:rsidRPr="003353BC">
        <w:rPr>
          <w:rFonts w:asciiTheme="minorHAnsi" w:hAnsiTheme="minorHAnsi"/>
          <w:sz w:val="22"/>
        </w:rPr>
        <w:t>Afinitor</w:t>
      </w:r>
      <w:proofErr w:type="spellEnd"/>
      <w:r w:rsidRPr="003353BC">
        <w:rPr>
          <w:rFonts w:asciiTheme="minorHAnsi" w:hAnsiTheme="minorHAnsi"/>
          <w:sz w:val="22"/>
        </w:rPr>
        <w:t xml:space="preserve"> Dispersible Tablets for the treatment of patients with seizures is shown in </w:t>
      </w:r>
      <w:r w:rsidRPr="003353BC">
        <w:rPr>
          <w:rFonts w:asciiTheme="minorHAnsi" w:hAnsiTheme="minorHAnsi"/>
          <w:sz w:val="22"/>
        </w:rPr>
        <w:fldChar w:fldCharType="begin"/>
      </w:r>
      <w:r w:rsidRPr="003353BC">
        <w:rPr>
          <w:rFonts w:asciiTheme="minorHAnsi" w:hAnsiTheme="minorHAnsi"/>
          <w:sz w:val="22"/>
        </w:rPr>
        <w:instrText xml:space="preserve"> REF _Ref491097523 \h  \* MERGEFORMAT </w:instrText>
      </w:r>
      <w:r w:rsidRPr="003353BC">
        <w:rPr>
          <w:rFonts w:asciiTheme="minorHAnsi" w:hAnsiTheme="minorHAnsi"/>
          <w:sz w:val="22"/>
        </w:rPr>
      </w:r>
      <w:r w:rsidRPr="003353BC">
        <w:rPr>
          <w:rFonts w:asciiTheme="minorHAnsi" w:hAnsiTheme="minorHAnsi"/>
          <w:sz w:val="22"/>
        </w:rPr>
        <w:fldChar w:fldCharType="separate"/>
      </w:r>
      <w:r w:rsidR="00D64407" w:rsidRPr="00D64407">
        <w:rPr>
          <w:rFonts w:asciiTheme="minorHAnsi" w:hAnsiTheme="minorHAnsi"/>
          <w:sz w:val="22"/>
        </w:rPr>
        <w:t xml:space="preserve">Table </w:t>
      </w:r>
      <w:r w:rsidR="00D64407" w:rsidRPr="00D64407">
        <w:rPr>
          <w:rFonts w:asciiTheme="minorHAnsi" w:hAnsiTheme="minorHAnsi"/>
          <w:noProof/>
          <w:sz w:val="22"/>
        </w:rPr>
        <w:t>1</w:t>
      </w:r>
      <w:r w:rsidRPr="003353BC">
        <w:rPr>
          <w:rFonts w:asciiTheme="minorHAnsi" w:hAnsiTheme="minorHAnsi"/>
          <w:sz w:val="22"/>
        </w:rPr>
        <w:fldChar w:fldCharType="end"/>
      </w:r>
      <w:r w:rsidRPr="003353BC">
        <w:rPr>
          <w:rFonts w:asciiTheme="minorHAnsi" w:hAnsiTheme="minorHAnsi"/>
          <w:sz w:val="22"/>
        </w:rPr>
        <w:t xml:space="preserve">. The starting dose should be rounded to the nearest available strength of </w:t>
      </w:r>
      <w:proofErr w:type="spellStart"/>
      <w:r w:rsidRPr="003353BC">
        <w:rPr>
          <w:rFonts w:asciiTheme="minorHAnsi" w:hAnsiTheme="minorHAnsi"/>
          <w:sz w:val="22"/>
        </w:rPr>
        <w:t>Afinitor</w:t>
      </w:r>
      <w:proofErr w:type="spellEnd"/>
      <w:r w:rsidRPr="003353BC">
        <w:rPr>
          <w:rFonts w:asciiTheme="minorHAnsi" w:hAnsiTheme="minorHAnsi"/>
          <w:sz w:val="22"/>
        </w:rPr>
        <w:t xml:space="preserve"> Dispersible Tablets. Different strengths of </w:t>
      </w:r>
      <w:proofErr w:type="spellStart"/>
      <w:r w:rsidRPr="003353BC">
        <w:rPr>
          <w:rFonts w:asciiTheme="minorHAnsi" w:hAnsiTheme="minorHAnsi"/>
          <w:sz w:val="22"/>
        </w:rPr>
        <w:t>Afinitor</w:t>
      </w:r>
      <w:proofErr w:type="spellEnd"/>
      <w:r w:rsidRPr="003353BC">
        <w:rPr>
          <w:rFonts w:asciiTheme="minorHAnsi" w:hAnsiTheme="minorHAnsi"/>
          <w:sz w:val="22"/>
        </w:rPr>
        <w:t xml:space="preserve"> Dispersible Tablets can be combined to attain the desired dose. Dosing should be titrated to attain trough concentrations of 5 to 15 ng/</w:t>
      </w:r>
      <w:proofErr w:type="spellStart"/>
      <w:r w:rsidRPr="003353BC">
        <w:rPr>
          <w:rFonts w:asciiTheme="minorHAnsi" w:hAnsiTheme="minorHAnsi"/>
          <w:sz w:val="22"/>
        </w:rPr>
        <w:t>mL.</w:t>
      </w:r>
      <w:proofErr w:type="spellEnd"/>
    </w:p>
    <w:p w14:paraId="242E19E1" w14:textId="77777777" w:rsidR="00A950E4" w:rsidRDefault="00A950E4" w:rsidP="00A950E4">
      <w:pPr>
        <w:pStyle w:val="Text"/>
        <w:spacing w:line="276" w:lineRule="auto"/>
        <w:rPr>
          <w:rFonts w:asciiTheme="minorHAnsi" w:hAnsiTheme="minorHAnsi"/>
          <w:sz w:val="22"/>
        </w:rPr>
      </w:pPr>
    </w:p>
    <w:p w14:paraId="097A6F86" w14:textId="77777777" w:rsidR="000E6647" w:rsidRDefault="000E6647" w:rsidP="00A950E4">
      <w:pPr>
        <w:pStyle w:val="Text"/>
        <w:spacing w:line="276" w:lineRule="auto"/>
        <w:rPr>
          <w:rFonts w:asciiTheme="minorHAnsi" w:hAnsiTheme="minorHAnsi"/>
          <w:sz w:val="22"/>
        </w:rPr>
      </w:pPr>
    </w:p>
    <w:p w14:paraId="39151F5A" w14:textId="77777777" w:rsidR="000E6647" w:rsidRPr="003353BC" w:rsidRDefault="000E6647" w:rsidP="00A950E4">
      <w:pPr>
        <w:pStyle w:val="Text"/>
        <w:spacing w:line="276" w:lineRule="auto"/>
        <w:rPr>
          <w:rFonts w:asciiTheme="minorHAnsi" w:hAnsiTheme="minorHAnsi"/>
          <w:sz w:val="22"/>
        </w:rPr>
      </w:pPr>
    </w:p>
    <w:p w14:paraId="17A38F34" w14:textId="77777777" w:rsidR="00A950E4" w:rsidRPr="003353BC" w:rsidRDefault="00A950E4" w:rsidP="00A950E4">
      <w:pPr>
        <w:pStyle w:val="Caption"/>
        <w:keepNext/>
        <w:spacing w:line="276" w:lineRule="auto"/>
        <w:rPr>
          <w:rFonts w:asciiTheme="minorHAnsi" w:hAnsiTheme="minorHAnsi"/>
          <w:sz w:val="18"/>
        </w:rPr>
      </w:pPr>
      <w:bookmarkStart w:id="1" w:name="_Ref491097523"/>
      <w:r w:rsidRPr="003353BC">
        <w:rPr>
          <w:rFonts w:asciiTheme="minorHAnsi" w:hAnsiTheme="minorHAnsi"/>
          <w:sz w:val="18"/>
        </w:rPr>
        <w:t xml:space="preserve">Table </w:t>
      </w:r>
      <w:r w:rsidRPr="003353BC">
        <w:rPr>
          <w:rFonts w:asciiTheme="minorHAnsi" w:hAnsiTheme="minorHAnsi"/>
          <w:sz w:val="18"/>
        </w:rPr>
        <w:fldChar w:fldCharType="begin"/>
      </w:r>
      <w:r w:rsidRPr="003353BC">
        <w:rPr>
          <w:rFonts w:asciiTheme="minorHAnsi" w:hAnsiTheme="minorHAnsi"/>
          <w:sz w:val="18"/>
        </w:rPr>
        <w:instrText xml:space="preserve"> SEQ Table \* ARABIC </w:instrText>
      </w:r>
      <w:r w:rsidRPr="003353BC">
        <w:rPr>
          <w:rFonts w:asciiTheme="minorHAnsi" w:hAnsiTheme="minorHAnsi"/>
          <w:sz w:val="18"/>
        </w:rPr>
        <w:fldChar w:fldCharType="separate"/>
      </w:r>
      <w:r w:rsidR="00D64407">
        <w:rPr>
          <w:rFonts w:asciiTheme="minorHAnsi" w:hAnsiTheme="minorHAnsi"/>
          <w:noProof/>
          <w:sz w:val="18"/>
        </w:rPr>
        <w:t>1</w:t>
      </w:r>
      <w:r w:rsidRPr="003353BC">
        <w:rPr>
          <w:rFonts w:asciiTheme="minorHAnsi" w:hAnsiTheme="minorHAnsi"/>
          <w:sz w:val="18"/>
        </w:rPr>
        <w:fldChar w:fldCharType="end"/>
      </w:r>
      <w:bookmarkEnd w:id="1"/>
      <w:r w:rsidRPr="003353BC">
        <w:rPr>
          <w:rFonts w:asciiTheme="minorHAnsi" w:hAnsiTheme="minorHAnsi"/>
          <w:sz w:val="18"/>
        </w:rPr>
        <w:t xml:space="preserve"> </w:t>
      </w:r>
      <w:r w:rsidRPr="003353BC">
        <w:rPr>
          <w:rFonts w:asciiTheme="minorHAnsi" w:hAnsiTheme="minorHAnsi"/>
          <w:sz w:val="18"/>
        </w:rPr>
        <w:tab/>
      </w:r>
      <w:proofErr w:type="spellStart"/>
      <w:r w:rsidRPr="003353BC">
        <w:rPr>
          <w:rFonts w:asciiTheme="minorHAnsi" w:hAnsiTheme="minorHAnsi"/>
          <w:sz w:val="18"/>
        </w:rPr>
        <w:t>Afinitor</w:t>
      </w:r>
      <w:proofErr w:type="spellEnd"/>
      <w:r w:rsidRPr="003353BC">
        <w:rPr>
          <w:rFonts w:asciiTheme="minorHAnsi" w:hAnsiTheme="minorHAnsi"/>
          <w:sz w:val="18"/>
        </w:rPr>
        <w:t xml:space="preserve"> starting dose in TSC with refractory seizures</w:t>
      </w:r>
    </w:p>
    <w:tbl>
      <w:tblPr>
        <w:tblW w:w="9299" w:type="dxa"/>
        <w:tblBorders>
          <w:top w:val="single" w:sz="4" w:space="0" w:color="auto"/>
          <w:bottom w:val="single" w:sz="4" w:space="0" w:color="auto"/>
        </w:tblBorders>
        <w:tblLayout w:type="fixed"/>
        <w:tblLook w:val="0000" w:firstRow="0" w:lastRow="0" w:firstColumn="0" w:lastColumn="0" w:noHBand="0" w:noVBand="0"/>
      </w:tblPr>
      <w:tblGrid>
        <w:gridCol w:w="3099"/>
        <w:gridCol w:w="3100"/>
        <w:gridCol w:w="3100"/>
      </w:tblGrid>
      <w:tr w:rsidR="00A950E4" w:rsidRPr="003353BC" w14:paraId="2D713E59" w14:textId="77777777" w:rsidTr="009E0E5F">
        <w:trPr>
          <w:tblHeader/>
        </w:trPr>
        <w:tc>
          <w:tcPr>
            <w:tcW w:w="3099" w:type="dxa"/>
            <w:tcBorders>
              <w:top w:val="single" w:sz="4" w:space="0" w:color="auto"/>
              <w:bottom w:val="single" w:sz="4" w:space="0" w:color="auto"/>
            </w:tcBorders>
            <w:shd w:val="clear" w:color="auto" w:fill="auto"/>
          </w:tcPr>
          <w:p w14:paraId="78B975C9" w14:textId="77777777" w:rsidR="00A950E4" w:rsidRPr="003353BC" w:rsidRDefault="00A950E4" w:rsidP="009E0E5F">
            <w:pPr>
              <w:pStyle w:val="Table"/>
              <w:spacing w:line="276" w:lineRule="auto"/>
              <w:rPr>
                <w:rFonts w:asciiTheme="minorHAnsi" w:hAnsiTheme="minorHAnsi"/>
                <w:sz w:val="16"/>
                <w:szCs w:val="18"/>
              </w:rPr>
            </w:pPr>
            <w:r w:rsidRPr="003353BC">
              <w:rPr>
                <w:rFonts w:asciiTheme="minorHAnsi" w:hAnsiTheme="minorHAnsi"/>
                <w:sz w:val="16"/>
                <w:szCs w:val="18"/>
              </w:rPr>
              <w:t>Age</w:t>
            </w:r>
          </w:p>
        </w:tc>
        <w:tc>
          <w:tcPr>
            <w:tcW w:w="3100" w:type="dxa"/>
            <w:tcBorders>
              <w:top w:val="single" w:sz="4" w:space="0" w:color="auto"/>
              <w:bottom w:val="single" w:sz="4" w:space="0" w:color="auto"/>
            </w:tcBorders>
            <w:shd w:val="clear" w:color="auto" w:fill="auto"/>
          </w:tcPr>
          <w:p w14:paraId="7DE88D30" w14:textId="77777777" w:rsidR="00A950E4" w:rsidRPr="003353BC" w:rsidRDefault="00A950E4" w:rsidP="009E0E5F">
            <w:pPr>
              <w:pStyle w:val="Table"/>
              <w:spacing w:line="276" w:lineRule="auto"/>
              <w:rPr>
                <w:rFonts w:asciiTheme="minorHAnsi" w:hAnsiTheme="minorHAnsi"/>
                <w:sz w:val="16"/>
                <w:szCs w:val="18"/>
              </w:rPr>
            </w:pPr>
            <w:r w:rsidRPr="003353BC">
              <w:rPr>
                <w:rFonts w:asciiTheme="minorHAnsi" w:hAnsiTheme="minorHAnsi"/>
                <w:sz w:val="16"/>
                <w:szCs w:val="18"/>
              </w:rPr>
              <w:t>Starting dose without co-administration of CYP3A4/</w:t>
            </w:r>
            <w:proofErr w:type="spellStart"/>
            <w:r w:rsidRPr="003353BC">
              <w:rPr>
                <w:rFonts w:asciiTheme="minorHAnsi" w:hAnsiTheme="minorHAnsi"/>
                <w:sz w:val="16"/>
                <w:szCs w:val="18"/>
              </w:rPr>
              <w:t>PgP</w:t>
            </w:r>
            <w:proofErr w:type="spellEnd"/>
            <w:r w:rsidRPr="003353BC">
              <w:rPr>
                <w:rFonts w:asciiTheme="minorHAnsi" w:hAnsiTheme="minorHAnsi"/>
                <w:sz w:val="16"/>
                <w:szCs w:val="18"/>
              </w:rPr>
              <w:t xml:space="preserve"> inducer</w:t>
            </w:r>
          </w:p>
        </w:tc>
        <w:tc>
          <w:tcPr>
            <w:tcW w:w="3100" w:type="dxa"/>
            <w:tcBorders>
              <w:top w:val="single" w:sz="4" w:space="0" w:color="auto"/>
              <w:bottom w:val="single" w:sz="4" w:space="0" w:color="auto"/>
            </w:tcBorders>
            <w:shd w:val="clear" w:color="auto" w:fill="auto"/>
          </w:tcPr>
          <w:p w14:paraId="5D7D5D4D" w14:textId="77777777" w:rsidR="00A950E4" w:rsidRPr="003353BC" w:rsidRDefault="00A950E4" w:rsidP="009E0E5F">
            <w:pPr>
              <w:pStyle w:val="Table"/>
              <w:spacing w:line="276" w:lineRule="auto"/>
              <w:rPr>
                <w:rFonts w:asciiTheme="minorHAnsi" w:hAnsiTheme="minorHAnsi"/>
                <w:sz w:val="16"/>
                <w:szCs w:val="18"/>
              </w:rPr>
            </w:pPr>
            <w:r w:rsidRPr="003353BC">
              <w:rPr>
                <w:rFonts w:asciiTheme="minorHAnsi" w:hAnsiTheme="minorHAnsi"/>
                <w:sz w:val="16"/>
                <w:szCs w:val="18"/>
              </w:rPr>
              <w:t>Starting dose with co-administration of CYP3A4/</w:t>
            </w:r>
            <w:proofErr w:type="spellStart"/>
            <w:r w:rsidRPr="003353BC">
              <w:rPr>
                <w:rFonts w:asciiTheme="minorHAnsi" w:hAnsiTheme="minorHAnsi"/>
                <w:sz w:val="16"/>
                <w:szCs w:val="18"/>
              </w:rPr>
              <w:t>PgP</w:t>
            </w:r>
            <w:proofErr w:type="spellEnd"/>
            <w:r w:rsidRPr="003353BC">
              <w:rPr>
                <w:rFonts w:asciiTheme="minorHAnsi" w:hAnsiTheme="minorHAnsi"/>
                <w:sz w:val="16"/>
                <w:szCs w:val="18"/>
              </w:rPr>
              <w:t xml:space="preserve"> inducer</w:t>
            </w:r>
          </w:p>
        </w:tc>
      </w:tr>
      <w:tr w:rsidR="00A950E4" w:rsidRPr="003353BC" w14:paraId="53C950BA" w14:textId="77777777" w:rsidTr="009E0E5F">
        <w:tc>
          <w:tcPr>
            <w:tcW w:w="3099" w:type="dxa"/>
            <w:tcBorders>
              <w:top w:val="single" w:sz="4" w:space="0" w:color="auto"/>
            </w:tcBorders>
            <w:shd w:val="clear" w:color="auto" w:fill="auto"/>
          </w:tcPr>
          <w:p w14:paraId="6C719AF8" w14:textId="77777777" w:rsidR="00A950E4" w:rsidRPr="003353BC" w:rsidRDefault="00A950E4" w:rsidP="009E0E5F">
            <w:pPr>
              <w:pStyle w:val="Table"/>
              <w:spacing w:line="276" w:lineRule="auto"/>
              <w:rPr>
                <w:rFonts w:asciiTheme="minorHAnsi" w:hAnsiTheme="minorHAnsi"/>
                <w:sz w:val="16"/>
                <w:szCs w:val="18"/>
              </w:rPr>
            </w:pPr>
            <w:r w:rsidRPr="003353BC">
              <w:rPr>
                <w:rFonts w:asciiTheme="minorHAnsi" w:hAnsiTheme="minorHAnsi"/>
                <w:sz w:val="16"/>
                <w:szCs w:val="18"/>
              </w:rPr>
              <w:t>&lt;6 years</w:t>
            </w:r>
          </w:p>
        </w:tc>
        <w:tc>
          <w:tcPr>
            <w:tcW w:w="3100" w:type="dxa"/>
            <w:tcBorders>
              <w:top w:val="single" w:sz="4" w:space="0" w:color="auto"/>
            </w:tcBorders>
            <w:shd w:val="clear" w:color="auto" w:fill="auto"/>
          </w:tcPr>
          <w:p w14:paraId="5D53169A" w14:textId="77777777" w:rsidR="00A950E4" w:rsidRPr="003353BC" w:rsidRDefault="00A950E4" w:rsidP="009E0E5F">
            <w:pPr>
              <w:pStyle w:val="Table"/>
              <w:spacing w:line="276" w:lineRule="auto"/>
              <w:rPr>
                <w:rFonts w:asciiTheme="minorHAnsi" w:hAnsiTheme="minorHAnsi"/>
                <w:sz w:val="16"/>
                <w:szCs w:val="18"/>
              </w:rPr>
            </w:pPr>
            <w:r w:rsidRPr="003353BC">
              <w:rPr>
                <w:rFonts w:asciiTheme="minorHAnsi" w:hAnsiTheme="minorHAnsi"/>
                <w:sz w:val="16"/>
                <w:szCs w:val="18"/>
              </w:rPr>
              <w:t>6 mg/m</w:t>
            </w:r>
            <w:r w:rsidRPr="003353BC">
              <w:rPr>
                <w:rFonts w:asciiTheme="minorHAnsi" w:hAnsiTheme="minorHAnsi"/>
                <w:sz w:val="16"/>
                <w:szCs w:val="18"/>
                <w:vertAlign w:val="superscript"/>
              </w:rPr>
              <w:t>2</w:t>
            </w:r>
          </w:p>
        </w:tc>
        <w:tc>
          <w:tcPr>
            <w:tcW w:w="3100" w:type="dxa"/>
            <w:tcBorders>
              <w:top w:val="single" w:sz="4" w:space="0" w:color="auto"/>
            </w:tcBorders>
            <w:shd w:val="clear" w:color="auto" w:fill="auto"/>
          </w:tcPr>
          <w:p w14:paraId="5796EB2F" w14:textId="77777777" w:rsidR="00A950E4" w:rsidRPr="003353BC" w:rsidRDefault="00A950E4" w:rsidP="009E0E5F">
            <w:pPr>
              <w:pStyle w:val="Table"/>
              <w:spacing w:line="276" w:lineRule="auto"/>
              <w:rPr>
                <w:rFonts w:asciiTheme="minorHAnsi" w:hAnsiTheme="minorHAnsi"/>
                <w:sz w:val="16"/>
                <w:szCs w:val="18"/>
              </w:rPr>
            </w:pPr>
            <w:r w:rsidRPr="003353BC">
              <w:rPr>
                <w:rFonts w:asciiTheme="minorHAnsi" w:hAnsiTheme="minorHAnsi"/>
                <w:sz w:val="16"/>
                <w:szCs w:val="18"/>
              </w:rPr>
              <w:t>9 mg/m</w:t>
            </w:r>
            <w:r w:rsidRPr="003353BC">
              <w:rPr>
                <w:rFonts w:asciiTheme="minorHAnsi" w:hAnsiTheme="minorHAnsi"/>
                <w:sz w:val="16"/>
                <w:szCs w:val="18"/>
                <w:vertAlign w:val="superscript"/>
              </w:rPr>
              <w:t>2</w:t>
            </w:r>
          </w:p>
        </w:tc>
      </w:tr>
      <w:tr w:rsidR="00A950E4" w:rsidRPr="003353BC" w14:paraId="51A7C2D6" w14:textId="77777777" w:rsidTr="009E0E5F">
        <w:tc>
          <w:tcPr>
            <w:tcW w:w="3099" w:type="dxa"/>
            <w:shd w:val="clear" w:color="auto" w:fill="auto"/>
          </w:tcPr>
          <w:p w14:paraId="6D2AC390" w14:textId="77777777" w:rsidR="00A950E4" w:rsidRPr="003353BC" w:rsidRDefault="00A950E4" w:rsidP="009E0E5F">
            <w:pPr>
              <w:pStyle w:val="Table"/>
              <w:spacing w:line="276" w:lineRule="auto"/>
              <w:rPr>
                <w:rFonts w:asciiTheme="minorHAnsi" w:hAnsiTheme="minorHAnsi"/>
                <w:sz w:val="16"/>
                <w:szCs w:val="18"/>
              </w:rPr>
            </w:pPr>
            <w:r w:rsidRPr="003353BC">
              <w:rPr>
                <w:rFonts w:asciiTheme="minorHAnsi" w:hAnsiTheme="minorHAnsi"/>
                <w:sz w:val="16"/>
                <w:szCs w:val="18"/>
              </w:rPr>
              <w:t>≥6 years</w:t>
            </w:r>
          </w:p>
        </w:tc>
        <w:tc>
          <w:tcPr>
            <w:tcW w:w="3100" w:type="dxa"/>
            <w:shd w:val="clear" w:color="auto" w:fill="auto"/>
          </w:tcPr>
          <w:p w14:paraId="1C9D5CE8" w14:textId="77777777" w:rsidR="00A950E4" w:rsidRPr="003353BC" w:rsidRDefault="00A950E4" w:rsidP="009E0E5F">
            <w:pPr>
              <w:pStyle w:val="Table"/>
              <w:spacing w:line="276" w:lineRule="auto"/>
              <w:rPr>
                <w:rFonts w:asciiTheme="minorHAnsi" w:hAnsiTheme="minorHAnsi"/>
                <w:sz w:val="16"/>
                <w:szCs w:val="18"/>
              </w:rPr>
            </w:pPr>
            <w:r w:rsidRPr="003353BC">
              <w:rPr>
                <w:rFonts w:asciiTheme="minorHAnsi" w:hAnsiTheme="minorHAnsi"/>
                <w:sz w:val="16"/>
                <w:szCs w:val="18"/>
              </w:rPr>
              <w:t>5 mg/m</w:t>
            </w:r>
            <w:r w:rsidRPr="003353BC">
              <w:rPr>
                <w:rFonts w:asciiTheme="minorHAnsi" w:hAnsiTheme="minorHAnsi"/>
                <w:sz w:val="16"/>
                <w:szCs w:val="18"/>
                <w:vertAlign w:val="superscript"/>
              </w:rPr>
              <w:t>2</w:t>
            </w:r>
          </w:p>
        </w:tc>
        <w:tc>
          <w:tcPr>
            <w:tcW w:w="3100" w:type="dxa"/>
            <w:shd w:val="clear" w:color="auto" w:fill="auto"/>
          </w:tcPr>
          <w:p w14:paraId="5C01F1D8" w14:textId="77777777" w:rsidR="00A950E4" w:rsidRPr="003353BC" w:rsidRDefault="00A950E4" w:rsidP="009E0E5F">
            <w:pPr>
              <w:pStyle w:val="Table"/>
              <w:spacing w:line="276" w:lineRule="auto"/>
              <w:rPr>
                <w:rFonts w:asciiTheme="minorHAnsi" w:hAnsiTheme="minorHAnsi"/>
                <w:sz w:val="16"/>
                <w:szCs w:val="18"/>
              </w:rPr>
            </w:pPr>
            <w:r w:rsidRPr="003353BC">
              <w:rPr>
                <w:rFonts w:asciiTheme="minorHAnsi" w:hAnsiTheme="minorHAnsi"/>
                <w:sz w:val="16"/>
                <w:szCs w:val="18"/>
              </w:rPr>
              <w:t>8 mg/m</w:t>
            </w:r>
            <w:r w:rsidRPr="003353BC">
              <w:rPr>
                <w:rFonts w:asciiTheme="minorHAnsi" w:hAnsiTheme="minorHAnsi"/>
                <w:sz w:val="16"/>
                <w:szCs w:val="18"/>
                <w:vertAlign w:val="superscript"/>
              </w:rPr>
              <w:t>2</w:t>
            </w:r>
          </w:p>
        </w:tc>
      </w:tr>
    </w:tbl>
    <w:p w14:paraId="59172482" w14:textId="77777777" w:rsidR="00A950E4" w:rsidRPr="003353BC" w:rsidRDefault="00A950E4" w:rsidP="002F78A4">
      <w:pPr>
        <w:pStyle w:val="Text"/>
        <w:keepNext/>
        <w:keepLines/>
        <w:spacing w:line="276" w:lineRule="auto"/>
        <w:rPr>
          <w:rFonts w:asciiTheme="minorHAnsi" w:hAnsiTheme="minorHAnsi"/>
          <w:sz w:val="22"/>
        </w:rPr>
      </w:pPr>
      <w:r w:rsidRPr="003353BC">
        <w:rPr>
          <w:rFonts w:asciiTheme="minorHAnsi" w:hAnsiTheme="minorHAnsi"/>
          <w:b/>
          <w:sz w:val="22"/>
          <w:u w:val="single"/>
        </w:rPr>
        <w:lastRenderedPageBreak/>
        <w:t>Dose Monitoring</w:t>
      </w:r>
    </w:p>
    <w:p w14:paraId="67E07773" w14:textId="5E9768F4" w:rsidR="00A950E4" w:rsidRPr="003353BC" w:rsidRDefault="00A950E4" w:rsidP="002F78A4">
      <w:pPr>
        <w:keepNext/>
        <w:keepLines/>
        <w:rPr>
          <w:szCs w:val="24"/>
          <w:lang w:val="en-GB"/>
        </w:rPr>
      </w:pPr>
      <w:r w:rsidRPr="003353BC">
        <w:rPr>
          <w:szCs w:val="24"/>
        </w:rPr>
        <w:t xml:space="preserve">Therapeutic drug monitoring of </w:t>
      </w:r>
      <w:proofErr w:type="spellStart"/>
      <w:r w:rsidRPr="003353BC">
        <w:rPr>
          <w:szCs w:val="24"/>
        </w:rPr>
        <w:t>everolimus</w:t>
      </w:r>
      <w:proofErr w:type="spellEnd"/>
      <w:r w:rsidRPr="003353BC">
        <w:rPr>
          <w:szCs w:val="24"/>
        </w:rPr>
        <w:t xml:space="preserve"> blood concentrations is required for patients with TSC who have SEGA or patients with TSC and seizures (see </w:t>
      </w:r>
      <w:r w:rsidR="00DA1218">
        <w:rPr>
          <w:szCs w:val="24"/>
        </w:rPr>
        <w:t xml:space="preserve">section 4.2 </w:t>
      </w:r>
      <w:r w:rsidR="00830F70">
        <w:rPr>
          <w:szCs w:val="24"/>
        </w:rPr>
        <w:t>‘</w:t>
      </w:r>
      <w:r w:rsidR="00DA1218">
        <w:rPr>
          <w:szCs w:val="24"/>
        </w:rPr>
        <w:t xml:space="preserve">Dose and method of administration - </w:t>
      </w:r>
      <w:r w:rsidRPr="003353BC">
        <w:rPr>
          <w:szCs w:val="24"/>
        </w:rPr>
        <w:t>Therapeutic drug monitoring</w:t>
      </w:r>
      <w:r w:rsidR="00830F70">
        <w:rPr>
          <w:szCs w:val="24"/>
        </w:rPr>
        <w:t>’</w:t>
      </w:r>
      <w:r w:rsidRPr="003353BC">
        <w:rPr>
          <w:szCs w:val="24"/>
        </w:rPr>
        <w:t xml:space="preserve">). </w:t>
      </w:r>
      <w:proofErr w:type="spellStart"/>
      <w:r w:rsidRPr="003353BC">
        <w:rPr>
          <w:szCs w:val="24"/>
        </w:rPr>
        <w:t>Everolimus</w:t>
      </w:r>
      <w:proofErr w:type="spellEnd"/>
      <w:r w:rsidRPr="003353BC">
        <w:rPr>
          <w:szCs w:val="24"/>
        </w:rPr>
        <w:t xml:space="preserve"> whole blood trough concentrations should be assessed approximately 1 to 2 weeks after commencing treatment or any change in dose. </w:t>
      </w:r>
    </w:p>
    <w:p w14:paraId="0017033C" w14:textId="77777777" w:rsidR="00A950E4" w:rsidRPr="003353BC" w:rsidRDefault="00A950E4" w:rsidP="00A950E4">
      <w:pPr>
        <w:spacing w:after="120"/>
        <w:rPr>
          <w:b/>
          <w:u w:val="single"/>
          <w:lang w:val="en-GB"/>
        </w:rPr>
      </w:pPr>
      <w:r w:rsidRPr="003353BC">
        <w:rPr>
          <w:b/>
          <w:u w:val="single"/>
          <w:lang w:val="en-GB"/>
        </w:rPr>
        <w:t>Titration</w:t>
      </w:r>
    </w:p>
    <w:p w14:paraId="0DE3B7DE" w14:textId="77777777" w:rsidR="00A950E4" w:rsidRPr="003353BC" w:rsidRDefault="00A950E4" w:rsidP="00A950E4">
      <w:pPr>
        <w:pStyle w:val="Text"/>
        <w:spacing w:line="276" w:lineRule="auto"/>
        <w:rPr>
          <w:rFonts w:asciiTheme="minorHAnsi" w:hAnsiTheme="minorHAnsi"/>
          <w:sz w:val="22"/>
          <w:szCs w:val="24"/>
        </w:rPr>
      </w:pPr>
      <w:r w:rsidRPr="003353BC">
        <w:rPr>
          <w:rFonts w:asciiTheme="minorHAnsi" w:hAnsiTheme="minorHAnsi"/>
          <w:sz w:val="22"/>
          <w:szCs w:val="24"/>
        </w:rPr>
        <w:t xml:space="preserve">Individualized dosing should be titrated by increasing the dose by increments of 1 to 4 mg to attain the target trough concentration for optimal clinical response. Efficacy, safety, concomitant medication, and the current trough concentration should be considered when planning for dose titration. Individualized dose titration can be based on simple proportion: </w:t>
      </w:r>
    </w:p>
    <w:p w14:paraId="7411736C" w14:textId="77777777" w:rsidR="00A950E4" w:rsidRPr="003353BC" w:rsidRDefault="00A950E4" w:rsidP="00A950E4">
      <w:pPr>
        <w:pStyle w:val="Text"/>
        <w:spacing w:line="276" w:lineRule="auto"/>
        <w:rPr>
          <w:rFonts w:asciiTheme="minorHAnsi" w:hAnsiTheme="minorHAnsi"/>
          <w:sz w:val="22"/>
          <w:szCs w:val="24"/>
        </w:rPr>
      </w:pPr>
      <w:r w:rsidRPr="003353BC">
        <w:rPr>
          <w:rFonts w:asciiTheme="minorHAnsi" w:hAnsiTheme="minorHAnsi"/>
          <w:sz w:val="22"/>
          <w:szCs w:val="24"/>
        </w:rPr>
        <w:t xml:space="preserve">New </w:t>
      </w:r>
      <w:proofErr w:type="spellStart"/>
      <w:r w:rsidRPr="003353BC">
        <w:rPr>
          <w:rFonts w:asciiTheme="minorHAnsi" w:hAnsiTheme="minorHAnsi"/>
          <w:sz w:val="22"/>
          <w:szCs w:val="24"/>
        </w:rPr>
        <w:t>everolimus</w:t>
      </w:r>
      <w:proofErr w:type="spellEnd"/>
      <w:r w:rsidRPr="003353BC">
        <w:rPr>
          <w:rFonts w:asciiTheme="minorHAnsi" w:hAnsiTheme="minorHAnsi"/>
          <w:sz w:val="22"/>
          <w:szCs w:val="24"/>
        </w:rPr>
        <w:t xml:space="preserve"> dose = current dose x (target concentration/current concentration)</w:t>
      </w:r>
    </w:p>
    <w:p w14:paraId="5C85F16F" w14:textId="77777777" w:rsidR="00A950E4" w:rsidRPr="003353BC" w:rsidRDefault="00A950E4" w:rsidP="00A950E4">
      <w:pPr>
        <w:pStyle w:val="Text"/>
        <w:spacing w:line="276" w:lineRule="auto"/>
        <w:rPr>
          <w:rFonts w:asciiTheme="minorHAnsi" w:hAnsiTheme="minorHAnsi"/>
          <w:sz w:val="22"/>
          <w:szCs w:val="24"/>
        </w:rPr>
      </w:pPr>
    </w:p>
    <w:p w14:paraId="198C190D" w14:textId="77777777" w:rsidR="00A950E4" w:rsidRDefault="00A950E4" w:rsidP="00A950E4">
      <w:pPr>
        <w:spacing w:after="120"/>
        <w:rPr>
          <w:szCs w:val="24"/>
        </w:rPr>
      </w:pPr>
      <w:r w:rsidRPr="003353BC">
        <w:rPr>
          <w:szCs w:val="24"/>
        </w:rPr>
        <w:t>For example, a patient’s current dose based on BSA is 4 mg with a steady state concentration of 4 ng/</w:t>
      </w:r>
      <w:proofErr w:type="spellStart"/>
      <w:r w:rsidRPr="003353BC">
        <w:rPr>
          <w:szCs w:val="24"/>
        </w:rPr>
        <w:t>mL.</w:t>
      </w:r>
      <w:proofErr w:type="spellEnd"/>
      <w:r w:rsidRPr="003353BC">
        <w:rPr>
          <w:szCs w:val="24"/>
        </w:rPr>
        <w:t xml:space="preserve"> In order to achieve a target concentration above the lower </w:t>
      </w:r>
      <w:proofErr w:type="spellStart"/>
      <w:r w:rsidRPr="003353BC">
        <w:rPr>
          <w:szCs w:val="24"/>
        </w:rPr>
        <w:t>Cmin</w:t>
      </w:r>
      <w:proofErr w:type="spellEnd"/>
      <w:r w:rsidRPr="003353BC">
        <w:rPr>
          <w:szCs w:val="24"/>
        </w:rPr>
        <w:t xml:space="preserve"> limit of 5 ng/mL, e.g. 8 ng/mL, the new </w:t>
      </w:r>
      <w:proofErr w:type="spellStart"/>
      <w:r w:rsidRPr="003353BC">
        <w:rPr>
          <w:szCs w:val="24"/>
        </w:rPr>
        <w:t>everolimus</w:t>
      </w:r>
      <w:proofErr w:type="spellEnd"/>
      <w:r w:rsidRPr="003353BC">
        <w:rPr>
          <w:szCs w:val="24"/>
        </w:rPr>
        <w:t xml:space="preserve"> dose would be 8 mg (an increase of 4 mg to the current daily dose). The trough concentration should then be assessed 1 to 2 weeks after this change in dose.</w:t>
      </w:r>
    </w:p>
    <w:p w14:paraId="2EA9C684" w14:textId="77777777" w:rsidR="00A950E4" w:rsidRPr="003353BC" w:rsidRDefault="00A950E4" w:rsidP="00A950E4">
      <w:pPr>
        <w:spacing w:after="120"/>
        <w:rPr>
          <w:b/>
          <w:szCs w:val="24"/>
          <w:u w:val="single"/>
        </w:rPr>
      </w:pPr>
      <w:r w:rsidRPr="003353BC">
        <w:rPr>
          <w:b/>
          <w:szCs w:val="24"/>
          <w:u w:val="single"/>
        </w:rPr>
        <w:t>Long-term dose monitoring</w:t>
      </w:r>
    </w:p>
    <w:p w14:paraId="423171AC" w14:textId="4B982E16" w:rsidR="00A950E4" w:rsidRPr="003353BC" w:rsidRDefault="00A950E4" w:rsidP="00A950E4">
      <w:pPr>
        <w:pStyle w:val="Text"/>
        <w:spacing w:line="276" w:lineRule="auto"/>
        <w:rPr>
          <w:rFonts w:asciiTheme="minorHAnsi" w:hAnsiTheme="minorHAnsi"/>
          <w:sz w:val="22"/>
        </w:rPr>
      </w:pPr>
      <w:r w:rsidRPr="003353BC">
        <w:rPr>
          <w:rFonts w:asciiTheme="minorHAnsi" w:hAnsiTheme="minorHAnsi"/>
          <w:sz w:val="22"/>
        </w:rPr>
        <w:t xml:space="preserve">For patients with TSC who have SEGA, evaluate SEGA volume approximately 3 months after commencing </w:t>
      </w:r>
      <w:proofErr w:type="spellStart"/>
      <w:r w:rsidRPr="003353BC">
        <w:rPr>
          <w:rFonts w:asciiTheme="minorHAnsi" w:hAnsiTheme="minorHAnsi"/>
          <w:sz w:val="22"/>
        </w:rPr>
        <w:t>Afinitor</w:t>
      </w:r>
      <w:proofErr w:type="spellEnd"/>
      <w:r w:rsidRPr="003353BC">
        <w:rPr>
          <w:rFonts w:asciiTheme="minorHAnsi" w:hAnsiTheme="minorHAnsi"/>
          <w:sz w:val="22"/>
        </w:rPr>
        <w:t xml:space="preserve"> therapy, with subsequent dose adjustments taking into consideration changes in SEGA volume, corresponding trough concentration, and tolerability (see</w:t>
      </w:r>
      <w:r>
        <w:rPr>
          <w:rFonts w:asciiTheme="minorHAnsi" w:hAnsiTheme="minorHAnsi"/>
          <w:sz w:val="22"/>
        </w:rPr>
        <w:t xml:space="preserve"> section 5</w:t>
      </w:r>
      <w:r w:rsidRPr="003353BC">
        <w:rPr>
          <w:rFonts w:asciiTheme="minorHAnsi" w:hAnsiTheme="minorHAnsi"/>
          <w:sz w:val="22"/>
        </w:rPr>
        <w:t xml:space="preserve"> </w:t>
      </w:r>
      <w:r>
        <w:rPr>
          <w:rFonts w:asciiTheme="minorHAnsi" w:hAnsiTheme="minorHAnsi"/>
          <w:sz w:val="22"/>
        </w:rPr>
        <w:t>‘</w:t>
      </w:r>
      <w:r w:rsidRPr="003353BC">
        <w:rPr>
          <w:rFonts w:asciiTheme="minorHAnsi" w:hAnsiTheme="minorHAnsi"/>
          <w:sz w:val="22"/>
        </w:rPr>
        <w:t>Pharmaco</w:t>
      </w:r>
      <w:r>
        <w:rPr>
          <w:rFonts w:asciiTheme="minorHAnsi" w:hAnsiTheme="minorHAnsi"/>
          <w:sz w:val="22"/>
        </w:rPr>
        <w:t>logical properties’</w:t>
      </w:r>
      <w:r w:rsidRPr="003353BC">
        <w:rPr>
          <w:rFonts w:asciiTheme="minorHAnsi" w:hAnsiTheme="minorHAnsi"/>
          <w:sz w:val="22"/>
        </w:rPr>
        <w:t>).</w:t>
      </w:r>
    </w:p>
    <w:p w14:paraId="7DE2A467" w14:textId="77777777" w:rsidR="00A950E4" w:rsidRPr="003353BC" w:rsidRDefault="00A950E4" w:rsidP="00A950E4">
      <w:pPr>
        <w:pStyle w:val="Text"/>
        <w:spacing w:line="276" w:lineRule="auto"/>
        <w:rPr>
          <w:rFonts w:asciiTheme="minorHAnsi" w:hAnsiTheme="minorHAnsi"/>
          <w:sz w:val="22"/>
        </w:rPr>
      </w:pPr>
      <w:r w:rsidRPr="003353BC">
        <w:rPr>
          <w:rFonts w:asciiTheme="minorHAnsi" w:hAnsiTheme="minorHAnsi"/>
          <w:sz w:val="22"/>
        </w:rPr>
        <w:t>For patients with TSC who have SEGA and patients with TSC and seizures, once a stable desired dose is attained, monitor trough concentrations every 3 to 6 months in patients with changing body surface area or every 6 to 12 months in patients with stable body surface area for the duration of treatment.</w:t>
      </w:r>
    </w:p>
    <w:p w14:paraId="7ACA0A36" w14:textId="77777777" w:rsidR="00A950E4" w:rsidRPr="003353BC" w:rsidRDefault="00A950E4" w:rsidP="00A950E4">
      <w:pPr>
        <w:spacing w:after="120"/>
        <w:rPr>
          <w:lang w:val="en-GB"/>
        </w:rPr>
      </w:pPr>
    </w:p>
    <w:p w14:paraId="33F6B121" w14:textId="77777777" w:rsidR="00A950E4" w:rsidRPr="003353BC" w:rsidRDefault="00A950E4" w:rsidP="00A950E4">
      <w:pPr>
        <w:spacing w:after="120"/>
        <w:rPr>
          <w:b/>
          <w:lang w:val="en-GB"/>
        </w:rPr>
      </w:pPr>
      <w:r w:rsidRPr="003353BC">
        <w:rPr>
          <w:b/>
          <w:lang w:val="en-GB"/>
        </w:rPr>
        <w:t>Dose Modifications due to adverse drug reactions:</w:t>
      </w:r>
    </w:p>
    <w:p w14:paraId="19F60E0A" w14:textId="282CE86C" w:rsidR="00A950E4" w:rsidRPr="003353BC" w:rsidRDefault="00A950E4" w:rsidP="00A950E4">
      <w:pPr>
        <w:spacing w:after="120"/>
        <w:rPr>
          <w:lang w:val="en-GB"/>
        </w:rPr>
      </w:pPr>
      <w:r w:rsidRPr="003353BC">
        <w:rPr>
          <w:lang w:val="en-GB"/>
        </w:rPr>
        <w:t xml:space="preserve">Management of severe or intolerable adverse drug reactions (ADRs) may require temporary dose interruption (with or without dose reduction) or discontinuation of </w:t>
      </w:r>
      <w:proofErr w:type="spellStart"/>
      <w:r w:rsidRPr="003353BC">
        <w:rPr>
          <w:lang w:val="en-GB"/>
        </w:rPr>
        <w:t>Afinitor</w:t>
      </w:r>
      <w:proofErr w:type="spellEnd"/>
      <w:r w:rsidRPr="003353BC">
        <w:rPr>
          <w:lang w:val="en-GB"/>
        </w:rPr>
        <w:t xml:space="preserve"> therapy (see </w:t>
      </w:r>
      <w:r>
        <w:rPr>
          <w:lang w:val="en-GB"/>
        </w:rPr>
        <w:t>section 4.4 ‘Special warnings and precautions for use’).</w:t>
      </w:r>
      <w:r w:rsidRPr="003353BC">
        <w:rPr>
          <w:lang w:val="en-GB"/>
        </w:rPr>
        <w:t xml:space="preserve"> If dose reduction is required,</w:t>
      </w:r>
      <w:r w:rsidRPr="003353BC">
        <w:rPr>
          <w:szCs w:val="24"/>
          <w:lang w:val="en-GB"/>
        </w:rPr>
        <w:t xml:space="preserve"> </w:t>
      </w:r>
      <w:r w:rsidRPr="003353BC">
        <w:rPr>
          <w:szCs w:val="24"/>
        </w:rPr>
        <w:t>the suggested dose is approximately 50% lower than the daily dose previously administered. For dose reductions below the lowest available tablet strength, alternate day dosing should be considered.</w:t>
      </w:r>
    </w:p>
    <w:p w14:paraId="0F856150" w14:textId="399A792E" w:rsidR="00A950E4" w:rsidRPr="003353BC" w:rsidRDefault="00A950E4" w:rsidP="00A950E4">
      <w:pPr>
        <w:spacing w:after="120"/>
        <w:rPr>
          <w:szCs w:val="24"/>
          <w:lang w:val="en-GB"/>
        </w:rPr>
      </w:pPr>
      <w:r w:rsidRPr="003353BC">
        <w:rPr>
          <w:szCs w:val="24"/>
          <w:lang w:val="en-GB"/>
        </w:rPr>
        <w:fldChar w:fldCharType="begin"/>
      </w:r>
      <w:r w:rsidRPr="003353BC">
        <w:rPr>
          <w:szCs w:val="24"/>
          <w:lang w:val="en-GB"/>
        </w:rPr>
        <w:instrText xml:space="preserve"> REF _Ref491097564 \h  \* MERGEFORMAT </w:instrText>
      </w:r>
      <w:r w:rsidRPr="003353BC">
        <w:rPr>
          <w:szCs w:val="24"/>
          <w:lang w:val="en-GB"/>
        </w:rPr>
      </w:r>
      <w:r w:rsidRPr="003353BC">
        <w:rPr>
          <w:szCs w:val="24"/>
          <w:lang w:val="en-GB"/>
        </w:rPr>
        <w:fldChar w:fldCharType="separate"/>
      </w:r>
      <w:r w:rsidR="00D64407" w:rsidRPr="00D64407">
        <w:rPr>
          <w:szCs w:val="24"/>
          <w:lang w:val="en-GB"/>
        </w:rPr>
        <w:t>Table 2</w:t>
      </w:r>
      <w:r w:rsidRPr="003353BC">
        <w:rPr>
          <w:szCs w:val="24"/>
          <w:lang w:val="en-GB"/>
        </w:rPr>
        <w:fldChar w:fldCharType="end"/>
      </w:r>
      <w:r w:rsidRPr="003353BC">
        <w:rPr>
          <w:szCs w:val="24"/>
          <w:lang w:val="en-GB"/>
        </w:rPr>
        <w:t xml:space="preserve"> summarizes recommendations for dose interruption, reduction, or discontinuation of </w:t>
      </w:r>
      <w:proofErr w:type="spellStart"/>
      <w:r w:rsidRPr="003353BC">
        <w:rPr>
          <w:szCs w:val="24"/>
          <w:lang w:val="en-GB"/>
        </w:rPr>
        <w:t>Afinitor</w:t>
      </w:r>
      <w:proofErr w:type="spellEnd"/>
      <w:r w:rsidRPr="003353BC">
        <w:rPr>
          <w:szCs w:val="24"/>
          <w:lang w:val="en-GB"/>
        </w:rPr>
        <w:t xml:space="preserve"> in the management of ADRs. General management recommendations are also provided as applicable. Clinical judgment of the treating physician should guide the management plan of each patient based on individual benefit/risk assessment.</w:t>
      </w:r>
    </w:p>
    <w:p w14:paraId="0042BAA5" w14:textId="422267C1" w:rsidR="00A950E4" w:rsidRPr="001E0751" w:rsidRDefault="00A950E4" w:rsidP="002F78A4">
      <w:pPr>
        <w:pStyle w:val="Caption"/>
        <w:keepNext/>
        <w:keepLines/>
      </w:pPr>
      <w:bookmarkStart w:id="2" w:name="_Ref491097564"/>
      <w:r w:rsidRPr="001E0751">
        <w:rPr>
          <w:rFonts w:asciiTheme="minorHAnsi" w:hAnsiTheme="minorHAnsi"/>
        </w:rPr>
        <w:t xml:space="preserve">Table </w:t>
      </w:r>
      <w:r w:rsidRPr="001E0751">
        <w:rPr>
          <w:rFonts w:asciiTheme="minorHAnsi" w:hAnsiTheme="minorHAnsi"/>
        </w:rPr>
        <w:fldChar w:fldCharType="begin"/>
      </w:r>
      <w:r w:rsidRPr="001E0751">
        <w:rPr>
          <w:rFonts w:asciiTheme="minorHAnsi" w:hAnsiTheme="minorHAnsi"/>
        </w:rPr>
        <w:instrText xml:space="preserve"> SEQ Table \* ARABIC </w:instrText>
      </w:r>
      <w:r w:rsidRPr="001E0751">
        <w:rPr>
          <w:rFonts w:asciiTheme="minorHAnsi" w:hAnsiTheme="minorHAnsi"/>
        </w:rPr>
        <w:fldChar w:fldCharType="separate"/>
      </w:r>
      <w:r w:rsidR="00D64407">
        <w:rPr>
          <w:rFonts w:asciiTheme="minorHAnsi" w:hAnsiTheme="minorHAnsi"/>
          <w:noProof/>
        </w:rPr>
        <w:t>2</w:t>
      </w:r>
      <w:r w:rsidRPr="001E0751">
        <w:rPr>
          <w:rFonts w:asciiTheme="minorHAnsi" w:hAnsiTheme="minorHAnsi"/>
        </w:rPr>
        <w:fldChar w:fldCharType="end"/>
      </w:r>
      <w:bookmarkEnd w:id="2"/>
      <w:r w:rsidRPr="001E0751">
        <w:rPr>
          <w:rFonts w:asciiTheme="minorHAnsi" w:hAnsiTheme="minorHAnsi"/>
        </w:rPr>
        <w:t xml:space="preserve"> </w:t>
      </w:r>
      <w:r w:rsidRPr="001E0751">
        <w:rPr>
          <w:rFonts w:asciiTheme="minorHAnsi" w:hAnsiTheme="minorHAnsi"/>
        </w:rPr>
        <w:tab/>
      </w:r>
      <w:proofErr w:type="spellStart"/>
      <w:r w:rsidRPr="001E0751">
        <w:rPr>
          <w:rFonts w:asciiTheme="minorHAnsi" w:hAnsiTheme="minorHAnsi"/>
        </w:rPr>
        <w:t>Afinitor</w:t>
      </w:r>
      <w:proofErr w:type="spellEnd"/>
      <w:r w:rsidRPr="001E0751">
        <w:rPr>
          <w:rFonts w:asciiTheme="minorHAnsi" w:hAnsiTheme="minorHAnsi"/>
        </w:rPr>
        <w:t xml:space="preserve"> dose adjustment and management recommendations for adverse drug reactions</w:t>
      </w:r>
    </w:p>
    <w:tbl>
      <w:tblPr>
        <w:tblW w:w="8927" w:type="dxa"/>
        <w:tblBorders>
          <w:top w:val="single" w:sz="4" w:space="0" w:color="auto"/>
          <w:bottom w:val="single" w:sz="4" w:space="0" w:color="auto"/>
        </w:tblBorders>
        <w:tblLayout w:type="fixed"/>
        <w:tblLook w:val="0000" w:firstRow="0" w:lastRow="0" w:firstColumn="0" w:lastColumn="0" w:noHBand="0" w:noVBand="0"/>
      </w:tblPr>
      <w:tblGrid>
        <w:gridCol w:w="1773"/>
        <w:gridCol w:w="1659"/>
        <w:gridCol w:w="5495"/>
      </w:tblGrid>
      <w:tr w:rsidR="00A950E4" w:rsidRPr="001E0751" w14:paraId="025DE60A" w14:textId="77777777" w:rsidTr="009E0E5F">
        <w:trPr>
          <w:tblHeader/>
        </w:trPr>
        <w:tc>
          <w:tcPr>
            <w:tcW w:w="1773" w:type="dxa"/>
            <w:tcBorders>
              <w:top w:val="single" w:sz="4" w:space="0" w:color="auto"/>
              <w:bottom w:val="single" w:sz="4" w:space="0" w:color="auto"/>
            </w:tcBorders>
            <w:shd w:val="clear" w:color="auto" w:fill="auto"/>
          </w:tcPr>
          <w:p w14:paraId="1AFEFEBF" w14:textId="77777777" w:rsidR="00A950E4" w:rsidRPr="001E0751" w:rsidRDefault="00A950E4" w:rsidP="002F78A4">
            <w:pPr>
              <w:pStyle w:val="Table"/>
              <w:keepNext/>
              <w:rPr>
                <w:rFonts w:asciiTheme="minorHAnsi" w:hAnsiTheme="minorHAnsi"/>
                <w:b/>
                <w:sz w:val="18"/>
                <w:szCs w:val="18"/>
              </w:rPr>
            </w:pPr>
            <w:r w:rsidRPr="001E0751">
              <w:rPr>
                <w:rFonts w:asciiTheme="minorHAnsi" w:hAnsiTheme="minorHAnsi"/>
                <w:b/>
                <w:sz w:val="18"/>
                <w:szCs w:val="18"/>
              </w:rPr>
              <w:t>Adverse</w:t>
            </w:r>
            <w:r w:rsidRPr="001E0751">
              <w:rPr>
                <w:rFonts w:asciiTheme="minorHAnsi" w:hAnsiTheme="minorHAnsi"/>
                <w:b/>
                <w:sz w:val="18"/>
                <w:szCs w:val="18"/>
                <w:lang w:val="en-US"/>
              </w:rPr>
              <w:t xml:space="preserve"> Drug </w:t>
            </w:r>
            <w:r w:rsidRPr="001E0751">
              <w:rPr>
                <w:rFonts w:asciiTheme="minorHAnsi" w:hAnsiTheme="minorHAnsi"/>
                <w:b/>
                <w:sz w:val="18"/>
                <w:szCs w:val="18"/>
              </w:rPr>
              <w:t>Reaction</w:t>
            </w:r>
          </w:p>
        </w:tc>
        <w:tc>
          <w:tcPr>
            <w:tcW w:w="1659" w:type="dxa"/>
            <w:tcBorders>
              <w:top w:val="single" w:sz="4" w:space="0" w:color="auto"/>
              <w:bottom w:val="single" w:sz="4" w:space="0" w:color="auto"/>
            </w:tcBorders>
            <w:shd w:val="clear" w:color="auto" w:fill="auto"/>
          </w:tcPr>
          <w:p w14:paraId="437F9EB5" w14:textId="77777777" w:rsidR="00A950E4" w:rsidRPr="001E0751" w:rsidRDefault="00A950E4" w:rsidP="002F78A4">
            <w:pPr>
              <w:pStyle w:val="Table"/>
              <w:keepNext/>
              <w:rPr>
                <w:rFonts w:asciiTheme="minorHAnsi" w:hAnsiTheme="minorHAnsi"/>
                <w:b/>
                <w:sz w:val="18"/>
                <w:szCs w:val="18"/>
              </w:rPr>
            </w:pPr>
            <w:proofErr w:type="spellStart"/>
            <w:r w:rsidRPr="001E0751">
              <w:rPr>
                <w:rFonts w:asciiTheme="minorHAnsi" w:hAnsiTheme="minorHAnsi"/>
                <w:b/>
                <w:sz w:val="18"/>
                <w:szCs w:val="18"/>
              </w:rPr>
              <w:t>Severity</w:t>
            </w:r>
            <w:r w:rsidRPr="001E0751">
              <w:rPr>
                <w:rFonts w:asciiTheme="minorHAnsi" w:hAnsiTheme="minorHAnsi"/>
                <w:b/>
                <w:sz w:val="18"/>
                <w:szCs w:val="18"/>
                <w:vertAlign w:val="superscript"/>
              </w:rPr>
              <w:t>a</w:t>
            </w:r>
            <w:proofErr w:type="spellEnd"/>
          </w:p>
        </w:tc>
        <w:tc>
          <w:tcPr>
            <w:tcW w:w="5495" w:type="dxa"/>
            <w:tcBorders>
              <w:top w:val="single" w:sz="4" w:space="0" w:color="auto"/>
              <w:bottom w:val="single" w:sz="4" w:space="0" w:color="auto"/>
            </w:tcBorders>
            <w:shd w:val="clear" w:color="auto" w:fill="auto"/>
          </w:tcPr>
          <w:p w14:paraId="11F86C42" w14:textId="77777777" w:rsidR="00A950E4" w:rsidRPr="001E0751" w:rsidRDefault="00A950E4" w:rsidP="002F78A4">
            <w:pPr>
              <w:pStyle w:val="Table"/>
              <w:keepNext/>
              <w:rPr>
                <w:rFonts w:asciiTheme="minorHAnsi" w:hAnsiTheme="minorHAnsi"/>
                <w:b/>
                <w:sz w:val="18"/>
                <w:szCs w:val="18"/>
              </w:rPr>
            </w:pPr>
            <w:proofErr w:type="spellStart"/>
            <w:r w:rsidRPr="001E0751">
              <w:rPr>
                <w:rFonts w:asciiTheme="minorHAnsi" w:hAnsiTheme="minorHAnsi"/>
                <w:b/>
                <w:sz w:val="18"/>
                <w:szCs w:val="18"/>
              </w:rPr>
              <w:t>Afinitor</w:t>
            </w:r>
            <w:proofErr w:type="spellEnd"/>
            <w:r w:rsidRPr="001E0751">
              <w:rPr>
                <w:rFonts w:asciiTheme="minorHAnsi" w:hAnsiTheme="minorHAnsi"/>
                <w:b/>
                <w:sz w:val="18"/>
                <w:szCs w:val="18"/>
              </w:rPr>
              <w:t xml:space="preserve"> Dose </w:t>
            </w:r>
            <w:proofErr w:type="spellStart"/>
            <w:r w:rsidRPr="001E0751">
              <w:rPr>
                <w:rFonts w:asciiTheme="minorHAnsi" w:hAnsiTheme="minorHAnsi"/>
                <w:b/>
                <w:sz w:val="18"/>
                <w:szCs w:val="18"/>
              </w:rPr>
              <w:t>Adjustment</w:t>
            </w:r>
            <w:r w:rsidRPr="001E0751">
              <w:rPr>
                <w:rFonts w:asciiTheme="minorHAnsi" w:hAnsiTheme="minorHAnsi"/>
                <w:b/>
                <w:sz w:val="18"/>
                <w:szCs w:val="18"/>
                <w:vertAlign w:val="superscript"/>
              </w:rPr>
              <w:t>b</w:t>
            </w:r>
            <w:proofErr w:type="spellEnd"/>
            <w:r w:rsidRPr="001E0751">
              <w:rPr>
                <w:rFonts w:asciiTheme="minorHAnsi" w:hAnsiTheme="minorHAnsi"/>
                <w:b/>
                <w:sz w:val="18"/>
                <w:szCs w:val="18"/>
                <w:vertAlign w:val="superscript"/>
              </w:rPr>
              <w:t xml:space="preserve">  </w:t>
            </w:r>
            <w:r w:rsidRPr="001E0751">
              <w:rPr>
                <w:rFonts w:asciiTheme="minorHAnsi" w:hAnsiTheme="minorHAnsi"/>
                <w:b/>
                <w:sz w:val="18"/>
                <w:szCs w:val="18"/>
                <w:lang w:val="en-US"/>
              </w:rPr>
              <w:t>and</w:t>
            </w:r>
            <w:r w:rsidRPr="001E0751">
              <w:rPr>
                <w:rFonts w:asciiTheme="minorHAnsi" w:hAnsiTheme="minorHAnsi"/>
                <w:b/>
                <w:sz w:val="18"/>
                <w:szCs w:val="18"/>
              </w:rPr>
              <w:t xml:space="preserve"> Management Recommendations </w:t>
            </w:r>
          </w:p>
        </w:tc>
      </w:tr>
      <w:tr w:rsidR="00A950E4" w:rsidRPr="001E0751" w14:paraId="1EAD4321" w14:textId="77777777" w:rsidTr="009E0E5F">
        <w:tc>
          <w:tcPr>
            <w:tcW w:w="1773" w:type="dxa"/>
            <w:tcBorders>
              <w:top w:val="single" w:sz="4" w:space="0" w:color="auto"/>
              <w:bottom w:val="nil"/>
            </w:tcBorders>
            <w:shd w:val="clear" w:color="auto" w:fill="auto"/>
          </w:tcPr>
          <w:p w14:paraId="674EBABD" w14:textId="77777777" w:rsidR="00A950E4" w:rsidRPr="001E0751" w:rsidRDefault="00A950E4" w:rsidP="009E0E5F">
            <w:pPr>
              <w:pStyle w:val="Table"/>
              <w:keepNext/>
              <w:rPr>
                <w:rFonts w:asciiTheme="minorHAnsi" w:hAnsiTheme="minorHAnsi"/>
                <w:sz w:val="18"/>
                <w:szCs w:val="18"/>
              </w:rPr>
            </w:pPr>
            <w:r w:rsidRPr="001E0751">
              <w:rPr>
                <w:rFonts w:asciiTheme="minorHAnsi" w:hAnsiTheme="minorHAnsi"/>
                <w:sz w:val="18"/>
                <w:szCs w:val="18"/>
              </w:rPr>
              <w:t>Non-infectious pneumonitis</w:t>
            </w:r>
          </w:p>
        </w:tc>
        <w:tc>
          <w:tcPr>
            <w:tcW w:w="1659" w:type="dxa"/>
            <w:tcBorders>
              <w:top w:val="single" w:sz="4" w:space="0" w:color="auto"/>
              <w:bottom w:val="nil"/>
            </w:tcBorders>
            <w:shd w:val="clear" w:color="auto" w:fill="auto"/>
          </w:tcPr>
          <w:p w14:paraId="525ECBD7" w14:textId="77777777" w:rsidR="00A950E4" w:rsidRPr="001E0751" w:rsidRDefault="00A950E4" w:rsidP="009E0E5F">
            <w:pPr>
              <w:pStyle w:val="Table"/>
              <w:keepNext/>
              <w:jc w:val="center"/>
              <w:rPr>
                <w:rFonts w:asciiTheme="minorHAnsi" w:hAnsiTheme="minorHAnsi"/>
                <w:sz w:val="18"/>
                <w:szCs w:val="18"/>
                <w:lang w:val="en-US"/>
              </w:rPr>
            </w:pPr>
            <w:r w:rsidRPr="001E0751">
              <w:rPr>
                <w:rFonts w:asciiTheme="minorHAnsi" w:hAnsiTheme="minorHAnsi"/>
                <w:sz w:val="18"/>
                <w:szCs w:val="18"/>
                <w:lang w:val="en-US"/>
              </w:rPr>
              <w:t xml:space="preserve">Grade </w:t>
            </w:r>
            <w:r w:rsidRPr="001E0751">
              <w:rPr>
                <w:rFonts w:asciiTheme="minorHAnsi" w:hAnsiTheme="minorHAnsi"/>
                <w:sz w:val="18"/>
                <w:szCs w:val="18"/>
              </w:rPr>
              <w:t>1</w:t>
            </w:r>
          </w:p>
          <w:p w14:paraId="19BEC628" w14:textId="77777777" w:rsidR="00A950E4" w:rsidRPr="001E0751" w:rsidRDefault="00A950E4" w:rsidP="009E0E5F">
            <w:pPr>
              <w:pStyle w:val="Table"/>
              <w:keepNext/>
              <w:jc w:val="center"/>
              <w:rPr>
                <w:rFonts w:asciiTheme="minorHAnsi" w:hAnsiTheme="minorHAnsi"/>
                <w:sz w:val="18"/>
                <w:szCs w:val="18"/>
                <w:lang w:val="en-US"/>
              </w:rPr>
            </w:pPr>
            <w:r w:rsidRPr="001E0751">
              <w:rPr>
                <w:rFonts w:asciiTheme="minorHAnsi" w:hAnsiTheme="minorHAnsi"/>
                <w:sz w:val="18"/>
                <w:szCs w:val="18"/>
              </w:rPr>
              <w:t xml:space="preserve">Asymptomatic, </w:t>
            </w:r>
            <w:r w:rsidRPr="001E0751">
              <w:rPr>
                <w:rFonts w:asciiTheme="minorHAnsi" w:hAnsiTheme="minorHAnsi"/>
                <w:sz w:val="18"/>
                <w:szCs w:val="18"/>
                <w:lang w:val="en-US"/>
              </w:rPr>
              <w:t xml:space="preserve"> </w:t>
            </w:r>
            <w:r w:rsidRPr="001E0751">
              <w:rPr>
                <w:rFonts w:asciiTheme="minorHAnsi" w:hAnsiTheme="minorHAnsi"/>
                <w:sz w:val="18"/>
                <w:szCs w:val="18"/>
              </w:rPr>
              <w:t>radiographic findings only</w:t>
            </w:r>
          </w:p>
        </w:tc>
        <w:tc>
          <w:tcPr>
            <w:tcW w:w="5495" w:type="dxa"/>
            <w:tcBorders>
              <w:top w:val="single" w:sz="4" w:space="0" w:color="auto"/>
              <w:bottom w:val="nil"/>
            </w:tcBorders>
            <w:shd w:val="clear" w:color="auto" w:fill="auto"/>
          </w:tcPr>
          <w:p w14:paraId="46C4B835" w14:textId="77777777" w:rsidR="00A950E4" w:rsidRPr="001E0751" w:rsidRDefault="00A950E4" w:rsidP="009E0E5F">
            <w:pPr>
              <w:pStyle w:val="Table"/>
              <w:keepNext/>
              <w:rPr>
                <w:rFonts w:asciiTheme="minorHAnsi" w:hAnsiTheme="minorHAnsi"/>
                <w:sz w:val="18"/>
                <w:szCs w:val="18"/>
                <w:lang w:val="en-US"/>
              </w:rPr>
            </w:pPr>
            <w:r w:rsidRPr="001E0751">
              <w:rPr>
                <w:rFonts w:asciiTheme="minorHAnsi" w:hAnsiTheme="minorHAnsi"/>
                <w:sz w:val="18"/>
                <w:szCs w:val="18"/>
              </w:rPr>
              <w:t>No dose adjustment required</w:t>
            </w:r>
            <w:r w:rsidRPr="001E0751">
              <w:rPr>
                <w:rFonts w:asciiTheme="minorHAnsi" w:hAnsiTheme="minorHAnsi"/>
                <w:sz w:val="18"/>
                <w:szCs w:val="18"/>
                <w:lang w:val="en-US"/>
              </w:rPr>
              <w:t>.</w:t>
            </w:r>
          </w:p>
          <w:p w14:paraId="03DBB4A1" w14:textId="77777777" w:rsidR="00A950E4" w:rsidRPr="001E0751" w:rsidRDefault="00A950E4" w:rsidP="009E0E5F">
            <w:pPr>
              <w:pStyle w:val="Table"/>
              <w:keepNext/>
              <w:rPr>
                <w:rFonts w:asciiTheme="minorHAnsi" w:hAnsiTheme="minorHAnsi"/>
                <w:sz w:val="18"/>
                <w:szCs w:val="18"/>
              </w:rPr>
            </w:pPr>
            <w:r w:rsidRPr="001E0751">
              <w:rPr>
                <w:rFonts w:asciiTheme="minorHAnsi" w:hAnsiTheme="minorHAnsi"/>
                <w:sz w:val="18"/>
                <w:szCs w:val="18"/>
              </w:rPr>
              <w:t>Initiate appropriate monitoring.</w:t>
            </w:r>
          </w:p>
        </w:tc>
      </w:tr>
      <w:tr w:rsidR="00A950E4" w:rsidRPr="001E0751" w14:paraId="7CF0A486" w14:textId="77777777" w:rsidTr="009E0E5F">
        <w:tc>
          <w:tcPr>
            <w:tcW w:w="1773" w:type="dxa"/>
            <w:tcBorders>
              <w:top w:val="nil"/>
              <w:bottom w:val="nil"/>
            </w:tcBorders>
            <w:shd w:val="clear" w:color="auto" w:fill="auto"/>
          </w:tcPr>
          <w:p w14:paraId="77F51D21" w14:textId="77777777" w:rsidR="00A950E4" w:rsidRPr="001E0751" w:rsidRDefault="00A950E4" w:rsidP="009E0E5F">
            <w:pPr>
              <w:pStyle w:val="Table"/>
              <w:rPr>
                <w:rFonts w:asciiTheme="minorHAnsi" w:hAnsiTheme="minorHAnsi"/>
                <w:sz w:val="18"/>
                <w:szCs w:val="18"/>
              </w:rPr>
            </w:pPr>
          </w:p>
        </w:tc>
        <w:tc>
          <w:tcPr>
            <w:tcW w:w="1659" w:type="dxa"/>
            <w:tcBorders>
              <w:top w:val="nil"/>
              <w:bottom w:val="nil"/>
            </w:tcBorders>
            <w:shd w:val="clear" w:color="auto" w:fill="auto"/>
          </w:tcPr>
          <w:p w14:paraId="116B7A85"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Grade 2</w:t>
            </w:r>
          </w:p>
          <w:p w14:paraId="6347F9C9"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rPr>
              <w:t xml:space="preserve">Symptomatic, </w:t>
            </w:r>
          </w:p>
          <w:p w14:paraId="5B467A12"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rPr>
              <w:t>not interfering with ADL</w:t>
            </w:r>
            <w:r w:rsidRPr="001E0751">
              <w:rPr>
                <w:rFonts w:asciiTheme="minorHAnsi" w:hAnsiTheme="minorHAnsi"/>
                <w:sz w:val="18"/>
                <w:szCs w:val="18"/>
                <w:vertAlign w:val="superscript"/>
                <w:lang w:val="en-US"/>
              </w:rPr>
              <w:t>c</w:t>
            </w:r>
          </w:p>
        </w:tc>
        <w:tc>
          <w:tcPr>
            <w:tcW w:w="5495" w:type="dxa"/>
            <w:tcBorders>
              <w:top w:val="nil"/>
              <w:bottom w:val="nil"/>
            </w:tcBorders>
            <w:shd w:val="clear" w:color="auto" w:fill="auto"/>
          </w:tcPr>
          <w:p w14:paraId="39C5ED84"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Consider</w:t>
            </w:r>
            <w:r w:rsidRPr="001E0751">
              <w:rPr>
                <w:rFonts w:asciiTheme="minorHAnsi" w:hAnsiTheme="minorHAnsi"/>
                <w:sz w:val="18"/>
                <w:szCs w:val="18"/>
                <w:lang w:val="en-US"/>
              </w:rPr>
              <w:t xml:space="preserve"> </w:t>
            </w:r>
            <w:r w:rsidRPr="001E0751">
              <w:rPr>
                <w:rFonts w:asciiTheme="minorHAnsi" w:hAnsiTheme="minorHAnsi"/>
                <w:sz w:val="18"/>
                <w:szCs w:val="18"/>
              </w:rPr>
              <w:t>interruption</w:t>
            </w:r>
            <w:r w:rsidRPr="001E0751">
              <w:rPr>
                <w:rFonts w:asciiTheme="minorHAnsi" w:hAnsiTheme="minorHAnsi"/>
                <w:sz w:val="18"/>
                <w:szCs w:val="18"/>
                <w:lang w:val="en-US"/>
              </w:rPr>
              <w:t xml:space="preserve"> of therapy, rule out infection and consider treatment with </w:t>
            </w:r>
            <w:r w:rsidRPr="001E0751">
              <w:rPr>
                <w:rFonts w:asciiTheme="minorHAnsi" w:hAnsiTheme="minorHAnsi"/>
                <w:sz w:val="18"/>
                <w:szCs w:val="18"/>
              </w:rPr>
              <w:t>corticosteroids</w:t>
            </w:r>
            <w:r w:rsidRPr="001E0751">
              <w:rPr>
                <w:rFonts w:asciiTheme="minorHAnsi" w:hAnsiTheme="minorHAnsi"/>
                <w:sz w:val="18"/>
                <w:szCs w:val="18"/>
                <w:lang w:val="en-US"/>
              </w:rPr>
              <w:t xml:space="preserve"> until symptoms improve to Grade </w:t>
            </w:r>
            <w:r w:rsidRPr="001E0751">
              <w:rPr>
                <w:rFonts w:asciiTheme="minorHAnsi" w:hAnsiTheme="minorHAnsi" w:cs="Arial"/>
                <w:sz w:val="18"/>
                <w:szCs w:val="18"/>
                <w:lang w:val="en-US"/>
              </w:rPr>
              <w:t xml:space="preserve">≤ </w:t>
            </w:r>
            <w:r w:rsidRPr="001E0751">
              <w:rPr>
                <w:rFonts w:asciiTheme="minorHAnsi" w:hAnsiTheme="minorHAnsi"/>
                <w:sz w:val="18"/>
                <w:szCs w:val="18"/>
                <w:lang w:val="en-US"/>
              </w:rPr>
              <w:t>1.</w:t>
            </w:r>
          </w:p>
          <w:p w14:paraId="7935A6C8"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 xml:space="preserve">Re-initiate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rPr>
              <w:t xml:space="preserve"> at </w:t>
            </w:r>
            <w:r w:rsidRPr="001E0751">
              <w:rPr>
                <w:rFonts w:asciiTheme="minorHAnsi" w:hAnsiTheme="minorHAnsi"/>
                <w:sz w:val="18"/>
                <w:szCs w:val="18"/>
                <w:lang w:val="en-US"/>
              </w:rPr>
              <w:t>a</w:t>
            </w:r>
            <w:r w:rsidRPr="001E0751">
              <w:rPr>
                <w:rFonts w:asciiTheme="minorHAnsi" w:hAnsiTheme="minorHAnsi"/>
                <w:sz w:val="18"/>
                <w:szCs w:val="18"/>
              </w:rPr>
              <w:t xml:space="preserve"> lower dose.</w:t>
            </w:r>
          </w:p>
          <w:p w14:paraId="1A4C51F3"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Discontinue treatment</w:t>
            </w:r>
            <w:r w:rsidRPr="001E0751">
              <w:rPr>
                <w:rFonts w:asciiTheme="minorHAnsi" w:hAnsiTheme="minorHAnsi"/>
                <w:sz w:val="18"/>
                <w:szCs w:val="18"/>
                <w:lang w:val="en-US"/>
              </w:rPr>
              <w:t xml:space="preserve"> if </w:t>
            </w:r>
            <w:r w:rsidRPr="001E0751">
              <w:rPr>
                <w:rFonts w:asciiTheme="minorHAnsi" w:hAnsiTheme="minorHAnsi"/>
                <w:sz w:val="18"/>
                <w:szCs w:val="18"/>
              </w:rPr>
              <w:t>fail</w:t>
            </w:r>
            <w:proofErr w:type="spellStart"/>
            <w:r w:rsidRPr="001E0751">
              <w:rPr>
                <w:rFonts w:asciiTheme="minorHAnsi" w:hAnsiTheme="minorHAnsi"/>
                <w:sz w:val="18"/>
                <w:szCs w:val="18"/>
                <w:lang w:val="en-US"/>
              </w:rPr>
              <w:t>ure</w:t>
            </w:r>
            <w:proofErr w:type="spellEnd"/>
            <w:r w:rsidRPr="001E0751">
              <w:rPr>
                <w:rFonts w:asciiTheme="minorHAnsi" w:hAnsiTheme="minorHAnsi"/>
                <w:sz w:val="18"/>
                <w:szCs w:val="18"/>
              </w:rPr>
              <w:t xml:space="preserve"> to recover within </w:t>
            </w:r>
            <w:r w:rsidRPr="001E0751">
              <w:rPr>
                <w:rFonts w:asciiTheme="minorHAnsi" w:hAnsiTheme="minorHAnsi"/>
                <w:sz w:val="18"/>
                <w:szCs w:val="18"/>
                <w:lang w:val="en-US"/>
              </w:rPr>
              <w:t xml:space="preserve">4 weeks. </w:t>
            </w:r>
          </w:p>
        </w:tc>
      </w:tr>
      <w:tr w:rsidR="00A950E4" w:rsidRPr="001E0751" w14:paraId="2BD053E5" w14:textId="77777777" w:rsidTr="009E0E5F">
        <w:tc>
          <w:tcPr>
            <w:tcW w:w="1773" w:type="dxa"/>
            <w:tcBorders>
              <w:top w:val="nil"/>
              <w:bottom w:val="nil"/>
            </w:tcBorders>
            <w:shd w:val="clear" w:color="auto" w:fill="auto"/>
          </w:tcPr>
          <w:p w14:paraId="36E4B34C" w14:textId="77777777" w:rsidR="00A950E4" w:rsidRPr="001E0751" w:rsidRDefault="00A950E4" w:rsidP="009E0E5F">
            <w:pPr>
              <w:pStyle w:val="Table"/>
              <w:rPr>
                <w:rFonts w:asciiTheme="minorHAnsi" w:hAnsiTheme="minorHAnsi"/>
                <w:sz w:val="18"/>
                <w:szCs w:val="18"/>
              </w:rPr>
            </w:pPr>
          </w:p>
        </w:tc>
        <w:tc>
          <w:tcPr>
            <w:tcW w:w="1659" w:type="dxa"/>
            <w:tcBorders>
              <w:top w:val="nil"/>
              <w:bottom w:val="nil"/>
            </w:tcBorders>
            <w:shd w:val="clear" w:color="auto" w:fill="auto"/>
          </w:tcPr>
          <w:p w14:paraId="7EBF45F2"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Grade 3</w:t>
            </w:r>
          </w:p>
          <w:p w14:paraId="0AEB3EDE"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rPr>
              <w:t>Symptomatic,</w:t>
            </w:r>
          </w:p>
          <w:p w14:paraId="7DD77820"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rPr>
              <w:t>interfering with ADL</w:t>
            </w:r>
            <w:r w:rsidRPr="001E0751">
              <w:rPr>
                <w:rFonts w:asciiTheme="minorHAnsi" w:hAnsiTheme="minorHAnsi"/>
                <w:sz w:val="18"/>
                <w:szCs w:val="18"/>
                <w:vertAlign w:val="superscript"/>
                <w:lang w:val="en-US"/>
              </w:rPr>
              <w:t>c</w:t>
            </w:r>
          </w:p>
          <w:p w14:paraId="4E286DA4"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rPr>
              <w:t>O</w:t>
            </w:r>
            <w:r w:rsidRPr="001E0751">
              <w:rPr>
                <w:rFonts w:asciiTheme="minorHAnsi" w:hAnsiTheme="minorHAnsi"/>
                <w:sz w:val="18"/>
                <w:szCs w:val="18"/>
                <w:vertAlign w:val="subscript"/>
              </w:rPr>
              <w:t>2</w:t>
            </w:r>
            <w:r w:rsidRPr="001E0751">
              <w:rPr>
                <w:rFonts w:asciiTheme="minorHAnsi" w:hAnsiTheme="minorHAnsi"/>
                <w:sz w:val="18"/>
                <w:szCs w:val="18"/>
              </w:rPr>
              <w:t xml:space="preserve"> indicated</w:t>
            </w:r>
          </w:p>
        </w:tc>
        <w:tc>
          <w:tcPr>
            <w:tcW w:w="5495" w:type="dxa"/>
            <w:tcBorders>
              <w:top w:val="nil"/>
              <w:bottom w:val="nil"/>
            </w:tcBorders>
            <w:shd w:val="clear" w:color="auto" w:fill="auto"/>
          </w:tcPr>
          <w:p w14:paraId="00031CE6"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lang w:val="en-US"/>
              </w:rPr>
              <w:t>Interrupt</w:t>
            </w:r>
            <w:r w:rsidRPr="001E0751">
              <w:rPr>
                <w:rFonts w:asciiTheme="minorHAnsi" w:hAnsiTheme="minorHAnsi"/>
                <w:sz w:val="18"/>
                <w:szCs w:val="18"/>
              </w:rPr>
              <w:t xml:space="preserv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lang w:val="en-US"/>
              </w:rPr>
              <w:t xml:space="preserve"> until symptoms resolve to Grade </w:t>
            </w:r>
            <w:r w:rsidRPr="001E0751">
              <w:rPr>
                <w:rFonts w:asciiTheme="minorHAnsi" w:hAnsiTheme="minorHAnsi" w:cs="Arial"/>
                <w:sz w:val="18"/>
                <w:szCs w:val="18"/>
                <w:lang w:val="en-US"/>
              </w:rPr>
              <w:t>≤</w:t>
            </w:r>
            <w:r w:rsidRPr="001E0751">
              <w:rPr>
                <w:rFonts w:asciiTheme="minorHAnsi" w:hAnsiTheme="minorHAnsi"/>
                <w:sz w:val="18"/>
                <w:szCs w:val="18"/>
                <w:lang w:val="en-US"/>
              </w:rPr>
              <w:t xml:space="preserve"> 1. Rule out infection and consider treatment with </w:t>
            </w:r>
            <w:r w:rsidRPr="001E0751">
              <w:rPr>
                <w:rFonts w:asciiTheme="minorHAnsi" w:hAnsiTheme="minorHAnsi"/>
                <w:sz w:val="18"/>
                <w:szCs w:val="18"/>
              </w:rPr>
              <w:t>corticosteroids</w:t>
            </w:r>
            <w:r w:rsidRPr="001E0751">
              <w:rPr>
                <w:rFonts w:asciiTheme="minorHAnsi" w:hAnsiTheme="minorHAnsi"/>
                <w:sz w:val="18"/>
                <w:szCs w:val="18"/>
                <w:lang w:val="en-US"/>
              </w:rPr>
              <w:t xml:space="preserve">. </w:t>
            </w:r>
          </w:p>
          <w:p w14:paraId="127861C0"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 xml:space="preserve">Consider re-initiating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rPr>
              <w:t xml:space="preserve"> at a lower dose. </w:t>
            </w:r>
          </w:p>
          <w:p w14:paraId="2F4AAD16"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If toxicity recurs at</w:t>
            </w:r>
            <w:r w:rsidRPr="001E0751">
              <w:rPr>
                <w:rFonts w:asciiTheme="minorHAnsi" w:hAnsiTheme="minorHAnsi"/>
                <w:sz w:val="18"/>
                <w:szCs w:val="18"/>
                <w:lang w:val="en-US"/>
              </w:rPr>
              <w:t xml:space="preserve"> G</w:t>
            </w:r>
            <w:proofErr w:type="spellStart"/>
            <w:r w:rsidRPr="001E0751">
              <w:rPr>
                <w:rFonts w:asciiTheme="minorHAnsi" w:hAnsiTheme="minorHAnsi"/>
                <w:sz w:val="18"/>
                <w:szCs w:val="18"/>
              </w:rPr>
              <w:t>rade</w:t>
            </w:r>
            <w:proofErr w:type="spellEnd"/>
            <w:r w:rsidRPr="001E0751">
              <w:rPr>
                <w:rFonts w:asciiTheme="minorHAnsi" w:hAnsiTheme="minorHAnsi"/>
                <w:sz w:val="18"/>
                <w:szCs w:val="18"/>
              </w:rPr>
              <w:t xml:space="preserve"> 3, consider discontinuation.</w:t>
            </w:r>
          </w:p>
          <w:p w14:paraId="5EDEFE58" w14:textId="77777777" w:rsidR="00A950E4" w:rsidRPr="001E0751" w:rsidRDefault="00A950E4" w:rsidP="009E0E5F">
            <w:pPr>
              <w:pStyle w:val="Table"/>
              <w:rPr>
                <w:rFonts w:asciiTheme="minorHAnsi" w:hAnsiTheme="minorHAnsi"/>
                <w:sz w:val="18"/>
                <w:szCs w:val="18"/>
              </w:rPr>
            </w:pPr>
          </w:p>
        </w:tc>
      </w:tr>
      <w:tr w:rsidR="00A950E4" w:rsidRPr="001E0751" w14:paraId="4D1461FD" w14:textId="77777777" w:rsidTr="009E0E5F">
        <w:tc>
          <w:tcPr>
            <w:tcW w:w="1773" w:type="dxa"/>
            <w:tcBorders>
              <w:top w:val="nil"/>
              <w:bottom w:val="single" w:sz="4" w:space="0" w:color="auto"/>
            </w:tcBorders>
            <w:shd w:val="clear" w:color="auto" w:fill="auto"/>
          </w:tcPr>
          <w:p w14:paraId="722F32C8" w14:textId="77777777" w:rsidR="00A950E4" w:rsidRPr="001E0751" w:rsidRDefault="00A950E4" w:rsidP="009E0E5F">
            <w:pPr>
              <w:pStyle w:val="Table"/>
              <w:rPr>
                <w:rFonts w:asciiTheme="minorHAnsi" w:hAnsiTheme="minorHAnsi"/>
                <w:sz w:val="18"/>
                <w:szCs w:val="18"/>
              </w:rPr>
            </w:pPr>
          </w:p>
        </w:tc>
        <w:tc>
          <w:tcPr>
            <w:tcW w:w="1659" w:type="dxa"/>
            <w:tcBorders>
              <w:top w:val="nil"/>
              <w:bottom w:val="single" w:sz="4" w:space="0" w:color="auto"/>
            </w:tcBorders>
            <w:shd w:val="clear" w:color="auto" w:fill="auto"/>
          </w:tcPr>
          <w:p w14:paraId="17BC2483" w14:textId="77777777" w:rsidR="00A950E4" w:rsidRPr="001E0751" w:rsidRDefault="00A950E4" w:rsidP="009E0E5F">
            <w:pPr>
              <w:pStyle w:val="Table"/>
              <w:jc w:val="center"/>
              <w:rPr>
                <w:rFonts w:asciiTheme="minorHAnsi" w:hAnsiTheme="minorHAnsi" w:cs="TimesNewRoman"/>
                <w:sz w:val="18"/>
                <w:szCs w:val="18"/>
                <w:lang w:val="en-US" w:eastAsia="en-US"/>
              </w:rPr>
            </w:pPr>
            <w:r w:rsidRPr="001E0751">
              <w:rPr>
                <w:rFonts w:asciiTheme="minorHAnsi" w:hAnsiTheme="minorHAnsi"/>
                <w:sz w:val="18"/>
                <w:szCs w:val="18"/>
                <w:lang w:val="en-US"/>
              </w:rPr>
              <w:t>Grade 4</w:t>
            </w:r>
            <w:r w:rsidRPr="001E0751">
              <w:rPr>
                <w:rFonts w:asciiTheme="minorHAnsi" w:hAnsiTheme="minorHAnsi" w:cs="TimesNewRoman"/>
                <w:sz w:val="18"/>
                <w:szCs w:val="18"/>
                <w:lang w:eastAsia="en-US"/>
              </w:rPr>
              <w:t xml:space="preserve"> </w:t>
            </w:r>
          </w:p>
          <w:p w14:paraId="27D160D3"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rPr>
              <w:t>Life-threatening ,</w:t>
            </w:r>
          </w:p>
          <w:p w14:paraId="267C5113" w14:textId="77777777" w:rsidR="00A950E4" w:rsidRPr="001E0751" w:rsidRDefault="00A950E4" w:rsidP="009E0E5F">
            <w:pPr>
              <w:pStyle w:val="Table"/>
              <w:jc w:val="center"/>
              <w:rPr>
                <w:rFonts w:asciiTheme="minorHAnsi" w:hAnsiTheme="minorHAnsi"/>
                <w:sz w:val="18"/>
                <w:szCs w:val="18"/>
              </w:rPr>
            </w:pPr>
            <w:proofErr w:type="spellStart"/>
            <w:r w:rsidRPr="001E0751">
              <w:rPr>
                <w:rFonts w:asciiTheme="minorHAnsi" w:hAnsiTheme="minorHAnsi"/>
                <w:sz w:val="18"/>
                <w:szCs w:val="18"/>
              </w:rPr>
              <w:t>ventilatory</w:t>
            </w:r>
            <w:proofErr w:type="spellEnd"/>
            <w:r w:rsidRPr="001E0751">
              <w:rPr>
                <w:rFonts w:asciiTheme="minorHAnsi" w:hAnsiTheme="minorHAnsi"/>
                <w:sz w:val="18"/>
                <w:szCs w:val="18"/>
              </w:rPr>
              <w:t xml:space="preserve"> support</w:t>
            </w:r>
          </w:p>
          <w:p w14:paraId="0A3F1841"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rPr>
              <w:t>indicated</w:t>
            </w:r>
          </w:p>
        </w:tc>
        <w:tc>
          <w:tcPr>
            <w:tcW w:w="5495" w:type="dxa"/>
            <w:tcBorders>
              <w:top w:val="nil"/>
              <w:bottom w:val="single" w:sz="4" w:space="0" w:color="auto"/>
            </w:tcBorders>
            <w:shd w:val="clear" w:color="auto" w:fill="auto"/>
          </w:tcPr>
          <w:p w14:paraId="31921AA1"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 xml:space="preserve">Discontinue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lang w:val="en-US"/>
              </w:rPr>
              <w:t xml:space="preserve">, rule out infection, and consider treatment with </w:t>
            </w:r>
            <w:r w:rsidRPr="001E0751">
              <w:rPr>
                <w:rFonts w:asciiTheme="minorHAnsi" w:hAnsiTheme="minorHAnsi"/>
                <w:sz w:val="18"/>
                <w:szCs w:val="18"/>
              </w:rPr>
              <w:t>corticosteroids</w:t>
            </w:r>
            <w:r w:rsidRPr="001E0751">
              <w:rPr>
                <w:rFonts w:asciiTheme="minorHAnsi" w:hAnsiTheme="minorHAnsi"/>
                <w:sz w:val="18"/>
                <w:szCs w:val="18"/>
                <w:lang w:val="en-US"/>
              </w:rPr>
              <w:t>.</w:t>
            </w:r>
          </w:p>
        </w:tc>
      </w:tr>
      <w:tr w:rsidR="00A950E4" w:rsidRPr="001E0751" w14:paraId="28306551" w14:textId="77777777" w:rsidTr="009E0E5F">
        <w:tc>
          <w:tcPr>
            <w:tcW w:w="1773" w:type="dxa"/>
            <w:tcBorders>
              <w:top w:val="single" w:sz="4" w:space="0" w:color="auto"/>
            </w:tcBorders>
            <w:shd w:val="clear" w:color="auto" w:fill="auto"/>
          </w:tcPr>
          <w:p w14:paraId="21FFF609"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Stomatitis</w:t>
            </w:r>
          </w:p>
        </w:tc>
        <w:tc>
          <w:tcPr>
            <w:tcW w:w="1659" w:type="dxa"/>
            <w:tcBorders>
              <w:top w:val="single" w:sz="4" w:space="0" w:color="auto"/>
            </w:tcBorders>
            <w:shd w:val="clear" w:color="auto" w:fill="auto"/>
          </w:tcPr>
          <w:p w14:paraId="738E89EA" w14:textId="77777777" w:rsidR="00A950E4" w:rsidRPr="001E0751" w:rsidRDefault="00A950E4" w:rsidP="009E0E5F">
            <w:pPr>
              <w:pStyle w:val="Table"/>
              <w:jc w:val="center"/>
              <w:rPr>
                <w:rFonts w:asciiTheme="minorHAnsi" w:hAnsiTheme="minorHAnsi" w:cs="TimesNewRoman"/>
                <w:sz w:val="18"/>
                <w:szCs w:val="18"/>
                <w:lang w:val="en-US" w:eastAsia="en-US"/>
              </w:rPr>
            </w:pPr>
            <w:r w:rsidRPr="001E0751">
              <w:rPr>
                <w:rFonts w:asciiTheme="minorHAnsi" w:hAnsiTheme="minorHAnsi"/>
                <w:sz w:val="18"/>
                <w:szCs w:val="18"/>
                <w:lang w:val="en-US"/>
              </w:rPr>
              <w:t xml:space="preserve">Grade </w:t>
            </w:r>
            <w:r w:rsidRPr="001E0751">
              <w:rPr>
                <w:rFonts w:asciiTheme="minorHAnsi" w:hAnsiTheme="minorHAnsi"/>
                <w:sz w:val="18"/>
                <w:szCs w:val="18"/>
              </w:rPr>
              <w:t>1</w:t>
            </w:r>
          </w:p>
          <w:p w14:paraId="3E4DBD42"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Minimal symptoms,</w:t>
            </w:r>
          </w:p>
          <w:p w14:paraId="47627281"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lang w:val="en-US"/>
              </w:rPr>
              <w:t>normal diet</w:t>
            </w:r>
          </w:p>
        </w:tc>
        <w:tc>
          <w:tcPr>
            <w:tcW w:w="5495" w:type="dxa"/>
            <w:tcBorders>
              <w:top w:val="single" w:sz="4" w:space="0" w:color="auto"/>
            </w:tcBorders>
            <w:shd w:val="clear" w:color="auto" w:fill="auto"/>
          </w:tcPr>
          <w:p w14:paraId="26CF9D6D"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No dose adjustment required.</w:t>
            </w:r>
          </w:p>
          <w:p w14:paraId="05D71AEB"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Manage with non-alcoholic or salt water (0.9%) mouthwash several times a day.</w:t>
            </w:r>
          </w:p>
        </w:tc>
      </w:tr>
      <w:tr w:rsidR="00A950E4" w:rsidRPr="001E0751" w14:paraId="4E1DA489" w14:textId="77777777" w:rsidTr="009E0E5F">
        <w:tc>
          <w:tcPr>
            <w:tcW w:w="1773" w:type="dxa"/>
            <w:shd w:val="clear" w:color="auto" w:fill="auto"/>
          </w:tcPr>
          <w:p w14:paraId="63AB93E3" w14:textId="77777777" w:rsidR="00A950E4" w:rsidRPr="001E0751" w:rsidRDefault="00A950E4" w:rsidP="009E0E5F">
            <w:pPr>
              <w:pStyle w:val="Table"/>
              <w:rPr>
                <w:rFonts w:asciiTheme="minorHAnsi" w:hAnsiTheme="minorHAnsi"/>
                <w:sz w:val="18"/>
                <w:szCs w:val="18"/>
              </w:rPr>
            </w:pPr>
          </w:p>
        </w:tc>
        <w:tc>
          <w:tcPr>
            <w:tcW w:w="1659" w:type="dxa"/>
            <w:shd w:val="clear" w:color="auto" w:fill="auto"/>
          </w:tcPr>
          <w:p w14:paraId="485565E6"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Grade 2</w:t>
            </w:r>
          </w:p>
          <w:p w14:paraId="0F32FAC1"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rPr>
              <w:t>Symptomatic but can eat</w:t>
            </w:r>
          </w:p>
          <w:p w14:paraId="31CA7B8E"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rPr>
              <w:t xml:space="preserve">and swallow modified diet </w:t>
            </w:r>
          </w:p>
          <w:p w14:paraId="3FF2CE54" w14:textId="77777777" w:rsidR="00A950E4" w:rsidRPr="001E0751" w:rsidRDefault="00A950E4" w:rsidP="009E0E5F">
            <w:pPr>
              <w:pStyle w:val="Table"/>
              <w:jc w:val="center"/>
              <w:rPr>
                <w:rFonts w:asciiTheme="minorHAnsi" w:hAnsiTheme="minorHAnsi"/>
                <w:sz w:val="18"/>
                <w:szCs w:val="18"/>
                <w:lang w:val="en-US"/>
              </w:rPr>
            </w:pPr>
          </w:p>
        </w:tc>
        <w:tc>
          <w:tcPr>
            <w:tcW w:w="5495" w:type="dxa"/>
            <w:shd w:val="clear" w:color="auto" w:fill="auto"/>
          </w:tcPr>
          <w:p w14:paraId="60E23AE4"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 xml:space="preserve">Temporary dose interruption until recovery to </w:t>
            </w:r>
            <w:r w:rsidRPr="001E0751">
              <w:rPr>
                <w:rFonts w:asciiTheme="minorHAnsi" w:hAnsiTheme="minorHAnsi"/>
                <w:sz w:val="18"/>
                <w:szCs w:val="18"/>
                <w:lang w:val="en-US"/>
              </w:rPr>
              <w:t>G</w:t>
            </w:r>
            <w:proofErr w:type="spellStart"/>
            <w:r w:rsidRPr="001E0751">
              <w:rPr>
                <w:rFonts w:asciiTheme="minorHAnsi" w:hAnsiTheme="minorHAnsi"/>
                <w:sz w:val="18"/>
                <w:szCs w:val="18"/>
              </w:rPr>
              <w:t>rade</w:t>
            </w:r>
            <w:proofErr w:type="spellEnd"/>
            <w:r w:rsidRPr="001E0751">
              <w:rPr>
                <w:rFonts w:asciiTheme="minorHAnsi" w:hAnsiTheme="minorHAnsi"/>
                <w:sz w:val="18"/>
                <w:szCs w:val="18"/>
              </w:rPr>
              <w:t xml:space="preserve"> </w:t>
            </w:r>
            <w:r w:rsidRPr="001E0751">
              <w:rPr>
                <w:rFonts w:asciiTheme="minorHAnsi" w:hAnsiTheme="minorHAnsi"/>
                <w:sz w:val="18"/>
                <w:szCs w:val="18"/>
              </w:rPr>
              <w:sym w:font="Symbol" w:char="F0A3"/>
            </w:r>
            <w:r w:rsidRPr="001E0751">
              <w:rPr>
                <w:rFonts w:asciiTheme="minorHAnsi" w:hAnsiTheme="minorHAnsi"/>
                <w:sz w:val="18"/>
                <w:szCs w:val="18"/>
              </w:rPr>
              <w:t>1.</w:t>
            </w:r>
          </w:p>
          <w:p w14:paraId="61FA1684"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 xml:space="preserve">Re-initiate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rPr>
              <w:t xml:space="preserve"> at </w:t>
            </w:r>
            <w:r w:rsidRPr="001E0751">
              <w:rPr>
                <w:rFonts w:asciiTheme="minorHAnsi" w:hAnsiTheme="minorHAnsi"/>
                <w:sz w:val="18"/>
                <w:szCs w:val="18"/>
                <w:lang w:val="en-US"/>
              </w:rPr>
              <w:t xml:space="preserve">the </w:t>
            </w:r>
            <w:r w:rsidRPr="001E0751">
              <w:rPr>
                <w:rFonts w:asciiTheme="minorHAnsi" w:hAnsiTheme="minorHAnsi"/>
                <w:sz w:val="18"/>
                <w:szCs w:val="18"/>
              </w:rPr>
              <w:t>same dose.</w:t>
            </w:r>
          </w:p>
          <w:p w14:paraId="523EB00D"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 xml:space="preserve">If stomatitis recurs at </w:t>
            </w:r>
            <w:r w:rsidRPr="001E0751">
              <w:rPr>
                <w:rFonts w:asciiTheme="minorHAnsi" w:hAnsiTheme="minorHAnsi"/>
                <w:sz w:val="18"/>
                <w:szCs w:val="18"/>
                <w:lang w:val="en-US"/>
              </w:rPr>
              <w:t>G</w:t>
            </w:r>
            <w:proofErr w:type="spellStart"/>
            <w:r w:rsidRPr="001E0751">
              <w:rPr>
                <w:rFonts w:asciiTheme="minorHAnsi" w:hAnsiTheme="minorHAnsi"/>
                <w:sz w:val="18"/>
                <w:szCs w:val="18"/>
              </w:rPr>
              <w:t>rade</w:t>
            </w:r>
            <w:proofErr w:type="spellEnd"/>
            <w:r w:rsidRPr="001E0751">
              <w:rPr>
                <w:rFonts w:asciiTheme="minorHAnsi" w:hAnsiTheme="minorHAnsi"/>
                <w:sz w:val="18"/>
                <w:szCs w:val="18"/>
              </w:rPr>
              <w:t xml:space="preserve"> 2, interrupt </w:t>
            </w:r>
            <w:r w:rsidRPr="001E0751">
              <w:rPr>
                <w:rFonts w:asciiTheme="minorHAnsi" w:hAnsiTheme="minorHAnsi"/>
                <w:sz w:val="18"/>
                <w:szCs w:val="18"/>
                <w:lang w:val="en-US"/>
              </w:rPr>
              <w:t xml:space="preserve">dose </w:t>
            </w:r>
            <w:r w:rsidRPr="001E0751">
              <w:rPr>
                <w:rFonts w:asciiTheme="minorHAnsi" w:hAnsiTheme="minorHAnsi"/>
                <w:sz w:val="18"/>
                <w:szCs w:val="18"/>
              </w:rPr>
              <w:t xml:space="preserve">until recovery to </w:t>
            </w:r>
            <w:r w:rsidRPr="001E0751">
              <w:rPr>
                <w:rFonts w:asciiTheme="minorHAnsi" w:hAnsiTheme="minorHAnsi"/>
                <w:sz w:val="18"/>
                <w:szCs w:val="18"/>
                <w:lang w:val="en-US"/>
              </w:rPr>
              <w:t>G</w:t>
            </w:r>
            <w:proofErr w:type="spellStart"/>
            <w:r w:rsidRPr="001E0751">
              <w:rPr>
                <w:rFonts w:asciiTheme="minorHAnsi" w:hAnsiTheme="minorHAnsi"/>
                <w:sz w:val="18"/>
                <w:szCs w:val="18"/>
              </w:rPr>
              <w:t>rade</w:t>
            </w:r>
            <w:proofErr w:type="spellEnd"/>
            <w:r w:rsidRPr="001E0751">
              <w:rPr>
                <w:rFonts w:asciiTheme="minorHAnsi" w:hAnsiTheme="minorHAnsi"/>
                <w:sz w:val="18"/>
                <w:szCs w:val="18"/>
              </w:rPr>
              <w:t xml:space="preserve"> </w:t>
            </w:r>
            <w:r w:rsidRPr="001E0751">
              <w:rPr>
                <w:rFonts w:asciiTheme="minorHAnsi" w:hAnsiTheme="minorHAnsi"/>
                <w:sz w:val="18"/>
                <w:szCs w:val="18"/>
              </w:rPr>
              <w:sym w:font="Symbol" w:char="F0A3"/>
            </w:r>
            <w:r w:rsidRPr="001E0751">
              <w:rPr>
                <w:rFonts w:asciiTheme="minorHAnsi" w:hAnsiTheme="minorHAnsi"/>
                <w:sz w:val="18"/>
                <w:szCs w:val="18"/>
              </w:rPr>
              <w:t xml:space="preserve">1.  Re-initiate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rPr>
              <w:t xml:space="preserve"> at </w:t>
            </w:r>
            <w:r w:rsidRPr="001E0751">
              <w:rPr>
                <w:rFonts w:asciiTheme="minorHAnsi" w:hAnsiTheme="minorHAnsi"/>
                <w:sz w:val="18"/>
                <w:szCs w:val="18"/>
                <w:lang w:val="en-US"/>
              </w:rPr>
              <w:t xml:space="preserve">a </w:t>
            </w:r>
            <w:r w:rsidRPr="001E0751">
              <w:rPr>
                <w:rFonts w:asciiTheme="minorHAnsi" w:hAnsiTheme="minorHAnsi"/>
                <w:sz w:val="18"/>
                <w:szCs w:val="18"/>
              </w:rPr>
              <w:t>lower dose.</w:t>
            </w:r>
          </w:p>
          <w:p w14:paraId="49F4C45B"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Manage with topical analgesic mouth treatments (</w:t>
            </w:r>
            <w:proofErr w:type="spellStart"/>
            <w:r w:rsidRPr="001E0751">
              <w:rPr>
                <w:rFonts w:asciiTheme="minorHAnsi" w:hAnsiTheme="minorHAnsi"/>
                <w:sz w:val="18"/>
                <w:szCs w:val="18"/>
                <w:lang w:val="en-US"/>
              </w:rPr>
              <w:t>e.g</w:t>
            </w:r>
            <w:proofErr w:type="spellEnd"/>
            <w:r w:rsidRPr="001E0751">
              <w:rPr>
                <w:rFonts w:asciiTheme="minorHAnsi" w:hAnsiTheme="minorHAnsi"/>
                <w:sz w:val="18"/>
                <w:szCs w:val="18"/>
              </w:rPr>
              <w:t xml:space="preserve">. benzocaine, butyl </w:t>
            </w:r>
            <w:proofErr w:type="spellStart"/>
            <w:r w:rsidRPr="001E0751">
              <w:rPr>
                <w:rFonts w:asciiTheme="minorHAnsi" w:hAnsiTheme="minorHAnsi"/>
                <w:sz w:val="18"/>
                <w:szCs w:val="18"/>
              </w:rPr>
              <w:t>aminobenzoate</w:t>
            </w:r>
            <w:proofErr w:type="spellEnd"/>
            <w:r w:rsidRPr="001E0751">
              <w:rPr>
                <w:rFonts w:asciiTheme="minorHAnsi" w:hAnsiTheme="minorHAnsi"/>
                <w:sz w:val="18"/>
                <w:szCs w:val="18"/>
              </w:rPr>
              <w:t xml:space="preserve">, </w:t>
            </w:r>
            <w:proofErr w:type="spellStart"/>
            <w:r w:rsidRPr="001E0751">
              <w:rPr>
                <w:rFonts w:asciiTheme="minorHAnsi" w:hAnsiTheme="minorHAnsi"/>
                <w:sz w:val="18"/>
                <w:szCs w:val="18"/>
              </w:rPr>
              <w:t>tetracaine</w:t>
            </w:r>
            <w:proofErr w:type="spellEnd"/>
            <w:r w:rsidRPr="001E0751">
              <w:rPr>
                <w:rFonts w:asciiTheme="minorHAnsi" w:hAnsiTheme="minorHAnsi"/>
                <w:sz w:val="18"/>
                <w:szCs w:val="18"/>
              </w:rPr>
              <w:t xml:space="preserve"> hydrochloride, me</w:t>
            </w:r>
            <w:r w:rsidRPr="001E0751">
              <w:rPr>
                <w:rFonts w:asciiTheme="minorHAnsi" w:hAnsiTheme="minorHAnsi"/>
                <w:sz w:val="18"/>
                <w:szCs w:val="18"/>
                <w:lang w:val="en-US"/>
              </w:rPr>
              <w:t>n</w:t>
            </w:r>
            <w:proofErr w:type="spellStart"/>
            <w:r w:rsidRPr="001E0751">
              <w:rPr>
                <w:rFonts w:asciiTheme="minorHAnsi" w:hAnsiTheme="minorHAnsi"/>
                <w:sz w:val="18"/>
                <w:szCs w:val="18"/>
              </w:rPr>
              <w:t>thol</w:t>
            </w:r>
            <w:proofErr w:type="spellEnd"/>
            <w:r w:rsidRPr="001E0751">
              <w:rPr>
                <w:rFonts w:asciiTheme="minorHAnsi" w:hAnsiTheme="minorHAnsi"/>
                <w:sz w:val="18"/>
                <w:szCs w:val="18"/>
              </w:rPr>
              <w:t xml:space="preserve"> or phenol) with or without topical corticosteroids (i.e. triamcinolone oral paste).</w:t>
            </w:r>
            <w:r w:rsidRPr="001E0751">
              <w:rPr>
                <w:rFonts w:asciiTheme="minorHAnsi" w:hAnsiTheme="minorHAnsi"/>
                <w:sz w:val="18"/>
                <w:szCs w:val="18"/>
                <w:vertAlign w:val="superscript"/>
                <w:lang w:val="en-US"/>
              </w:rPr>
              <w:t>d</w:t>
            </w:r>
          </w:p>
        </w:tc>
      </w:tr>
      <w:tr w:rsidR="00A950E4" w:rsidRPr="001E0751" w14:paraId="48B2AFAC" w14:textId="77777777" w:rsidTr="009E0E5F">
        <w:tc>
          <w:tcPr>
            <w:tcW w:w="1773" w:type="dxa"/>
            <w:shd w:val="clear" w:color="auto" w:fill="auto"/>
          </w:tcPr>
          <w:p w14:paraId="623DEE90" w14:textId="77777777" w:rsidR="00A950E4" w:rsidRPr="001E0751" w:rsidRDefault="00A950E4" w:rsidP="009E0E5F">
            <w:pPr>
              <w:pStyle w:val="Table"/>
              <w:rPr>
                <w:rFonts w:asciiTheme="minorHAnsi" w:hAnsiTheme="minorHAnsi"/>
                <w:sz w:val="18"/>
                <w:szCs w:val="18"/>
              </w:rPr>
            </w:pPr>
          </w:p>
        </w:tc>
        <w:tc>
          <w:tcPr>
            <w:tcW w:w="1659" w:type="dxa"/>
            <w:shd w:val="clear" w:color="auto" w:fill="auto"/>
          </w:tcPr>
          <w:p w14:paraId="7CF5FF7F"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Grade 3</w:t>
            </w:r>
          </w:p>
          <w:p w14:paraId="0457AEA4"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Symptomatic and unable to adequately eat or hydrate orally</w:t>
            </w:r>
          </w:p>
          <w:p w14:paraId="32D374AA" w14:textId="77777777" w:rsidR="00A950E4" w:rsidRPr="001E0751" w:rsidRDefault="00A950E4" w:rsidP="009E0E5F">
            <w:pPr>
              <w:pStyle w:val="Table"/>
              <w:jc w:val="center"/>
              <w:rPr>
                <w:rFonts w:asciiTheme="minorHAnsi" w:hAnsiTheme="minorHAnsi"/>
                <w:sz w:val="18"/>
                <w:szCs w:val="18"/>
              </w:rPr>
            </w:pPr>
          </w:p>
        </w:tc>
        <w:tc>
          <w:tcPr>
            <w:tcW w:w="5495" w:type="dxa"/>
            <w:shd w:val="clear" w:color="auto" w:fill="auto"/>
          </w:tcPr>
          <w:p w14:paraId="752F623D"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 xml:space="preserve">Temporary dose interruption until recovery to </w:t>
            </w:r>
            <w:r w:rsidRPr="001E0751">
              <w:rPr>
                <w:rFonts w:asciiTheme="minorHAnsi" w:hAnsiTheme="minorHAnsi"/>
                <w:sz w:val="18"/>
                <w:szCs w:val="18"/>
                <w:lang w:val="en-US"/>
              </w:rPr>
              <w:t>G</w:t>
            </w:r>
            <w:proofErr w:type="spellStart"/>
            <w:r w:rsidRPr="001E0751">
              <w:rPr>
                <w:rFonts w:asciiTheme="minorHAnsi" w:hAnsiTheme="minorHAnsi"/>
                <w:sz w:val="18"/>
                <w:szCs w:val="18"/>
              </w:rPr>
              <w:t>rade</w:t>
            </w:r>
            <w:proofErr w:type="spellEnd"/>
            <w:r w:rsidRPr="001E0751">
              <w:rPr>
                <w:rFonts w:asciiTheme="minorHAnsi" w:hAnsiTheme="minorHAnsi"/>
                <w:sz w:val="18"/>
                <w:szCs w:val="18"/>
              </w:rPr>
              <w:t xml:space="preserve"> </w:t>
            </w:r>
            <w:r w:rsidRPr="001E0751">
              <w:rPr>
                <w:rFonts w:asciiTheme="minorHAnsi" w:hAnsiTheme="minorHAnsi"/>
                <w:sz w:val="18"/>
                <w:szCs w:val="18"/>
              </w:rPr>
              <w:sym w:font="Symbol" w:char="F0A3"/>
            </w:r>
            <w:r w:rsidRPr="001E0751">
              <w:rPr>
                <w:rFonts w:asciiTheme="minorHAnsi" w:hAnsiTheme="minorHAnsi"/>
                <w:sz w:val="18"/>
                <w:szCs w:val="18"/>
              </w:rPr>
              <w:t xml:space="preserve">1. </w:t>
            </w:r>
          </w:p>
          <w:p w14:paraId="35D8BF1D"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 xml:space="preserve">Re-initiate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rPr>
              <w:t xml:space="preserve"> at a lower dose.</w:t>
            </w:r>
          </w:p>
          <w:p w14:paraId="5728863D"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Manage with topical analgesic mouth treatments (</w:t>
            </w:r>
            <w:proofErr w:type="spellStart"/>
            <w:r w:rsidRPr="001E0751">
              <w:rPr>
                <w:rFonts w:asciiTheme="minorHAnsi" w:hAnsiTheme="minorHAnsi"/>
                <w:sz w:val="18"/>
                <w:szCs w:val="18"/>
                <w:lang w:val="en-US"/>
              </w:rPr>
              <w:t>e.g</w:t>
            </w:r>
            <w:proofErr w:type="spellEnd"/>
            <w:r w:rsidRPr="001E0751">
              <w:rPr>
                <w:rFonts w:asciiTheme="minorHAnsi" w:hAnsiTheme="minorHAnsi"/>
                <w:sz w:val="18"/>
                <w:szCs w:val="18"/>
              </w:rPr>
              <w:t xml:space="preserve">. benzocaine, butyl </w:t>
            </w:r>
            <w:proofErr w:type="spellStart"/>
            <w:r w:rsidRPr="001E0751">
              <w:rPr>
                <w:rFonts w:asciiTheme="minorHAnsi" w:hAnsiTheme="minorHAnsi"/>
                <w:sz w:val="18"/>
                <w:szCs w:val="18"/>
              </w:rPr>
              <w:t>aminobenzoate</w:t>
            </w:r>
            <w:proofErr w:type="spellEnd"/>
            <w:r w:rsidRPr="001E0751">
              <w:rPr>
                <w:rFonts w:asciiTheme="minorHAnsi" w:hAnsiTheme="minorHAnsi"/>
                <w:sz w:val="18"/>
                <w:szCs w:val="18"/>
              </w:rPr>
              <w:t xml:space="preserve">, </w:t>
            </w:r>
            <w:proofErr w:type="spellStart"/>
            <w:r w:rsidRPr="001E0751">
              <w:rPr>
                <w:rFonts w:asciiTheme="minorHAnsi" w:hAnsiTheme="minorHAnsi"/>
                <w:sz w:val="18"/>
                <w:szCs w:val="18"/>
              </w:rPr>
              <w:t>tetracaine</w:t>
            </w:r>
            <w:proofErr w:type="spellEnd"/>
            <w:r w:rsidRPr="001E0751">
              <w:rPr>
                <w:rFonts w:asciiTheme="minorHAnsi" w:hAnsiTheme="minorHAnsi"/>
                <w:sz w:val="18"/>
                <w:szCs w:val="18"/>
              </w:rPr>
              <w:t xml:space="preserve"> hydrochloride, menthol or phenol) with or without topical corticosteroids (i.e. triamcinolone oral paste).</w:t>
            </w:r>
            <w:r w:rsidRPr="001E0751">
              <w:rPr>
                <w:rFonts w:asciiTheme="minorHAnsi" w:hAnsiTheme="minorHAnsi"/>
                <w:sz w:val="18"/>
                <w:szCs w:val="18"/>
                <w:vertAlign w:val="superscript"/>
                <w:lang w:val="en-US"/>
              </w:rPr>
              <w:t>d</w:t>
            </w:r>
          </w:p>
        </w:tc>
      </w:tr>
      <w:tr w:rsidR="00A950E4" w:rsidRPr="001E0751" w14:paraId="51AC62A3" w14:textId="77777777" w:rsidTr="009E0E5F">
        <w:tc>
          <w:tcPr>
            <w:tcW w:w="1773" w:type="dxa"/>
            <w:tcBorders>
              <w:bottom w:val="single" w:sz="4" w:space="0" w:color="auto"/>
            </w:tcBorders>
            <w:shd w:val="clear" w:color="auto" w:fill="auto"/>
          </w:tcPr>
          <w:p w14:paraId="0A0A2757" w14:textId="77777777" w:rsidR="00A950E4" w:rsidRPr="001E0751" w:rsidRDefault="00A950E4" w:rsidP="009E0E5F">
            <w:pPr>
              <w:pStyle w:val="Table"/>
              <w:rPr>
                <w:rFonts w:asciiTheme="minorHAnsi" w:hAnsiTheme="minorHAnsi"/>
                <w:sz w:val="18"/>
                <w:szCs w:val="18"/>
              </w:rPr>
            </w:pPr>
          </w:p>
        </w:tc>
        <w:tc>
          <w:tcPr>
            <w:tcW w:w="1659" w:type="dxa"/>
            <w:tcBorders>
              <w:bottom w:val="single" w:sz="4" w:space="0" w:color="auto"/>
            </w:tcBorders>
            <w:shd w:val="clear" w:color="auto" w:fill="auto"/>
          </w:tcPr>
          <w:p w14:paraId="4293DD84"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Grade 4</w:t>
            </w:r>
          </w:p>
          <w:p w14:paraId="3DA5F189"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Symptoms associated with life-threatening</w:t>
            </w:r>
          </w:p>
          <w:p w14:paraId="222FF3C8"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Consequences</w:t>
            </w:r>
          </w:p>
          <w:p w14:paraId="24A7FF6C" w14:textId="77777777" w:rsidR="00A950E4" w:rsidRPr="001E0751" w:rsidRDefault="00A950E4" w:rsidP="009E0E5F">
            <w:pPr>
              <w:pStyle w:val="Table"/>
              <w:jc w:val="center"/>
              <w:rPr>
                <w:rFonts w:asciiTheme="minorHAnsi" w:hAnsiTheme="minorHAnsi"/>
                <w:sz w:val="18"/>
                <w:szCs w:val="18"/>
              </w:rPr>
            </w:pPr>
          </w:p>
        </w:tc>
        <w:tc>
          <w:tcPr>
            <w:tcW w:w="5495" w:type="dxa"/>
            <w:tcBorders>
              <w:bottom w:val="single" w:sz="4" w:space="0" w:color="auto"/>
            </w:tcBorders>
            <w:shd w:val="clear" w:color="auto" w:fill="auto"/>
          </w:tcPr>
          <w:p w14:paraId="5BFE9BD0"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 xml:space="preserve">Discontinue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lang w:val="en-US"/>
              </w:rPr>
              <w:t xml:space="preserve"> and treat with appropriate medical therapy.</w:t>
            </w:r>
          </w:p>
        </w:tc>
      </w:tr>
      <w:tr w:rsidR="00A950E4" w:rsidRPr="001E0751" w14:paraId="712493A6" w14:textId="77777777" w:rsidTr="009E0E5F">
        <w:tc>
          <w:tcPr>
            <w:tcW w:w="1773" w:type="dxa"/>
            <w:vMerge w:val="restart"/>
            <w:tcBorders>
              <w:top w:val="single" w:sz="4" w:space="0" w:color="auto"/>
              <w:left w:val="nil"/>
              <w:right w:val="nil"/>
            </w:tcBorders>
            <w:shd w:val="clear" w:color="auto" w:fill="auto"/>
          </w:tcPr>
          <w:p w14:paraId="5D50EC84"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Other non-hematologic toxicities</w:t>
            </w:r>
          </w:p>
          <w:p w14:paraId="048E73FA"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w:t>
            </w:r>
            <w:r w:rsidRPr="001E0751">
              <w:rPr>
                <w:rFonts w:asciiTheme="minorHAnsi" w:hAnsiTheme="minorHAnsi"/>
                <w:sz w:val="18"/>
                <w:szCs w:val="18"/>
                <w:lang w:val="en-US"/>
              </w:rPr>
              <w:t>e</w:t>
            </w:r>
            <w:proofErr w:type="spellStart"/>
            <w:r w:rsidRPr="001E0751">
              <w:rPr>
                <w:rFonts w:asciiTheme="minorHAnsi" w:hAnsiTheme="minorHAnsi"/>
                <w:sz w:val="18"/>
                <w:szCs w:val="18"/>
              </w:rPr>
              <w:t>xcluding</w:t>
            </w:r>
            <w:proofErr w:type="spellEnd"/>
            <w:r w:rsidRPr="001E0751">
              <w:rPr>
                <w:rFonts w:asciiTheme="minorHAnsi" w:hAnsiTheme="minorHAnsi"/>
                <w:sz w:val="18"/>
                <w:szCs w:val="18"/>
              </w:rPr>
              <w:t xml:space="preserve"> </w:t>
            </w:r>
            <w:r w:rsidRPr="001E0751">
              <w:rPr>
                <w:rFonts w:asciiTheme="minorHAnsi" w:hAnsiTheme="minorHAnsi"/>
                <w:sz w:val="18"/>
                <w:szCs w:val="18"/>
                <w:lang w:val="en-US"/>
              </w:rPr>
              <w:t>m</w:t>
            </w:r>
            <w:proofErr w:type="spellStart"/>
            <w:r w:rsidRPr="001E0751">
              <w:rPr>
                <w:rFonts w:asciiTheme="minorHAnsi" w:hAnsiTheme="minorHAnsi"/>
                <w:sz w:val="18"/>
                <w:szCs w:val="18"/>
              </w:rPr>
              <w:t>etabolic</w:t>
            </w:r>
            <w:proofErr w:type="spellEnd"/>
            <w:r w:rsidRPr="001E0751">
              <w:rPr>
                <w:rFonts w:asciiTheme="minorHAnsi" w:hAnsiTheme="minorHAnsi"/>
                <w:sz w:val="18"/>
                <w:szCs w:val="18"/>
              </w:rPr>
              <w:t xml:space="preserve"> events)</w:t>
            </w:r>
          </w:p>
        </w:tc>
        <w:tc>
          <w:tcPr>
            <w:tcW w:w="1659" w:type="dxa"/>
            <w:tcBorders>
              <w:top w:val="single" w:sz="4" w:space="0" w:color="auto"/>
              <w:left w:val="nil"/>
              <w:bottom w:val="nil"/>
              <w:right w:val="nil"/>
            </w:tcBorders>
            <w:shd w:val="clear" w:color="auto" w:fill="auto"/>
          </w:tcPr>
          <w:p w14:paraId="6803E023"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lang w:val="en-US"/>
              </w:rPr>
              <w:t xml:space="preserve">Grade </w:t>
            </w:r>
            <w:r w:rsidRPr="001E0751">
              <w:rPr>
                <w:rFonts w:asciiTheme="minorHAnsi" w:hAnsiTheme="minorHAnsi"/>
                <w:sz w:val="18"/>
                <w:szCs w:val="18"/>
              </w:rPr>
              <w:t>1</w:t>
            </w:r>
          </w:p>
        </w:tc>
        <w:tc>
          <w:tcPr>
            <w:tcW w:w="5495" w:type="dxa"/>
            <w:tcBorders>
              <w:top w:val="single" w:sz="4" w:space="0" w:color="auto"/>
              <w:left w:val="nil"/>
              <w:bottom w:val="nil"/>
              <w:right w:val="nil"/>
            </w:tcBorders>
            <w:shd w:val="clear" w:color="auto" w:fill="auto"/>
          </w:tcPr>
          <w:p w14:paraId="77BA7FE5"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If toxicity is tolerable, no dose adjustment required</w:t>
            </w:r>
            <w:r w:rsidRPr="001E0751">
              <w:rPr>
                <w:rFonts w:asciiTheme="minorHAnsi" w:hAnsiTheme="minorHAnsi"/>
                <w:sz w:val="18"/>
                <w:szCs w:val="18"/>
                <w:lang w:val="en-US"/>
              </w:rPr>
              <w:t>.</w:t>
            </w:r>
          </w:p>
          <w:p w14:paraId="48C96495"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Initiate appropriate medical therapy and monitor.</w:t>
            </w:r>
          </w:p>
        </w:tc>
      </w:tr>
      <w:tr w:rsidR="00A950E4" w:rsidRPr="001E0751" w14:paraId="5D4A4E7D" w14:textId="77777777" w:rsidTr="009E0E5F">
        <w:tc>
          <w:tcPr>
            <w:tcW w:w="1773" w:type="dxa"/>
            <w:vMerge/>
            <w:tcBorders>
              <w:left w:val="nil"/>
              <w:bottom w:val="nil"/>
              <w:right w:val="nil"/>
            </w:tcBorders>
            <w:shd w:val="clear" w:color="auto" w:fill="auto"/>
          </w:tcPr>
          <w:p w14:paraId="23413A3F" w14:textId="77777777" w:rsidR="00A950E4" w:rsidRPr="001E0751" w:rsidRDefault="00A950E4" w:rsidP="009E0E5F">
            <w:pPr>
              <w:pStyle w:val="Table"/>
              <w:rPr>
                <w:rFonts w:asciiTheme="minorHAnsi" w:hAnsiTheme="minorHAnsi"/>
                <w:sz w:val="18"/>
                <w:szCs w:val="18"/>
              </w:rPr>
            </w:pPr>
          </w:p>
        </w:tc>
        <w:tc>
          <w:tcPr>
            <w:tcW w:w="1659" w:type="dxa"/>
            <w:tcBorders>
              <w:top w:val="nil"/>
              <w:left w:val="nil"/>
              <w:bottom w:val="nil"/>
              <w:right w:val="nil"/>
            </w:tcBorders>
            <w:shd w:val="clear" w:color="auto" w:fill="auto"/>
          </w:tcPr>
          <w:p w14:paraId="18644EF1"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lang w:val="en-US"/>
              </w:rPr>
              <w:t>Grade 2</w:t>
            </w:r>
          </w:p>
        </w:tc>
        <w:tc>
          <w:tcPr>
            <w:tcW w:w="5495" w:type="dxa"/>
            <w:tcBorders>
              <w:top w:val="nil"/>
              <w:left w:val="nil"/>
              <w:bottom w:val="nil"/>
              <w:right w:val="nil"/>
            </w:tcBorders>
            <w:shd w:val="clear" w:color="auto" w:fill="auto"/>
          </w:tcPr>
          <w:p w14:paraId="5B353509"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If toxicity is tolerable, no dose adjustment required</w:t>
            </w:r>
            <w:r w:rsidRPr="001E0751">
              <w:rPr>
                <w:rFonts w:asciiTheme="minorHAnsi" w:hAnsiTheme="minorHAnsi"/>
                <w:sz w:val="18"/>
                <w:szCs w:val="18"/>
                <w:lang w:val="en-US"/>
              </w:rPr>
              <w:t>.</w:t>
            </w:r>
          </w:p>
          <w:p w14:paraId="23409108"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Initiate appropriate medical therapy and monitor.</w:t>
            </w:r>
          </w:p>
          <w:p w14:paraId="7F08B5EC"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 xml:space="preserve">If toxicity becomes intolerable, temporary dose interruption until recovery to </w:t>
            </w:r>
            <w:r w:rsidRPr="001E0751">
              <w:rPr>
                <w:rFonts w:asciiTheme="minorHAnsi" w:hAnsiTheme="minorHAnsi"/>
                <w:sz w:val="18"/>
                <w:szCs w:val="18"/>
                <w:lang w:val="en-US"/>
              </w:rPr>
              <w:t>G</w:t>
            </w:r>
            <w:proofErr w:type="spellStart"/>
            <w:r w:rsidRPr="001E0751">
              <w:rPr>
                <w:rFonts w:asciiTheme="minorHAnsi" w:hAnsiTheme="minorHAnsi"/>
                <w:sz w:val="18"/>
                <w:szCs w:val="18"/>
              </w:rPr>
              <w:t>rade</w:t>
            </w:r>
            <w:proofErr w:type="spellEnd"/>
            <w:r w:rsidRPr="001E0751">
              <w:rPr>
                <w:rFonts w:asciiTheme="minorHAnsi" w:hAnsiTheme="minorHAnsi"/>
                <w:sz w:val="18"/>
                <w:szCs w:val="18"/>
              </w:rPr>
              <w:t xml:space="preserve"> </w:t>
            </w:r>
            <w:r w:rsidRPr="001E0751">
              <w:rPr>
                <w:rFonts w:asciiTheme="minorHAnsi" w:hAnsiTheme="minorHAnsi"/>
                <w:sz w:val="18"/>
                <w:szCs w:val="18"/>
              </w:rPr>
              <w:sym w:font="Symbol" w:char="F0A3"/>
            </w:r>
            <w:r w:rsidRPr="001E0751">
              <w:rPr>
                <w:rFonts w:asciiTheme="minorHAnsi" w:hAnsiTheme="minorHAnsi"/>
                <w:sz w:val="18"/>
                <w:szCs w:val="18"/>
              </w:rPr>
              <w:t xml:space="preserve">1. Re-initiate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rPr>
              <w:t xml:space="preserve"> at </w:t>
            </w:r>
            <w:r w:rsidRPr="001E0751">
              <w:rPr>
                <w:rFonts w:asciiTheme="minorHAnsi" w:hAnsiTheme="minorHAnsi"/>
                <w:sz w:val="18"/>
                <w:szCs w:val="18"/>
                <w:lang w:val="en-US"/>
              </w:rPr>
              <w:t xml:space="preserve">the </w:t>
            </w:r>
            <w:r w:rsidRPr="001E0751">
              <w:rPr>
                <w:rFonts w:asciiTheme="minorHAnsi" w:hAnsiTheme="minorHAnsi"/>
                <w:sz w:val="18"/>
                <w:szCs w:val="18"/>
              </w:rPr>
              <w:t>same dose.</w:t>
            </w:r>
          </w:p>
          <w:p w14:paraId="0C380CA8"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 xml:space="preserve">If toxicity recurs at </w:t>
            </w:r>
            <w:r w:rsidRPr="001E0751">
              <w:rPr>
                <w:rFonts w:asciiTheme="minorHAnsi" w:hAnsiTheme="minorHAnsi"/>
                <w:sz w:val="18"/>
                <w:szCs w:val="18"/>
                <w:lang w:val="en-US"/>
              </w:rPr>
              <w:t>G</w:t>
            </w:r>
            <w:proofErr w:type="spellStart"/>
            <w:r w:rsidRPr="001E0751">
              <w:rPr>
                <w:rFonts w:asciiTheme="minorHAnsi" w:hAnsiTheme="minorHAnsi"/>
                <w:sz w:val="18"/>
                <w:szCs w:val="18"/>
              </w:rPr>
              <w:t>rade</w:t>
            </w:r>
            <w:proofErr w:type="spellEnd"/>
            <w:r w:rsidRPr="001E0751">
              <w:rPr>
                <w:rFonts w:asciiTheme="minorHAnsi" w:hAnsiTheme="minorHAnsi"/>
                <w:sz w:val="18"/>
                <w:szCs w:val="18"/>
              </w:rPr>
              <w:t xml:space="preserve"> 2, interrupt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rPr>
              <w:t xml:space="preserve"> until recovery to </w:t>
            </w:r>
            <w:r w:rsidRPr="001E0751">
              <w:rPr>
                <w:rFonts w:asciiTheme="minorHAnsi" w:hAnsiTheme="minorHAnsi"/>
                <w:sz w:val="18"/>
                <w:szCs w:val="18"/>
                <w:lang w:val="en-US"/>
              </w:rPr>
              <w:t>G</w:t>
            </w:r>
            <w:proofErr w:type="spellStart"/>
            <w:r w:rsidRPr="001E0751">
              <w:rPr>
                <w:rFonts w:asciiTheme="minorHAnsi" w:hAnsiTheme="minorHAnsi"/>
                <w:sz w:val="18"/>
                <w:szCs w:val="18"/>
              </w:rPr>
              <w:t>rade</w:t>
            </w:r>
            <w:proofErr w:type="spellEnd"/>
            <w:r w:rsidRPr="001E0751">
              <w:rPr>
                <w:rFonts w:asciiTheme="minorHAnsi" w:hAnsiTheme="minorHAnsi"/>
                <w:sz w:val="18"/>
                <w:szCs w:val="18"/>
              </w:rPr>
              <w:t xml:space="preserve"> </w:t>
            </w:r>
            <w:r w:rsidRPr="001E0751">
              <w:rPr>
                <w:rFonts w:asciiTheme="minorHAnsi" w:hAnsiTheme="minorHAnsi"/>
                <w:sz w:val="18"/>
                <w:szCs w:val="18"/>
              </w:rPr>
              <w:sym w:font="Symbol" w:char="F0A3"/>
            </w:r>
            <w:r w:rsidRPr="001E0751">
              <w:rPr>
                <w:rFonts w:asciiTheme="minorHAnsi" w:hAnsiTheme="minorHAnsi"/>
                <w:sz w:val="18"/>
                <w:szCs w:val="18"/>
              </w:rPr>
              <w:t xml:space="preserve">1. Re-initiate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rPr>
              <w:t xml:space="preserve"> at a lower dose.</w:t>
            </w:r>
          </w:p>
        </w:tc>
      </w:tr>
      <w:tr w:rsidR="00A950E4" w:rsidRPr="001E0751" w14:paraId="5B655F9D" w14:textId="77777777" w:rsidTr="009E0E5F">
        <w:tc>
          <w:tcPr>
            <w:tcW w:w="1773" w:type="dxa"/>
            <w:tcBorders>
              <w:top w:val="nil"/>
              <w:left w:val="nil"/>
              <w:bottom w:val="nil"/>
              <w:right w:val="nil"/>
            </w:tcBorders>
            <w:shd w:val="clear" w:color="auto" w:fill="auto"/>
          </w:tcPr>
          <w:p w14:paraId="06B1F9DD" w14:textId="77777777" w:rsidR="00A950E4" w:rsidRPr="001E0751" w:rsidRDefault="00A950E4" w:rsidP="009E0E5F">
            <w:pPr>
              <w:pStyle w:val="Table"/>
              <w:rPr>
                <w:rFonts w:asciiTheme="minorHAnsi" w:hAnsiTheme="minorHAnsi"/>
                <w:sz w:val="18"/>
                <w:szCs w:val="18"/>
              </w:rPr>
            </w:pPr>
          </w:p>
        </w:tc>
        <w:tc>
          <w:tcPr>
            <w:tcW w:w="1659" w:type="dxa"/>
            <w:tcBorders>
              <w:top w:val="nil"/>
              <w:left w:val="nil"/>
              <w:bottom w:val="nil"/>
              <w:right w:val="nil"/>
            </w:tcBorders>
            <w:shd w:val="clear" w:color="auto" w:fill="auto"/>
          </w:tcPr>
          <w:p w14:paraId="74CB4EB3"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lang w:val="en-US"/>
              </w:rPr>
              <w:t>Grade 3</w:t>
            </w:r>
          </w:p>
        </w:tc>
        <w:tc>
          <w:tcPr>
            <w:tcW w:w="5495" w:type="dxa"/>
            <w:tcBorders>
              <w:top w:val="nil"/>
              <w:left w:val="nil"/>
              <w:bottom w:val="nil"/>
              <w:right w:val="nil"/>
            </w:tcBorders>
            <w:shd w:val="clear" w:color="auto" w:fill="auto"/>
          </w:tcPr>
          <w:p w14:paraId="36972ACE"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 xml:space="preserve">Temporary dose interruption until recovery to </w:t>
            </w:r>
            <w:r w:rsidRPr="001E0751">
              <w:rPr>
                <w:rFonts w:asciiTheme="minorHAnsi" w:hAnsiTheme="minorHAnsi"/>
                <w:sz w:val="18"/>
                <w:szCs w:val="18"/>
                <w:lang w:val="en-US"/>
              </w:rPr>
              <w:t>G</w:t>
            </w:r>
            <w:proofErr w:type="spellStart"/>
            <w:r w:rsidRPr="001E0751">
              <w:rPr>
                <w:rFonts w:asciiTheme="minorHAnsi" w:hAnsiTheme="minorHAnsi"/>
                <w:sz w:val="18"/>
                <w:szCs w:val="18"/>
              </w:rPr>
              <w:t>rade</w:t>
            </w:r>
            <w:proofErr w:type="spellEnd"/>
            <w:r w:rsidRPr="001E0751">
              <w:rPr>
                <w:rFonts w:asciiTheme="minorHAnsi" w:hAnsiTheme="minorHAnsi"/>
                <w:sz w:val="18"/>
                <w:szCs w:val="18"/>
              </w:rPr>
              <w:t xml:space="preserve"> </w:t>
            </w:r>
            <w:r w:rsidRPr="001E0751">
              <w:rPr>
                <w:rFonts w:asciiTheme="minorHAnsi" w:hAnsiTheme="minorHAnsi"/>
                <w:sz w:val="18"/>
                <w:szCs w:val="18"/>
              </w:rPr>
              <w:sym w:font="Symbol" w:char="F0A3"/>
            </w:r>
            <w:r w:rsidRPr="001E0751">
              <w:rPr>
                <w:rFonts w:asciiTheme="minorHAnsi" w:hAnsiTheme="minorHAnsi"/>
                <w:sz w:val="18"/>
                <w:szCs w:val="18"/>
              </w:rPr>
              <w:t xml:space="preserve">1. </w:t>
            </w:r>
          </w:p>
          <w:p w14:paraId="6051EB63"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Initiate appropriate medical therapy and monitor.</w:t>
            </w:r>
          </w:p>
          <w:p w14:paraId="41C02AE7"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lang w:val="en-US"/>
              </w:rPr>
              <w:t>Consider r</w:t>
            </w:r>
            <w:r w:rsidRPr="001E0751">
              <w:rPr>
                <w:rFonts w:asciiTheme="minorHAnsi" w:hAnsiTheme="minorHAnsi"/>
                <w:sz w:val="18"/>
                <w:szCs w:val="18"/>
              </w:rPr>
              <w:t>e-</w:t>
            </w:r>
            <w:proofErr w:type="spellStart"/>
            <w:r w:rsidRPr="001E0751">
              <w:rPr>
                <w:rFonts w:asciiTheme="minorHAnsi" w:hAnsiTheme="minorHAnsi"/>
                <w:sz w:val="18"/>
                <w:szCs w:val="18"/>
              </w:rPr>
              <w:t>initiat</w:t>
            </w:r>
            <w:r w:rsidRPr="001E0751">
              <w:rPr>
                <w:rFonts w:asciiTheme="minorHAnsi" w:hAnsiTheme="minorHAnsi"/>
                <w:sz w:val="18"/>
                <w:szCs w:val="18"/>
                <w:lang w:val="en-US"/>
              </w:rPr>
              <w:t>ing</w:t>
            </w:r>
            <w:proofErr w:type="spellEnd"/>
            <w:r w:rsidRPr="001E0751">
              <w:rPr>
                <w:rFonts w:asciiTheme="minorHAnsi" w:hAnsiTheme="minorHAnsi"/>
                <w:sz w:val="18"/>
                <w:szCs w:val="18"/>
              </w:rPr>
              <w:t xml:space="preserv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rPr>
              <w:t xml:space="preserve"> at a lower dose.</w:t>
            </w:r>
            <w:r w:rsidRPr="001E0751">
              <w:rPr>
                <w:rFonts w:asciiTheme="minorHAnsi" w:hAnsiTheme="minorHAnsi"/>
                <w:sz w:val="18"/>
                <w:szCs w:val="18"/>
                <w:lang w:val="en-US"/>
              </w:rPr>
              <w:t xml:space="preserve"> </w:t>
            </w:r>
          </w:p>
          <w:p w14:paraId="043AB604"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lang w:val="en-US"/>
              </w:rPr>
              <w:t>If toxicity recurs at Grade 3, consider discontinuation.</w:t>
            </w:r>
          </w:p>
        </w:tc>
      </w:tr>
      <w:tr w:rsidR="00A950E4" w:rsidRPr="001E0751" w14:paraId="48075449" w14:textId="77777777" w:rsidTr="009E0E5F">
        <w:tc>
          <w:tcPr>
            <w:tcW w:w="1773" w:type="dxa"/>
            <w:tcBorders>
              <w:top w:val="nil"/>
              <w:left w:val="nil"/>
              <w:bottom w:val="single" w:sz="4" w:space="0" w:color="auto"/>
              <w:right w:val="nil"/>
            </w:tcBorders>
            <w:shd w:val="clear" w:color="auto" w:fill="auto"/>
          </w:tcPr>
          <w:p w14:paraId="5B11F1A9" w14:textId="77777777" w:rsidR="00A950E4" w:rsidRPr="001E0751" w:rsidRDefault="00A950E4" w:rsidP="009E0E5F">
            <w:pPr>
              <w:pStyle w:val="Table"/>
              <w:rPr>
                <w:rFonts w:asciiTheme="minorHAnsi" w:hAnsiTheme="minorHAnsi"/>
                <w:sz w:val="18"/>
                <w:szCs w:val="18"/>
              </w:rPr>
            </w:pPr>
          </w:p>
        </w:tc>
        <w:tc>
          <w:tcPr>
            <w:tcW w:w="1659" w:type="dxa"/>
            <w:tcBorders>
              <w:top w:val="nil"/>
              <w:left w:val="nil"/>
              <w:bottom w:val="single" w:sz="4" w:space="0" w:color="auto"/>
              <w:right w:val="nil"/>
            </w:tcBorders>
            <w:shd w:val="clear" w:color="auto" w:fill="auto"/>
          </w:tcPr>
          <w:p w14:paraId="5A70C240"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lang w:val="en-US"/>
              </w:rPr>
              <w:t>Grade 4</w:t>
            </w:r>
          </w:p>
        </w:tc>
        <w:tc>
          <w:tcPr>
            <w:tcW w:w="5495" w:type="dxa"/>
            <w:tcBorders>
              <w:top w:val="nil"/>
              <w:left w:val="nil"/>
              <w:bottom w:val="single" w:sz="4" w:space="0" w:color="auto"/>
              <w:right w:val="nil"/>
            </w:tcBorders>
            <w:shd w:val="clear" w:color="auto" w:fill="auto"/>
          </w:tcPr>
          <w:p w14:paraId="32D8F3A2"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 xml:space="preserve">Discontinue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lang w:val="en-US"/>
              </w:rPr>
              <w:t xml:space="preserve"> and treat with appropriate medical therapy.</w:t>
            </w:r>
          </w:p>
        </w:tc>
      </w:tr>
      <w:tr w:rsidR="00A950E4" w:rsidRPr="001E0751" w14:paraId="1DC29087" w14:textId="77777777" w:rsidTr="009E0E5F">
        <w:tc>
          <w:tcPr>
            <w:tcW w:w="1773" w:type="dxa"/>
            <w:vMerge w:val="restart"/>
            <w:tcBorders>
              <w:top w:val="single" w:sz="4" w:space="0" w:color="auto"/>
              <w:left w:val="nil"/>
              <w:right w:val="nil"/>
            </w:tcBorders>
            <w:shd w:val="clear" w:color="auto" w:fill="auto"/>
          </w:tcPr>
          <w:p w14:paraId="5C394477"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Metabolic events</w:t>
            </w:r>
          </w:p>
          <w:p w14:paraId="1C04822B"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 xml:space="preserve">(e.g. </w:t>
            </w:r>
            <w:r w:rsidRPr="001E0751">
              <w:rPr>
                <w:rFonts w:asciiTheme="minorHAnsi" w:hAnsiTheme="minorHAnsi"/>
                <w:sz w:val="18"/>
                <w:szCs w:val="18"/>
                <w:lang w:val="en-US"/>
              </w:rPr>
              <w:t>h</w:t>
            </w:r>
            <w:proofErr w:type="spellStart"/>
            <w:r w:rsidRPr="001E0751">
              <w:rPr>
                <w:rFonts w:asciiTheme="minorHAnsi" w:hAnsiTheme="minorHAnsi"/>
                <w:sz w:val="18"/>
                <w:szCs w:val="18"/>
              </w:rPr>
              <w:t>yperglycemia</w:t>
            </w:r>
            <w:proofErr w:type="spellEnd"/>
            <w:r w:rsidRPr="001E0751">
              <w:rPr>
                <w:rFonts w:asciiTheme="minorHAnsi" w:hAnsiTheme="minorHAnsi"/>
                <w:sz w:val="18"/>
                <w:szCs w:val="18"/>
              </w:rPr>
              <w:t xml:space="preserve">, </w:t>
            </w:r>
            <w:r w:rsidRPr="001E0751">
              <w:rPr>
                <w:rFonts w:asciiTheme="minorHAnsi" w:hAnsiTheme="minorHAnsi"/>
                <w:sz w:val="18"/>
                <w:szCs w:val="18"/>
                <w:lang w:val="en-US"/>
              </w:rPr>
              <w:t>d</w:t>
            </w:r>
            <w:proofErr w:type="spellStart"/>
            <w:r w:rsidRPr="001E0751">
              <w:rPr>
                <w:rFonts w:asciiTheme="minorHAnsi" w:hAnsiTheme="minorHAnsi"/>
                <w:sz w:val="18"/>
                <w:szCs w:val="18"/>
              </w:rPr>
              <w:t>yslipidemia</w:t>
            </w:r>
            <w:proofErr w:type="spellEnd"/>
            <w:r w:rsidRPr="001E0751">
              <w:rPr>
                <w:rFonts w:asciiTheme="minorHAnsi" w:hAnsiTheme="minorHAnsi"/>
                <w:sz w:val="18"/>
                <w:szCs w:val="18"/>
              </w:rPr>
              <w:t>)</w:t>
            </w:r>
          </w:p>
        </w:tc>
        <w:tc>
          <w:tcPr>
            <w:tcW w:w="1659" w:type="dxa"/>
            <w:tcBorders>
              <w:top w:val="single" w:sz="4" w:space="0" w:color="auto"/>
              <w:left w:val="nil"/>
              <w:bottom w:val="nil"/>
              <w:right w:val="nil"/>
            </w:tcBorders>
            <w:shd w:val="clear" w:color="auto" w:fill="auto"/>
          </w:tcPr>
          <w:p w14:paraId="7402658A"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lang w:val="en-US"/>
              </w:rPr>
              <w:t xml:space="preserve">Grade </w:t>
            </w:r>
            <w:r w:rsidRPr="001E0751">
              <w:rPr>
                <w:rFonts w:asciiTheme="minorHAnsi" w:hAnsiTheme="minorHAnsi"/>
                <w:sz w:val="18"/>
                <w:szCs w:val="18"/>
              </w:rPr>
              <w:t>1</w:t>
            </w:r>
          </w:p>
        </w:tc>
        <w:tc>
          <w:tcPr>
            <w:tcW w:w="5495" w:type="dxa"/>
            <w:tcBorders>
              <w:top w:val="single" w:sz="4" w:space="0" w:color="auto"/>
              <w:left w:val="nil"/>
              <w:bottom w:val="nil"/>
              <w:right w:val="nil"/>
            </w:tcBorders>
            <w:shd w:val="clear" w:color="auto" w:fill="auto"/>
          </w:tcPr>
          <w:p w14:paraId="1AFE48A2"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No dose adjustment required</w:t>
            </w:r>
            <w:r w:rsidRPr="001E0751">
              <w:rPr>
                <w:rFonts w:asciiTheme="minorHAnsi" w:hAnsiTheme="minorHAnsi"/>
                <w:sz w:val="18"/>
                <w:szCs w:val="18"/>
                <w:lang w:val="en-US"/>
              </w:rPr>
              <w:t>.</w:t>
            </w:r>
          </w:p>
          <w:p w14:paraId="28353F1A"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Initiate appropriate medical therapy and monitor.</w:t>
            </w:r>
          </w:p>
        </w:tc>
      </w:tr>
      <w:tr w:rsidR="00A950E4" w:rsidRPr="001E0751" w14:paraId="29ABDDC3" w14:textId="77777777" w:rsidTr="009E0E5F">
        <w:tc>
          <w:tcPr>
            <w:tcW w:w="1773" w:type="dxa"/>
            <w:vMerge/>
            <w:tcBorders>
              <w:left w:val="nil"/>
              <w:bottom w:val="nil"/>
              <w:right w:val="nil"/>
            </w:tcBorders>
            <w:shd w:val="clear" w:color="auto" w:fill="auto"/>
          </w:tcPr>
          <w:p w14:paraId="4C2F5AD7" w14:textId="77777777" w:rsidR="00A950E4" w:rsidRPr="001E0751" w:rsidRDefault="00A950E4" w:rsidP="009E0E5F">
            <w:pPr>
              <w:pStyle w:val="Table"/>
              <w:rPr>
                <w:rFonts w:asciiTheme="minorHAnsi" w:hAnsiTheme="minorHAnsi"/>
                <w:sz w:val="18"/>
                <w:szCs w:val="18"/>
              </w:rPr>
            </w:pPr>
          </w:p>
        </w:tc>
        <w:tc>
          <w:tcPr>
            <w:tcW w:w="1659" w:type="dxa"/>
            <w:tcBorders>
              <w:top w:val="nil"/>
              <w:left w:val="nil"/>
              <w:bottom w:val="nil"/>
              <w:right w:val="nil"/>
            </w:tcBorders>
            <w:shd w:val="clear" w:color="auto" w:fill="auto"/>
          </w:tcPr>
          <w:p w14:paraId="4FBCD51A"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lang w:val="en-US"/>
              </w:rPr>
              <w:t>Grade 2</w:t>
            </w:r>
          </w:p>
        </w:tc>
        <w:tc>
          <w:tcPr>
            <w:tcW w:w="5495" w:type="dxa"/>
            <w:tcBorders>
              <w:top w:val="nil"/>
              <w:left w:val="nil"/>
              <w:bottom w:val="nil"/>
              <w:right w:val="nil"/>
            </w:tcBorders>
            <w:shd w:val="clear" w:color="auto" w:fill="auto"/>
          </w:tcPr>
          <w:p w14:paraId="1A482EF9"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No dose adjustment required</w:t>
            </w:r>
            <w:r w:rsidRPr="001E0751">
              <w:rPr>
                <w:rFonts w:asciiTheme="minorHAnsi" w:hAnsiTheme="minorHAnsi"/>
                <w:sz w:val="18"/>
                <w:szCs w:val="18"/>
                <w:lang w:val="en-US"/>
              </w:rPr>
              <w:t>.</w:t>
            </w:r>
          </w:p>
          <w:p w14:paraId="5E3EC8D8"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Manage with appropriate medical therapy and monitor.</w:t>
            </w:r>
          </w:p>
        </w:tc>
      </w:tr>
      <w:tr w:rsidR="00A950E4" w:rsidRPr="001E0751" w14:paraId="08259AB6" w14:textId="77777777" w:rsidTr="009E0E5F">
        <w:tc>
          <w:tcPr>
            <w:tcW w:w="1773" w:type="dxa"/>
            <w:tcBorders>
              <w:top w:val="nil"/>
              <w:left w:val="nil"/>
              <w:bottom w:val="nil"/>
              <w:right w:val="nil"/>
            </w:tcBorders>
            <w:shd w:val="clear" w:color="auto" w:fill="auto"/>
          </w:tcPr>
          <w:p w14:paraId="41674CC5" w14:textId="77777777" w:rsidR="00A950E4" w:rsidRPr="001E0751" w:rsidRDefault="00A950E4" w:rsidP="009E0E5F">
            <w:pPr>
              <w:pStyle w:val="Table"/>
              <w:rPr>
                <w:rFonts w:asciiTheme="minorHAnsi" w:hAnsiTheme="minorHAnsi"/>
                <w:sz w:val="18"/>
                <w:szCs w:val="18"/>
              </w:rPr>
            </w:pPr>
          </w:p>
        </w:tc>
        <w:tc>
          <w:tcPr>
            <w:tcW w:w="1659" w:type="dxa"/>
            <w:tcBorders>
              <w:top w:val="nil"/>
              <w:left w:val="nil"/>
              <w:bottom w:val="nil"/>
              <w:right w:val="nil"/>
            </w:tcBorders>
            <w:shd w:val="clear" w:color="auto" w:fill="auto"/>
          </w:tcPr>
          <w:p w14:paraId="32F8ED9F"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lang w:val="en-US"/>
              </w:rPr>
              <w:t>Grade 3</w:t>
            </w:r>
          </w:p>
        </w:tc>
        <w:tc>
          <w:tcPr>
            <w:tcW w:w="5495" w:type="dxa"/>
            <w:tcBorders>
              <w:top w:val="nil"/>
              <w:left w:val="nil"/>
              <w:bottom w:val="nil"/>
              <w:right w:val="nil"/>
            </w:tcBorders>
            <w:shd w:val="clear" w:color="auto" w:fill="auto"/>
          </w:tcPr>
          <w:p w14:paraId="12C0AE41"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 xml:space="preserve">Temporary dose interruption. </w:t>
            </w:r>
          </w:p>
          <w:p w14:paraId="04E99DA7"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 xml:space="preserve">Re-initiate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rPr>
              <w:t xml:space="preserve"> at </w:t>
            </w:r>
            <w:r w:rsidRPr="001E0751">
              <w:rPr>
                <w:rFonts w:asciiTheme="minorHAnsi" w:hAnsiTheme="minorHAnsi"/>
                <w:sz w:val="18"/>
                <w:szCs w:val="18"/>
                <w:lang w:val="en-US"/>
              </w:rPr>
              <w:t xml:space="preserve">a </w:t>
            </w:r>
            <w:r w:rsidRPr="001E0751">
              <w:rPr>
                <w:rFonts w:asciiTheme="minorHAnsi" w:hAnsiTheme="minorHAnsi"/>
                <w:sz w:val="18"/>
                <w:szCs w:val="18"/>
              </w:rPr>
              <w:t>lower dose.</w:t>
            </w:r>
          </w:p>
          <w:p w14:paraId="1151BF53"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Manage with appropriate medical therapy and monitor.</w:t>
            </w:r>
          </w:p>
        </w:tc>
      </w:tr>
      <w:tr w:rsidR="00A950E4" w:rsidRPr="001E0751" w14:paraId="0D237609" w14:textId="77777777" w:rsidTr="009E0E5F">
        <w:tc>
          <w:tcPr>
            <w:tcW w:w="1773" w:type="dxa"/>
            <w:tcBorders>
              <w:top w:val="nil"/>
              <w:left w:val="nil"/>
              <w:bottom w:val="single" w:sz="4" w:space="0" w:color="auto"/>
              <w:right w:val="nil"/>
            </w:tcBorders>
            <w:shd w:val="clear" w:color="auto" w:fill="auto"/>
          </w:tcPr>
          <w:p w14:paraId="25ACFD81" w14:textId="77777777" w:rsidR="00A950E4" w:rsidRPr="001E0751" w:rsidRDefault="00A950E4" w:rsidP="009E0E5F">
            <w:pPr>
              <w:pStyle w:val="Table"/>
              <w:rPr>
                <w:rFonts w:asciiTheme="minorHAnsi" w:hAnsiTheme="minorHAnsi"/>
                <w:sz w:val="18"/>
                <w:szCs w:val="18"/>
              </w:rPr>
            </w:pPr>
          </w:p>
        </w:tc>
        <w:tc>
          <w:tcPr>
            <w:tcW w:w="1659" w:type="dxa"/>
            <w:tcBorders>
              <w:top w:val="nil"/>
              <w:left w:val="nil"/>
              <w:bottom w:val="single" w:sz="4" w:space="0" w:color="auto"/>
              <w:right w:val="nil"/>
            </w:tcBorders>
            <w:shd w:val="clear" w:color="auto" w:fill="auto"/>
          </w:tcPr>
          <w:p w14:paraId="7885F8FB"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lang w:val="en-US"/>
              </w:rPr>
              <w:t>Grade 4</w:t>
            </w:r>
          </w:p>
        </w:tc>
        <w:tc>
          <w:tcPr>
            <w:tcW w:w="5495" w:type="dxa"/>
            <w:tcBorders>
              <w:top w:val="nil"/>
              <w:left w:val="nil"/>
              <w:bottom w:val="single" w:sz="4" w:space="0" w:color="auto"/>
              <w:right w:val="nil"/>
            </w:tcBorders>
            <w:shd w:val="clear" w:color="auto" w:fill="auto"/>
          </w:tcPr>
          <w:p w14:paraId="46AD9B16" w14:textId="77777777" w:rsidR="00A950E4" w:rsidRPr="001E0751" w:rsidRDefault="00A950E4" w:rsidP="009E0E5F">
            <w:pPr>
              <w:pStyle w:val="Table"/>
              <w:rPr>
                <w:rFonts w:asciiTheme="minorHAnsi" w:hAnsiTheme="minorHAnsi"/>
                <w:sz w:val="18"/>
                <w:szCs w:val="18"/>
                <w:lang w:val="en-US"/>
              </w:rPr>
            </w:pPr>
            <w:r w:rsidRPr="001E0751">
              <w:rPr>
                <w:rFonts w:asciiTheme="minorHAnsi" w:hAnsiTheme="minorHAnsi"/>
                <w:sz w:val="18"/>
                <w:szCs w:val="18"/>
              </w:rPr>
              <w:t xml:space="preserve">Discontinue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lang w:val="en-US"/>
              </w:rPr>
              <w:t xml:space="preserve"> and treat with appropriate medical therapy.</w:t>
            </w:r>
          </w:p>
        </w:tc>
      </w:tr>
      <w:tr w:rsidR="00A950E4" w:rsidRPr="001E0751" w14:paraId="65AF93BA" w14:textId="77777777" w:rsidTr="009E0E5F">
        <w:tc>
          <w:tcPr>
            <w:tcW w:w="1773" w:type="dxa"/>
            <w:tcBorders>
              <w:top w:val="nil"/>
              <w:left w:val="nil"/>
              <w:bottom w:val="single" w:sz="4" w:space="0" w:color="auto"/>
              <w:right w:val="nil"/>
            </w:tcBorders>
            <w:shd w:val="clear" w:color="auto" w:fill="auto"/>
          </w:tcPr>
          <w:p w14:paraId="2473DEFC"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Thrombocytopenia (Platelet count decreased)</w:t>
            </w:r>
          </w:p>
        </w:tc>
        <w:tc>
          <w:tcPr>
            <w:tcW w:w="1659" w:type="dxa"/>
            <w:tcBorders>
              <w:top w:val="nil"/>
              <w:left w:val="nil"/>
              <w:bottom w:val="single" w:sz="4" w:space="0" w:color="auto"/>
              <w:right w:val="nil"/>
            </w:tcBorders>
            <w:shd w:val="clear" w:color="auto" w:fill="auto"/>
          </w:tcPr>
          <w:p w14:paraId="0C3E275E" w14:textId="77777777" w:rsidR="00A950E4" w:rsidRPr="001E0751" w:rsidRDefault="00A950E4" w:rsidP="009E0E5F">
            <w:pPr>
              <w:pStyle w:val="Table"/>
              <w:jc w:val="center"/>
              <w:rPr>
                <w:rFonts w:asciiTheme="minorHAnsi" w:hAnsiTheme="minorHAnsi"/>
                <w:sz w:val="18"/>
                <w:szCs w:val="18"/>
                <w:lang w:val="es-ES"/>
              </w:rPr>
            </w:pPr>
            <w:r w:rsidRPr="001E0751">
              <w:rPr>
                <w:rFonts w:asciiTheme="minorHAnsi" w:hAnsiTheme="minorHAnsi"/>
                <w:sz w:val="18"/>
                <w:szCs w:val="18"/>
                <w:lang w:val="es-ES"/>
              </w:rPr>
              <w:t>Grade 1</w:t>
            </w:r>
          </w:p>
          <w:p w14:paraId="4778EF01" w14:textId="77777777" w:rsidR="00A950E4" w:rsidRPr="001E0751" w:rsidRDefault="00A950E4" w:rsidP="009E0E5F">
            <w:pPr>
              <w:pStyle w:val="Table"/>
              <w:jc w:val="center"/>
              <w:rPr>
                <w:rFonts w:asciiTheme="minorHAnsi" w:hAnsiTheme="minorHAnsi"/>
                <w:sz w:val="18"/>
                <w:szCs w:val="18"/>
                <w:lang w:val="es-ES"/>
              </w:rPr>
            </w:pPr>
            <w:r w:rsidRPr="001E0751">
              <w:rPr>
                <w:rFonts w:asciiTheme="minorHAnsi" w:hAnsiTheme="minorHAnsi"/>
                <w:sz w:val="18"/>
                <w:szCs w:val="18"/>
                <w:lang w:val="es-ES"/>
              </w:rPr>
              <w:t>(&lt;</w:t>
            </w:r>
            <w:proofErr w:type="spellStart"/>
            <w:r w:rsidRPr="001E0751">
              <w:rPr>
                <w:rFonts w:asciiTheme="minorHAnsi" w:hAnsiTheme="minorHAnsi"/>
                <w:sz w:val="18"/>
                <w:szCs w:val="18"/>
                <w:lang w:val="es-ES"/>
              </w:rPr>
              <w:t>LLN</w:t>
            </w:r>
            <w:r w:rsidRPr="001E0751">
              <w:rPr>
                <w:rFonts w:asciiTheme="minorHAnsi" w:hAnsiTheme="minorHAnsi"/>
                <w:sz w:val="18"/>
                <w:szCs w:val="18"/>
                <w:vertAlign w:val="superscript"/>
                <w:lang w:val="es-ES"/>
              </w:rPr>
              <w:t>e</w:t>
            </w:r>
            <w:proofErr w:type="spellEnd"/>
            <w:r w:rsidRPr="001E0751">
              <w:rPr>
                <w:rFonts w:asciiTheme="minorHAnsi" w:hAnsiTheme="minorHAnsi"/>
                <w:sz w:val="18"/>
                <w:szCs w:val="18"/>
                <w:lang w:val="es-ES"/>
              </w:rPr>
              <w:t xml:space="preserve"> – 75,000/mm</w:t>
            </w:r>
            <w:r w:rsidRPr="001E0751">
              <w:rPr>
                <w:rFonts w:asciiTheme="minorHAnsi" w:hAnsiTheme="minorHAnsi"/>
                <w:sz w:val="18"/>
                <w:szCs w:val="18"/>
                <w:vertAlign w:val="superscript"/>
                <w:lang w:val="es-ES"/>
              </w:rPr>
              <w:t>3</w:t>
            </w:r>
            <w:r w:rsidRPr="001E0751">
              <w:rPr>
                <w:rFonts w:asciiTheme="minorHAnsi" w:hAnsiTheme="minorHAnsi"/>
                <w:sz w:val="18"/>
                <w:szCs w:val="18"/>
                <w:lang w:val="es-ES"/>
              </w:rPr>
              <w:t>; &lt;</w:t>
            </w:r>
            <w:proofErr w:type="spellStart"/>
            <w:r w:rsidRPr="001E0751">
              <w:rPr>
                <w:rFonts w:asciiTheme="minorHAnsi" w:hAnsiTheme="minorHAnsi"/>
                <w:sz w:val="18"/>
                <w:szCs w:val="18"/>
                <w:lang w:val="es-ES"/>
              </w:rPr>
              <w:t>LLN</w:t>
            </w:r>
            <w:r w:rsidRPr="001E0751">
              <w:rPr>
                <w:rFonts w:asciiTheme="minorHAnsi" w:hAnsiTheme="minorHAnsi"/>
                <w:sz w:val="18"/>
                <w:szCs w:val="18"/>
                <w:vertAlign w:val="superscript"/>
                <w:lang w:val="es-ES"/>
              </w:rPr>
              <w:t>e</w:t>
            </w:r>
            <w:proofErr w:type="spellEnd"/>
            <w:r w:rsidRPr="001E0751">
              <w:rPr>
                <w:rFonts w:asciiTheme="minorHAnsi" w:hAnsiTheme="minorHAnsi"/>
                <w:sz w:val="18"/>
                <w:szCs w:val="18"/>
                <w:lang w:val="es-ES"/>
              </w:rPr>
              <w:t xml:space="preserve"> – 75.0 x 10</w:t>
            </w:r>
            <w:r w:rsidRPr="001E0751">
              <w:rPr>
                <w:rFonts w:asciiTheme="minorHAnsi" w:hAnsiTheme="minorHAnsi"/>
                <w:sz w:val="18"/>
                <w:szCs w:val="18"/>
                <w:vertAlign w:val="superscript"/>
                <w:lang w:val="es-ES"/>
              </w:rPr>
              <w:t>9</w:t>
            </w:r>
            <w:r w:rsidRPr="001E0751">
              <w:rPr>
                <w:rFonts w:asciiTheme="minorHAnsi" w:hAnsiTheme="minorHAnsi"/>
                <w:sz w:val="18"/>
                <w:szCs w:val="18"/>
                <w:lang w:val="es-ES"/>
              </w:rPr>
              <w:t>/L</w:t>
            </w:r>
            <w:r w:rsidRPr="001E0751" w:rsidDel="002C1050">
              <w:rPr>
                <w:rFonts w:asciiTheme="minorHAnsi" w:hAnsiTheme="minorHAnsi"/>
                <w:sz w:val="18"/>
                <w:szCs w:val="18"/>
                <w:lang w:val="es-ES"/>
              </w:rPr>
              <w:t>)</w:t>
            </w:r>
          </w:p>
          <w:p w14:paraId="0575D980"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Grade 2</w:t>
            </w:r>
          </w:p>
          <w:p w14:paraId="1525B8B4" w14:textId="77777777" w:rsidR="00A950E4" w:rsidRPr="001E0751" w:rsidRDefault="00A950E4" w:rsidP="009E0E5F">
            <w:pPr>
              <w:pStyle w:val="Table"/>
              <w:jc w:val="center"/>
              <w:rPr>
                <w:rFonts w:asciiTheme="minorHAnsi" w:hAnsiTheme="minorHAnsi" w:cs="Arial"/>
                <w:sz w:val="18"/>
                <w:szCs w:val="18"/>
                <w:lang w:val="en-US"/>
              </w:rPr>
            </w:pPr>
            <w:r w:rsidRPr="001E0751">
              <w:rPr>
                <w:rFonts w:asciiTheme="minorHAnsi" w:hAnsiTheme="minorHAnsi"/>
                <w:sz w:val="18"/>
                <w:szCs w:val="18"/>
                <w:lang w:val="en-US"/>
              </w:rPr>
              <w:t>(&lt;75,000 – 50,000/mm</w:t>
            </w:r>
            <w:r w:rsidRPr="001E0751">
              <w:rPr>
                <w:rFonts w:asciiTheme="minorHAnsi" w:hAnsiTheme="minorHAnsi"/>
                <w:sz w:val="18"/>
                <w:szCs w:val="18"/>
                <w:vertAlign w:val="superscript"/>
                <w:lang w:val="en-US"/>
              </w:rPr>
              <w:t>3</w:t>
            </w:r>
            <w:r w:rsidRPr="001E0751">
              <w:rPr>
                <w:rFonts w:asciiTheme="minorHAnsi" w:hAnsiTheme="minorHAnsi"/>
                <w:sz w:val="18"/>
                <w:szCs w:val="18"/>
                <w:lang w:val="en-US"/>
              </w:rPr>
              <w:t xml:space="preserve">; &lt;75.0 – </w:t>
            </w:r>
            <w:r w:rsidRPr="001E0751">
              <w:rPr>
                <w:rFonts w:asciiTheme="minorHAnsi" w:hAnsiTheme="minorHAnsi" w:cs="Arial"/>
                <w:sz w:val="18"/>
                <w:szCs w:val="18"/>
                <w:lang w:val="en-US"/>
              </w:rPr>
              <w:t>50.0 x10</w:t>
            </w:r>
            <w:r w:rsidRPr="001E0751">
              <w:rPr>
                <w:rFonts w:asciiTheme="minorHAnsi" w:hAnsiTheme="minorHAnsi" w:cs="Arial"/>
                <w:sz w:val="18"/>
                <w:szCs w:val="18"/>
                <w:vertAlign w:val="superscript"/>
                <w:lang w:val="en-US"/>
              </w:rPr>
              <w:t>9</w:t>
            </w:r>
            <w:r w:rsidRPr="001E0751">
              <w:rPr>
                <w:rFonts w:asciiTheme="minorHAnsi" w:hAnsiTheme="minorHAnsi" w:cs="Arial"/>
                <w:sz w:val="18"/>
                <w:szCs w:val="18"/>
                <w:lang w:val="en-US"/>
              </w:rPr>
              <w:t>/L)</w:t>
            </w:r>
          </w:p>
          <w:p w14:paraId="632B8384"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Grade 3</w:t>
            </w:r>
          </w:p>
          <w:p w14:paraId="17614CA7"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(&lt;50,000 – 25,000/mm</w:t>
            </w:r>
            <w:r w:rsidRPr="001E0751">
              <w:rPr>
                <w:rFonts w:asciiTheme="minorHAnsi" w:hAnsiTheme="minorHAnsi"/>
                <w:sz w:val="18"/>
                <w:szCs w:val="18"/>
                <w:vertAlign w:val="superscript"/>
                <w:lang w:val="en-US"/>
              </w:rPr>
              <w:t>3</w:t>
            </w:r>
            <w:r w:rsidRPr="001E0751">
              <w:rPr>
                <w:rFonts w:asciiTheme="minorHAnsi" w:hAnsiTheme="minorHAnsi"/>
                <w:sz w:val="18"/>
                <w:szCs w:val="18"/>
                <w:lang w:val="en-US"/>
              </w:rPr>
              <w:t>; &lt;50.0 -25.0 x10</w:t>
            </w:r>
            <w:r w:rsidRPr="001E0751">
              <w:rPr>
                <w:rFonts w:asciiTheme="minorHAnsi" w:hAnsiTheme="minorHAnsi"/>
                <w:sz w:val="18"/>
                <w:szCs w:val="18"/>
                <w:vertAlign w:val="superscript"/>
                <w:lang w:val="en-US"/>
              </w:rPr>
              <w:t>9</w:t>
            </w:r>
            <w:r w:rsidRPr="001E0751">
              <w:rPr>
                <w:rFonts w:asciiTheme="minorHAnsi" w:hAnsiTheme="minorHAnsi"/>
                <w:sz w:val="18"/>
                <w:szCs w:val="18"/>
                <w:lang w:val="en-US"/>
              </w:rPr>
              <w:t>/L) or</w:t>
            </w:r>
          </w:p>
          <w:p w14:paraId="0AC65326"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Grade 4</w:t>
            </w:r>
          </w:p>
          <w:p w14:paraId="7570A049"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(&lt;25,000/mm</w:t>
            </w:r>
            <w:r w:rsidRPr="001E0751">
              <w:rPr>
                <w:rFonts w:asciiTheme="minorHAnsi" w:hAnsiTheme="minorHAnsi"/>
                <w:sz w:val="18"/>
                <w:szCs w:val="18"/>
                <w:vertAlign w:val="superscript"/>
                <w:lang w:val="en-US"/>
              </w:rPr>
              <w:t>3</w:t>
            </w:r>
            <w:r w:rsidRPr="001E0751">
              <w:rPr>
                <w:rFonts w:asciiTheme="minorHAnsi" w:hAnsiTheme="minorHAnsi"/>
                <w:sz w:val="18"/>
                <w:szCs w:val="18"/>
                <w:lang w:val="en-US"/>
              </w:rPr>
              <w:t>; &lt;25.0 x10</w:t>
            </w:r>
            <w:r w:rsidRPr="001E0751">
              <w:rPr>
                <w:rFonts w:asciiTheme="minorHAnsi" w:hAnsiTheme="minorHAnsi"/>
                <w:sz w:val="18"/>
                <w:szCs w:val="18"/>
                <w:vertAlign w:val="superscript"/>
                <w:lang w:val="en-US"/>
              </w:rPr>
              <w:t>9</w:t>
            </w:r>
            <w:r w:rsidRPr="001E0751">
              <w:rPr>
                <w:rFonts w:asciiTheme="minorHAnsi" w:hAnsiTheme="minorHAnsi"/>
                <w:sz w:val="18"/>
                <w:szCs w:val="18"/>
                <w:lang w:val="en-US"/>
              </w:rPr>
              <w:t xml:space="preserve">/L) </w:t>
            </w:r>
          </w:p>
        </w:tc>
        <w:tc>
          <w:tcPr>
            <w:tcW w:w="5495" w:type="dxa"/>
            <w:tcBorders>
              <w:top w:val="nil"/>
              <w:left w:val="nil"/>
              <w:bottom w:val="single" w:sz="4" w:space="0" w:color="auto"/>
              <w:right w:val="nil"/>
            </w:tcBorders>
            <w:shd w:val="clear" w:color="auto" w:fill="auto"/>
          </w:tcPr>
          <w:p w14:paraId="7CC1F54B"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No dose adjustment required</w:t>
            </w:r>
          </w:p>
          <w:p w14:paraId="37EC4A4A" w14:textId="77777777" w:rsidR="00A950E4" w:rsidRPr="001E0751" w:rsidRDefault="00A950E4" w:rsidP="009E0E5F">
            <w:pPr>
              <w:pStyle w:val="Table"/>
              <w:rPr>
                <w:rFonts w:asciiTheme="minorHAnsi" w:hAnsiTheme="minorHAnsi"/>
                <w:sz w:val="18"/>
                <w:szCs w:val="18"/>
              </w:rPr>
            </w:pPr>
          </w:p>
          <w:p w14:paraId="7EEABF16" w14:textId="77777777" w:rsidR="00A950E4" w:rsidRPr="001E0751" w:rsidRDefault="00A950E4" w:rsidP="009E0E5F">
            <w:pPr>
              <w:pStyle w:val="Table"/>
              <w:rPr>
                <w:rFonts w:asciiTheme="minorHAnsi" w:hAnsiTheme="minorHAnsi"/>
                <w:sz w:val="18"/>
                <w:szCs w:val="18"/>
              </w:rPr>
            </w:pPr>
          </w:p>
          <w:p w14:paraId="0EB1B6C4" w14:textId="77777777" w:rsidR="00A950E4" w:rsidRPr="001E0751" w:rsidRDefault="00A950E4" w:rsidP="009E0E5F">
            <w:pPr>
              <w:pStyle w:val="Table"/>
              <w:rPr>
                <w:rFonts w:asciiTheme="minorHAnsi" w:hAnsiTheme="minorHAnsi"/>
                <w:sz w:val="18"/>
                <w:szCs w:val="18"/>
              </w:rPr>
            </w:pPr>
          </w:p>
          <w:p w14:paraId="52BD35C6" w14:textId="77777777" w:rsidR="00A950E4" w:rsidRPr="001E0751" w:rsidRDefault="00A950E4" w:rsidP="009E0E5F">
            <w:pPr>
              <w:pStyle w:val="Table"/>
              <w:rPr>
                <w:rFonts w:asciiTheme="minorHAnsi" w:hAnsiTheme="minorHAnsi"/>
                <w:sz w:val="18"/>
                <w:szCs w:val="18"/>
              </w:rPr>
            </w:pPr>
          </w:p>
          <w:p w14:paraId="3FC4CC17"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 xml:space="preserve">Temporary dose interruption until recovery to Grade 1. . Re-initiate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rPr>
              <w:t xml:space="preserve"> at same dose.</w:t>
            </w:r>
          </w:p>
          <w:p w14:paraId="7BD65C0E" w14:textId="77777777" w:rsidR="00A950E4" w:rsidRPr="001E0751" w:rsidRDefault="00A950E4" w:rsidP="009E0E5F">
            <w:pPr>
              <w:pStyle w:val="Table"/>
              <w:rPr>
                <w:rFonts w:asciiTheme="minorHAnsi" w:hAnsiTheme="minorHAnsi"/>
                <w:sz w:val="18"/>
                <w:szCs w:val="18"/>
              </w:rPr>
            </w:pPr>
          </w:p>
          <w:p w14:paraId="69966CC9" w14:textId="77777777" w:rsidR="00A950E4" w:rsidRPr="001E0751" w:rsidRDefault="00A950E4" w:rsidP="009E0E5F">
            <w:pPr>
              <w:pStyle w:val="Table"/>
              <w:rPr>
                <w:rFonts w:asciiTheme="minorHAnsi" w:hAnsiTheme="minorHAnsi"/>
                <w:sz w:val="18"/>
                <w:szCs w:val="18"/>
              </w:rPr>
            </w:pPr>
          </w:p>
          <w:p w14:paraId="4AD843D8"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 xml:space="preserve">Temporary dose interruption until recovery to Grade 1 . Re-initiate </w:t>
            </w:r>
            <w:proofErr w:type="spellStart"/>
            <w:r w:rsidRPr="001E0751">
              <w:rPr>
                <w:rFonts w:asciiTheme="minorHAnsi" w:hAnsiTheme="minorHAnsi"/>
                <w:sz w:val="18"/>
                <w:szCs w:val="18"/>
              </w:rPr>
              <w:t>Afinitor</w:t>
            </w:r>
            <w:proofErr w:type="spellEnd"/>
            <w:r w:rsidRPr="001E0751">
              <w:rPr>
                <w:rFonts w:asciiTheme="minorHAnsi" w:hAnsiTheme="minorHAnsi"/>
                <w:sz w:val="18"/>
                <w:szCs w:val="18"/>
              </w:rPr>
              <w:t xml:space="preserve"> at 5 mg daily.</w:t>
            </w:r>
          </w:p>
        </w:tc>
      </w:tr>
      <w:tr w:rsidR="00A950E4" w:rsidRPr="001E0751" w14:paraId="367F99D6" w14:textId="77777777" w:rsidTr="009E0E5F">
        <w:tc>
          <w:tcPr>
            <w:tcW w:w="1773" w:type="dxa"/>
            <w:tcBorders>
              <w:top w:val="nil"/>
              <w:left w:val="nil"/>
              <w:bottom w:val="single" w:sz="4" w:space="0" w:color="auto"/>
              <w:right w:val="nil"/>
            </w:tcBorders>
            <w:shd w:val="clear" w:color="auto" w:fill="auto"/>
          </w:tcPr>
          <w:p w14:paraId="1BC333BE"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Neutropenia (Neutrophil count decreased)</w:t>
            </w:r>
          </w:p>
        </w:tc>
        <w:tc>
          <w:tcPr>
            <w:tcW w:w="1659" w:type="dxa"/>
            <w:tcBorders>
              <w:top w:val="nil"/>
              <w:left w:val="nil"/>
              <w:bottom w:val="single" w:sz="4" w:space="0" w:color="auto"/>
              <w:right w:val="nil"/>
            </w:tcBorders>
            <w:shd w:val="clear" w:color="auto" w:fill="auto"/>
          </w:tcPr>
          <w:p w14:paraId="2AA4CC74" w14:textId="77777777" w:rsidR="00A950E4" w:rsidRPr="001E0751" w:rsidRDefault="00A950E4" w:rsidP="009E0E5F">
            <w:pPr>
              <w:pStyle w:val="Table"/>
              <w:jc w:val="center"/>
              <w:rPr>
                <w:rFonts w:asciiTheme="minorHAnsi" w:hAnsiTheme="minorHAnsi"/>
                <w:sz w:val="18"/>
                <w:szCs w:val="18"/>
              </w:rPr>
            </w:pPr>
            <w:r w:rsidRPr="001E0751">
              <w:rPr>
                <w:rFonts w:asciiTheme="minorHAnsi" w:hAnsiTheme="minorHAnsi"/>
                <w:sz w:val="18"/>
                <w:szCs w:val="18"/>
              </w:rPr>
              <w:t>Grade 1 (&lt;</w:t>
            </w:r>
            <w:proofErr w:type="spellStart"/>
            <w:r w:rsidRPr="001E0751">
              <w:rPr>
                <w:rFonts w:asciiTheme="minorHAnsi" w:hAnsiTheme="minorHAnsi"/>
                <w:sz w:val="18"/>
                <w:szCs w:val="18"/>
              </w:rPr>
              <w:t>LLN</w:t>
            </w:r>
            <w:r w:rsidRPr="001E0751">
              <w:rPr>
                <w:rFonts w:asciiTheme="minorHAnsi" w:hAnsiTheme="minorHAnsi"/>
                <w:sz w:val="18"/>
                <w:szCs w:val="18"/>
                <w:vertAlign w:val="superscript"/>
              </w:rPr>
              <w:t>e</w:t>
            </w:r>
            <w:proofErr w:type="spellEnd"/>
            <w:r w:rsidRPr="001E0751">
              <w:rPr>
                <w:rFonts w:asciiTheme="minorHAnsi" w:hAnsiTheme="minorHAnsi"/>
                <w:sz w:val="18"/>
                <w:szCs w:val="18"/>
                <w:vertAlign w:val="superscript"/>
              </w:rPr>
              <w:t xml:space="preserve"> </w:t>
            </w:r>
            <w:r w:rsidRPr="001E0751">
              <w:rPr>
                <w:rFonts w:asciiTheme="minorHAnsi" w:hAnsiTheme="minorHAnsi"/>
                <w:sz w:val="18"/>
                <w:szCs w:val="18"/>
              </w:rPr>
              <w:t>– 1,5000/mm</w:t>
            </w:r>
            <w:r w:rsidRPr="001E0751">
              <w:rPr>
                <w:rFonts w:asciiTheme="minorHAnsi" w:hAnsiTheme="minorHAnsi"/>
                <w:sz w:val="18"/>
                <w:szCs w:val="18"/>
                <w:vertAlign w:val="superscript"/>
              </w:rPr>
              <w:t>3</w:t>
            </w:r>
            <w:r w:rsidRPr="001E0751">
              <w:rPr>
                <w:rFonts w:asciiTheme="minorHAnsi" w:hAnsiTheme="minorHAnsi"/>
                <w:sz w:val="18"/>
                <w:szCs w:val="18"/>
              </w:rPr>
              <w:t>; &lt;</w:t>
            </w:r>
            <w:proofErr w:type="spellStart"/>
            <w:r w:rsidRPr="001E0751">
              <w:rPr>
                <w:rFonts w:asciiTheme="minorHAnsi" w:hAnsiTheme="minorHAnsi"/>
                <w:sz w:val="18"/>
                <w:szCs w:val="18"/>
              </w:rPr>
              <w:t>LLN</w:t>
            </w:r>
            <w:r w:rsidRPr="001E0751">
              <w:rPr>
                <w:rFonts w:asciiTheme="minorHAnsi" w:hAnsiTheme="minorHAnsi"/>
                <w:sz w:val="18"/>
                <w:szCs w:val="18"/>
                <w:vertAlign w:val="superscript"/>
              </w:rPr>
              <w:t>e</w:t>
            </w:r>
            <w:proofErr w:type="spellEnd"/>
            <w:r w:rsidRPr="001E0751">
              <w:rPr>
                <w:rFonts w:asciiTheme="minorHAnsi" w:hAnsiTheme="minorHAnsi"/>
                <w:sz w:val="18"/>
                <w:szCs w:val="18"/>
                <w:vertAlign w:val="superscript"/>
              </w:rPr>
              <w:t xml:space="preserve"> </w:t>
            </w:r>
            <w:r w:rsidRPr="001E0751">
              <w:rPr>
                <w:rFonts w:asciiTheme="minorHAnsi" w:hAnsiTheme="minorHAnsi"/>
                <w:sz w:val="18"/>
                <w:szCs w:val="18"/>
              </w:rPr>
              <w:t>– 1.5 x10</w:t>
            </w:r>
            <w:r w:rsidRPr="001E0751">
              <w:rPr>
                <w:rFonts w:asciiTheme="minorHAnsi" w:hAnsiTheme="minorHAnsi"/>
                <w:sz w:val="18"/>
                <w:szCs w:val="18"/>
                <w:vertAlign w:val="superscript"/>
              </w:rPr>
              <w:t>9</w:t>
            </w:r>
            <w:r w:rsidRPr="001E0751">
              <w:rPr>
                <w:rFonts w:asciiTheme="minorHAnsi" w:hAnsiTheme="minorHAnsi"/>
                <w:sz w:val="18"/>
                <w:szCs w:val="18"/>
              </w:rPr>
              <w:t>/L) or</w:t>
            </w:r>
          </w:p>
          <w:p w14:paraId="0F443C1C"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Grade 2</w:t>
            </w:r>
          </w:p>
          <w:p w14:paraId="47C2B9F7" w14:textId="77777777" w:rsidR="00A950E4" w:rsidRPr="001E0751" w:rsidRDefault="00A950E4" w:rsidP="009E0E5F">
            <w:pPr>
              <w:pStyle w:val="Table"/>
              <w:jc w:val="center"/>
              <w:rPr>
                <w:rFonts w:asciiTheme="minorHAnsi" w:hAnsiTheme="minorHAnsi" w:cs="Arial"/>
                <w:sz w:val="18"/>
                <w:szCs w:val="18"/>
              </w:rPr>
            </w:pPr>
            <w:r w:rsidRPr="001E0751">
              <w:rPr>
                <w:rFonts w:asciiTheme="minorHAnsi" w:hAnsiTheme="minorHAnsi"/>
                <w:sz w:val="18"/>
                <w:szCs w:val="18"/>
                <w:lang w:val="en-US"/>
              </w:rPr>
              <w:t>(&lt;1,500/mm</w:t>
            </w:r>
            <w:r w:rsidRPr="001E0751">
              <w:rPr>
                <w:rFonts w:asciiTheme="minorHAnsi" w:hAnsiTheme="minorHAnsi"/>
                <w:sz w:val="18"/>
                <w:szCs w:val="18"/>
                <w:vertAlign w:val="superscript"/>
                <w:lang w:val="en-US"/>
              </w:rPr>
              <w:t>3</w:t>
            </w:r>
            <w:r w:rsidRPr="001E0751">
              <w:rPr>
                <w:rFonts w:asciiTheme="minorHAnsi" w:hAnsiTheme="minorHAnsi"/>
                <w:sz w:val="18"/>
                <w:szCs w:val="18"/>
                <w:lang w:val="en-US"/>
              </w:rPr>
              <w:t xml:space="preserve"> – 1,000/mm</w:t>
            </w:r>
            <w:r w:rsidRPr="001E0751">
              <w:rPr>
                <w:rFonts w:asciiTheme="minorHAnsi" w:hAnsiTheme="minorHAnsi"/>
                <w:sz w:val="18"/>
                <w:szCs w:val="18"/>
                <w:vertAlign w:val="superscript"/>
                <w:lang w:val="en-US"/>
              </w:rPr>
              <w:t>3</w:t>
            </w:r>
            <w:r w:rsidRPr="001E0751">
              <w:rPr>
                <w:rFonts w:asciiTheme="minorHAnsi" w:hAnsiTheme="minorHAnsi"/>
                <w:sz w:val="18"/>
                <w:szCs w:val="18"/>
                <w:lang w:val="en-US"/>
              </w:rPr>
              <w:t xml:space="preserve">; &lt;1.5 - </w:t>
            </w:r>
            <w:r w:rsidRPr="001E0751">
              <w:rPr>
                <w:rFonts w:asciiTheme="minorHAnsi" w:hAnsiTheme="minorHAnsi" w:cs="Arial"/>
                <w:sz w:val="18"/>
                <w:szCs w:val="18"/>
              </w:rPr>
              <w:t>1.0 x10</w:t>
            </w:r>
            <w:r w:rsidRPr="001E0751">
              <w:rPr>
                <w:rFonts w:asciiTheme="minorHAnsi" w:hAnsiTheme="minorHAnsi" w:cs="Arial"/>
                <w:sz w:val="18"/>
                <w:szCs w:val="18"/>
                <w:vertAlign w:val="superscript"/>
              </w:rPr>
              <w:t>9</w:t>
            </w:r>
            <w:r w:rsidRPr="001E0751">
              <w:rPr>
                <w:rFonts w:asciiTheme="minorHAnsi" w:hAnsiTheme="minorHAnsi" w:cs="Arial"/>
                <w:sz w:val="18"/>
                <w:szCs w:val="18"/>
              </w:rPr>
              <w:t>/L)</w:t>
            </w:r>
          </w:p>
          <w:p w14:paraId="146510A0" w14:textId="77777777" w:rsidR="00A950E4" w:rsidRPr="001E0751" w:rsidRDefault="00A950E4" w:rsidP="009E0E5F">
            <w:pPr>
              <w:pStyle w:val="Table"/>
              <w:jc w:val="center"/>
              <w:rPr>
                <w:rFonts w:asciiTheme="minorHAnsi" w:hAnsiTheme="minorHAnsi" w:cs="Arial"/>
                <w:sz w:val="18"/>
                <w:szCs w:val="18"/>
              </w:rPr>
            </w:pPr>
            <w:r w:rsidRPr="001E0751">
              <w:rPr>
                <w:rFonts w:asciiTheme="minorHAnsi" w:hAnsiTheme="minorHAnsi" w:cs="Arial"/>
                <w:sz w:val="18"/>
                <w:szCs w:val="18"/>
              </w:rPr>
              <w:t>Grade 3</w:t>
            </w:r>
          </w:p>
          <w:p w14:paraId="043B8014" w14:textId="77777777" w:rsidR="00A950E4" w:rsidRPr="001E0751" w:rsidRDefault="00A950E4" w:rsidP="009E0E5F">
            <w:pPr>
              <w:pStyle w:val="Table"/>
              <w:jc w:val="center"/>
              <w:rPr>
                <w:rFonts w:asciiTheme="minorHAnsi" w:hAnsiTheme="minorHAnsi" w:cs="Arial"/>
                <w:sz w:val="18"/>
                <w:szCs w:val="18"/>
              </w:rPr>
            </w:pPr>
            <w:r w:rsidRPr="001E0751">
              <w:rPr>
                <w:rFonts w:asciiTheme="minorHAnsi" w:hAnsiTheme="minorHAnsi" w:cs="Arial"/>
                <w:sz w:val="18"/>
                <w:szCs w:val="18"/>
              </w:rPr>
              <w:t>(&lt;1,000 – 500/mm</w:t>
            </w:r>
            <w:r w:rsidRPr="001E0751">
              <w:rPr>
                <w:rFonts w:asciiTheme="minorHAnsi" w:hAnsiTheme="minorHAnsi" w:cs="Arial"/>
                <w:sz w:val="18"/>
                <w:szCs w:val="18"/>
                <w:vertAlign w:val="superscript"/>
              </w:rPr>
              <w:t>3</w:t>
            </w:r>
            <w:r w:rsidRPr="001E0751">
              <w:rPr>
                <w:rFonts w:asciiTheme="minorHAnsi" w:hAnsiTheme="minorHAnsi" w:cs="Arial"/>
                <w:sz w:val="18"/>
                <w:szCs w:val="18"/>
              </w:rPr>
              <w:t>; &lt;1.0 – 0.5 x10</w:t>
            </w:r>
            <w:r w:rsidRPr="001E0751">
              <w:rPr>
                <w:rFonts w:asciiTheme="minorHAnsi" w:hAnsiTheme="minorHAnsi" w:cs="Arial"/>
                <w:sz w:val="18"/>
                <w:szCs w:val="18"/>
                <w:vertAlign w:val="superscript"/>
              </w:rPr>
              <w:t>9</w:t>
            </w:r>
            <w:r w:rsidRPr="001E0751">
              <w:rPr>
                <w:rFonts w:asciiTheme="minorHAnsi" w:hAnsiTheme="minorHAnsi" w:cs="Arial"/>
                <w:sz w:val="18"/>
                <w:szCs w:val="18"/>
              </w:rPr>
              <w:t>/L)</w:t>
            </w:r>
          </w:p>
          <w:p w14:paraId="79AD2A59" w14:textId="77777777" w:rsidR="00A950E4" w:rsidRPr="001E0751" w:rsidRDefault="00A950E4" w:rsidP="009E0E5F">
            <w:pPr>
              <w:pStyle w:val="Table"/>
              <w:jc w:val="center"/>
              <w:rPr>
                <w:rFonts w:asciiTheme="minorHAnsi" w:hAnsiTheme="minorHAnsi" w:cs="Arial"/>
                <w:sz w:val="18"/>
                <w:szCs w:val="18"/>
              </w:rPr>
            </w:pPr>
            <w:r w:rsidRPr="001E0751">
              <w:rPr>
                <w:rFonts w:asciiTheme="minorHAnsi" w:hAnsiTheme="minorHAnsi" w:cs="Arial"/>
                <w:sz w:val="18"/>
                <w:szCs w:val="18"/>
              </w:rPr>
              <w:t>Grade 4</w:t>
            </w:r>
          </w:p>
          <w:p w14:paraId="033E832F"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cs="Arial"/>
                <w:sz w:val="18"/>
                <w:szCs w:val="18"/>
              </w:rPr>
              <w:t>(&lt;500/mm</w:t>
            </w:r>
            <w:r w:rsidRPr="001E0751">
              <w:rPr>
                <w:rFonts w:asciiTheme="minorHAnsi" w:hAnsiTheme="minorHAnsi" w:cs="Arial"/>
                <w:sz w:val="18"/>
                <w:szCs w:val="18"/>
                <w:vertAlign w:val="superscript"/>
              </w:rPr>
              <w:t>3</w:t>
            </w:r>
            <w:r w:rsidRPr="001E0751">
              <w:rPr>
                <w:rFonts w:asciiTheme="minorHAnsi" w:hAnsiTheme="minorHAnsi" w:cs="Arial"/>
                <w:sz w:val="18"/>
                <w:szCs w:val="18"/>
              </w:rPr>
              <w:t>; &lt;0.5x10</w:t>
            </w:r>
            <w:r w:rsidRPr="001E0751">
              <w:rPr>
                <w:rFonts w:asciiTheme="minorHAnsi" w:hAnsiTheme="minorHAnsi" w:cs="Arial"/>
                <w:sz w:val="18"/>
                <w:szCs w:val="18"/>
                <w:vertAlign w:val="superscript"/>
              </w:rPr>
              <w:t>9</w:t>
            </w:r>
            <w:r w:rsidRPr="001E0751">
              <w:rPr>
                <w:rFonts w:asciiTheme="minorHAnsi" w:hAnsiTheme="minorHAnsi" w:cs="Arial"/>
                <w:sz w:val="18"/>
                <w:szCs w:val="18"/>
              </w:rPr>
              <w:t>/L)</w:t>
            </w:r>
          </w:p>
        </w:tc>
        <w:tc>
          <w:tcPr>
            <w:tcW w:w="5495" w:type="dxa"/>
            <w:tcBorders>
              <w:top w:val="nil"/>
              <w:left w:val="nil"/>
              <w:bottom w:val="single" w:sz="4" w:space="0" w:color="auto"/>
              <w:right w:val="nil"/>
            </w:tcBorders>
            <w:shd w:val="clear" w:color="auto" w:fill="auto"/>
          </w:tcPr>
          <w:p w14:paraId="103B5674"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No dose adjustment required.</w:t>
            </w:r>
          </w:p>
          <w:p w14:paraId="4F705258" w14:textId="77777777" w:rsidR="00A950E4" w:rsidRPr="001E0751" w:rsidRDefault="00A950E4" w:rsidP="009E0E5F">
            <w:pPr>
              <w:pStyle w:val="Table"/>
              <w:rPr>
                <w:rFonts w:asciiTheme="minorHAnsi" w:hAnsiTheme="minorHAnsi"/>
                <w:sz w:val="18"/>
                <w:szCs w:val="18"/>
              </w:rPr>
            </w:pPr>
          </w:p>
          <w:p w14:paraId="2313DF46" w14:textId="77777777" w:rsidR="00A950E4" w:rsidRPr="001E0751" w:rsidRDefault="00A950E4" w:rsidP="009E0E5F">
            <w:pPr>
              <w:pStyle w:val="Table"/>
              <w:rPr>
                <w:rFonts w:asciiTheme="minorHAnsi" w:hAnsiTheme="minorHAnsi"/>
                <w:sz w:val="18"/>
                <w:szCs w:val="18"/>
              </w:rPr>
            </w:pPr>
          </w:p>
          <w:p w14:paraId="4C694A15" w14:textId="77777777" w:rsidR="00A950E4" w:rsidRPr="001E0751" w:rsidRDefault="00A950E4" w:rsidP="009E0E5F">
            <w:pPr>
              <w:pStyle w:val="Table"/>
              <w:rPr>
                <w:rFonts w:asciiTheme="minorHAnsi" w:hAnsiTheme="minorHAnsi"/>
                <w:sz w:val="18"/>
                <w:szCs w:val="18"/>
              </w:rPr>
            </w:pPr>
          </w:p>
          <w:p w14:paraId="7E4BF6AB" w14:textId="77777777" w:rsidR="00A950E4" w:rsidRPr="001E0751" w:rsidRDefault="00A950E4" w:rsidP="009E0E5F">
            <w:pPr>
              <w:pStyle w:val="Table"/>
              <w:rPr>
                <w:rFonts w:asciiTheme="minorHAnsi" w:hAnsiTheme="minorHAnsi"/>
                <w:sz w:val="18"/>
                <w:szCs w:val="18"/>
              </w:rPr>
            </w:pPr>
          </w:p>
          <w:p w14:paraId="434305AB" w14:textId="77777777" w:rsidR="00A950E4" w:rsidRPr="001E0751" w:rsidRDefault="00A950E4" w:rsidP="009E0E5F">
            <w:pPr>
              <w:pStyle w:val="Table"/>
              <w:rPr>
                <w:rFonts w:asciiTheme="minorHAnsi" w:hAnsiTheme="minorHAnsi"/>
                <w:sz w:val="18"/>
                <w:szCs w:val="18"/>
              </w:rPr>
            </w:pPr>
          </w:p>
          <w:p w14:paraId="7D3D3B39" w14:textId="77777777" w:rsidR="00A950E4" w:rsidRPr="001E0751" w:rsidRDefault="00A950E4" w:rsidP="009E0E5F">
            <w:pPr>
              <w:pStyle w:val="Table"/>
              <w:rPr>
                <w:rFonts w:asciiTheme="minorHAnsi" w:hAnsiTheme="minorHAnsi"/>
                <w:sz w:val="18"/>
                <w:szCs w:val="18"/>
              </w:rPr>
            </w:pPr>
          </w:p>
          <w:p w14:paraId="3115EC33" w14:textId="77777777" w:rsidR="00A950E4" w:rsidRPr="001E0751" w:rsidRDefault="00A950E4" w:rsidP="009E0E5F">
            <w:pPr>
              <w:pStyle w:val="Table"/>
              <w:rPr>
                <w:rFonts w:asciiTheme="minorHAnsi" w:hAnsiTheme="minorHAnsi" w:cs="Arial"/>
                <w:sz w:val="18"/>
                <w:szCs w:val="18"/>
              </w:rPr>
            </w:pPr>
            <w:r w:rsidRPr="001E0751">
              <w:rPr>
                <w:rFonts w:asciiTheme="minorHAnsi" w:hAnsiTheme="minorHAnsi"/>
                <w:sz w:val="18"/>
                <w:szCs w:val="18"/>
              </w:rPr>
              <w:t xml:space="preserve">Temporary dose interruption until recovery to Grade </w:t>
            </w:r>
            <w:r w:rsidRPr="001E0751">
              <w:rPr>
                <w:rFonts w:asciiTheme="minorHAnsi" w:hAnsiTheme="minorHAnsi" w:cs="Arial"/>
                <w:sz w:val="18"/>
                <w:szCs w:val="18"/>
              </w:rPr>
              <w:t xml:space="preserve">2. Re-initiate </w:t>
            </w:r>
            <w:proofErr w:type="spellStart"/>
            <w:r w:rsidRPr="001E0751">
              <w:rPr>
                <w:rFonts w:asciiTheme="minorHAnsi" w:hAnsiTheme="minorHAnsi" w:cs="Arial"/>
                <w:sz w:val="18"/>
                <w:szCs w:val="18"/>
              </w:rPr>
              <w:t>Afinitor</w:t>
            </w:r>
            <w:proofErr w:type="spellEnd"/>
            <w:r w:rsidRPr="001E0751">
              <w:rPr>
                <w:rFonts w:asciiTheme="minorHAnsi" w:hAnsiTheme="minorHAnsi" w:cs="Arial"/>
                <w:sz w:val="18"/>
                <w:szCs w:val="18"/>
              </w:rPr>
              <w:t xml:space="preserve"> at same dose. </w:t>
            </w:r>
          </w:p>
          <w:p w14:paraId="311328FC" w14:textId="77777777" w:rsidR="00A950E4" w:rsidRPr="001E0751" w:rsidRDefault="00A950E4" w:rsidP="009E0E5F">
            <w:pPr>
              <w:pStyle w:val="Table"/>
              <w:rPr>
                <w:rFonts w:asciiTheme="minorHAnsi" w:hAnsiTheme="minorHAnsi" w:cs="Arial"/>
                <w:sz w:val="18"/>
                <w:szCs w:val="18"/>
              </w:rPr>
            </w:pPr>
          </w:p>
          <w:p w14:paraId="471817D3" w14:textId="77777777" w:rsidR="00A950E4" w:rsidRPr="001E0751" w:rsidRDefault="00A950E4" w:rsidP="009E0E5F">
            <w:pPr>
              <w:pStyle w:val="Table"/>
              <w:rPr>
                <w:rFonts w:asciiTheme="minorHAnsi" w:hAnsiTheme="minorHAnsi" w:cs="Arial"/>
                <w:sz w:val="18"/>
                <w:szCs w:val="18"/>
              </w:rPr>
            </w:pPr>
          </w:p>
          <w:p w14:paraId="0256D00C"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cs="Arial"/>
                <w:sz w:val="18"/>
                <w:szCs w:val="18"/>
              </w:rPr>
              <w:t xml:space="preserve">Temporary dose interruption until recovery to Grade 2. Re-initiate </w:t>
            </w:r>
            <w:proofErr w:type="spellStart"/>
            <w:r w:rsidRPr="001E0751">
              <w:rPr>
                <w:rFonts w:asciiTheme="minorHAnsi" w:hAnsiTheme="minorHAnsi" w:cs="Arial"/>
                <w:sz w:val="18"/>
                <w:szCs w:val="18"/>
              </w:rPr>
              <w:t>Afinitor</w:t>
            </w:r>
            <w:proofErr w:type="spellEnd"/>
            <w:r w:rsidRPr="001E0751">
              <w:rPr>
                <w:rFonts w:asciiTheme="minorHAnsi" w:hAnsiTheme="minorHAnsi" w:cs="Arial"/>
                <w:sz w:val="18"/>
                <w:szCs w:val="18"/>
              </w:rPr>
              <w:t xml:space="preserve"> at 5 mg daily.</w:t>
            </w:r>
          </w:p>
          <w:p w14:paraId="57782065" w14:textId="77777777" w:rsidR="00A950E4" w:rsidRPr="001E0751" w:rsidRDefault="00A950E4" w:rsidP="009E0E5F">
            <w:pPr>
              <w:pStyle w:val="Table"/>
              <w:rPr>
                <w:rFonts w:asciiTheme="minorHAnsi" w:hAnsiTheme="minorHAnsi"/>
                <w:sz w:val="18"/>
                <w:szCs w:val="18"/>
              </w:rPr>
            </w:pPr>
          </w:p>
        </w:tc>
      </w:tr>
      <w:tr w:rsidR="00A950E4" w:rsidRPr="001E0751" w14:paraId="2A87CADB" w14:textId="77777777" w:rsidTr="009E0E5F">
        <w:tc>
          <w:tcPr>
            <w:tcW w:w="1773" w:type="dxa"/>
            <w:tcBorders>
              <w:top w:val="nil"/>
              <w:left w:val="nil"/>
              <w:bottom w:val="single" w:sz="4" w:space="0" w:color="auto"/>
              <w:right w:val="nil"/>
            </w:tcBorders>
            <w:shd w:val="clear" w:color="auto" w:fill="auto"/>
          </w:tcPr>
          <w:p w14:paraId="583D7ABC"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Febrile neutropenia</w:t>
            </w:r>
          </w:p>
        </w:tc>
        <w:tc>
          <w:tcPr>
            <w:tcW w:w="1659" w:type="dxa"/>
            <w:tcBorders>
              <w:top w:val="nil"/>
              <w:left w:val="nil"/>
              <w:bottom w:val="single" w:sz="4" w:space="0" w:color="auto"/>
              <w:right w:val="nil"/>
            </w:tcBorders>
            <w:shd w:val="clear" w:color="auto" w:fill="auto"/>
          </w:tcPr>
          <w:p w14:paraId="499A6FE3"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Grade 3</w:t>
            </w:r>
          </w:p>
          <w:p w14:paraId="44C33F64" w14:textId="77777777" w:rsidR="00A950E4" w:rsidRPr="001E0751" w:rsidRDefault="00A950E4" w:rsidP="009E0E5F">
            <w:pPr>
              <w:pStyle w:val="Table"/>
              <w:jc w:val="center"/>
              <w:rPr>
                <w:rFonts w:asciiTheme="minorHAnsi" w:hAnsiTheme="minorHAnsi"/>
                <w:sz w:val="18"/>
                <w:szCs w:val="18"/>
                <w:lang w:val="en-US"/>
              </w:rPr>
            </w:pPr>
            <w:proofErr w:type="spellStart"/>
            <w:r w:rsidRPr="001E0751">
              <w:rPr>
                <w:rFonts w:asciiTheme="minorHAnsi" w:hAnsiTheme="minorHAnsi"/>
                <w:sz w:val="18"/>
                <w:szCs w:val="18"/>
                <w:lang w:val="en-US"/>
              </w:rPr>
              <w:t>ANC</w:t>
            </w:r>
            <w:r w:rsidRPr="001E0751">
              <w:rPr>
                <w:rFonts w:asciiTheme="minorHAnsi" w:hAnsiTheme="minorHAnsi"/>
                <w:sz w:val="18"/>
                <w:szCs w:val="18"/>
                <w:vertAlign w:val="superscript"/>
                <w:lang w:val="en-US"/>
              </w:rPr>
              <w:t>f</w:t>
            </w:r>
            <w:proofErr w:type="spellEnd"/>
            <w:r w:rsidRPr="001E0751">
              <w:rPr>
                <w:rFonts w:asciiTheme="minorHAnsi" w:hAnsiTheme="minorHAnsi"/>
                <w:sz w:val="18"/>
                <w:szCs w:val="18"/>
                <w:lang w:val="en-US"/>
              </w:rPr>
              <w:t xml:space="preserve"> &lt; 1 with a single temperature of &gt; 38.3</w:t>
            </w:r>
            <w:r w:rsidRPr="001E0751">
              <w:rPr>
                <w:rFonts w:asciiTheme="minorHAnsi" w:hAnsiTheme="minorHAnsi"/>
                <w:sz w:val="18"/>
                <w:szCs w:val="18"/>
              </w:rPr>
              <w:t xml:space="preserve"> ºC or a sustained temperature of ≥38 ºC for more than one hour</w:t>
            </w:r>
            <w:r w:rsidRPr="001E0751">
              <w:rPr>
                <w:rFonts w:asciiTheme="minorHAnsi" w:hAnsiTheme="minorHAnsi"/>
                <w:sz w:val="18"/>
                <w:szCs w:val="18"/>
                <w:lang w:val="en-US"/>
              </w:rPr>
              <w:t xml:space="preserve"> Grade 4</w:t>
            </w:r>
          </w:p>
          <w:p w14:paraId="1163B6B3" w14:textId="77777777" w:rsidR="00A950E4" w:rsidRPr="001E0751" w:rsidRDefault="00A950E4" w:rsidP="009E0E5F">
            <w:pPr>
              <w:pStyle w:val="Table"/>
              <w:jc w:val="center"/>
              <w:rPr>
                <w:rFonts w:asciiTheme="minorHAnsi" w:hAnsiTheme="minorHAnsi"/>
                <w:sz w:val="18"/>
                <w:szCs w:val="18"/>
                <w:lang w:val="en-US"/>
              </w:rPr>
            </w:pPr>
            <w:r w:rsidRPr="001E0751">
              <w:rPr>
                <w:rFonts w:asciiTheme="minorHAnsi" w:hAnsiTheme="minorHAnsi"/>
                <w:sz w:val="18"/>
                <w:szCs w:val="18"/>
                <w:lang w:val="en-US"/>
              </w:rPr>
              <w:t>Life threatening consequences; urgent intervention indicated</w:t>
            </w:r>
          </w:p>
        </w:tc>
        <w:tc>
          <w:tcPr>
            <w:tcW w:w="5495" w:type="dxa"/>
            <w:tcBorders>
              <w:top w:val="nil"/>
              <w:left w:val="nil"/>
              <w:bottom w:val="single" w:sz="4" w:space="0" w:color="auto"/>
              <w:right w:val="nil"/>
            </w:tcBorders>
            <w:shd w:val="clear" w:color="auto" w:fill="auto"/>
          </w:tcPr>
          <w:p w14:paraId="39649C90" w14:textId="77777777" w:rsidR="00A950E4" w:rsidRPr="001E0751" w:rsidRDefault="00A950E4" w:rsidP="009E0E5F">
            <w:pPr>
              <w:pStyle w:val="Table"/>
              <w:rPr>
                <w:rFonts w:asciiTheme="minorHAnsi" w:hAnsiTheme="minorHAnsi" w:cs="Arial"/>
                <w:sz w:val="18"/>
                <w:szCs w:val="18"/>
              </w:rPr>
            </w:pPr>
            <w:r w:rsidRPr="001E0751">
              <w:rPr>
                <w:rFonts w:asciiTheme="minorHAnsi" w:hAnsiTheme="minorHAnsi"/>
                <w:sz w:val="18"/>
                <w:szCs w:val="18"/>
              </w:rPr>
              <w:t xml:space="preserve">Temporary dose interruption until recovery to Grade </w:t>
            </w:r>
            <w:r w:rsidRPr="001E0751">
              <w:rPr>
                <w:rFonts w:asciiTheme="minorHAnsi" w:hAnsiTheme="minorHAnsi" w:cs="Arial"/>
                <w:sz w:val="18"/>
                <w:szCs w:val="18"/>
              </w:rPr>
              <w:t>2 and no fever.</w:t>
            </w:r>
          </w:p>
          <w:p w14:paraId="63D7083E" w14:textId="77777777" w:rsidR="00A950E4" w:rsidRPr="001E0751" w:rsidRDefault="00A950E4" w:rsidP="009E0E5F">
            <w:pPr>
              <w:pStyle w:val="Table"/>
              <w:rPr>
                <w:rFonts w:asciiTheme="minorHAnsi" w:hAnsiTheme="minorHAnsi" w:cs="Arial"/>
                <w:sz w:val="18"/>
                <w:szCs w:val="18"/>
              </w:rPr>
            </w:pPr>
            <w:r w:rsidRPr="001E0751">
              <w:rPr>
                <w:rFonts w:asciiTheme="minorHAnsi" w:hAnsiTheme="minorHAnsi" w:cs="Arial"/>
                <w:sz w:val="18"/>
                <w:szCs w:val="18"/>
              </w:rPr>
              <w:t xml:space="preserve">Re-initiate </w:t>
            </w:r>
            <w:proofErr w:type="spellStart"/>
            <w:r w:rsidRPr="001E0751">
              <w:rPr>
                <w:rFonts w:asciiTheme="minorHAnsi" w:hAnsiTheme="minorHAnsi" w:cs="Arial"/>
                <w:sz w:val="18"/>
                <w:szCs w:val="18"/>
              </w:rPr>
              <w:t>Afinitor</w:t>
            </w:r>
            <w:proofErr w:type="spellEnd"/>
            <w:r w:rsidRPr="001E0751">
              <w:rPr>
                <w:rFonts w:asciiTheme="minorHAnsi" w:hAnsiTheme="minorHAnsi" w:cs="Arial"/>
                <w:sz w:val="18"/>
                <w:szCs w:val="18"/>
              </w:rPr>
              <w:t xml:space="preserve"> at 5 mg daily.</w:t>
            </w:r>
          </w:p>
          <w:p w14:paraId="4B641AC0" w14:textId="77777777" w:rsidR="00A950E4" w:rsidRPr="001E0751" w:rsidRDefault="00A950E4" w:rsidP="009E0E5F">
            <w:pPr>
              <w:pStyle w:val="Table"/>
              <w:rPr>
                <w:rFonts w:asciiTheme="minorHAnsi" w:hAnsiTheme="minorHAnsi"/>
                <w:sz w:val="18"/>
                <w:szCs w:val="18"/>
              </w:rPr>
            </w:pPr>
          </w:p>
          <w:p w14:paraId="5A6304A0" w14:textId="77777777" w:rsidR="00A950E4" w:rsidRPr="001E0751" w:rsidRDefault="00A950E4" w:rsidP="009E0E5F">
            <w:pPr>
              <w:pStyle w:val="Table"/>
              <w:rPr>
                <w:rFonts w:asciiTheme="minorHAnsi" w:hAnsiTheme="minorHAnsi"/>
                <w:sz w:val="18"/>
                <w:szCs w:val="18"/>
              </w:rPr>
            </w:pPr>
          </w:p>
          <w:p w14:paraId="23B555E7" w14:textId="77777777" w:rsidR="00A950E4" w:rsidRPr="001E0751" w:rsidRDefault="00A950E4" w:rsidP="009E0E5F">
            <w:pPr>
              <w:pStyle w:val="Table"/>
              <w:rPr>
                <w:rFonts w:asciiTheme="minorHAnsi" w:hAnsiTheme="minorHAnsi"/>
                <w:sz w:val="18"/>
                <w:szCs w:val="18"/>
              </w:rPr>
            </w:pPr>
          </w:p>
          <w:p w14:paraId="7EAD4858" w14:textId="77777777" w:rsidR="00A950E4" w:rsidRPr="001E0751" w:rsidRDefault="00A950E4" w:rsidP="009E0E5F">
            <w:pPr>
              <w:pStyle w:val="Table"/>
              <w:rPr>
                <w:rFonts w:asciiTheme="minorHAnsi" w:hAnsiTheme="minorHAnsi"/>
                <w:sz w:val="18"/>
                <w:szCs w:val="18"/>
              </w:rPr>
            </w:pPr>
          </w:p>
          <w:p w14:paraId="58BD5878" w14:textId="77777777" w:rsidR="00A950E4" w:rsidRPr="001E0751" w:rsidRDefault="00A950E4" w:rsidP="009E0E5F">
            <w:pPr>
              <w:pStyle w:val="Table"/>
              <w:rPr>
                <w:rFonts w:asciiTheme="minorHAnsi" w:hAnsiTheme="minorHAnsi"/>
                <w:sz w:val="18"/>
                <w:szCs w:val="18"/>
              </w:rPr>
            </w:pPr>
          </w:p>
          <w:p w14:paraId="72F7E136" w14:textId="77777777" w:rsidR="00A950E4" w:rsidRPr="001E0751" w:rsidRDefault="00A950E4" w:rsidP="009E0E5F">
            <w:pPr>
              <w:pStyle w:val="Table"/>
              <w:rPr>
                <w:rFonts w:asciiTheme="minorHAnsi" w:hAnsiTheme="minorHAnsi"/>
                <w:sz w:val="18"/>
                <w:szCs w:val="18"/>
              </w:rPr>
            </w:pPr>
            <w:r w:rsidRPr="001E0751">
              <w:rPr>
                <w:rFonts w:asciiTheme="minorHAnsi" w:hAnsiTheme="minorHAnsi"/>
                <w:sz w:val="18"/>
                <w:szCs w:val="18"/>
              </w:rPr>
              <w:t xml:space="preserve">Discontinue </w:t>
            </w:r>
            <w:proofErr w:type="spellStart"/>
            <w:r w:rsidRPr="001E0751">
              <w:rPr>
                <w:rFonts w:asciiTheme="minorHAnsi" w:hAnsiTheme="minorHAnsi"/>
                <w:sz w:val="18"/>
                <w:szCs w:val="18"/>
              </w:rPr>
              <w:t>Afinitor</w:t>
            </w:r>
            <w:proofErr w:type="spellEnd"/>
          </w:p>
        </w:tc>
      </w:tr>
      <w:tr w:rsidR="00A950E4" w:rsidRPr="001E0751" w14:paraId="21E6C33B" w14:textId="77777777" w:rsidTr="009E0E5F">
        <w:tc>
          <w:tcPr>
            <w:tcW w:w="8927" w:type="dxa"/>
            <w:gridSpan w:val="3"/>
            <w:tcBorders>
              <w:top w:val="single" w:sz="4" w:space="0" w:color="auto"/>
              <w:left w:val="nil"/>
              <w:bottom w:val="single" w:sz="4" w:space="0" w:color="auto"/>
              <w:right w:val="nil"/>
            </w:tcBorders>
            <w:shd w:val="clear" w:color="auto" w:fill="auto"/>
          </w:tcPr>
          <w:p w14:paraId="367DFF50" w14:textId="77777777" w:rsidR="00A950E4" w:rsidRPr="001E0751" w:rsidRDefault="00A950E4" w:rsidP="009E0E5F">
            <w:pPr>
              <w:pStyle w:val="Table"/>
              <w:rPr>
                <w:rFonts w:asciiTheme="minorHAnsi" w:hAnsiTheme="minorHAnsi"/>
                <w:i/>
                <w:sz w:val="16"/>
                <w:szCs w:val="16"/>
              </w:rPr>
            </w:pPr>
            <w:r w:rsidRPr="001E0751">
              <w:rPr>
                <w:rFonts w:asciiTheme="minorHAnsi" w:hAnsiTheme="minorHAnsi"/>
                <w:i/>
                <w:sz w:val="16"/>
                <w:szCs w:val="16"/>
                <w:vertAlign w:val="superscript"/>
              </w:rPr>
              <w:t xml:space="preserve">a </w:t>
            </w:r>
            <w:r w:rsidRPr="001E0751">
              <w:rPr>
                <w:rFonts w:asciiTheme="minorHAnsi" w:hAnsiTheme="minorHAnsi"/>
                <w:i/>
                <w:sz w:val="16"/>
                <w:szCs w:val="16"/>
              </w:rPr>
              <w:t>Severity Grade description: 1 = mild symptoms; 2 = moderate symptoms; 3 = severe symptoms; 4 = life-threatening symptoms.</w:t>
            </w:r>
          </w:p>
          <w:p w14:paraId="1AB86C0B" w14:textId="77777777" w:rsidR="00A950E4" w:rsidRPr="001E0751" w:rsidRDefault="00A950E4" w:rsidP="009E0E5F">
            <w:pPr>
              <w:pStyle w:val="Table"/>
              <w:rPr>
                <w:rFonts w:asciiTheme="minorHAnsi" w:hAnsiTheme="minorHAnsi"/>
                <w:i/>
                <w:sz w:val="16"/>
                <w:szCs w:val="16"/>
              </w:rPr>
            </w:pPr>
            <w:r w:rsidRPr="001E0751">
              <w:rPr>
                <w:rFonts w:asciiTheme="minorHAnsi" w:hAnsiTheme="minorHAnsi"/>
                <w:i/>
                <w:sz w:val="16"/>
                <w:szCs w:val="16"/>
              </w:rPr>
              <w:t>Grading based on National Cancer Institute (NCI) Common Terminology Criteria for Adverse Events (CTCAE) v4.03.</w:t>
            </w:r>
          </w:p>
          <w:p w14:paraId="30159C84" w14:textId="77777777" w:rsidR="00A950E4" w:rsidRPr="001E0751" w:rsidRDefault="00A950E4" w:rsidP="009E0E5F">
            <w:pPr>
              <w:pStyle w:val="Table"/>
              <w:rPr>
                <w:rFonts w:asciiTheme="minorHAnsi" w:hAnsiTheme="minorHAnsi"/>
                <w:i/>
                <w:sz w:val="16"/>
                <w:szCs w:val="16"/>
              </w:rPr>
            </w:pPr>
            <w:r w:rsidRPr="001E0751">
              <w:rPr>
                <w:rFonts w:asciiTheme="minorHAnsi" w:hAnsiTheme="minorHAnsi"/>
                <w:i/>
                <w:sz w:val="16"/>
                <w:szCs w:val="16"/>
                <w:vertAlign w:val="superscript"/>
              </w:rPr>
              <w:t xml:space="preserve">b </w:t>
            </w:r>
            <w:r w:rsidRPr="001E0751">
              <w:rPr>
                <w:rFonts w:asciiTheme="minorHAnsi" w:hAnsiTheme="minorHAnsi"/>
                <w:i/>
                <w:sz w:val="16"/>
                <w:szCs w:val="16"/>
              </w:rPr>
              <w:t>If dose reduction is required, the suggested dose is approximately 50% lower than the dose previously administered.</w:t>
            </w:r>
          </w:p>
          <w:p w14:paraId="48224879" w14:textId="77777777" w:rsidR="00A950E4" w:rsidRPr="001E0751" w:rsidRDefault="00A950E4" w:rsidP="009E0E5F">
            <w:pPr>
              <w:pStyle w:val="Table"/>
              <w:rPr>
                <w:rFonts w:asciiTheme="minorHAnsi" w:hAnsiTheme="minorHAnsi"/>
                <w:i/>
                <w:sz w:val="16"/>
                <w:szCs w:val="16"/>
                <w:lang w:val="en-US"/>
              </w:rPr>
            </w:pPr>
            <w:r w:rsidRPr="001E0751">
              <w:rPr>
                <w:rFonts w:asciiTheme="minorHAnsi" w:hAnsiTheme="minorHAnsi"/>
                <w:i/>
                <w:sz w:val="16"/>
                <w:szCs w:val="16"/>
                <w:vertAlign w:val="superscript"/>
                <w:lang w:val="en-US"/>
              </w:rPr>
              <w:lastRenderedPageBreak/>
              <w:t xml:space="preserve">c </w:t>
            </w:r>
            <w:r w:rsidRPr="001E0751">
              <w:rPr>
                <w:rFonts w:asciiTheme="minorHAnsi" w:hAnsiTheme="minorHAnsi"/>
                <w:i/>
                <w:sz w:val="16"/>
                <w:szCs w:val="16"/>
                <w:lang w:val="en-US"/>
              </w:rPr>
              <w:t>Activities of daily living (ADL)</w:t>
            </w:r>
          </w:p>
          <w:p w14:paraId="66431F99" w14:textId="77777777" w:rsidR="00A950E4" w:rsidRPr="001E0751" w:rsidRDefault="00A950E4" w:rsidP="009E0E5F">
            <w:pPr>
              <w:pStyle w:val="Table"/>
              <w:rPr>
                <w:rFonts w:asciiTheme="minorHAnsi" w:hAnsiTheme="minorHAnsi"/>
                <w:i/>
                <w:sz w:val="16"/>
                <w:szCs w:val="16"/>
              </w:rPr>
            </w:pPr>
            <w:r w:rsidRPr="001E0751">
              <w:rPr>
                <w:rFonts w:asciiTheme="minorHAnsi" w:hAnsiTheme="minorHAnsi"/>
                <w:i/>
                <w:sz w:val="16"/>
                <w:szCs w:val="16"/>
                <w:vertAlign w:val="superscript"/>
                <w:lang w:val="en-US"/>
              </w:rPr>
              <w:t xml:space="preserve">d </w:t>
            </w:r>
            <w:r w:rsidRPr="001E0751">
              <w:rPr>
                <w:rFonts w:asciiTheme="minorHAnsi" w:hAnsiTheme="minorHAnsi"/>
                <w:i/>
                <w:sz w:val="16"/>
                <w:szCs w:val="16"/>
              </w:rPr>
              <w:t>Avoid using agents containing alcohol, hydrogen peroxide, iodine, and thyme derivatives in management of stomatitis as they may worsen mouth ulcers.</w:t>
            </w:r>
          </w:p>
          <w:p w14:paraId="38202206" w14:textId="77777777" w:rsidR="00A950E4" w:rsidRPr="001E0751" w:rsidRDefault="00A950E4" w:rsidP="009E0E5F">
            <w:pPr>
              <w:pStyle w:val="Legend"/>
              <w:rPr>
                <w:rStyle w:val="LegendChar"/>
                <w:rFonts w:asciiTheme="minorHAnsi" w:hAnsiTheme="minorHAnsi"/>
                <w:i/>
                <w:sz w:val="16"/>
                <w:szCs w:val="16"/>
              </w:rPr>
            </w:pPr>
            <w:r w:rsidRPr="001E0751">
              <w:rPr>
                <w:rFonts w:asciiTheme="minorHAnsi" w:hAnsiTheme="minorHAnsi"/>
                <w:i/>
                <w:sz w:val="16"/>
                <w:szCs w:val="16"/>
                <w:vertAlign w:val="superscript"/>
              </w:rPr>
              <w:t>e</w:t>
            </w:r>
            <w:r w:rsidRPr="001E0751">
              <w:rPr>
                <w:rStyle w:val="LegendChar"/>
                <w:rFonts w:asciiTheme="minorHAnsi" w:hAnsiTheme="minorHAnsi"/>
                <w:i/>
                <w:sz w:val="16"/>
                <w:szCs w:val="16"/>
              </w:rPr>
              <w:t xml:space="preserve"> Lower limit of normal (LLN)</w:t>
            </w:r>
          </w:p>
          <w:p w14:paraId="43C61A2B" w14:textId="77777777" w:rsidR="00A950E4" w:rsidRPr="001E0751" w:rsidRDefault="00A950E4" w:rsidP="009E0E5F">
            <w:pPr>
              <w:pStyle w:val="Table"/>
              <w:rPr>
                <w:rFonts w:asciiTheme="minorHAnsi" w:hAnsiTheme="minorHAnsi"/>
                <w:i/>
                <w:sz w:val="16"/>
                <w:szCs w:val="16"/>
                <w:vertAlign w:val="superscript"/>
                <w:lang w:val="en-US"/>
              </w:rPr>
            </w:pPr>
            <w:r w:rsidRPr="001E0751">
              <w:rPr>
                <w:rStyle w:val="LegendChar"/>
                <w:rFonts w:asciiTheme="minorHAnsi" w:hAnsiTheme="minorHAnsi"/>
                <w:i/>
                <w:sz w:val="16"/>
                <w:szCs w:val="16"/>
                <w:vertAlign w:val="superscript"/>
              </w:rPr>
              <w:t>f</w:t>
            </w:r>
            <w:r w:rsidRPr="001E0751">
              <w:rPr>
                <w:rStyle w:val="LegendChar"/>
                <w:rFonts w:asciiTheme="minorHAnsi" w:hAnsiTheme="minorHAnsi"/>
                <w:i/>
                <w:sz w:val="16"/>
                <w:szCs w:val="16"/>
              </w:rPr>
              <w:t xml:space="preserve"> Absolute Neutrophil Count (ANC)</w:t>
            </w:r>
          </w:p>
        </w:tc>
      </w:tr>
    </w:tbl>
    <w:p w14:paraId="2CDC7F95" w14:textId="77777777" w:rsidR="00A950E4" w:rsidRPr="003353BC" w:rsidRDefault="00A950E4" w:rsidP="00A950E4">
      <w:pPr>
        <w:spacing w:after="120"/>
        <w:rPr>
          <w:szCs w:val="24"/>
        </w:rPr>
      </w:pPr>
    </w:p>
    <w:p w14:paraId="2217461B" w14:textId="77777777" w:rsidR="00A950E4" w:rsidRPr="003353BC" w:rsidRDefault="00A950E4" w:rsidP="00A950E4">
      <w:pPr>
        <w:spacing w:after="120"/>
        <w:rPr>
          <w:b/>
          <w:lang w:val="en-GB"/>
        </w:rPr>
      </w:pPr>
      <w:r w:rsidRPr="003353BC">
        <w:rPr>
          <w:b/>
          <w:lang w:val="en-GB"/>
        </w:rPr>
        <w:t xml:space="preserve">Moderate CYP3A4 or </w:t>
      </w:r>
      <w:proofErr w:type="spellStart"/>
      <w:r w:rsidRPr="003353BC">
        <w:rPr>
          <w:b/>
          <w:lang w:val="en-GB"/>
        </w:rPr>
        <w:t>PgP</w:t>
      </w:r>
      <w:proofErr w:type="spellEnd"/>
      <w:r w:rsidRPr="003353BC">
        <w:rPr>
          <w:b/>
          <w:lang w:val="en-GB"/>
        </w:rPr>
        <w:t xml:space="preserve"> inhibitors: </w:t>
      </w:r>
    </w:p>
    <w:p w14:paraId="71E93E84" w14:textId="5DDD3653" w:rsidR="00A950E4" w:rsidRPr="003353BC" w:rsidRDefault="00A950E4" w:rsidP="00A950E4">
      <w:pPr>
        <w:spacing w:after="120"/>
        <w:rPr>
          <w:lang w:val="en-GB"/>
        </w:rPr>
      </w:pPr>
      <w:r w:rsidRPr="003353BC">
        <w:rPr>
          <w:lang w:val="en-GB"/>
        </w:rPr>
        <w:t xml:space="preserve">Use caution when administered in combination with moderate CYP3A4 or </w:t>
      </w:r>
      <w:proofErr w:type="spellStart"/>
      <w:r w:rsidRPr="003353BC">
        <w:rPr>
          <w:lang w:val="en-GB"/>
        </w:rPr>
        <w:t>PgP</w:t>
      </w:r>
      <w:proofErr w:type="spellEnd"/>
      <w:r w:rsidRPr="003353BC">
        <w:rPr>
          <w:lang w:val="en-GB"/>
        </w:rPr>
        <w:t xml:space="preserve"> inhibitors. If patients require co-administration of a moderate CYP3A4 or </w:t>
      </w:r>
      <w:proofErr w:type="spellStart"/>
      <w:r w:rsidRPr="003353BC">
        <w:rPr>
          <w:lang w:val="en-GB"/>
        </w:rPr>
        <w:t>PgP</w:t>
      </w:r>
      <w:proofErr w:type="spellEnd"/>
      <w:r w:rsidRPr="003353BC">
        <w:rPr>
          <w:lang w:val="en-GB"/>
        </w:rPr>
        <w:t xml:space="preserve"> inhibitor, reduce the </w:t>
      </w:r>
      <w:proofErr w:type="spellStart"/>
      <w:r w:rsidRPr="003353BC">
        <w:rPr>
          <w:lang w:val="en-GB"/>
        </w:rPr>
        <w:t>Afinitor</w:t>
      </w:r>
      <w:proofErr w:type="spellEnd"/>
      <w:r w:rsidRPr="003353BC">
        <w:rPr>
          <w:lang w:val="en-GB"/>
        </w:rPr>
        <w:t xml:space="preserve"> daily dose by approximately 50%.</w:t>
      </w:r>
      <w:r w:rsidRPr="003353BC">
        <w:rPr>
          <w:szCs w:val="24"/>
          <w:lang w:val="en-GB"/>
        </w:rPr>
        <w:t xml:space="preserve"> </w:t>
      </w:r>
      <w:r w:rsidRPr="003353BC">
        <w:rPr>
          <w:lang w:val="en-GB"/>
        </w:rPr>
        <w:t xml:space="preserve">Further dose reduction may be required to manage adverse drug reactions. </w:t>
      </w:r>
      <w:r w:rsidRPr="003353BC">
        <w:rPr>
          <w:szCs w:val="24"/>
        </w:rPr>
        <w:t>For dose reductions below the lowest available strength, alternate day dosing should be considered</w:t>
      </w:r>
      <w:r w:rsidRPr="003353BC">
        <w:rPr>
          <w:szCs w:val="24"/>
          <w:lang w:val="en-GB"/>
        </w:rPr>
        <w:t xml:space="preserve"> (</w:t>
      </w:r>
      <w:r w:rsidRPr="003353BC">
        <w:rPr>
          <w:lang w:val="en-GB"/>
        </w:rPr>
        <w:t xml:space="preserve">see </w:t>
      </w:r>
      <w:r>
        <w:rPr>
          <w:lang w:val="en-GB"/>
        </w:rPr>
        <w:t>section 4.4 ‘Special warnings and precautions for use’).</w:t>
      </w:r>
    </w:p>
    <w:p w14:paraId="1C103D73" w14:textId="0A79E5BF" w:rsidR="00A950E4" w:rsidRPr="003353BC" w:rsidRDefault="00A950E4" w:rsidP="00A950E4">
      <w:pPr>
        <w:pStyle w:val="Text"/>
        <w:numPr>
          <w:ilvl w:val="0"/>
          <w:numId w:val="15"/>
        </w:numPr>
        <w:spacing w:after="120" w:line="276" w:lineRule="auto"/>
        <w:rPr>
          <w:rFonts w:asciiTheme="minorHAnsi" w:hAnsiTheme="minorHAnsi"/>
          <w:sz w:val="22"/>
        </w:rPr>
      </w:pPr>
      <w:r w:rsidRPr="003353BC">
        <w:rPr>
          <w:rFonts w:asciiTheme="minorHAnsi" w:hAnsiTheme="minorHAnsi"/>
          <w:b/>
          <w:sz w:val="22"/>
        </w:rPr>
        <w:t xml:space="preserve">Hormone receptor-positive advanced breast cancer, advanced neuroendocrine tumours, advanced renal cell carcinoma, and TSC with renal </w:t>
      </w:r>
      <w:proofErr w:type="spellStart"/>
      <w:r w:rsidRPr="003353BC">
        <w:rPr>
          <w:rFonts w:asciiTheme="minorHAnsi" w:hAnsiTheme="minorHAnsi"/>
          <w:b/>
          <w:sz w:val="22"/>
        </w:rPr>
        <w:t>angiomyolipoma</w:t>
      </w:r>
      <w:proofErr w:type="spellEnd"/>
      <w:r w:rsidRPr="003353BC">
        <w:rPr>
          <w:rFonts w:asciiTheme="minorHAnsi" w:hAnsiTheme="minorHAnsi"/>
          <w:b/>
          <w:sz w:val="22"/>
        </w:rPr>
        <w:t>:</w:t>
      </w:r>
      <w:r w:rsidRPr="003353BC">
        <w:rPr>
          <w:rFonts w:asciiTheme="minorHAnsi" w:hAnsiTheme="minorHAnsi"/>
          <w:sz w:val="22"/>
        </w:rPr>
        <w:t xml:space="preserve"> If the </w:t>
      </w:r>
      <w:r w:rsidRPr="003353BC">
        <w:rPr>
          <w:rFonts w:asciiTheme="minorHAnsi" w:hAnsiTheme="minorHAnsi"/>
          <w:sz w:val="22"/>
          <w:lang w:val="en-US"/>
        </w:rPr>
        <w:t xml:space="preserve">moderate </w:t>
      </w:r>
      <w:r w:rsidRPr="003353BC">
        <w:rPr>
          <w:rFonts w:asciiTheme="minorHAnsi" w:hAnsiTheme="minorHAnsi"/>
          <w:sz w:val="22"/>
        </w:rPr>
        <w:t>CYP3A4/</w:t>
      </w:r>
      <w:proofErr w:type="spellStart"/>
      <w:r w:rsidRPr="003353BC">
        <w:rPr>
          <w:rFonts w:asciiTheme="minorHAnsi" w:hAnsiTheme="minorHAnsi"/>
          <w:sz w:val="22"/>
        </w:rPr>
        <w:t>PgP</w:t>
      </w:r>
      <w:proofErr w:type="spellEnd"/>
      <w:r w:rsidRPr="003353BC">
        <w:rPr>
          <w:rFonts w:asciiTheme="minorHAnsi" w:hAnsiTheme="minorHAnsi"/>
          <w:sz w:val="22"/>
        </w:rPr>
        <w:t xml:space="preserve"> inhibitor is discontinued, </w:t>
      </w:r>
      <w:r w:rsidRPr="003353BC">
        <w:rPr>
          <w:rFonts w:asciiTheme="minorHAnsi" w:hAnsiTheme="minorHAnsi"/>
          <w:sz w:val="22"/>
          <w:lang w:val="en-US"/>
        </w:rPr>
        <w:t xml:space="preserve">consider </w:t>
      </w:r>
      <w:r w:rsidRPr="003353BC">
        <w:rPr>
          <w:rFonts w:asciiTheme="minorHAnsi" w:hAnsiTheme="minorHAnsi"/>
          <w:sz w:val="22"/>
        </w:rPr>
        <w:t xml:space="preserve">a washout period of </w:t>
      </w:r>
      <w:r w:rsidRPr="003353BC">
        <w:rPr>
          <w:rFonts w:asciiTheme="minorHAnsi" w:hAnsiTheme="minorHAnsi"/>
          <w:sz w:val="22"/>
          <w:lang w:val="en-US"/>
        </w:rPr>
        <w:t>at least</w:t>
      </w:r>
      <w:r w:rsidRPr="003353BC">
        <w:rPr>
          <w:rFonts w:asciiTheme="minorHAnsi" w:hAnsiTheme="minorHAnsi"/>
          <w:sz w:val="22"/>
        </w:rPr>
        <w:t xml:space="preserve"> 2 to 3 days</w:t>
      </w:r>
      <w:r w:rsidRPr="003353BC">
        <w:rPr>
          <w:rFonts w:asciiTheme="minorHAnsi" w:hAnsiTheme="minorHAnsi"/>
          <w:sz w:val="22"/>
          <w:lang w:val="en-US"/>
        </w:rPr>
        <w:t xml:space="preserve"> (average for most commonly used moderate inhibitors)</w:t>
      </w:r>
      <w:r w:rsidRPr="003353BC">
        <w:rPr>
          <w:rFonts w:asciiTheme="minorHAnsi" w:hAnsiTheme="minorHAnsi"/>
          <w:sz w:val="22"/>
        </w:rPr>
        <w:t xml:space="preserve"> before the </w:t>
      </w:r>
      <w:proofErr w:type="spellStart"/>
      <w:r w:rsidRPr="003353BC">
        <w:rPr>
          <w:rFonts w:asciiTheme="minorHAnsi" w:hAnsiTheme="minorHAnsi"/>
          <w:sz w:val="22"/>
        </w:rPr>
        <w:t>Afinitor</w:t>
      </w:r>
      <w:proofErr w:type="spellEnd"/>
      <w:r w:rsidRPr="003353BC">
        <w:rPr>
          <w:rFonts w:asciiTheme="minorHAnsi" w:hAnsiTheme="minorHAnsi"/>
          <w:sz w:val="22"/>
        </w:rPr>
        <w:t xml:space="preserve"> dose is increased. The </w:t>
      </w:r>
      <w:proofErr w:type="spellStart"/>
      <w:r w:rsidRPr="003353BC">
        <w:rPr>
          <w:rFonts w:asciiTheme="minorHAnsi" w:hAnsiTheme="minorHAnsi"/>
          <w:sz w:val="22"/>
        </w:rPr>
        <w:t>Afinitor</w:t>
      </w:r>
      <w:proofErr w:type="spellEnd"/>
      <w:r w:rsidRPr="003353BC">
        <w:rPr>
          <w:rFonts w:asciiTheme="minorHAnsi" w:hAnsiTheme="minorHAnsi"/>
          <w:sz w:val="22"/>
        </w:rPr>
        <w:t xml:space="preserve"> dose should be returned to the dose used prior to initiation of the moderate CYP3A4/</w:t>
      </w:r>
      <w:proofErr w:type="spellStart"/>
      <w:r w:rsidRPr="003353BC">
        <w:rPr>
          <w:rFonts w:asciiTheme="minorHAnsi" w:hAnsiTheme="minorHAnsi"/>
          <w:sz w:val="22"/>
        </w:rPr>
        <w:t>PgP</w:t>
      </w:r>
      <w:proofErr w:type="spellEnd"/>
      <w:r w:rsidRPr="003353BC">
        <w:rPr>
          <w:rFonts w:asciiTheme="minorHAnsi" w:hAnsiTheme="minorHAnsi"/>
          <w:sz w:val="22"/>
        </w:rPr>
        <w:t xml:space="preserve"> inhibitor</w:t>
      </w:r>
      <w:r w:rsidRPr="003353BC">
        <w:rPr>
          <w:rFonts w:asciiTheme="minorHAnsi" w:hAnsiTheme="minorHAnsi"/>
          <w:sz w:val="22"/>
          <w:lang w:val="en-US"/>
        </w:rPr>
        <w:t xml:space="preserve"> </w:t>
      </w:r>
      <w:r w:rsidR="00557C61" w:rsidRPr="0073696C">
        <w:rPr>
          <w:rFonts w:asciiTheme="minorHAnsi" w:hAnsiTheme="minorHAnsi"/>
          <w:sz w:val="22"/>
        </w:rPr>
        <w:t xml:space="preserve">(see </w:t>
      </w:r>
      <w:r w:rsidR="00557C61" w:rsidRPr="00557C61">
        <w:rPr>
          <w:rFonts w:asciiTheme="minorHAnsi" w:hAnsiTheme="minorHAnsi" w:cstheme="minorHAnsi"/>
          <w:sz w:val="22"/>
          <w:szCs w:val="22"/>
        </w:rPr>
        <w:t>section 4.4 ‘Special warnings and precautions for use’</w:t>
      </w:r>
      <w:r w:rsidR="00557C61" w:rsidRPr="0073696C">
        <w:rPr>
          <w:rFonts w:asciiTheme="minorHAnsi" w:hAnsiTheme="minorHAnsi"/>
          <w:sz w:val="22"/>
        </w:rPr>
        <w:t>).</w:t>
      </w:r>
    </w:p>
    <w:p w14:paraId="3612230B" w14:textId="016F90D4" w:rsidR="00A950E4" w:rsidRPr="003353BC" w:rsidRDefault="00A950E4" w:rsidP="00A950E4">
      <w:pPr>
        <w:pStyle w:val="Text"/>
        <w:numPr>
          <w:ilvl w:val="0"/>
          <w:numId w:val="15"/>
        </w:numPr>
        <w:spacing w:after="120" w:line="276" w:lineRule="auto"/>
        <w:rPr>
          <w:rFonts w:asciiTheme="minorHAnsi" w:hAnsiTheme="minorHAnsi"/>
          <w:sz w:val="22"/>
        </w:rPr>
      </w:pPr>
      <w:r w:rsidRPr="003353BC">
        <w:rPr>
          <w:rFonts w:asciiTheme="minorHAnsi" w:hAnsiTheme="minorHAnsi"/>
          <w:b/>
          <w:sz w:val="22"/>
        </w:rPr>
        <w:t>TSC with SEGA:</w:t>
      </w:r>
      <w:r w:rsidRPr="003353BC">
        <w:rPr>
          <w:rFonts w:asciiTheme="minorHAnsi" w:hAnsiTheme="minorHAnsi"/>
          <w:sz w:val="22"/>
        </w:rPr>
        <w:t xml:space="preserve"> </w:t>
      </w:r>
      <w:proofErr w:type="spellStart"/>
      <w:r w:rsidRPr="003353BC">
        <w:rPr>
          <w:rFonts w:asciiTheme="minorHAnsi" w:hAnsiTheme="minorHAnsi"/>
          <w:sz w:val="22"/>
        </w:rPr>
        <w:t>Everolimus</w:t>
      </w:r>
      <w:proofErr w:type="spellEnd"/>
      <w:r w:rsidRPr="003353BC">
        <w:rPr>
          <w:rFonts w:asciiTheme="minorHAnsi" w:hAnsiTheme="minorHAnsi"/>
          <w:sz w:val="22"/>
        </w:rPr>
        <w:t xml:space="preserve"> trough concentrations should be assessed approximately 1 to 2 weeks after the addition of a moderate CYP3A4 or </w:t>
      </w:r>
      <w:proofErr w:type="spellStart"/>
      <w:r w:rsidRPr="003353BC">
        <w:rPr>
          <w:rFonts w:asciiTheme="minorHAnsi" w:hAnsiTheme="minorHAnsi"/>
          <w:sz w:val="22"/>
        </w:rPr>
        <w:t>PgP</w:t>
      </w:r>
      <w:proofErr w:type="spellEnd"/>
      <w:r w:rsidRPr="003353BC">
        <w:rPr>
          <w:rFonts w:asciiTheme="minorHAnsi" w:hAnsiTheme="minorHAnsi"/>
          <w:sz w:val="22"/>
        </w:rPr>
        <w:t xml:space="preserve"> inhibitor. If the  inhibitor is discontinued the </w:t>
      </w:r>
      <w:proofErr w:type="spellStart"/>
      <w:r w:rsidRPr="003353BC">
        <w:rPr>
          <w:rFonts w:asciiTheme="minorHAnsi" w:hAnsiTheme="minorHAnsi"/>
          <w:sz w:val="22"/>
        </w:rPr>
        <w:t>Afinitor</w:t>
      </w:r>
      <w:proofErr w:type="spellEnd"/>
      <w:r w:rsidRPr="003353BC">
        <w:rPr>
          <w:rFonts w:asciiTheme="minorHAnsi" w:hAnsiTheme="minorHAnsi"/>
          <w:sz w:val="22"/>
        </w:rPr>
        <w:t xml:space="preserve"> dose should be returned to the dose used prior to initiation of the inhibitor and the </w:t>
      </w:r>
      <w:proofErr w:type="spellStart"/>
      <w:r w:rsidRPr="003353BC">
        <w:rPr>
          <w:rFonts w:asciiTheme="minorHAnsi" w:hAnsiTheme="minorHAnsi"/>
          <w:sz w:val="22"/>
        </w:rPr>
        <w:t>everolimus</w:t>
      </w:r>
      <w:proofErr w:type="spellEnd"/>
      <w:r w:rsidRPr="003353BC">
        <w:rPr>
          <w:rFonts w:asciiTheme="minorHAnsi" w:hAnsiTheme="minorHAnsi"/>
          <w:sz w:val="22"/>
        </w:rPr>
        <w:t xml:space="preserve"> trough concentration should be re-assessed approximate</w:t>
      </w:r>
      <w:r w:rsidRPr="00557C61">
        <w:rPr>
          <w:rFonts w:asciiTheme="minorHAnsi" w:hAnsiTheme="minorHAnsi" w:cstheme="minorHAnsi"/>
          <w:sz w:val="22"/>
          <w:szCs w:val="22"/>
        </w:rPr>
        <w:t xml:space="preserve">ly 2 weeks later </w:t>
      </w:r>
      <w:r w:rsidR="00557C61" w:rsidRPr="00557C61">
        <w:rPr>
          <w:rFonts w:asciiTheme="minorHAnsi" w:hAnsiTheme="minorHAnsi" w:cstheme="minorHAnsi"/>
          <w:sz w:val="22"/>
          <w:szCs w:val="22"/>
        </w:rPr>
        <w:t>(see section 4.4 ‘Special warnings and precautions for use’</w:t>
      </w:r>
      <w:r w:rsidRPr="00557C61">
        <w:rPr>
          <w:rFonts w:asciiTheme="minorHAnsi" w:hAnsiTheme="minorHAnsi" w:cstheme="minorHAnsi"/>
          <w:sz w:val="22"/>
          <w:szCs w:val="22"/>
        </w:rPr>
        <w:t xml:space="preserve"> and</w:t>
      </w:r>
      <w:r w:rsidR="00557C61" w:rsidRPr="00557C61">
        <w:rPr>
          <w:rFonts w:asciiTheme="minorHAnsi" w:hAnsiTheme="minorHAnsi" w:cstheme="minorHAnsi"/>
          <w:sz w:val="22"/>
          <w:szCs w:val="22"/>
        </w:rPr>
        <w:t xml:space="preserve"> 4.2 ‘Dose and </w:t>
      </w:r>
      <w:r w:rsidR="00557C61">
        <w:rPr>
          <w:rFonts w:asciiTheme="minorHAnsi" w:hAnsiTheme="minorHAnsi"/>
          <w:sz w:val="22"/>
        </w:rPr>
        <w:t>method of administration</w:t>
      </w:r>
      <w:r w:rsidR="00DA1218">
        <w:rPr>
          <w:rFonts w:asciiTheme="minorHAnsi" w:hAnsiTheme="minorHAnsi"/>
          <w:sz w:val="22"/>
        </w:rPr>
        <w:t xml:space="preserve"> </w:t>
      </w:r>
      <w:r w:rsidR="00557C61">
        <w:rPr>
          <w:rFonts w:asciiTheme="minorHAnsi" w:hAnsiTheme="minorHAnsi"/>
          <w:sz w:val="22"/>
        </w:rPr>
        <w:t>-</w:t>
      </w:r>
      <w:r w:rsidRPr="003353BC">
        <w:rPr>
          <w:rFonts w:asciiTheme="minorHAnsi" w:hAnsiTheme="minorHAnsi"/>
          <w:sz w:val="22"/>
        </w:rPr>
        <w:t xml:space="preserve"> Therapeutic drug monitoring</w:t>
      </w:r>
      <w:r w:rsidR="00830F70">
        <w:rPr>
          <w:rFonts w:asciiTheme="minorHAnsi" w:hAnsiTheme="minorHAnsi"/>
          <w:sz w:val="22"/>
        </w:rPr>
        <w:t>’</w:t>
      </w:r>
      <w:r w:rsidRPr="003353BC">
        <w:rPr>
          <w:rFonts w:asciiTheme="minorHAnsi" w:hAnsiTheme="minorHAnsi"/>
          <w:sz w:val="22"/>
        </w:rPr>
        <w:t>).</w:t>
      </w:r>
    </w:p>
    <w:p w14:paraId="70D734A9" w14:textId="77777777" w:rsidR="00A950E4" w:rsidRPr="001E0751" w:rsidRDefault="00A950E4" w:rsidP="00A950E4">
      <w:pPr>
        <w:pStyle w:val="Text"/>
        <w:spacing w:after="120" w:line="276" w:lineRule="auto"/>
        <w:ind w:left="360"/>
        <w:rPr>
          <w:rFonts w:asciiTheme="minorHAnsi" w:hAnsiTheme="minorHAnsi"/>
        </w:rPr>
      </w:pPr>
    </w:p>
    <w:p w14:paraId="0B0C252B" w14:textId="77777777" w:rsidR="00A950E4" w:rsidRPr="00D153C6" w:rsidRDefault="00A950E4" w:rsidP="00A950E4">
      <w:pPr>
        <w:spacing w:after="240"/>
        <w:rPr>
          <w:b/>
          <w:lang w:val="en-GB"/>
        </w:rPr>
      </w:pPr>
      <w:r w:rsidRPr="00D153C6">
        <w:rPr>
          <w:b/>
          <w:lang w:val="en-GB"/>
        </w:rPr>
        <w:t xml:space="preserve">Strong CYP3A4 inducers: </w:t>
      </w:r>
    </w:p>
    <w:p w14:paraId="6BFA9A24" w14:textId="77777777" w:rsidR="00A950E4" w:rsidRPr="003353BC" w:rsidRDefault="00A950E4" w:rsidP="00A950E4">
      <w:pPr>
        <w:rPr>
          <w:lang w:val="en-GB"/>
        </w:rPr>
      </w:pPr>
      <w:r w:rsidRPr="003353BC">
        <w:rPr>
          <w:lang w:val="en-GB"/>
        </w:rPr>
        <w:t>Avoid the use of concomitant strong CYP3A4 inducers.</w:t>
      </w:r>
    </w:p>
    <w:p w14:paraId="07F847C6" w14:textId="3013D096" w:rsidR="00A950E4" w:rsidRPr="003353BC" w:rsidRDefault="00A950E4" w:rsidP="00266C8F">
      <w:pPr>
        <w:numPr>
          <w:ilvl w:val="0"/>
          <w:numId w:val="22"/>
        </w:numPr>
        <w:spacing w:after="0"/>
        <w:jc w:val="both"/>
        <w:rPr>
          <w:szCs w:val="24"/>
        </w:rPr>
      </w:pPr>
      <w:r w:rsidRPr="003353BC">
        <w:rPr>
          <w:b/>
          <w:szCs w:val="24"/>
        </w:rPr>
        <w:t xml:space="preserve">Hormone receptor-positive advanced breast cancer, advanced neuroendocrine tumours, advanced renal cell carcinoma, and TSC with renal </w:t>
      </w:r>
      <w:proofErr w:type="spellStart"/>
      <w:r w:rsidRPr="003353BC">
        <w:rPr>
          <w:b/>
          <w:szCs w:val="24"/>
        </w:rPr>
        <w:t>angiomyolipoma</w:t>
      </w:r>
      <w:proofErr w:type="spellEnd"/>
      <w:r w:rsidRPr="003353BC">
        <w:rPr>
          <w:b/>
          <w:szCs w:val="24"/>
        </w:rPr>
        <w:t>:</w:t>
      </w:r>
      <w:r w:rsidRPr="003353BC">
        <w:rPr>
          <w:szCs w:val="24"/>
        </w:rPr>
        <w:t xml:space="preserve"> If patients require co-administration of a strong CYP3A4 inducer, consider doubling the daily dose of </w:t>
      </w:r>
      <w:proofErr w:type="spellStart"/>
      <w:r w:rsidRPr="003353BC">
        <w:rPr>
          <w:szCs w:val="24"/>
        </w:rPr>
        <w:t>Afinitor</w:t>
      </w:r>
      <w:proofErr w:type="spellEnd"/>
      <w:r w:rsidRPr="003353BC">
        <w:rPr>
          <w:szCs w:val="24"/>
        </w:rPr>
        <w:t xml:space="preserve"> (based on pharmacokinetic data), using increments of 5 mg or less. This dose of </w:t>
      </w:r>
      <w:proofErr w:type="spellStart"/>
      <w:r w:rsidRPr="003353BC">
        <w:rPr>
          <w:szCs w:val="24"/>
        </w:rPr>
        <w:t>Afinitor</w:t>
      </w:r>
      <w:proofErr w:type="spellEnd"/>
      <w:r w:rsidRPr="003353BC">
        <w:rPr>
          <w:szCs w:val="24"/>
        </w:rPr>
        <w:t xml:space="preserve"> is predicted to adjust the AUC to the range observed without inducers. However, there are no clinical data with this dose adjustment in patients receiving strong CYP3A4 inducers. If the strong inducer is discontinued, consider a washout period of at least 3 to 5 days (reasonable time for significant enzyme de-induction), before the </w:t>
      </w:r>
      <w:proofErr w:type="spellStart"/>
      <w:r w:rsidRPr="003353BC">
        <w:rPr>
          <w:szCs w:val="24"/>
        </w:rPr>
        <w:t>Afinitor</w:t>
      </w:r>
      <w:proofErr w:type="spellEnd"/>
      <w:r w:rsidRPr="003353BC">
        <w:rPr>
          <w:szCs w:val="24"/>
        </w:rPr>
        <w:t xml:space="preserve"> dose is returned to the dose used prior to initiation </w:t>
      </w:r>
      <w:r w:rsidR="00557C61">
        <w:rPr>
          <w:szCs w:val="24"/>
        </w:rPr>
        <w:t xml:space="preserve">of the strong CYP3A4 inducer </w:t>
      </w:r>
      <w:r w:rsidR="00557C61" w:rsidRPr="00266C8F">
        <w:rPr>
          <w:lang w:val="en-GB"/>
        </w:rPr>
        <w:t xml:space="preserve">(see </w:t>
      </w:r>
      <w:r w:rsidR="00557C61" w:rsidRPr="00557C61">
        <w:rPr>
          <w:rFonts w:cstheme="minorHAnsi"/>
          <w:lang w:val="en-GB"/>
        </w:rPr>
        <w:t>section 4.4 ‘Special war</w:t>
      </w:r>
      <w:proofErr w:type="spellStart"/>
      <w:r w:rsidR="00557C61" w:rsidRPr="00557C61">
        <w:rPr>
          <w:rFonts w:cstheme="minorHAnsi"/>
        </w:rPr>
        <w:t>nings</w:t>
      </w:r>
      <w:proofErr w:type="spellEnd"/>
      <w:r w:rsidR="00557C61" w:rsidRPr="00557C61">
        <w:rPr>
          <w:rFonts w:cstheme="minorHAnsi"/>
        </w:rPr>
        <w:t xml:space="preserve"> and precautions for use’</w:t>
      </w:r>
      <w:r w:rsidRPr="003353BC">
        <w:rPr>
          <w:szCs w:val="24"/>
        </w:rPr>
        <w:t>).</w:t>
      </w:r>
    </w:p>
    <w:p w14:paraId="5AE63199" w14:textId="77777777" w:rsidR="00A950E4" w:rsidRPr="003353BC" w:rsidRDefault="00A950E4" w:rsidP="00266C8F">
      <w:pPr>
        <w:numPr>
          <w:ilvl w:val="0"/>
          <w:numId w:val="22"/>
        </w:numPr>
        <w:spacing w:after="0"/>
        <w:jc w:val="both"/>
        <w:rPr>
          <w:szCs w:val="24"/>
        </w:rPr>
      </w:pPr>
      <w:r w:rsidRPr="003353BC">
        <w:rPr>
          <w:b/>
          <w:iCs/>
          <w:szCs w:val="24"/>
        </w:rPr>
        <w:t xml:space="preserve">TSC with SEGA </w:t>
      </w:r>
      <w:r w:rsidRPr="003353BC">
        <w:rPr>
          <w:b/>
          <w:szCs w:val="24"/>
        </w:rPr>
        <w:t>and TSC with refractory seizures</w:t>
      </w:r>
      <w:r w:rsidRPr="003353BC">
        <w:rPr>
          <w:iCs/>
          <w:szCs w:val="24"/>
        </w:rPr>
        <w:t>:</w:t>
      </w:r>
      <w:r w:rsidRPr="003353BC">
        <w:rPr>
          <w:szCs w:val="24"/>
        </w:rPr>
        <w:t xml:space="preserve"> </w:t>
      </w:r>
    </w:p>
    <w:p w14:paraId="4C099D0A" w14:textId="77777777" w:rsidR="00A950E4" w:rsidRPr="003353BC" w:rsidRDefault="00A950E4" w:rsidP="00266C8F">
      <w:pPr>
        <w:numPr>
          <w:ilvl w:val="1"/>
          <w:numId w:val="22"/>
        </w:numPr>
        <w:spacing w:after="0"/>
        <w:ind w:left="1134" w:hanging="425"/>
        <w:jc w:val="both"/>
        <w:rPr>
          <w:szCs w:val="24"/>
        </w:rPr>
      </w:pPr>
      <w:r w:rsidRPr="003353BC">
        <w:rPr>
          <w:szCs w:val="24"/>
        </w:rPr>
        <w:t xml:space="preserve">Patients with SEGA receiving concomitant strong CYP3A4 inducers (e.g., the enzyme inducing antiepileptic drugs carbamazepine, phenobarbital, and phenytoin) at the start </w:t>
      </w:r>
      <w:r w:rsidRPr="003353BC">
        <w:rPr>
          <w:szCs w:val="24"/>
        </w:rPr>
        <w:lastRenderedPageBreak/>
        <w:t xml:space="preserve">of treatment may require an increased </w:t>
      </w:r>
      <w:proofErr w:type="spellStart"/>
      <w:r w:rsidRPr="003353BC">
        <w:rPr>
          <w:szCs w:val="24"/>
        </w:rPr>
        <w:t>Afinitor</w:t>
      </w:r>
      <w:proofErr w:type="spellEnd"/>
      <w:r w:rsidRPr="003353BC">
        <w:rPr>
          <w:szCs w:val="24"/>
        </w:rPr>
        <w:t xml:space="preserve"> dose to attain trough concentrations of 3 to 15 ng/</w:t>
      </w:r>
      <w:proofErr w:type="spellStart"/>
      <w:r w:rsidRPr="003353BC">
        <w:rPr>
          <w:szCs w:val="24"/>
        </w:rPr>
        <w:t>mL.</w:t>
      </w:r>
      <w:proofErr w:type="spellEnd"/>
      <w:r w:rsidRPr="003353BC">
        <w:rPr>
          <w:szCs w:val="24"/>
        </w:rPr>
        <w:t xml:space="preserve"> Double the daily dose of </w:t>
      </w:r>
      <w:proofErr w:type="spellStart"/>
      <w:r w:rsidRPr="003353BC">
        <w:rPr>
          <w:szCs w:val="24"/>
        </w:rPr>
        <w:t>Afinitor</w:t>
      </w:r>
      <w:proofErr w:type="spellEnd"/>
      <w:r w:rsidRPr="003353BC">
        <w:rPr>
          <w:szCs w:val="24"/>
        </w:rPr>
        <w:t xml:space="preserve"> and assess tolerability. Assess the </w:t>
      </w:r>
      <w:proofErr w:type="spellStart"/>
      <w:r w:rsidRPr="003353BC">
        <w:rPr>
          <w:szCs w:val="24"/>
        </w:rPr>
        <w:t>everolimus</w:t>
      </w:r>
      <w:proofErr w:type="spellEnd"/>
      <w:r w:rsidRPr="003353BC">
        <w:rPr>
          <w:szCs w:val="24"/>
        </w:rPr>
        <w:t xml:space="preserve"> trough level two weeks after doubling the dose. Further adjust the dose by increments of 1 to 4 mg as necessary to maintain the target trough concentration.</w:t>
      </w:r>
    </w:p>
    <w:p w14:paraId="27DA5609" w14:textId="0335CD7C" w:rsidR="00A950E4" w:rsidRPr="003353BC" w:rsidRDefault="00A950E4" w:rsidP="00266C8F">
      <w:pPr>
        <w:numPr>
          <w:ilvl w:val="1"/>
          <w:numId w:val="22"/>
        </w:numPr>
        <w:spacing w:after="0"/>
        <w:ind w:left="1134"/>
        <w:jc w:val="both"/>
        <w:rPr>
          <w:szCs w:val="24"/>
        </w:rPr>
      </w:pPr>
      <w:r w:rsidRPr="003353BC">
        <w:rPr>
          <w:szCs w:val="24"/>
        </w:rPr>
        <w:t xml:space="preserve">Patients with seizures receiving concomitant strong CYP3A4 inducers (e.g., enzyme inducing antiepileptic drugs carbamazepine, phenobarbital, and phenytoin) require an increased starting dose to attain trough concentrations of 5 to 15 ng/mL (see recommendations outlined in </w:t>
      </w:r>
      <w:r w:rsidR="00062A86">
        <w:rPr>
          <w:szCs w:val="24"/>
        </w:rPr>
        <w:fldChar w:fldCharType="begin"/>
      </w:r>
      <w:r w:rsidR="00062A86">
        <w:rPr>
          <w:szCs w:val="24"/>
        </w:rPr>
        <w:instrText xml:space="preserve"> REF _Ref491097523 \h  \* MERGEFORMAT </w:instrText>
      </w:r>
      <w:r w:rsidR="00062A86">
        <w:rPr>
          <w:szCs w:val="24"/>
        </w:rPr>
      </w:r>
      <w:r w:rsidR="00062A86">
        <w:rPr>
          <w:szCs w:val="24"/>
        </w:rPr>
        <w:fldChar w:fldCharType="separate"/>
      </w:r>
      <w:r w:rsidR="00D64407" w:rsidRPr="00D64407">
        <w:rPr>
          <w:szCs w:val="24"/>
        </w:rPr>
        <w:t>Table 1</w:t>
      </w:r>
      <w:r w:rsidR="00062A86">
        <w:rPr>
          <w:szCs w:val="24"/>
        </w:rPr>
        <w:fldChar w:fldCharType="end"/>
      </w:r>
      <w:r w:rsidRPr="003353BC">
        <w:rPr>
          <w:szCs w:val="24"/>
        </w:rPr>
        <w:t>). Further adjust the dose by increments of 1 to 4 mg as necessary to maintain the target trough concentration.</w:t>
      </w:r>
    </w:p>
    <w:p w14:paraId="7E236318" w14:textId="77777777" w:rsidR="00A950E4" w:rsidRPr="003353BC" w:rsidRDefault="00A950E4" w:rsidP="00266C8F">
      <w:pPr>
        <w:numPr>
          <w:ilvl w:val="1"/>
          <w:numId w:val="22"/>
        </w:numPr>
        <w:spacing w:after="0"/>
        <w:ind w:left="1134"/>
        <w:jc w:val="both"/>
        <w:rPr>
          <w:szCs w:val="24"/>
        </w:rPr>
      </w:pPr>
      <w:r w:rsidRPr="003353BC">
        <w:rPr>
          <w:szCs w:val="24"/>
        </w:rPr>
        <w:t xml:space="preserve">The addition of another concomitant strong CYP3A4 inducer may not require additional dose adjustment. Assess the </w:t>
      </w:r>
      <w:proofErr w:type="spellStart"/>
      <w:r w:rsidRPr="003353BC">
        <w:rPr>
          <w:szCs w:val="24"/>
        </w:rPr>
        <w:t>everolimus</w:t>
      </w:r>
      <w:proofErr w:type="spellEnd"/>
      <w:r w:rsidRPr="003353BC">
        <w:rPr>
          <w:szCs w:val="24"/>
        </w:rPr>
        <w:t xml:space="preserve"> trough level two weeks after initiating the additional inducer. Adjust the dose in 1 to 4 mg increments as necessary to maintain the target trough concentration.</w:t>
      </w:r>
    </w:p>
    <w:p w14:paraId="2E9D8907" w14:textId="4218B57F" w:rsidR="00A950E4" w:rsidRPr="003353BC" w:rsidRDefault="00A950E4" w:rsidP="00266C8F">
      <w:pPr>
        <w:numPr>
          <w:ilvl w:val="1"/>
          <w:numId w:val="22"/>
        </w:numPr>
        <w:spacing w:after="0"/>
        <w:ind w:left="1134" w:hanging="425"/>
        <w:jc w:val="both"/>
        <w:rPr>
          <w:szCs w:val="24"/>
        </w:rPr>
      </w:pPr>
      <w:r w:rsidRPr="003353BC">
        <w:rPr>
          <w:szCs w:val="24"/>
        </w:rPr>
        <w:t xml:space="preserve">Discontinuation of one of multiple strong CYP3A4 inducers may not require additional dose adjustment. Assess the </w:t>
      </w:r>
      <w:proofErr w:type="spellStart"/>
      <w:r w:rsidRPr="003353BC">
        <w:rPr>
          <w:szCs w:val="24"/>
        </w:rPr>
        <w:t>everolimus</w:t>
      </w:r>
      <w:proofErr w:type="spellEnd"/>
      <w:r w:rsidRPr="003353BC">
        <w:rPr>
          <w:szCs w:val="24"/>
        </w:rPr>
        <w:t xml:space="preserve"> trough level two weeks after discontinuation of one of multiple strong CYP3A4 inducers.   If all strong inducer are discontinued, consider a washout period of at least 3 to 5 days (reasonable time for significant enzyme de-induction) before the </w:t>
      </w:r>
      <w:proofErr w:type="spellStart"/>
      <w:r w:rsidRPr="003353BC">
        <w:rPr>
          <w:szCs w:val="24"/>
        </w:rPr>
        <w:t>Afinitor</w:t>
      </w:r>
      <w:proofErr w:type="spellEnd"/>
      <w:r w:rsidRPr="003353BC">
        <w:rPr>
          <w:szCs w:val="24"/>
        </w:rPr>
        <w:t xml:space="preserve"> dose is returned to the dose used prior to initiation of the strong CYP3A4 inducer. Assess the </w:t>
      </w:r>
      <w:proofErr w:type="spellStart"/>
      <w:r w:rsidRPr="003353BC">
        <w:rPr>
          <w:szCs w:val="24"/>
        </w:rPr>
        <w:t>everolimus</w:t>
      </w:r>
      <w:proofErr w:type="spellEnd"/>
      <w:r w:rsidRPr="003353BC">
        <w:rPr>
          <w:szCs w:val="24"/>
        </w:rPr>
        <w:t xml:space="preserve"> trough concentration approximately two weeks later (see</w:t>
      </w:r>
      <w:r w:rsidR="00DA1218">
        <w:rPr>
          <w:szCs w:val="24"/>
        </w:rPr>
        <w:t xml:space="preserve"> section 4.2 ‘Dose and method of administration -</w:t>
      </w:r>
      <w:r w:rsidRPr="003353BC">
        <w:rPr>
          <w:szCs w:val="24"/>
        </w:rPr>
        <w:t xml:space="preserve"> Therapeutic drug monitoring</w:t>
      </w:r>
      <w:r w:rsidR="00DA1218">
        <w:rPr>
          <w:szCs w:val="24"/>
        </w:rPr>
        <w:t>’</w:t>
      </w:r>
      <w:r w:rsidRPr="003353BC">
        <w:rPr>
          <w:szCs w:val="24"/>
        </w:rPr>
        <w:t xml:space="preserve">, </w:t>
      </w:r>
      <w:r w:rsidR="00DA1218">
        <w:rPr>
          <w:szCs w:val="24"/>
        </w:rPr>
        <w:t>section 4.4 ‘Special warnings and p</w:t>
      </w:r>
      <w:r w:rsidRPr="003353BC">
        <w:rPr>
          <w:szCs w:val="24"/>
        </w:rPr>
        <w:t>recautions</w:t>
      </w:r>
      <w:r w:rsidR="00DA1218">
        <w:rPr>
          <w:szCs w:val="24"/>
        </w:rPr>
        <w:t xml:space="preserve"> for use’</w:t>
      </w:r>
      <w:r w:rsidRPr="003353BC">
        <w:rPr>
          <w:szCs w:val="24"/>
        </w:rPr>
        <w:t xml:space="preserve"> and </w:t>
      </w:r>
      <w:r w:rsidR="00DA1218">
        <w:rPr>
          <w:szCs w:val="24"/>
        </w:rPr>
        <w:t>section 4.5 ‘</w:t>
      </w:r>
      <w:r w:rsidRPr="003353BC">
        <w:rPr>
          <w:szCs w:val="24"/>
        </w:rPr>
        <w:t>Interactions with other medicines</w:t>
      </w:r>
      <w:r w:rsidR="00DA1218">
        <w:rPr>
          <w:szCs w:val="24"/>
        </w:rPr>
        <w:t>’</w:t>
      </w:r>
      <w:r w:rsidRPr="003353BC">
        <w:rPr>
          <w:szCs w:val="24"/>
        </w:rPr>
        <w:t>).</w:t>
      </w:r>
    </w:p>
    <w:p w14:paraId="6C9EAE60" w14:textId="77777777" w:rsidR="00A950E4" w:rsidRPr="001E0751" w:rsidRDefault="00A950E4" w:rsidP="00A950E4">
      <w:pPr>
        <w:rPr>
          <w:sz w:val="24"/>
          <w:lang w:val="en-GB"/>
        </w:rPr>
      </w:pPr>
    </w:p>
    <w:p w14:paraId="1E949B1A" w14:textId="77777777" w:rsidR="00A950E4" w:rsidRPr="001E0751" w:rsidRDefault="00A950E4" w:rsidP="00A950E4">
      <w:pPr>
        <w:pStyle w:val="Heading3"/>
        <w:tabs>
          <w:tab w:val="left" w:pos="567"/>
        </w:tabs>
        <w:spacing w:before="0"/>
        <w:ind w:left="0"/>
        <w:rPr>
          <w:rFonts w:asciiTheme="minorHAnsi" w:hAnsiTheme="minorHAnsi"/>
          <w:lang w:val="en-GB"/>
        </w:rPr>
      </w:pPr>
      <w:r w:rsidRPr="001E0751">
        <w:rPr>
          <w:rFonts w:asciiTheme="minorHAnsi" w:hAnsiTheme="minorHAnsi"/>
          <w:lang w:val="en-GB"/>
        </w:rPr>
        <w:t xml:space="preserve">Therapeutic drug monitoring </w:t>
      </w:r>
    </w:p>
    <w:p w14:paraId="460F0298" w14:textId="77777777" w:rsidR="00A950E4" w:rsidRPr="003353BC" w:rsidRDefault="00A950E4" w:rsidP="00A950E4">
      <w:pPr>
        <w:pStyle w:val="Text"/>
        <w:spacing w:after="240" w:line="276" w:lineRule="auto"/>
        <w:rPr>
          <w:rFonts w:asciiTheme="minorHAnsi" w:hAnsiTheme="minorHAnsi"/>
          <w:sz w:val="22"/>
          <w:szCs w:val="24"/>
        </w:rPr>
      </w:pPr>
      <w:r w:rsidRPr="003353BC">
        <w:rPr>
          <w:rFonts w:asciiTheme="minorHAnsi" w:hAnsiTheme="minorHAnsi"/>
          <w:sz w:val="22"/>
        </w:rPr>
        <w:t xml:space="preserve">Therapeutic drug monitoring of </w:t>
      </w:r>
      <w:proofErr w:type="spellStart"/>
      <w:r w:rsidRPr="003353BC">
        <w:rPr>
          <w:rFonts w:asciiTheme="minorHAnsi" w:hAnsiTheme="minorHAnsi"/>
          <w:sz w:val="22"/>
        </w:rPr>
        <w:t>everolimus</w:t>
      </w:r>
      <w:proofErr w:type="spellEnd"/>
      <w:r w:rsidRPr="003353BC">
        <w:rPr>
          <w:rFonts w:asciiTheme="minorHAnsi" w:hAnsiTheme="minorHAnsi"/>
          <w:sz w:val="22"/>
        </w:rPr>
        <w:t xml:space="preserve"> blood concentrations is required for patients treated for TSC with SEGA or refractory seizures using a validated bioanalytical LC/MS method. </w:t>
      </w:r>
      <w:r w:rsidRPr="003353BC">
        <w:rPr>
          <w:rFonts w:asciiTheme="minorHAnsi" w:hAnsiTheme="minorHAnsi"/>
          <w:sz w:val="22"/>
          <w:szCs w:val="24"/>
        </w:rPr>
        <w:t>When possible, use the same assay and laboratory for therapeutic drug monitoring throughout treatment.</w:t>
      </w:r>
    </w:p>
    <w:p w14:paraId="48E36C5E" w14:textId="6F9DF7DC" w:rsidR="00A950E4" w:rsidRPr="003353BC" w:rsidRDefault="00A950E4" w:rsidP="00A950E4">
      <w:pPr>
        <w:rPr>
          <w:szCs w:val="24"/>
          <w:lang w:val="en-GB"/>
        </w:rPr>
      </w:pPr>
      <w:r w:rsidRPr="003353BC">
        <w:rPr>
          <w:lang w:val="en-GB"/>
        </w:rPr>
        <w:t>Trough concentrations should be assessed approximately 1 to 2 weeks after the initial dose, after any change in dosage form, after an initiation or change in co-administration of CYP3A4/</w:t>
      </w:r>
      <w:proofErr w:type="spellStart"/>
      <w:r w:rsidRPr="003353BC">
        <w:rPr>
          <w:lang w:val="en-GB"/>
        </w:rPr>
        <w:t>PgP</w:t>
      </w:r>
      <w:proofErr w:type="spellEnd"/>
      <w:r w:rsidRPr="003353BC">
        <w:rPr>
          <w:lang w:val="en-GB"/>
        </w:rPr>
        <w:t xml:space="preserve"> inhibitors (see </w:t>
      </w:r>
      <w:r w:rsidR="00DA1218">
        <w:rPr>
          <w:lang w:val="en-GB"/>
        </w:rPr>
        <w:t>section 4.4 ‘Special warnings and p</w:t>
      </w:r>
      <w:r w:rsidRPr="003353BC">
        <w:rPr>
          <w:lang w:val="en-GB"/>
        </w:rPr>
        <w:t>recautions</w:t>
      </w:r>
      <w:r w:rsidR="00DA1218">
        <w:rPr>
          <w:lang w:val="en-GB"/>
        </w:rPr>
        <w:t xml:space="preserve"> for use’</w:t>
      </w:r>
      <w:r w:rsidRPr="003353BC">
        <w:rPr>
          <w:lang w:val="en-GB"/>
        </w:rPr>
        <w:t>) or after any change in hepatic (Child-Pugh) status. Trough concentrations should be assessed approximately 2 weeks after initiation or change in co-administration of CYP3A4/</w:t>
      </w:r>
      <w:proofErr w:type="spellStart"/>
      <w:r w:rsidRPr="003353BC">
        <w:rPr>
          <w:lang w:val="en-GB"/>
        </w:rPr>
        <w:t>PgP</w:t>
      </w:r>
      <w:proofErr w:type="spellEnd"/>
      <w:r w:rsidRPr="003353BC">
        <w:rPr>
          <w:lang w:val="en-GB"/>
        </w:rPr>
        <w:t xml:space="preserve"> inducers (see </w:t>
      </w:r>
      <w:r w:rsidR="00557C61">
        <w:rPr>
          <w:lang w:val="en-GB"/>
        </w:rPr>
        <w:t>section 4.4 ‘Special warnings and precautions for use’</w:t>
      </w:r>
      <w:r w:rsidRPr="003353BC">
        <w:rPr>
          <w:lang w:val="en-GB"/>
        </w:rPr>
        <w:t xml:space="preserve"> and </w:t>
      </w:r>
      <w:r w:rsidR="00557C61">
        <w:rPr>
          <w:lang w:val="en-GB"/>
        </w:rPr>
        <w:t>4.5 ‘</w:t>
      </w:r>
      <w:r w:rsidRPr="003353BC">
        <w:rPr>
          <w:lang w:val="en-GB"/>
        </w:rPr>
        <w:t>Interactions with other medicines</w:t>
      </w:r>
      <w:r w:rsidR="00557C61">
        <w:rPr>
          <w:lang w:val="en-GB"/>
        </w:rPr>
        <w:t>’</w:t>
      </w:r>
      <w:r w:rsidRPr="003353BC">
        <w:rPr>
          <w:lang w:val="en-GB"/>
        </w:rPr>
        <w:t xml:space="preserve">). Dosing should be titrated with the objective of attaining </w:t>
      </w:r>
      <w:proofErr w:type="spellStart"/>
      <w:r w:rsidRPr="003353BC">
        <w:rPr>
          <w:lang w:val="en-GB"/>
        </w:rPr>
        <w:t>everolimus</w:t>
      </w:r>
      <w:proofErr w:type="spellEnd"/>
      <w:r w:rsidRPr="003353BC">
        <w:rPr>
          <w:lang w:val="en-GB"/>
        </w:rPr>
        <w:t xml:space="preserve"> trough concentrations of 3 to 15 ng/mL </w:t>
      </w:r>
      <w:r w:rsidRPr="003353BC">
        <w:rPr>
          <w:szCs w:val="24"/>
        </w:rPr>
        <w:t>for patients with TSC who have SEGA and 5 to 15 ng/mL for patients with TSC and refractory seizures</w:t>
      </w:r>
      <w:r w:rsidRPr="003353BC">
        <w:rPr>
          <w:lang w:val="en-GB"/>
        </w:rPr>
        <w:t>, subject to tolerability (see</w:t>
      </w:r>
      <w:r w:rsidR="00557C61">
        <w:rPr>
          <w:lang w:val="en-GB"/>
        </w:rPr>
        <w:t xml:space="preserve"> section 5.2</w:t>
      </w:r>
      <w:r w:rsidRPr="003353BC">
        <w:rPr>
          <w:lang w:val="en-GB"/>
        </w:rPr>
        <w:t xml:space="preserve"> </w:t>
      </w:r>
      <w:r w:rsidR="00557C61">
        <w:rPr>
          <w:lang w:val="en-GB"/>
        </w:rPr>
        <w:t>‘Pharmacokinetic properties’</w:t>
      </w:r>
      <w:r w:rsidRPr="003353BC">
        <w:rPr>
          <w:lang w:val="en-GB"/>
        </w:rPr>
        <w:t>).</w:t>
      </w:r>
      <w:r w:rsidRPr="003353BC">
        <w:rPr>
          <w:sz w:val="20"/>
          <w:szCs w:val="24"/>
        </w:rPr>
        <w:t xml:space="preserve"> </w:t>
      </w:r>
      <w:r w:rsidRPr="003353BC">
        <w:rPr>
          <w:szCs w:val="24"/>
        </w:rPr>
        <w:t>The dose may be increased to attain a higher trough concentration within the target range to obtain optimal efficacy, subject to tolerability.</w:t>
      </w:r>
    </w:p>
    <w:p w14:paraId="274BAB65" w14:textId="77777777" w:rsidR="00A950E4" w:rsidRPr="001E0751" w:rsidRDefault="00A950E4" w:rsidP="00A950E4">
      <w:pPr>
        <w:rPr>
          <w:b/>
          <w:sz w:val="24"/>
          <w:u w:val="single"/>
          <w:lang w:val="en-GB"/>
        </w:rPr>
      </w:pPr>
      <w:r w:rsidRPr="001E0751">
        <w:rPr>
          <w:b/>
          <w:sz w:val="24"/>
          <w:u w:val="single"/>
          <w:lang w:val="en-GB"/>
        </w:rPr>
        <w:t>Special Populations</w:t>
      </w:r>
    </w:p>
    <w:p w14:paraId="1CFB19BC" w14:textId="77777777" w:rsidR="00A950E4" w:rsidRPr="001E0751" w:rsidRDefault="00A950E4" w:rsidP="00A950E4">
      <w:pPr>
        <w:pStyle w:val="Heading3"/>
        <w:tabs>
          <w:tab w:val="left" w:pos="567"/>
        </w:tabs>
        <w:spacing w:before="0"/>
        <w:ind w:left="0"/>
        <w:rPr>
          <w:rFonts w:asciiTheme="minorHAnsi" w:hAnsiTheme="minorHAnsi"/>
          <w:lang w:val="en-GB"/>
        </w:rPr>
      </w:pPr>
      <w:r w:rsidRPr="001E0751">
        <w:rPr>
          <w:rFonts w:asciiTheme="minorHAnsi" w:hAnsiTheme="minorHAnsi"/>
          <w:lang w:val="en-GB"/>
        </w:rPr>
        <w:t>Paediatric population</w:t>
      </w:r>
    </w:p>
    <w:p w14:paraId="6817052E" w14:textId="77777777" w:rsidR="00A950E4" w:rsidRPr="003353BC" w:rsidRDefault="00A950E4" w:rsidP="00266C8F">
      <w:pPr>
        <w:numPr>
          <w:ilvl w:val="0"/>
          <w:numId w:val="12"/>
        </w:numPr>
        <w:spacing w:after="0"/>
        <w:jc w:val="both"/>
        <w:rPr>
          <w:lang w:val="en-GB"/>
        </w:rPr>
      </w:pPr>
      <w:proofErr w:type="spellStart"/>
      <w:r w:rsidRPr="003353BC">
        <w:rPr>
          <w:lang w:val="en-GB"/>
        </w:rPr>
        <w:t>Afinitor</w:t>
      </w:r>
      <w:proofErr w:type="spellEnd"/>
      <w:r w:rsidRPr="003353BC">
        <w:rPr>
          <w:lang w:val="en-GB"/>
        </w:rPr>
        <w:t xml:space="preserve"> is not recommended for use in paediatric cancer patients. </w:t>
      </w:r>
    </w:p>
    <w:p w14:paraId="562EA547" w14:textId="6E7CC164" w:rsidR="00A950E4" w:rsidRPr="003353BC" w:rsidRDefault="00A950E4" w:rsidP="00266C8F">
      <w:pPr>
        <w:numPr>
          <w:ilvl w:val="0"/>
          <w:numId w:val="12"/>
        </w:numPr>
        <w:spacing w:after="0"/>
        <w:jc w:val="both"/>
        <w:rPr>
          <w:lang w:val="en-GB"/>
        </w:rPr>
      </w:pPr>
      <w:proofErr w:type="spellStart"/>
      <w:r w:rsidRPr="003353BC">
        <w:rPr>
          <w:lang w:val="en-GB"/>
        </w:rPr>
        <w:lastRenderedPageBreak/>
        <w:t>Afinitor</w:t>
      </w:r>
      <w:proofErr w:type="spellEnd"/>
      <w:r w:rsidRPr="003353BC">
        <w:rPr>
          <w:lang w:val="en-GB"/>
        </w:rPr>
        <w:t xml:space="preserve"> is not recommended for use in paediatric patients with TS</w:t>
      </w:r>
      <w:r w:rsidR="00557C61">
        <w:rPr>
          <w:lang w:val="en-GB"/>
        </w:rPr>
        <w:t xml:space="preserve">C who have renal </w:t>
      </w:r>
      <w:proofErr w:type="spellStart"/>
      <w:r w:rsidR="00557C61">
        <w:rPr>
          <w:lang w:val="en-GB"/>
        </w:rPr>
        <w:t>angiomyolipoma</w:t>
      </w:r>
      <w:proofErr w:type="spellEnd"/>
      <w:r w:rsidRPr="003353BC">
        <w:rPr>
          <w:lang w:val="en-GB"/>
        </w:rPr>
        <w:t>.</w:t>
      </w:r>
    </w:p>
    <w:p w14:paraId="56878064" w14:textId="77777777" w:rsidR="00A950E4" w:rsidRPr="003353BC" w:rsidRDefault="00A950E4" w:rsidP="00266C8F">
      <w:pPr>
        <w:numPr>
          <w:ilvl w:val="0"/>
          <w:numId w:val="12"/>
        </w:numPr>
        <w:spacing w:after="0"/>
        <w:jc w:val="both"/>
        <w:rPr>
          <w:lang w:val="en-GB"/>
        </w:rPr>
      </w:pPr>
      <w:proofErr w:type="spellStart"/>
      <w:r w:rsidRPr="003353BC">
        <w:rPr>
          <w:szCs w:val="24"/>
          <w:lang w:val="en-GB"/>
        </w:rPr>
        <w:t>Afinitor</w:t>
      </w:r>
      <w:proofErr w:type="spellEnd"/>
      <w:r w:rsidRPr="003353BC">
        <w:rPr>
          <w:szCs w:val="24"/>
          <w:lang w:val="en-GB"/>
        </w:rPr>
        <w:t xml:space="preserve"> has not been studied in paediatric patients &lt;1 year of age with TSC who have SEGA.</w:t>
      </w:r>
    </w:p>
    <w:p w14:paraId="27554FE0" w14:textId="77777777" w:rsidR="00A950E4" w:rsidRPr="003353BC" w:rsidRDefault="00A950E4" w:rsidP="00266C8F">
      <w:pPr>
        <w:numPr>
          <w:ilvl w:val="0"/>
          <w:numId w:val="12"/>
        </w:numPr>
        <w:spacing w:after="0"/>
        <w:jc w:val="both"/>
        <w:rPr>
          <w:lang w:val="en-GB"/>
        </w:rPr>
      </w:pPr>
      <w:proofErr w:type="spellStart"/>
      <w:r w:rsidRPr="003353BC">
        <w:rPr>
          <w:szCs w:val="24"/>
          <w:lang w:val="en-GB"/>
        </w:rPr>
        <w:t>Afinitor</w:t>
      </w:r>
      <w:proofErr w:type="spellEnd"/>
      <w:r w:rsidRPr="003353BC">
        <w:rPr>
          <w:szCs w:val="24"/>
          <w:lang w:val="en-GB"/>
        </w:rPr>
        <w:t xml:space="preserve"> has not been studied in paediatric patients &lt;2 years of age with TSC and refractory seizures. </w:t>
      </w:r>
    </w:p>
    <w:p w14:paraId="0EE60C29" w14:textId="77777777" w:rsidR="00A950E4" w:rsidRPr="003353BC" w:rsidRDefault="00A950E4" w:rsidP="00266C8F">
      <w:pPr>
        <w:numPr>
          <w:ilvl w:val="0"/>
          <w:numId w:val="12"/>
        </w:numPr>
        <w:spacing w:after="0"/>
        <w:jc w:val="both"/>
        <w:rPr>
          <w:lang w:val="en-GB"/>
        </w:rPr>
      </w:pPr>
      <w:r w:rsidRPr="003353BC">
        <w:rPr>
          <w:lang w:val="en-GB"/>
        </w:rPr>
        <w:t>Dosing recommendations for paediatric patients with TSC who have SEGA are consistent with those for the corresponding adult population with the exception of those patients with hepatic impairment.</w:t>
      </w:r>
      <w:r w:rsidRPr="003353BC">
        <w:rPr>
          <w:szCs w:val="24"/>
          <w:lang w:val="en-GB"/>
        </w:rPr>
        <w:t xml:space="preserve"> </w:t>
      </w:r>
    </w:p>
    <w:p w14:paraId="2A6D34D2" w14:textId="77777777" w:rsidR="00A950E4" w:rsidRPr="003353BC" w:rsidRDefault="00A950E4" w:rsidP="00266C8F">
      <w:pPr>
        <w:numPr>
          <w:ilvl w:val="0"/>
          <w:numId w:val="12"/>
        </w:numPr>
        <w:spacing w:after="0"/>
        <w:jc w:val="both"/>
        <w:rPr>
          <w:lang w:val="en-GB"/>
        </w:rPr>
      </w:pPr>
      <w:r w:rsidRPr="003353BC">
        <w:rPr>
          <w:szCs w:val="24"/>
          <w:lang w:val="en-GB"/>
        </w:rPr>
        <w:t>Dosing recommendations for paediatric patients with TSC and refractory seizures are consistent with those for the corresponding adult population with the exception of the starting dose for patients &lt;6 years of age.</w:t>
      </w:r>
    </w:p>
    <w:p w14:paraId="15D0ED14" w14:textId="54788ECC" w:rsidR="00C874A3" w:rsidRDefault="00A950E4" w:rsidP="00C874A3">
      <w:pPr>
        <w:numPr>
          <w:ilvl w:val="0"/>
          <w:numId w:val="12"/>
        </w:numPr>
        <w:spacing w:after="0"/>
        <w:jc w:val="both"/>
        <w:rPr>
          <w:lang w:val="en-GB"/>
        </w:rPr>
      </w:pPr>
      <w:proofErr w:type="spellStart"/>
      <w:r w:rsidRPr="003353BC">
        <w:rPr>
          <w:szCs w:val="24"/>
          <w:lang w:val="en-GB"/>
        </w:rPr>
        <w:t>Afinitor</w:t>
      </w:r>
      <w:proofErr w:type="spellEnd"/>
      <w:r w:rsidRPr="003353BC">
        <w:rPr>
          <w:szCs w:val="24"/>
          <w:lang w:val="en-GB"/>
        </w:rPr>
        <w:t xml:space="preserve"> is not recommended for patients &lt;18 years of age with hepatic impairment and TSC with </w:t>
      </w:r>
      <w:proofErr w:type="spellStart"/>
      <w:r w:rsidRPr="003353BC">
        <w:rPr>
          <w:szCs w:val="24"/>
          <w:lang w:val="en-GB"/>
        </w:rPr>
        <w:t>SEGAor</w:t>
      </w:r>
      <w:proofErr w:type="spellEnd"/>
      <w:r w:rsidRPr="003353BC">
        <w:rPr>
          <w:szCs w:val="24"/>
          <w:lang w:val="en-GB"/>
        </w:rPr>
        <w:t xml:space="preserve"> TSC with seizures</w:t>
      </w:r>
      <w:r w:rsidRPr="003353BC">
        <w:rPr>
          <w:lang w:val="en-GB"/>
        </w:rPr>
        <w:t xml:space="preserve">. </w:t>
      </w:r>
    </w:p>
    <w:p w14:paraId="300AF8A9" w14:textId="77777777" w:rsidR="00C874A3" w:rsidRPr="00C874A3" w:rsidRDefault="00C874A3" w:rsidP="00C874A3">
      <w:pPr>
        <w:spacing w:after="0"/>
        <w:ind w:left="360"/>
        <w:jc w:val="both"/>
        <w:rPr>
          <w:lang w:val="en-GB"/>
        </w:rPr>
      </w:pPr>
    </w:p>
    <w:p w14:paraId="2D505AAC" w14:textId="77777777" w:rsidR="00A950E4" w:rsidRPr="001E0751" w:rsidRDefault="00A950E4" w:rsidP="00A950E4">
      <w:pPr>
        <w:pStyle w:val="Heading3"/>
        <w:tabs>
          <w:tab w:val="left" w:pos="567"/>
        </w:tabs>
        <w:spacing w:before="0"/>
        <w:ind w:left="0"/>
        <w:rPr>
          <w:rFonts w:asciiTheme="minorHAnsi" w:hAnsiTheme="minorHAnsi"/>
          <w:lang w:val="en-GB"/>
        </w:rPr>
      </w:pPr>
      <w:r w:rsidRPr="001E0751">
        <w:rPr>
          <w:rFonts w:asciiTheme="minorHAnsi" w:hAnsiTheme="minorHAnsi"/>
          <w:lang w:val="en-GB"/>
        </w:rPr>
        <w:t>Elderly patients (≥ 65 years)</w:t>
      </w:r>
    </w:p>
    <w:p w14:paraId="7EB35578" w14:textId="1A3A99CD" w:rsidR="00A950E4" w:rsidRDefault="00A950E4" w:rsidP="00557C61">
      <w:pPr>
        <w:rPr>
          <w:lang w:val="en-GB"/>
        </w:rPr>
      </w:pPr>
      <w:r w:rsidRPr="001E0751">
        <w:rPr>
          <w:lang w:val="en-GB"/>
        </w:rPr>
        <w:t xml:space="preserve">No dosage adjustment is required </w:t>
      </w:r>
      <w:r w:rsidR="00557C61" w:rsidRPr="003353BC">
        <w:rPr>
          <w:lang w:val="en-GB"/>
        </w:rPr>
        <w:t>(see</w:t>
      </w:r>
      <w:r w:rsidR="00557C61">
        <w:rPr>
          <w:lang w:val="en-GB"/>
        </w:rPr>
        <w:t xml:space="preserve"> section 5.2</w:t>
      </w:r>
      <w:r w:rsidR="00557C61" w:rsidRPr="003353BC">
        <w:rPr>
          <w:lang w:val="en-GB"/>
        </w:rPr>
        <w:t xml:space="preserve"> </w:t>
      </w:r>
      <w:r w:rsidR="00557C61">
        <w:rPr>
          <w:lang w:val="en-GB"/>
        </w:rPr>
        <w:t>‘Pharmacokinetic properties’</w:t>
      </w:r>
      <w:r w:rsidR="00557C61" w:rsidRPr="003353BC">
        <w:rPr>
          <w:lang w:val="en-GB"/>
        </w:rPr>
        <w:t>).</w:t>
      </w:r>
    </w:p>
    <w:p w14:paraId="40E2C665" w14:textId="77777777" w:rsidR="00A950E4" w:rsidRPr="001E0751" w:rsidRDefault="00A950E4" w:rsidP="00A950E4">
      <w:pPr>
        <w:pStyle w:val="Heading3"/>
        <w:tabs>
          <w:tab w:val="left" w:pos="567"/>
        </w:tabs>
        <w:spacing w:before="0"/>
        <w:ind w:left="0"/>
        <w:rPr>
          <w:rFonts w:asciiTheme="minorHAnsi" w:hAnsiTheme="minorHAnsi"/>
          <w:lang w:val="en-GB"/>
        </w:rPr>
      </w:pPr>
      <w:r w:rsidRPr="001E0751">
        <w:rPr>
          <w:rFonts w:asciiTheme="minorHAnsi" w:hAnsiTheme="minorHAnsi"/>
          <w:lang w:val="en-GB"/>
        </w:rPr>
        <w:t xml:space="preserve">Renal impairment </w:t>
      </w:r>
    </w:p>
    <w:p w14:paraId="56E1D673" w14:textId="552B1015" w:rsidR="00A950E4" w:rsidRPr="001E0751" w:rsidRDefault="00A950E4" w:rsidP="00557C61">
      <w:pPr>
        <w:rPr>
          <w:lang w:val="en-GB"/>
        </w:rPr>
      </w:pPr>
      <w:r w:rsidRPr="001E0751">
        <w:rPr>
          <w:lang w:val="en-GB"/>
        </w:rPr>
        <w:t xml:space="preserve">No dosage adjustment is required </w:t>
      </w:r>
      <w:r w:rsidR="00557C61" w:rsidRPr="003353BC">
        <w:rPr>
          <w:lang w:val="en-GB"/>
        </w:rPr>
        <w:t>(see</w:t>
      </w:r>
      <w:r w:rsidR="00557C61">
        <w:rPr>
          <w:lang w:val="en-GB"/>
        </w:rPr>
        <w:t xml:space="preserve"> section 5.2</w:t>
      </w:r>
      <w:r w:rsidR="00557C61" w:rsidRPr="003353BC">
        <w:rPr>
          <w:lang w:val="en-GB"/>
        </w:rPr>
        <w:t xml:space="preserve"> </w:t>
      </w:r>
      <w:r w:rsidR="00557C61">
        <w:rPr>
          <w:lang w:val="en-GB"/>
        </w:rPr>
        <w:t>‘Pharmacokinetic properties’</w:t>
      </w:r>
      <w:r w:rsidR="00557C61" w:rsidRPr="003353BC">
        <w:rPr>
          <w:lang w:val="en-GB"/>
        </w:rPr>
        <w:t>).</w:t>
      </w:r>
    </w:p>
    <w:p w14:paraId="091D3EF6" w14:textId="77777777" w:rsidR="00A950E4" w:rsidRDefault="00A950E4" w:rsidP="00A950E4">
      <w:pPr>
        <w:pStyle w:val="Heading3"/>
        <w:tabs>
          <w:tab w:val="left" w:pos="567"/>
        </w:tabs>
        <w:spacing w:before="0"/>
        <w:ind w:left="0"/>
        <w:rPr>
          <w:rFonts w:asciiTheme="minorHAnsi" w:hAnsiTheme="minorHAnsi"/>
          <w:lang w:val="en-GB"/>
        </w:rPr>
      </w:pPr>
      <w:r w:rsidRPr="001E0751">
        <w:rPr>
          <w:rFonts w:asciiTheme="minorHAnsi" w:hAnsiTheme="minorHAnsi"/>
          <w:lang w:val="en-GB"/>
        </w:rPr>
        <w:t>Hepatic impairment</w:t>
      </w:r>
    </w:p>
    <w:p w14:paraId="420519EA" w14:textId="77777777" w:rsidR="00A950E4" w:rsidRPr="003353BC" w:rsidRDefault="00A950E4" w:rsidP="00A950E4">
      <w:pPr>
        <w:pStyle w:val="Listlevel1"/>
        <w:numPr>
          <w:ilvl w:val="0"/>
          <w:numId w:val="16"/>
        </w:numPr>
        <w:spacing w:line="276" w:lineRule="auto"/>
        <w:rPr>
          <w:rFonts w:asciiTheme="minorHAnsi" w:hAnsiTheme="minorHAnsi"/>
          <w:b/>
          <w:sz w:val="22"/>
          <w:lang w:val="en-GB"/>
        </w:rPr>
      </w:pPr>
      <w:r w:rsidRPr="003353BC">
        <w:rPr>
          <w:rFonts w:asciiTheme="minorHAnsi" w:hAnsiTheme="minorHAnsi"/>
          <w:b/>
          <w:sz w:val="22"/>
          <w:lang w:val="en-GB"/>
        </w:rPr>
        <w:t xml:space="preserve">Hormone receptor-positive advanced breast cancer, advanced neuroendocrine tumours and, advanced renal cell carcinoma, and TSC with renal </w:t>
      </w:r>
      <w:proofErr w:type="spellStart"/>
      <w:r w:rsidRPr="003353BC">
        <w:rPr>
          <w:rFonts w:asciiTheme="minorHAnsi" w:hAnsiTheme="minorHAnsi"/>
          <w:b/>
          <w:sz w:val="22"/>
          <w:lang w:val="en-GB"/>
        </w:rPr>
        <w:t>angiomyolipoma</w:t>
      </w:r>
      <w:proofErr w:type="spellEnd"/>
      <w:r w:rsidRPr="003353BC">
        <w:rPr>
          <w:rFonts w:asciiTheme="minorHAnsi" w:hAnsiTheme="minorHAnsi"/>
          <w:b/>
          <w:sz w:val="22"/>
          <w:lang w:val="en-GB"/>
        </w:rPr>
        <w:t xml:space="preserve">: </w:t>
      </w:r>
      <w:bookmarkStart w:id="3" w:name="_1710206Patients_with_hepatic_impa"/>
      <w:bookmarkEnd w:id="3"/>
    </w:p>
    <w:p w14:paraId="58C008D6" w14:textId="77777777" w:rsidR="00A950E4" w:rsidRPr="003353BC" w:rsidRDefault="00A950E4" w:rsidP="00A950E4">
      <w:pPr>
        <w:pStyle w:val="Listlevel2"/>
        <w:numPr>
          <w:ilvl w:val="1"/>
          <w:numId w:val="23"/>
        </w:numPr>
        <w:spacing w:line="276" w:lineRule="auto"/>
        <w:rPr>
          <w:rFonts w:asciiTheme="minorHAnsi" w:hAnsiTheme="minorHAnsi"/>
          <w:sz w:val="22"/>
        </w:rPr>
      </w:pPr>
      <w:r w:rsidRPr="003353BC">
        <w:rPr>
          <w:rFonts w:asciiTheme="minorHAnsi" w:hAnsiTheme="minorHAnsi"/>
          <w:sz w:val="22"/>
        </w:rPr>
        <w:t>Mild hepatic impairment (Child-Pugh A) – the recommended dose is 7.5 mg daily.</w:t>
      </w:r>
    </w:p>
    <w:p w14:paraId="5A1FE9FC" w14:textId="77777777" w:rsidR="00A950E4" w:rsidRPr="003353BC" w:rsidRDefault="00A950E4" w:rsidP="00A950E4">
      <w:pPr>
        <w:pStyle w:val="Listlevel2"/>
        <w:numPr>
          <w:ilvl w:val="1"/>
          <w:numId w:val="23"/>
        </w:numPr>
        <w:spacing w:line="276" w:lineRule="auto"/>
        <w:rPr>
          <w:rFonts w:asciiTheme="minorHAnsi" w:hAnsiTheme="minorHAnsi"/>
          <w:strike/>
          <w:sz w:val="22"/>
        </w:rPr>
      </w:pPr>
      <w:r w:rsidRPr="003353BC">
        <w:rPr>
          <w:rFonts w:asciiTheme="minorHAnsi" w:hAnsiTheme="minorHAnsi"/>
          <w:sz w:val="22"/>
        </w:rPr>
        <w:t>Moderate hepatic impairment (Child-Pugh B</w:t>
      </w:r>
      <w:r w:rsidRPr="003353BC">
        <w:rPr>
          <w:rFonts w:asciiTheme="minorHAnsi" w:hAnsiTheme="minorHAnsi"/>
          <w:sz w:val="22"/>
          <w:lang w:val="en-US"/>
        </w:rPr>
        <w:t>) – the</w:t>
      </w:r>
      <w:r w:rsidRPr="003353BC">
        <w:rPr>
          <w:rFonts w:asciiTheme="minorHAnsi" w:hAnsiTheme="minorHAnsi"/>
          <w:sz w:val="22"/>
        </w:rPr>
        <w:t xml:space="preserve"> recommended dos</w:t>
      </w:r>
      <w:r w:rsidRPr="003353BC">
        <w:rPr>
          <w:rFonts w:asciiTheme="minorHAnsi" w:hAnsiTheme="minorHAnsi"/>
          <w:sz w:val="22"/>
          <w:lang w:val="en-US"/>
        </w:rPr>
        <w:t xml:space="preserve">e is 2.5 </w:t>
      </w:r>
      <w:r w:rsidRPr="003353BC">
        <w:rPr>
          <w:rFonts w:asciiTheme="minorHAnsi" w:hAnsiTheme="minorHAnsi"/>
          <w:sz w:val="22"/>
        </w:rPr>
        <w:t>mg daily</w:t>
      </w:r>
      <w:r w:rsidRPr="003353BC">
        <w:rPr>
          <w:rFonts w:asciiTheme="minorHAnsi" w:hAnsiTheme="minorHAnsi"/>
          <w:sz w:val="22"/>
          <w:lang w:val="en-AU"/>
        </w:rPr>
        <w:t>.</w:t>
      </w:r>
    </w:p>
    <w:p w14:paraId="15604623" w14:textId="77777777" w:rsidR="00A950E4" w:rsidRPr="003353BC" w:rsidRDefault="00A950E4" w:rsidP="00A950E4">
      <w:pPr>
        <w:pStyle w:val="Listlevel2"/>
        <w:numPr>
          <w:ilvl w:val="1"/>
          <w:numId w:val="23"/>
        </w:numPr>
        <w:spacing w:line="276" w:lineRule="auto"/>
        <w:rPr>
          <w:rFonts w:asciiTheme="minorHAnsi" w:hAnsiTheme="minorHAnsi"/>
          <w:sz w:val="22"/>
          <w:lang w:val="en-GB"/>
        </w:rPr>
      </w:pPr>
      <w:r w:rsidRPr="003353BC">
        <w:rPr>
          <w:rFonts w:asciiTheme="minorHAnsi" w:hAnsiTheme="minorHAnsi"/>
          <w:sz w:val="22"/>
        </w:rPr>
        <w:t>S</w:t>
      </w:r>
      <w:r w:rsidRPr="003353BC">
        <w:rPr>
          <w:rFonts w:asciiTheme="minorHAnsi" w:hAnsiTheme="minorHAnsi"/>
          <w:sz w:val="22"/>
          <w:lang w:val="en-GB"/>
        </w:rPr>
        <w:t xml:space="preserve">evere hepatic impairment (Child-Pugh C) </w:t>
      </w:r>
      <w:r w:rsidRPr="003353BC">
        <w:rPr>
          <w:rFonts w:asciiTheme="minorHAnsi" w:hAnsiTheme="minorHAnsi"/>
          <w:sz w:val="22"/>
        </w:rPr>
        <w:t>– not recommended. If the desired benefit outweighs the risk, a dose of 2.5 mg daily must not be exceeded.</w:t>
      </w:r>
    </w:p>
    <w:p w14:paraId="296F5B2C" w14:textId="77777777" w:rsidR="00A950E4" w:rsidRPr="003353BC" w:rsidRDefault="00A950E4" w:rsidP="00A950E4">
      <w:pPr>
        <w:pStyle w:val="Listlevel1"/>
        <w:spacing w:line="276" w:lineRule="auto"/>
        <w:ind w:left="357" w:firstLine="0"/>
        <w:rPr>
          <w:rFonts w:asciiTheme="minorHAnsi" w:hAnsiTheme="minorHAnsi"/>
          <w:sz w:val="22"/>
          <w:lang w:val="x-none"/>
        </w:rPr>
      </w:pPr>
      <w:r w:rsidRPr="003353BC">
        <w:rPr>
          <w:rFonts w:asciiTheme="minorHAnsi" w:hAnsiTheme="minorHAnsi"/>
          <w:sz w:val="22"/>
        </w:rPr>
        <w:t>Dose adjustments should be made if a patient’s hepatic (Child-Pugh) status changes during treatment.</w:t>
      </w:r>
    </w:p>
    <w:p w14:paraId="30097224" w14:textId="77777777" w:rsidR="00A950E4" w:rsidRPr="003353BC" w:rsidRDefault="00A950E4" w:rsidP="00A950E4">
      <w:pPr>
        <w:pStyle w:val="Listlevel1"/>
        <w:numPr>
          <w:ilvl w:val="0"/>
          <w:numId w:val="16"/>
        </w:numPr>
        <w:spacing w:line="276" w:lineRule="auto"/>
        <w:rPr>
          <w:rFonts w:asciiTheme="minorHAnsi" w:hAnsiTheme="minorHAnsi"/>
          <w:sz w:val="22"/>
          <w:szCs w:val="24"/>
        </w:rPr>
      </w:pPr>
      <w:r w:rsidRPr="003353BC" w:rsidDel="004040E5">
        <w:rPr>
          <w:rFonts w:asciiTheme="minorHAnsi" w:hAnsiTheme="minorHAnsi"/>
          <w:sz w:val="22"/>
          <w:lang w:val="en-GB"/>
        </w:rPr>
        <w:t xml:space="preserve"> </w:t>
      </w:r>
      <w:r w:rsidRPr="003353BC">
        <w:rPr>
          <w:rFonts w:asciiTheme="minorHAnsi" w:hAnsiTheme="minorHAnsi"/>
          <w:b/>
          <w:sz w:val="22"/>
          <w:szCs w:val="24"/>
        </w:rPr>
        <w:t>TSC with SEGA and TSC with refractory seizures</w:t>
      </w:r>
      <w:r w:rsidRPr="003353BC">
        <w:rPr>
          <w:rFonts w:asciiTheme="minorHAnsi" w:hAnsiTheme="minorHAnsi"/>
          <w:sz w:val="22"/>
          <w:szCs w:val="24"/>
        </w:rPr>
        <w:t>:</w:t>
      </w:r>
    </w:p>
    <w:p w14:paraId="756C89AB" w14:textId="77777777" w:rsidR="00A950E4" w:rsidRPr="003353BC" w:rsidRDefault="00A950E4" w:rsidP="00A950E4">
      <w:pPr>
        <w:pStyle w:val="Listlevel2"/>
        <w:numPr>
          <w:ilvl w:val="0"/>
          <w:numId w:val="17"/>
        </w:numPr>
        <w:tabs>
          <w:tab w:val="clear" w:pos="357"/>
          <w:tab w:val="num" w:pos="782"/>
        </w:tabs>
        <w:spacing w:line="276" w:lineRule="auto"/>
        <w:ind w:left="782"/>
        <w:rPr>
          <w:rFonts w:asciiTheme="minorHAnsi" w:hAnsiTheme="minorHAnsi"/>
          <w:b/>
          <w:sz w:val="22"/>
          <w:szCs w:val="24"/>
        </w:rPr>
      </w:pPr>
      <w:r w:rsidRPr="003353BC">
        <w:rPr>
          <w:rFonts w:asciiTheme="minorHAnsi" w:hAnsiTheme="minorHAnsi"/>
          <w:b/>
          <w:sz w:val="22"/>
          <w:szCs w:val="24"/>
        </w:rPr>
        <w:t>Patients ≥18 years of age</w:t>
      </w:r>
    </w:p>
    <w:p w14:paraId="5FEA66F8" w14:textId="77777777" w:rsidR="00A950E4" w:rsidRPr="003353BC" w:rsidRDefault="00A950E4" w:rsidP="00A950E4">
      <w:pPr>
        <w:pStyle w:val="Listlevel3"/>
        <w:numPr>
          <w:ilvl w:val="0"/>
          <w:numId w:val="18"/>
        </w:numPr>
        <w:tabs>
          <w:tab w:val="clear" w:pos="357"/>
          <w:tab w:val="num" w:pos="1221"/>
        </w:tabs>
        <w:spacing w:line="276" w:lineRule="auto"/>
        <w:ind w:left="1221"/>
        <w:rPr>
          <w:rFonts w:asciiTheme="minorHAnsi" w:hAnsiTheme="minorHAnsi" w:hint="default"/>
          <w:sz w:val="22"/>
          <w:szCs w:val="24"/>
        </w:rPr>
      </w:pPr>
      <w:r w:rsidRPr="003353BC">
        <w:rPr>
          <w:rFonts w:asciiTheme="minorHAnsi" w:hAnsiTheme="minorHAnsi" w:hint="default"/>
          <w:sz w:val="22"/>
          <w:szCs w:val="24"/>
        </w:rPr>
        <w:t>Mild hepatic impairment (Child-Pugh A) – 75% of the dose calculated based on BSA (rounded to the nearest strength)</w:t>
      </w:r>
      <w:r w:rsidRPr="003353BC">
        <w:rPr>
          <w:rFonts w:asciiTheme="minorHAnsi" w:hAnsiTheme="minorHAnsi" w:hint="default"/>
          <w:sz w:val="22"/>
          <w:szCs w:val="24"/>
          <w:lang w:val="en-US"/>
        </w:rPr>
        <w:t>.</w:t>
      </w:r>
    </w:p>
    <w:p w14:paraId="3E7D300E" w14:textId="77777777" w:rsidR="00A950E4" w:rsidRPr="003353BC" w:rsidRDefault="00A950E4" w:rsidP="00A950E4">
      <w:pPr>
        <w:pStyle w:val="Listlevel3"/>
        <w:numPr>
          <w:ilvl w:val="0"/>
          <w:numId w:val="19"/>
        </w:numPr>
        <w:tabs>
          <w:tab w:val="clear" w:pos="357"/>
          <w:tab w:val="num" w:pos="1221"/>
        </w:tabs>
        <w:spacing w:line="276" w:lineRule="auto"/>
        <w:ind w:left="1221"/>
        <w:rPr>
          <w:rFonts w:asciiTheme="minorHAnsi" w:hAnsiTheme="minorHAnsi" w:hint="default"/>
          <w:sz w:val="22"/>
          <w:szCs w:val="24"/>
        </w:rPr>
      </w:pPr>
      <w:r w:rsidRPr="003353BC">
        <w:rPr>
          <w:rFonts w:asciiTheme="minorHAnsi" w:hAnsiTheme="minorHAnsi" w:hint="default"/>
          <w:sz w:val="22"/>
          <w:szCs w:val="24"/>
        </w:rPr>
        <w:t>Moderate hepatic impairment (Child-Pugh B) – 25% of the dose calculated based on BSA (rounded to the nearest strength)</w:t>
      </w:r>
      <w:r w:rsidRPr="003353BC">
        <w:rPr>
          <w:rFonts w:asciiTheme="minorHAnsi" w:hAnsiTheme="minorHAnsi" w:hint="default"/>
          <w:sz w:val="22"/>
          <w:szCs w:val="24"/>
          <w:lang w:val="en-US"/>
        </w:rPr>
        <w:t>.</w:t>
      </w:r>
    </w:p>
    <w:p w14:paraId="63A95B81" w14:textId="77777777" w:rsidR="00A950E4" w:rsidRPr="003353BC" w:rsidRDefault="00A950E4" w:rsidP="00A950E4">
      <w:pPr>
        <w:pStyle w:val="Listlevel3"/>
        <w:numPr>
          <w:ilvl w:val="0"/>
          <w:numId w:val="20"/>
        </w:numPr>
        <w:tabs>
          <w:tab w:val="clear" w:pos="357"/>
          <w:tab w:val="num" w:pos="1221"/>
        </w:tabs>
        <w:spacing w:line="276" w:lineRule="auto"/>
        <w:ind w:left="1221"/>
        <w:rPr>
          <w:rFonts w:asciiTheme="minorHAnsi" w:hAnsiTheme="minorHAnsi" w:hint="default"/>
          <w:sz w:val="22"/>
          <w:szCs w:val="24"/>
        </w:rPr>
      </w:pPr>
      <w:r w:rsidRPr="003353BC">
        <w:rPr>
          <w:rFonts w:asciiTheme="minorHAnsi" w:hAnsiTheme="minorHAnsi" w:hint="default"/>
          <w:sz w:val="22"/>
          <w:szCs w:val="24"/>
        </w:rPr>
        <w:t>Severe hepatic impairment (Child-Pugh C) –</w:t>
      </w:r>
      <w:r w:rsidRPr="003353BC">
        <w:rPr>
          <w:rFonts w:asciiTheme="minorHAnsi" w:hAnsiTheme="minorHAnsi" w:hint="default"/>
          <w:sz w:val="22"/>
          <w:szCs w:val="24"/>
          <w:lang w:val="en-US"/>
        </w:rPr>
        <w:t xml:space="preserve"> </w:t>
      </w:r>
      <w:r w:rsidRPr="003353BC">
        <w:rPr>
          <w:rFonts w:asciiTheme="minorHAnsi" w:hAnsiTheme="minorHAnsi" w:hint="default"/>
          <w:sz w:val="22"/>
          <w:szCs w:val="24"/>
        </w:rPr>
        <w:t>not recommended</w:t>
      </w:r>
      <w:r w:rsidRPr="003353BC">
        <w:rPr>
          <w:rFonts w:asciiTheme="minorHAnsi" w:hAnsiTheme="minorHAnsi" w:hint="default"/>
          <w:sz w:val="22"/>
          <w:szCs w:val="24"/>
          <w:lang w:val="en-US"/>
        </w:rPr>
        <w:t>.</w:t>
      </w:r>
    </w:p>
    <w:p w14:paraId="73285C92" w14:textId="7014E1D3" w:rsidR="00A950E4" w:rsidRPr="003353BC" w:rsidRDefault="00A950E4" w:rsidP="00A950E4">
      <w:pPr>
        <w:pStyle w:val="Listlevel2"/>
        <w:spacing w:line="276" w:lineRule="auto"/>
        <w:ind w:left="782" w:firstLine="0"/>
        <w:rPr>
          <w:rFonts w:asciiTheme="minorHAnsi" w:hAnsiTheme="minorHAnsi"/>
          <w:sz w:val="22"/>
          <w:szCs w:val="24"/>
          <w:lang w:val="en-US"/>
        </w:rPr>
      </w:pPr>
      <w:bookmarkStart w:id="4" w:name="_4546847Table_54519Recommended_dos"/>
      <w:bookmarkStart w:id="5" w:name="_4246818Table_54519Recommended_dos"/>
      <w:bookmarkStart w:id="6" w:name="_4346867Table_54519Recommended_dos"/>
      <w:bookmarkStart w:id="7" w:name="_4348204Table_54519Recommended_dos"/>
      <w:bookmarkStart w:id="8" w:name="_4347729Table_54519Recommended_dos"/>
      <w:bookmarkStart w:id="9" w:name="_4347795Table_54519Recommended_dos"/>
      <w:bookmarkStart w:id="10" w:name="_8112157Table_29Recommended_dosing"/>
      <w:bookmarkStart w:id="11" w:name="_8111815Table_29Recommended_dosing"/>
      <w:bookmarkStart w:id="12" w:name="_8311723Table_29Recommended_starti"/>
      <w:bookmarkEnd w:id="4"/>
      <w:bookmarkEnd w:id="5"/>
      <w:bookmarkEnd w:id="6"/>
      <w:bookmarkEnd w:id="7"/>
      <w:bookmarkEnd w:id="8"/>
      <w:bookmarkEnd w:id="9"/>
      <w:bookmarkEnd w:id="10"/>
      <w:bookmarkEnd w:id="11"/>
      <w:bookmarkEnd w:id="12"/>
      <w:proofErr w:type="spellStart"/>
      <w:r w:rsidRPr="003353BC">
        <w:rPr>
          <w:rFonts w:asciiTheme="minorHAnsi" w:hAnsiTheme="minorHAnsi"/>
          <w:sz w:val="22"/>
          <w:szCs w:val="24"/>
        </w:rPr>
        <w:t>Everolimus</w:t>
      </w:r>
      <w:proofErr w:type="spellEnd"/>
      <w:r w:rsidRPr="003353BC">
        <w:rPr>
          <w:rFonts w:asciiTheme="minorHAnsi" w:hAnsiTheme="minorHAnsi"/>
          <w:sz w:val="22"/>
          <w:szCs w:val="24"/>
        </w:rPr>
        <w:t xml:space="preserve"> whole blood trough concentrations should be assessed approximately 2 weeks after commencing treatment or after any change in hepatic (Child-Pugh)</w:t>
      </w:r>
      <w:r w:rsidRPr="003353BC">
        <w:rPr>
          <w:rFonts w:asciiTheme="minorHAnsi" w:hAnsiTheme="minorHAnsi"/>
          <w:sz w:val="22"/>
          <w:szCs w:val="24"/>
          <w:lang w:val="en-US"/>
        </w:rPr>
        <w:t xml:space="preserve"> </w:t>
      </w:r>
      <w:r w:rsidRPr="003353BC">
        <w:rPr>
          <w:rFonts w:asciiTheme="minorHAnsi" w:hAnsiTheme="minorHAnsi"/>
          <w:sz w:val="22"/>
          <w:szCs w:val="24"/>
        </w:rPr>
        <w:t xml:space="preserve">status. </w:t>
      </w:r>
      <w:r w:rsidRPr="003353BC">
        <w:rPr>
          <w:rFonts w:asciiTheme="minorHAnsi" w:hAnsiTheme="minorHAnsi"/>
          <w:sz w:val="22"/>
          <w:szCs w:val="24"/>
          <w:lang w:val="en-AU"/>
        </w:rPr>
        <w:t>For patients with SEGA, d</w:t>
      </w:r>
      <w:proofErr w:type="spellStart"/>
      <w:r w:rsidRPr="003353BC">
        <w:rPr>
          <w:rFonts w:asciiTheme="minorHAnsi" w:hAnsiTheme="minorHAnsi"/>
          <w:sz w:val="22"/>
          <w:szCs w:val="24"/>
        </w:rPr>
        <w:t>osing</w:t>
      </w:r>
      <w:proofErr w:type="spellEnd"/>
      <w:r w:rsidRPr="003353BC">
        <w:rPr>
          <w:rFonts w:asciiTheme="minorHAnsi" w:hAnsiTheme="minorHAnsi"/>
          <w:sz w:val="22"/>
          <w:szCs w:val="24"/>
        </w:rPr>
        <w:t xml:space="preserve"> should be titrated to attain trough concentrations of 3 to 15 ng/mL</w:t>
      </w:r>
      <w:r w:rsidRPr="003353BC">
        <w:rPr>
          <w:rFonts w:asciiTheme="minorHAnsi" w:hAnsiTheme="minorHAnsi"/>
          <w:sz w:val="22"/>
          <w:szCs w:val="24"/>
          <w:lang w:val="en-US"/>
        </w:rPr>
        <w:t xml:space="preserve"> (see </w:t>
      </w:r>
      <w:r w:rsidR="00062A86">
        <w:rPr>
          <w:rFonts w:asciiTheme="minorHAnsi" w:hAnsiTheme="minorHAnsi"/>
          <w:sz w:val="22"/>
          <w:szCs w:val="24"/>
          <w:lang w:val="en-US"/>
        </w:rPr>
        <w:t xml:space="preserve">section 4.2 ‘Dose and method of administration - </w:t>
      </w:r>
      <w:r w:rsidRPr="003353BC">
        <w:rPr>
          <w:rFonts w:asciiTheme="minorHAnsi" w:hAnsiTheme="minorHAnsi"/>
          <w:sz w:val="22"/>
          <w:szCs w:val="24"/>
        </w:rPr>
        <w:t>Therapeutic drug monitoring</w:t>
      </w:r>
      <w:r w:rsidR="00062A86">
        <w:rPr>
          <w:rFonts w:asciiTheme="minorHAnsi" w:hAnsiTheme="minorHAnsi"/>
          <w:sz w:val="22"/>
          <w:szCs w:val="24"/>
          <w:lang w:val="en-AU"/>
        </w:rPr>
        <w:t>’</w:t>
      </w:r>
      <w:r w:rsidRPr="003353BC">
        <w:rPr>
          <w:rFonts w:asciiTheme="minorHAnsi" w:hAnsiTheme="minorHAnsi"/>
          <w:sz w:val="22"/>
          <w:szCs w:val="24"/>
          <w:lang w:val="en-US"/>
        </w:rPr>
        <w:t>)</w:t>
      </w:r>
      <w:r w:rsidRPr="003353BC">
        <w:rPr>
          <w:rFonts w:asciiTheme="minorHAnsi" w:hAnsiTheme="minorHAnsi"/>
          <w:sz w:val="22"/>
          <w:szCs w:val="24"/>
        </w:rPr>
        <w:t>.</w:t>
      </w:r>
      <w:r w:rsidRPr="003353BC">
        <w:rPr>
          <w:rFonts w:asciiTheme="minorHAnsi" w:hAnsiTheme="minorHAnsi"/>
          <w:sz w:val="22"/>
          <w:szCs w:val="24"/>
          <w:lang w:val="en-US"/>
        </w:rPr>
        <w:t xml:space="preserve"> </w:t>
      </w:r>
      <w:r w:rsidRPr="003353BC">
        <w:rPr>
          <w:rFonts w:asciiTheme="minorHAnsi" w:hAnsiTheme="minorHAnsi"/>
          <w:sz w:val="22"/>
        </w:rPr>
        <w:t xml:space="preserve">For patients with </w:t>
      </w:r>
      <w:r w:rsidRPr="003353BC">
        <w:rPr>
          <w:rFonts w:asciiTheme="minorHAnsi" w:hAnsiTheme="minorHAnsi"/>
          <w:sz w:val="22"/>
          <w:lang w:val="en-GB"/>
        </w:rPr>
        <w:t>seizures</w:t>
      </w:r>
      <w:r w:rsidRPr="003353BC">
        <w:rPr>
          <w:rFonts w:asciiTheme="minorHAnsi" w:hAnsiTheme="minorHAnsi"/>
          <w:sz w:val="22"/>
        </w:rPr>
        <w:t xml:space="preserve">, dosing should be titrated to attain trough concentrations of 5 to 15 ng/mL (see </w:t>
      </w:r>
      <w:r w:rsidR="00062A86">
        <w:rPr>
          <w:rFonts w:asciiTheme="minorHAnsi" w:hAnsiTheme="minorHAnsi"/>
          <w:sz w:val="22"/>
          <w:szCs w:val="24"/>
          <w:lang w:val="en-US"/>
        </w:rPr>
        <w:t xml:space="preserve">section 4.2 ‘Dose and method of administration - </w:t>
      </w:r>
      <w:r w:rsidRPr="003353BC">
        <w:rPr>
          <w:rFonts w:asciiTheme="minorHAnsi" w:hAnsiTheme="minorHAnsi"/>
          <w:sz w:val="22"/>
        </w:rPr>
        <w:t xml:space="preserve">Therapeutic drug </w:t>
      </w:r>
      <w:r w:rsidRPr="003353BC">
        <w:rPr>
          <w:rFonts w:asciiTheme="minorHAnsi" w:hAnsiTheme="minorHAnsi"/>
          <w:sz w:val="22"/>
        </w:rPr>
        <w:lastRenderedPageBreak/>
        <w:t>monitoring</w:t>
      </w:r>
      <w:r w:rsidR="00830F70">
        <w:rPr>
          <w:rFonts w:asciiTheme="minorHAnsi" w:hAnsiTheme="minorHAnsi"/>
          <w:sz w:val="22"/>
          <w:lang w:val="en-AU"/>
        </w:rPr>
        <w:t>’</w:t>
      </w:r>
      <w:r w:rsidRPr="003353BC">
        <w:rPr>
          <w:rFonts w:asciiTheme="minorHAnsi" w:hAnsiTheme="minorHAnsi"/>
          <w:sz w:val="22"/>
        </w:rPr>
        <w:t>).</w:t>
      </w:r>
      <w:r w:rsidRPr="003353BC">
        <w:rPr>
          <w:rFonts w:asciiTheme="minorHAnsi" w:hAnsiTheme="minorHAnsi"/>
          <w:sz w:val="22"/>
          <w:lang w:val="en-AU"/>
        </w:rPr>
        <w:t xml:space="preserve"> </w:t>
      </w:r>
      <w:r w:rsidRPr="003353BC">
        <w:rPr>
          <w:rFonts w:asciiTheme="minorHAnsi" w:hAnsiTheme="minorHAnsi"/>
          <w:sz w:val="22"/>
          <w:szCs w:val="24"/>
        </w:rPr>
        <w:t>Dose adjustments should be made if a patient’s hepatic (Child-Pugh) status changes during treatment (see</w:t>
      </w:r>
      <w:r w:rsidRPr="003353BC">
        <w:rPr>
          <w:rFonts w:asciiTheme="minorHAnsi" w:hAnsiTheme="minorHAnsi"/>
          <w:sz w:val="22"/>
          <w:szCs w:val="24"/>
          <w:lang w:val="en-AU"/>
        </w:rPr>
        <w:t xml:space="preserve"> </w:t>
      </w:r>
      <w:r w:rsidR="00557C61">
        <w:rPr>
          <w:rFonts w:asciiTheme="minorHAnsi" w:hAnsiTheme="minorHAnsi"/>
          <w:sz w:val="22"/>
          <w:szCs w:val="24"/>
          <w:lang w:val="en-AU"/>
        </w:rPr>
        <w:t>section 5.2 ‘Pharmacokinetic properties’</w:t>
      </w:r>
      <w:r w:rsidRPr="003353BC">
        <w:rPr>
          <w:rFonts w:asciiTheme="minorHAnsi" w:hAnsiTheme="minorHAnsi"/>
          <w:sz w:val="22"/>
          <w:szCs w:val="24"/>
        </w:rPr>
        <w:t>)</w:t>
      </w:r>
      <w:r w:rsidRPr="003353BC">
        <w:rPr>
          <w:rFonts w:asciiTheme="minorHAnsi" w:hAnsiTheme="minorHAnsi"/>
          <w:sz w:val="22"/>
          <w:szCs w:val="24"/>
          <w:lang w:val="en-AU"/>
        </w:rPr>
        <w:t>.</w:t>
      </w:r>
    </w:p>
    <w:p w14:paraId="6E743EC7" w14:textId="77777777" w:rsidR="00A950E4" w:rsidRPr="003353BC" w:rsidRDefault="00A950E4" w:rsidP="00A950E4">
      <w:pPr>
        <w:pStyle w:val="Listlevel2"/>
        <w:numPr>
          <w:ilvl w:val="0"/>
          <w:numId w:val="21"/>
        </w:numPr>
        <w:tabs>
          <w:tab w:val="clear" w:pos="357"/>
          <w:tab w:val="num" w:pos="782"/>
        </w:tabs>
        <w:spacing w:line="276" w:lineRule="auto"/>
        <w:ind w:left="782"/>
        <w:rPr>
          <w:rFonts w:asciiTheme="minorHAnsi" w:hAnsiTheme="minorHAnsi"/>
          <w:b/>
          <w:sz w:val="22"/>
          <w:szCs w:val="24"/>
        </w:rPr>
      </w:pPr>
      <w:r w:rsidRPr="003353BC">
        <w:rPr>
          <w:rFonts w:asciiTheme="minorHAnsi" w:hAnsiTheme="minorHAnsi"/>
          <w:b/>
          <w:sz w:val="22"/>
          <w:szCs w:val="24"/>
        </w:rPr>
        <w:t>Patients &lt;18 years of age</w:t>
      </w:r>
    </w:p>
    <w:p w14:paraId="7C994E4D" w14:textId="77777777" w:rsidR="00A950E4" w:rsidRPr="000E6647" w:rsidRDefault="00A950E4" w:rsidP="00266C8F">
      <w:pPr>
        <w:numPr>
          <w:ilvl w:val="0"/>
          <w:numId w:val="21"/>
        </w:numPr>
        <w:tabs>
          <w:tab w:val="clear" w:pos="357"/>
          <w:tab w:val="num" w:pos="1077"/>
        </w:tabs>
        <w:spacing w:after="0"/>
        <w:ind w:left="1077"/>
        <w:jc w:val="both"/>
        <w:rPr>
          <w:lang w:val="en-GB"/>
        </w:rPr>
      </w:pPr>
      <w:proofErr w:type="spellStart"/>
      <w:r w:rsidRPr="003353BC">
        <w:rPr>
          <w:szCs w:val="24"/>
        </w:rPr>
        <w:t>Afinitor</w:t>
      </w:r>
      <w:proofErr w:type="spellEnd"/>
      <w:r w:rsidRPr="003353BC">
        <w:rPr>
          <w:szCs w:val="24"/>
        </w:rPr>
        <w:t xml:space="preserve"> is not recommended for patients &lt;18 years of age with TSC with SEGA or seizures and hepatic impairment.</w:t>
      </w:r>
    </w:p>
    <w:p w14:paraId="7A6097F5" w14:textId="77777777" w:rsidR="000E6647" w:rsidRPr="003353BC" w:rsidRDefault="000E6647" w:rsidP="000E6647">
      <w:pPr>
        <w:spacing w:after="0"/>
        <w:jc w:val="both"/>
        <w:rPr>
          <w:lang w:val="en-GB"/>
        </w:rPr>
      </w:pPr>
    </w:p>
    <w:p w14:paraId="4CEC6A67" w14:textId="77777777" w:rsidR="001A3992" w:rsidRDefault="001A3992" w:rsidP="001A3992">
      <w:pPr>
        <w:pStyle w:val="Heading2"/>
        <w:spacing w:before="0" w:after="120"/>
        <w:rPr>
          <w:rFonts w:cstheme="minorHAnsi"/>
        </w:rPr>
      </w:pPr>
      <w:r w:rsidRPr="00497C85">
        <w:rPr>
          <w:rFonts w:cstheme="minorHAnsi"/>
        </w:rPr>
        <w:t>Contraindications</w:t>
      </w:r>
    </w:p>
    <w:p w14:paraId="24BADC45" w14:textId="6C284094" w:rsidR="00557C61" w:rsidRDefault="00557C61" w:rsidP="00557C61">
      <w:pPr>
        <w:rPr>
          <w:lang w:val="en-GB"/>
        </w:rPr>
      </w:pPr>
      <w:proofErr w:type="spellStart"/>
      <w:r w:rsidRPr="002A1CBE">
        <w:rPr>
          <w:lang w:val="en-GB"/>
        </w:rPr>
        <w:t>Afinitor</w:t>
      </w:r>
      <w:proofErr w:type="spellEnd"/>
      <w:r w:rsidRPr="002A1CBE">
        <w:rPr>
          <w:lang w:val="en-GB"/>
        </w:rPr>
        <w:t xml:space="preserve"> is contraindicated in patients with hypersensitivity to the active substance, to other rapamycin derivatives or to any of the excipients (see </w:t>
      </w:r>
      <w:r>
        <w:rPr>
          <w:lang w:val="en-GB"/>
        </w:rPr>
        <w:t>section 4.4 ‘Special warnings and precautions for use’).</w:t>
      </w:r>
    </w:p>
    <w:p w14:paraId="66B29128" w14:textId="77777777" w:rsidR="000E6647" w:rsidRDefault="000E6647" w:rsidP="00557C61">
      <w:pPr>
        <w:rPr>
          <w:lang w:val="en-GB"/>
        </w:rPr>
      </w:pPr>
    </w:p>
    <w:p w14:paraId="2FA0F74B" w14:textId="77777777" w:rsidR="00557C61" w:rsidRPr="00557C61" w:rsidRDefault="00E74A56" w:rsidP="00557C61">
      <w:pPr>
        <w:pStyle w:val="Heading2"/>
        <w:spacing w:before="0" w:after="120"/>
        <w:rPr>
          <w:rFonts w:cstheme="minorHAnsi"/>
        </w:rPr>
      </w:pPr>
      <w:r w:rsidRPr="00497C85">
        <w:rPr>
          <w:rFonts w:cstheme="minorHAnsi"/>
        </w:rPr>
        <w:t>Special warnings and p</w:t>
      </w:r>
      <w:r w:rsidR="001A3992" w:rsidRPr="00497C85">
        <w:rPr>
          <w:rFonts w:cstheme="minorHAnsi"/>
        </w:rPr>
        <w:t xml:space="preserve">recautions </w:t>
      </w:r>
      <w:r w:rsidRPr="00497C85">
        <w:rPr>
          <w:rFonts w:cstheme="minorHAnsi"/>
        </w:rPr>
        <w:t>for use</w:t>
      </w:r>
    </w:p>
    <w:p w14:paraId="4D3BC2E0" w14:textId="77777777" w:rsidR="00557C61" w:rsidRPr="00C874A3" w:rsidRDefault="00557C61" w:rsidP="00557C61">
      <w:pPr>
        <w:rPr>
          <w:b/>
          <w:lang w:val="en-GB"/>
        </w:rPr>
      </w:pPr>
      <w:r w:rsidRPr="00C874A3">
        <w:rPr>
          <w:b/>
          <w:lang w:val="en-GB"/>
        </w:rPr>
        <w:t>Non-infectious pneumonitis</w:t>
      </w:r>
    </w:p>
    <w:p w14:paraId="08AFE1EC" w14:textId="32025ED5" w:rsidR="00557C61" w:rsidRPr="005E6E03" w:rsidRDefault="00557C61" w:rsidP="00557C61">
      <w:pPr>
        <w:rPr>
          <w:lang w:val="en-GB"/>
        </w:rPr>
      </w:pPr>
      <w:r w:rsidRPr="005E6E03">
        <w:rPr>
          <w:lang w:val="en-GB"/>
        </w:rPr>
        <w:t xml:space="preserve">Non-infectious pneumonitis is a class effect of rapamycin derivatives. Cases of non-infectious pneumonitis (including interstitial lung disease) have also been described in patients taking </w:t>
      </w:r>
      <w:proofErr w:type="spellStart"/>
      <w:r w:rsidRPr="005E6E03">
        <w:rPr>
          <w:lang w:val="en-GB"/>
        </w:rPr>
        <w:t>Afinitor</w:t>
      </w:r>
      <w:proofErr w:type="spellEnd"/>
      <w:r w:rsidRPr="005E6E03">
        <w:rPr>
          <w:lang w:val="en-GB"/>
        </w:rPr>
        <w:t xml:space="preserve"> (see</w:t>
      </w:r>
      <w:r w:rsidR="00062A86">
        <w:rPr>
          <w:lang w:val="en-GB"/>
        </w:rPr>
        <w:t xml:space="preserve"> section 4.8</w:t>
      </w:r>
      <w:r w:rsidRPr="005E6E03">
        <w:rPr>
          <w:lang w:val="en-GB"/>
        </w:rPr>
        <w:t xml:space="preserve"> </w:t>
      </w:r>
      <w:r w:rsidR="00062A86">
        <w:rPr>
          <w:lang w:val="en-GB"/>
        </w:rPr>
        <w:t>‘</w:t>
      </w:r>
      <w:r w:rsidRPr="005E6E03">
        <w:rPr>
          <w:lang w:val="en-GB"/>
        </w:rPr>
        <w:t xml:space="preserve">Adverse </w:t>
      </w:r>
      <w:r w:rsidR="00830F70">
        <w:rPr>
          <w:lang w:val="en-GB"/>
        </w:rPr>
        <w:t>e</w:t>
      </w:r>
      <w:r w:rsidRPr="005E6E03">
        <w:rPr>
          <w:lang w:val="en-GB"/>
        </w:rPr>
        <w:t>ffects</w:t>
      </w:r>
      <w:r w:rsidR="00062A86">
        <w:rPr>
          <w:lang w:val="en-GB"/>
        </w:rPr>
        <w:t>’</w:t>
      </w:r>
      <w:r w:rsidRPr="005E6E03">
        <w:rPr>
          <w:lang w:val="en-GB"/>
        </w:rPr>
        <w:t xml:space="preserve">). Some of these have been severe and on rare occasions, a fatal outcome was observed. A diagnosis of non-infectious pneumonitis should be considered in patients presenting with non-specific respiratory signs and symptoms such as hypoxia, pleural effusion, cough or dyspnoea, and in whom infectious, neoplastic and other non-medicinal causes have been excluded by means of appropriate investigations. Opportunistic infections such as pneumocystis </w:t>
      </w:r>
      <w:proofErr w:type="spellStart"/>
      <w:r w:rsidRPr="005E6E03">
        <w:rPr>
          <w:lang w:val="en-GB"/>
        </w:rPr>
        <w:t>jirovecii</w:t>
      </w:r>
      <w:proofErr w:type="spellEnd"/>
      <w:r w:rsidRPr="005E6E03">
        <w:rPr>
          <w:lang w:val="en-GB"/>
        </w:rPr>
        <w:t xml:space="preserve"> pneumonia (PJP) should be ruled out in the differential diagnosis of non-infectious pneumonitis </w:t>
      </w:r>
      <w:r w:rsidRPr="002A1CBE">
        <w:rPr>
          <w:lang w:val="en-GB"/>
        </w:rPr>
        <w:t xml:space="preserve">(see </w:t>
      </w:r>
      <w:r>
        <w:rPr>
          <w:lang w:val="en-GB"/>
        </w:rPr>
        <w:t>section 4.4 ‘Special warnings and precautions for use</w:t>
      </w:r>
      <w:r w:rsidRPr="005E6E03">
        <w:rPr>
          <w:lang w:val="en-GB"/>
        </w:rPr>
        <w:t xml:space="preserve"> – Infections</w:t>
      </w:r>
      <w:r w:rsidR="00830F70">
        <w:rPr>
          <w:lang w:val="en-GB"/>
        </w:rPr>
        <w:t>’</w:t>
      </w:r>
      <w:r w:rsidRPr="005E6E03">
        <w:rPr>
          <w:lang w:val="en-GB"/>
        </w:rPr>
        <w:t xml:space="preserve">). </w:t>
      </w:r>
    </w:p>
    <w:p w14:paraId="5E7AC657" w14:textId="77777777" w:rsidR="00557C61" w:rsidRPr="005E6E03" w:rsidRDefault="00557C61" w:rsidP="00557C61">
      <w:pPr>
        <w:rPr>
          <w:lang w:val="en-GB"/>
        </w:rPr>
      </w:pPr>
      <w:r w:rsidRPr="005E6E03">
        <w:rPr>
          <w:lang w:val="en-GB"/>
        </w:rPr>
        <w:t>Patients should be advised to report promptly any new or worsening respiratory symptoms.</w:t>
      </w:r>
    </w:p>
    <w:p w14:paraId="2717ECDF" w14:textId="77777777" w:rsidR="00557C61" w:rsidRPr="005E6E03" w:rsidRDefault="00557C61" w:rsidP="00557C61">
      <w:pPr>
        <w:rPr>
          <w:lang w:val="en-GB"/>
        </w:rPr>
      </w:pPr>
      <w:r w:rsidRPr="005E6E03">
        <w:rPr>
          <w:lang w:val="en-GB"/>
        </w:rPr>
        <w:t xml:space="preserve">Patients who develop radiological changes suggestive of non-infectious pneumonitis and have few or no symptoms may continue </w:t>
      </w:r>
      <w:proofErr w:type="spellStart"/>
      <w:r w:rsidRPr="005E6E03">
        <w:rPr>
          <w:lang w:val="en-GB"/>
        </w:rPr>
        <w:t>Afinitor</w:t>
      </w:r>
      <w:proofErr w:type="spellEnd"/>
      <w:r w:rsidRPr="005E6E03">
        <w:rPr>
          <w:lang w:val="en-GB"/>
        </w:rPr>
        <w:t xml:space="preserve"> therapy without dose alteration. If symptoms are moderate (grade 2), consideration should be given to interruption of therapy until symptoms improve. The use of corticosteroids may be indicated: </w:t>
      </w:r>
    </w:p>
    <w:p w14:paraId="5BE6E4C0" w14:textId="77777777" w:rsidR="00557C61" w:rsidRPr="00DE7C60" w:rsidRDefault="00557C61" w:rsidP="001D2874">
      <w:pPr>
        <w:pStyle w:val="ListParagraph"/>
        <w:numPr>
          <w:ilvl w:val="0"/>
          <w:numId w:val="25"/>
        </w:numPr>
        <w:jc w:val="both"/>
        <w:rPr>
          <w:lang w:val="en-GB"/>
        </w:rPr>
      </w:pPr>
      <w:r w:rsidRPr="00DE7C60">
        <w:rPr>
          <w:lang w:val="en-GB"/>
        </w:rPr>
        <w:t xml:space="preserve">In patients with hormone receptor-positive advanced breast cancer, advanced neuroendocrine tumours or advanced renal cell carcinoma, </w:t>
      </w:r>
      <w:proofErr w:type="spellStart"/>
      <w:r w:rsidRPr="00DE7C60">
        <w:rPr>
          <w:lang w:val="en-GB"/>
        </w:rPr>
        <w:t>Afinitor</w:t>
      </w:r>
      <w:proofErr w:type="spellEnd"/>
      <w:r w:rsidRPr="00DE7C60">
        <w:rPr>
          <w:lang w:val="en-GB"/>
        </w:rPr>
        <w:t xml:space="preserve"> may be reintroduced at 5 mg daily.</w:t>
      </w:r>
    </w:p>
    <w:p w14:paraId="43E28D5D" w14:textId="77777777" w:rsidR="00557C61" w:rsidRPr="00DE7C60" w:rsidRDefault="00557C61" w:rsidP="001D2874">
      <w:pPr>
        <w:pStyle w:val="ListParagraph"/>
        <w:numPr>
          <w:ilvl w:val="0"/>
          <w:numId w:val="25"/>
        </w:numPr>
        <w:jc w:val="both"/>
        <w:rPr>
          <w:lang w:val="en-GB"/>
        </w:rPr>
      </w:pPr>
      <w:r w:rsidRPr="00DE7C60">
        <w:rPr>
          <w:lang w:val="en-GB"/>
        </w:rPr>
        <w:t xml:space="preserve">In patients with SEGA, </w:t>
      </w:r>
      <w:proofErr w:type="spellStart"/>
      <w:r w:rsidRPr="00DE7C60">
        <w:rPr>
          <w:lang w:val="en-GB"/>
        </w:rPr>
        <w:t>Afinitor</w:t>
      </w:r>
      <w:proofErr w:type="spellEnd"/>
      <w:r w:rsidRPr="00DE7C60">
        <w:rPr>
          <w:lang w:val="en-GB"/>
        </w:rPr>
        <w:t xml:space="preserve"> may be reintroduced at a daily dose approximately 50% lower than the dose previously administered.</w:t>
      </w:r>
    </w:p>
    <w:p w14:paraId="65560D0A" w14:textId="77777777" w:rsidR="00557C61" w:rsidRPr="005E6E03" w:rsidRDefault="00557C61" w:rsidP="00557C61">
      <w:pPr>
        <w:rPr>
          <w:lang w:val="en-GB"/>
        </w:rPr>
      </w:pPr>
      <w:r w:rsidRPr="005E6E03">
        <w:rPr>
          <w:lang w:val="en-GB"/>
        </w:rPr>
        <w:t xml:space="preserve">For cases where symptoms of non-infectious pneumonitis are severe (grade 3 or 4), </w:t>
      </w:r>
      <w:proofErr w:type="spellStart"/>
      <w:r w:rsidRPr="005E6E03">
        <w:rPr>
          <w:lang w:val="en-GB"/>
        </w:rPr>
        <w:t>Afinitor</w:t>
      </w:r>
      <w:proofErr w:type="spellEnd"/>
      <w:r w:rsidRPr="005E6E03">
        <w:rPr>
          <w:lang w:val="en-GB"/>
        </w:rPr>
        <w:t xml:space="preserve"> therapy should be discontinued and the use of corticosteroids may be indicated until clinical symptoms resolve. For cases of grade 3 non-infectious pneumonitis:</w:t>
      </w:r>
    </w:p>
    <w:p w14:paraId="313F13D2" w14:textId="77777777" w:rsidR="00557C61" w:rsidRPr="00DE7C60" w:rsidRDefault="00557C61" w:rsidP="001D2874">
      <w:pPr>
        <w:pStyle w:val="ListParagraph"/>
        <w:numPr>
          <w:ilvl w:val="0"/>
          <w:numId w:val="26"/>
        </w:numPr>
        <w:jc w:val="both"/>
        <w:rPr>
          <w:lang w:val="en-GB"/>
        </w:rPr>
      </w:pPr>
      <w:r w:rsidRPr="00DE7C60">
        <w:rPr>
          <w:lang w:val="en-GB"/>
        </w:rPr>
        <w:t xml:space="preserve">In patients with hormone receptor-positive advanced breast cancer, advanced neuroendocrine tumours or advanced renal cell carcinoma, therapy with </w:t>
      </w:r>
      <w:proofErr w:type="spellStart"/>
      <w:r w:rsidRPr="00DE7C60">
        <w:rPr>
          <w:lang w:val="en-GB"/>
        </w:rPr>
        <w:t>Afinitor</w:t>
      </w:r>
      <w:proofErr w:type="spellEnd"/>
      <w:r w:rsidRPr="00DE7C60">
        <w:rPr>
          <w:lang w:val="en-GB"/>
        </w:rPr>
        <w:t xml:space="preserve"> may </w:t>
      </w:r>
      <w:r w:rsidRPr="00DE7C60">
        <w:rPr>
          <w:lang w:val="en-GB"/>
        </w:rPr>
        <w:lastRenderedPageBreak/>
        <w:t>be re-initiated at a reduced dose of 5 mg daily depending on the individual clinical circumstances.</w:t>
      </w:r>
    </w:p>
    <w:p w14:paraId="5BE83B4D" w14:textId="77777777" w:rsidR="00557C61" w:rsidRPr="00DE7C60" w:rsidRDefault="00557C61" w:rsidP="001D2874">
      <w:pPr>
        <w:pStyle w:val="ListParagraph"/>
        <w:numPr>
          <w:ilvl w:val="0"/>
          <w:numId w:val="26"/>
        </w:numPr>
        <w:jc w:val="both"/>
        <w:rPr>
          <w:lang w:val="en-GB"/>
        </w:rPr>
      </w:pPr>
      <w:r w:rsidRPr="00DE7C60">
        <w:rPr>
          <w:lang w:val="en-GB"/>
        </w:rPr>
        <w:t xml:space="preserve">In patients with SEGA, therapy with </w:t>
      </w:r>
      <w:proofErr w:type="spellStart"/>
      <w:r w:rsidRPr="00DE7C60">
        <w:rPr>
          <w:lang w:val="en-GB"/>
        </w:rPr>
        <w:t>Afinitor</w:t>
      </w:r>
      <w:proofErr w:type="spellEnd"/>
      <w:r w:rsidRPr="00DE7C60">
        <w:rPr>
          <w:lang w:val="en-GB"/>
        </w:rPr>
        <w:t xml:space="preserve"> may be re-initiated at a daily dose approximately 50% lower than the dose previously administered depending on the individual clinical circumstances.</w:t>
      </w:r>
    </w:p>
    <w:p w14:paraId="7737D4E8" w14:textId="448DD861" w:rsidR="00557C61" w:rsidRPr="005E6E03" w:rsidRDefault="00557C61" w:rsidP="00557C61">
      <w:pPr>
        <w:rPr>
          <w:lang w:val="en-GB"/>
        </w:rPr>
      </w:pPr>
      <w:r w:rsidRPr="005E6E03">
        <w:rPr>
          <w:lang w:val="en-GB"/>
        </w:rPr>
        <w:t xml:space="preserve">For patients who require use of corticosteroids for treatment of non-infectious pneumonitis, prophylaxis for </w:t>
      </w:r>
      <w:r w:rsidRPr="00DE7C60">
        <w:rPr>
          <w:i/>
          <w:lang w:val="en-GB"/>
        </w:rPr>
        <w:t xml:space="preserve">pneumocystis </w:t>
      </w:r>
      <w:proofErr w:type="spellStart"/>
      <w:r w:rsidRPr="00DE7C60">
        <w:rPr>
          <w:i/>
          <w:lang w:val="en-GB"/>
        </w:rPr>
        <w:t>jirovecii</w:t>
      </w:r>
      <w:proofErr w:type="spellEnd"/>
      <w:r w:rsidRPr="00DE7C60">
        <w:rPr>
          <w:i/>
          <w:lang w:val="en-GB"/>
        </w:rPr>
        <w:t xml:space="preserve"> pneumonia</w:t>
      </w:r>
      <w:r w:rsidRPr="005E6E03">
        <w:rPr>
          <w:lang w:val="en-GB"/>
        </w:rPr>
        <w:t xml:space="preserve"> (PJP) may be considered. The development of pneumonitis has also been reported at a reduced dose (see</w:t>
      </w:r>
      <w:r>
        <w:rPr>
          <w:lang w:val="en-GB"/>
        </w:rPr>
        <w:t xml:space="preserve"> section 4.2 ‘Dose</w:t>
      </w:r>
      <w:r w:rsidRPr="005E6E03">
        <w:rPr>
          <w:lang w:val="en-GB"/>
        </w:rPr>
        <w:t xml:space="preserve"> and </w:t>
      </w:r>
      <w:r>
        <w:rPr>
          <w:lang w:val="en-GB"/>
        </w:rPr>
        <w:t>method of a</w:t>
      </w:r>
      <w:r w:rsidRPr="005E6E03">
        <w:rPr>
          <w:lang w:val="en-GB"/>
        </w:rPr>
        <w:t>dministration</w:t>
      </w:r>
      <w:r>
        <w:rPr>
          <w:lang w:val="en-GB"/>
        </w:rPr>
        <w:t>’</w:t>
      </w:r>
      <w:r w:rsidRPr="005E6E03">
        <w:rPr>
          <w:lang w:val="en-GB"/>
        </w:rPr>
        <w:t xml:space="preserve">). </w:t>
      </w:r>
    </w:p>
    <w:p w14:paraId="10303747" w14:textId="77777777" w:rsidR="00557C61" w:rsidRPr="00C874A3" w:rsidRDefault="00557C61" w:rsidP="00557C61">
      <w:pPr>
        <w:rPr>
          <w:b/>
          <w:lang w:val="en-GB"/>
        </w:rPr>
      </w:pPr>
      <w:r w:rsidRPr="00C874A3">
        <w:rPr>
          <w:b/>
          <w:lang w:val="en-GB"/>
        </w:rPr>
        <w:t>Infections</w:t>
      </w:r>
    </w:p>
    <w:p w14:paraId="24C55F15" w14:textId="37496E6C" w:rsidR="00557C61" w:rsidRPr="005E6E03" w:rsidRDefault="00557C61" w:rsidP="00557C61">
      <w:pPr>
        <w:rPr>
          <w:lang w:val="en-GB"/>
        </w:rPr>
      </w:pPr>
      <w:proofErr w:type="spellStart"/>
      <w:r w:rsidRPr="005E6E03">
        <w:rPr>
          <w:lang w:val="en-GB"/>
        </w:rPr>
        <w:t>Afinitor</w:t>
      </w:r>
      <w:proofErr w:type="spellEnd"/>
      <w:r w:rsidRPr="005E6E03">
        <w:rPr>
          <w:lang w:val="en-GB"/>
        </w:rPr>
        <w:t xml:space="preserve"> has immunosuppressive properties and may predispose patients to bacterial, fungal, viral or protozoan infections, including infections with opportunistic pathogens (see </w:t>
      </w:r>
      <w:r>
        <w:rPr>
          <w:lang w:val="en-GB"/>
        </w:rPr>
        <w:t>section 4.8 ‘Adverse e</w:t>
      </w:r>
      <w:r w:rsidRPr="005E6E03">
        <w:rPr>
          <w:lang w:val="en-GB"/>
        </w:rPr>
        <w:t>ffects</w:t>
      </w:r>
      <w:r>
        <w:rPr>
          <w:lang w:val="en-GB"/>
        </w:rPr>
        <w:t>’</w:t>
      </w:r>
      <w:r w:rsidRPr="005E6E03">
        <w:rPr>
          <w:lang w:val="en-GB"/>
        </w:rPr>
        <w:t xml:space="preserve">). Localised and systemic infections, including pneumonia, other bacterial infections, invasive fungal infections, such as aspergillosis, candidiasis, or pneumocystis </w:t>
      </w:r>
      <w:proofErr w:type="spellStart"/>
      <w:r w:rsidRPr="005E6E03">
        <w:rPr>
          <w:lang w:val="en-GB"/>
        </w:rPr>
        <w:t>jirovecii</w:t>
      </w:r>
      <w:proofErr w:type="spellEnd"/>
      <w:r w:rsidRPr="005E6E03">
        <w:rPr>
          <w:lang w:val="en-GB"/>
        </w:rPr>
        <w:t xml:space="preserve"> pneumonia (PJP) and viral infections including reactivation of hepatitis B virus, have been described in patients taking </w:t>
      </w:r>
      <w:proofErr w:type="spellStart"/>
      <w:r w:rsidRPr="005E6E03">
        <w:rPr>
          <w:lang w:val="en-GB"/>
        </w:rPr>
        <w:t>Afinitor</w:t>
      </w:r>
      <w:proofErr w:type="spellEnd"/>
      <w:r w:rsidRPr="005E6E03">
        <w:rPr>
          <w:lang w:val="en-GB"/>
        </w:rPr>
        <w:t xml:space="preserve">. Some of these infections have been severe (e.g. leading to sepsis including septic shock, respiratory or hepatic failure) and occasionally have had a fatal outcome in adult and paediatric patients (see </w:t>
      </w:r>
      <w:r>
        <w:rPr>
          <w:lang w:val="en-GB"/>
        </w:rPr>
        <w:t>section 4.8 ‘Adverse e</w:t>
      </w:r>
      <w:r w:rsidRPr="005E6E03">
        <w:rPr>
          <w:lang w:val="en-GB"/>
        </w:rPr>
        <w:t>ffects</w:t>
      </w:r>
      <w:r>
        <w:rPr>
          <w:lang w:val="en-GB"/>
        </w:rPr>
        <w:t>’</w:t>
      </w:r>
      <w:r w:rsidRPr="005E6E03">
        <w:rPr>
          <w:lang w:val="en-GB"/>
        </w:rPr>
        <w:t xml:space="preserve">). Physicians and patients should be aware of the increased risk of infection with </w:t>
      </w:r>
      <w:proofErr w:type="spellStart"/>
      <w:r w:rsidRPr="005E6E03">
        <w:rPr>
          <w:lang w:val="en-GB"/>
        </w:rPr>
        <w:t>Afinitor</w:t>
      </w:r>
      <w:proofErr w:type="spellEnd"/>
      <w:r w:rsidRPr="005E6E03">
        <w:rPr>
          <w:lang w:val="en-GB"/>
        </w:rPr>
        <w:t xml:space="preserve">. Pre-existing infections should be treated appropriately and should have resolved fully before starting treatment with </w:t>
      </w:r>
      <w:proofErr w:type="spellStart"/>
      <w:r w:rsidRPr="005E6E03">
        <w:rPr>
          <w:lang w:val="en-GB"/>
        </w:rPr>
        <w:t>Afinitor</w:t>
      </w:r>
      <w:proofErr w:type="spellEnd"/>
      <w:r w:rsidRPr="005E6E03">
        <w:rPr>
          <w:lang w:val="en-GB"/>
        </w:rPr>
        <w:t xml:space="preserve">. While taking </w:t>
      </w:r>
      <w:proofErr w:type="spellStart"/>
      <w:r w:rsidRPr="005E6E03">
        <w:rPr>
          <w:lang w:val="en-GB"/>
        </w:rPr>
        <w:t>Afinitor</w:t>
      </w:r>
      <w:proofErr w:type="spellEnd"/>
      <w:r w:rsidRPr="005E6E03">
        <w:rPr>
          <w:lang w:val="en-GB"/>
        </w:rPr>
        <w:t xml:space="preserve">, be vigilant for symptoms and signs of infection; if a diagnosis of infection is made, institute appropriate treatment promptly and consider interruption or discontinuation of </w:t>
      </w:r>
      <w:proofErr w:type="spellStart"/>
      <w:r w:rsidRPr="005E6E03">
        <w:rPr>
          <w:lang w:val="en-GB"/>
        </w:rPr>
        <w:t>Afinitor</w:t>
      </w:r>
      <w:proofErr w:type="spellEnd"/>
      <w:r w:rsidRPr="005E6E03">
        <w:rPr>
          <w:lang w:val="en-GB"/>
        </w:rPr>
        <w:t xml:space="preserve">. </w:t>
      </w:r>
    </w:p>
    <w:p w14:paraId="42DD7CA0" w14:textId="77777777" w:rsidR="00557C61" w:rsidRPr="005E6E03" w:rsidRDefault="00557C61" w:rsidP="00557C61">
      <w:pPr>
        <w:rPr>
          <w:lang w:val="en-GB"/>
        </w:rPr>
      </w:pPr>
      <w:r w:rsidRPr="005E6E03">
        <w:rPr>
          <w:lang w:val="en-GB"/>
        </w:rPr>
        <w:t xml:space="preserve">If a diagnosis of invasive systemic fungal infection is made, </w:t>
      </w:r>
      <w:proofErr w:type="spellStart"/>
      <w:r w:rsidRPr="005E6E03">
        <w:rPr>
          <w:lang w:val="en-GB"/>
        </w:rPr>
        <w:t>Afinitor</w:t>
      </w:r>
      <w:proofErr w:type="spellEnd"/>
      <w:r w:rsidRPr="005E6E03">
        <w:rPr>
          <w:lang w:val="en-GB"/>
        </w:rPr>
        <w:t xml:space="preserve"> should be promptly and permanently discontinued and the patient treated with appropriate antifungal therapy.</w:t>
      </w:r>
    </w:p>
    <w:p w14:paraId="4602D15A" w14:textId="77777777" w:rsidR="00557C61" w:rsidRPr="005E6E03" w:rsidRDefault="00557C61" w:rsidP="00557C61">
      <w:pPr>
        <w:rPr>
          <w:lang w:val="en-GB"/>
        </w:rPr>
      </w:pPr>
      <w:r w:rsidRPr="005E6E03">
        <w:rPr>
          <w:lang w:val="en-GB"/>
        </w:rPr>
        <w:t xml:space="preserve">Cases of </w:t>
      </w:r>
      <w:r w:rsidRPr="003353BC">
        <w:rPr>
          <w:i/>
          <w:lang w:val="en-GB"/>
        </w:rPr>
        <w:t xml:space="preserve">pneumocystis </w:t>
      </w:r>
      <w:proofErr w:type="spellStart"/>
      <w:r w:rsidRPr="003353BC">
        <w:rPr>
          <w:i/>
          <w:lang w:val="en-GB"/>
        </w:rPr>
        <w:t>jirovecii</w:t>
      </w:r>
      <w:proofErr w:type="spellEnd"/>
      <w:r w:rsidRPr="003353BC">
        <w:rPr>
          <w:i/>
          <w:lang w:val="en-GB"/>
        </w:rPr>
        <w:t xml:space="preserve"> pneumonia</w:t>
      </w:r>
      <w:r w:rsidRPr="005E6E03">
        <w:rPr>
          <w:lang w:val="en-GB"/>
        </w:rPr>
        <w:t xml:space="preserve"> (PJP), some with fatal outcome, have been reported in patients who received </w:t>
      </w:r>
      <w:proofErr w:type="spellStart"/>
      <w:r w:rsidRPr="005E6E03">
        <w:rPr>
          <w:lang w:val="en-GB"/>
        </w:rPr>
        <w:t>everolimus</w:t>
      </w:r>
      <w:proofErr w:type="spellEnd"/>
      <w:r w:rsidRPr="005E6E03">
        <w:rPr>
          <w:lang w:val="en-GB"/>
        </w:rPr>
        <w:t>.  PJP may be associated with concomitant use of corticosteroids or other immunosuppressive agents.  Prophylaxis for PJP should be considered when concomitant use of corticosteroids or other immunosuppressive agents are required.</w:t>
      </w:r>
    </w:p>
    <w:p w14:paraId="5A161820" w14:textId="77777777" w:rsidR="00557C61" w:rsidRPr="00C874A3" w:rsidRDefault="00557C61" w:rsidP="00557C61">
      <w:pPr>
        <w:rPr>
          <w:b/>
          <w:lang w:val="en-GB"/>
        </w:rPr>
      </w:pPr>
      <w:r w:rsidRPr="00C874A3">
        <w:rPr>
          <w:b/>
          <w:lang w:val="en-GB"/>
        </w:rPr>
        <w:t>Impaired Wound Healing</w:t>
      </w:r>
    </w:p>
    <w:p w14:paraId="1CA87C0A" w14:textId="77777777" w:rsidR="00557C61" w:rsidRDefault="00557C61" w:rsidP="00557C61">
      <w:pPr>
        <w:rPr>
          <w:lang w:val="en-GB"/>
        </w:rPr>
      </w:pPr>
      <w:r w:rsidRPr="005E6E03">
        <w:rPr>
          <w:lang w:val="en-GB"/>
        </w:rPr>
        <w:t xml:space="preserve">Impaired wound healing is a class effect of rapamycin derivatives, including </w:t>
      </w:r>
      <w:proofErr w:type="spellStart"/>
      <w:r w:rsidRPr="005E6E03">
        <w:rPr>
          <w:lang w:val="en-GB"/>
        </w:rPr>
        <w:t>Afinitor</w:t>
      </w:r>
      <w:proofErr w:type="spellEnd"/>
      <w:r w:rsidRPr="005E6E03">
        <w:rPr>
          <w:lang w:val="en-GB"/>
        </w:rPr>
        <w:t xml:space="preserve">. Caution should therefore be exercised with the use of </w:t>
      </w:r>
      <w:proofErr w:type="spellStart"/>
      <w:r w:rsidRPr="005E6E03">
        <w:rPr>
          <w:lang w:val="en-GB"/>
        </w:rPr>
        <w:t>Afinitor</w:t>
      </w:r>
      <w:proofErr w:type="spellEnd"/>
      <w:r w:rsidRPr="005E6E03">
        <w:rPr>
          <w:lang w:val="en-GB"/>
        </w:rPr>
        <w:t xml:space="preserve"> in the </w:t>
      </w:r>
      <w:proofErr w:type="spellStart"/>
      <w:r w:rsidRPr="005E6E03">
        <w:rPr>
          <w:lang w:val="en-GB"/>
        </w:rPr>
        <w:t>peri</w:t>
      </w:r>
      <w:proofErr w:type="spellEnd"/>
      <w:r w:rsidRPr="005E6E03">
        <w:rPr>
          <w:lang w:val="en-GB"/>
        </w:rPr>
        <w:t>-surgical period.</w:t>
      </w:r>
    </w:p>
    <w:p w14:paraId="6B778ECF" w14:textId="77777777" w:rsidR="000E6647" w:rsidRPr="005E6E03" w:rsidRDefault="000E6647" w:rsidP="00557C61">
      <w:pPr>
        <w:rPr>
          <w:lang w:val="en-GB"/>
        </w:rPr>
      </w:pPr>
    </w:p>
    <w:p w14:paraId="72088DB2" w14:textId="77777777" w:rsidR="00557C61" w:rsidRPr="00C874A3" w:rsidRDefault="00557C61" w:rsidP="00557C61">
      <w:pPr>
        <w:rPr>
          <w:b/>
          <w:lang w:val="en-GB"/>
        </w:rPr>
      </w:pPr>
      <w:r w:rsidRPr="00C874A3">
        <w:rPr>
          <w:b/>
          <w:lang w:val="en-GB"/>
        </w:rPr>
        <w:t>Hypersensitivity</w:t>
      </w:r>
    </w:p>
    <w:p w14:paraId="4D30D9A7" w14:textId="171DFFD3" w:rsidR="00557C61" w:rsidRDefault="00557C61" w:rsidP="00557C61">
      <w:pPr>
        <w:rPr>
          <w:lang w:val="en-GB"/>
        </w:rPr>
      </w:pPr>
      <w:r w:rsidRPr="005E6E03">
        <w:rPr>
          <w:lang w:val="en-GB"/>
        </w:rPr>
        <w:t>Hypersensitivity reactions manifested by symptoms including, but not limited to, anaphylaxis, dyspnoea, flushing, chest pain or angioedema (</w:t>
      </w:r>
      <w:proofErr w:type="spellStart"/>
      <w:r w:rsidRPr="005E6E03">
        <w:rPr>
          <w:lang w:val="en-GB"/>
        </w:rPr>
        <w:t>eg</w:t>
      </w:r>
      <w:proofErr w:type="spellEnd"/>
      <w:r w:rsidRPr="005E6E03">
        <w:rPr>
          <w:lang w:val="en-GB"/>
        </w:rPr>
        <w:t xml:space="preserve"> swelling of the airways or tongue, with or without respiratory impairment) have been observed with </w:t>
      </w:r>
      <w:proofErr w:type="spellStart"/>
      <w:r w:rsidRPr="005E6E03">
        <w:rPr>
          <w:lang w:val="en-GB"/>
        </w:rPr>
        <w:t>everolimus</w:t>
      </w:r>
      <w:proofErr w:type="spellEnd"/>
      <w:r w:rsidRPr="005E6E03">
        <w:rPr>
          <w:lang w:val="en-GB"/>
        </w:rPr>
        <w:t xml:space="preserve">  (see </w:t>
      </w:r>
      <w:r>
        <w:rPr>
          <w:lang w:val="en-GB"/>
        </w:rPr>
        <w:t>section 4.3 ‘</w:t>
      </w:r>
      <w:r w:rsidRPr="005E6E03">
        <w:rPr>
          <w:lang w:val="en-GB"/>
        </w:rPr>
        <w:t>Contraindications</w:t>
      </w:r>
      <w:r>
        <w:rPr>
          <w:lang w:val="en-GB"/>
        </w:rPr>
        <w:t>’</w:t>
      </w:r>
      <w:r w:rsidRPr="005E6E03">
        <w:rPr>
          <w:lang w:val="en-GB"/>
        </w:rPr>
        <w:t>).</w:t>
      </w:r>
    </w:p>
    <w:p w14:paraId="2ABA8201" w14:textId="77777777" w:rsidR="00557C61" w:rsidRPr="00C874A3" w:rsidRDefault="00557C61" w:rsidP="00557C61">
      <w:pPr>
        <w:rPr>
          <w:b/>
          <w:lang w:val="en-GB"/>
        </w:rPr>
      </w:pPr>
      <w:r w:rsidRPr="00C874A3">
        <w:rPr>
          <w:b/>
          <w:lang w:val="en-GB"/>
        </w:rPr>
        <w:t>Angioedema with concomitant use of angiotensin-converting enzyme (ACE) inhibitors</w:t>
      </w:r>
    </w:p>
    <w:p w14:paraId="501A17E2" w14:textId="77777777" w:rsidR="00557C61" w:rsidRPr="005E6E03" w:rsidRDefault="00557C61" w:rsidP="00557C61">
      <w:pPr>
        <w:rPr>
          <w:lang w:val="en-GB"/>
        </w:rPr>
      </w:pPr>
      <w:r w:rsidRPr="005E6E03">
        <w:rPr>
          <w:lang w:val="en-GB"/>
        </w:rPr>
        <w:t>Patients taking concomitant ACE inhibitor therapy may be at increased risk for angioedema (e.g. swelling of the airways or tongue, with or w</w:t>
      </w:r>
      <w:r>
        <w:rPr>
          <w:lang w:val="en-GB"/>
        </w:rPr>
        <w:t>ithout respiratory impairment).</w:t>
      </w:r>
    </w:p>
    <w:p w14:paraId="141329CC" w14:textId="77777777" w:rsidR="00557C61" w:rsidRPr="00C874A3" w:rsidRDefault="00557C61" w:rsidP="00557C61">
      <w:pPr>
        <w:rPr>
          <w:b/>
          <w:lang w:val="en-GB"/>
        </w:rPr>
      </w:pPr>
      <w:r w:rsidRPr="00C874A3">
        <w:rPr>
          <w:b/>
          <w:lang w:val="en-GB"/>
        </w:rPr>
        <w:lastRenderedPageBreak/>
        <w:t>Stomatitis</w:t>
      </w:r>
    </w:p>
    <w:p w14:paraId="3E3731C7" w14:textId="1E9FFCB3" w:rsidR="00557C61" w:rsidRPr="00557C61" w:rsidRDefault="00557C61" w:rsidP="00557C61">
      <w:pPr>
        <w:rPr>
          <w:lang w:val="en-GB"/>
        </w:rPr>
      </w:pPr>
      <w:r w:rsidRPr="005E6E03">
        <w:rPr>
          <w:lang w:val="en-GB"/>
        </w:rPr>
        <w:t xml:space="preserve">Stomatitis, including mouth ulceration and oral mucositis is the most commonly reported adverse drug reaction in patients treated with </w:t>
      </w:r>
      <w:proofErr w:type="spellStart"/>
      <w:r w:rsidRPr="005E6E03">
        <w:rPr>
          <w:lang w:val="en-GB"/>
        </w:rPr>
        <w:t>Afinitor</w:t>
      </w:r>
      <w:proofErr w:type="spellEnd"/>
      <w:r w:rsidRPr="005E6E03">
        <w:rPr>
          <w:lang w:val="en-GB"/>
        </w:rPr>
        <w:t xml:space="preserve"> (see </w:t>
      </w:r>
      <w:r w:rsidR="00062A86">
        <w:rPr>
          <w:lang w:val="en-GB"/>
        </w:rPr>
        <w:t>section 4.8 ‘</w:t>
      </w:r>
      <w:r w:rsidRPr="005E6E03">
        <w:rPr>
          <w:lang w:val="en-GB"/>
        </w:rPr>
        <w:t xml:space="preserve">Adverse </w:t>
      </w:r>
      <w:r w:rsidR="00062A86">
        <w:rPr>
          <w:lang w:val="en-GB"/>
        </w:rPr>
        <w:t>e</w:t>
      </w:r>
      <w:r w:rsidRPr="005E6E03">
        <w:rPr>
          <w:lang w:val="en-GB"/>
        </w:rPr>
        <w:t>ffects</w:t>
      </w:r>
      <w:r w:rsidR="00062A86">
        <w:rPr>
          <w:lang w:val="en-GB"/>
        </w:rPr>
        <w:t>’</w:t>
      </w:r>
      <w:r w:rsidRPr="005E6E03">
        <w:rPr>
          <w:lang w:val="en-GB"/>
        </w:rPr>
        <w:t xml:space="preserve">).If stomatitis occurs, topical treatments are recommended, but alcohol, hydrogen peroxide-, iodine-, or thyme-containing products should be avoided as they may exacerbate the condition. Antifungal agents should not be used unless fungal infection has been diagnosed (see </w:t>
      </w:r>
      <w:r>
        <w:rPr>
          <w:lang w:val="en-GB"/>
        </w:rPr>
        <w:t>section 4.5 ‘</w:t>
      </w:r>
      <w:r w:rsidRPr="005E6E03">
        <w:rPr>
          <w:lang w:val="en-GB"/>
        </w:rPr>
        <w:t>I</w:t>
      </w:r>
      <w:r>
        <w:rPr>
          <w:lang w:val="en-GB"/>
        </w:rPr>
        <w:t>nteractions with other medicines’).</w:t>
      </w:r>
    </w:p>
    <w:p w14:paraId="667D81BF" w14:textId="77777777" w:rsidR="00557C61" w:rsidRPr="00C874A3" w:rsidRDefault="00557C61" w:rsidP="00557C61">
      <w:pPr>
        <w:rPr>
          <w:b/>
          <w:lang w:val="en-GB"/>
        </w:rPr>
      </w:pPr>
      <w:r w:rsidRPr="00C874A3">
        <w:rPr>
          <w:b/>
          <w:lang w:val="en-GB"/>
        </w:rPr>
        <w:t>Ethnicity</w:t>
      </w:r>
    </w:p>
    <w:p w14:paraId="77E77026" w14:textId="77777777" w:rsidR="00557C61" w:rsidRDefault="00557C61" w:rsidP="00557C61">
      <w:pPr>
        <w:rPr>
          <w:lang w:val="en-GB"/>
        </w:rPr>
      </w:pPr>
      <w:r w:rsidRPr="005E6E03">
        <w:rPr>
          <w:lang w:val="en-GB"/>
        </w:rPr>
        <w:t>In Asian patients, with NETs, the reported adverse events of hypertension were 1.95 fold higher (17.6% vs. 9.0%), of pneumonitis 1.88 fold higher (13.2% vs. 7.0%), and of hyperglycaemia 1.59 fold higher (29.4% vs. 18.4%) than in Caucasian patients.</w:t>
      </w:r>
    </w:p>
    <w:p w14:paraId="04C65400" w14:textId="77777777" w:rsidR="00557C61" w:rsidRPr="00C874A3" w:rsidRDefault="00557C61" w:rsidP="00557C61">
      <w:pPr>
        <w:rPr>
          <w:b/>
          <w:lang w:val="en-GB"/>
        </w:rPr>
      </w:pPr>
      <w:r w:rsidRPr="00C874A3">
        <w:rPr>
          <w:b/>
          <w:lang w:val="en-GB"/>
        </w:rPr>
        <w:t>Renal failure events</w:t>
      </w:r>
    </w:p>
    <w:p w14:paraId="47913095" w14:textId="079D7BC6" w:rsidR="00557C61" w:rsidRDefault="00557C61" w:rsidP="00557C61">
      <w:pPr>
        <w:rPr>
          <w:lang w:val="en-GB"/>
        </w:rPr>
      </w:pPr>
      <w:r w:rsidRPr="002A1CBE">
        <w:rPr>
          <w:lang w:val="en-GB"/>
        </w:rPr>
        <w:t xml:space="preserve">Cases of renal failure (including acute renal failure), some with a fatal outcome, have been observed in patients treated with </w:t>
      </w:r>
      <w:proofErr w:type="spellStart"/>
      <w:r w:rsidRPr="002A1CBE">
        <w:rPr>
          <w:lang w:val="en-GB"/>
        </w:rPr>
        <w:t>Afinitor</w:t>
      </w:r>
      <w:proofErr w:type="spellEnd"/>
      <w:r w:rsidRPr="002A1CBE">
        <w:rPr>
          <w:lang w:val="en-GB"/>
        </w:rPr>
        <w:t xml:space="preserve">. Renal function of patients should be monitored particularly where patients have additional risk factors that may </w:t>
      </w:r>
      <w:r>
        <w:rPr>
          <w:lang w:val="en-GB"/>
        </w:rPr>
        <w:t xml:space="preserve">further impair renal function </w:t>
      </w:r>
      <w:r w:rsidRPr="002A1CBE">
        <w:rPr>
          <w:lang w:val="en-GB"/>
        </w:rPr>
        <w:t xml:space="preserve">(see </w:t>
      </w:r>
      <w:r>
        <w:rPr>
          <w:lang w:val="en-GB"/>
        </w:rPr>
        <w:t xml:space="preserve">section 4.8 ‘Adverse </w:t>
      </w:r>
      <w:proofErr w:type="spellStart"/>
      <w:r>
        <w:rPr>
          <w:lang w:val="en-GB"/>
        </w:rPr>
        <w:t>effects’</w:t>
      </w:r>
      <w:r w:rsidR="00062A86">
        <w:rPr>
          <w:lang w:val="en-GB"/>
        </w:rPr>
        <w:t>,section</w:t>
      </w:r>
      <w:proofErr w:type="spellEnd"/>
      <w:r>
        <w:rPr>
          <w:lang w:val="en-GB"/>
        </w:rPr>
        <w:t xml:space="preserve"> 4.4 ‘special warnings and precautions for use- Effects on </w:t>
      </w:r>
      <w:r w:rsidRPr="002A1CBE">
        <w:rPr>
          <w:lang w:val="en-GB"/>
        </w:rPr>
        <w:t>Laboratory tests</w:t>
      </w:r>
      <w:r>
        <w:rPr>
          <w:lang w:val="en-GB"/>
        </w:rPr>
        <w:t xml:space="preserve">’ and </w:t>
      </w:r>
      <w:r w:rsidR="00062A86">
        <w:rPr>
          <w:lang w:val="en-GB"/>
        </w:rPr>
        <w:t xml:space="preserve">section </w:t>
      </w:r>
      <w:r>
        <w:rPr>
          <w:lang w:val="en-GB"/>
        </w:rPr>
        <w:t>4.2 Dose and method of administration- Therapeutic drug monitoring’</w:t>
      </w:r>
      <w:r w:rsidRPr="002A1CBE">
        <w:rPr>
          <w:lang w:val="en-GB"/>
        </w:rPr>
        <w:t>).</w:t>
      </w:r>
    </w:p>
    <w:p w14:paraId="2801A0E4" w14:textId="77777777" w:rsidR="00557C61" w:rsidRPr="00C874A3" w:rsidRDefault="00557C61" w:rsidP="00557C61">
      <w:pPr>
        <w:rPr>
          <w:b/>
          <w:lang w:val="en-GB"/>
        </w:rPr>
      </w:pPr>
      <w:r w:rsidRPr="00C874A3">
        <w:rPr>
          <w:b/>
          <w:lang w:val="en-GB"/>
        </w:rPr>
        <w:t>Functional carcinoid tumours</w:t>
      </w:r>
    </w:p>
    <w:p w14:paraId="61861FB8" w14:textId="77777777" w:rsidR="00557C61" w:rsidRPr="005F2D14" w:rsidRDefault="00557C61" w:rsidP="00557C61">
      <w:pPr>
        <w:rPr>
          <w:lang w:val="en-GB"/>
        </w:rPr>
      </w:pPr>
      <w:r w:rsidRPr="005F2D14">
        <w:t>In a randomised, double</w:t>
      </w:r>
      <w:r w:rsidRPr="005F2D14">
        <w:noBreakHyphen/>
        <w:t>blind, multi</w:t>
      </w:r>
      <w:r w:rsidRPr="005F2D14">
        <w:noBreakHyphen/>
        <w:t xml:space="preserve">centre trial in patients with functional carcinoid tumours, </w:t>
      </w:r>
      <w:proofErr w:type="spellStart"/>
      <w:r w:rsidRPr="005F2D14">
        <w:t>Afinitor</w:t>
      </w:r>
      <w:proofErr w:type="spellEnd"/>
      <w:r w:rsidRPr="005F2D14">
        <w:t xml:space="preserve"> plus depot octreotide was compared to placebo plus depot octreotide. The study did not meet the primary efficacy endpoint (progression</w:t>
      </w:r>
      <w:r w:rsidRPr="005F2D14">
        <w:noBreakHyphen/>
        <w:t>free</w:t>
      </w:r>
      <w:r w:rsidRPr="005F2D14">
        <w:noBreakHyphen/>
        <w:t xml:space="preserve">survival [PFS]) and the overall survival (OS) interim analysis numerically favoured the placebo plus depot octreotide arm. Therefore, the safety and efficacy of </w:t>
      </w:r>
      <w:proofErr w:type="spellStart"/>
      <w:r w:rsidRPr="005F2D14">
        <w:t>Afinitor</w:t>
      </w:r>
      <w:proofErr w:type="spellEnd"/>
      <w:r w:rsidRPr="005F2D14">
        <w:t xml:space="preserve"> in patients with functional carcinoid tumours have not been established.</w:t>
      </w:r>
    </w:p>
    <w:p w14:paraId="717BCE53" w14:textId="77777777" w:rsidR="00557C61" w:rsidRPr="00C874A3" w:rsidRDefault="00557C61" w:rsidP="00557C61">
      <w:pPr>
        <w:rPr>
          <w:b/>
          <w:lang w:val="en-GB"/>
        </w:rPr>
      </w:pPr>
      <w:r w:rsidRPr="00C874A3">
        <w:rPr>
          <w:b/>
          <w:lang w:val="en-GB"/>
        </w:rPr>
        <w:t>Prognostic factors in neuroendocrine tumours of gastrointestinal or lung origin</w:t>
      </w:r>
    </w:p>
    <w:p w14:paraId="35A7495A" w14:textId="3FA214B3" w:rsidR="00557C61" w:rsidRDefault="00557C61" w:rsidP="00557C61">
      <w:pPr>
        <w:rPr>
          <w:lang w:val="en-GB"/>
        </w:rPr>
      </w:pPr>
      <w:r w:rsidRPr="005E689E">
        <w:t xml:space="preserve">In patients with non-functional gastrointestinal or lung neuroendocrine tumours and good prognostic baseline factors, e.g. ileum as primary tumour origin and normal chromogranin A values or without bone involvement, an individual benefit-risk assessment should be performed prior to the start of </w:t>
      </w:r>
      <w:proofErr w:type="spellStart"/>
      <w:r w:rsidRPr="005E689E">
        <w:t>Afinitor</w:t>
      </w:r>
      <w:proofErr w:type="spellEnd"/>
      <w:r w:rsidRPr="005E689E">
        <w:t xml:space="preserve"> therapy. </w:t>
      </w:r>
      <w:r>
        <w:t xml:space="preserve">In </w:t>
      </w:r>
      <w:r w:rsidRPr="005E689E">
        <w:t>the subgroup of patients with ileum as primary tumour origin</w:t>
      </w:r>
      <w:r>
        <w:t>, PFS benefit was uncertain</w:t>
      </w:r>
      <w:r w:rsidRPr="005E689E">
        <w:t xml:space="preserve"> (see </w:t>
      </w:r>
      <w:r>
        <w:t>section 5.1 ‘</w:t>
      </w:r>
      <w:proofErr w:type="spellStart"/>
      <w:r>
        <w:t>Pharmacodynamic</w:t>
      </w:r>
      <w:proofErr w:type="spellEnd"/>
      <w:r>
        <w:t xml:space="preserve"> properties- Clinical trials’), RADIANT-4, Figure 6</w:t>
      </w:r>
      <w:r w:rsidRPr="005E689E">
        <w:t>)</w:t>
      </w:r>
      <w:r>
        <w:t>.</w:t>
      </w:r>
    </w:p>
    <w:p w14:paraId="750464D1" w14:textId="77777777" w:rsidR="00557C61" w:rsidRDefault="00557C61" w:rsidP="00557C61">
      <w:pPr>
        <w:pStyle w:val="Heading3"/>
        <w:spacing w:before="0" w:after="120"/>
      </w:pPr>
      <w:r w:rsidRPr="00B878CC">
        <w:t>Use in hepatic impairm</w:t>
      </w:r>
      <w:r>
        <w:t>ent</w:t>
      </w:r>
    </w:p>
    <w:p w14:paraId="449CA587" w14:textId="4800F297" w:rsidR="00557C61" w:rsidRPr="002A1CBE" w:rsidRDefault="00557C61" w:rsidP="00557C61">
      <w:pPr>
        <w:rPr>
          <w:lang w:val="en-GB"/>
        </w:rPr>
      </w:pPr>
      <w:r w:rsidRPr="002A1CBE">
        <w:rPr>
          <w:lang w:val="en-GB"/>
        </w:rPr>
        <w:t xml:space="preserve">Exposure to </w:t>
      </w:r>
      <w:proofErr w:type="spellStart"/>
      <w:r w:rsidRPr="002A1CBE">
        <w:rPr>
          <w:lang w:val="en-GB"/>
        </w:rPr>
        <w:t>everolimus</w:t>
      </w:r>
      <w:proofErr w:type="spellEnd"/>
      <w:r w:rsidRPr="002A1CBE">
        <w:rPr>
          <w:lang w:val="en-GB"/>
        </w:rPr>
        <w:t xml:space="preserve"> was increased in patients with mild (Child-Pugh A), moderate (Child-Pugh B), and severe (Child-Pugh C)</w:t>
      </w:r>
      <w:r>
        <w:rPr>
          <w:lang w:val="en-GB"/>
        </w:rPr>
        <w:t xml:space="preserve"> hepatic impairment (see section 4.2 ‘Dose </w:t>
      </w:r>
      <w:r w:rsidRPr="002A1CBE">
        <w:rPr>
          <w:lang w:val="en-GB"/>
        </w:rPr>
        <w:t>and</w:t>
      </w:r>
      <w:r>
        <w:rPr>
          <w:lang w:val="en-GB"/>
        </w:rPr>
        <w:t xml:space="preserve"> method of administration’ </w:t>
      </w:r>
      <w:r w:rsidRPr="002A1CBE">
        <w:rPr>
          <w:lang w:val="en-GB"/>
        </w:rPr>
        <w:t xml:space="preserve">and </w:t>
      </w:r>
      <w:r>
        <w:rPr>
          <w:lang w:val="en-GB"/>
        </w:rPr>
        <w:t>4.4 ‘special warnings and p</w:t>
      </w:r>
      <w:r w:rsidRPr="002A1CBE">
        <w:rPr>
          <w:lang w:val="en-GB"/>
        </w:rPr>
        <w:t>recautions</w:t>
      </w:r>
      <w:r>
        <w:rPr>
          <w:lang w:val="en-GB"/>
        </w:rPr>
        <w:t xml:space="preserve"> for use’</w:t>
      </w:r>
      <w:r w:rsidRPr="002A1CBE">
        <w:rPr>
          <w:lang w:val="en-GB"/>
        </w:rPr>
        <w:t>).</w:t>
      </w:r>
    </w:p>
    <w:p w14:paraId="488712C5" w14:textId="67676358" w:rsidR="00557C61" w:rsidRPr="002A1CBE" w:rsidRDefault="00557C61" w:rsidP="00557C61">
      <w:pPr>
        <w:rPr>
          <w:lang w:val="en-GB"/>
        </w:rPr>
      </w:pPr>
      <w:proofErr w:type="spellStart"/>
      <w:r w:rsidRPr="002A1CBE">
        <w:rPr>
          <w:lang w:val="en-GB"/>
        </w:rPr>
        <w:t>Afinitor</w:t>
      </w:r>
      <w:proofErr w:type="spellEnd"/>
      <w:r w:rsidRPr="002A1CBE">
        <w:rPr>
          <w:lang w:val="en-GB"/>
        </w:rPr>
        <w:t xml:space="preserve"> is not recommended for use in patients with severe hepatic impairment (Child-Pugh C) for the treatment of hormone receptor-positive advanced breast cancer, advanced neuroendocrine tumours, advanced renal cell carcinoma, or TSC who have renal </w:t>
      </w:r>
      <w:proofErr w:type="spellStart"/>
      <w:r w:rsidRPr="002A1CBE">
        <w:rPr>
          <w:lang w:val="en-GB"/>
        </w:rPr>
        <w:t>angiomyolipoma</w:t>
      </w:r>
      <w:proofErr w:type="spellEnd"/>
      <w:r w:rsidRPr="002A1CBE">
        <w:rPr>
          <w:lang w:val="en-GB"/>
        </w:rPr>
        <w:t xml:space="preserve"> unless the </w:t>
      </w:r>
      <w:r w:rsidRPr="002A1CBE">
        <w:rPr>
          <w:lang w:val="en-GB"/>
        </w:rPr>
        <w:lastRenderedPageBreak/>
        <w:t xml:space="preserve">potential benefit outweighs the risk </w:t>
      </w:r>
      <w:r>
        <w:rPr>
          <w:lang w:val="en-GB"/>
        </w:rPr>
        <w:t xml:space="preserve">(see section 4.2 ‘Dose </w:t>
      </w:r>
      <w:r w:rsidRPr="002A1CBE">
        <w:rPr>
          <w:lang w:val="en-GB"/>
        </w:rPr>
        <w:t>and</w:t>
      </w:r>
      <w:r>
        <w:rPr>
          <w:lang w:val="en-GB"/>
        </w:rPr>
        <w:t xml:space="preserve"> method of administration’ </w:t>
      </w:r>
      <w:r w:rsidRPr="002A1CBE">
        <w:rPr>
          <w:lang w:val="en-GB"/>
        </w:rPr>
        <w:t xml:space="preserve">and </w:t>
      </w:r>
      <w:r>
        <w:rPr>
          <w:lang w:val="en-GB"/>
        </w:rPr>
        <w:t>5.2 ‘Pharmacokinetic properties’</w:t>
      </w:r>
      <w:r w:rsidRPr="002A1CBE">
        <w:rPr>
          <w:lang w:val="en-GB"/>
        </w:rPr>
        <w:t>).</w:t>
      </w:r>
    </w:p>
    <w:p w14:paraId="00E7EA89" w14:textId="3D359F6D" w:rsidR="00557C61" w:rsidRDefault="00557C61" w:rsidP="00557C61">
      <w:pPr>
        <w:rPr>
          <w:lang w:val="en-GB"/>
        </w:rPr>
      </w:pPr>
      <w:proofErr w:type="spellStart"/>
      <w:r w:rsidRPr="002A1CBE">
        <w:rPr>
          <w:lang w:val="en-GB"/>
        </w:rPr>
        <w:t>Afinitor</w:t>
      </w:r>
      <w:proofErr w:type="spellEnd"/>
      <w:r w:rsidRPr="002A1CBE">
        <w:rPr>
          <w:lang w:val="en-GB"/>
        </w:rPr>
        <w:t xml:space="preserve"> is not recommended for use in patients &lt; 18 years of age with TSC who have SEGA</w:t>
      </w:r>
      <w:r>
        <w:rPr>
          <w:lang w:val="en-GB"/>
        </w:rPr>
        <w:t xml:space="preserve"> or refractory seizures </w:t>
      </w:r>
      <w:r w:rsidRPr="002A1CBE">
        <w:rPr>
          <w:lang w:val="en-GB"/>
        </w:rPr>
        <w:t xml:space="preserve">and concomitant hepatic impairment (Child-Pugh A, B or C) or in patients &gt; 18 years of age with severe hepatic impairment (Child-Pugh C) </w:t>
      </w:r>
      <w:r>
        <w:rPr>
          <w:lang w:val="en-GB"/>
        </w:rPr>
        <w:t xml:space="preserve">(see section 4.2 ‘Dose </w:t>
      </w:r>
      <w:r w:rsidRPr="002A1CBE">
        <w:rPr>
          <w:lang w:val="en-GB"/>
        </w:rPr>
        <w:t>and</w:t>
      </w:r>
      <w:r>
        <w:rPr>
          <w:lang w:val="en-GB"/>
        </w:rPr>
        <w:t xml:space="preserve"> method of administration’ and 5 ‘Pharmacological properties’).</w:t>
      </w:r>
    </w:p>
    <w:p w14:paraId="65F4CBE4" w14:textId="64AE8EE3" w:rsidR="00557C61" w:rsidRDefault="00557C61" w:rsidP="00557C61">
      <w:pPr>
        <w:pStyle w:val="Heading3"/>
        <w:tabs>
          <w:tab w:val="left" w:pos="2461"/>
        </w:tabs>
        <w:spacing w:before="0" w:after="120"/>
      </w:pPr>
      <w:r w:rsidRPr="00B878CC">
        <w:t>Use in the elderly</w:t>
      </w:r>
    </w:p>
    <w:p w14:paraId="7B3EC922" w14:textId="77777777" w:rsidR="00557C61" w:rsidRDefault="00557C61" w:rsidP="00557C61">
      <w:pPr>
        <w:rPr>
          <w:lang w:val="en-GB"/>
        </w:rPr>
      </w:pPr>
      <w:r w:rsidRPr="00164A3B">
        <w:rPr>
          <w:lang w:val="en-GB"/>
        </w:rPr>
        <w:t>In patients over 65 years, with NETs, the reported incidences of dehydration, hypomagnesaemia and pneumonitis was more than 1.4 fold higher than for patients 65 years or younger.</w:t>
      </w:r>
    </w:p>
    <w:p w14:paraId="363A9F3B" w14:textId="77777777" w:rsidR="00557C61" w:rsidRDefault="00557C61" w:rsidP="00557C61">
      <w:pPr>
        <w:pStyle w:val="Heading3"/>
        <w:spacing w:before="0" w:after="120"/>
      </w:pPr>
      <w:r w:rsidRPr="00B878CC">
        <w:t>Paediatric use</w:t>
      </w:r>
    </w:p>
    <w:p w14:paraId="01FB649E" w14:textId="11D2317B" w:rsidR="00557C61" w:rsidRPr="003353BC" w:rsidRDefault="00557C61" w:rsidP="001D2874">
      <w:pPr>
        <w:numPr>
          <w:ilvl w:val="0"/>
          <w:numId w:val="24"/>
        </w:numPr>
        <w:spacing w:after="0"/>
        <w:jc w:val="both"/>
        <w:rPr>
          <w:lang w:val="en-GB"/>
        </w:rPr>
      </w:pPr>
      <w:r w:rsidRPr="003353BC">
        <w:rPr>
          <w:lang w:val="en-GB"/>
        </w:rPr>
        <w:t xml:space="preserve">There is no indication for use of </w:t>
      </w:r>
      <w:proofErr w:type="spellStart"/>
      <w:r w:rsidRPr="003353BC">
        <w:rPr>
          <w:lang w:val="en-GB"/>
        </w:rPr>
        <w:t>Afinitor</w:t>
      </w:r>
      <w:proofErr w:type="spellEnd"/>
      <w:r w:rsidRPr="003353BC">
        <w:rPr>
          <w:lang w:val="en-GB"/>
        </w:rPr>
        <w:t xml:space="preserve"> in the paediatric cancer population (see </w:t>
      </w:r>
      <w:r w:rsidR="00830F70">
        <w:rPr>
          <w:lang w:val="en-GB"/>
        </w:rPr>
        <w:t>section 4.2 ‘</w:t>
      </w:r>
      <w:r w:rsidRPr="003353BC">
        <w:rPr>
          <w:lang w:val="en-GB"/>
        </w:rPr>
        <w:t xml:space="preserve">Dose and </w:t>
      </w:r>
      <w:r w:rsidR="00830F70">
        <w:rPr>
          <w:lang w:val="en-GB"/>
        </w:rPr>
        <w:t>method of a</w:t>
      </w:r>
      <w:r w:rsidRPr="003353BC">
        <w:rPr>
          <w:lang w:val="en-GB"/>
        </w:rPr>
        <w:t xml:space="preserve">dministration) or in paediatric patients with TSC who have renal </w:t>
      </w:r>
      <w:proofErr w:type="spellStart"/>
      <w:r w:rsidRPr="003353BC">
        <w:rPr>
          <w:lang w:val="en-GB"/>
        </w:rPr>
        <w:t>angiomyolipoma</w:t>
      </w:r>
      <w:proofErr w:type="spellEnd"/>
      <w:r w:rsidRPr="003353BC">
        <w:rPr>
          <w:lang w:val="en-GB"/>
        </w:rPr>
        <w:t xml:space="preserve">. </w:t>
      </w:r>
    </w:p>
    <w:p w14:paraId="244FAE22" w14:textId="2CF73CC6" w:rsidR="00557C61" w:rsidRPr="003353BC" w:rsidRDefault="00557C61" w:rsidP="001D2874">
      <w:pPr>
        <w:numPr>
          <w:ilvl w:val="0"/>
          <w:numId w:val="24"/>
        </w:numPr>
        <w:spacing w:after="0"/>
        <w:jc w:val="both"/>
        <w:rPr>
          <w:lang w:val="en-GB"/>
        </w:rPr>
      </w:pPr>
      <w:proofErr w:type="spellStart"/>
      <w:r w:rsidRPr="003353BC">
        <w:rPr>
          <w:szCs w:val="24"/>
          <w:lang w:val="en-GB"/>
        </w:rPr>
        <w:t>Afinitor</w:t>
      </w:r>
      <w:proofErr w:type="spellEnd"/>
      <w:r w:rsidRPr="003353BC">
        <w:rPr>
          <w:szCs w:val="24"/>
          <w:lang w:val="en-GB"/>
        </w:rPr>
        <w:t xml:space="preserve"> has not been studied in p</w:t>
      </w:r>
      <w:r w:rsidR="00830F70">
        <w:rPr>
          <w:szCs w:val="24"/>
          <w:lang w:val="en-GB"/>
        </w:rPr>
        <w:t>a</w:t>
      </w:r>
      <w:r w:rsidRPr="003353BC">
        <w:rPr>
          <w:szCs w:val="24"/>
          <w:lang w:val="en-GB"/>
        </w:rPr>
        <w:t>ediatric patients &lt;1 year of age with TSC who have SEGA.</w:t>
      </w:r>
    </w:p>
    <w:p w14:paraId="1FD812B1" w14:textId="77777777" w:rsidR="00557C61" w:rsidRPr="003353BC" w:rsidRDefault="00557C61" w:rsidP="001D2874">
      <w:pPr>
        <w:numPr>
          <w:ilvl w:val="0"/>
          <w:numId w:val="24"/>
        </w:numPr>
        <w:spacing w:after="0"/>
        <w:jc w:val="both"/>
        <w:rPr>
          <w:lang w:val="en-GB"/>
        </w:rPr>
      </w:pPr>
      <w:proofErr w:type="spellStart"/>
      <w:r w:rsidRPr="003353BC">
        <w:rPr>
          <w:szCs w:val="24"/>
          <w:lang w:val="en-GB"/>
        </w:rPr>
        <w:t>Afinitor</w:t>
      </w:r>
      <w:proofErr w:type="spellEnd"/>
      <w:r w:rsidRPr="003353BC">
        <w:rPr>
          <w:szCs w:val="24"/>
          <w:lang w:val="en-GB"/>
        </w:rPr>
        <w:t xml:space="preserve"> has not been studied in paediatric patients &lt;2 years of age with TSC and refractory seizures.</w:t>
      </w:r>
    </w:p>
    <w:p w14:paraId="3F51CD98" w14:textId="77777777" w:rsidR="00557C61" w:rsidRPr="003353BC" w:rsidRDefault="00557C61" w:rsidP="001D2874">
      <w:pPr>
        <w:numPr>
          <w:ilvl w:val="0"/>
          <w:numId w:val="24"/>
        </w:numPr>
        <w:spacing w:after="0"/>
        <w:jc w:val="both"/>
        <w:rPr>
          <w:lang w:val="en-GB"/>
        </w:rPr>
      </w:pPr>
      <w:r w:rsidRPr="003353BC">
        <w:rPr>
          <w:lang w:val="en-GB"/>
        </w:rPr>
        <w:t>Dosing recommendations for paediatric patients with TSC who have SEGA are consistent with those for the corresponding adult population with the exception of those patients with hepatic impairment.</w:t>
      </w:r>
      <w:r w:rsidRPr="003353BC">
        <w:rPr>
          <w:szCs w:val="24"/>
          <w:lang w:val="en-GB"/>
        </w:rPr>
        <w:t xml:space="preserve"> </w:t>
      </w:r>
    </w:p>
    <w:p w14:paraId="40490A06" w14:textId="77777777" w:rsidR="00557C61" w:rsidRPr="003353BC" w:rsidRDefault="00557C61" w:rsidP="001D2874">
      <w:pPr>
        <w:numPr>
          <w:ilvl w:val="0"/>
          <w:numId w:val="24"/>
        </w:numPr>
        <w:spacing w:after="0"/>
        <w:jc w:val="both"/>
        <w:rPr>
          <w:lang w:val="en-GB"/>
        </w:rPr>
      </w:pPr>
      <w:proofErr w:type="spellStart"/>
      <w:r w:rsidRPr="003353BC">
        <w:rPr>
          <w:szCs w:val="24"/>
          <w:lang w:val="en-GB"/>
        </w:rPr>
        <w:t>Afinitor</w:t>
      </w:r>
      <w:proofErr w:type="spellEnd"/>
      <w:r w:rsidRPr="003353BC">
        <w:rPr>
          <w:szCs w:val="24"/>
          <w:lang w:val="en-GB"/>
        </w:rPr>
        <w:t xml:space="preserve"> is not recommended for patients &lt;18 years of age with hepatic impairment and TSC with SEGA or TSC with seizures</w:t>
      </w:r>
      <w:r w:rsidRPr="003353BC">
        <w:rPr>
          <w:lang w:val="en-GB"/>
        </w:rPr>
        <w:t>.</w:t>
      </w:r>
    </w:p>
    <w:p w14:paraId="4D125ECC" w14:textId="47C0FAD9" w:rsidR="00557C61" w:rsidRPr="003353BC" w:rsidRDefault="00557C61" w:rsidP="001D2874">
      <w:pPr>
        <w:numPr>
          <w:ilvl w:val="0"/>
          <w:numId w:val="24"/>
        </w:numPr>
        <w:spacing w:after="0"/>
        <w:jc w:val="both"/>
        <w:rPr>
          <w:lang w:val="en-GB"/>
        </w:rPr>
      </w:pPr>
      <w:r w:rsidRPr="003353BC">
        <w:rPr>
          <w:lang w:val="en-GB"/>
        </w:rPr>
        <w:t xml:space="preserve">The starting dose for paediatric patients &lt; 6 years of age with TSC and refractory seizures is slightly higher than for adults </w:t>
      </w:r>
      <w:r>
        <w:rPr>
          <w:lang w:val="en-GB"/>
        </w:rPr>
        <w:t xml:space="preserve">(see section 4.2 ‘Dose </w:t>
      </w:r>
      <w:r w:rsidRPr="002A1CBE">
        <w:rPr>
          <w:lang w:val="en-GB"/>
        </w:rPr>
        <w:t>and</w:t>
      </w:r>
      <w:r>
        <w:rPr>
          <w:lang w:val="en-GB"/>
        </w:rPr>
        <w:t xml:space="preserve"> method of administration’).</w:t>
      </w:r>
    </w:p>
    <w:p w14:paraId="20886A81" w14:textId="77777777" w:rsidR="00557C61" w:rsidRDefault="00557C61" w:rsidP="000E6647">
      <w:pPr>
        <w:pStyle w:val="Heading3"/>
        <w:spacing w:after="120"/>
      </w:pPr>
      <w:r w:rsidRPr="00B878CC">
        <w:t>Effects on</w:t>
      </w:r>
      <w:r w:rsidRPr="00CC0D90">
        <w:t xml:space="preserve"> laboratory tests</w:t>
      </w:r>
    </w:p>
    <w:p w14:paraId="2C6A94FB" w14:textId="77777777" w:rsidR="00557C61" w:rsidRPr="009835FF" w:rsidRDefault="00557C61" w:rsidP="009835FF">
      <w:pPr>
        <w:pStyle w:val="Heading3"/>
        <w:spacing w:after="240"/>
        <w:rPr>
          <w:rFonts w:ascii="Times New Roman" w:hAnsi="Times New Roman"/>
          <w:b w:val="0"/>
          <w:i/>
        </w:rPr>
      </w:pPr>
      <w:r w:rsidRPr="009835FF">
        <w:rPr>
          <w:rFonts w:ascii="Times New Roman" w:hAnsi="Times New Roman"/>
          <w:b w:val="0"/>
          <w:i/>
        </w:rPr>
        <w:t>Renal Function</w:t>
      </w:r>
    </w:p>
    <w:p w14:paraId="0FE22AEB" w14:textId="51643564" w:rsidR="00557C61" w:rsidRPr="002A1CBE" w:rsidRDefault="00557C61" w:rsidP="00557C61">
      <w:pPr>
        <w:rPr>
          <w:lang w:val="en-GB"/>
        </w:rPr>
      </w:pPr>
      <w:r w:rsidRPr="002A1CBE">
        <w:rPr>
          <w:lang w:val="en-GB"/>
        </w:rPr>
        <w:t xml:space="preserve">Elevations of serum creatinine, usually mild, and proteinuria have been reported in patients taking </w:t>
      </w:r>
      <w:proofErr w:type="spellStart"/>
      <w:r w:rsidRPr="002A1CBE">
        <w:rPr>
          <w:lang w:val="en-GB"/>
        </w:rPr>
        <w:t>Afinitor</w:t>
      </w:r>
      <w:proofErr w:type="spellEnd"/>
      <w:r w:rsidRPr="002A1CBE">
        <w:rPr>
          <w:lang w:val="en-GB"/>
        </w:rPr>
        <w:t xml:space="preserve"> (see </w:t>
      </w:r>
      <w:r>
        <w:rPr>
          <w:lang w:val="en-GB"/>
        </w:rPr>
        <w:t>section 4.8 ‘Adverse e</w:t>
      </w:r>
      <w:r w:rsidRPr="002A1CBE">
        <w:rPr>
          <w:lang w:val="en-GB"/>
        </w:rPr>
        <w:t>ffects</w:t>
      </w:r>
      <w:r>
        <w:rPr>
          <w:lang w:val="en-GB"/>
        </w:rPr>
        <w:t>’</w:t>
      </w:r>
      <w:r w:rsidRPr="002A1CBE">
        <w:rPr>
          <w:lang w:val="en-GB"/>
        </w:rPr>
        <w:t xml:space="preserve">). Monitoring of renal function, including measurement of blood urea nitrogen (BUN), urinary protein, or serum creatinine, is recommended prior to the start of </w:t>
      </w:r>
      <w:proofErr w:type="spellStart"/>
      <w:r w:rsidRPr="002A1CBE">
        <w:rPr>
          <w:lang w:val="en-GB"/>
        </w:rPr>
        <w:t>Afinitor</w:t>
      </w:r>
      <w:proofErr w:type="spellEnd"/>
      <w:r w:rsidRPr="002A1CBE">
        <w:rPr>
          <w:lang w:val="en-GB"/>
        </w:rPr>
        <w:t xml:space="preserve"> therapy and periodically thereafter. </w:t>
      </w:r>
    </w:p>
    <w:p w14:paraId="5E5F6417" w14:textId="77777777" w:rsidR="00557C61" w:rsidRPr="009835FF" w:rsidRDefault="00557C61" w:rsidP="009835FF">
      <w:pPr>
        <w:pStyle w:val="Heading3"/>
        <w:spacing w:after="240"/>
        <w:rPr>
          <w:rFonts w:ascii="Times New Roman" w:hAnsi="Times New Roman"/>
          <w:b w:val="0"/>
          <w:i/>
        </w:rPr>
      </w:pPr>
      <w:r w:rsidRPr="009835FF">
        <w:rPr>
          <w:rFonts w:ascii="Times New Roman" w:hAnsi="Times New Roman"/>
          <w:b w:val="0"/>
          <w:i/>
        </w:rPr>
        <w:t xml:space="preserve">Blood glucose </w:t>
      </w:r>
    </w:p>
    <w:p w14:paraId="0C8FB747" w14:textId="0C612003" w:rsidR="00557C61" w:rsidRPr="003353BC" w:rsidRDefault="00557C61" w:rsidP="00557C61">
      <w:r w:rsidRPr="003353BC">
        <w:t xml:space="preserve">Hyperglycaemia has been reported in patients taking </w:t>
      </w:r>
      <w:proofErr w:type="spellStart"/>
      <w:r w:rsidRPr="003353BC">
        <w:t>Afinitor</w:t>
      </w:r>
      <w:proofErr w:type="spellEnd"/>
      <w:r w:rsidRPr="003353BC">
        <w:t xml:space="preserve"> </w:t>
      </w:r>
      <w:r w:rsidRPr="001D2874">
        <w:rPr>
          <w:lang w:val="en-GB"/>
        </w:rPr>
        <w:t xml:space="preserve">(see </w:t>
      </w:r>
      <w:r>
        <w:rPr>
          <w:lang w:val="en-GB"/>
        </w:rPr>
        <w:t>section 4.8 ‘</w:t>
      </w:r>
      <w:r w:rsidRPr="001D2874">
        <w:rPr>
          <w:lang w:val="en-GB"/>
        </w:rPr>
        <w:t xml:space="preserve">Adverse </w:t>
      </w:r>
      <w:r>
        <w:rPr>
          <w:lang w:val="en-GB"/>
        </w:rPr>
        <w:t>e</w:t>
      </w:r>
      <w:r w:rsidRPr="002A1CBE">
        <w:rPr>
          <w:lang w:val="en-GB"/>
        </w:rPr>
        <w:t>ffects</w:t>
      </w:r>
      <w:r>
        <w:rPr>
          <w:lang w:val="en-GB"/>
        </w:rPr>
        <w:t>’</w:t>
      </w:r>
      <w:r w:rsidRPr="001D2874">
        <w:rPr>
          <w:lang w:val="en-GB"/>
        </w:rPr>
        <w:t xml:space="preserve">). </w:t>
      </w:r>
      <w:r w:rsidRPr="003353BC">
        <w:t xml:space="preserve">Monitoring of fasting serum glucose is recommended prior to the start of </w:t>
      </w:r>
      <w:proofErr w:type="spellStart"/>
      <w:r w:rsidRPr="003353BC">
        <w:t>Afinitor</w:t>
      </w:r>
      <w:proofErr w:type="spellEnd"/>
      <w:r w:rsidRPr="003353BC">
        <w:t xml:space="preserve"> therapy and periodically thereafter. More frequent monitoring is recommended when </w:t>
      </w:r>
      <w:proofErr w:type="spellStart"/>
      <w:r w:rsidRPr="003353BC">
        <w:t>Afinitor</w:t>
      </w:r>
      <w:proofErr w:type="spellEnd"/>
      <w:r w:rsidRPr="003353BC">
        <w:t xml:space="preserve"> is co-administered </w:t>
      </w:r>
      <w:r w:rsidRPr="003353BC">
        <w:lastRenderedPageBreak/>
        <w:t xml:space="preserve">with other drugs that may induce hyperglycaemia. The appropriate optimal glycaemic control must be achieved before starting a patient on </w:t>
      </w:r>
      <w:proofErr w:type="spellStart"/>
      <w:r w:rsidRPr="003353BC">
        <w:t>Afinitor</w:t>
      </w:r>
      <w:proofErr w:type="spellEnd"/>
      <w:r w:rsidRPr="003353BC">
        <w:t xml:space="preserve">. </w:t>
      </w:r>
    </w:p>
    <w:p w14:paraId="0076C802" w14:textId="77777777" w:rsidR="00557C61" w:rsidRPr="003353BC" w:rsidRDefault="00557C61" w:rsidP="00557C61">
      <w:r w:rsidRPr="003353BC">
        <w:t xml:space="preserve">Octreotide has been associated with a rise in blood glucose which may increase the hyperglycaemic effect of </w:t>
      </w:r>
      <w:proofErr w:type="spellStart"/>
      <w:r w:rsidRPr="003353BC">
        <w:t>everolimus</w:t>
      </w:r>
      <w:proofErr w:type="spellEnd"/>
      <w:r w:rsidRPr="003353BC">
        <w:t>.</w:t>
      </w:r>
    </w:p>
    <w:p w14:paraId="67E3A474" w14:textId="77777777" w:rsidR="00557C61" w:rsidRPr="00A1425E" w:rsidRDefault="00557C61" w:rsidP="00557C61">
      <w:pPr>
        <w:pStyle w:val="Heading3"/>
        <w:spacing w:after="240"/>
        <w:rPr>
          <w:rFonts w:ascii="Times New Roman" w:hAnsi="Times New Roman"/>
          <w:b w:val="0"/>
          <w:i/>
        </w:rPr>
      </w:pPr>
      <w:r w:rsidRPr="00A1425E">
        <w:rPr>
          <w:rFonts w:ascii="Times New Roman" w:hAnsi="Times New Roman"/>
          <w:b w:val="0"/>
          <w:i/>
        </w:rPr>
        <w:t>Blood lipids</w:t>
      </w:r>
    </w:p>
    <w:p w14:paraId="2328EB08" w14:textId="77777777" w:rsidR="00557C61" w:rsidRPr="002A1CBE" w:rsidRDefault="00557C61" w:rsidP="00557C61">
      <w:pPr>
        <w:rPr>
          <w:lang w:val="en-US"/>
        </w:rPr>
      </w:pPr>
      <w:r w:rsidRPr="002A1CBE">
        <w:rPr>
          <w:lang w:val="en-US"/>
        </w:rPr>
        <w:t xml:space="preserve">Dyslipidemia (including hypercholesterolemia </w:t>
      </w:r>
      <w:r w:rsidRPr="002A1CBE">
        <w:t>and hypertriglyceridemia</w:t>
      </w:r>
      <w:r w:rsidRPr="002A1CBE">
        <w:rPr>
          <w:lang w:val="en-US"/>
        </w:rPr>
        <w:t>)</w:t>
      </w:r>
      <w:r w:rsidRPr="002A1CBE">
        <w:t xml:space="preserve"> ha</w:t>
      </w:r>
      <w:r w:rsidRPr="002A1CBE">
        <w:rPr>
          <w:lang w:val="en-US"/>
        </w:rPr>
        <w:t xml:space="preserve">s </w:t>
      </w:r>
      <w:r w:rsidRPr="002A1CBE">
        <w:t xml:space="preserve">been reported in </w:t>
      </w:r>
      <w:r w:rsidRPr="002A1CBE">
        <w:rPr>
          <w:lang w:val="en-US"/>
        </w:rPr>
        <w:t xml:space="preserve">patients taking </w:t>
      </w:r>
      <w:proofErr w:type="spellStart"/>
      <w:r w:rsidRPr="002A1CBE">
        <w:rPr>
          <w:lang w:val="en-US"/>
        </w:rPr>
        <w:t>Afinitor</w:t>
      </w:r>
      <w:proofErr w:type="spellEnd"/>
      <w:r w:rsidRPr="002A1CBE">
        <w:rPr>
          <w:lang w:val="en-US"/>
        </w:rPr>
        <w:t xml:space="preserve">. </w:t>
      </w:r>
      <w:r w:rsidRPr="002A1CBE">
        <w:t>Monitoring of blood cholesterol and triglycerides</w:t>
      </w:r>
      <w:r w:rsidRPr="002A1CBE">
        <w:rPr>
          <w:lang w:val="en-US"/>
        </w:rPr>
        <w:t xml:space="preserve"> </w:t>
      </w:r>
      <w:r w:rsidRPr="002A1CBE">
        <w:t>prior to the start of A</w:t>
      </w:r>
      <w:proofErr w:type="spellStart"/>
      <w:r w:rsidRPr="002A1CBE">
        <w:rPr>
          <w:lang w:val="en-US"/>
        </w:rPr>
        <w:t>finitor</w:t>
      </w:r>
      <w:proofErr w:type="spellEnd"/>
      <w:r w:rsidRPr="002A1CBE">
        <w:rPr>
          <w:lang w:val="en-US"/>
        </w:rPr>
        <w:t xml:space="preserve"> </w:t>
      </w:r>
      <w:r w:rsidRPr="002A1CBE">
        <w:t>therapy and periodically thereafter</w:t>
      </w:r>
      <w:r w:rsidRPr="002A1CBE">
        <w:rPr>
          <w:lang w:val="en-US"/>
        </w:rPr>
        <w:t xml:space="preserve"> as well as management with appropriate medical therapy is </w:t>
      </w:r>
      <w:r w:rsidRPr="002A1CBE">
        <w:t>recommended</w:t>
      </w:r>
      <w:r w:rsidRPr="002A1CBE">
        <w:rPr>
          <w:lang w:val="en-US"/>
        </w:rPr>
        <w:t>.</w:t>
      </w:r>
    </w:p>
    <w:p w14:paraId="73CD5EA1" w14:textId="77777777" w:rsidR="00557C61" w:rsidRPr="00A1425E" w:rsidRDefault="00557C61" w:rsidP="00557C61">
      <w:pPr>
        <w:pStyle w:val="Heading3"/>
        <w:spacing w:after="240"/>
        <w:rPr>
          <w:rFonts w:ascii="Times New Roman" w:hAnsi="Times New Roman"/>
          <w:b w:val="0"/>
          <w:i/>
        </w:rPr>
      </w:pPr>
      <w:r w:rsidRPr="00A1425E">
        <w:rPr>
          <w:rFonts w:ascii="Times New Roman" w:hAnsi="Times New Roman"/>
          <w:b w:val="0"/>
          <w:i/>
        </w:rPr>
        <w:t>Haematological parameters</w:t>
      </w:r>
    </w:p>
    <w:p w14:paraId="28B446B1" w14:textId="0515CF09" w:rsidR="00557C61" w:rsidRPr="00557C61" w:rsidRDefault="00557C61" w:rsidP="00557C61">
      <w:pPr>
        <w:rPr>
          <w:lang w:val="en-GB"/>
        </w:rPr>
      </w:pPr>
      <w:r w:rsidRPr="002A1CBE">
        <w:rPr>
          <w:lang w:val="en-GB"/>
        </w:rPr>
        <w:t>Decreased haemoglobin, lymphocytes, neutrophils and platelets have been reported in pa</w:t>
      </w:r>
      <w:r>
        <w:rPr>
          <w:lang w:val="en-GB"/>
        </w:rPr>
        <w:t xml:space="preserve">tients treated with </w:t>
      </w:r>
      <w:proofErr w:type="spellStart"/>
      <w:r>
        <w:rPr>
          <w:lang w:val="en-GB"/>
        </w:rPr>
        <w:t>Afinitor</w:t>
      </w:r>
      <w:proofErr w:type="spellEnd"/>
      <w:r>
        <w:rPr>
          <w:lang w:val="en-GB"/>
        </w:rPr>
        <w:t xml:space="preserve"> </w:t>
      </w:r>
      <w:r w:rsidRPr="002A1CBE">
        <w:rPr>
          <w:lang w:val="en-GB"/>
        </w:rPr>
        <w:t xml:space="preserve">(see </w:t>
      </w:r>
      <w:r>
        <w:rPr>
          <w:lang w:val="en-GB"/>
        </w:rPr>
        <w:t>section 4.8 ‘Adverse e</w:t>
      </w:r>
      <w:r w:rsidRPr="002A1CBE">
        <w:rPr>
          <w:lang w:val="en-GB"/>
        </w:rPr>
        <w:t>ffects</w:t>
      </w:r>
      <w:r>
        <w:rPr>
          <w:lang w:val="en-GB"/>
        </w:rPr>
        <w:t>’</w:t>
      </w:r>
      <w:r w:rsidRPr="002A1CBE">
        <w:rPr>
          <w:lang w:val="en-GB"/>
        </w:rPr>
        <w:t xml:space="preserve">). Monitoring of complete blood count is recommended prior to the start of </w:t>
      </w:r>
      <w:proofErr w:type="spellStart"/>
      <w:r w:rsidRPr="002A1CBE">
        <w:rPr>
          <w:lang w:val="en-GB"/>
        </w:rPr>
        <w:t>Afinitor</w:t>
      </w:r>
      <w:proofErr w:type="spellEnd"/>
      <w:r w:rsidRPr="002A1CBE">
        <w:rPr>
          <w:lang w:val="en-GB"/>
        </w:rPr>
        <w:t xml:space="preserve"> therapy and periodically thereafter. </w:t>
      </w:r>
    </w:p>
    <w:p w14:paraId="2708C60D" w14:textId="77777777" w:rsidR="001A3992" w:rsidRDefault="001A3992" w:rsidP="001A3992">
      <w:pPr>
        <w:pStyle w:val="Heading2"/>
        <w:keepNext/>
        <w:keepLines/>
        <w:spacing w:before="0" w:after="120"/>
        <w:rPr>
          <w:rFonts w:cstheme="minorHAnsi"/>
        </w:rPr>
      </w:pPr>
      <w:r w:rsidRPr="00497C85">
        <w:rPr>
          <w:rFonts w:cstheme="minorHAnsi"/>
        </w:rPr>
        <w:t>Interactions with other medicines and other forms of interactions</w:t>
      </w:r>
    </w:p>
    <w:p w14:paraId="16A29AB8" w14:textId="77777777" w:rsidR="00557C61" w:rsidRPr="002A1CBE" w:rsidRDefault="00557C61" w:rsidP="00557C61">
      <w:pPr>
        <w:rPr>
          <w:lang w:val="en-GB"/>
        </w:rPr>
      </w:pPr>
      <w:proofErr w:type="spellStart"/>
      <w:r w:rsidRPr="002A1CBE">
        <w:rPr>
          <w:lang w:val="en-GB"/>
        </w:rPr>
        <w:t>Everolimus</w:t>
      </w:r>
      <w:proofErr w:type="spellEnd"/>
      <w:r w:rsidRPr="002A1CBE">
        <w:rPr>
          <w:lang w:val="en-GB"/>
        </w:rPr>
        <w:t xml:space="preserve"> is a substrate of CYP3A4, and also a substrate and moderate inhibitor of the multidrug efflux pump </w:t>
      </w:r>
      <w:bookmarkStart w:id="13" w:name="OLE_LINK2"/>
      <w:r w:rsidRPr="002A1CBE">
        <w:rPr>
          <w:lang w:val="en-GB"/>
        </w:rPr>
        <w:t>P-glycoprotein (</w:t>
      </w:r>
      <w:proofErr w:type="spellStart"/>
      <w:r w:rsidRPr="002A1CBE">
        <w:rPr>
          <w:lang w:val="en-GB"/>
        </w:rPr>
        <w:t>PgP</w:t>
      </w:r>
      <w:proofErr w:type="spellEnd"/>
      <w:r w:rsidRPr="002A1CBE">
        <w:rPr>
          <w:lang w:val="en-GB"/>
        </w:rPr>
        <w:t>)</w:t>
      </w:r>
      <w:bookmarkEnd w:id="13"/>
      <w:r w:rsidRPr="002A1CBE">
        <w:rPr>
          <w:lang w:val="en-GB"/>
        </w:rPr>
        <w:t xml:space="preserve">. Therefore, absorption and subsequent elimination of </w:t>
      </w:r>
      <w:proofErr w:type="spellStart"/>
      <w:r w:rsidRPr="002A1CBE">
        <w:rPr>
          <w:lang w:val="en-GB"/>
        </w:rPr>
        <w:t>everolimus</w:t>
      </w:r>
      <w:proofErr w:type="spellEnd"/>
      <w:r w:rsidRPr="002A1CBE">
        <w:rPr>
          <w:lang w:val="en-GB"/>
        </w:rPr>
        <w:t xml:space="preserve"> may be influenced by products that affect CYP3A4 and/or </w:t>
      </w:r>
      <w:proofErr w:type="spellStart"/>
      <w:r w:rsidRPr="002A1CBE">
        <w:rPr>
          <w:lang w:val="en-GB"/>
        </w:rPr>
        <w:t>PgP</w:t>
      </w:r>
      <w:proofErr w:type="spellEnd"/>
      <w:r w:rsidRPr="002A1CBE">
        <w:rPr>
          <w:lang w:val="en-GB"/>
        </w:rPr>
        <w:t xml:space="preserve">. </w:t>
      </w:r>
    </w:p>
    <w:p w14:paraId="77164EF2" w14:textId="77777777" w:rsidR="00557C61" w:rsidRPr="002A1CBE" w:rsidRDefault="00557C61" w:rsidP="00557C61">
      <w:pPr>
        <w:rPr>
          <w:lang w:val="en-GB"/>
        </w:rPr>
      </w:pPr>
      <w:r w:rsidRPr="002A1CBE">
        <w:rPr>
          <w:i/>
          <w:lang w:val="en-GB"/>
        </w:rPr>
        <w:t>In vitro</w:t>
      </w:r>
      <w:r w:rsidRPr="002A1CBE">
        <w:rPr>
          <w:lang w:val="en-GB"/>
        </w:rPr>
        <w:t xml:space="preserve">, </w:t>
      </w:r>
      <w:proofErr w:type="spellStart"/>
      <w:r w:rsidRPr="002A1CBE">
        <w:rPr>
          <w:lang w:val="en-GB"/>
        </w:rPr>
        <w:t>everolimus</w:t>
      </w:r>
      <w:proofErr w:type="spellEnd"/>
      <w:r w:rsidRPr="002A1CBE">
        <w:rPr>
          <w:lang w:val="en-GB"/>
        </w:rPr>
        <w:t xml:space="preserve"> is a competitive inhibitor of CYP3A4 and a mixed inhibitor of CYP2D6. </w:t>
      </w:r>
    </w:p>
    <w:p w14:paraId="2DDF8C68" w14:textId="77777777" w:rsidR="00557C61" w:rsidRPr="00A1425E" w:rsidRDefault="00557C61" w:rsidP="00557C61">
      <w:pPr>
        <w:rPr>
          <w:rFonts w:ascii="Times New Roman" w:hAnsi="Times New Roman"/>
          <w:b/>
          <w:lang w:val="en-GB"/>
        </w:rPr>
      </w:pPr>
      <w:r w:rsidRPr="00A1425E">
        <w:rPr>
          <w:rFonts w:ascii="Times New Roman" w:hAnsi="Times New Roman"/>
          <w:b/>
          <w:lang w:val="en-GB"/>
        </w:rPr>
        <w:t xml:space="preserve">Agents that may increase </w:t>
      </w:r>
      <w:proofErr w:type="spellStart"/>
      <w:r w:rsidRPr="00A1425E">
        <w:rPr>
          <w:rFonts w:ascii="Times New Roman" w:hAnsi="Times New Roman"/>
          <w:b/>
          <w:lang w:val="en-GB"/>
        </w:rPr>
        <w:t>everolimus</w:t>
      </w:r>
      <w:proofErr w:type="spellEnd"/>
      <w:r w:rsidRPr="00A1425E">
        <w:rPr>
          <w:rFonts w:ascii="Times New Roman" w:hAnsi="Times New Roman"/>
          <w:b/>
          <w:lang w:val="en-GB"/>
        </w:rPr>
        <w:t xml:space="preserve"> blood concentrations</w:t>
      </w:r>
    </w:p>
    <w:p w14:paraId="741A3A3C" w14:textId="77777777" w:rsidR="00557C61" w:rsidRDefault="00557C61" w:rsidP="00557C61">
      <w:pPr>
        <w:contextualSpacing/>
        <w:rPr>
          <w:lang w:val="en-GB"/>
        </w:rPr>
      </w:pPr>
      <w:proofErr w:type="spellStart"/>
      <w:r w:rsidRPr="002A1CBE">
        <w:rPr>
          <w:lang w:val="en-GB"/>
        </w:rPr>
        <w:t>Everolimus</w:t>
      </w:r>
      <w:proofErr w:type="spellEnd"/>
      <w:r w:rsidRPr="002A1CBE">
        <w:rPr>
          <w:lang w:val="en-GB"/>
        </w:rPr>
        <w:t xml:space="preserve"> blood concentrations may be increased by substances that inhibit CYP3A4 activity and thus decrease </w:t>
      </w:r>
      <w:proofErr w:type="spellStart"/>
      <w:r w:rsidRPr="002A1CBE">
        <w:rPr>
          <w:lang w:val="en-GB"/>
        </w:rPr>
        <w:t>everolimus</w:t>
      </w:r>
      <w:proofErr w:type="spellEnd"/>
      <w:r w:rsidRPr="002A1CBE">
        <w:rPr>
          <w:lang w:val="en-GB"/>
        </w:rPr>
        <w:t xml:space="preserve"> metabolism. </w:t>
      </w:r>
    </w:p>
    <w:p w14:paraId="2D390270" w14:textId="77777777" w:rsidR="00557C61" w:rsidRPr="002A1CBE" w:rsidRDefault="00557C61" w:rsidP="00557C61">
      <w:pPr>
        <w:contextualSpacing/>
        <w:rPr>
          <w:lang w:val="en-GB"/>
        </w:rPr>
      </w:pPr>
      <w:proofErr w:type="spellStart"/>
      <w:r w:rsidRPr="002A1CBE">
        <w:rPr>
          <w:lang w:val="en-GB"/>
        </w:rPr>
        <w:t>Everolimus</w:t>
      </w:r>
      <w:proofErr w:type="spellEnd"/>
      <w:r w:rsidRPr="002A1CBE">
        <w:rPr>
          <w:lang w:val="en-GB"/>
        </w:rPr>
        <w:t xml:space="preserve"> blood concentrations may be increased by inhibitors of </w:t>
      </w:r>
      <w:proofErr w:type="spellStart"/>
      <w:r w:rsidRPr="002A1CBE">
        <w:rPr>
          <w:lang w:val="en-GB"/>
        </w:rPr>
        <w:t>PgP</w:t>
      </w:r>
      <w:proofErr w:type="spellEnd"/>
      <w:r w:rsidRPr="002A1CBE">
        <w:rPr>
          <w:lang w:val="en-GB"/>
        </w:rPr>
        <w:t xml:space="preserve"> that may decrease the efflux of </w:t>
      </w:r>
      <w:proofErr w:type="spellStart"/>
      <w:r w:rsidRPr="002A1CBE">
        <w:rPr>
          <w:lang w:val="en-GB"/>
        </w:rPr>
        <w:t>everolimus</w:t>
      </w:r>
      <w:proofErr w:type="spellEnd"/>
      <w:r w:rsidRPr="002A1CBE">
        <w:rPr>
          <w:lang w:val="en-GB"/>
        </w:rPr>
        <w:t xml:space="preserve"> from intestinal cells.</w:t>
      </w:r>
    </w:p>
    <w:p w14:paraId="7F1F593A" w14:textId="77777777" w:rsidR="00557C61" w:rsidRPr="002A1CBE" w:rsidRDefault="00557C61" w:rsidP="00557C61">
      <w:pPr>
        <w:rPr>
          <w:lang w:val="en-GB"/>
        </w:rPr>
      </w:pPr>
    </w:p>
    <w:p w14:paraId="70AEFE67" w14:textId="77777777" w:rsidR="00557C61" w:rsidRPr="002A1CBE" w:rsidRDefault="00557C61" w:rsidP="00557C61">
      <w:pPr>
        <w:rPr>
          <w:i/>
          <w:lang w:val="en-GB"/>
        </w:rPr>
      </w:pPr>
      <w:r w:rsidRPr="002A1CBE">
        <w:rPr>
          <w:i/>
          <w:lang w:val="en-GB"/>
        </w:rPr>
        <w:t xml:space="preserve">Moderate CYP3A4 or </w:t>
      </w:r>
      <w:proofErr w:type="spellStart"/>
      <w:r w:rsidRPr="002A1CBE">
        <w:rPr>
          <w:i/>
          <w:lang w:val="en-GB"/>
        </w:rPr>
        <w:t>PgP</w:t>
      </w:r>
      <w:proofErr w:type="spellEnd"/>
      <w:r w:rsidRPr="002A1CBE">
        <w:rPr>
          <w:i/>
          <w:lang w:val="en-GB"/>
        </w:rPr>
        <w:t xml:space="preserve"> inhibitors</w:t>
      </w:r>
    </w:p>
    <w:p w14:paraId="0462AAD6" w14:textId="30B44BBC" w:rsidR="00557C61" w:rsidRPr="002A1CBE" w:rsidRDefault="00557C61" w:rsidP="00557C61">
      <w:pPr>
        <w:rPr>
          <w:lang w:val="en-GB"/>
        </w:rPr>
      </w:pPr>
      <w:r w:rsidRPr="002A1CBE">
        <w:rPr>
          <w:lang w:val="en-GB"/>
        </w:rPr>
        <w:t xml:space="preserve">Concomitant treatment with moderate inhibitors of CYP3A4 including but not limited to erythromycin, verapamil, </w:t>
      </w:r>
      <w:proofErr w:type="spellStart"/>
      <w:r w:rsidRPr="002A1CBE">
        <w:rPr>
          <w:lang w:val="en-GB"/>
        </w:rPr>
        <w:t>cyclosporin</w:t>
      </w:r>
      <w:proofErr w:type="spellEnd"/>
      <w:r w:rsidRPr="002A1CBE">
        <w:rPr>
          <w:lang w:val="en-GB"/>
        </w:rPr>
        <w:t xml:space="preserve">, fluconazole, diltiazem, </w:t>
      </w:r>
      <w:proofErr w:type="spellStart"/>
      <w:r w:rsidRPr="002A1CBE">
        <w:rPr>
          <w:lang w:val="en-GB"/>
        </w:rPr>
        <w:t>amprenavir</w:t>
      </w:r>
      <w:proofErr w:type="spellEnd"/>
      <w:r w:rsidRPr="002A1CBE">
        <w:rPr>
          <w:lang w:val="en-GB"/>
        </w:rPr>
        <w:t xml:space="preserve">, </w:t>
      </w:r>
      <w:proofErr w:type="spellStart"/>
      <w:r w:rsidRPr="002A1CBE">
        <w:rPr>
          <w:lang w:val="en-GB"/>
        </w:rPr>
        <w:t>fosamprenavir</w:t>
      </w:r>
      <w:proofErr w:type="spellEnd"/>
      <w:r w:rsidRPr="002A1CBE">
        <w:rPr>
          <w:lang w:val="en-GB"/>
        </w:rPr>
        <w:t xml:space="preserve">, </w:t>
      </w:r>
      <w:proofErr w:type="spellStart"/>
      <w:r w:rsidRPr="002A1CBE">
        <w:rPr>
          <w:lang w:val="en-GB"/>
        </w:rPr>
        <w:t>aprepitant</w:t>
      </w:r>
      <w:proofErr w:type="spellEnd"/>
      <w:r w:rsidRPr="002A1CBE">
        <w:rPr>
          <w:lang w:val="en-GB"/>
        </w:rPr>
        <w:t xml:space="preserve">, or </w:t>
      </w:r>
      <w:proofErr w:type="spellStart"/>
      <w:r w:rsidRPr="002A1CBE">
        <w:rPr>
          <w:lang w:val="en-GB"/>
        </w:rPr>
        <w:t>posaconazole</w:t>
      </w:r>
      <w:proofErr w:type="spellEnd"/>
      <w:r w:rsidRPr="002A1CBE">
        <w:rPr>
          <w:lang w:val="en-GB"/>
        </w:rPr>
        <w:t xml:space="preserve"> and </w:t>
      </w:r>
      <w:proofErr w:type="spellStart"/>
      <w:r w:rsidRPr="002A1CBE">
        <w:rPr>
          <w:lang w:val="en-GB"/>
        </w:rPr>
        <w:t>PgP</w:t>
      </w:r>
      <w:proofErr w:type="spellEnd"/>
      <w:r w:rsidRPr="002A1CBE">
        <w:rPr>
          <w:lang w:val="en-GB"/>
        </w:rPr>
        <w:t xml:space="preserve"> requires caution. If </w:t>
      </w:r>
      <w:proofErr w:type="spellStart"/>
      <w:r w:rsidRPr="002A1CBE">
        <w:rPr>
          <w:lang w:val="en-GB"/>
        </w:rPr>
        <w:t>Afinitor</w:t>
      </w:r>
      <w:proofErr w:type="spellEnd"/>
      <w:r w:rsidRPr="002A1CBE">
        <w:rPr>
          <w:lang w:val="en-GB"/>
        </w:rPr>
        <w:t xml:space="preserve"> must be co-administered with a moderate CYP3A4 or </w:t>
      </w:r>
      <w:proofErr w:type="spellStart"/>
      <w:r w:rsidRPr="002A1CBE">
        <w:rPr>
          <w:lang w:val="en-GB"/>
        </w:rPr>
        <w:t>PgP</w:t>
      </w:r>
      <w:proofErr w:type="spellEnd"/>
      <w:r w:rsidRPr="002A1CBE">
        <w:rPr>
          <w:lang w:val="en-GB"/>
        </w:rPr>
        <w:t xml:space="preserve"> inhibitor, the patient should be carefully monitored for undesirable effects and the dose reduced if necessary (see</w:t>
      </w:r>
      <w:r>
        <w:rPr>
          <w:lang w:val="en-GB"/>
        </w:rPr>
        <w:t xml:space="preserve"> section 4.2</w:t>
      </w:r>
      <w:r w:rsidRPr="002A1CBE">
        <w:rPr>
          <w:lang w:val="en-GB"/>
        </w:rPr>
        <w:t xml:space="preserve"> </w:t>
      </w:r>
      <w:r>
        <w:rPr>
          <w:lang w:val="en-GB"/>
        </w:rPr>
        <w:t>‘Dos</w:t>
      </w:r>
      <w:r w:rsidRPr="002A1CBE">
        <w:rPr>
          <w:lang w:val="en-GB"/>
        </w:rPr>
        <w:t xml:space="preserve">e and </w:t>
      </w:r>
      <w:r>
        <w:rPr>
          <w:lang w:val="en-GB"/>
        </w:rPr>
        <w:t>method of a</w:t>
      </w:r>
      <w:r w:rsidRPr="002A1CBE">
        <w:rPr>
          <w:lang w:val="en-GB"/>
        </w:rPr>
        <w:t>dministration</w:t>
      </w:r>
      <w:r>
        <w:rPr>
          <w:lang w:val="en-GB"/>
        </w:rPr>
        <w:t>’</w:t>
      </w:r>
      <w:r w:rsidRPr="002A1CBE">
        <w:rPr>
          <w:lang w:val="en-GB"/>
        </w:rPr>
        <w:t>).</w:t>
      </w:r>
    </w:p>
    <w:p w14:paraId="58407921" w14:textId="77777777" w:rsidR="00557C61" w:rsidRPr="003353BC" w:rsidRDefault="00557C61" w:rsidP="00557C61">
      <w:pPr>
        <w:tabs>
          <w:tab w:val="left" w:pos="567"/>
        </w:tabs>
        <w:spacing w:after="120"/>
        <w:rPr>
          <w:lang w:val="en-GB"/>
        </w:rPr>
      </w:pPr>
      <w:r w:rsidRPr="003353BC">
        <w:rPr>
          <w:lang w:val="en-GB"/>
        </w:rPr>
        <w:t xml:space="preserve">There was an increase in exposure to </w:t>
      </w:r>
      <w:proofErr w:type="spellStart"/>
      <w:r w:rsidRPr="003353BC">
        <w:rPr>
          <w:lang w:val="en-GB"/>
        </w:rPr>
        <w:t>everolimus</w:t>
      </w:r>
      <w:proofErr w:type="spellEnd"/>
      <w:r w:rsidRPr="003353BC">
        <w:rPr>
          <w:lang w:val="en-GB"/>
        </w:rPr>
        <w:t xml:space="preserve"> in healthy subjects when </w:t>
      </w:r>
      <w:proofErr w:type="spellStart"/>
      <w:r w:rsidRPr="003353BC">
        <w:rPr>
          <w:lang w:val="en-GB"/>
        </w:rPr>
        <w:t>everolimus</w:t>
      </w:r>
      <w:proofErr w:type="spellEnd"/>
      <w:r w:rsidRPr="003353BC">
        <w:rPr>
          <w:lang w:val="en-GB"/>
        </w:rPr>
        <w:t xml:space="preserve"> was co-administered with:</w:t>
      </w:r>
    </w:p>
    <w:p w14:paraId="3C73D954" w14:textId="77777777" w:rsidR="00557C61" w:rsidRPr="003353BC" w:rsidRDefault="00557C61" w:rsidP="001D2874">
      <w:pPr>
        <w:numPr>
          <w:ilvl w:val="0"/>
          <w:numId w:val="27"/>
        </w:numPr>
        <w:tabs>
          <w:tab w:val="left" w:pos="567"/>
        </w:tabs>
        <w:spacing w:after="0"/>
        <w:jc w:val="both"/>
        <w:rPr>
          <w:lang w:val="en-GB"/>
        </w:rPr>
      </w:pPr>
      <w:r w:rsidRPr="003353BC">
        <w:rPr>
          <w:lang w:val="en-GB"/>
        </w:rPr>
        <w:t xml:space="preserve">erythromycin (a moderate CYP3A4 inhibitor and a </w:t>
      </w:r>
      <w:proofErr w:type="spellStart"/>
      <w:r w:rsidRPr="003353BC">
        <w:rPr>
          <w:lang w:val="en-GB"/>
        </w:rPr>
        <w:t>PgP</w:t>
      </w:r>
      <w:proofErr w:type="spellEnd"/>
      <w:r w:rsidRPr="003353BC">
        <w:rPr>
          <w:lang w:val="en-GB"/>
        </w:rPr>
        <w:t xml:space="preserve"> inhibitor; </w:t>
      </w:r>
      <w:proofErr w:type="spellStart"/>
      <w:r w:rsidRPr="003353BC">
        <w:rPr>
          <w:lang w:val="en-GB"/>
        </w:rPr>
        <w:t>Cmax</w:t>
      </w:r>
      <w:proofErr w:type="spellEnd"/>
      <w:r w:rsidRPr="003353BC">
        <w:rPr>
          <w:lang w:val="en-GB"/>
        </w:rPr>
        <w:t xml:space="preserve"> and AUC increased by 2.0- and 4.4-fold, respectively). </w:t>
      </w:r>
    </w:p>
    <w:p w14:paraId="43654C66" w14:textId="77777777" w:rsidR="00557C61" w:rsidRPr="003353BC" w:rsidRDefault="00557C61" w:rsidP="001D2874">
      <w:pPr>
        <w:numPr>
          <w:ilvl w:val="0"/>
          <w:numId w:val="27"/>
        </w:numPr>
        <w:tabs>
          <w:tab w:val="left" w:pos="567"/>
        </w:tabs>
        <w:spacing w:after="0"/>
        <w:jc w:val="both"/>
        <w:rPr>
          <w:lang w:val="en-GB"/>
        </w:rPr>
      </w:pPr>
      <w:r w:rsidRPr="003353BC">
        <w:rPr>
          <w:lang w:val="en-GB"/>
        </w:rPr>
        <w:t xml:space="preserve">verapamil (a moderate CYP3A4 inhibitor and a </w:t>
      </w:r>
      <w:proofErr w:type="spellStart"/>
      <w:r w:rsidRPr="003353BC">
        <w:rPr>
          <w:lang w:val="en-GB"/>
        </w:rPr>
        <w:t>PgP</w:t>
      </w:r>
      <w:proofErr w:type="spellEnd"/>
      <w:r w:rsidRPr="003353BC">
        <w:rPr>
          <w:lang w:val="en-GB"/>
        </w:rPr>
        <w:t xml:space="preserve"> inhibitor; </w:t>
      </w:r>
      <w:proofErr w:type="spellStart"/>
      <w:r w:rsidRPr="003353BC">
        <w:rPr>
          <w:lang w:val="en-GB"/>
        </w:rPr>
        <w:t>Cmax</w:t>
      </w:r>
      <w:proofErr w:type="spellEnd"/>
      <w:r w:rsidRPr="003353BC">
        <w:rPr>
          <w:lang w:val="en-GB"/>
        </w:rPr>
        <w:t xml:space="preserve"> and AUC increased by 2.3-and 3.5-fold, respectively).</w:t>
      </w:r>
    </w:p>
    <w:p w14:paraId="2030B993" w14:textId="77777777" w:rsidR="00557C61" w:rsidRPr="003353BC" w:rsidRDefault="00557C61" w:rsidP="001D2874">
      <w:pPr>
        <w:numPr>
          <w:ilvl w:val="0"/>
          <w:numId w:val="27"/>
        </w:numPr>
        <w:tabs>
          <w:tab w:val="left" w:pos="567"/>
        </w:tabs>
        <w:spacing w:after="0"/>
        <w:jc w:val="both"/>
        <w:rPr>
          <w:lang w:val="en-GB"/>
        </w:rPr>
      </w:pPr>
      <w:proofErr w:type="spellStart"/>
      <w:r w:rsidRPr="003353BC">
        <w:rPr>
          <w:lang w:val="en-GB"/>
        </w:rPr>
        <w:lastRenderedPageBreak/>
        <w:t>cyclosporin</w:t>
      </w:r>
      <w:proofErr w:type="spellEnd"/>
      <w:r w:rsidRPr="003353BC">
        <w:rPr>
          <w:lang w:val="en-GB"/>
        </w:rPr>
        <w:t xml:space="preserve"> (a CYP3A4 substrate and a </w:t>
      </w:r>
      <w:proofErr w:type="spellStart"/>
      <w:r w:rsidRPr="003353BC">
        <w:rPr>
          <w:lang w:val="en-GB"/>
        </w:rPr>
        <w:t>PgP</w:t>
      </w:r>
      <w:proofErr w:type="spellEnd"/>
      <w:r w:rsidRPr="003353BC">
        <w:rPr>
          <w:lang w:val="en-GB"/>
        </w:rPr>
        <w:t xml:space="preserve"> inhibitor; </w:t>
      </w:r>
      <w:proofErr w:type="spellStart"/>
      <w:r w:rsidRPr="003353BC">
        <w:rPr>
          <w:lang w:val="en-GB"/>
        </w:rPr>
        <w:t>Cmax</w:t>
      </w:r>
      <w:proofErr w:type="spellEnd"/>
      <w:r w:rsidRPr="003353BC">
        <w:rPr>
          <w:lang w:val="en-GB"/>
        </w:rPr>
        <w:t xml:space="preserve"> and AUC increased by 1.8- and 2.7-fold, respectively).</w:t>
      </w:r>
    </w:p>
    <w:p w14:paraId="084C120D" w14:textId="77777777" w:rsidR="00557C61" w:rsidRPr="003353BC" w:rsidRDefault="00557C61" w:rsidP="00557C61">
      <w:pPr>
        <w:tabs>
          <w:tab w:val="left" w:pos="567"/>
        </w:tabs>
        <w:rPr>
          <w:lang w:val="en-GB"/>
        </w:rPr>
      </w:pPr>
    </w:p>
    <w:p w14:paraId="695D216F" w14:textId="77777777" w:rsidR="00557C61" w:rsidRPr="003353BC" w:rsidRDefault="00557C61" w:rsidP="00557C61">
      <w:pPr>
        <w:tabs>
          <w:tab w:val="left" w:pos="567"/>
        </w:tabs>
        <w:rPr>
          <w:lang w:val="en-GB"/>
        </w:rPr>
      </w:pPr>
      <w:r w:rsidRPr="003353BC">
        <w:rPr>
          <w:lang w:val="en-GB"/>
        </w:rPr>
        <w:t xml:space="preserve">Other moderate inhibitors of CYP3A4 and </w:t>
      </w:r>
      <w:proofErr w:type="spellStart"/>
      <w:r w:rsidRPr="003353BC">
        <w:rPr>
          <w:lang w:val="en-GB"/>
        </w:rPr>
        <w:t>PgP</w:t>
      </w:r>
      <w:proofErr w:type="spellEnd"/>
      <w:r w:rsidRPr="003353BC">
        <w:rPr>
          <w:lang w:val="en-GB"/>
        </w:rPr>
        <w:t xml:space="preserve"> that may increase </w:t>
      </w:r>
      <w:proofErr w:type="spellStart"/>
      <w:r w:rsidRPr="003353BC">
        <w:rPr>
          <w:lang w:val="en-GB"/>
        </w:rPr>
        <w:t>everolimus</w:t>
      </w:r>
      <w:proofErr w:type="spellEnd"/>
      <w:r w:rsidRPr="003353BC">
        <w:rPr>
          <w:lang w:val="en-GB"/>
        </w:rPr>
        <w:t xml:space="preserve"> blood concentrations include certain antifungal agents (e.g. fluconazole) and calcium channel blockers (e.g. diltiazem).</w:t>
      </w:r>
    </w:p>
    <w:p w14:paraId="34D89FAD" w14:textId="77777777" w:rsidR="00557C61" w:rsidRDefault="00557C61" w:rsidP="00557C61">
      <w:pPr>
        <w:rPr>
          <w:lang w:val="en-GB"/>
        </w:rPr>
      </w:pPr>
      <w:r w:rsidRPr="002A1CBE">
        <w:rPr>
          <w:lang w:val="en-GB"/>
        </w:rPr>
        <w:t xml:space="preserve">Grapefruit, grapefruit juice, star fruit, Seville oranges and other foods that are known to affect cytochrome P450 and </w:t>
      </w:r>
      <w:proofErr w:type="spellStart"/>
      <w:r w:rsidRPr="002A1CBE">
        <w:rPr>
          <w:lang w:val="en-GB"/>
        </w:rPr>
        <w:t>PgP</w:t>
      </w:r>
      <w:proofErr w:type="spellEnd"/>
      <w:r w:rsidRPr="002A1CBE">
        <w:rPr>
          <w:lang w:val="en-GB"/>
        </w:rPr>
        <w:t xml:space="preserve"> activity should be avoided during treatment.</w:t>
      </w:r>
    </w:p>
    <w:p w14:paraId="6290128C" w14:textId="77777777" w:rsidR="00C874A3" w:rsidRPr="002A1CBE" w:rsidRDefault="00C874A3" w:rsidP="00C874A3">
      <w:pPr>
        <w:spacing w:after="0"/>
        <w:rPr>
          <w:lang w:val="en-GB"/>
        </w:rPr>
      </w:pPr>
    </w:p>
    <w:p w14:paraId="46F64CA7" w14:textId="77777777" w:rsidR="00557C61" w:rsidRPr="002A1CBE" w:rsidRDefault="00557C61" w:rsidP="00557C61">
      <w:pPr>
        <w:rPr>
          <w:i/>
          <w:lang w:val="en-GB"/>
        </w:rPr>
      </w:pPr>
      <w:r w:rsidRPr="002A1CBE">
        <w:rPr>
          <w:i/>
          <w:lang w:val="en-GB"/>
        </w:rPr>
        <w:t xml:space="preserve">Strong CYP3A4 or </w:t>
      </w:r>
      <w:proofErr w:type="spellStart"/>
      <w:r w:rsidRPr="002A1CBE">
        <w:rPr>
          <w:i/>
          <w:lang w:val="en-GB"/>
        </w:rPr>
        <w:t>PgP</w:t>
      </w:r>
      <w:proofErr w:type="spellEnd"/>
      <w:r w:rsidRPr="002A1CBE">
        <w:rPr>
          <w:i/>
          <w:lang w:val="en-GB"/>
        </w:rPr>
        <w:t xml:space="preserve"> inhibitors</w:t>
      </w:r>
    </w:p>
    <w:p w14:paraId="71E771B7" w14:textId="77777777" w:rsidR="00557C61" w:rsidRPr="002A1CBE" w:rsidRDefault="00557C61" w:rsidP="00557C61">
      <w:pPr>
        <w:rPr>
          <w:lang w:val="en-GB"/>
        </w:rPr>
      </w:pPr>
      <w:r w:rsidRPr="002A1CBE">
        <w:rPr>
          <w:lang w:val="en-GB"/>
        </w:rPr>
        <w:t xml:space="preserve">Concurrent treatment with strong inhibitors of CYP3A4 or </w:t>
      </w:r>
      <w:proofErr w:type="spellStart"/>
      <w:r w:rsidRPr="002A1CBE">
        <w:rPr>
          <w:lang w:val="en-GB"/>
        </w:rPr>
        <w:t>PgP</w:t>
      </w:r>
      <w:proofErr w:type="spellEnd"/>
      <w:r w:rsidRPr="002A1CBE">
        <w:rPr>
          <w:lang w:val="en-GB"/>
        </w:rPr>
        <w:t xml:space="preserve"> (including but not limited to ketoconazole, </w:t>
      </w:r>
      <w:proofErr w:type="spellStart"/>
      <w:r w:rsidRPr="002A1CBE">
        <w:rPr>
          <w:lang w:val="en-GB"/>
        </w:rPr>
        <w:t>itraconazole</w:t>
      </w:r>
      <w:proofErr w:type="spellEnd"/>
      <w:r w:rsidRPr="002A1CBE">
        <w:rPr>
          <w:lang w:val="en-GB"/>
        </w:rPr>
        <w:t>, ritonavir and clarithromycin) should be avoided.</w:t>
      </w:r>
    </w:p>
    <w:p w14:paraId="57026B85" w14:textId="77777777" w:rsidR="00557C61" w:rsidRPr="002A1CBE" w:rsidRDefault="00557C61" w:rsidP="00557C61">
      <w:pPr>
        <w:rPr>
          <w:lang w:val="en-GB"/>
        </w:rPr>
      </w:pPr>
      <w:r w:rsidRPr="002A1CBE">
        <w:rPr>
          <w:lang w:val="en-GB"/>
        </w:rPr>
        <w:t xml:space="preserve">There was a significant increase in exposure to </w:t>
      </w:r>
      <w:proofErr w:type="spellStart"/>
      <w:r w:rsidRPr="002A1CBE">
        <w:rPr>
          <w:lang w:val="en-GB"/>
        </w:rPr>
        <w:t>everolimus</w:t>
      </w:r>
      <w:proofErr w:type="spellEnd"/>
      <w:r w:rsidRPr="002A1CBE">
        <w:rPr>
          <w:lang w:val="en-GB"/>
        </w:rPr>
        <w:t xml:space="preserve"> (</w:t>
      </w:r>
      <w:proofErr w:type="spellStart"/>
      <w:r w:rsidRPr="002A1CBE">
        <w:rPr>
          <w:lang w:val="en-GB"/>
        </w:rPr>
        <w:t>Cmax</w:t>
      </w:r>
      <w:proofErr w:type="spellEnd"/>
      <w:r w:rsidRPr="002A1CBE">
        <w:rPr>
          <w:lang w:val="en-GB"/>
        </w:rPr>
        <w:t xml:space="preserve"> and AUC increased by 3.9- and 15.0-fold, respectively) in healthy subjects when </w:t>
      </w:r>
      <w:proofErr w:type="spellStart"/>
      <w:r w:rsidRPr="002A1CBE">
        <w:rPr>
          <w:lang w:val="en-GB"/>
        </w:rPr>
        <w:t>everolimus</w:t>
      </w:r>
      <w:proofErr w:type="spellEnd"/>
      <w:r w:rsidRPr="002A1CBE">
        <w:rPr>
          <w:lang w:val="en-GB"/>
        </w:rPr>
        <w:t xml:space="preserve"> was co-administered with ketoconazole (a strong CYP3A4 inhibitor and </w:t>
      </w:r>
      <w:proofErr w:type="spellStart"/>
      <w:r w:rsidRPr="002A1CBE">
        <w:rPr>
          <w:lang w:val="en-GB"/>
        </w:rPr>
        <w:t>PgP</w:t>
      </w:r>
      <w:proofErr w:type="spellEnd"/>
      <w:r w:rsidRPr="002A1CBE">
        <w:rPr>
          <w:lang w:val="en-GB"/>
        </w:rPr>
        <w:t xml:space="preserve"> inhibitor). An interaction with topically administered ketoconazole cannot be excluded.</w:t>
      </w:r>
    </w:p>
    <w:p w14:paraId="12E3B8D7" w14:textId="77777777" w:rsidR="00557C61" w:rsidRPr="002A1CBE" w:rsidRDefault="00557C61" w:rsidP="00557C61">
      <w:pPr>
        <w:tabs>
          <w:tab w:val="left" w:pos="567"/>
        </w:tabs>
        <w:rPr>
          <w:sz w:val="24"/>
          <w:lang w:val="en-GB"/>
        </w:rPr>
      </w:pPr>
    </w:p>
    <w:p w14:paraId="4536DCAF" w14:textId="77777777" w:rsidR="00557C61" w:rsidRPr="002A1CBE" w:rsidRDefault="00557C61" w:rsidP="00557C61">
      <w:pPr>
        <w:pStyle w:val="Heading3"/>
        <w:tabs>
          <w:tab w:val="left" w:pos="567"/>
        </w:tabs>
        <w:spacing w:before="0" w:after="240"/>
        <w:ind w:left="0"/>
        <w:rPr>
          <w:rFonts w:ascii="Times New Roman" w:hAnsi="Times New Roman"/>
          <w:lang w:val="en-GB"/>
        </w:rPr>
      </w:pPr>
      <w:r w:rsidRPr="002A1CBE">
        <w:rPr>
          <w:rFonts w:ascii="Times New Roman" w:hAnsi="Times New Roman"/>
          <w:lang w:val="en-GB"/>
        </w:rPr>
        <w:t xml:space="preserve">Agents that may decrease </w:t>
      </w:r>
      <w:proofErr w:type="spellStart"/>
      <w:r w:rsidRPr="002A1CBE">
        <w:rPr>
          <w:rFonts w:ascii="Times New Roman" w:hAnsi="Times New Roman"/>
          <w:lang w:val="en-GB"/>
        </w:rPr>
        <w:t>everolimus</w:t>
      </w:r>
      <w:proofErr w:type="spellEnd"/>
      <w:r w:rsidRPr="002A1CBE">
        <w:rPr>
          <w:rFonts w:ascii="Times New Roman" w:hAnsi="Times New Roman"/>
          <w:lang w:val="en-GB"/>
        </w:rPr>
        <w:t xml:space="preserve"> blood concentrations</w:t>
      </w:r>
    </w:p>
    <w:p w14:paraId="64BCF17A" w14:textId="77777777" w:rsidR="00557C61" w:rsidRPr="002A1CBE" w:rsidRDefault="00557C61" w:rsidP="00557C61">
      <w:pPr>
        <w:rPr>
          <w:lang w:val="en-GB"/>
        </w:rPr>
      </w:pPr>
      <w:r w:rsidRPr="002A1CBE">
        <w:rPr>
          <w:lang w:val="en-GB"/>
        </w:rPr>
        <w:t xml:space="preserve">Substances that are inducers of CYP3A4 or </w:t>
      </w:r>
      <w:proofErr w:type="spellStart"/>
      <w:r w:rsidRPr="002A1CBE">
        <w:rPr>
          <w:lang w:val="en-GB"/>
        </w:rPr>
        <w:t>PgP</w:t>
      </w:r>
      <w:proofErr w:type="spellEnd"/>
      <w:r w:rsidRPr="002A1CBE">
        <w:rPr>
          <w:lang w:val="en-GB"/>
        </w:rPr>
        <w:t xml:space="preserve"> may decrease </w:t>
      </w:r>
      <w:proofErr w:type="spellStart"/>
      <w:r w:rsidRPr="002A1CBE">
        <w:rPr>
          <w:lang w:val="en-GB"/>
        </w:rPr>
        <w:t>everolimus</w:t>
      </w:r>
      <w:proofErr w:type="spellEnd"/>
      <w:r w:rsidRPr="002A1CBE">
        <w:rPr>
          <w:lang w:val="en-GB"/>
        </w:rPr>
        <w:t xml:space="preserve"> blood concentrations by increasing metabolism or the efflux of </w:t>
      </w:r>
      <w:proofErr w:type="spellStart"/>
      <w:r w:rsidRPr="002A1CBE">
        <w:rPr>
          <w:lang w:val="en-GB"/>
        </w:rPr>
        <w:t>everolimus</w:t>
      </w:r>
      <w:proofErr w:type="spellEnd"/>
      <w:r w:rsidRPr="002A1CBE">
        <w:rPr>
          <w:lang w:val="en-GB"/>
        </w:rPr>
        <w:t xml:space="preserve"> from intestinal cells. </w:t>
      </w:r>
    </w:p>
    <w:p w14:paraId="3F88AF3C" w14:textId="77777777" w:rsidR="00557C61" w:rsidRPr="002A1CBE" w:rsidRDefault="00557C61" w:rsidP="00557C61">
      <w:pPr>
        <w:rPr>
          <w:i/>
          <w:lang w:val="en-GB"/>
        </w:rPr>
      </w:pPr>
      <w:r w:rsidRPr="002A1CBE">
        <w:rPr>
          <w:i/>
          <w:lang w:val="en-GB"/>
        </w:rPr>
        <w:t>Strong CYP3A4 inducers</w:t>
      </w:r>
    </w:p>
    <w:p w14:paraId="79B7696F" w14:textId="5CEDCB58" w:rsidR="00557C61" w:rsidRPr="002A1CBE" w:rsidRDefault="00557C61" w:rsidP="00557C61">
      <w:pPr>
        <w:rPr>
          <w:lang w:val="en-GB"/>
        </w:rPr>
      </w:pPr>
      <w:r w:rsidRPr="002A1CBE">
        <w:rPr>
          <w:lang w:val="en-GB"/>
        </w:rPr>
        <w:t xml:space="preserve">Concurrent treatment with strong inducers of CYP3A4 or </w:t>
      </w:r>
      <w:proofErr w:type="spellStart"/>
      <w:r w:rsidRPr="002A1CBE">
        <w:rPr>
          <w:lang w:val="en-GB"/>
        </w:rPr>
        <w:t>PgP</w:t>
      </w:r>
      <w:proofErr w:type="spellEnd"/>
      <w:r w:rsidRPr="002A1CBE">
        <w:rPr>
          <w:lang w:val="en-GB"/>
        </w:rPr>
        <w:t xml:space="preserve"> should be avoided (see</w:t>
      </w:r>
      <w:r>
        <w:rPr>
          <w:lang w:val="en-GB"/>
        </w:rPr>
        <w:t xml:space="preserve"> section 4.5</w:t>
      </w:r>
      <w:r w:rsidRPr="002A1CBE">
        <w:rPr>
          <w:lang w:val="en-GB"/>
        </w:rPr>
        <w:t xml:space="preserve"> </w:t>
      </w:r>
      <w:r>
        <w:rPr>
          <w:lang w:val="en-GB"/>
        </w:rPr>
        <w:t>‘Interactions with other m</w:t>
      </w:r>
      <w:r w:rsidRPr="002A1CBE">
        <w:rPr>
          <w:lang w:val="en-GB"/>
        </w:rPr>
        <w:t>edicines</w:t>
      </w:r>
      <w:r>
        <w:rPr>
          <w:lang w:val="en-GB"/>
        </w:rPr>
        <w:t>’</w:t>
      </w:r>
      <w:r w:rsidRPr="002A1CBE">
        <w:rPr>
          <w:lang w:val="en-GB"/>
        </w:rPr>
        <w:t xml:space="preserve">). If </w:t>
      </w:r>
      <w:proofErr w:type="spellStart"/>
      <w:r w:rsidRPr="002A1CBE">
        <w:rPr>
          <w:lang w:val="en-GB"/>
        </w:rPr>
        <w:t>Afinitor</w:t>
      </w:r>
      <w:proofErr w:type="spellEnd"/>
      <w:r w:rsidRPr="002A1CBE">
        <w:rPr>
          <w:lang w:val="en-GB"/>
        </w:rPr>
        <w:t xml:space="preserve"> must be co-administered with a strong CYP3A4 or </w:t>
      </w:r>
      <w:proofErr w:type="spellStart"/>
      <w:r w:rsidRPr="002A1CBE">
        <w:rPr>
          <w:lang w:val="en-GB"/>
        </w:rPr>
        <w:t>PgP</w:t>
      </w:r>
      <w:proofErr w:type="spellEnd"/>
      <w:r w:rsidRPr="002A1CBE">
        <w:rPr>
          <w:lang w:val="en-GB"/>
        </w:rPr>
        <w:t xml:space="preserve"> inducer (</w:t>
      </w:r>
      <w:proofErr w:type="spellStart"/>
      <w:r w:rsidRPr="002A1CBE">
        <w:rPr>
          <w:lang w:val="en-GB"/>
        </w:rPr>
        <w:t>eg</w:t>
      </w:r>
      <w:proofErr w:type="spellEnd"/>
      <w:r w:rsidRPr="002A1CBE">
        <w:rPr>
          <w:lang w:val="en-GB"/>
        </w:rPr>
        <w:t xml:space="preserve"> rifampicin and </w:t>
      </w:r>
      <w:proofErr w:type="spellStart"/>
      <w:r w:rsidRPr="002A1CBE">
        <w:rPr>
          <w:lang w:val="en-GB"/>
        </w:rPr>
        <w:t>rifabutin</w:t>
      </w:r>
      <w:proofErr w:type="spellEnd"/>
      <w:r w:rsidRPr="002A1CBE">
        <w:rPr>
          <w:lang w:val="en-GB"/>
        </w:rPr>
        <w:t xml:space="preserve">), the patient should be carefully monitored for clinical response. Consider a dose increase of </w:t>
      </w:r>
      <w:proofErr w:type="spellStart"/>
      <w:r w:rsidRPr="002A1CBE">
        <w:rPr>
          <w:lang w:val="en-GB"/>
        </w:rPr>
        <w:t>Afinitor</w:t>
      </w:r>
      <w:proofErr w:type="spellEnd"/>
      <w:r w:rsidRPr="002A1CBE">
        <w:rPr>
          <w:lang w:val="en-GB"/>
        </w:rPr>
        <w:t xml:space="preserve"> when co-administered with strong inducers of CYP3A4 or </w:t>
      </w:r>
      <w:proofErr w:type="spellStart"/>
      <w:r w:rsidRPr="002A1CBE">
        <w:rPr>
          <w:lang w:val="en-GB"/>
        </w:rPr>
        <w:t>PgP</w:t>
      </w:r>
      <w:proofErr w:type="spellEnd"/>
      <w:r w:rsidRPr="002A1CBE">
        <w:rPr>
          <w:lang w:val="en-GB"/>
        </w:rPr>
        <w:t xml:space="preserve"> if alternative treatment is not possible (see</w:t>
      </w:r>
      <w:r>
        <w:rPr>
          <w:lang w:val="en-GB"/>
        </w:rPr>
        <w:t xml:space="preserve"> section 4.2</w:t>
      </w:r>
      <w:r w:rsidRPr="002A1CBE">
        <w:rPr>
          <w:lang w:val="en-GB"/>
        </w:rPr>
        <w:t xml:space="preserve"> </w:t>
      </w:r>
      <w:r>
        <w:rPr>
          <w:lang w:val="en-GB"/>
        </w:rPr>
        <w:t>‘Dos</w:t>
      </w:r>
      <w:r w:rsidRPr="002A1CBE">
        <w:rPr>
          <w:lang w:val="en-GB"/>
        </w:rPr>
        <w:t xml:space="preserve">e and </w:t>
      </w:r>
      <w:r>
        <w:rPr>
          <w:lang w:val="en-GB"/>
        </w:rPr>
        <w:t>method of a</w:t>
      </w:r>
      <w:r w:rsidRPr="002A1CBE">
        <w:rPr>
          <w:lang w:val="en-GB"/>
        </w:rPr>
        <w:t>dministration</w:t>
      </w:r>
      <w:r>
        <w:rPr>
          <w:lang w:val="en-GB"/>
        </w:rPr>
        <w:t>’</w:t>
      </w:r>
      <w:r w:rsidRPr="002A1CBE">
        <w:rPr>
          <w:lang w:val="en-GB"/>
        </w:rPr>
        <w:t>).</w:t>
      </w:r>
    </w:p>
    <w:p w14:paraId="0C54C2F6" w14:textId="77777777" w:rsidR="00557C61" w:rsidRPr="002A1CBE" w:rsidRDefault="00557C61" w:rsidP="00557C61">
      <w:pPr>
        <w:rPr>
          <w:lang w:val="en-GB"/>
        </w:rPr>
      </w:pPr>
      <w:r w:rsidRPr="002A1CBE">
        <w:rPr>
          <w:lang w:val="en-GB"/>
        </w:rPr>
        <w:t xml:space="preserve">Exercise caution when </w:t>
      </w:r>
      <w:proofErr w:type="spellStart"/>
      <w:r w:rsidRPr="002A1CBE">
        <w:rPr>
          <w:lang w:val="en-GB"/>
        </w:rPr>
        <w:t>Afinitor</w:t>
      </w:r>
      <w:proofErr w:type="spellEnd"/>
      <w:r w:rsidRPr="002A1CBE">
        <w:rPr>
          <w:lang w:val="en-GB"/>
        </w:rPr>
        <w:t xml:space="preserve"> is taken in combination with orally administered CYP3A4 substrates with a narrow therapeutic index due to the potential for drug interactions. If </w:t>
      </w:r>
      <w:proofErr w:type="spellStart"/>
      <w:r w:rsidRPr="002A1CBE">
        <w:rPr>
          <w:lang w:val="en-GB"/>
        </w:rPr>
        <w:t>Afinitor</w:t>
      </w:r>
      <w:proofErr w:type="spellEnd"/>
      <w:r w:rsidRPr="002A1CBE">
        <w:rPr>
          <w:lang w:val="en-GB"/>
        </w:rPr>
        <w:t xml:space="preserve"> is taken with orally administered CYP3A4 substrates with a narrow therapeutic index, the patient should be monitored for undesirable effects described in the product information of the orally administered CYP3A4 substrate.</w:t>
      </w:r>
    </w:p>
    <w:p w14:paraId="2AC7FFC1" w14:textId="77777777" w:rsidR="00557C61" w:rsidRPr="002A1CBE" w:rsidRDefault="00557C61" w:rsidP="00557C61">
      <w:pPr>
        <w:rPr>
          <w:lang w:val="en-GB"/>
        </w:rPr>
      </w:pPr>
      <w:r w:rsidRPr="002A1CBE">
        <w:rPr>
          <w:lang w:val="en-GB"/>
        </w:rPr>
        <w:t xml:space="preserve">Pre-treatment of healthy subjects with multiple doses of rifampicin (a CYP3A4 and </w:t>
      </w:r>
      <w:proofErr w:type="spellStart"/>
      <w:r w:rsidRPr="002A1CBE">
        <w:rPr>
          <w:lang w:val="en-GB"/>
        </w:rPr>
        <w:t>PgP</w:t>
      </w:r>
      <w:proofErr w:type="spellEnd"/>
      <w:r w:rsidRPr="002A1CBE">
        <w:rPr>
          <w:lang w:val="en-GB"/>
        </w:rPr>
        <w:t xml:space="preserve"> inducer) 600 mg daily for 8 days followed by a single dose of </w:t>
      </w:r>
      <w:proofErr w:type="spellStart"/>
      <w:r w:rsidRPr="002A1CBE">
        <w:rPr>
          <w:lang w:val="en-GB"/>
        </w:rPr>
        <w:t>everolimus</w:t>
      </w:r>
      <w:proofErr w:type="spellEnd"/>
      <w:r w:rsidRPr="002A1CBE">
        <w:rPr>
          <w:lang w:val="en-GB"/>
        </w:rPr>
        <w:t xml:space="preserve">, increased </w:t>
      </w:r>
      <w:proofErr w:type="spellStart"/>
      <w:r w:rsidRPr="002A1CBE">
        <w:rPr>
          <w:lang w:val="en-GB"/>
        </w:rPr>
        <w:t>everolimus</w:t>
      </w:r>
      <w:proofErr w:type="spellEnd"/>
      <w:r w:rsidRPr="002A1CBE">
        <w:rPr>
          <w:lang w:val="en-GB"/>
        </w:rPr>
        <w:t xml:space="preserve"> oral-dose clearance nearly 3-fold and decreased </w:t>
      </w:r>
      <w:proofErr w:type="spellStart"/>
      <w:r w:rsidRPr="002A1CBE">
        <w:rPr>
          <w:lang w:val="en-GB"/>
        </w:rPr>
        <w:t>Cmax</w:t>
      </w:r>
      <w:proofErr w:type="spellEnd"/>
      <w:r w:rsidRPr="002A1CBE">
        <w:rPr>
          <w:lang w:val="en-GB"/>
        </w:rPr>
        <w:t xml:space="preserve"> by 58% and AUC by 63%.</w:t>
      </w:r>
    </w:p>
    <w:p w14:paraId="55AB6548" w14:textId="77777777" w:rsidR="00557C61" w:rsidRPr="002A1CBE" w:rsidRDefault="00557C61" w:rsidP="00557C61">
      <w:pPr>
        <w:rPr>
          <w:lang w:val="en-GB"/>
        </w:rPr>
      </w:pPr>
      <w:r w:rsidRPr="002A1CBE">
        <w:rPr>
          <w:lang w:val="en-GB"/>
        </w:rPr>
        <w:t xml:space="preserve">Other strong inducers of CYP3A4 that may increase the metabolism of </w:t>
      </w:r>
      <w:proofErr w:type="spellStart"/>
      <w:r w:rsidRPr="002A1CBE">
        <w:rPr>
          <w:lang w:val="en-GB"/>
        </w:rPr>
        <w:t>everolimus</w:t>
      </w:r>
      <w:proofErr w:type="spellEnd"/>
      <w:r w:rsidRPr="002A1CBE">
        <w:rPr>
          <w:lang w:val="en-GB"/>
        </w:rPr>
        <w:t xml:space="preserve"> and decrease </w:t>
      </w:r>
      <w:proofErr w:type="spellStart"/>
      <w:r w:rsidRPr="002A1CBE">
        <w:rPr>
          <w:lang w:val="en-GB"/>
        </w:rPr>
        <w:t>everolimus</w:t>
      </w:r>
      <w:proofErr w:type="spellEnd"/>
      <w:r w:rsidRPr="002A1CBE">
        <w:rPr>
          <w:lang w:val="en-GB"/>
        </w:rPr>
        <w:t xml:space="preserve"> blood levels include St. John’s wort (</w:t>
      </w:r>
      <w:proofErr w:type="spellStart"/>
      <w:r w:rsidRPr="002A1CBE">
        <w:rPr>
          <w:lang w:val="en-GB"/>
        </w:rPr>
        <w:t>Hypericum</w:t>
      </w:r>
      <w:proofErr w:type="spellEnd"/>
      <w:r w:rsidRPr="002A1CBE">
        <w:rPr>
          <w:lang w:val="en-GB"/>
        </w:rPr>
        <w:t xml:space="preserve"> </w:t>
      </w:r>
      <w:proofErr w:type="spellStart"/>
      <w:r w:rsidRPr="002A1CBE">
        <w:rPr>
          <w:lang w:val="en-GB"/>
        </w:rPr>
        <w:t>perforatum</w:t>
      </w:r>
      <w:proofErr w:type="spellEnd"/>
      <w:r w:rsidRPr="002A1CBE">
        <w:rPr>
          <w:lang w:val="en-GB"/>
        </w:rPr>
        <w:t xml:space="preserve">), corticosteroids (e.g. </w:t>
      </w:r>
      <w:r w:rsidRPr="002A1CBE">
        <w:rPr>
          <w:lang w:val="en-GB"/>
        </w:rPr>
        <w:lastRenderedPageBreak/>
        <w:t xml:space="preserve">dexamethasone, prednisone, prednisolone), anticonvulsants (e.g. carbamazepine, phenobarbital, phenytoin,) and anti HIV agents (e.g. </w:t>
      </w:r>
      <w:proofErr w:type="spellStart"/>
      <w:r w:rsidRPr="002A1CBE">
        <w:rPr>
          <w:lang w:val="en-GB"/>
        </w:rPr>
        <w:t>efavirenz</w:t>
      </w:r>
      <w:proofErr w:type="spellEnd"/>
      <w:r w:rsidRPr="002A1CBE">
        <w:rPr>
          <w:lang w:val="en-GB"/>
        </w:rPr>
        <w:t xml:space="preserve">, </w:t>
      </w:r>
      <w:proofErr w:type="spellStart"/>
      <w:r w:rsidRPr="002A1CBE">
        <w:rPr>
          <w:lang w:val="en-GB"/>
        </w:rPr>
        <w:t>nevirapine</w:t>
      </w:r>
      <w:proofErr w:type="spellEnd"/>
      <w:r w:rsidRPr="002A1CBE">
        <w:rPr>
          <w:lang w:val="en-GB"/>
        </w:rPr>
        <w:t>).</w:t>
      </w:r>
    </w:p>
    <w:p w14:paraId="2B5950A7" w14:textId="77777777" w:rsidR="00557C61" w:rsidRPr="002A1CBE" w:rsidRDefault="00557C61" w:rsidP="00557C61">
      <w:pPr>
        <w:tabs>
          <w:tab w:val="left" w:pos="567"/>
        </w:tabs>
        <w:rPr>
          <w:sz w:val="24"/>
          <w:lang w:val="en-GB"/>
        </w:rPr>
      </w:pPr>
    </w:p>
    <w:p w14:paraId="1C77D3D0" w14:textId="77777777" w:rsidR="00557C61" w:rsidRPr="002A1CBE" w:rsidRDefault="00557C61" w:rsidP="00557C61">
      <w:pPr>
        <w:pStyle w:val="Heading3"/>
        <w:tabs>
          <w:tab w:val="left" w:pos="567"/>
        </w:tabs>
        <w:spacing w:before="0" w:after="240"/>
        <w:ind w:left="0"/>
        <w:rPr>
          <w:rFonts w:ascii="Times New Roman" w:hAnsi="Times New Roman"/>
          <w:lang w:val="en-GB"/>
        </w:rPr>
      </w:pPr>
      <w:r w:rsidRPr="002A1CBE">
        <w:rPr>
          <w:rFonts w:ascii="Times New Roman" w:hAnsi="Times New Roman"/>
          <w:lang w:val="en-GB"/>
        </w:rPr>
        <w:t xml:space="preserve">Agents whose plasma concentration may be altered by </w:t>
      </w:r>
      <w:proofErr w:type="spellStart"/>
      <w:r w:rsidRPr="002A1CBE">
        <w:rPr>
          <w:rFonts w:ascii="Times New Roman" w:hAnsi="Times New Roman"/>
          <w:lang w:val="en-GB"/>
        </w:rPr>
        <w:t>everolimus</w:t>
      </w:r>
      <w:proofErr w:type="spellEnd"/>
    </w:p>
    <w:p w14:paraId="3C058E6E" w14:textId="77777777" w:rsidR="00557C61" w:rsidRPr="002A1CBE" w:rsidRDefault="00557C61" w:rsidP="00557C61">
      <w:pPr>
        <w:rPr>
          <w:lang w:val="en-GB"/>
        </w:rPr>
      </w:pPr>
      <w:r w:rsidRPr="002A1CBE">
        <w:rPr>
          <w:lang w:val="en-GB"/>
        </w:rPr>
        <w:t xml:space="preserve">Studies in healthy subjects indicate that there are no clinically significant pharmacokinetic interactions between </w:t>
      </w:r>
      <w:proofErr w:type="spellStart"/>
      <w:r w:rsidRPr="002A1CBE">
        <w:rPr>
          <w:lang w:val="en-GB"/>
        </w:rPr>
        <w:t>Afinitor</w:t>
      </w:r>
      <w:proofErr w:type="spellEnd"/>
      <w:r w:rsidRPr="002A1CBE">
        <w:rPr>
          <w:lang w:val="en-GB"/>
        </w:rPr>
        <w:t xml:space="preserve"> and the HMG-CoA reductase inhibitors atorvastatin (a CYP3A4 substrate) and pravastatin (a non-CYP3A4 substrate) and population pharmacokinetic analyses also detected no influence of simvastatin (a CYP3A4 substrate) on the clearance of </w:t>
      </w:r>
      <w:proofErr w:type="spellStart"/>
      <w:r w:rsidRPr="002A1CBE">
        <w:rPr>
          <w:lang w:val="en-GB"/>
        </w:rPr>
        <w:t>Afinitor</w:t>
      </w:r>
      <w:proofErr w:type="spellEnd"/>
      <w:r w:rsidRPr="002A1CBE">
        <w:rPr>
          <w:lang w:val="en-GB"/>
        </w:rPr>
        <w:t>.</w:t>
      </w:r>
    </w:p>
    <w:p w14:paraId="3C35F0D2" w14:textId="77777777" w:rsidR="00557C61" w:rsidRPr="002A1CBE" w:rsidRDefault="00557C61" w:rsidP="00557C61">
      <w:pPr>
        <w:rPr>
          <w:lang w:val="en-GB"/>
        </w:rPr>
      </w:pPr>
      <w:r w:rsidRPr="002A1CBE">
        <w:rPr>
          <w:lang w:val="en-GB"/>
        </w:rPr>
        <w:t xml:space="preserve">In vitro, </w:t>
      </w:r>
      <w:proofErr w:type="spellStart"/>
      <w:r w:rsidRPr="002A1CBE">
        <w:rPr>
          <w:lang w:val="en-GB"/>
        </w:rPr>
        <w:t>everolimus</w:t>
      </w:r>
      <w:proofErr w:type="spellEnd"/>
      <w:r w:rsidRPr="002A1CBE">
        <w:rPr>
          <w:lang w:val="en-GB"/>
        </w:rPr>
        <w:t xml:space="preserve"> competitively inhibited the metabolism of the CYP3A4 substrate </w:t>
      </w:r>
      <w:proofErr w:type="spellStart"/>
      <w:r w:rsidRPr="002A1CBE">
        <w:rPr>
          <w:lang w:val="en-GB"/>
        </w:rPr>
        <w:t>cyclosporin</w:t>
      </w:r>
      <w:proofErr w:type="spellEnd"/>
      <w:r w:rsidRPr="002A1CBE">
        <w:rPr>
          <w:lang w:val="en-GB"/>
        </w:rPr>
        <w:t xml:space="preserve"> and was a mixed inhibitor of the CYP2D6 substrate dextromethorphan. The mean steady-state of </w:t>
      </w:r>
      <w:proofErr w:type="spellStart"/>
      <w:r w:rsidRPr="002A1CBE">
        <w:rPr>
          <w:lang w:val="en-GB"/>
        </w:rPr>
        <w:t>everolimus</w:t>
      </w:r>
      <w:proofErr w:type="spellEnd"/>
      <w:r w:rsidRPr="002A1CBE">
        <w:rPr>
          <w:lang w:val="en-GB"/>
        </w:rPr>
        <w:t xml:space="preserve"> </w:t>
      </w:r>
      <w:proofErr w:type="spellStart"/>
      <w:r w:rsidRPr="002A1CBE">
        <w:rPr>
          <w:lang w:val="en-GB"/>
        </w:rPr>
        <w:t>Cmax</w:t>
      </w:r>
      <w:proofErr w:type="spellEnd"/>
      <w:r w:rsidRPr="002A1CBE">
        <w:rPr>
          <w:lang w:val="en-GB"/>
        </w:rPr>
        <w:t xml:space="preserve"> with an oral dose of 10 mg daily or 70 mg weekly is more than 12- to 36-fold below the Ki-values of the in vitro inhibition. An effect of </w:t>
      </w:r>
      <w:proofErr w:type="spellStart"/>
      <w:r w:rsidRPr="002A1CBE">
        <w:rPr>
          <w:lang w:val="en-GB"/>
        </w:rPr>
        <w:t>everolimus</w:t>
      </w:r>
      <w:proofErr w:type="spellEnd"/>
      <w:r w:rsidRPr="002A1CBE">
        <w:rPr>
          <w:lang w:val="en-GB"/>
        </w:rPr>
        <w:t xml:space="preserve"> on the metabolism of CYP3A4 and CYP2D6 substrates was therefore considered to be unlikely.</w:t>
      </w:r>
    </w:p>
    <w:p w14:paraId="7C64807A" w14:textId="77777777" w:rsidR="00557C61" w:rsidRDefault="00557C61" w:rsidP="00557C61">
      <w:pPr>
        <w:rPr>
          <w:lang w:val="en-GB"/>
        </w:rPr>
      </w:pPr>
      <w:r w:rsidRPr="002A1CBE">
        <w:rPr>
          <w:lang w:val="en-GB"/>
        </w:rPr>
        <w:t xml:space="preserve">A study in healthy subjects demonstrated that co-administration of an oral dose of midazolam with </w:t>
      </w:r>
      <w:proofErr w:type="spellStart"/>
      <w:r w:rsidRPr="002A1CBE">
        <w:rPr>
          <w:lang w:val="en-GB"/>
        </w:rPr>
        <w:t>everolimus</w:t>
      </w:r>
      <w:proofErr w:type="spellEnd"/>
      <w:r w:rsidRPr="002A1CBE">
        <w:rPr>
          <w:lang w:val="en-GB"/>
        </w:rPr>
        <w:t xml:space="preserve"> resulted in a 25% increase in midazolam </w:t>
      </w:r>
      <w:proofErr w:type="spellStart"/>
      <w:r w:rsidRPr="002A1CBE">
        <w:rPr>
          <w:lang w:val="en-GB"/>
        </w:rPr>
        <w:t>C</w:t>
      </w:r>
      <w:r w:rsidRPr="002A1CBE">
        <w:rPr>
          <w:vertAlign w:val="subscript"/>
          <w:lang w:val="en-GB"/>
        </w:rPr>
        <w:t>max</w:t>
      </w:r>
      <w:proofErr w:type="spellEnd"/>
      <w:r w:rsidRPr="002A1CBE">
        <w:rPr>
          <w:lang w:val="en-GB"/>
        </w:rPr>
        <w:t xml:space="preserve"> and a 30% increase in midazolam AUC</w:t>
      </w:r>
      <w:r w:rsidRPr="002A1CBE">
        <w:rPr>
          <w:vertAlign w:val="subscript"/>
          <w:lang w:val="en-GB"/>
        </w:rPr>
        <w:t>(0-inf)</w:t>
      </w:r>
      <w:r w:rsidRPr="002A1CBE">
        <w:rPr>
          <w:lang w:val="en-GB"/>
        </w:rPr>
        <w:t>, whereas the metabolic AUC</w:t>
      </w:r>
      <w:r w:rsidRPr="002A1CBE">
        <w:rPr>
          <w:vertAlign w:val="subscript"/>
          <w:lang w:val="en-GB"/>
        </w:rPr>
        <w:t>(0-inf)</w:t>
      </w:r>
      <w:r w:rsidRPr="002A1CBE">
        <w:rPr>
          <w:lang w:val="en-GB"/>
        </w:rPr>
        <w:t xml:space="preserve"> ratio (1-hydroxy-midazolam/midazolam) and the terminal t</w:t>
      </w:r>
      <w:r w:rsidRPr="002A1CBE">
        <w:rPr>
          <w:vertAlign w:val="subscript"/>
          <w:lang w:val="en-GB"/>
        </w:rPr>
        <w:t xml:space="preserve">1/2 </w:t>
      </w:r>
      <w:r w:rsidRPr="002A1CBE">
        <w:rPr>
          <w:lang w:val="en-GB"/>
        </w:rPr>
        <w:t xml:space="preserve">of midazolam were not affected. This suggests that increased exposure to midazolam is due to effects of </w:t>
      </w:r>
      <w:proofErr w:type="spellStart"/>
      <w:r w:rsidRPr="002A1CBE">
        <w:rPr>
          <w:lang w:val="en-GB"/>
        </w:rPr>
        <w:t>everolimus</w:t>
      </w:r>
      <w:proofErr w:type="spellEnd"/>
      <w:r w:rsidRPr="002A1CBE">
        <w:rPr>
          <w:lang w:val="en-GB"/>
        </w:rPr>
        <w:t xml:space="preserve"> in the gastrointestinal system when both drugs are taken at the same time. Therefore, </w:t>
      </w:r>
      <w:proofErr w:type="spellStart"/>
      <w:r w:rsidRPr="002A1CBE">
        <w:rPr>
          <w:lang w:val="en-GB"/>
        </w:rPr>
        <w:t>everolimus</w:t>
      </w:r>
      <w:proofErr w:type="spellEnd"/>
      <w:r w:rsidRPr="002A1CBE">
        <w:rPr>
          <w:lang w:val="en-GB"/>
        </w:rPr>
        <w:t xml:space="preserve"> may affect the bioavailability of orally co-administered drugs which are CYP3A4 substrates. </w:t>
      </w:r>
      <w:proofErr w:type="spellStart"/>
      <w:r w:rsidRPr="002A1CBE">
        <w:rPr>
          <w:lang w:val="en-GB"/>
        </w:rPr>
        <w:t>Everolimus</w:t>
      </w:r>
      <w:proofErr w:type="spellEnd"/>
      <w:r w:rsidRPr="002A1CBE">
        <w:rPr>
          <w:lang w:val="en-GB"/>
        </w:rPr>
        <w:t xml:space="preserve"> is unlikely to affect the exposure of other CYP3A4 substrate drugs which are administered by non-oral routes such as intravenous, subcutaneous, and transdermal administrations. </w:t>
      </w:r>
    </w:p>
    <w:p w14:paraId="36A1C082" w14:textId="77777777" w:rsidR="00557C61" w:rsidRPr="005B411F" w:rsidRDefault="00557C61" w:rsidP="00557C61">
      <w:pPr>
        <w:rPr>
          <w:szCs w:val="24"/>
          <w:lang w:val="en-GB"/>
        </w:rPr>
      </w:pPr>
      <w:proofErr w:type="spellStart"/>
      <w:r w:rsidRPr="005B411F">
        <w:rPr>
          <w:szCs w:val="24"/>
          <w:lang w:val="en-GB" w:bidi="th-TH"/>
        </w:rPr>
        <w:t>Everolimus</w:t>
      </w:r>
      <w:proofErr w:type="spellEnd"/>
      <w:r w:rsidRPr="005B411F">
        <w:rPr>
          <w:szCs w:val="24"/>
          <w:lang w:val="en-GB" w:bidi="th-TH"/>
        </w:rPr>
        <w:t xml:space="preserve"> increased pre-dose concentrations of the antiepileptic drugs (AEDs)</w:t>
      </w:r>
      <w:r>
        <w:rPr>
          <w:szCs w:val="24"/>
          <w:lang w:val="en-GB" w:bidi="th-TH"/>
        </w:rPr>
        <w:t xml:space="preserve"> </w:t>
      </w:r>
      <w:r w:rsidRPr="005B411F">
        <w:rPr>
          <w:szCs w:val="24"/>
          <w:lang w:val="en-GB" w:bidi="th-TH"/>
        </w:rPr>
        <w:t xml:space="preserve">carbamazepine, </w:t>
      </w:r>
      <w:proofErr w:type="spellStart"/>
      <w:r w:rsidRPr="005B411F">
        <w:rPr>
          <w:szCs w:val="24"/>
          <w:lang w:val="en-GB" w:bidi="th-TH"/>
        </w:rPr>
        <w:t>clobazam</w:t>
      </w:r>
      <w:proofErr w:type="spellEnd"/>
      <w:r w:rsidRPr="005B411F">
        <w:rPr>
          <w:szCs w:val="24"/>
          <w:lang w:val="en-GB" w:bidi="th-TH"/>
        </w:rPr>
        <w:t xml:space="preserve">, and the </w:t>
      </w:r>
      <w:proofErr w:type="spellStart"/>
      <w:r w:rsidRPr="005B411F">
        <w:rPr>
          <w:szCs w:val="24"/>
          <w:lang w:val="en-GB" w:bidi="th-TH"/>
        </w:rPr>
        <w:t>clobazam</w:t>
      </w:r>
      <w:proofErr w:type="spellEnd"/>
      <w:r w:rsidRPr="005B411F">
        <w:rPr>
          <w:szCs w:val="24"/>
          <w:lang w:val="en-GB" w:bidi="th-TH"/>
        </w:rPr>
        <w:t xml:space="preserve"> metabolite N-</w:t>
      </w:r>
      <w:proofErr w:type="spellStart"/>
      <w:r w:rsidRPr="005B411F">
        <w:rPr>
          <w:szCs w:val="24"/>
          <w:lang w:val="en-GB" w:bidi="th-TH"/>
        </w:rPr>
        <w:t>desmethylclobazam</w:t>
      </w:r>
      <w:proofErr w:type="spellEnd"/>
      <w:r w:rsidRPr="005B411F">
        <w:rPr>
          <w:szCs w:val="24"/>
          <w:lang w:val="en-GB" w:bidi="th-TH"/>
        </w:rPr>
        <w:t xml:space="preserve"> by about 10%. </w:t>
      </w:r>
      <w:r w:rsidRPr="005B411F">
        <w:rPr>
          <w:szCs w:val="24"/>
        </w:rPr>
        <w:t xml:space="preserve">The increase in the pre-dose concentrations of these AEDs may not be clinically significant </w:t>
      </w:r>
      <w:r>
        <w:rPr>
          <w:szCs w:val="24"/>
        </w:rPr>
        <w:t>but</w:t>
      </w:r>
      <w:r w:rsidRPr="005B411F">
        <w:rPr>
          <w:szCs w:val="24"/>
        </w:rPr>
        <w:t xml:space="preserve"> dose adjustments for AEDs with a narrow therapeutic index, </w:t>
      </w:r>
      <w:proofErr w:type="spellStart"/>
      <w:r w:rsidRPr="005B411F">
        <w:rPr>
          <w:szCs w:val="24"/>
        </w:rPr>
        <w:t>e.g</w:t>
      </w:r>
      <w:proofErr w:type="spellEnd"/>
      <w:r w:rsidRPr="005B411F">
        <w:rPr>
          <w:szCs w:val="24"/>
        </w:rPr>
        <w:t xml:space="preserve"> carbamazepine, may be considered</w:t>
      </w:r>
      <w:r w:rsidRPr="005B411F">
        <w:rPr>
          <w:szCs w:val="24"/>
          <w:lang w:val="en-GB" w:bidi="th-TH"/>
        </w:rPr>
        <w:t xml:space="preserve">. </w:t>
      </w:r>
      <w:proofErr w:type="spellStart"/>
      <w:r w:rsidRPr="005B411F">
        <w:rPr>
          <w:szCs w:val="24"/>
          <w:lang w:val="en-GB" w:bidi="th-TH"/>
        </w:rPr>
        <w:t>Everolimus</w:t>
      </w:r>
      <w:proofErr w:type="spellEnd"/>
      <w:r w:rsidRPr="005B411F">
        <w:rPr>
          <w:szCs w:val="24"/>
          <w:lang w:val="en-GB" w:bidi="th-TH"/>
        </w:rPr>
        <w:t xml:space="preserve"> had no impact on pre-dose concentrations of AEDs that are substrates of CYP3A4 (clonazepam and </w:t>
      </w:r>
      <w:proofErr w:type="spellStart"/>
      <w:r w:rsidRPr="005B411F">
        <w:rPr>
          <w:szCs w:val="24"/>
          <w:lang w:val="en-GB" w:bidi="th-TH"/>
        </w:rPr>
        <w:t>zonisamide</w:t>
      </w:r>
      <w:proofErr w:type="spellEnd"/>
      <w:r w:rsidRPr="005B411F">
        <w:rPr>
          <w:szCs w:val="24"/>
          <w:lang w:val="en-GB" w:bidi="th-TH"/>
        </w:rPr>
        <w:t>).</w:t>
      </w:r>
      <w:r w:rsidRPr="005B411F">
        <w:rPr>
          <w:szCs w:val="24"/>
        </w:rPr>
        <w:t xml:space="preserve"> </w:t>
      </w:r>
      <w:proofErr w:type="spellStart"/>
      <w:r w:rsidRPr="005B411F">
        <w:rPr>
          <w:szCs w:val="24"/>
        </w:rPr>
        <w:t>Everolimus</w:t>
      </w:r>
      <w:proofErr w:type="spellEnd"/>
      <w:r w:rsidRPr="005B411F">
        <w:rPr>
          <w:szCs w:val="24"/>
        </w:rPr>
        <w:t xml:space="preserve"> had no impact on the pre-dose concentration of other AEDs, including v</w:t>
      </w:r>
      <w:proofErr w:type="spellStart"/>
      <w:r w:rsidRPr="005B411F">
        <w:rPr>
          <w:szCs w:val="24"/>
          <w:lang w:val="en-GB" w:bidi="th-TH"/>
        </w:rPr>
        <w:t>alproic</w:t>
      </w:r>
      <w:proofErr w:type="spellEnd"/>
      <w:r w:rsidRPr="005B411F">
        <w:rPr>
          <w:szCs w:val="24"/>
          <w:lang w:val="en-GB" w:bidi="th-TH"/>
        </w:rPr>
        <w:t xml:space="preserve"> acid, </w:t>
      </w:r>
      <w:proofErr w:type="spellStart"/>
      <w:r w:rsidRPr="005B411F">
        <w:rPr>
          <w:szCs w:val="24"/>
          <w:lang w:val="en-GB" w:bidi="th-TH"/>
        </w:rPr>
        <w:t>topiramate</w:t>
      </w:r>
      <w:proofErr w:type="spellEnd"/>
      <w:r w:rsidRPr="005B411F">
        <w:rPr>
          <w:szCs w:val="24"/>
          <w:lang w:val="en-GB" w:bidi="th-TH"/>
        </w:rPr>
        <w:t>,</w:t>
      </w:r>
      <w:r>
        <w:rPr>
          <w:szCs w:val="24"/>
          <w:lang w:val="en-GB" w:bidi="th-TH"/>
        </w:rPr>
        <w:t xml:space="preserve"> </w:t>
      </w:r>
      <w:r w:rsidRPr="005B411F">
        <w:rPr>
          <w:szCs w:val="24"/>
          <w:lang w:val="en-GB" w:bidi="th-TH"/>
        </w:rPr>
        <w:t>oxcarbazepine, phenobarbital</w:t>
      </w:r>
      <w:r>
        <w:rPr>
          <w:szCs w:val="24"/>
          <w:lang w:val="en-GB" w:bidi="th-TH"/>
        </w:rPr>
        <w:t xml:space="preserve"> and</w:t>
      </w:r>
      <w:r w:rsidRPr="005B411F">
        <w:rPr>
          <w:szCs w:val="24"/>
          <w:lang w:val="en-GB" w:bidi="th-TH"/>
        </w:rPr>
        <w:t xml:space="preserve"> phenytoin.</w:t>
      </w:r>
    </w:p>
    <w:p w14:paraId="7662FC30" w14:textId="77777777" w:rsidR="00557C61" w:rsidRPr="002A1CBE" w:rsidRDefault="00557C61" w:rsidP="00557C61">
      <w:pPr>
        <w:rPr>
          <w:lang w:val="en-GB"/>
        </w:rPr>
      </w:pPr>
      <w:r w:rsidRPr="002A1CBE">
        <w:rPr>
          <w:lang w:val="en-GB"/>
        </w:rPr>
        <w:t xml:space="preserve">Co-administration of </w:t>
      </w:r>
      <w:proofErr w:type="spellStart"/>
      <w:r w:rsidRPr="002A1CBE">
        <w:rPr>
          <w:lang w:val="en-GB"/>
        </w:rPr>
        <w:t>everolimus</w:t>
      </w:r>
      <w:proofErr w:type="spellEnd"/>
      <w:r w:rsidRPr="002A1CBE">
        <w:rPr>
          <w:lang w:val="en-GB"/>
        </w:rPr>
        <w:t xml:space="preserve"> and </w:t>
      </w:r>
      <w:proofErr w:type="spellStart"/>
      <w:r w:rsidRPr="002A1CBE">
        <w:rPr>
          <w:lang w:val="en-GB"/>
        </w:rPr>
        <w:t>exemestane</w:t>
      </w:r>
      <w:proofErr w:type="spellEnd"/>
      <w:r w:rsidRPr="002A1CBE">
        <w:rPr>
          <w:lang w:val="en-GB"/>
        </w:rPr>
        <w:t xml:space="preserve"> increased </w:t>
      </w:r>
      <w:proofErr w:type="spellStart"/>
      <w:r w:rsidRPr="002A1CBE">
        <w:rPr>
          <w:lang w:val="en-GB"/>
        </w:rPr>
        <w:t>exemestane</w:t>
      </w:r>
      <w:proofErr w:type="spellEnd"/>
      <w:r w:rsidRPr="002A1CBE">
        <w:rPr>
          <w:lang w:val="en-GB"/>
        </w:rPr>
        <w:t xml:space="preserve"> </w:t>
      </w:r>
      <w:proofErr w:type="spellStart"/>
      <w:r w:rsidRPr="002A1CBE">
        <w:rPr>
          <w:lang w:val="en-GB"/>
        </w:rPr>
        <w:t>C</w:t>
      </w:r>
      <w:r w:rsidRPr="002A1CBE">
        <w:rPr>
          <w:vertAlign w:val="subscript"/>
          <w:lang w:val="en-GB"/>
        </w:rPr>
        <w:t>min</w:t>
      </w:r>
      <w:proofErr w:type="spellEnd"/>
      <w:r w:rsidRPr="002A1CBE">
        <w:rPr>
          <w:lang w:val="en-GB"/>
        </w:rPr>
        <w:t xml:space="preserve"> and C</w:t>
      </w:r>
      <w:r w:rsidRPr="002A1CBE">
        <w:rPr>
          <w:vertAlign w:val="subscript"/>
          <w:lang w:val="en-GB"/>
        </w:rPr>
        <w:t>2h</w:t>
      </w:r>
      <w:r w:rsidRPr="002A1CBE">
        <w:rPr>
          <w:lang w:val="en-GB"/>
        </w:rPr>
        <w:t xml:space="preserve"> by 45% and 71%, respectively. However, the corresponding </w:t>
      </w:r>
      <w:proofErr w:type="spellStart"/>
      <w:r w:rsidRPr="002A1CBE">
        <w:rPr>
          <w:lang w:val="en-GB"/>
        </w:rPr>
        <w:t>estradiol</w:t>
      </w:r>
      <w:proofErr w:type="spellEnd"/>
      <w:r w:rsidRPr="002A1CBE">
        <w:rPr>
          <w:lang w:val="en-GB"/>
        </w:rPr>
        <w:t xml:space="preserve"> levels at steady state (4 weeks) were not different between the two treatment arms. No increase in adverse events related to </w:t>
      </w:r>
      <w:proofErr w:type="spellStart"/>
      <w:r w:rsidRPr="002A1CBE">
        <w:rPr>
          <w:lang w:val="en-GB"/>
        </w:rPr>
        <w:t>exemestane</w:t>
      </w:r>
      <w:proofErr w:type="spellEnd"/>
      <w:r w:rsidRPr="002A1CBE">
        <w:rPr>
          <w:lang w:val="en-GB"/>
        </w:rPr>
        <w:t xml:space="preserve"> was observed in patients with hormone receptor-positive advanced breast cancer receiving the combination. The increase in </w:t>
      </w:r>
      <w:proofErr w:type="spellStart"/>
      <w:r w:rsidRPr="002A1CBE">
        <w:rPr>
          <w:lang w:val="en-GB"/>
        </w:rPr>
        <w:t>exemestane</w:t>
      </w:r>
      <w:proofErr w:type="spellEnd"/>
      <w:r w:rsidRPr="002A1CBE">
        <w:rPr>
          <w:lang w:val="en-GB"/>
        </w:rPr>
        <w:t xml:space="preserve"> levels is unlikely to have an impact on efficacy or safety.</w:t>
      </w:r>
    </w:p>
    <w:p w14:paraId="4E71A9C9" w14:textId="77777777" w:rsidR="00557C61" w:rsidRPr="002A1CBE" w:rsidRDefault="00557C61" w:rsidP="00557C61">
      <w:pPr>
        <w:tabs>
          <w:tab w:val="left" w:pos="567"/>
        </w:tabs>
        <w:rPr>
          <w:sz w:val="24"/>
          <w:lang w:val="en-GB"/>
        </w:rPr>
      </w:pPr>
    </w:p>
    <w:p w14:paraId="798B50AB" w14:textId="77777777" w:rsidR="00557C61" w:rsidRPr="002A1CBE" w:rsidRDefault="00557C61" w:rsidP="00557C61">
      <w:pPr>
        <w:pStyle w:val="Heading3"/>
        <w:tabs>
          <w:tab w:val="left" w:pos="567"/>
        </w:tabs>
        <w:spacing w:before="0"/>
        <w:ind w:left="0"/>
        <w:rPr>
          <w:rFonts w:ascii="Times New Roman" w:hAnsi="Times New Roman"/>
          <w:lang w:val="en-GB"/>
        </w:rPr>
      </w:pPr>
      <w:r w:rsidRPr="002A1CBE">
        <w:rPr>
          <w:rFonts w:ascii="Times New Roman" w:hAnsi="Times New Roman"/>
          <w:lang w:val="en-GB"/>
        </w:rPr>
        <w:t>Vaccinations</w:t>
      </w:r>
    </w:p>
    <w:p w14:paraId="70A2A95A" w14:textId="77777777" w:rsidR="00557C61" w:rsidRPr="002A1CBE" w:rsidRDefault="00557C61" w:rsidP="00557C61">
      <w:proofErr w:type="spellStart"/>
      <w:r w:rsidRPr="002A1CBE">
        <w:t>Immunosuppressants</w:t>
      </w:r>
      <w:proofErr w:type="spellEnd"/>
      <w:r w:rsidRPr="002A1CBE">
        <w:t xml:space="preserve"> may affect the response to vaccination and vaccination during treatment with </w:t>
      </w:r>
      <w:proofErr w:type="spellStart"/>
      <w:r w:rsidRPr="002A1CBE">
        <w:t>Afinitor</w:t>
      </w:r>
      <w:proofErr w:type="spellEnd"/>
      <w:r w:rsidRPr="002A1CBE">
        <w:t xml:space="preserve"> may therefore be less effective. The use of live vaccines should be avoided during treatment with </w:t>
      </w:r>
      <w:proofErr w:type="spellStart"/>
      <w:r w:rsidRPr="002A1CBE">
        <w:t>Afinitor</w:t>
      </w:r>
      <w:proofErr w:type="spellEnd"/>
      <w:r w:rsidRPr="002A1CBE">
        <w:t xml:space="preserve">. Examples of live vaccines are: intranasal influenza, measles, mumps, rubella, oral polio, </w:t>
      </w:r>
      <w:r w:rsidRPr="002A1CBE">
        <w:lastRenderedPageBreak/>
        <w:t xml:space="preserve">BCG, yellow fever, varicella, and TY21a typhoid vaccines. </w:t>
      </w:r>
      <w:r w:rsidRPr="002A1CBE">
        <w:rPr>
          <w:szCs w:val="24"/>
          <w:lang w:val="en-US"/>
        </w:rPr>
        <w:t xml:space="preserve">For pediatric patients with </w:t>
      </w:r>
      <w:r>
        <w:rPr>
          <w:szCs w:val="24"/>
          <w:lang w:val="en-US"/>
        </w:rPr>
        <w:t xml:space="preserve">TSC who have </w:t>
      </w:r>
      <w:r w:rsidRPr="002A1CBE">
        <w:rPr>
          <w:szCs w:val="24"/>
          <w:lang w:val="en-US"/>
        </w:rPr>
        <w:t xml:space="preserve">SEGA </w:t>
      </w:r>
      <w:r>
        <w:rPr>
          <w:szCs w:val="24"/>
          <w:lang w:val="en-US"/>
        </w:rPr>
        <w:t xml:space="preserve">or seizures and </w:t>
      </w:r>
      <w:r w:rsidRPr="002A1CBE">
        <w:rPr>
          <w:szCs w:val="24"/>
          <w:lang w:val="en-US"/>
        </w:rPr>
        <w:t>that do not require immediate treatment, complete the recommended childhood series of live virus vaccinations prior to the start of therapy according to local treatment guidelines.</w:t>
      </w:r>
    </w:p>
    <w:p w14:paraId="2B47DE01" w14:textId="77777777" w:rsidR="00557C61" w:rsidRPr="002A1CBE" w:rsidRDefault="00557C61" w:rsidP="00557C61">
      <w:pPr>
        <w:tabs>
          <w:tab w:val="left" w:pos="567"/>
        </w:tabs>
        <w:rPr>
          <w:sz w:val="24"/>
          <w:lang w:val="en-GB"/>
        </w:rPr>
      </w:pPr>
    </w:p>
    <w:p w14:paraId="7F1C8D06" w14:textId="77777777" w:rsidR="00557C61" w:rsidRPr="002A1CBE" w:rsidRDefault="00557C61" w:rsidP="00557C61">
      <w:pPr>
        <w:pStyle w:val="Heading3"/>
        <w:tabs>
          <w:tab w:val="left" w:pos="567"/>
        </w:tabs>
        <w:spacing w:before="0"/>
        <w:ind w:left="0"/>
        <w:rPr>
          <w:rFonts w:ascii="Times New Roman" w:hAnsi="Times New Roman"/>
          <w:lang w:val="en-GB"/>
        </w:rPr>
      </w:pPr>
      <w:r w:rsidRPr="002A1CBE">
        <w:rPr>
          <w:rFonts w:ascii="Times New Roman" w:hAnsi="Times New Roman"/>
          <w:lang w:val="en-GB"/>
        </w:rPr>
        <w:t>Lactose</w:t>
      </w:r>
    </w:p>
    <w:p w14:paraId="055B1605" w14:textId="77777777" w:rsidR="00557C61" w:rsidRPr="002A1CBE" w:rsidRDefault="00557C61" w:rsidP="00557C61">
      <w:pPr>
        <w:rPr>
          <w:lang w:val="en-GB"/>
        </w:rPr>
      </w:pPr>
      <w:r w:rsidRPr="002A1CBE">
        <w:rPr>
          <w:lang w:val="en-GB"/>
        </w:rPr>
        <w:t>Patients with rare hereditary problems of galactose intolerance, Lapp lactose deficiency or glucose-galactose malabsorption should not take this medicinal product.</w:t>
      </w:r>
    </w:p>
    <w:p w14:paraId="12687498" w14:textId="77777777" w:rsidR="00557C61" w:rsidRPr="00557C61" w:rsidRDefault="00557C61" w:rsidP="00557C61"/>
    <w:p w14:paraId="4C4D963A" w14:textId="77777777" w:rsidR="001A3992" w:rsidRPr="00497C85" w:rsidRDefault="001A3992" w:rsidP="001A3992">
      <w:pPr>
        <w:pStyle w:val="Heading2"/>
        <w:spacing w:before="0" w:after="120"/>
        <w:rPr>
          <w:rFonts w:cstheme="minorHAnsi"/>
        </w:rPr>
      </w:pPr>
      <w:r w:rsidRPr="00497C85">
        <w:rPr>
          <w:rFonts w:cstheme="minorHAnsi"/>
        </w:rPr>
        <w:t xml:space="preserve">Fertility, pregnancy and lactation </w:t>
      </w:r>
    </w:p>
    <w:p w14:paraId="578912F3" w14:textId="77777777" w:rsidR="001A3992" w:rsidRDefault="001A3992" w:rsidP="001A3992">
      <w:pPr>
        <w:pStyle w:val="Heading3"/>
        <w:spacing w:before="0" w:after="120"/>
        <w:rPr>
          <w:rFonts w:cstheme="minorHAnsi"/>
        </w:rPr>
      </w:pPr>
      <w:r w:rsidRPr="00497C85">
        <w:rPr>
          <w:rFonts w:cstheme="minorHAnsi"/>
        </w:rPr>
        <w:t>Effects on fertility</w:t>
      </w:r>
    </w:p>
    <w:p w14:paraId="27B2FE2A" w14:textId="77777777" w:rsidR="00557C61" w:rsidRPr="002A1CBE" w:rsidRDefault="00557C61" w:rsidP="00557C61">
      <w:pPr>
        <w:rPr>
          <w:lang w:val="en-GB"/>
        </w:rPr>
      </w:pPr>
      <w:r w:rsidRPr="002A1CBE">
        <w:rPr>
          <w:lang w:val="en-GB"/>
        </w:rPr>
        <w:t xml:space="preserve">Based on non-clinical findings, male and female fertility may be compromised by treatment with </w:t>
      </w:r>
      <w:proofErr w:type="spellStart"/>
      <w:r w:rsidRPr="002A1CBE">
        <w:rPr>
          <w:lang w:val="en-GB"/>
        </w:rPr>
        <w:t>Afinitor</w:t>
      </w:r>
      <w:proofErr w:type="spellEnd"/>
      <w:r w:rsidRPr="002A1CBE">
        <w:rPr>
          <w:lang w:val="en-GB"/>
        </w:rPr>
        <w:t xml:space="preserve">. </w:t>
      </w:r>
    </w:p>
    <w:p w14:paraId="18CD6B53" w14:textId="77777777" w:rsidR="00557C61" w:rsidRPr="002A1CBE" w:rsidRDefault="00557C61" w:rsidP="00557C61">
      <w:pPr>
        <w:rPr>
          <w:szCs w:val="24"/>
          <w:lang w:val="en-GB"/>
        </w:rPr>
      </w:pPr>
      <w:proofErr w:type="spellStart"/>
      <w:r w:rsidRPr="002A1CBE">
        <w:rPr>
          <w:lang w:val="en-GB"/>
        </w:rPr>
        <w:t>Everolimus</w:t>
      </w:r>
      <w:proofErr w:type="spellEnd"/>
      <w:r w:rsidRPr="002A1CBE">
        <w:rPr>
          <w:lang w:val="en-GB"/>
        </w:rPr>
        <w:t xml:space="preserve"> completely impaired male rat fertility at an </w:t>
      </w:r>
      <w:proofErr w:type="spellStart"/>
      <w:r w:rsidRPr="002A1CBE">
        <w:rPr>
          <w:lang w:val="en-GB"/>
        </w:rPr>
        <w:t>everolimus</w:t>
      </w:r>
      <w:proofErr w:type="spellEnd"/>
      <w:r w:rsidRPr="002A1CBE">
        <w:rPr>
          <w:lang w:val="en-GB"/>
        </w:rPr>
        <w:t xml:space="preserve"> dose that resulted in a drug exposure (blood AUC) that was slightly below</w:t>
      </w:r>
      <w:r w:rsidRPr="002A1CBE">
        <w:rPr>
          <w:vertAlign w:val="superscript"/>
          <w:lang w:val="en-GB"/>
        </w:rPr>
        <w:footnoteReference w:id="2"/>
      </w:r>
      <w:r w:rsidRPr="002A1CBE">
        <w:rPr>
          <w:lang w:val="en-GB"/>
        </w:rPr>
        <w:t xml:space="preserve"> the expected maximum human value, and sperm number and motility were reduced. Testicular atrophy was observed in all animal species tested (mouse, rat, </w:t>
      </w:r>
      <w:proofErr w:type="spellStart"/>
      <w:r w:rsidRPr="002A1CBE">
        <w:rPr>
          <w:lang w:val="en-GB"/>
        </w:rPr>
        <w:t>minipigs</w:t>
      </w:r>
      <w:proofErr w:type="spellEnd"/>
      <w:r w:rsidRPr="002A1CBE">
        <w:rPr>
          <w:lang w:val="en-GB"/>
        </w:rPr>
        <w:t xml:space="preserve"> and monkey) at drug exposures similar to the expected clinical exposure (blood AUC). There was evidence for partial recovery of fertility over a period approximately equivalent to the treatment period. </w:t>
      </w:r>
      <w:r w:rsidRPr="002A1CBE">
        <w:rPr>
          <w:szCs w:val="24"/>
          <w:lang w:val="en-GB"/>
        </w:rPr>
        <w:t xml:space="preserve">In animal reproductive studies female fertility was not affected. However, oral doses of </w:t>
      </w:r>
      <w:proofErr w:type="spellStart"/>
      <w:r w:rsidRPr="002A1CBE">
        <w:rPr>
          <w:szCs w:val="24"/>
          <w:lang w:val="en-GB"/>
        </w:rPr>
        <w:t>everolimus</w:t>
      </w:r>
      <w:proofErr w:type="spellEnd"/>
      <w:r w:rsidRPr="002A1CBE">
        <w:rPr>
          <w:szCs w:val="24"/>
          <w:lang w:val="en-GB"/>
        </w:rPr>
        <w:t xml:space="preserve"> in female rats at ≥0.1 mg/kg (approximately 4% the AUC</w:t>
      </w:r>
      <w:r w:rsidRPr="002A1CBE">
        <w:rPr>
          <w:szCs w:val="24"/>
          <w:vertAlign w:val="subscript"/>
          <w:lang w:val="en-GB"/>
        </w:rPr>
        <w:t>0-24h</w:t>
      </w:r>
      <w:r w:rsidRPr="002A1CBE">
        <w:rPr>
          <w:szCs w:val="24"/>
          <w:lang w:val="en-GB"/>
        </w:rPr>
        <w:t xml:space="preserve"> in patients receiving the 10 mg daily dose) resulted in increased incidence of pre-implantation loss.</w:t>
      </w:r>
    </w:p>
    <w:p w14:paraId="1B9B0F5E" w14:textId="77777777" w:rsidR="00557C61" w:rsidRDefault="00557C61" w:rsidP="00557C61">
      <w:pPr>
        <w:rPr>
          <w:lang w:val="en-GB"/>
        </w:rPr>
      </w:pPr>
      <w:r w:rsidRPr="002A1CBE">
        <w:rPr>
          <w:lang w:val="en-GB"/>
        </w:rPr>
        <w:t xml:space="preserve">The potential for </w:t>
      </w:r>
      <w:proofErr w:type="spellStart"/>
      <w:r w:rsidRPr="002A1CBE">
        <w:rPr>
          <w:lang w:val="en-GB"/>
        </w:rPr>
        <w:t>everolimus</w:t>
      </w:r>
      <w:proofErr w:type="spellEnd"/>
      <w:r w:rsidRPr="002A1CBE">
        <w:rPr>
          <w:lang w:val="en-GB"/>
        </w:rPr>
        <w:t xml:space="preserve"> to cause infertility in male and female patients is unknown. However, menstrual irregularities, secondary amenorrhea and associated luteinising hormone (LH)/follicle stimulating hormone (FSH) imbalance have been observed in female patients.</w:t>
      </w:r>
    </w:p>
    <w:p w14:paraId="495BCBB2" w14:textId="02BF1A76" w:rsidR="001A3992" w:rsidRDefault="001A3992" w:rsidP="001A3992">
      <w:pPr>
        <w:pStyle w:val="Heading3"/>
        <w:spacing w:before="0" w:after="120"/>
        <w:rPr>
          <w:rFonts w:cstheme="minorHAnsi"/>
        </w:rPr>
      </w:pPr>
      <w:r w:rsidRPr="00497C85">
        <w:rPr>
          <w:rFonts w:cstheme="minorHAnsi"/>
        </w:rPr>
        <w:t xml:space="preserve">Use in pregnancy </w:t>
      </w:r>
      <w:r w:rsidR="00497C85" w:rsidRPr="00497C85">
        <w:rPr>
          <w:rFonts w:cstheme="minorHAnsi"/>
        </w:rPr>
        <w:t>– Pregnancy Category C</w:t>
      </w:r>
    </w:p>
    <w:p w14:paraId="61A25337" w14:textId="77777777" w:rsidR="00557C61" w:rsidRPr="002A1CBE" w:rsidRDefault="00557C61" w:rsidP="00557C61">
      <w:pPr>
        <w:rPr>
          <w:lang w:val="en-GB"/>
        </w:rPr>
      </w:pPr>
      <w:r w:rsidRPr="002A1CBE">
        <w:rPr>
          <w:lang w:val="en-GB"/>
        </w:rPr>
        <w:t xml:space="preserve">There are no adequate data from the use of </w:t>
      </w:r>
      <w:proofErr w:type="spellStart"/>
      <w:r w:rsidRPr="002A1CBE">
        <w:rPr>
          <w:lang w:val="en-GB"/>
        </w:rPr>
        <w:t>everolimus</w:t>
      </w:r>
      <w:proofErr w:type="spellEnd"/>
      <w:r w:rsidRPr="002A1CBE">
        <w:rPr>
          <w:lang w:val="en-GB"/>
        </w:rPr>
        <w:t xml:space="preserve"> in pregnant women and the potential risk to the foetus is unknown.  In a rat study in which oral treatment started before mating and continued to the end of the period of organogenesis, treatment resulted in increased pre- and post-implantation losses. There was a low incidence of foetal cleft sternum, the significance of which is uncertain because it occurred at a dose giving a high foetal resorption rate. Systemic drug exposures (blood AUC) with the doses used in this study were below the expected human value at 10 mg/day. Treatment of pregnant rabbits during the period of organogenesis slightly increased late </w:t>
      </w:r>
      <w:proofErr w:type="spellStart"/>
      <w:r w:rsidRPr="002A1CBE">
        <w:rPr>
          <w:lang w:val="en-GB"/>
        </w:rPr>
        <w:t>fetal</w:t>
      </w:r>
      <w:proofErr w:type="spellEnd"/>
      <w:r w:rsidRPr="002A1CBE">
        <w:rPr>
          <w:lang w:val="en-GB"/>
        </w:rPr>
        <w:t xml:space="preserve"> resorptions but did not otherwise affect foetal development. The highest dose used in this study gave a systemic drug exposure (blood AUC) that was below the expected human value</w:t>
      </w:r>
      <w:r w:rsidRPr="002A1CBE">
        <w:rPr>
          <w:vertAlign w:val="superscript"/>
          <w:lang w:val="en-GB"/>
        </w:rPr>
        <w:footnoteReference w:id="3"/>
      </w:r>
      <w:r w:rsidRPr="002A1CBE">
        <w:rPr>
          <w:lang w:val="en-GB"/>
        </w:rPr>
        <w:t xml:space="preserve"> at 10 </w:t>
      </w:r>
      <w:r w:rsidRPr="002A1CBE">
        <w:rPr>
          <w:lang w:val="en-GB"/>
        </w:rPr>
        <w:lastRenderedPageBreak/>
        <w:t xml:space="preserve">mg/day. Women of childbearing potential should be advised to use highly effective contraception methods while they are receiving </w:t>
      </w:r>
      <w:proofErr w:type="spellStart"/>
      <w:r w:rsidRPr="002A1CBE">
        <w:rPr>
          <w:lang w:val="en-GB"/>
        </w:rPr>
        <w:t>Afinitor</w:t>
      </w:r>
      <w:proofErr w:type="spellEnd"/>
      <w:r w:rsidRPr="002A1CBE">
        <w:rPr>
          <w:lang w:val="en-GB"/>
        </w:rPr>
        <w:t xml:space="preserve"> and up to 8 weeks after treatment has been stopped.</w:t>
      </w:r>
    </w:p>
    <w:p w14:paraId="2B5F3FDF" w14:textId="77777777" w:rsidR="00557C61" w:rsidRPr="002A1CBE" w:rsidRDefault="00557C61" w:rsidP="00557C61">
      <w:proofErr w:type="spellStart"/>
      <w:r w:rsidRPr="002A1CBE">
        <w:rPr>
          <w:lang w:val="en-GB"/>
        </w:rPr>
        <w:t>Afinitor</w:t>
      </w:r>
      <w:proofErr w:type="spellEnd"/>
      <w:r w:rsidRPr="002A1CBE">
        <w:rPr>
          <w:lang w:val="en-GB"/>
        </w:rPr>
        <w:t xml:space="preserve"> should not be given to pregnant women unless the potential benefit outweighs the potential risk to the </w:t>
      </w:r>
      <w:proofErr w:type="spellStart"/>
      <w:r w:rsidRPr="002A1CBE">
        <w:rPr>
          <w:lang w:val="en-GB"/>
        </w:rPr>
        <w:t>fetus</w:t>
      </w:r>
      <w:proofErr w:type="spellEnd"/>
      <w:r w:rsidRPr="002A1CBE">
        <w:rPr>
          <w:lang w:val="en-GB"/>
        </w:rPr>
        <w:t xml:space="preserve">. </w:t>
      </w:r>
      <w:r w:rsidRPr="002A1CBE">
        <w:t xml:space="preserve">Male patients taking </w:t>
      </w:r>
      <w:proofErr w:type="spellStart"/>
      <w:r w:rsidRPr="002A1CBE">
        <w:t>Afinitor</w:t>
      </w:r>
      <w:proofErr w:type="spellEnd"/>
      <w:r w:rsidRPr="002A1CBE">
        <w:t xml:space="preserve"> should not be prohibited from attempting to father children.</w:t>
      </w:r>
    </w:p>
    <w:p w14:paraId="00220E28" w14:textId="77777777" w:rsidR="00557C61" w:rsidRPr="002A1CBE" w:rsidRDefault="00557C61" w:rsidP="00557C61">
      <w:pPr>
        <w:rPr>
          <w:lang w:val="en-GB"/>
        </w:rPr>
      </w:pPr>
      <w:proofErr w:type="spellStart"/>
      <w:r w:rsidRPr="002A1CBE">
        <w:rPr>
          <w:lang w:val="en-GB"/>
        </w:rPr>
        <w:t>Everolimus</w:t>
      </w:r>
      <w:proofErr w:type="spellEnd"/>
      <w:r w:rsidRPr="002A1CBE">
        <w:rPr>
          <w:lang w:val="en-GB"/>
        </w:rPr>
        <w:t xml:space="preserve"> crossed the placenta and was toxic to the conceptus. In rats, </w:t>
      </w:r>
      <w:proofErr w:type="spellStart"/>
      <w:r w:rsidRPr="002A1CBE">
        <w:rPr>
          <w:lang w:val="en-GB"/>
        </w:rPr>
        <w:t>everolimus</w:t>
      </w:r>
      <w:proofErr w:type="spellEnd"/>
      <w:r w:rsidRPr="002A1CBE">
        <w:rPr>
          <w:lang w:val="en-GB"/>
        </w:rPr>
        <w:t xml:space="preserve"> caused embryo/</w:t>
      </w:r>
      <w:proofErr w:type="spellStart"/>
      <w:r w:rsidRPr="002A1CBE">
        <w:rPr>
          <w:lang w:val="en-GB"/>
        </w:rPr>
        <w:t>feto</w:t>
      </w:r>
      <w:proofErr w:type="spellEnd"/>
      <w:r w:rsidRPr="002A1CBE">
        <w:rPr>
          <w:lang w:val="en-GB"/>
        </w:rPr>
        <w:t xml:space="preserve">-toxicity at systemic exposure below the therapeutic level. This was manifested as mortality and reduced </w:t>
      </w:r>
      <w:proofErr w:type="spellStart"/>
      <w:r w:rsidRPr="002A1CBE">
        <w:rPr>
          <w:lang w:val="en-GB"/>
        </w:rPr>
        <w:t>fetal</w:t>
      </w:r>
      <w:proofErr w:type="spellEnd"/>
      <w:r w:rsidRPr="002A1CBE">
        <w:rPr>
          <w:lang w:val="en-GB"/>
        </w:rPr>
        <w:t xml:space="preserve"> weight. The incidence of skeletal variations and malformations (e.g. sternal cleft) was increased at 0.3 and 0.9 mg/kg. In rabbits, </w:t>
      </w:r>
      <w:proofErr w:type="spellStart"/>
      <w:r w:rsidRPr="002A1CBE">
        <w:rPr>
          <w:lang w:val="en-GB"/>
        </w:rPr>
        <w:t>embryotoxicity</w:t>
      </w:r>
      <w:proofErr w:type="spellEnd"/>
      <w:r w:rsidRPr="002A1CBE">
        <w:rPr>
          <w:lang w:val="en-GB"/>
        </w:rPr>
        <w:t xml:space="preserve"> was evident in an increase in late resorptions.</w:t>
      </w:r>
    </w:p>
    <w:p w14:paraId="655FE88A" w14:textId="77777777" w:rsidR="001A3992" w:rsidRDefault="001A3992" w:rsidP="001A3992">
      <w:pPr>
        <w:pStyle w:val="Heading3"/>
        <w:spacing w:before="0" w:after="120"/>
        <w:rPr>
          <w:rFonts w:cstheme="minorHAnsi"/>
        </w:rPr>
      </w:pPr>
      <w:r w:rsidRPr="00497C85">
        <w:rPr>
          <w:rFonts w:cstheme="minorHAnsi"/>
        </w:rPr>
        <w:t xml:space="preserve">Use in lactation. </w:t>
      </w:r>
    </w:p>
    <w:p w14:paraId="2B68EBB2" w14:textId="77777777" w:rsidR="00557C61" w:rsidRPr="002A1CBE" w:rsidRDefault="00557C61" w:rsidP="00557C61">
      <w:pPr>
        <w:rPr>
          <w:lang w:val="en-GB"/>
        </w:rPr>
      </w:pPr>
      <w:r w:rsidRPr="002A1CBE">
        <w:rPr>
          <w:lang w:val="en-GB"/>
        </w:rPr>
        <w:t xml:space="preserve">It is not known whether </w:t>
      </w:r>
      <w:proofErr w:type="spellStart"/>
      <w:r w:rsidRPr="002A1CBE">
        <w:rPr>
          <w:lang w:val="en-GB"/>
        </w:rPr>
        <w:t>everolimus</w:t>
      </w:r>
      <w:proofErr w:type="spellEnd"/>
      <w:r w:rsidRPr="002A1CBE">
        <w:rPr>
          <w:lang w:val="en-GB"/>
        </w:rPr>
        <w:t xml:space="preserve"> is excreted in human milk.  In animal studies, </w:t>
      </w:r>
      <w:proofErr w:type="spellStart"/>
      <w:r w:rsidRPr="002A1CBE">
        <w:rPr>
          <w:lang w:val="en-GB"/>
        </w:rPr>
        <w:t>everolimus</w:t>
      </w:r>
      <w:proofErr w:type="spellEnd"/>
      <w:r w:rsidRPr="002A1CBE">
        <w:rPr>
          <w:lang w:val="en-GB"/>
        </w:rPr>
        <w:t xml:space="preserve"> and/or its metabolites readily passed into the milk of lactating rats.  Women taking </w:t>
      </w:r>
      <w:proofErr w:type="spellStart"/>
      <w:r w:rsidRPr="002A1CBE">
        <w:rPr>
          <w:lang w:val="en-GB"/>
        </w:rPr>
        <w:t>Afinitor</w:t>
      </w:r>
      <w:proofErr w:type="spellEnd"/>
      <w:r w:rsidRPr="002A1CBE">
        <w:rPr>
          <w:lang w:val="en-GB"/>
        </w:rPr>
        <w:t xml:space="preserve"> should not breast-feed</w:t>
      </w:r>
      <w:r>
        <w:rPr>
          <w:lang w:val="en-GB"/>
        </w:rPr>
        <w:t xml:space="preserve"> during treatment and for 2 weeks after the last dose</w:t>
      </w:r>
      <w:r w:rsidRPr="002A1CBE">
        <w:rPr>
          <w:lang w:val="en-GB"/>
        </w:rPr>
        <w:t>.</w:t>
      </w:r>
    </w:p>
    <w:p w14:paraId="7326E547" w14:textId="77777777" w:rsidR="00557C61" w:rsidRPr="001D2874" w:rsidRDefault="00557C61" w:rsidP="00557C61"/>
    <w:p w14:paraId="3636B7ED" w14:textId="77777777" w:rsidR="001A3992" w:rsidRPr="00497C85" w:rsidRDefault="001A3992" w:rsidP="001A3992">
      <w:pPr>
        <w:pStyle w:val="Heading2"/>
        <w:spacing w:before="0" w:after="120"/>
        <w:rPr>
          <w:rFonts w:cstheme="minorHAnsi"/>
        </w:rPr>
      </w:pPr>
      <w:r w:rsidRPr="00497C85">
        <w:rPr>
          <w:rFonts w:cstheme="minorHAnsi"/>
        </w:rPr>
        <w:t xml:space="preserve">Effects on ability to drive and use machines </w:t>
      </w:r>
    </w:p>
    <w:p w14:paraId="6C3ABE8F" w14:textId="77777777" w:rsidR="00557C61" w:rsidRDefault="00557C61" w:rsidP="00557C61">
      <w:r w:rsidRPr="001E0751">
        <w:t>The effects of this medicine on a person's ability to drive and use machines were not asses</w:t>
      </w:r>
      <w:r>
        <w:t>sed as part of its registration.</w:t>
      </w:r>
    </w:p>
    <w:p w14:paraId="665D37E0" w14:textId="77777777" w:rsidR="00C874A3" w:rsidRDefault="00C874A3" w:rsidP="00557C61"/>
    <w:p w14:paraId="24AD6E62" w14:textId="77777777" w:rsidR="001A3992" w:rsidRPr="00497C85" w:rsidRDefault="001A3992" w:rsidP="001A3992">
      <w:pPr>
        <w:pStyle w:val="Heading2"/>
        <w:keepNext/>
        <w:keepLines/>
        <w:spacing w:before="0" w:after="120"/>
        <w:rPr>
          <w:rFonts w:cstheme="minorHAnsi"/>
        </w:rPr>
      </w:pPr>
      <w:r w:rsidRPr="00497C85">
        <w:rPr>
          <w:rFonts w:cstheme="minorHAnsi"/>
        </w:rPr>
        <w:t>Adverse effects (Undesirable effects)</w:t>
      </w:r>
    </w:p>
    <w:p w14:paraId="2C7077F3" w14:textId="77777777" w:rsidR="00497C85" w:rsidRDefault="00497C85" w:rsidP="00497C85">
      <w:pPr>
        <w:rPr>
          <w:rFonts w:cstheme="minorHAnsi"/>
          <w:lang w:val="en"/>
        </w:rPr>
      </w:pPr>
      <w:r w:rsidRPr="00557C61">
        <w:rPr>
          <w:rFonts w:cstheme="minorHAnsi"/>
          <w:lang w:val="en"/>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0" w:history="1">
        <w:r w:rsidRPr="00557C61">
          <w:rPr>
            <w:rStyle w:val="Hyperlink"/>
            <w:rFonts w:cstheme="minorHAnsi"/>
            <w:lang w:val="en"/>
          </w:rPr>
          <w:t>www.tga.gov.au/reporting-problems</w:t>
        </w:r>
      </w:hyperlink>
      <w:r w:rsidRPr="00557C61">
        <w:rPr>
          <w:rFonts w:cstheme="minorHAnsi"/>
          <w:lang w:val="en"/>
        </w:rPr>
        <w:t>.</w:t>
      </w:r>
    </w:p>
    <w:p w14:paraId="71B670A7" w14:textId="77777777" w:rsidR="00557C61" w:rsidRPr="00B90F07" w:rsidRDefault="00557C61" w:rsidP="00557C61">
      <w:pPr>
        <w:pStyle w:val="paragraph"/>
        <w:spacing w:after="240" w:line="276" w:lineRule="auto"/>
        <w:rPr>
          <w:rFonts w:asciiTheme="minorHAnsi" w:hAnsiTheme="minorHAnsi"/>
          <w:b/>
          <w:lang w:val="en-GB"/>
        </w:rPr>
      </w:pPr>
      <w:r w:rsidRPr="00B90F07">
        <w:rPr>
          <w:rFonts w:asciiTheme="minorHAnsi" w:hAnsiTheme="minorHAnsi"/>
          <w:b/>
          <w:lang w:val="en-GB"/>
        </w:rPr>
        <w:t>Oncology- Summary of the safety profile</w:t>
      </w:r>
    </w:p>
    <w:p w14:paraId="7F0CAC87" w14:textId="299ED2C6" w:rsidR="00557C61" w:rsidRPr="003353BC" w:rsidRDefault="00557C61" w:rsidP="00557C61">
      <w:pPr>
        <w:tabs>
          <w:tab w:val="left" w:pos="567"/>
        </w:tabs>
        <w:rPr>
          <w:lang w:val="en-GB"/>
        </w:rPr>
      </w:pPr>
      <w:r w:rsidRPr="003353BC">
        <w:rPr>
          <w:lang w:val="en-GB"/>
        </w:rPr>
        <w:t xml:space="preserve">Adverse drug reaction (ADR, suspected to be related to treatment by the investigator) information is based on pooled safety data in patients receiving </w:t>
      </w:r>
      <w:proofErr w:type="spellStart"/>
      <w:r w:rsidRPr="003353BC">
        <w:rPr>
          <w:lang w:val="en-GB"/>
        </w:rPr>
        <w:t>Afinitor</w:t>
      </w:r>
      <w:proofErr w:type="spellEnd"/>
      <w:r w:rsidRPr="003353BC">
        <w:rPr>
          <w:lang w:val="en-GB"/>
        </w:rPr>
        <w:t xml:space="preserve"> (N=2672) in randomized, double-blind, placebo-or active comparator controlled phase III and phase-II studies related to the trials which serve as the basis for the approved indications in oncology (see </w:t>
      </w:r>
      <w:r>
        <w:rPr>
          <w:lang w:val="en-GB"/>
        </w:rPr>
        <w:t>section 4.1 ‘Therapeutic i</w:t>
      </w:r>
      <w:r w:rsidRPr="003353BC">
        <w:rPr>
          <w:lang w:val="en-GB"/>
        </w:rPr>
        <w:t>ndications</w:t>
      </w:r>
      <w:r>
        <w:rPr>
          <w:lang w:val="en-GB"/>
        </w:rPr>
        <w:t>’</w:t>
      </w:r>
      <w:r w:rsidRPr="003353BC">
        <w:rPr>
          <w:lang w:val="en-GB"/>
        </w:rPr>
        <w:t>).</w:t>
      </w:r>
    </w:p>
    <w:p w14:paraId="2443AC9C" w14:textId="77777777" w:rsidR="00557C61" w:rsidRPr="003353BC" w:rsidRDefault="00557C61" w:rsidP="00557C61">
      <w:pPr>
        <w:tabs>
          <w:tab w:val="left" w:pos="567"/>
        </w:tabs>
        <w:rPr>
          <w:lang w:val="en-GB"/>
        </w:rPr>
      </w:pPr>
      <w:r w:rsidRPr="003353BC">
        <w:rPr>
          <w:lang w:val="en-GB"/>
        </w:rPr>
        <w:t xml:space="preserve">The most common adverse reactions (incidence ≥1/10 and suspected to be related to treatment by the investigator) </w:t>
      </w:r>
      <w:r w:rsidRPr="003353BC">
        <w:rPr>
          <w:szCs w:val="24"/>
        </w:rPr>
        <w:t xml:space="preserve">from the pooled safety data of the double-blind treatment portion of each of the phase-III, controlled studies </w:t>
      </w:r>
      <w:r w:rsidRPr="003353BC">
        <w:rPr>
          <w:lang w:val="en-GB"/>
        </w:rPr>
        <w:t xml:space="preserve">were (in decreasing order): stomatitis, rash, fatigue, diarrhoea, infections, nausea, decreased appetite, </w:t>
      </w:r>
      <w:proofErr w:type="spellStart"/>
      <w:r w:rsidRPr="003353BC">
        <w:rPr>
          <w:lang w:val="en-GB"/>
        </w:rPr>
        <w:t>anemia</w:t>
      </w:r>
      <w:proofErr w:type="spellEnd"/>
      <w:r w:rsidRPr="003353BC">
        <w:rPr>
          <w:lang w:val="en-GB"/>
        </w:rPr>
        <w:t xml:space="preserve">, </w:t>
      </w:r>
      <w:proofErr w:type="spellStart"/>
      <w:r w:rsidRPr="003353BC">
        <w:rPr>
          <w:lang w:val="en-GB"/>
        </w:rPr>
        <w:t>dysgeusia</w:t>
      </w:r>
      <w:proofErr w:type="spellEnd"/>
      <w:r w:rsidRPr="003353BC">
        <w:rPr>
          <w:lang w:val="en-GB"/>
        </w:rPr>
        <w:t xml:space="preserve">, pneumonitis, </w:t>
      </w:r>
      <w:proofErr w:type="spellStart"/>
      <w:r w:rsidRPr="003353BC">
        <w:rPr>
          <w:szCs w:val="24"/>
        </w:rPr>
        <w:t>edema</w:t>
      </w:r>
      <w:proofErr w:type="spellEnd"/>
      <w:r w:rsidRPr="003353BC">
        <w:rPr>
          <w:szCs w:val="24"/>
        </w:rPr>
        <w:t xml:space="preserve"> peripheral,</w:t>
      </w:r>
      <w:r w:rsidRPr="003353BC">
        <w:rPr>
          <w:lang w:val="en-GB"/>
        </w:rPr>
        <w:t xml:space="preserve"> </w:t>
      </w:r>
      <w:proofErr w:type="spellStart"/>
      <w:r w:rsidRPr="003353BC">
        <w:rPr>
          <w:lang w:val="en-GB"/>
        </w:rPr>
        <w:t>hyperglycemia</w:t>
      </w:r>
      <w:proofErr w:type="spellEnd"/>
      <w:r w:rsidRPr="003353BC">
        <w:rPr>
          <w:szCs w:val="24"/>
          <w:lang w:val="en-GB"/>
        </w:rPr>
        <w:t xml:space="preserve">, </w:t>
      </w:r>
      <w:r w:rsidRPr="003353BC">
        <w:rPr>
          <w:szCs w:val="24"/>
        </w:rPr>
        <w:t>asthenia, pruritus,</w:t>
      </w:r>
      <w:r w:rsidRPr="003353BC">
        <w:rPr>
          <w:szCs w:val="24"/>
          <w:lang w:val="en-GB"/>
        </w:rPr>
        <w:t xml:space="preserve"> weight</w:t>
      </w:r>
      <w:r w:rsidRPr="003353BC">
        <w:rPr>
          <w:lang w:val="en-GB"/>
        </w:rPr>
        <w:t xml:space="preserve"> decreased, </w:t>
      </w:r>
      <w:proofErr w:type="spellStart"/>
      <w:r w:rsidRPr="003353BC">
        <w:rPr>
          <w:lang w:val="en-GB"/>
        </w:rPr>
        <w:t>hypercholesterolaemia</w:t>
      </w:r>
      <w:proofErr w:type="spellEnd"/>
      <w:r w:rsidRPr="003353BC">
        <w:rPr>
          <w:lang w:val="en-GB"/>
        </w:rPr>
        <w:t>, epistaxis, vomiting, cough, headache.</w:t>
      </w:r>
    </w:p>
    <w:p w14:paraId="53418FFF" w14:textId="77777777" w:rsidR="00557C61" w:rsidRPr="003353BC" w:rsidRDefault="00557C61" w:rsidP="00557C61">
      <w:pPr>
        <w:tabs>
          <w:tab w:val="left" w:pos="567"/>
        </w:tabs>
        <w:rPr>
          <w:szCs w:val="24"/>
          <w:lang w:val="en-GB"/>
        </w:rPr>
      </w:pPr>
      <w:r w:rsidRPr="003353BC">
        <w:rPr>
          <w:lang w:val="en-GB"/>
        </w:rPr>
        <w:lastRenderedPageBreak/>
        <w:t xml:space="preserve">The most common grade 3 - 4 ADRs (incidence ≥1/100 to &lt;1/10 and suspected to be related to treatment by the investigator) were stomatitis, </w:t>
      </w:r>
      <w:proofErr w:type="spellStart"/>
      <w:r w:rsidRPr="003353BC">
        <w:rPr>
          <w:lang w:val="en-GB"/>
        </w:rPr>
        <w:t>anemia</w:t>
      </w:r>
      <w:proofErr w:type="spellEnd"/>
      <w:r w:rsidRPr="003353BC">
        <w:rPr>
          <w:lang w:val="en-GB"/>
        </w:rPr>
        <w:t xml:space="preserve">, </w:t>
      </w:r>
      <w:proofErr w:type="spellStart"/>
      <w:r w:rsidRPr="003353BC">
        <w:rPr>
          <w:lang w:val="en-GB"/>
        </w:rPr>
        <w:t>hyperglycemia</w:t>
      </w:r>
      <w:proofErr w:type="spellEnd"/>
      <w:r w:rsidRPr="003353BC">
        <w:rPr>
          <w:lang w:val="en-GB"/>
        </w:rPr>
        <w:t xml:space="preserve">, fatigue, infections, pneumonitis, diarrhoea, asthenia, thrombocytopenia, neutropenia, </w:t>
      </w:r>
      <w:proofErr w:type="spellStart"/>
      <w:r w:rsidRPr="003353BC">
        <w:rPr>
          <w:lang w:val="en-GB"/>
        </w:rPr>
        <w:t>dyspnea</w:t>
      </w:r>
      <w:proofErr w:type="spellEnd"/>
      <w:r w:rsidRPr="003353BC">
        <w:rPr>
          <w:lang w:val="en-GB"/>
        </w:rPr>
        <w:t xml:space="preserve">, lymphopenia, proteinuria, haemorrhage, hypophosphatemia, rash, hypertension, aspartate aminotransferase (AST) increased, alanine aminotransferase (ALT) increased, </w:t>
      </w:r>
      <w:r w:rsidRPr="003353BC">
        <w:rPr>
          <w:szCs w:val="24"/>
          <w:lang w:val="en-GB"/>
        </w:rPr>
        <w:t xml:space="preserve">pneumonia </w:t>
      </w:r>
      <w:r w:rsidRPr="003353BC">
        <w:rPr>
          <w:szCs w:val="24"/>
        </w:rPr>
        <w:t>and diabetes mellitus</w:t>
      </w:r>
      <w:r w:rsidRPr="003353BC">
        <w:rPr>
          <w:szCs w:val="24"/>
          <w:lang w:val="en-GB"/>
        </w:rPr>
        <w:t>.</w:t>
      </w:r>
    </w:p>
    <w:p w14:paraId="153E13BD" w14:textId="77777777" w:rsidR="00557C61" w:rsidRPr="00B90F07" w:rsidRDefault="00557C61" w:rsidP="00557C61">
      <w:pPr>
        <w:tabs>
          <w:tab w:val="left" w:pos="567"/>
        </w:tabs>
        <w:rPr>
          <w:b/>
          <w:sz w:val="24"/>
          <w:lang w:val="en-GB"/>
        </w:rPr>
      </w:pPr>
      <w:r w:rsidRPr="00B90F07">
        <w:rPr>
          <w:b/>
          <w:sz w:val="24"/>
          <w:lang w:val="en-GB"/>
        </w:rPr>
        <w:t>Tabulated summary of adverse drug reactions from clinical trials in oncology</w:t>
      </w:r>
    </w:p>
    <w:p w14:paraId="0987F4EF" w14:textId="66A527C1" w:rsidR="00557C61" w:rsidRPr="003353BC" w:rsidRDefault="00557C61" w:rsidP="00557C61">
      <w:pPr>
        <w:tabs>
          <w:tab w:val="left" w:pos="567"/>
        </w:tabs>
        <w:spacing w:after="120"/>
      </w:pPr>
      <w:r w:rsidRPr="003353BC">
        <w:rPr>
          <w:lang w:val="en-GB"/>
        </w:rPr>
        <w:fldChar w:fldCharType="begin"/>
      </w:r>
      <w:r w:rsidRPr="003353BC">
        <w:rPr>
          <w:lang w:val="en-GB"/>
        </w:rPr>
        <w:instrText xml:space="preserve"> REF _Ref491097197 \h  \* MERGEFORMAT </w:instrText>
      </w:r>
      <w:r w:rsidRPr="003353BC">
        <w:rPr>
          <w:lang w:val="en-GB"/>
        </w:rPr>
      </w:r>
      <w:r w:rsidRPr="003353BC">
        <w:rPr>
          <w:lang w:val="en-GB"/>
        </w:rPr>
        <w:fldChar w:fldCharType="separate"/>
      </w:r>
      <w:r w:rsidR="00D64407" w:rsidRPr="00D64407">
        <w:rPr>
          <w:lang w:val="en-GB"/>
        </w:rPr>
        <w:t>Table 3</w:t>
      </w:r>
      <w:r w:rsidRPr="003353BC">
        <w:rPr>
          <w:lang w:val="en-GB"/>
        </w:rPr>
        <w:fldChar w:fldCharType="end"/>
      </w:r>
      <w:r w:rsidRPr="003353BC">
        <w:rPr>
          <w:lang w:val="en-GB"/>
        </w:rPr>
        <w:t xml:space="preserve"> presents the frequency category of ADRs</w:t>
      </w:r>
      <w:r w:rsidRPr="003353BC">
        <w:rPr>
          <w:iCs/>
          <w:sz w:val="20"/>
        </w:rPr>
        <w:t xml:space="preserve"> </w:t>
      </w:r>
      <w:r w:rsidRPr="003353BC">
        <w:rPr>
          <w:lang w:val="en-GB"/>
        </w:rPr>
        <w:t xml:space="preserve">reported in the pooled safety analysis from the double-blind treatment phase of each of the phase-III, controlled studies noted above.  </w:t>
      </w:r>
      <w:r w:rsidRPr="003353BC" w:rsidDel="00924146">
        <w:rPr>
          <w:lang w:val="en-GB"/>
        </w:rPr>
        <w:t xml:space="preserve"> </w:t>
      </w:r>
    </w:p>
    <w:p w14:paraId="3FCC1BF0" w14:textId="77777777" w:rsidR="00557C61" w:rsidRPr="003353BC" w:rsidRDefault="00557C61" w:rsidP="00557C61">
      <w:pPr>
        <w:tabs>
          <w:tab w:val="left" w:pos="567"/>
        </w:tabs>
        <w:spacing w:after="120"/>
        <w:rPr>
          <w:sz w:val="20"/>
        </w:rPr>
      </w:pPr>
      <w:r w:rsidRPr="003353BC">
        <w:rPr>
          <w:lang w:val="en-GB"/>
        </w:rPr>
        <w:t xml:space="preserve">ADRs are listed according to </w:t>
      </w:r>
      <w:proofErr w:type="spellStart"/>
      <w:r w:rsidRPr="003353BC">
        <w:rPr>
          <w:lang w:val="en-GB"/>
        </w:rPr>
        <w:t>MedDRA</w:t>
      </w:r>
      <w:proofErr w:type="spellEnd"/>
      <w:r w:rsidRPr="003353BC">
        <w:rPr>
          <w:lang w:val="en-GB"/>
        </w:rPr>
        <w:t xml:space="preserve"> system organ class. Within each system organ class, the adverse reactions are ranked by frequency, with the most frequent reactions first. In addition, the corresponding frequency category using the following convention (CIOMS III) is also provided for each adverse reaction: very common (≥1/10); common (≥1/100 to &lt;1/10); uncommon (≥1/1,000 to &lt;1/100); rare (≥1/10,000 to &lt;1/1,000); very rare (&lt;1/10,000).</w:t>
      </w:r>
    </w:p>
    <w:p w14:paraId="145898FC" w14:textId="77777777" w:rsidR="00557C61" w:rsidRPr="00B90F07" w:rsidRDefault="00557C61" w:rsidP="00557C61">
      <w:pPr>
        <w:pStyle w:val="Caption"/>
        <w:keepNext/>
        <w:ind w:left="1440" w:hanging="1440"/>
        <w:rPr>
          <w:rFonts w:asciiTheme="minorHAnsi" w:hAnsiTheme="minorHAnsi"/>
        </w:rPr>
      </w:pPr>
      <w:bookmarkStart w:id="14" w:name="_Ref491097197"/>
      <w:r w:rsidRPr="00B90F07">
        <w:rPr>
          <w:rFonts w:asciiTheme="minorHAnsi" w:hAnsiTheme="minorHAnsi"/>
        </w:rPr>
        <w:t xml:space="preserve">Table </w:t>
      </w:r>
      <w:r w:rsidRPr="00B90F07">
        <w:rPr>
          <w:rFonts w:asciiTheme="minorHAnsi" w:hAnsiTheme="minorHAnsi"/>
        </w:rPr>
        <w:fldChar w:fldCharType="begin"/>
      </w:r>
      <w:r w:rsidRPr="00B90F07">
        <w:rPr>
          <w:rFonts w:asciiTheme="minorHAnsi" w:hAnsiTheme="minorHAnsi"/>
        </w:rPr>
        <w:instrText xml:space="preserve"> SEQ Table \* ARABIC </w:instrText>
      </w:r>
      <w:r w:rsidRPr="00B90F07">
        <w:rPr>
          <w:rFonts w:asciiTheme="minorHAnsi" w:hAnsiTheme="minorHAnsi"/>
        </w:rPr>
        <w:fldChar w:fldCharType="separate"/>
      </w:r>
      <w:r w:rsidR="00D64407">
        <w:rPr>
          <w:rFonts w:asciiTheme="minorHAnsi" w:hAnsiTheme="minorHAnsi"/>
          <w:noProof/>
        </w:rPr>
        <w:t>3</w:t>
      </w:r>
      <w:r w:rsidRPr="00B90F07">
        <w:rPr>
          <w:rFonts w:asciiTheme="minorHAnsi" w:hAnsiTheme="minorHAnsi"/>
        </w:rPr>
        <w:fldChar w:fldCharType="end"/>
      </w:r>
      <w:bookmarkEnd w:id="14"/>
      <w:r w:rsidRPr="00B90F07">
        <w:rPr>
          <w:rFonts w:asciiTheme="minorHAnsi" w:hAnsiTheme="minorHAnsi"/>
        </w:rPr>
        <w:t xml:space="preserve"> </w:t>
      </w:r>
      <w:r w:rsidRPr="00B90F07">
        <w:rPr>
          <w:rFonts w:asciiTheme="minorHAnsi" w:hAnsiTheme="minorHAnsi"/>
        </w:rPr>
        <w:tab/>
        <w:t xml:space="preserve">Adverse drug reactions from oncology trials reported at a higher rate in the </w:t>
      </w:r>
      <w:proofErr w:type="spellStart"/>
      <w:r w:rsidRPr="00B90F07">
        <w:rPr>
          <w:rFonts w:asciiTheme="minorHAnsi" w:hAnsiTheme="minorHAnsi"/>
        </w:rPr>
        <w:t>Afinitor</w:t>
      </w:r>
      <w:proofErr w:type="spellEnd"/>
      <w:r w:rsidRPr="00B90F07">
        <w:rPr>
          <w:rFonts w:asciiTheme="minorHAnsi" w:hAnsiTheme="minorHAnsi"/>
        </w:rPr>
        <w:t xml:space="preserve"> arm than in the comparator arm</w:t>
      </w:r>
    </w:p>
    <w:tbl>
      <w:tblPr>
        <w:tblW w:w="9285" w:type="dxa"/>
        <w:tblBorders>
          <w:top w:val="single" w:sz="4" w:space="0" w:color="auto"/>
          <w:bottom w:val="single" w:sz="4" w:space="0" w:color="auto"/>
        </w:tblBorders>
        <w:tblLayout w:type="fixed"/>
        <w:tblLook w:val="04A0" w:firstRow="1" w:lastRow="0" w:firstColumn="1" w:lastColumn="0" w:noHBand="0" w:noVBand="1"/>
      </w:tblPr>
      <w:tblGrid>
        <w:gridCol w:w="1727"/>
        <w:gridCol w:w="7558"/>
      </w:tblGrid>
      <w:tr w:rsidR="00557C61" w:rsidRPr="00B90F07" w14:paraId="47ED7BA6" w14:textId="77777777" w:rsidTr="005362D8">
        <w:tc>
          <w:tcPr>
            <w:tcW w:w="9285" w:type="dxa"/>
            <w:gridSpan w:val="2"/>
            <w:tcBorders>
              <w:top w:val="single" w:sz="4" w:space="0" w:color="auto"/>
              <w:left w:val="single" w:sz="4" w:space="0" w:color="auto"/>
              <w:bottom w:val="nil"/>
              <w:right w:val="single" w:sz="4" w:space="0" w:color="auto"/>
            </w:tcBorders>
            <w:hideMark/>
          </w:tcPr>
          <w:p w14:paraId="25F1CA60"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Infections and infestations</w:t>
            </w:r>
          </w:p>
        </w:tc>
      </w:tr>
      <w:tr w:rsidR="00557C61" w:rsidRPr="00B90F07" w14:paraId="3F22AE5B" w14:textId="77777777" w:rsidTr="005362D8">
        <w:tc>
          <w:tcPr>
            <w:tcW w:w="1727" w:type="dxa"/>
            <w:tcBorders>
              <w:top w:val="nil"/>
              <w:left w:val="single" w:sz="4" w:space="0" w:color="auto"/>
              <w:bottom w:val="single" w:sz="4" w:space="0" w:color="auto"/>
              <w:right w:val="nil"/>
            </w:tcBorders>
            <w:hideMark/>
          </w:tcPr>
          <w:p w14:paraId="7CAD60AC"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Very common</w:t>
            </w:r>
          </w:p>
        </w:tc>
        <w:tc>
          <w:tcPr>
            <w:tcW w:w="7558" w:type="dxa"/>
            <w:tcBorders>
              <w:top w:val="nil"/>
              <w:left w:val="nil"/>
              <w:bottom w:val="single" w:sz="4" w:space="0" w:color="auto"/>
              <w:right w:val="single" w:sz="4" w:space="0" w:color="auto"/>
            </w:tcBorders>
            <w:hideMark/>
          </w:tcPr>
          <w:p w14:paraId="2262B0BB" w14:textId="77777777" w:rsidR="00557C61" w:rsidRPr="00B90F07" w:rsidRDefault="00557C61" w:rsidP="005362D8">
            <w:pPr>
              <w:pStyle w:val="Text"/>
              <w:rPr>
                <w:rFonts w:asciiTheme="minorHAnsi" w:hAnsiTheme="minorHAnsi" w:cs="Arial"/>
                <w:sz w:val="18"/>
                <w:szCs w:val="18"/>
                <w:lang w:eastAsia="ja-JP"/>
              </w:rPr>
            </w:pPr>
            <w:proofErr w:type="spellStart"/>
            <w:r w:rsidRPr="00B90F07">
              <w:rPr>
                <w:rFonts w:asciiTheme="minorHAnsi" w:hAnsiTheme="minorHAnsi" w:cs="Arial"/>
                <w:bCs/>
                <w:sz w:val="18"/>
                <w:szCs w:val="18"/>
              </w:rPr>
              <w:t>Infections</w:t>
            </w:r>
            <w:r w:rsidRPr="00B90F07">
              <w:rPr>
                <w:rFonts w:asciiTheme="minorHAnsi" w:hAnsiTheme="minorHAnsi" w:cs="Arial"/>
                <w:bCs/>
                <w:sz w:val="18"/>
                <w:szCs w:val="18"/>
                <w:vertAlign w:val="superscript"/>
              </w:rPr>
              <w:t>a</w:t>
            </w:r>
            <w:proofErr w:type="spellEnd"/>
          </w:p>
        </w:tc>
      </w:tr>
      <w:tr w:rsidR="00557C61" w:rsidRPr="00B90F07" w14:paraId="5F9C6219" w14:textId="77777777" w:rsidTr="005362D8">
        <w:tc>
          <w:tcPr>
            <w:tcW w:w="9285" w:type="dxa"/>
            <w:gridSpan w:val="2"/>
            <w:tcBorders>
              <w:top w:val="single" w:sz="4" w:space="0" w:color="auto"/>
              <w:left w:val="single" w:sz="4" w:space="0" w:color="auto"/>
              <w:bottom w:val="nil"/>
              <w:right w:val="single" w:sz="4" w:space="0" w:color="auto"/>
            </w:tcBorders>
            <w:hideMark/>
          </w:tcPr>
          <w:p w14:paraId="3087AA48"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Blood and lymphatic system disorders</w:t>
            </w:r>
          </w:p>
        </w:tc>
      </w:tr>
      <w:tr w:rsidR="00557C61" w:rsidRPr="00B90F07" w14:paraId="3D97270A" w14:textId="77777777" w:rsidTr="005362D8">
        <w:tc>
          <w:tcPr>
            <w:tcW w:w="1727" w:type="dxa"/>
            <w:tcBorders>
              <w:top w:val="nil"/>
              <w:left w:val="single" w:sz="4" w:space="0" w:color="auto"/>
              <w:bottom w:val="nil"/>
              <w:right w:val="nil"/>
            </w:tcBorders>
            <w:hideMark/>
          </w:tcPr>
          <w:p w14:paraId="0D6C4009"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Very common</w:t>
            </w:r>
          </w:p>
        </w:tc>
        <w:tc>
          <w:tcPr>
            <w:tcW w:w="7558" w:type="dxa"/>
            <w:tcBorders>
              <w:top w:val="nil"/>
              <w:left w:val="nil"/>
              <w:bottom w:val="nil"/>
              <w:right w:val="single" w:sz="4" w:space="0" w:color="auto"/>
            </w:tcBorders>
            <w:hideMark/>
          </w:tcPr>
          <w:p w14:paraId="0CE162C7" w14:textId="77777777" w:rsidR="00557C61" w:rsidRPr="00B90F07" w:rsidRDefault="00557C61" w:rsidP="005362D8">
            <w:pPr>
              <w:pStyle w:val="Text"/>
              <w:rPr>
                <w:rFonts w:asciiTheme="minorHAnsi" w:hAnsiTheme="minorHAnsi" w:cs="Arial"/>
                <w:sz w:val="18"/>
                <w:szCs w:val="18"/>
                <w:lang w:eastAsia="ja-JP"/>
              </w:rPr>
            </w:pPr>
            <w:proofErr w:type="spellStart"/>
            <w:r w:rsidRPr="00B90F07">
              <w:rPr>
                <w:rFonts w:asciiTheme="minorHAnsi" w:hAnsiTheme="minorHAnsi" w:cs="Arial"/>
                <w:bCs/>
                <w:sz w:val="18"/>
                <w:szCs w:val="18"/>
              </w:rPr>
              <w:t>Anemia</w:t>
            </w:r>
            <w:proofErr w:type="spellEnd"/>
          </w:p>
        </w:tc>
      </w:tr>
      <w:tr w:rsidR="00557C61" w:rsidRPr="00B90F07" w14:paraId="463C261E" w14:textId="77777777" w:rsidTr="005362D8">
        <w:tc>
          <w:tcPr>
            <w:tcW w:w="1727" w:type="dxa"/>
            <w:tcBorders>
              <w:top w:val="nil"/>
              <w:left w:val="single" w:sz="4" w:space="0" w:color="auto"/>
              <w:bottom w:val="nil"/>
              <w:right w:val="nil"/>
            </w:tcBorders>
            <w:hideMark/>
          </w:tcPr>
          <w:p w14:paraId="6AC16DB1"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558" w:type="dxa"/>
            <w:tcBorders>
              <w:top w:val="nil"/>
              <w:left w:val="nil"/>
              <w:bottom w:val="nil"/>
              <w:right w:val="single" w:sz="4" w:space="0" w:color="auto"/>
            </w:tcBorders>
            <w:hideMark/>
          </w:tcPr>
          <w:p w14:paraId="199A0EF2"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Thrombocytopenia, neutropenia, leukopenia,</w:t>
            </w:r>
            <w:r w:rsidRPr="00B90F07">
              <w:rPr>
                <w:rFonts w:asciiTheme="minorHAnsi" w:hAnsiTheme="minorHAnsi" w:cs="Arial"/>
                <w:sz w:val="18"/>
                <w:szCs w:val="18"/>
              </w:rPr>
              <w:t xml:space="preserve"> </w:t>
            </w:r>
            <w:r w:rsidRPr="00B90F07">
              <w:rPr>
                <w:rFonts w:asciiTheme="minorHAnsi" w:hAnsiTheme="minorHAnsi" w:cs="Arial"/>
                <w:bCs/>
                <w:sz w:val="18"/>
                <w:szCs w:val="18"/>
              </w:rPr>
              <w:t xml:space="preserve">lymphopenia </w:t>
            </w:r>
          </w:p>
        </w:tc>
      </w:tr>
      <w:tr w:rsidR="00557C61" w:rsidRPr="00B90F07" w14:paraId="4E9409B5" w14:textId="77777777" w:rsidTr="005362D8">
        <w:tc>
          <w:tcPr>
            <w:tcW w:w="1727" w:type="dxa"/>
            <w:tcBorders>
              <w:top w:val="nil"/>
              <w:left w:val="single" w:sz="4" w:space="0" w:color="auto"/>
              <w:bottom w:val="single" w:sz="4" w:space="0" w:color="auto"/>
              <w:right w:val="nil"/>
            </w:tcBorders>
            <w:hideMark/>
          </w:tcPr>
          <w:p w14:paraId="0C8F1C53" w14:textId="77777777" w:rsidR="00557C61" w:rsidRPr="00B90F07" w:rsidRDefault="00557C61" w:rsidP="005362D8">
            <w:pPr>
              <w:pStyle w:val="Text"/>
              <w:rPr>
                <w:rFonts w:asciiTheme="minorHAnsi" w:hAnsiTheme="minorHAnsi" w:cs="Arial"/>
                <w:bCs/>
                <w:sz w:val="18"/>
                <w:szCs w:val="18"/>
              </w:rPr>
            </w:pPr>
            <w:r w:rsidRPr="00B90F07">
              <w:rPr>
                <w:rFonts w:asciiTheme="minorHAnsi" w:hAnsiTheme="minorHAnsi" w:cs="Arial"/>
                <w:bCs/>
                <w:sz w:val="18"/>
                <w:szCs w:val="18"/>
              </w:rPr>
              <w:t>Uncommon</w:t>
            </w:r>
          </w:p>
          <w:p w14:paraId="693E644E"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Rare</w:t>
            </w:r>
          </w:p>
        </w:tc>
        <w:tc>
          <w:tcPr>
            <w:tcW w:w="7558" w:type="dxa"/>
            <w:tcBorders>
              <w:top w:val="nil"/>
              <w:left w:val="nil"/>
              <w:bottom w:val="single" w:sz="4" w:space="0" w:color="auto"/>
              <w:right w:val="single" w:sz="4" w:space="0" w:color="auto"/>
            </w:tcBorders>
            <w:hideMark/>
          </w:tcPr>
          <w:p w14:paraId="199B0178" w14:textId="77777777" w:rsidR="00557C61" w:rsidRPr="00B90F07" w:rsidRDefault="00557C61" w:rsidP="005362D8">
            <w:pPr>
              <w:pStyle w:val="Text"/>
              <w:rPr>
                <w:rFonts w:asciiTheme="minorHAnsi" w:hAnsiTheme="minorHAnsi" w:cs="Arial"/>
                <w:sz w:val="18"/>
                <w:szCs w:val="18"/>
              </w:rPr>
            </w:pPr>
            <w:r w:rsidRPr="00B90F07">
              <w:rPr>
                <w:rFonts w:asciiTheme="minorHAnsi" w:hAnsiTheme="minorHAnsi" w:cs="Arial"/>
                <w:sz w:val="18"/>
                <w:szCs w:val="18"/>
              </w:rPr>
              <w:t>Pancytopenia</w:t>
            </w:r>
          </w:p>
          <w:p w14:paraId="6A94191B"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sz w:val="18"/>
                <w:szCs w:val="18"/>
              </w:rPr>
              <w:t>Pure red cell aplasia</w:t>
            </w:r>
          </w:p>
        </w:tc>
      </w:tr>
      <w:tr w:rsidR="00557C61" w:rsidRPr="00B90F07" w14:paraId="1D340B3C" w14:textId="77777777" w:rsidTr="005362D8">
        <w:tc>
          <w:tcPr>
            <w:tcW w:w="9285" w:type="dxa"/>
            <w:gridSpan w:val="2"/>
            <w:tcBorders>
              <w:top w:val="single" w:sz="4" w:space="0" w:color="auto"/>
              <w:left w:val="single" w:sz="4" w:space="0" w:color="auto"/>
              <w:bottom w:val="nil"/>
              <w:right w:val="single" w:sz="4" w:space="0" w:color="auto"/>
            </w:tcBorders>
            <w:hideMark/>
          </w:tcPr>
          <w:p w14:paraId="204549FC"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Immune system disorders</w:t>
            </w:r>
          </w:p>
        </w:tc>
      </w:tr>
      <w:tr w:rsidR="00557C61" w:rsidRPr="00B90F07" w14:paraId="238B70E2" w14:textId="77777777" w:rsidTr="005362D8">
        <w:tc>
          <w:tcPr>
            <w:tcW w:w="1727" w:type="dxa"/>
            <w:tcBorders>
              <w:top w:val="nil"/>
              <w:left w:val="single" w:sz="4" w:space="0" w:color="auto"/>
              <w:bottom w:val="single" w:sz="4" w:space="0" w:color="auto"/>
              <w:right w:val="nil"/>
            </w:tcBorders>
            <w:hideMark/>
          </w:tcPr>
          <w:p w14:paraId="709FC999"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Uncommon</w:t>
            </w:r>
          </w:p>
        </w:tc>
        <w:tc>
          <w:tcPr>
            <w:tcW w:w="7558" w:type="dxa"/>
            <w:tcBorders>
              <w:top w:val="nil"/>
              <w:left w:val="nil"/>
              <w:bottom w:val="single" w:sz="4" w:space="0" w:color="auto"/>
              <w:right w:val="single" w:sz="4" w:space="0" w:color="auto"/>
            </w:tcBorders>
            <w:hideMark/>
          </w:tcPr>
          <w:p w14:paraId="3D05D364"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Hypersensitivity</w:t>
            </w:r>
          </w:p>
        </w:tc>
      </w:tr>
      <w:tr w:rsidR="00557C61" w:rsidRPr="00B90F07" w14:paraId="4EBBBC91" w14:textId="77777777" w:rsidTr="005362D8">
        <w:tc>
          <w:tcPr>
            <w:tcW w:w="9285" w:type="dxa"/>
            <w:gridSpan w:val="2"/>
            <w:tcBorders>
              <w:top w:val="single" w:sz="4" w:space="0" w:color="auto"/>
              <w:left w:val="single" w:sz="4" w:space="0" w:color="auto"/>
              <w:bottom w:val="nil"/>
              <w:right w:val="single" w:sz="4" w:space="0" w:color="auto"/>
            </w:tcBorders>
            <w:hideMark/>
          </w:tcPr>
          <w:p w14:paraId="37764181"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Metabolism and nutrition disorders</w:t>
            </w:r>
          </w:p>
        </w:tc>
      </w:tr>
      <w:tr w:rsidR="00557C61" w:rsidRPr="00B90F07" w14:paraId="52218D28" w14:textId="77777777" w:rsidTr="005362D8">
        <w:tc>
          <w:tcPr>
            <w:tcW w:w="1727" w:type="dxa"/>
            <w:tcBorders>
              <w:top w:val="nil"/>
              <w:left w:val="single" w:sz="4" w:space="0" w:color="auto"/>
              <w:bottom w:val="nil"/>
              <w:right w:val="nil"/>
            </w:tcBorders>
            <w:hideMark/>
          </w:tcPr>
          <w:p w14:paraId="133DE430"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Very common</w:t>
            </w:r>
          </w:p>
        </w:tc>
        <w:tc>
          <w:tcPr>
            <w:tcW w:w="7558" w:type="dxa"/>
            <w:tcBorders>
              <w:top w:val="nil"/>
              <w:left w:val="nil"/>
              <w:bottom w:val="nil"/>
              <w:right w:val="single" w:sz="4" w:space="0" w:color="auto"/>
            </w:tcBorders>
            <w:hideMark/>
          </w:tcPr>
          <w:p w14:paraId="4867D34A"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 xml:space="preserve">Decreased appetite, </w:t>
            </w:r>
            <w:proofErr w:type="spellStart"/>
            <w:r w:rsidRPr="00B90F07">
              <w:rPr>
                <w:rFonts w:asciiTheme="minorHAnsi" w:hAnsiTheme="minorHAnsi" w:cs="Arial"/>
                <w:bCs/>
                <w:sz w:val="18"/>
                <w:szCs w:val="18"/>
              </w:rPr>
              <w:t>hyperglycemia</w:t>
            </w:r>
            <w:proofErr w:type="spellEnd"/>
            <w:r w:rsidRPr="00B90F07">
              <w:rPr>
                <w:rFonts w:asciiTheme="minorHAnsi" w:hAnsiTheme="minorHAnsi" w:cs="Arial"/>
                <w:bCs/>
                <w:sz w:val="18"/>
                <w:szCs w:val="18"/>
              </w:rPr>
              <w:t>, hypercholesterolemia</w:t>
            </w:r>
          </w:p>
        </w:tc>
      </w:tr>
      <w:tr w:rsidR="00557C61" w:rsidRPr="00B90F07" w14:paraId="17D08DA0" w14:textId="77777777" w:rsidTr="005362D8">
        <w:tc>
          <w:tcPr>
            <w:tcW w:w="1727" w:type="dxa"/>
            <w:tcBorders>
              <w:top w:val="nil"/>
              <w:left w:val="single" w:sz="4" w:space="0" w:color="auto"/>
              <w:bottom w:val="nil"/>
              <w:right w:val="nil"/>
            </w:tcBorders>
            <w:hideMark/>
          </w:tcPr>
          <w:p w14:paraId="6C31181D"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558" w:type="dxa"/>
            <w:tcBorders>
              <w:top w:val="nil"/>
              <w:left w:val="nil"/>
              <w:bottom w:val="nil"/>
              <w:right w:val="single" w:sz="4" w:space="0" w:color="auto"/>
            </w:tcBorders>
            <w:hideMark/>
          </w:tcPr>
          <w:p w14:paraId="3276EF8C"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 xml:space="preserve">Hypertriglyceridemia, hypophosphatemia, diabetes mellitus, </w:t>
            </w:r>
            <w:proofErr w:type="spellStart"/>
            <w:r w:rsidRPr="00B90F07">
              <w:rPr>
                <w:rFonts w:asciiTheme="minorHAnsi" w:hAnsiTheme="minorHAnsi" w:cs="Arial"/>
                <w:bCs/>
                <w:sz w:val="18"/>
                <w:szCs w:val="18"/>
              </w:rPr>
              <w:t>hyperlipidemia</w:t>
            </w:r>
            <w:proofErr w:type="spellEnd"/>
            <w:r w:rsidRPr="00B90F07">
              <w:rPr>
                <w:rFonts w:asciiTheme="minorHAnsi" w:hAnsiTheme="minorHAnsi" w:cs="Arial"/>
                <w:bCs/>
                <w:sz w:val="18"/>
                <w:szCs w:val="18"/>
              </w:rPr>
              <w:t xml:space="preserve">, </w:t>
            </w:r>
            <w:proofErr w:type="spellStart"/>
            <w:r w:rsidRPr="00B90F07">
              <w:rPr>
                <w:rFonts w:asciiTheme="minorHAnsi" w:hAnsiTheme="minorHAnsi" w:cs="Arial"/>
                <w:bCs/>
                <w:sz w:val="18"/>
                <w:szCs w:val="18"/>
              </w:rPr>
              <w:t>hypokalemia</w:t>
            </w:r>
            <w:proofErr w:type="spellEnd"/>
            <w:r w:rsidRPr="00B90F07">
              <w:rPr>
                <w:rFonts w:asciiTheme="minorHAnsi" w:hAnsiTheme="minorHAnsi" w:cs="Arial"/>
                <w:bCs/>
                <w:sz w:val="18"/>
                <w:szCs w:val="18"/>
              </w:rPr>
              <w:t>, dehydration</w:t>
            </w:r>
          </w:p>
        </w:tc>
      </w:tr>
      <w:tr w:rsidR="00557C61" w:rsidRPr="00B90F07" w14:paraId="4A4C6D77" w14:textId="77777777" w:rsidTr="005362D8">
        <w:tc>
          <w:tcPr>
            <w:tcW w:w="9285" w:type="dxa"/>
            <w:gridSpan w:val="2"/>
            <w:tcBorders>
              <w:top w:val="single" w:sz="4" w:space="0" w:color="auto"/>
              <w:left w:val="single" w:sz="4" w:space="0" w:color="auto"/>
              <w:bottom w:val="nil"/>
              <w:right w:val="single" w:sz="4" w:space="0" w:color="auto"/>
            </w:tcBorders>
            <w:hideMark/>
          </w:tcPr>
          <w:p w14:paraId="36D5FCB5"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Psychiatric disorders</w:t>
            </w:r>
          </w:p>
        </w:tc>
      </w:tr>
      <w:tr w:rsidR="00557C61" w:rsidRPr="00B90F07" w14:paraId="2855B65B" w14:textId="77777777" w:rsidTr="005362D8">
        <w:tc>
          <w:tcPr>
            <w:tcW w:w="1727" w:type="dxa"/>
            <w:tcBorders>
              <w:top w:val="nil"/>
              <w:left w:val="single" w:sz="4" w:space="0" w:color="auto"/>
              <w:bottom w:val="single" w:sz="4" w:space="0" w:color="auto"/>
              <w:right w:val="nil"/>
            </w:tcBorders>
            <w:hideMark/>
          </w:tcPr>
          <w:p w14:paraId="71105388"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558" w:type="dxa"/>
            <w:tcBorders>
              <w:top w:val="nil"/>
              <w:left w:val="nil"/>
              <w:bottom w:val="single" w:sz="4" w:space="0" w:color="auto"/>
              <w:right w:val="single" w:sz="4" w:space="0" w:color="auto"/>
            </w:tcBorders>
            <w:hideMark/>
          </w:tcPr>
          <w:p w14:paraId="1A61786D"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Insomnia</w:t>
            </w:r>
          </w:p>
        </w:tc>
      </w:tr>
      <w:tr w:rsidR="00557C61" w:rsidRPr="00B90F07" w14:paraId="1B4584BE" w14:textId="77777777" w:rsidTr="005362D8">
        <w:tc>
          <w:tcPr>
            <w:tcW w:w="9285" w:type="dxa"/>
            <w:gridSpan w:val="2"/>
            <w:tcBorders>
              <w:top w:val="single" w:sz="4" w:space="0" w:color="auto"/>
              <w:left w:val="single" w:sz="4" w:space="0" w:color="auto"/>
              <w:bottom w:val="nil"/>
              <w:right w:val="single" w:sz="4" w:space="0" w:color="auto"/>
            </w:tcBorders>
            <w:hideMark/>
          </w:tcPr>
          <w:p w14:paraId="7B4182D8"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Nervous system disorders</w:t>
            </w:r>
          </w:p>
        </w:tc>
      </w:tr>
      <w:tr w:rsidR="00557C61" w:rsidRPr="00B90F07" w14:paraId="248EAAEB" w14:textId="77777777" w:rsidTr="005362D8">
        <w:tc>
          <w:tcPr>
            <w:tcW w:w="1727" w:type="dxa"/>
            <w:tcBorders>
              <w:top w:val="nil"/>
              <w:left w:val="single" w:sz="4" w:space="0" w:color="auto"/>
              <w:bottom w:val="nil"/>
              <w:right w:val="nil"/>
            </w:tcBorders>
            <w:hideMark/>
          </w:tcPr>
          <w:p w14:paraId="550232A2"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Very common</w:t>
            </w:r>
          </w:p>
        </w:tc>
        <w:tc>
          <w:tcPr>
            <w:tcW w:w="7558" w:type="dxa"/>
            <w:tcBorders>
              <w:top w:val="nil"/>
              <w:left w:val="nil"/>
              <w:bottom w:val="nil"/>
              <w:right w:val="single" w:sz="4" w:space="0" w:color="auto"/>
            </w:tcBorders>
            <w:hideMark/>
          </w:tcPr>
          <w:p w14:paraId="505D40E0" w14:textId="77777777" w:rsidR="00557C61" w:rsidRPr="00B90F07" w:rsidRDefault="00557C61" w:rsidP="005362D8">
            <w:pPr>
              <w:pStyle w:val="Text"/>
              <w:rPr>
                <w:rFonts w:asciiTheme="minorHAnsi" w:hAnsiTheme="minorHAnsi" w:cs="Arial"/>
                <w:sz w:val="18"/>
                <w:szCs w:val="18"/>
                <w:lang w:eastAsia="ja-JP"/>
              </w:rPr>
            </w:pPr>
            <w:proofErr w:type="spellStart"/>
            <w:r w:rsidRPr="00B90F07">
              <w:rPr>
                <w:rFonts w:asciiTheme="minorHAnsi" w:hAnsiTheme="minorHAnsi" w:cs="Arial"/>
                <w:bCs/>
                <w:sz w:val="18"/>
                <w:szCs w:val="18"/>
              </w:rPr>
              <w:t>Dysgeusia</w:t>
            </w:r>
            <w:proofErr w:type="spellEnd"/>
            <w:r w:rsidRPr="00B90F07">
              <w:rPr>
                <w:rFonts w:asciiTheme="minorHAnsi" w:hAnsiTheme="minorHAnsi" w:cs="Arial"/>
                <w:bCs/>
                <w:sz w:val="18"/>
                <w:szCs w:val="18"/>
              </w:rPr>
              <w:t>, headache</w:t>
            </w:r>
          </w:p>
        </w:tc>
      </w:tr>
      <w:tr w:rsidR="00557C61" w:rsidRPr="00B90F07" w14:paraId="27DD4ADD" w14:textId="77777777" w:rsidTr="005362D8">
        <w:tc>
          <w:tcPr>
            <w:tcW w:w="1727" w:type="dxa"/>
            <w:tcBorders>
              <w:top w:val="nil"/>
              <w:left w:val="single" w:sz="4" w:space="0" w:color="auto"/>
              <w:bottom w:val="single" w:sz="4" w:space="0" w:color="auto"/>
              <w:right w:val="nil"/>
            </w:tcBorders>
            <w:hideMark/>
          </w:tcPr>
          <w:p w14:paraId="103FAF2C"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Uncommon</w:t>
            </w:r>
          </w:p>
        </w:tc>
        <w:tc>
          <w:tcPr>
            <w:tcW w:w="7558" w:type="dxa"/>
            <w:tcBorders>
              <w:top w:val="nil"/>
              <w:left w:val="nil"/>
              <w:bottom w:val="single" w:sz="4" w:space="0" w:color="auto"/>
              <w:right w:val="single" w:sz="4" w:space="0" w:color="auto"/>
            </w:tcBorders>
            <w:hideMark/>
          </w:tcPr>
          <w:p w14:paraId="762FEE7E" w14:textId="77777777" w:rsidR="00557C61" w:rsidRPr="00B90F07" w:rsidRDefault="00557C61" w:rsidP="005362D8">
            <w:pPr>
              <w:pStyle w:val="Text"/>
              <w:rPr>
                <w:rFonts w:asciiTheme="minorHAnsi" w:hAnsiTheme="minorHAnsi" w:cs="Arial"/>
                <w:sz w:val="18"/>
                <w:szCs w:val="18"/>
                <w:lang w:eastAsia="ja-JP"/>
              </w:rPr>
            </w:pPr>
            <w:proofErr w:type="spellStart"/>
            <w:r w:rsidRPr="00B90F07">
              <w:rPr>
                <w:rFonts w:asciiTheme="minorHAnsi" w:hAnsiTheme="minorHAnsi" w:cs="Arial"/>
                <w:bCs/>
                <w:sz w:val="18"/>
                <w:szCs w:val="18"/>
              </w:rPr>
              <w:t>Ageusia</w:t>
            </w:r>
            <w:proofErr w:type="spellEnd"/>
          </w:p>
        </w:tc>
      </w:tr>
      <w:tr w:rsidR="00557C61" w:rsidRPr="00B90F07" w14:paraId="2FF5CF4C" w14:textId="77777777" w:rsidTr="005362D8">
        <w:tc>
          <w:tcPr>
            <w:tcW w:w="9285" w:type="dxa"/>
            <w:gridSpan w:val="2"/>
            <w:tcBorders>
              <w:top w:val="single" w:sz="4" w:space="0" w:color="auto"/>
              <w:left w:val="single" w:sz="4" w:space="0" w:color="auto"/>
              <w:bottom w:val="nil"/>
              <w:right w:val="single" w:sz="4" w:space="0" w:color="auto"/>
            </w:tcBorders>
            <w:hideMark/>
          </w:tcPr>
          <w:p w14:paraId="6F8DDA1F"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Cardiac disorders</w:t>
            </w:r>
          </w:p>
        </w:tc>
      </w:tr>
      <w:tr w:rsidR="00557C61" w:rsidRPr="00B90F07" w14:paraId="7673169A" w14:textId="77777777" w:rsidTr="005362D8">
        <w:tc>
          <w:tcPr>
            <w:tcW w:w="1727" w:type="dxa"/>
            <w:tcBorders>
              <w:top w:val="nil"/>
              <w:left w:val="single" w:sz="4" w:space="0" w:color="auto"/>
              <w:bottom w:val="single" w:sz="4" w:space="0" w:color="auto"/>
              <w:right w:val="nil"/>
            </w:tcBorders>
            <w:hideMark/>
          </w:tcPr>
          <w:p w14:paraId="041E7027"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Uncommon</w:t>
            </w:r>
          </w:p>
        </w:tc>
        <w:tc>
          <w:tcPr>
            <w:tcW w:w="7558" w:type="dxa"/>
            <w:tcBorders>
              <w:top w:val="nil"/>
              <w:left w:val="nil"/>
              <w:bottom w:val="single" w:sz="4" w:space="0" w:color="auto"/>
              <w:right w:val="single" w:sz="4" w:space="0" w:color="auto"/>
            </w:tcBorders>
            <w:hideMark/>
          </w:tcPr>
          <w:p w14:paraId="1EC13DF8"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Congestive cardiac failure</w:t>
            </w:r>
          </w:p>
        </w:tc>
      </w:tr>
      <w:tr w:rsidR="00557C61" w:rsidRPr="00B90F07" w14:paraId="31C9041C" w14:textId="77777777" w:rsidTr="005362D8">
        <w:tc>
          <w:tcPr>
            <w:tcW w:w="9285" w:type="dxa"/>
            <w:gridSpan w:val="2"/>
            <w:tcBorders>
              <w:top w:val="single" w:sz="4" w:space="0" w:color="auto"/>
              <w:left w:val="single" w:sz="4" w:space="0" w:color="auto"/>
              <w:bottom w:val="nil"/>
              <w:right w:val="single" w:sz="4" w:space="0" w:color="auto"/>
            </w:tcBorders>
            <w:hideMark/>
          </w:tcPr>
          <w:p w14:paraId="38370509"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Vascular disorders</w:t>
            </w:r>
          </w:p>
        </w:tc>
      </w:tr>
      <w:tr w:rsidR="00557C61" w:rsidRPr="00B90F07" w14:paraId="0D643027" w14:textId="77777777" w:rsidTr="005362D8">
        <w:tc>
          <w:tcPr>
            <w:tcW w:w="1727" w:type="dxa"/>
            <w:tcBorders>
              <w:top w:val="nil"/>
              <w:left w:val="single" w:sz="4" w:space="0" w:color="auto"/>
              <w:bottom w:val="nil"/>
              <w:right w:val="nil"/>
            </w:tcBorders>
            <w:hideMark/>
          </w:tcPr>
          <w:p w14:paraId="07AF77D9"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558" w:type="dxa"/>
            <w:tcBorders>
              <w:top w:val="nil"/>
              <w:left w:val="nil"/>
              <w:bottom w:val="nil"/>
              <w:right w:val="single" w:sz="4" w:space="0" w:color="auto"/>
            </w:tcBorders>
            <w:hideMark/>
          </w:tcPr>
          <w:p w14:paraId="719572DB" w14:textId="77777777" w:rsidR="00557C61" w:rsidRPr="00B90F07" w:rsidRDefault="00557C61" w:rsidP="005362D8">
            <w:pPr>
              <w:pStyle w:val="Text"/>
              <w:rPr>
                <w:rFonts w:asciiTheme="minorHAnsi" w:hAnsiTheme="minorHAnsi" w:cs="Arial"/>
                <w:sz w:val="18"/>
                <w:szCs w:val="18"/>
                <w:lang w:eastAsia="ja-JP"/>
              </w:rPr>
            </w:pPr>
            <w:proofErr w:type="spellStart"/>
            <w:r w:rsidRPr="00B90F07">
              <w:rPr>
                <w:rFonts w:asciiTheme="minorHAnsi" w:hAnsiTheme="minorHAnsi" w:cs="Arial"/>
                <w:bCs/>
                <w:sz w:val="18"/>
                <w:szCs w:val="18"/>
              </w:rPr>
              <w:t>Hemorrhage</w:t>
            </w:r>
            <w:r w:rsidRPr="00B90F07">
              <w:rPr>
                <w:rFonts w:asciiTheme="minorHAnsi" w:hAnsiTheme="minorHAnsi" w:cs="Arial"/>
                <w:bCs/>
                <w:sz w:val="18"/>
                <w:szCs w:val="18"/>
                <w:vertAlign w:val="superscript"/>
              </w:rPr>
              <w:t>b</w:t>
            </w:r>
            <w:proofErr w:type="spellEnd"/>
            <w:r w:rsidRPr="00B90F07">
              <w:rPr>
                <w:rFonts w:asciiTheme="minorHAnsi" w:hAnsiTheme="minorHAnsi" w:cs="Arial"/>
                <w:bCs/>
                <w:sz w:val="18"/>
                <w:szCs w:val="18"/>
              </w:rPr>
              <w:t xml:space="preserve"> , hypertension</w:t>
            </w:r>
          </w:p>
        </w:tc>
      </w:tr>
      <w:tr w:rsidR="00557C61" w:rsidRPr="00B90F07" w14:paraId="4E572EFB" w14:textId="77777777" w:rsidTr="005362D8">
        <w:tc>
          <w:tcPr>
            <w:tcW w:w="1727" w:type="dxa"/>
            <w:tcBorders>
              <w:top w:val="nil"/>
              <w:left w:val="single" w:sz="4" w:space="0" w:color="auto"/>
              <w:bottom w:val="nil"/>
              <w:right w:val="nil"/>
            </w:tcBorders>
            <w:hideMark/>
          </w:tcPr>
          <w:p w14:paraId="5797ED8E"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Uncommon</w:t>
            </w:r>
          </w:p>
        </w:tc>
        <w:tc>
          <w:tcPr>
            <w:tcW w:w="7558" w:type="dxa"/>
            <w:tcBorders>
              <w:top w:val="nil"/>
              <w:left w:val="nil"/>
              <w:bottom w:val="nil"/>
              <w:right w:val="single" w:sz="4" w:space="0" w:color="auto"/>
            </w:tcBorders>
            <w:hideMark/>
          </w:tcPr>
          <w:p w14:paraId="7A8152EC"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Deep vein thrombosis</w:t>
            </w:r>
          </w:p>
        </w:tc>
      </w:tr>
      <w:tr w:rsidR="00557C61" w:rsidRPr="00B90F07" w14:paraId="2AACD9E8" w14:textId="77777777" w:rsidTr="005362D8">
        <w:tc>
          <w:tcPr>
            <w:tcW w:w="9285" w:type="dxa"/>
            <w:gridSpan w:val="2"/>
            <w:tcBorders>
              <w:top w:val="single" w:sz="4" w:space="0" w:color="auto"/>
              <w:left w:val="single" w:sz="4" w:space="0" w:color="auto"/>
              <w:bottom w:val="nil"/>
              <w:right w:val="single" w:sz="4" w:space="0" w:color="auto"/>
            </w:tcBorders>
            <w:hideMark/>
          </w:tcPr>
          <w:p w14:paraId="01B227C8"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Respiratory, thoracic and mediastinal disorders</w:t>
            </w:r>
          </w:p>
        </w:tc>
      </w:tr>
      <w:tr w:rsidR="00557C61" w:rsidRPr="00B90F07" w14:paraId="13C3F146" w14:textId="77777777" w:rsidTr="005362D8">
        <w:tc>
          <w:tcPr>
            <w:tcW w:w="1727" w:type="dxa"/>
            <w:tcBorders>
              <w:top w:val="nil"/>
              <w:left w:val="single" w:sz="4" w:space="0" w:color="auto"/>
              <w:bottom w:val="nil"/>
              <w:right w:val="nil"/>
            </w:tcBorders>
            <w:hideMark/>
          </w:tcPr>
          <w:p w14:paraId="4430603E" w14:textId="77777777" w:rsidR="00557C61" w:rsidRPr="00B90F07" w:rsidRDefault="00557C61" w:rsidP="005362D8">
            <w:pPr>
              <w:pStyle w:val="Text"/>
              <w:rPr>
                <w:rFonts w:asciiTheme="minorHAnsi" w:hAnsiTheme="minorHAnsi" w:cs="Arial"/>
                <w:bCs/>
                <w:sz w:val="18"/>
                <w:szCs w:val="18"/>
              </w:rPr>
            </w:pPr>
            <w:r w:rsidRPr="00B90F07">
              <w:rPr>
                <w:rFonts w:asciiTheme="minorHAnsi" w:hAnsiTheme="minorHAnsi" w:cs="Arial"/>
                <w:bCs/>
                <w:sz w:val="18"/>
                <w:szCs w:val="18"/>
              </w:rPr>
              <w:t>Very common</w:t>
            </w:r>
          </w:p>
          <w:p w14:paraId="0EE8F588"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lastRenderedPageBreak/>
              <w:t>Common</w:t>
            </w:r>
          </w:p>
        </w:tc>
        <w:tc>
          <w:tcPr>
            <w:tcW w:w="7558" w:type="dxa"/>
            <w:tcBorders>
              <w:top w:val="nil"/>
              <w:left w:val="nil"/>
              <w:bottom w:val="nil"/>
              <w:right w:val="single" w:sz="4" w:space="0" w:color="auto"/>
            </w:tcBorders>
            <w:hideMark/>
          </w:tcPr>
          <w:p w14:paraId="1A200F11" w14:textId="77777777" w:rsidR="00557C61" w:rsidRPr="00B90F07" w:rsidRDefault="00557C61" w:rsidP="005362D8">
            <w:pPr>
              <w:pStyle w:val="Text"/>
              <w:rPr>
                <w:rFonts w:asciiTheme="minorHAnsi" w:hAnsiTheme="minorHAnsi" w:cs="Arial"/>
                <w:bCs/>
                <w:sz w:val="18"/>
                <w:szCs w:val="18"/>
              </w:rPr>
            </w:pPr>
            <w:proofErr w:type="spellStart"/>
            <w:r w:rsidRPr="00B90F07">
              <w:rPr>
                <w:rFonts w:asciiTheme="minorHAnsi" w:hAnsiTheme="minorHAnsi" w:cs="Arial"/>
                <w:bCs/>
                <w:sz w:val="18"/>
                <w:szCs w:val="18"/>
              </w:rPr>
              <w:lastRenderedPageBreak/>
              <w:t>Pneumonitis</w:t>
            </w:r>
            <w:r w:rsidRPr="00B90F07">
              <w:rPr>
                <w:rFonts w:asciiTheme="minorHAnsi" w:hAnsiTheme="minorHAnsi" w:cs="Arial"/>
                <w:bCs/>
                <w:sz w:val="18"/>
                <w:szCs w:val="18"/>
                <w:vertAlign w:val="superscript"/>
              </w:rPr>
              <w:t>c</w:t>
            </w:r>
            <w:proofErr w:type="spellEnd"/>
            <w:r w:rsidRPr="00B90F07">
              <w:rPr>
                <w:rFonts w:asciiTheme="minorHAnsi" w:hAnsiTheme="minorHAnsi" w:cs="Arial"/>
                <w:bCs/>
                <w:sz w:val="18"/>
                <w:szCs w:val="18"/>
              </w:rPr>
              <w:t>, epistaxis, cough</w:t>
            </w:r>
          </w:p>
          <w:p w14:paraId="5AEEBC8A" w14:textId="77777777" w:rsidR="00557C61" w:rsidRPr="00B90F07" w:rsidRDefault="00557C61" w:rsidP="005362D8">
            <w:pPr>
              <w:pStyle w:val="Text"/>
              <w:rPr>
                <w:rFonts w:asciiTheme="minorHAnsi" w:hAnsiTheme="minorHAnsi" w:cs="Arial"/>
                <w:sz w:val="18"/>
                <w:szCs w:val="18"/>
                <w:lang w:eastAsia="ja-JP"/>
              </w:rPr>
            </w:pPr>
            <w:proofErr w:type="spellStart"/>
            <w:r w:rsidRPr="00B90F07">
              <w:rPr>
                <w:rFonts w:asciiTheme="minorHAnsi" w:hAnsiTheme="minorHAnsi" w:cs="Arial"/>
                <w:bCs/>
                <w:sz w:val="18"/>
                <w:szCs w:val="18"/>
              </w:rPr>
              <w:lastRenderedPageBreak/>
              <w:t>Dyspnea</w:t>
            </w:r>
            <w:proofErr w:type="spellEnd"/>
          </w:p>
        </w:tc>
      </w:tr>
      <w:tr w:rsidR="00557C61" w:rsidRPr="00B90F07" w14:paraId="59C03EF1" w14:textId="77777777" w:rsidTr="005362D8">
        <w:tc>
          <w:tcPr>
            <w:tcW w:w="1727" w:type="dxa"/>
            <w:tcBorders>
              <w:top w:val="nil"/>
              <w:left w:val="single" w:sz="4" w:space="0" w:color="auto"/>
              <w:bottom w:val="single" w:sz="4" w:space="0" w:color="auto"/>
              <w:right w:val="nil"/>
            </w:tcBorders>
            <w:hideMark/>
          </w:tcPr>
          <w:p w14:paraId="5F0BB690" w14:textId="77777777" w:rsidR="00557C61" w:rsidRPr="00B90F07" w:rsidRDefault="00557C61" w:rsidP="005362D8">
            <w:pPr>
              <w:pStyle w:val="Text"/>
              <w:rPr>
                <w:rFonts w:asciiTheme="minorHAnsi" w:hAnsiTheme="minorHAnsi" w:cs="Arial"/>
                <w:bCs/>
                <w:sz w:val="18"/>
                <w:szCs w:val="18"/>
              </w:rPr>
            </w:pPr>
            <w:r w:rsidRPr="00B90F07">
              <w:rPr>
                <w:rFonts w:asciiTheme="minorHAnsi" w:hAnsiTheme="minorHAnsi" w:cs="Arial"/>
                <w:bCs/>
                <w:sz w:val="18"/>
                <w:szCs w:val="18"/>
              </w:rPr>
              <w:lastRenderedPageBreak/>
              <w:t>Uncommon</w:t>
            </w:r>
          </w:p>
          <w:p w14:paraId="5F678BA0"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Rare</w:t>
            </w:r>
          </w:p>
        </w:tc>
        <w:tc>
          <w:tcPr>
            <w:tcW w:w="7558" w:type="dxa"/>
            <w:tcBorders>
              <w:top w:val="nil"/>
              <w:left w:val="nil"/>
              <w:bottom w:val="single" w:sz="4" w:space="0" w:color="auto"/>
              <w:right w:val="single" w:sz="4" w:space="0" w:color="auto"/>
            </w:tcBorders>
            <w:hideMark/>
          </w:tcPr>
          <w:p w14:paraId="226466BF" w14:textId="77777777" w:rsidR="00557C61" w:rsidRPr="00B90F07" w:rsidRDefault="00557C61" w:rsidP="005362D8">
            <w:pPr>
              <w:pStyle w:val="Text"/>
              <w:rPr>
                <w:rFonts w:asciiTheme="minorHAnsi" w:hAnsiTheme="minorHAnsi" w:cs="Arial"/>
                <w:bCs/>
                <w:sz w:val="18"/>
                <w:szCs w:val="18"/>
              </w:rPr>
            </w:pPr>
            <w:proofErr w:type="spellStart"/>
            <w:r w:rsidRPr="00B90F07">
              <w:rPr>
                <w:rFonts w:asciiTheme="minorHAnsi" w:hAnsiTheme="minorHAnsi" w:cs="Arial"/>
                <w:bCs/>
                <w:sz w:val="18"/>
                <w:szCs w:val="18"/>
              </w:rPr>
              <w:t>Hemoptysis</w:t>
            </w:r>
            <w:proofErr w:type="spellEnd"/>
            <w:r w:rsidRPr="00B90F07">
              <w:rPr>
                <w:rFonts w:asciiTheme="minorHAnsi" w:hAnsiTheme="minorHAnsi" w:cs="Arial"/>
                <w:bCs/>
                <w:sz w:val="18"/>
                <w:szCs w:val="18"/>
              </w:rPr>
              <w:t>, pulmonary embolism</w:t>
            </w:r>
          </w:p>
          <w:p w14:paraId="00C67D44"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sz w:val="18"/>
                <w:szCs w:val="18"/>
              </w:rPr>
              <w:t>Acute respiratory distress syndrome</w:t>
            </w:r>
          </w:p>
        </w:tc>
      </w:tr>
      <w:tr w:rsidR="00557C61" w:rsidRPr="00B90F07" w14:paraId="69DB903A" w14:textId="77777777" w:rsidTr="005362D8">
        <w:tc>
          <w:tcPr>
            <w:tcW w:w="9285" w:type="dxa"/>
            <w:gridSpan w:val="2"/>
            <w:tcBorders>
              <w:top w:val="single" w:sz="4" w:space="0" w:color="auto"/>
              <w:left w:val="single" w:sz="4" w:space="0" w:color="auto"/>
              <w:bottom w:val="nil"/>
              <w:right w:val="single" w:sz="4" w:space="0" w:color="auto"/>
            </w:tcBorders>
            <w:hideMark/>
          </w:tcPr>
          <w:p w14:paraId="3F3B87F5"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Gastrointestinal disorders</w:t>
            </w:r>
          </w:p>
        </w:tc>
      </w:tr>
      <w:tr w:rsidR="00557C61" w:rsidRPr="00B90F07" w14:paraId="0D0B7765" w14:textId="77777777" w:rsidTr="005362D8">
        <w:tc>
          <w:tcPr>
            <w:tcW w:w="1727" w:type="dxa"/>
            <w:tcBorders>
              <w:top w:val="nil"/>
              <w:left w:val="single" w:sz="4" w:space="0" w:color="auto"/>
              <w:bottom w:val="nil"/>
              <w:right w:val="nil"/>
            </w:tcBorders>
            <w:hideMark/>
          </w:tcPr>
          <w:p w14:paraId="2738F330"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Very common</w:t>
            </w:r>
          </w:p>
        </w:tc>
        <w:tc>
          <w:tcPr>
            <w:tcW w:w="7558" w:type="dxa"/>
            <w:tcBorders>
              <w:top w:val="nil"/>
              <w:left w:val="nil"/>
              <w:bottom w:val="nil"/>
              <w:right w:val="single" w:sz="4" w:space="0" w:color="auto"/>
            </w:tcBorders>
            <w:hideMark/>
          </w:tcPr>
          <w:p w14:paraId="4ED6446A" w14:textId="77777777" w:rsidR="00557C61" w:rsidRPr="00B90F07" w:rsidRDefault="00557C61" w:rsidP="005362D8">
            <w:pPr>
              <w:pStyle w:val="Text"/>
              <w:rPr>
                <w:rFonts w:asciiTheme="minorHAnsi" w:hAnsiTheme="minorHAnsi" w:cs="Arial"/>
                <w:sz w:val="18"/>
                <w:szCs w:val="18"/>
                <w:lang w:eastAsia="ja-JP"/>
              </w:rPr>
            </w:pPr>
            <w:proofErr w:type="spellStart"/>
            <w:r w:rsidRPr="00B90F07">
              <w:rPr>
                <w:rFonts w:asciiTheme="minorHAnsi" w:hAnsiTheme="minorHAnsi" w:cs="Arial"/>
                <w:bCs/>
                <w:sz w:val="18"/>
                <w:szCs w:val="18"/>
              </w:rPr>
              <w:t>Stomatitis</w:t>
            </w:r>
            <w:r w:rsidRPr="00B90F07">
              <w:rPr>
                <w:rFonts w:asciiTheme="minorHAnsi" w:hAnsiTheme="minorHAnsi" w:cs="Arial"/>
                <w:bCs/>
                <w:sz w:val="18"/>
                <w:szCs w:val="18"/>
                <w:vertAlign w:val="superscript"/>
              </w:rPr>
              <w:t>d</w:t>
            </w:r>
            <w:proofErr w:type="spellEnd"/>
            <w:r w:rsidRPr="00B90F07">
              <w:rPr>
                <w:rFonts w:asciiTheme="minorHAnsi" w:hAnsiTheme="minorHAnsi" w:cs="Arial"/>
                <w:bCs/>
                <w:sz w:val="18"/>
                <w:szCs w:val="18"/>
              </w:rPr>
              <w:t xml:space="preserve">, </w:t>
            </w:r>
            <w:proofErr w:type="spellStart"/>
            <w:r w:rsidRPr="00B90F07">
              <w:rPr>
                <w:rFonts w:asciiTheme="minorHAnsi" w:hAnsiTheme="minorHAnsi" w:cs="Arial"/>
                <w:bCs/>
                <w:sz w:val="18"/>
                <w:szCs w:val="18"/>
              </w:rPr>
              <w:t>diarrhea</w:t>
            </w:r>
            <w:proofErr w:type="spellEnd"/>
            <w:r w:rsidRPr="00B90F07">
              <w:rPr>
                <w:rFonts w:asciiTheme="minorHAnsi" w:hAnsiTheme="minorHAnsi" w:cs="Arial"/>
                <w:bCs/>
                <w:sz w:val="18"/>
                <w:szCs w:val="18"/>
              </w:rPr>
              <w:t xml:space="preserve">, nausea </w:t>
            </w:r>
          </w:p>
        </w:tc>
      </w:tr>
      <w:tr w:rsidR="00557C61" w:rsidRPr="00B90F07" w14:paraId="028C6867" w14:textId="77777777" w:rsidTr="005362D8">
        <w:tc>
          <w:tcPr>
            <w:tcW w:w="1727" w:type="dxa"/>
            <w:tcBorders>
              <w:top w:val="nil"/>
              <w:left w:val="single" w:sz="4" w:space="0" w:color="auto"/>
              <w:bottom w:val="single" w:sz="4" w:space="0" w:color="auto"/>
              <w:right w:val="nil"/>
            </w:tcBorders>
            <w:hideMark/>
          </w:tcPr>
          <w:p w14:paraId="0BF00BDA"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558" w:type="dxa"/>
            <w:tcBorders>
              <w:top w:val="nil"/>
              <w:left w:val="nil"/>
              <w:bottom w:val="single" w:sz="4" w:space="0" w:color="auto"/>
              <w:right w:val="single" w:sz="4" w:space="0" w:color="auto"/>
            </w:tcBorders>
            <w:hideMark/>
          </w:tcPr>
          <w:p w14:paraId="1303597A"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Vomiting, dry mouth, abdominal pain, oral pain, dyspepsia, dysphagia</w:t>
            </w:r>
          </w:p>
        </w:tc>
      </w:tr>
      <w:tr w:rsidR="00557C61" w:rsidRPr="00B90F07" w14:paraId="627EE49B" w14:textId="77777777" w:rsidTr="005362D8">
        <w:tc>
          <w:tcPr>
            <w:tcW w:w="9285" w:type="dxa"/>
            <w:gridSpan w:val="2"/>
            <w:tcBorders>
              <w:top w:val="single" w:sz="4" w:space="0" w:color="auto"/>
              <w:left w:val="single" w:sz="4" w:space="0" w:color="auto"/>
              <w:bottom w:val="nil"/>
              <w:right w:val="single" w:sz="4" w:space="0" w:color="auto"/>
            </w:tcBorders>
            <w:hideMark/>
          </w:tcPr>
          <w:p w14:paraId="5F8DEB0B"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Skin and subcutaneous tissue disorders</w:t>
            </w:r>
          </w:p>
        </w:tc>
      </w:tr>
      <w:tr w:rsidR="00557C61" w:rsidRPr="00B90F07" w14:paraId="4F85E1D3" w14:textId="77777777" w:rsidTr="005362D8">
        <w:tc>
          <w:tcPr>
            <w:tcW w:w="1727" w:type="dxa"/>
            <w:tcBorders>
              <w:top w:val="nil"/>
              <w:left w:val="single" w:sz="4" w:space="0" w:color="auto"/>
              <w:bottom w:val="nil"/>
              <w:right w:val="nil"/>
            </w:tcBorders>
            <w:hideMark/>
          </w:tcPr>
          <w:p w14:paraId="3914F676"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Very common</w:t>
            </w:r>
          </w:p>
        </w:tc>
        <w:tc>
          <w:tcPr>
            <w:tcW w:w="7558" w:type="dxa"/>
            <w:tcBorders>
              <w:top w:val="nil"/>
              <w:left w:val="nil"/>
              <w:bottom w:val="nil"/>
              <w:right w:val="single" w:sz="4" w:space="0" w:color="auto"/>
            </w:tcBorders>
            <w:hideMark/>
          </w:tcPr>
          <w:p w14:paraId="743FD2C6"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lang w:val="fr-FR"/>
              </w:rPr>
              <w:t xml:space="preserve">Rash, </w:t>
            </w:r>
            <w:proofErr w:type="spellStart"/>
            <w:r w:rsidRPr="00B90F07">
              <w:rPr>
                <w:rFonts w:asciiTheme="minorHAnsi" w:hAnsiTheme="minorHAnsi" w:cs="Arial"/>
                <w:bCs/>
                <w:sz w:val="18"/>
                <w:szCs w:val="18"/>
                <w:lang w:val="fr-FR"/>
              </w:rPr>
              <w:t>pruritus</w:t>
            </w:r>
            <w:proofErr w:type="spellEnd"/>
          </w:p>
        </w:tc>
      </w:tr>
      <w:tr w:rsidR="00557C61" w:rsidRPr="00B90F07" w14:paraId="25FCF6D6" w14:textId="77777777" w:rsidTr="005362D8">
        <w:tc>
          <w:tcPr>
            <w:tcW w:w="1727" w:type="dxa"/>
            <w:tcBorders>
              <w:top w:val="nil"/>
              <w:left w:val="single" w:sz="4" w:space="0" w:color="auto"/>
              <w:bottom w:val="nil"/>
              <w:right w:val="nil"/>
            </w:tcBorders>
            <w:hideMark/>
          </w:tcPr>
          <w:p w14:paraId="5E354B12" w14:textId="77777777" w:rsidR="00557C61" w:rsidRPr="00B90F07" w:rsidRDefault="00557C61" w:rsidP="005362D8">
            <w:pPr>
              <w:pStyle w:val="Text"/>
              <w:rPr>
                <w:rFonts w:asciiTheme="minorHAnsi" w:hAnsiTheme="minorHAnsi" w:cs="Arial"/>
                <w:bCs/>
                <w:sz w:val="18"/>
                <w:szCs w:val="18"/>
              </w:rPr>
            </w:pPr>
            <w:r w:rsidRPr="00B90F07">
              <w:rPr>
                <w:rFonts w:asciiTheme="minorHAnsi" w:hAnsiTheme="minorHAnsi" w:cs="Arial"/>
                <w:bCs/>
                <w:sz w:val="18"/>
                <w:szCs w:val="18"/>
              </w:rPr>
              <w:t>Common</w:t>
            </w:r>
          </w:p>
          <w:p w14:paraId="3D8DCF33"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Rare</w:t>
            </w:r>
          </w:p>
        </w:tc>
        <w:tc>
          <w:tcPr>
            <w:tcW w:w="7558" w:type="dxa"/>
            <w:tcBorders>
              <w:top w:val="nil"/>
              <w:left w:val="nil"/>
              <w:bottom w:val="nil"/>
              <w:right w:val="single" w:sz="4" w:space="0" w:color="auto"/>
            </w:tcBorders>
            <w:hideMark/>
          </w:tcPr>
          <w:p w14:paraId="0452B352" w14:textId="77777777" w:rsidR="00557C61" w:rsidRPr="00B90F07" w:rsidRDefault="00557C61" w:rsidP="005362D8">
            <w:pPr>
              <w:pStyle w:val="Text"/>
              <w:rPr>
                <w:rFonts w:asciiTheme="minorHAnsi" w:hAnsiTheme="minorHAnsi" w:cs="Arial"/>
                <w:bCs/>
                <w:sz w:val="18"/>
                <w:szCs w:val="18"/>
                <w:lang w:val="en-US"/>
              </w:rPr>
            </w:pPr>
            <w:r w:rsidRPr="00B90F07">
              <w:rPr>
                <w:rFonts w:asciiTheme="minorHAnsi" w:hAnsiTheme="minorHAnsi" w:cs="Arial"/>
                <w:bCs/>
                <w:sz w:val="18"/>
                <w:szCs w:val="18"/>
              </w:rPr>
              <w:t xml:space="preserve">Dry skin, nail disorder, acne, erythema, </w:t>
            </w:r>
            <w:r w:rsidRPr="00B90F07">
              <w:rPr>
                <w:rFonts w:asciiTheme="minorHAnsi" w:hAnsiTheme="minorHAnsi" w:cs="Arial"/>
                <w:bCs/>
                <w:sz w:val="18"/>
                <w:szCs w:val="18"/>
                <w:lang w:val="en-US"/>
              </w:rPr>
              <w:t xml:space="preserve">hand-foot </w:t>
            </w:r>
            <w:proofErr w:type="spellStart"/>
            <w:r w:rsidRPr="00B90F07">
              <w:rPr>
                <w:rFonts w:asciiTheme="minorHAnsi" w:hAnsiTheme="minorHAnsi" w:cs="Arial"/>
                <w:bCs/>
                <w:sz w:val="18"/>
                <w:szCs w:val="18"/>
                <w:lang w:val="en-US"/>
              </w:rPr>
              <w:t>syndrome</w:t>
            </w:r>
            <w:r w:rsidRPr="00B90F07">
              <w:rPr>
                <w:rFonts w:asciiTheme="minorHAnsi" w:hAnsiTheme="minorHAnsi" w:cs="Arial"/>
                <w:bCs/>
                <w:sz w:val="18"/>
                <w:szCs w:val="18"/>
                <w:vertAlign w:val="superscript"/>
                <w:lang w:val="en-US"/>
              </w:rPr>
              <w:t>e</w:t>
            </w:r>
            <w:proofErr w:type="spellEnd"/>
            <w:r w:rsidRPr="00B90F07">
              <w:rPr>
                <w:rFonts w:asciiTheme="minorHAnsi" w:hAnsiTheme="minorHAnsi" w:cs="Arial"/>
                <w:bCs/>
                <w:sz w:val="18"/>
                <w:szCs w:val="18"/>
                <w:vertAlign w:val="superscript"/>
                <w:lang w:val="en-US"/>
              </w:rPr>
              <w:t xml:space="preserve"> </w:t>
            </w:r>
          </w:p>
          <w:p w14:paraId="73B5F174"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lang w:val="en-US"/>
              </w:rPr>
              <w:t>Angioedema</w:t>
            </w:r>
          </w:p>
        </w:tc>
      </w:tr>
      <w:tr w:rsidR="00557C61" w:rsidRPr="00B90F07" w14:paraId="444CADE8" w14:textId="77777777" w:rsidTr="005362D8">
        <w:tc>
          <w:tcPr>
            <w:tcW w:w="9285" w:type="dxa"/>
            <w:gridSpan w:val="2"/>
            <w:tcBorders>
              <w:top w:val="single" w:sz="4" w:space="0" w:color="auto"/>
              <w:left w:val="single" w:sz="4" w:space="0" w:color="auto"/>
              <w:bottom w:val="nil"/>
              <w:right w:val="single" w:sz="4" w:space="0" w:color="auto"/>
            </w:tcBorders>
            <w:hideMark/>
          </w:tcPr>
          <w:p w14:paraId="749647C8"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Musculoskeletal and connective tissue disorders</w:t>
            </w:r>
          </w:p>
        </w:tc>
      </w:tr>
      <w:tr w:rsidR="00557C61" w:rsidRPr="00B90F07" w14:paraId="7939F744" w14:textId="77777777" w:rsidTr="005362D8">
        <w:tc>
          <w:tcPr>
            <w:tcW w:w="1727" w:type="dxa"/>
            <w:tcBorders>
              <w:top w:val="nil"/>
              <w:left w:val="single" w:sz="4" w:space="0" w:color="auto"/>
              <w:bottom w:val="single" w:sz="4" w:space="0" w:color="auto"/>
              <w:right w:val="nil"/>
            </w:tcBorders>
            <w:hideMark/>
          </w:tcPr>
          <w:p w14:paraId="4CB866A3"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558" w:type="dxa"/>
            <w:tcBorders>
              <w:top w:val="nil"/>
              <w:left w:val="nil"/>
              <w:bottom w:val="single" w:sz="4" w:space="0" w:color="auto"/>
              <w:right w:val="single" w:sz="4" w:space="0" w:color="auto"/>
            </w:tcBorders>
            <w:hideMark/>
          </w:tcPr>
          <w:p w14:paraId="59464E62"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Arthralgia</w:t>
            </w:r>
          </w:p>
        </w:tc>
      </w:tr>
      <w:tr w:rsidR="00557C61" w:rsidRPr="00B90F07" w14:paraId="2401F2D4" w14:textId="77777777" w:rsidTr="005362D8">
        <w:tc>
          <w:tcPr>
            <w:tcW w:w="9285" w:type="dxa"/>
            <w:gridSpan w:val="2"/>
            <w:tcBorders>
              <w:top w:val="single" w:sz="4" w:space="0" w:color="auto"/>
              <w:left w:val="single" w:sz="4" w:space="0" w:color="auto"/>
              <w:bottom w:val="nil"/>
              <w:right w:val="single" w:sz="4" w:space="0" w:color="auto"/>
            </w:tcBorders>
            <w:hideMark/>
          </w:tcPr>
          <w:p w14:paraId="3FCFDA99"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Renal and urinary disorders</w:t>
            </w:r>
          </w:p>
        </w:tc>
      </w:tr>
      <w:tr w:rsidR="00557C61" w:rsidRPr="00B90F07" w14:paraId="16DBE8F2" w14:textId="77777777" w:rsidTr="005362D8">
        <w:tc>
          <w:tcPr>
            <w:tcW w:w="1727" w:type="dxa"/>
            <w:tcBorders>
              <w:top w:val="nil"/>
              <w:left w:val="single" w:sz="4" w:space="0" w:color="auto"/>
              <w:bottom w:val="nil"/>
              <w:right w:val="nil"/>
            </w:tcBorders>
            <w:hideMark/>
          </w:tcPr>
          <w:p w14:paraId="79CD8149"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558" w:type="dxa"/>
            <w:tcBorders>
              <w:top w:val="nil"/>
              <w:left w:val="nil"/>
              <w:bottom w:val="nil"/>
              <w:right w:val="single" w:sz="4" w:space="0" w:color="auto"/>
            </w:tcBorders>
            <w:hideMark/>
          </w:tcPr>
          <w:p w14:paraId="5BE5B84A"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Proteinuria, renal failure</w:t>
            </w:r>
          </w:p>
        </w:tc>
      </w:tr>
      <w:tr w:rsidR="00557C61" w:rsidRPr="00B90F07" w14:paraId="23F26668" w14:textId="77777777" w:rsidTr="005362D8">
        <w:tc>
          <w:tcPr>
            <w:tcW w:w="1727" w:type="dxa"/>
            <w:tcBorders>
              <w:top w:val="nil"/>
              <w:left w:val="single" w:sz="4" w:space="0" w:color="auto"/>
              <w:bottom w:val="single" w:sz="4" w:space="0" w:color="auto"/>
              <w:right w:val="nil"/>
            </w:tcBorders>
            <w:hideMark/>
          </w:tcPr>
          <w:p w14:paraId="0D843B46"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Uncommon</w:t>
            </w:r>
          </w:p>
        </w:tc>
        <w:tc>
          <w:tcPr>
            <w:tcW w:w="7558" w:type="dxa"/>
            <w:tcBorders>
              <w:top w:val="nil"/>
              <w:left w:val="nil"/>
              <w:bottom w:val="single" w:sz="4" w:space="0" w:color="auto"/>
              <w:right w:val="single" w:sz="4" w:space="0" w:color="auto"/>
            </w:tcBorders>
            <w:hideMark/>
          </w:tcPr>
          <w:p w14:paraId="24E2981D"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Increased daytime urination, acute renal failure</w:t>
            </w:r>
          </w:p>
        </w:tc>
      </w:tr>
      <w:tr w:rsidR="00557C61" w:rsidRPr="00B90F07" w14:paraId="70BF060B" w14:textId="77777777" w:rsidTr="005362D8">
        <w:tc>
          <w:tcPr>
            <w:tcW w:w="9285" w:type="dxa"/>
            <w:gridSpan w:val="2"/>
            <w:tcBorders>
              <w:top w:val="single" w:sz="4" w:space="0" w:color="auto"/>
              <w:left w:val="single" w:sz="4" w:space="0" w:color="auto"/>
              <w:bottom w:val="nil"/>
              <w:right w:val="single" w:sz="4" w:space="0" w:color="auto"/>
            </w:tcBorders>
            <w:hideMark/>
          </w:tcPr>
          <w:p w14:paraId="254F5D67"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Reproductive system and breast disorders</w:t>
            </w:r>
          </w:p>
        </w:tc>
      </w:tr>
      <w:tr w:rsidR="00557C61" w:rsidRPr="00B90F07" w14:paraId="12FA7474" w14:textId="77777777" w:rsidTr="005362D8">
        <w:tc>
          <w:tcPr>
            <w:tcW w:w="1727" w:type="dxa"/>
            <w:tcBorders>
              <w:top w:val="nil"/>
              <w:left w:val="single" w:sz="4" w:space="0" w:color="auto"/>
              <w:bottom w:val="nil"/>
              <w:right w:val="nil"/>
            </w:tcBorders>
            <w:hideMark/>
          </w:tcPr>
          <w:p w14:paraId="6B57B4BA" w14:textId="77777777" w:rsidR="00557C61" w:rsidRPr="00B90F07" w:rsidRDefault="00557C61" w:rsidP="005362D8">
            <w:pPr>
              <w:pStyle w:val="Text"/>
              <w:rPr>
                <w:rFonts w:asciiTheme="minorHAnsi" w:hAnsiTheme="minorHAnsi" w:cs="Arial"/>
                <w:bCs/>
                <w:sz w:val="18"/>
                <w:szCs w:val="18"/>
              </w:rPr>
            </w:pPr>
            <w:r w:rsidRPr="00B90F07">
              <w:rPr>
                <w:rFonts w:asciiTheme="minorHAnsi" w:hAnsiTheme="minorHAnsi" w:cs="Arial"/>
                <w:bCs/>
                <w:sz w:val="18"/>
                <w:szCs w:val="18"/>
              </w:rPr>
              <w:t>Common</w:t>
            </w:r>
          </w:p>
          <w:p w14:paraId="1EBD3098"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Uncommon</w:t>
            </w:r>
          </w:p>
        </w:tc>
        <w:tc>
          <w:tcPr>
            <w:tcW w:w="7558" w:type="dxa"/>
            <w:tcBorders>
              <w:top w:val="nil"/>
              <w:left w:val="nil"/>
              <w:bottom w:val="nil"/>
              <w:right w:val="single" w:sz="4" w:space="0" w:color="auto"/>
            </w:tcBorders>
            <w:hideMark/>
          </w:tcPr>
          <w:p w14:paraId="5AFDF5C8" w14:textId="77777777" w:rsidR="00557C61" w:rsidRPr="00B90F07" w:rsidRDefault="00557C61" w:rsidP="005362D8">
            <w:pPr>
              <w:pStyle w:val="Text"/>
              <w:rPr>
                <w:rFonts w:asciiTheme="minorHAnsi" w:hAnsiTheme="minorHAnsi" w:cs="Arial"/>
                <w:sz w:val="18"/>
                <w:szCs w:val="18"/>
                <w:lang w:val="es-ES"/>
              </w:rPr>
            </w:pPr>
            <w:proofErr w:type="spellStart"/>
            <w:r w:rsidRPr="00B90F07">
              <w:rPr>
                <w:rFonts w:asciiTheme="minorHAnsi" w:hAnsiTheme="minorHAnsi" w:cs="Arial"/>
                <w:sz w:val="18"/>
                <w:szCs w:val="18"/>
                <w:lang w:val="es-ES"/>
              </w:rPr>
              <w:t>Menstruation</w:t>
            </w:r>
            <w:proofErr w:type="spellEnd"/>
            <w:r w:rsidRPr="00B90F07">
              <w:rPr>
                <w:rFonts w:asciiTheme="minorHAnsi" w:hAnsiTheme="minorHAnsi" w:cs="Arial"/>
                <w:sz w:val="18"/>
                <w:szCs w:val="18"/>
                <w:lang w:val="es-ES"/>
              </w:rPr>
              <w:t xml:space="preserve"> </w:t>
            </w:r>
            <w:proofErr w:type="spellStart"/>
            <w:r w:rsidRPr="00B90F07">
              <w:rPr>
                <w:rFonts w:asciiTheme="minorHAnsi" w:hAnsiTheme="minorHAnsi" w:cs="Arial"/>
                <w:sz w:val="18"/>
                <w:szCs w:val="18"/>
                <w:lang w:val="es-ES"/>
              </w:rPr>
              <w:t>irregular</w:t>
            </w:r>
            <w:r w:rsidRPr="00B90F07">
              <w:rPr>
                <w:rFonts w:asciiTheme="minorHAnsi" w:hAnsiTheme="minorHAnsi" w:cs="Arial"/>
                <w:sz w:val="18"/>
                <w:szCs w:val="18"/>
                <w:vertAlign w:val="superscript"/>
                <w:lang w:val="es-ES"/>
              </w:rPr>
              <w:t>f</w:t>
            </w:r>
            <w:proofErr w:type="spellEnd"/>
          </w:p>
          <w:p w14:paraId="5BCAED32" w14:textId="77777777" w:rsidR="00557C61" w:rsidRPr="00B90F07" w:rsidRDefault="00557C61" w:rsidP="005362D8">
            <w:pPr>
              <w:pStyle w:val="Text"/>
              <w:rPr>
                <w:rFonts w:asciiTheme="minorHAnsi" w:hAnsiTheme="minorHAnsi" w:cs="Arial"/>
                <w:sz w:val="18"/>
                <w:szCs w:val="18"/>
                <w:lang w:val="es-ES" w:eastAsia="ja-JP"/>
              </w:rPr>
            </w:pPr>
            <w:proofErr w:type="spellStart"/>
            <w:r w:rsidRPr="00B90F07">
              <w:rPr>
                <w:rFonts w:asciiTheme="minorHAnsi" w:hAnsiTheme="minorHAnsi" w:cs="Arial"/>
                <w:sz w:val="18"/>
                <w:szCs w:val="18"/>
                <w:lang w:val="es-ES"/>
              </w:rPr>
              <w:t>Amenorrhea</w:t>
            </w:r>
            <w:r w:rsidRPr="00B90F07">
              <w:rPr>
                <w:rFonts w:asciiTheme="minorHAnsi" w:hAnsiTheme="minorHAnsi" w:cs="Arial"/>
                <w:sz w:val="18"/>
                <w:szCs w:val="18"/>
                <w:vertAlign w:val="superscript"/>
                <w:lang w:val="es-ES"/>
              </w:rPr>
              <w:t>f</w:t>
            </w:r>
            <w:proofErr w:type="spellEnd"/>
          </w:p>
        </w:tc>
      </w:tr>
      <w:tr w:rsidR="00557C61" w:rsidRPr="00B90F07" w14:paraId="474B0AA1" w14:textId="77777777" w:rsidTr="005362D8">
        <w:tc>
          <w:tcPr>
            <w:tcW w:w="9285" w:type="dxa"/>
            <w:gridSpan w:val="2"/>
            <w:tcBorders>
              <w:top w:val="single" w:sz="4" w:space="0" w:color="auto"/>
              <w:left w:val="single" w:sz="4" w:space="0" w:color="auto"/>
              <w:bottom w:val="nil"/>
              <w:right w:val="single" w:sz="4" w:space="0" w:color="auto"/>
            </w:tcBorders>
            <w:hideMark/>
          </w:tcPr>
          <w:p w14:paraId="2D523F16"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General disorders and administration site conditions</w:t>
            </w:r>
          </w:p>
        </w:tc>
      </w:tr>
      <w:tr w:rsidR="00557C61" w:rsidRPr="00B90F07" w14:paraId="6C4154A0" w14:textId="77777777" w:rsidTr="005362D8">
        <w:tc>
          <w:tcPr>
            <w:tcW w:w="1727" w:type="dxa"/>
            <w:tcBorders>
              <w:top w:val="nil"/>
              <w:left w:val="single" w:sz="4" w:space="0" w:color="auto"/>
              <w:bottom w:val="nil"/>
              <w:right w:val="nil"/>
            </w:tcBorders>
            <w:hideMark/>
          </w:tcPr>
          <w:p w14:paraId="24E3A1F3"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Very common</w:t>
            </w:r>
          </w:p>
        </w:tc>
        <w:tc>
          <w:tcPr>
            <w:tcW w:w="7558" w:type="dxa"/>
            <w:tcBorders>
              <w:top w:val="nil"/>
              <w:left w:val="nil"/>
              <w:bottom w:val="nil"/>
              <w:right w:val="single" w:sz="4" w:space="0" w:color="auto"/>
            </w:tcBorders>
            <w:hideMark/>
          </w:tcPr>
          <w:p w14:paraId="4BC8AA7D"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 xml:space="preserve">Fatigue, asthenia, </w:t>
            </w:r>
            <w:proofErr w:type="spellStart"/>
            <w:r w:rsidRPr="00B90F07">
              <w:rPr>
                <w:rFonts w:asciiTheme="minorHAnsi" w:hAnsiTheme="minorHAnsi" w:cs="Arial"/>
                <w:bCs/>
                <w:sz w:val="18"/>
                <w:szCs w:val="18"/>
              </w:rPr>
              <w:t>edema</w:t>
            </w:r>
            <w:proofErr w:type="spellEnd"/>
            <w:r w:rsidRPr="00B90F07">
              <w:rPr>
                <w:rFonts w:asciiTheme="minorHAnsi" w:hAnsiTheme="minorHAnsi" w:cs="Arial"/>
                <w:bCs/>
                <w:sz w:val="18"/>
                <w:szCs w:val="18"/>
              </w:rPr>
              <w:t xml:space="preserve"> peripheral </w:t>
            </w:r>
          </w:p>
        </w:tc>
      </w:tr>
      <w:tr w:rsidR="00557C61" w:rsidRPr="00B90F07" w14:paraId="75F1D89F" w14:textId="77777777" w:rsidTr="005362D8">
        <w:tc>
          <w:tcPr>
            <w:tcW w:w="1727" w:type="dxa"/>
            <w:tcBorders>
              <w:top w:val="nil"/>
              <w:left w:val="single" w:sz="4" w:space="0" w:color="auto"/>
              <w:bottom w:val="nil"/>
              <w:right w:val="nil"/>
            </w:tcBorders>
            <w:hideMark/>
          </w:tcPr>
          <w:p w14:paraId="21586873"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558" w:type="dxa"/>
            <w:tcBorders>
              <w:top w:val="nil"/>
              <w:left w:val="nil"/>
              <w:bottom w:val="nil"/>
              <w:right w:val="single" w:sz="4" w:space="0" w:color="auto"/>
            </w:tcBorders>
            <w:hideMark/>
          </w:tcPr>
          <w:p w14:paraId="57ABD406"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 xml:space="preserve">Pyrexia, mucosal inflammation </w:t>
            </w:r>
          </w:p>
        </w:tc>
      </w:tr>
      <w:tr w:rsidR="00557C61" w:rsidRPr="00B90F07" w14:paraId="5C25FF54" w14:textId="77777777" w:rsidTr="005362D8">
        <w:tc>
          <w:tcPr>
            <w:tcW w:w="1727" w:type="dxa"/>
            <w:tcBorders>
              <w:top w:val="nil"/>
              <w:left w:val="single" w:sz="4" w:space="0" w:color="auto"/>
              <w:bottom w:val="nil"/>
              <w:right w:val="nil"/>
            </w:tcBorders>
            <w:hideMark/>
          </w:tcPr>
          <w:p w14:paraId="5A1041EC"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Uncommon</w:t>
            </w:r>
          </w:p>
        </w:tc>
        <w:tc>
          <w:tcPr>
            <w:tcW w:w="7558" w:type="dxa"/>
            <w:tcBorders>
              <w:top w:val="nil"/>
              <w:left w:val="nil"/>
              <w:bottom w:val="nil"/>
              <w:right w:val="single" w:sz="4" w:space="0" w:color="auto"/>
            </w:tcBorders>
            <w:hideMark/>
          </w:tcPr>
          <w:p w14:paraId="3CBDE5CF"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Non-cardiac chest pain, impaired wound healing</w:t>
            </w:r>
          </w:p>
        </w:tc>
      </w:tr>
      <w:tr w:rsidR="00557C61" w:rsidRPr="00B90F07" w14:paraId="63AE491B" w14:textId="77777777" w:rsidTr="005362D8">
        <w:tc>
          <w:tcPr>
            <w:tcW w:w="9285" w:type="dxa"/>
            <w:gridSpan w:val="2"/>
            <w:tcBorders>
              <w:top w:val="single" w:sz="4" w:space="0" w:color="auto"/>
              <w:left w:val="single" w:sz="4" w:space="0" w:color="auto"/>
              <w:bottom w:val="nil"/>
              <w:right w:val="single" w:sz="4" w:space="0" w:color="auto"/>
            </w:tcBorders>
            <w:hideMark/>
          </w:tcPr>
          <w:p w14:paraId="38C11E25"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Investigations</w:t>
            </w:r>
          </w:p>
        </w:tc>
      </w:tr>
      <w:tr w:rsidR="00557C61" w:rsidRPr="00B90F07" w14:paraId="0017DE21" w14:textId="77777777" w:rsidTr="005362D8">
        <w:tc>
          <w:tcPr>
            <w:tcW w:w="1727" w:type="dxa"/>
            <w:tcBorders>
              <w:top w:val="nil"/>
              <w:left w:val="single" w:sz="4" w:space="0" w:color="auto"/>
              <w:bottom w:val="nil"/>
              <w:right w:val="nil"/>
            </w:tcBorders>
            <w:hideMark/>
          </w:tcPr>
          <w:p w14:paraId="30377E94"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Very common</w:t>
            </w:r>
          </w:p>
        </w:tc>
        <w:tc>
          <w:tcPr>
            <w:tcW w:w="7558" w:type="dxa"/>
            <w:tcBorders>
              <w:top w:val="nil"/>
              <w:left w:val="nil"/>
              <w:bottom w:val="nil"/>
              <w:right w:val="single" w:sz="4" w:space="0" w:color="auto"/>
            </w:tcBorders>
            <w:hideMark/>
          </w:tcPr>
          <w:p w14:paraId="5BFFD193"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Weight decreased</w:t>
            </w:r>
          </w:p>
        </w:tc>
      </w:tr>
      <w:tr w:rsidR="00557C61" w:rsidRPr="00B90F07" w14:paraId="10112B70" w14:textId="77777777" w:rsidTr="005362D8">
        <w:tc>
          <w:tcPr>
            <w:tcW w:w="1727" w:type="dxa"/>
            <w:tcBorders>
              <w:top w:val="nil"/>
              <w:left w:val="single" w:sz="4" w:space="0" w:color="auto"/>
              <w:bottom w:val="single" w:sz="4" w:space="0" w:color="auto"/>
              <w:right w:val="nil"/>
            </w:tcBorders>
            <w:hideMark/>
          </w:tcPr>
          <w:p w14:paraId="2EB156C8"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558" w:type="dxa"/>
            <w:tcBorders>
              <w:top w:val="nil"/>
              <w:left w:val="nil"/>
              <w:bottom w:val="single" w:sz="4" w:space="0" w:color="auto"/>
              <w:right w:val="single" w:sz="4" w:space="0" w:color="auto"/>
            </w:tcBorders>
            <w:hideMark/>
          </w:tcPr>
          <w:p w14:paraId="645AF260"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Aspartate aminotransferase increased, alanine aminotransferase increased, blood creatinine increased</w:t>
            </w:r>
          </w:p>
        </w:tc>
      </w:tr>
      <w:tr w:rsidR="00557C61" w:rsidRPr="00B90F07" w14:paraId="19A66193" w14:textId="77777777" w:rsidTr="005362D8">
        <w:tc>
          <w:tcPr>
            <w:tcW w:w="9285" w:type="dxa"/>
            <w:gridSpan w:val="2"/>
            <w:tcBorders>
              <w:top w:val="single" w:sz="4" w:space="0" w:color="auto"/>
              <w:left w:val="single" w:sz="4" w:space="0" w:color="auto"/>
              <w:bottom w:val="single" w:sz="4" w:space="0" w:color="auto"/>
              <w:right w:val="single" w:sz="4" w:space="0" w:color="auto"/>
            </w:tcBorders>
            <w:hideMark/>
          </w:tcPr>
          <w:p w14:paraId="7DBC2400" w14:textId="77777777" w:rsidR="00557C61" w:rsidRPr="00B90F07" w:rsidRDefault="00557C61" w:rsidP="005362D8">
            <w:pPr>
              <w:pStyle w:val="Text"/>
              <w:rPr>
                <w:rFonts w:asciiTheme="minorHAnsi" w:eastAsia="MS Mincho" w:hAnsiTheme="minorHAnsi" w:cs="Arial"/>
                <w:i/>
                <w:sz w:val="16"/>
                <w:szCs w:val="16"/>
                <w:lang w:eastAsia="ja-JP"/>
              </w:rPr>
            </w:pPr>
            <w:proofErr w:type="spellStart"/>
            <w:r w:rsidRPr="00B90F07">
              <w:rPr>
                <w:rFonts w:asciiTheme="minorHAnsi" w:hAnsiTheme="minorHAnsi" w:cs="Arial"/>
                <w:bCs/>
                <w:i/>
                <w:sz w:val="16"/>
                <w:szCs w:val="16"/>
                <w:vertAlign w:val="superscript"/>
              </w:rPr>
              <w:t>a</w:t>
            </w:r>
            <w:r w:rsidRPr="00B90F07">
              <w:rPr>
                <w:rFonts w:asciiTheme="minorHAnsi" w:hAnsiTheme="minorHAnsi" w:cs="Arial"/>
                <w:bCs/>
                <w:i/>
                <w:sz w:val="16"/>
                <w:szCs w:val="16"/>
              </w:rPr>
              <w:t>Includes</w:t>
            </w:r>
            <w:proofErr w:type="spellEnd"/>
            <w:r w:rsidRPr="00B90F07">
              <w:rPr>
                <w:rFonts w:asciiTheme="minorHAnsi" w:hAnsiTheme="minorHAnsi" w:cs="Arial"/>
                <w:bCs/>
                <w:i/>
                <w:sz w:val="16"/>
                <w:szCs w:val="16"/>
              </w:rPr>
              <w:t xml:space="preserve"> all reactions within the ‘infections and infestations’ system organ class including common: pneumonia, urinary tract infection; uncommon: bronchitis, herpes zoster, sepsis, </w:t>
            </w:r>
            <w:r w:rsidRPr="00B90F07">
              <w:rPr>
                <w:rFonts w:asciiTheme="minorHAnsi" w:hAnsiTheme="minorHAnsi" w:cs="Arial"/>
                <w:i/>
                <w:sz w:val="16"/>
                <w:szCs w:val="16"/>
              </w:rPr>
              <w:t>abscess</w:t>
            </w:r>
            <w:r w:rsidRPr="00B90F07">
              <w:rPr>
                <w:rFonts w:asciiTheme="minorHAnsi" w:hAnsiTheme="minorHAnsi" w:cs="Arial"/>
                <w:bCs/>
                <w:i/>
                <w:sz w:val="16"/>
                <w:szCs w:val="16"/>
              </w:rPr>
              <w:t xml:space="preserve"> and isolated cases of opportunistic infections (e.g. aspergillosis, candidiasis and hepatitis B) </w:t>
            </w:r>
            <w:r w:rsidRPr="00B90F07">
              <w:rPr>
                <w:rFonts w:asciiTheme="minorHAnsi" w:hAnsiTheme="minorHAnsi" w:cs="Arial"/>
                <w:i/>
                <w:sz w:val="16"/>
                <w:szCs w:val="16"/>
              </w:rPr>
              <w:t>and rare: viral myocarditis</w:t>
            </w:r>
            <w:r w:rsidRPr="00B90F07">
              <w:rPr>
                <w:rFonts w:asciiTheme="minorHAnsi" w:hAnsiTheme="minorHAnsi" w:cs="Arial"/>
                <w:bCs/>
                <w:i/>
                <w:sz w:val="16"/>
                <w:szCs w:val="16"/>
              </w:rPr>
              <w:t xml:space="preserve"> </w:t>
            </w:r>
          </w:p>
          <w:p w14:paraId="35BE1CAC" w14:textId="77777777" w:rsidR="00557C61" w:rsidRPr="00B90F07" w:rsidRDefault="00557C61" w:rsidP="005362D8">
            <w:pPr>
              <w:pStyle w:val="Text"/>
              <w:rPr>
                <w:rFonts w:asciiTheme="minorHAnsi" w:hAnsiTheme="minorHAnsi" w:cs="Arial"/>
                <w:i/>
                <w:sz w:val="16"/>
                <w:szCs w:val="16"/>
              </w:rPr>
            </w:pPr>
            <w:proofErr w:type="spellStart"/>
            <w:r w:rsidRPr="00B90F07">
              <w:rPr>
                <w:rFonts w:asciiTheme="minorHAnsi" w:hAnsiTheme="minorHAnsi" w:cs="Arial"/>
                <w:i/>
                <w:sz w:val="16"/>
                <w:szCs w:val="16"/>
                <w:vertAlign w:val="superscript"/>
              </w:rPr>
              <w:t>b</w:t>
            </w:r>
            <w:r w:rsidRPr="00B90F07">
              <w:rPr>
                <w:rFonts w:asciiTheme="minorHAnsi" w:hAnsiTheme="minorHAnsi" w:cs="Arial"/>
                <w:i/>
                <w:sz w:val="16"/>
                <w:szCs w:val="16"/>
              </w:rPr>
              <w:t>Includes</w:t>
            </w:r>
            <w:proofErr w:type="spellEnd"/>
            <w:r w:rsidRPr="00B90F07">
              <w:rPr>
                <w:rFonts w:asciiTheme="minorHAnsi" w:hAnsiTheme="minorHAnsi" w:cs="Arial"/>
                <w:i/>
                <w:sz w:val="16"/>
                <w:szCs w:val="16"/>
              </w:rPr>
              <w:t xml:space="preserve"> different bleeding events from different sites not listed individually</w:t>
            </w:r>
          </w:p>
          <w:p w14:paraId="595EB1F3" w14:textId="77777777" w:rsidR="00557C61" w:rsidRPr="00B90F07" w:rsidRDefault="00557C61" w:rsidP="005362D8">
            <w:pPr>
              <w:pStyle w:val="Text"/>
              <w:rPr>
                <w:rFonts w:asciiTheme="minorHAnsi" w:hAnsiTheme="minorHAnsi" w:cs="Arial"/>
                <w:i/>
                <w:sz w:val="16"/>
                <w:szCs w:val="16"/>
              </w:rPr>
            </w:pPr>
            <w:proofErr w:type="spellStart"/>
            <w:r w:rsidRPr="00B90F07">
              <w:rPr>
                <w:rFonts w:asciiTheme="minorHAnsi" w:hAnsiTheme="minorHAnsi" w:cs="Arial"/>
                <w:i/>
                <w:sz w:val="16"/>
                <w:szCs w:val="16"/>
                <w:vertAlign w:val="superscript"/>
              </w:rPr>
              <w:t>c</w:t>
            </w:r>
            <w:r w:rsidRPr="00B90F07">
              <w:rPr>
                <w:rFonts w:asciiTheme="minorHAnsi" w:hAnsiTheme="minorHAnsi" w:cs="Arial"/>
                <w:i/>
                <w:sz w:val="16"/>
                <w:szCs w:val="16"/>
              </w:rPr>
              <w:t>Includes</w:t>
            </w:r>
            <w:proofErr w:type="spellEnd"/>
            <w:r w:rsidRPr="00B90F07">
              <w:rPr>
                <w:rFonts w:asciiTheme="minorHAnsi" w:hAnsiTheme="minorHAnsi" w:cs="Arial"/>
                <w:i/>
                <w:sz w:val="16"/>
                <w:szCs w:val="16"/>
              </w:rPr>
              <w:t xml:space="preserve"> very common: pneumonitis and common: interstitial lung disease, lung infiltration, </w:t>
            </w:r>
            <w:proofErr w:type="spellStart"/>
            <w:r w:rsidRPr="00B90F07">
              <w:rPr>
                <w:rFonts w:asciiTheme="minorHAnsi" w:hAnsiTheme="minorHAnsi" w:cs="Arial"/>
                <w:i/>
                <w:sz w:val="16"/>
                <w:szCs w:val="16"/>
              </w:rPr>
              <w:t>alveolitis</w:t>
            </w:r>
            <w:proofErr w:type="spellEnd"/>
            <w:r w:rsidRPr="00B90F07">
              <w:rPr>
                <w:rFonts w:asciiTheme="minorHAnsi" w:hAnsiTheme="minorHAnsi" w:cs="Arial"/>
                <w:i/>
                <w:sz w:val="16"/>
                <w:szCs w:val="16"/>
              </w:rPr>
              <w:t xml:space="preserve">, pulmonary alveolar </w:t>
            </w:r>
            <w:proofErr w:type="spellStart"/>
            <w:r w:rsidRPr="00B90F07">
              <w:rPr>
                <w:rFonts w:asciiTheme="minorHAnsi" w:hAnsiTheme="minorHAnsi" w:cs="Arial"/>
                <w:i/>
                <w:sz w:val="16"/>
                <w:szCs w:val="16"/>
              </w:rPr>
              <w:t>hemorrhage</w:t>
            </w:r>
            <w:proofErr w:type="spellEnd"/>
            <w:r w:rsidRPr="00B90F07">
              <w:rPr>
                <w:rFonts w:asciiTheme="minorHAnsi" w:hAnsiTheme="minorHAnsi" w:cs="Arial"/>
                <w:i/>
                <w:sz w:val="16"/>
                <w:szCs w:val="16"/>
              </w:rPr>
              <w:t>, and pulmonary toxicity</w:t>
            </w:r>
          </w:p>
          <w:p w14:paraId="20DD8B59" w14:textId="77777777" w:rsidR="00557C61" w:rsidRPr="00B90F07" w:rsidRDefault="00557C61" w:rsidP="005362D8">
            <w:pPr>
              <w:pStyle w:val="Text"/>
              <w:rPr>
                <w:rFonts w:asciiTheme="minorHAnsi" w:hAnsiTheme="minorHAnsi" w:cs="Arial"/>
                <w:i/>
                <w:sz w:val="16"/>
                <w:szCs w:val="16"/>
                <w:lang w:val="en-US"/>
              </w:rPr>
            </w:pPr>
            <w:proofErr w:type="spellStart"/>
            <w:r w:rsidRPr="00B90F07">
              <w:rPr>
                <w:rFonts w:asciiTheme="minorHAnsi" w:hAnsiTheme="minorHAnsi" w:cs="Arial"/>
                <w:i/>
                <w:sz w:val="16"/>
                <w:szCs w:val="16"/>
                <w:vertAlign w:val="superscript"/>
              </w:rPr>
              <w:t>d</w:t>
            </w:r>
            <w:r w:rsidRPr="00B90F07">
              <w:rPr>
                <w:rFonts w:asciiTheme="minorHAnsi" w:hAnsiTheme="minorHAnsi" w:cs="Arial"/>
                <w:i/>
                <w:sz w:val="16"/>
                <w:szCs w:val="16"/>
              </w:rPr>
              <w:t>Includes</w:t>
            </w:r>
            <w:proofErr w:type="spellEnd"/>
            <w:r w:rsidRPr="00B90F07">
              <w:rPr>
                <w:rFonts w:asciiTheme="minorHAnsi" w:hAnsiTheme="minorHAnsi" w:cs="Arial"/>
                <w:i/>
                <w:sz w:val="16"/>
                <w:szCs w:val="16"/>
              </w:rPr>
              <w:t xml:space="preserve"> very common: stomatitis; common: </w:t>
            </w:r>
            <w:proofErr w:type="spellStart"/>
            <w:r w:rsidRPr="00B90F07">
              <w:rPr>
                <w:rFonts w:asciiTheme="minorHAnsi" w:hAnsiTheme="minorHAnsi" w:cs="Arial"/>
                <w:i/>
                <w:sz w:val="16"/>
                <w:szCs w:val="16"/>
              </w:rPr>
              <w:t>aphthous</w:t>
            </w:r>
            <w:proofErr w:type="spellEnd"/>
            <w:r w:rsidRPr="00B90F07">
              <w:rPr>
                <w:rFonts w:asciiTheme="minorHAnsi" w:hAnsiTheme="minorHAnsi" w:cs="Arial"/>
                <w:i/>
                <w:sz w:val="16"/>
                <w:szCs w:val="16"/>
              </w:rPr>
              <w:t xml:space="preserve"> stomatitis, mouth and tongue ulceration; uncommon: glossitis, </w:t>
            </w:r>
            <w:proofErr w:type="spellStart"/>
            <w:r w:rsidRPr="00B90F07">
              <w:rPr>
                <w:rFonts w:asciiTheme="minorHAnsi" w:hAnsiTheme="minorHAnsi" w:cs="Arial"/>
                <w:i/>
                <w:sz w:val="16"/>
                <w:szCs w:val="16"/>
              </w:rPr>
              <w:t>glossodynia</w:t>
            </w:r>
            <w:proofErr w:type="spellEnd"/>
          </w:p>
          <w:p w14:paraId="6E37A787" w14:textId="77777777" w:rsidR="00557C61" w:rsidRPr="00B90F07" w:rsidRDefault="00557C61" w:rsidP="005362D8">
            <w:pPr>
              <w:pStyle w:val="Text"/>
              <w:rPr>
                <w:rFonts w:asciiTheme="minorHAnsi" w:hAnsiTheme="minorHAnsi" w:cs="Arial"/>
                <w:bCs/>
                <w:i/>
                <w:sz w:val="16"/>
                <w:szCs w:val="16"/>
              </w:rPr>
            </w:pPr>
            <w:proofErr w:type="spellStart"/>
            <w:r w:rsidRPr="00B90F07">
              <w:rPr>
                <w:rFonts w:asciiTheme="minorHAnsi" w:hAnsiTheme="minorHAnsi" w:cs="Arial"/>
                <w:i/>
                <w:sz w:val="16"/>
                <w:szCs w:val="16"/>
                <w:vertAlign w:val="superscript"/>
                <w:lang w:val="en-US"/>
              </w:rPr>
              <w:t>e</w:t>
            </w:r>
            <w:r w:rsidRPr="00B90F07">
              <w:rPr>
                <w:rFonts w:asciiTheme="minorHAnsi" w:hAnsiTheme="minorHAnsi" w:cs="Arial"/>
                <w:i/>
                <w:sz w:val="16"/>
                <w:szCs w:val="16"/>
                <w:lang w:val="en-US"/>
              </w:rPr>
              <w:t>reported</w:t>
            </w:r>
            <w:proofErr w:type="spellEnd"/>
            <w:r w:rsidRPr="00B90F07">
              <w:rPr>
                <w:rFonts w:asciiTheme="minorHAnsi" w:hAnsiTheme="minorHAnsi" w:cs="Arial"/>
                <w:i/>
                <w:sz w:val="16"/>
                <w:szCs w:val="16"/>
                <w:lang w:val="en-US"/>
              </w:rPr>
              <w:t xml:space="preserve"> as </w:t>
            </w:r>
            <w:r w:rsidRPr="00B90F07">
              <w:rPr>
                <w:rFonts w:asciiTheme="minorHAnsi" w:hAnsiTheme="minorHAnsi" w:cs="Arial"/>
                <w:bCs/>
                <w:i/>
                <w:sz w:val="16"/>
                <w:szCs w:val="16"/>
              </w:rPr>
              <w:t xml:space="preserve">palmar-plantar </w:t>
            </w:r>
            <w:proofErr w:type="spellStart"/>
            <w:r w:rsidRPr="00B90F07">
              <w:rPr>
                <w:rFonts w:asciiTheme="minorHAnsi" w:hAnsiTheme="minorHAnsi" w:cs="Arial"/>
                <w:bCs/>
                <w:i/>
                <w:sz w:val="16"/>
                <w:szCs w:val="16"/>
              </w:rPr>
              <w:t>erythrodysaesthesia</w:t>
            </w:r>
            <w:proofErr w:type="spellEnd"/>
            <w:r w:rsidRPr="00B90F07">
              <w:rPr>
                <w:rFonts w:asciiTheme="minorHAnsi" w:hAnsiTheme="minorHAnsi" w:cs="Arial"/>
                <w:bCs/>
                <w:i/>
                <w:sz w:val="16"/>
                <w:szCs w:val="16"/>
              </w:rPr>
              <w:t xml:space="preserve"> syndrome</w:t>
            </w:r>
          </w:p>
          <w:p w14:paraId="6822C9D8" w14:textId="77777777" w:rsidR="00557C61" w:rsidRPr="00B90F07" w:rsidRDefault="00557C61" w:rsidP="005362D8">
            <w:pPr>
              <w:pStyle w:val="Text"/>
              <w:rPr>
                <w:rFonts w:asciiTheme="minorHAnsi" w:hAnsiTheme="minorHAnsi" w:cs="Arial"/>
                <w:sz w:val="18"/>
                <w:szCs w:val="18"/>
                <w:lang w:val="en-US" w:eastAsia="ja-JP"/>
              </w:rPr>
            </w:pPr>
            <w:proofErr w:type="spellStart"/>
            <w:r w:rsidRPr="00B90F07">
              <w:rPr>
                <w:rFonts w:asciiTheme="minorHAnsi" w:hAnsiTheme="minorHAnsi" w:cs="Arial"/>
                <w:bCs/>
                <w:i/>
                <w:sz w:val="16"/>
                <w:szCs w:val="16"/>
                <w:vertAlign w:val="superscript"/>
              </w:rPr>
              <w:t>f</w:t>
            </w:r>
            <w:r w:rsidRPr="00B90F07">
              <w:rPr>
                <w:rFonts w:asciiTheme="minorHAnsi" w:hAnsiTheme="minorHAnsi" w:cs="Arial"/>
                <w:bCs/>
                <w:i/>
                <w:sz w:val="16"/>
                <w:szCs w:val="16"/>
              </w:rPr>
              <w:t>frequency</w:t>
            </w:r>
            <w:proofErr w:type="spellEnd"/>
            <w:r w:rsidRPr="00B90F07">
              <w:rPr>
                <w:rFonts w:asciiTheme="minorHAnsi" w:hAnsiTheme="minorHAnsi" w:cs="Arial"/>
                <w:bCs/>
                <w:i/>
                <w:sz w:val="16"/>
                <w:szCs w:val="16"/>
              </w:rPr>
              <w:t xml:space="preserve"> is based upon number of women age 10 to 55 </w:t>
            </w:r>
            <w:proofErr w:type="spellStart"/>
            <w:r w:rsidRPr="00B90F07">
              <w:rPr>
                <w:rFonts w:asciiTheme="minorHAnsi" w:hAnsiTheme="minorHAnsi" w:cs="Arial"/>
                <w:bCs/>
                <w:i/>
                <w:sz w:val="16"/>
                <w:szCs w:val="16"/>
              </w:rPr>
              <w:t>yrs</w:t>
            </w:r>
            <w:proofErr w:type="spellEnd"/>
            <w:r w:rsidRPr="00B90F07">
              <w:rPr>
                <w:rFonts w:asciiTheme="minorHAnsi" w:hAnsiTheme="minorHAnsi" w:cs="Arial"/>
                <w:bCs/>
                <w:i/>
                <w:sz w:val="16"/>
                <w:szCs w:val="16"/>
              </w:rPr>
              <w:t xml:space="preserve"> of age in the safety pool</w:t>
            </w:r>
          </w:p>
        </w:tc>
      </w:tr>
    </w:tbl>
    <w:p w14:paraId="1EFA12C8" w14:textId="77777777" w:rsidR="00557C61" w:rsidRPr="00B90F07" w:rsidRDefault="00557C61" w:rsidP="00557C61">
      <w:pPr>
        <w:tabs>
          <w:tab w:val="left" w:pos="567"/>
        </w:tabs>
        <w:spacing w:line="320" w:lineRule="atLeast"/>
        <w:rPr>
          <w:sz w:val="24"/>
        </w:rPr>
      </w:pPr>
    </w:p>
    <w:p w14:paraId="7AAF35FB" w14:textId="77777777" w:rsidR="00557C61" w:rsidRPr="00B90F07" w:rsidRDefault="00557C61" w:rsidP="00557C61">
      <w:pPr>
        <w:pStyle w:val="Heading3"/>
        <w:tabs>
          <w:tab w:val="left" w:pos="567"/>
        </w:tabs>
        <w:spacing w:before="0" w:after="240"/>
        <w:ind w:left="0"/>
        <w:rPr>
          <w:rFonts w:asciiTheme="minorHAnsi" w:hAnsiTheme="minorHAnsi"/>
          <w:lang w:val="en-GB"/>
        </w:rPr>
      </w:pPr>
      <w:r w:rsidRPr="00B90F07">
        <w:rPr>
          <w:rFonts w:asciiTheme="minorHAnsi" w:hAnsiTheme="minorHAnsi"/>
          <w:lang w:val="en-GB"/>
        </w:rPr>
        <w:t>Clinically relevant laboratory abnormalities</w:t>
      </w:r>
      <w:bookmarkStart w:id="15" w:name="_Toc193444399"/>
    </w:p>
    <w:p w14:paraId="2EB6C849" w14:textId="77777777" w:rsidR="00557C61" w:rsidRPr="003353BC" w:rsidRDefault="00557C61" w:rsidP="00557C61">
      <w:pPr>
        <w:tabs>
          <w:tab w:val="left" w:pos="1298"/>
        </w:tabs>
        <w:spacing w:after="0"/>
        <w:rPr>
          <w:lang w:val="en-GB"/>
        </w:rPr>
      </w:pPr>
      <w:r w:rsidRPr="003353BC">
        <w:rPr>
          <w:lang w:val="en-GB"/>
        </w:rPr>
        <w:t>In the pooled double-blind phase III safety database, the following new or worsening clinically relevant laboratory abnormalities were reported with an incidence of ≥1/10 (very common, listed in decreasing frequency):</w:t>
      </w:r>
    </w:p>
    <w:p w14:paraId="352E53CA" w14:textId="77777777" w:rsidR="00557C61" w:rsidRPr="003353BC" w:rsidRDefault="00557C61" w:rsidP="00AA1E37">
      <w:pPr>
        <w:numPr>
          <w:ilvl w:val="0"/>
          <w:numId w:val="28"/>
        </w:numPr>
        <w:spacing w:after="0"/>
        <w:jc w:val="both"/>
        <w:rPr>
          <w:lang w:val="en-GB"/>
        </w:rPr>
      </w:pPr>
      <w:r w:rsidRPr="003353BC">
        <w:rPr>
          <w:lang w:val="en-GB"/>
        </w:rPr>
        <w:t xml:space="preserve">Haematology: haemoglobin decreased, lymphocytes decreased, white blood cells decreased, platelets decreased, and neutrophils decreased (or collectively as pancytopenia). </w:t>
      </w:r>
    </w:p>
    <w:p w14:paraId="4D5139DC" w14:textId="77777777" w:rsidR="00557C61" w:rsidRPr="003353BC" w:rsidRDefault="00557C61" w:rsidP="00AA1E37">
      <w:pPr>
        <w:numPr>
          <w:ilvl w:val="0"/>
          <w:numId w:val="28"/>
        </w:numPr>
        <w:spacing w:after="0"/>
        <w:jc w:val="both"/>
        <w:rPr>
          <w:lang w:val="en-GB"/>
        </w:rPr>
      </w:pPr>
      <w:r w:rsidRPr="003353BC">
        <w:rPr>
          <w:lang w:val="en-GB"/>
        </w:rPr>
        <w:lastRenderedPageBreak/>
        <w:t xml:space="preserve">Clinical chemistry: glucose (fasting) increased, cholesterol increased, triglycerides increased, AST </w:t>
      </w:r>
      <w:r w:rsidRPr="003353BC">
        <w:rPr>
          <w:szCs w:val="24"/>
          <w:lang w:val="en-GB"/>
        </w:rPr>
        <w:t xml:space="preserve">increased, phosphate decreased, ALT increased, creatinine increased, potassium decreased </w:t>
      </w:r>
      <w:r w:rsidRPr="003353BC">
        <w:rPr>
          <w:szCs w:val="24"/>
        </w:rPr>
        <w:t>and albumin decreased</w:t>
      </w:r>
      <w:r w:rsidRPr="003353BC">
        <w:rPr>
          <w:lang w:val="en-GB"/>
        </w:rPr>
        <w:t>.</w:t>
      </w:r>
    </w:p>
    <w:p w14:paraId="40257FB8" w14:textId="77777777" w:rsidR="00557C61" w:rsidRPr="003353BC" w:rsidRDefault="00557C61" w:rsidP="00557C61">
      <w:pPr>
        <w:spacing w:after="0"/>
        <w:ind w:left="720"/>
        <w:rPr>
          <w:lang w:val="en-GB"/>
        </w:rPr>
      </w:pPr>
    </w:p>
    <w:p w14:paraId="79A184AA" w14:textId="77777777" w:rsidR="00557C61" w:rsidRPr="003353BC" w:rsidRDefault="00557C61" w:rsidP="00557C61">
      <w:pPr>
        <w:spacing w:after="0"/>
        <w:rPr>
          <w:lang w:val="en-GB"/>
        </w:rPr>
      </w:pPr>
      <w:r w:rsidRPr="003353BC">
        <w:rPr>
          <w:lang w:val="en-GB"/>
        </w:rPr>
        <w:t>Most of the observed abnormalities (≥1/100) were mild (grade 1) or moderate (grade 2). Grade 3/4 h</w:t>
      </w:r>
      <w:r>
        <w:rPr>
          <w:lang w:val="en-GB"/>
        </w:rPr>
        <w:t>a</w:t>
      </w:r>
      <w:r w:rsidRPr="003353BC">
        <w:rPr>
          <w:lang w:val="en-GB"/>
        </w:rPr>
        <w:t>ematology and chemistry abnormalities include:</w:t>
      </w:r>
    </w:p>
    <w:p w14:paraId="446B7142" w14:textId="77777777" w:rsidR="00557C61" w:rsidRPr="003353BC" w:rsidRDefault="00557C61" w:rsidP="00557C61">
      <w:pPr>
        <w:pStyle w:val="Listlevel1"/>
        <w:numPr>
          <w:ilvl w:val="0"/>
          <w:numId w:val="29"/>
        </w:numPr>
        <w:tabs>
          <w:tab w:val="clear" w:pos="357"/>
          <w:tab w:val="num" w:pos="714"/>
        </w:tabs>
        <w:spacing w:line="276" w:lineRule="auto"/>
        <w:ind w:left="714"/>
        <w:rPr>
          <w:rFonts w:asciiTheme="minorHAnsi" w:hAnsiTheme="minorHAnsi"/>
          <w:sz w:val="22"/>
          <w:szCs w:val="24"/>
          <w:lang w:val="en-GB"/>
        </w:rPr>
      </w:pPr>
      <w:proofErr w:type="spellStart"/>
      <w:r w:rsidRPr="003353BC">
        <w:rPr>
          <w:rFonts w:asciiTheme="minorHAnsi" w:hAnsiTheme="minorHAnsi"/>
          <w:sz w:val="22"/>
          <w:szCs w:val="24"/>
        </w:rPr>
        <w:t>Haematology</w:t>
      </w:r>
      <w:proofErr w:type="spellEnd"/>
      <w:r w:rsidRPr="003353BC">
        <w:rPr>
          <w:rFonts w:asciiTheme="minorHAnsi" w:hAnsiTheme="minorHAnsi"/>
          <w:sz w:val="22"/>
          <w:szCs w:val="24"/>
        </w:rPr>
        <w:t xml:space="preserve">: lymphocytes decreased, hemoglobin decreased (very common); neutrophils decreased, platelet count decreased, white blood cells decreased (all common). </w:t>
      </w:r>
    </w:p>
    <w:p w14:paraId="68E4C26C" w14:textId="77777777" w:rsidR="00557C61" w:rsidRPr="003353BC" w:rsidRDefault="00557C61" w:rsidP="00557C61">
      <w:pPr>
        <w:pStyle w:val="Listlevel1"/>
        <w:numPr>
          <w:ilvl w:val="0"/>
          <w:numId w:val="29"/>
        </w:numPr>
        <w:tabs>
          <w:tab w:val="clear" w:pos="357"/>
          <w:tab w:val="num" w:pos="714"/>
        </w:tabs>
        <w:spacing w:line="276" w:lineRule="auto"/>
        <w:ind w:left="714"/>
        <w:rPr>
          <w:rFonts w:asciiTheme="minorHAnsi" w:hAnsiTheme="minorHAnsi"/>
          <w:sz w:val="22"/>
          <w:szCs w:val="24"/>
          <w:lang w:val="en-GB"/>
        </w:rPr>
      </w:pPr>
      <w:r w:rsidRPr="003353BC">
        <w:rPr>
          <w:rFonts w:asciiTheme="minorHAnsi" w:hAnsiTheme="minorHAnsi"/>
          <w:sz w:val="22"/>
          <w:szCs w:val="24"/>
        </w:rPr>
        <w:t>Clinical chemistry: glucose (fasting) increased (very common); phosphate decreased, potassium decreased, AST increased, ALT increased, creatinine increased cholesterol (total) increased, triglycerides increased, albumin decreased (all common).</w:t>
      </w:r>
    </w:p>
    <w:p w14:paraId="2B039415" w14:textId="77777777" w:rsidR="00557C61" w:rsidRPr="00B90F07" w:rsidRDefault="00557C61" w:rsidP="00557C61">
      <w:pPr>
        <w:rPr>
          <w:sz w:val="24"/>
          <w:lang w:val="en-GB"/>
        </w:rPr>
      </w:pPr>
      <w:r w:rsidRPr="00B90F07">
        <w:rPr>
          <w:sz w:val="24"/>
          <w:lang w:val="en-GB"/>
        </w:rPr>
        <w:t xml:space="preserve"> </w:t>
      </w:r>
    </w:p>
    <w:bookmarkEnd w:id="15"/>
    <w:p w14:paraId="4354C438" w14:textId="77777777" w:rsidR="00557C61" w:rsidRPr="00B90F07" w:rsidRDefault="00557C61" w:rsidP="00557C61">
      <w:pPr>
        <w:pStyle w:val="Nottoc-headings"/>
        <w:spacing w:line="276" w:lineRule="auto"/>
        <w:rPr>
          <w:rFonts w:asciiTheme="minorHAnsi" w:hAnsiTheme="minorHAnsi"/>
        </w:rPr>
      </w:pPr>
      <w:r w:rsidRPr="00B90F07">
        <w:rPr>
          <w:rFonts w:asciiTheme="minorHAnsi" w:hAnsiTheme="minorHAnsi"/>
        </w:rPr>
        <w:t xml:space="preserve">Tuberous sclerosis complex (TSC) </w:t>
      </w:r>
      <w:bookmarkStart w:id="16" w:name="_3032380Tuberous_sclerosis_complex"/>
      <w:bookmarkStart w:id="17" w:name="_3943034Tuberous_sclerosis_complex"/>
      <w:bookmarkEnd w:id="16"/>
      <w:bookmarkEnd w:id="17"/>
      <w:r w:rsidRPr="00B90F07">
        <w:rPr>
          <w:rFonts w:asciiTheme="minorHAnsi" w:hAnsiTheme="minorHAnsi"/>
        </w:rPr>
        <w:t>- Summary of the safety profile</w:t>
      </w:r>
    </w:p>
    <w:p w14:paraId="25F862F9" w14:textId="4D08CDAC" w:rsidR="00557C61" w:rsidRPr="00B90F07" w:rsidRDefault="00557C61" w:rsidP="00557C61">
      <w:r w:rsidRPr="00B90F07">
        <w:t>Adverse events (irrespective of causality) presented below are based on pooled data</w:t>
      </w:r>
      <w:r w:rsidRPr="00B90F07">
        <w:rPr>
          <w:lang w:val="en-US"/>
        </w:rPr>
        <w:t xml:space="preserve"> from patients with TSC receiving </w:t>
      </w:r>
      <w:proofErr w:type="spellStart"/>
      <w:r w:rsidRPr="00B90F07">
        <w:rPr>
          <w:lang w:val="en-US"/>
        </w:rPr>
        <w:t>Afinitor</w:t>
      </w:r>
      <w:proofErr w:type="spellEnd"/>
      <w:r w:rsidRPr="00B90F07">
        <w:rPr>
          <w:lang w:val="en-US"/>
        </w:rPr>
        <w:t xml:space="preserve"> (N=404) or placebo (N=197) </w:t>
      </w:r>
      <w:r w:rsidRPr="00B90F07">
        <w:t>in the double-blind treatment phase of the three phase-III, controlled studies (see</w:t>
      </w:r>
      <w:r w:rsidR="00830F70">
        <w:t xml:space="preserve"> section 4.1 ‘Therapeutic i</w:t>
      </w:r>
      <w:r w:rsidRPr="00B90F07">
        <w:t>ndications</w:t>
      </w:r>
      <w:r w:rsidR="00830F70">
        <w:t>’</w:t>
      </w:r>
      <w:r w:rsidRPr="00B90F07">
        <w:t>)</w:t>
      </w:r>
      <w:r w:rsidRPr="00B90F07">
        <w:rPr>
          <w:lang w:val="en-US"/>
        </w:rPr>
        <w:t xml:space="preserve">. </w:t>
      </w:r>
      <w:r w:rsidRPr="00B90F07">
        <w:fldChar w:fldCharType="begin"/>
      </w:r>
      <w:r w:rsidRPr="00B90F07">
        <w:rPr>
          <w:lang w:val="en-US"/>
        </w:rPr>
        <w:instrText xml:space="preserve"> REF _Ref491097233 \h </w:instrText>
      </w:r>
      <w:r w:rsidRPr="00B90F07">
        <w:instrText xml:space="preserve"> \* MERGEFORMAT </w:instrText>
      </w:r>
      <w:r w:rsidRPr="00B90F07">
        <w:fldChar w:fldCharType="separate"/>
      </w:r>
      <w:r w:rsidR="00D64407" w:rsidRPr="00B90F07">
        <w:t xml:space="preserve">Table </w:t>
      </w:r>
      <w:r w:rsidR="00D64407">
        <w:rPr>
          <w:noProof/>
        </w:rPr>
        <w:t>4</w:t>
      </w:r>
      <w:r w:rsidRPr="00B90F07">
        <w:fldChar w:fldCharType="end"/>
      </w:r>
      <w:r w:rsidRPr="00B90F07">
        <w:t xml:space="preserve"> presents the most frequent adverse events (</w:t>
      </w:r>
      <w:r w:rsidRPr="00B90F07">
        <w:rPr>
          <w:szCs w:val="24"/>
        </w:rPr>
        <w:t>incidence ≥</w:t>
      </w:r>
      <w:r w:rsidRPr="00B90F07">
        <w:rPr>
          <w:szCs w:val="24"/>
          <w:lang w:val="en-US"/>
        </w:rPr>
        <w:t>1/</w:t>
      </w:r>
      <w:r w:rsidRPr="00B90F07">
        <w:rPr>
          <w:szCs w:val="24"/>
        </w:rPr>
        <w:t>10</w:t>
      </w:r>
      <w:r w:rsidRPr="00B90F07">
        <w:t>) from this pooled safety data.</w:t>
      </w:r>
    </w:p>
    <w:p w14:paraId="44F9C100" w14:textId="77777777" w:rsidR="00557C61" w:rsidRDefault="00557C61" w:rsidP="00557C61">
      <w:pPr>
        <w:pStyle w:val="Text"/>
        <w:rPr>
          <w:rFonts w:asciiTheme="minorHAnsi" w:hAnsiTheme="minorHAnsi"/>
          <w:lang w:val="en-US"/>
        </w:rPr>
      </w:pPr>
    </w:p>
    <w:p w14:paraId="7A1B6ABF" w14:textId="77777777" w:rsidR="000E6647" w:rsidRDefault="000E6647" w:rsidP="00557C61">
      <w:pPr>
        <w:pStyle w:val="Text"/>
        <w:rPr>
          <w:rFonts w:asciiTheme="minorHAnsi" w:hAnsiTheme="minorHAnsi"/>
          <w:lang w:val="en-US"/>
        </w:rPr>
      </w:pPr>
    </w:p>
    <w:p w14:paraId="08DB202B" w14:textId="77777777" w:rsidR="000E6647" w:rsidRDefault="000E6647" w:rsidP="00557C61">
      <w:pPr>
        <w:pStyle w:val="Text"/>
        <w:rPr>
          <w:rFonts w:asciiTheme="minorHAnsi" w:hAnsiTheme="minorHAnsi"/>
          <w:lang w:val="en-US"/>
        </w:rPr>
      </w:pPr>
    </w:p>
    <w:p w14:paraId="596DD1FC" w14:textId="77777777" w:rsidR="000E6647" w:rsidRDefault="000E6647" w:rsidP="00557C61">
      <w:pPr>
        <w:pStyle w:val="Text"/>
        <w:rPr>
          <w:rFonts w:asciiTheme="minorHAnsi" w:hAnsiTheme="minorHAnsi"/>
          <w:lang w:val="en-US"/>
        </w:rPr>
      </w:pPr>
    </w:p>
    <w:p w14:paraId="651D8B82" w14:textId="77777777" w:rsidR="000E6647" w:rsidRPr="00B90F07" w:rsidRDefault="000E6647" w:rsidP="00557C61">
      <w:pPr>
        <w:pStyle w:val="Text"/>
        <w:rPr>
          <w:rFonts w:asciiTheme="minorHAnsi" w:hAnsiTheme="minorHAnsi"/>
          <w:lang w:val="en-US"/>
        </w:rPr>
      </w:pPr>
    </w:p>
    <w:p w14:paraId="3C6DEEF9" w14:textId="77777777" w:rsidR="00557C61" w:rsidRPr="00B90F07" w:rsidRDefault="00557C61" w:rsidP="00557C61">
      <w:pPr>
        <w:pStyle w:val="Caption"/>
        <w:keepNext/>
        <w:ind w:left="1418" w:hanging="1418"/>
        <w:rPr>
          <w:rFonts w:asciiTheme="minorHAnsi" w:hAnsiTheme="minorHAnsi"/>
        </w:rPr>
      </w:pPr>
      <w:bookmarkStart w:id="18" w:name="_Ref491097233"/>
      <w:r w:rsidRPr="00B90F07">
        <w:rPr>
          <w:rFonts w:asciiTheme="minorHAnsi" w:hAnsiTheme="minorHAnsi"/>
        </w:rPr>
        <w:t xml:space="preserve">Table </w:t>
      </w:r>
      <w:r w:rsidRPr="00B90F07">
        <w:rPr>
          <w:rFonts w:asciiTheme="minorHAnsi" w:hAnsiTheme="minorHAnsi"/>
        </w:rPr>
        <w:fldChar w:fldCharType="begin"/>
      </w:r>
      <w:r w:rsidRPr="00B90F07">
        <w:rPr>
          <w:rFonts w:asciiTheme="minorHAnsi" w:hAnsiTheme="minorHAnsi"/>
        </w:rPr>
        <w:instrText xml:space="preserve"> SEQ Table \* ARABIC </w:instrText>
      </w:r>
      <w:r w:rsidRPr="00B90F07">
        <w:rPr>
          <w:rFonts w:asciiTheme="minorHAnsi" w:hAnsiTheme="minorHAnsi"/>
        </w:rPr>
        <w:fldChar w:fldCharType="separate"/>
      </w:r>
      <w:r w:rsidR="00D64407">
        <w:rPr>
          <w:rFonts w:asciiTheme="minorHAnsi" w:hAnsiTheme="minorHAnsi"/>
          <w:noProof/>
        </w:rPr>
        <w:t>4</w:t>
      </w:r>
      <w:r w:rsidRPr="00B90F07">
        <w:rPr>
          <w:rFonts w:asciiTheme="minorHAnsi" w:hAnsiTheme="minorHAnsi"/>
        </w:rPr>
        <w:fldChar w:fldCharType="end"/>
      </w:r>
      <w:bookmarkEnd w:id="18"/>
      <w:r w:rsidRPr="00B90F07">
        <w:rPr>
          <w:rFonts w:asciiTheme="minorHAnsi" w:hAnsiTheme="minorHAnsi"/>
        </w:rPr>
        <w:t xml:space="preserve"> </w:t>
      </w:r>
      <w:r w:rsidRPr="00B90F07">
        <w:rPr>
          <w:rFonts w:asciiTheme="minorHAnsi" w:hAnsiTheme="minorHAnsi"/>
        </w:rPr>
        <w:tab/>
        <w:t xml:space="preserve">Adverse events assessed from clinical trials in TSC in the </w:t>
      </w:r>
      <w:proofErr w:type="spellStart"/>
      <w:r w:rsidRPr="00B90F07">
        <w:rPr>
          <w:rFonts w:asciiTheme="minorHAnsi" w:hAnsiTheme="minorHAnsi"/>
        </w:rPr>
        <w:t>Afinitor</w:t>
      </w:r>
      <w:proofErr w:type="spellEnd"/>
      <w:r w:rsidRPr="00B90F07">
        <w:rPr>
          <w:rFonts w:asciiTheme="minorHAnsi" w:hAnsiTheme="minorHAnsi"/>
        </w:rPr>
        <w:t xml:space="preserve"> and placebo arms (incidence ≥1/10)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552"/>
        <w:gridCol w:w="2693"/>
      </w:tblGrid>
      <w:tr w:rsidR="00557C61" w:rsidRPr="004E63E9" w14:paraId="014F031A" w14:textId="77777777" w:rsidTr="005362D8">
        <w:tc>
          <w:tcPr>
            <w:tcW w:w="3652" w:type="dxa"/>
            <w:shd w:val="clear" w:color="auto" w:fill="auto"/>
          </w:tcPr>
          <w:p w14:paraId="6075955B" w14:textId="77777777" w:rsidR="00557C61" w:rsidRPr="004E63E9" w:rsidRDefault="00557C61" w:rsidP="005362D8">
            <w:pPr>
              <w:pStyle w:val="Text"/>
              <w:rPr>
                <w:rFonts w:asciiTheme="minorHAnsi" w:hAnsiTheme="minorHAnsi"/>
                <w:b/>
                <w:sz w:val="20"/>
                <w:lang w:val="en-US"/>
              </w:rPr>
            </w:pPr>
          </w:p>
        </w:tc>
        <w:tc>
          <w:tcPr>
            <w:tcW w:w="2552" w:type="dxa"/>
            <w:shd w:val="clear" w:color="auto" w:fill="auto"/>
          </w:tcPr>
          <w:p w14:paraId="19EFA82A" w14:textId="77777777" w:rsidR="00557C61" w:rsidRPr="004E63E9" w:rsidRDefault="00557C61" w:rsidP="005362D8">
            <w:pPr>
              <w:pStyle w:val="Text"/>
              <w:jc w:val="center"/>
              <w:rPr>
                <w:rFonts w:asciiTheme="minorHAnsi" w:hAnsiTheme="minorHAnsi"/>
                <w:b/>
                <w:sz w:val="20"/>
                <w:lang w:val="en-US"/>
              </w:rPr>
            </w:pPr>
            <w:proofErr w:type="spellStart"/>
            <w:r w:rsidRPr="004E63E9">
              <w:rPr>
                <w:rFonts w:asciiTheme="minorHAnsi" w:hAnsiTheme="minorHAnsi"/>
                <w:b/>
                <w:sz w:val="20"/>
                <w:lang w:val="en-US"/>
              </w:rPr>
              <w:t>Everolimus</w:t>
            </w:r>
            <w:proofErr w:type="spellEnd"/>
          </w:p>
          <w:p w14:paraId="1A132083" w14:textId="77777777" w:rsidR="00557C61" w:rsidRPr="004E63E9" w:rsidRDefault="00557C61" w:rsidP="005362D8">
            <w:pPr>
              <w:pStyle w:val="Text"/>
              <w:jc w:val="center"/>
              <w:rPr>
                <w:rFonts w:asciiTheme="minorHAnsi" w:hAnsiTheme="minorHAnsi"/>
                <w:b/>
                <w:sz w:val="20"/>
                <w:lang w:val="en-US"/>
              </w:rPr>
            </w:pPr>
            <w:r w:rsidRPr="004E63E9">
              <w:rPr>
                <w:rFonts w:asciiTheme="minorHAnsi" w:hAnsiTheme="minorHAnsi"/>
                <w:b/>
                <w:sz w:val="20"/>
                <w:lang w:val="en-US"/>
              </w:rPr>
              <w:t>N= 404</w:t>
            </w:r>
          </w:p>
        </w:tc>
        <w:tc>
          <w:tcPr>
            <w:tcW w:w="2693" w:type="dxa"/>
            <w:shd w:val="clear" w:color="auto" w:fill="auto"/>
          </w:tcPr>
          <w:p w14:paraId="6AD2FF7A" w14:textId="77777777" w:rsidR="00557C61" w:rsidRPr="004E63E9" w:rsidRDefault="00557C61" w:rsidP="005362D8">
            <w:pPr>
              <w:pStyle w:val="Text"/>
              <w:jc w:val="center"/>
              <w:rPr>
                <w:rFonts w:asciiTheme="minorHAnsi" w:hAnsiTheme="minorHAnsi"/>
                <w:b/>
                <w:sz w:val="20"/>
                <w:lang w:val="en-US"/>
              </w:rPr>
            </w:pPr>
            <w:r w:rsidRPr="004E63E9">
              <w:rPr>
                <w:rFonts w:asciiTheme="minorHAnsi" w:hAnsiTheme="minorHAnsi"/>
                <w:b/>
                <w:sz w:val="20"/>
                <w:lang w:val="en-US"/>
              </w:rPr>
              <w:t>Placebo</w:t>
            </w:r>
          </w:p>
          <w:p w14:paraId="3B9FECDF" w14:textId="77777777" w:rsidR="00557C61" w:rsidRPr="004E63E9" w:rsidRDefault="00557C61" w:rsidP="005362D8">
            <w:pPr>
              <w:pStyle w:val="Text"/>
              <w:jc w:val="center"/>
              <w:rPr>
                <w:rFonts w:asciiTheme="minorHAnsi" w:hAnsiTheme="minorHAnsi"/>
                <w:b/>
                <w:sz w:val="20"/>
                <w:lang w:val="en-US"/>
              </w:rPr>
            </w:pPr>
            <w:r w:rsidRPr="004E63E9">
              <w:rPr>
                <w:rFonts w:asciiTheme="minorHAnsi" w:hAnsiTheme="minorHAnsi"/>
                <w:b/>
                <w:sz w:val="20"/>
                <w:lang w:val="en-US"/>
              </w:rPr>
              <w:t>N=197</w:t>
            </w:r>
          </w:p>
        </w:tc>
      </w:tr>
      <w:tr w:rsidR="00557C61" w:rsidRPr="004E63E9" w14:paraId="3BFCBFF6" w14:textId="77777777" w:rsidTr="005362D8">
        <w:tc>
          <w:tcPr>
            <w:tcW w:w="3652" w:type="dxa"/>
            <w:shd w:val="clear" w:color="auto" w:fill="auto"/>
          </w:tcPr>
          <w:p w14:paraId="4F36B8FD" w14:textId="77777777" w:rsidR="00557C61" w:rsidRPr="004E63E9" w:rsidRDefault="00557C61" w:rsidP="005362D8">
            <w:pPr>
              <w:pStyle w:val="Text"/>
              <w:rPr>
                <w:rFonts w:asciiTheme="minorHAnsi" w:hAnsiTheme="minorHAnsi"/>
                <w:b/>
                <w:sz w:val="20"/>
                <w:lang w:val="fr-FR"/>
              </w:rPr>
            </w:pPr>
            <w:proofErr w:type="spellStart"/>
            <w:r w:rsidRPr="004E63E9">
              <w:rPr>
                <w:rFonts w:asciiTheme="minorHAnsi" w:hAnsiTheme="minorHAnsi"/>
                <w:b/>
                <w:sz w:val="20"/>
                <w:lang w:val="fr-FR"/>
              </w:rPr>
              <w:t>Preferred</w:t>
            </w:r>
            <w:proofErr w:type="spellEnd"/>
            <w:r w:rsidRPr="004E63E9">
              <w:rPr>
                <w:rFonts w:asciiTheme="minorHAnsi" w:hAnsiTheme="minorHAnsi"/>
                <w:b/>
                <w:sz w:val="20"/>
                <w:lang w:val="fr-FR"/>
              </w:rPr>
              <w:t xml:space="preserve"> </w:t>
            </w:r>
            <w:proofErr w:type="spellStart"/>
            <w:r w:rsidRPr="004E63E9">
              <w:rPr>
                <w:rFonts w:asciiTheme="minorHAnsi" w:hAnsiTheme="minorHAnsi"/>
                <w:b/>
                <w:sz w:val="20"/>
                <w:lang w:val="fr-FR"/>
              </w:rPr>
              <w:t>term</w:t>
            </w:r>
            <w:proofErr w:type="spellEnd"/>
          </w:p>
        </w:tc>
        <w:tc>
          <w:tcPr>
            <w:tcW w:w="2552" w:type="dxa"/>
            <w:shd w:val="clear" w:color="auto" w:fill="auto"/>
          </w:tcPr>
          <w:p w14:paraId="016392C3" w14:textId="77777777" w:rsidR="00557C61" w:rsidRPr="004E63E9" w:rsidRDefault="00557C61" w:rsidP="005362D8">
            <w:pPr>
              <w:pStyle w:val="Text"/>
              <w:jc w:val="center"/>
              <w:rPr>
                <w:rFonts w:asciiTheme="minorHAnsi" w:hAnsiTheme="minorHAnsi"/>
                <w:b/>
                <w:sz w:val="20"/>
                <w:lang w:val="fr-FR"/>
              </w:rPr>
            </w:pPr>
            <w:r w:rsidRPr="004E63E9">
              <w:rPr>
                <w:rFonts w:asciiTheme="minorHAnsi" w:hAnsiTheme="minorHAnsi"/>
                <w:b/>
                <w:sz w:val="20"/>
                <w:lang w:val="fr-FR"/>
              </w:rPr>
              <w:t>n (%)</w:t>
            </w:r>
          </w:p>
        </w:tc>
        <w:tc>
          <w:tcPr>
            <w:tcW w:w="2693" w:type="dxa"/>
            <w:shd w:val="clear" w:color="auto" w:fill="auto"/>
          </w:tcPr>
          <w:p w14:paraId="64020167" w14:textId="77777777" w:rsidR="00557C61" w:rsidRPr="004E63E9" w:rsidRDefault="00557C61" w:rsidP="005362D8">
            <w:pPr>
              <w:pStyle w:val="Text"/>
              <w:jc w:val="center"/>
              <w:rPr>
                <w:rFonts w:asciiTheme="minorHAnsi" w:hAnsiTheme="minorHAnsi"/>
                <w:b/>
                <w:sz w:val="20"/>
                <w:lang w:val="x-none"/>
              </w:rPr>
            </w:pPr>
            <w:r w:rsidRPr="004E63E9">
              <w:rPr>
                <w:rFonts w:asciiTheme="minorHAnsi" w:hAnsiTheme="minorHAnsi"/>
                <w:b/>
                <w:sz w:val="20"/>
                <w:lang w:val="fr-FR"/>
              </w:rPr>
              <w:t>n (%)</w:t>
            </w:r>
          </w:p>
        </w:tc>
      </w:tr>
      <w:tr w:rsidR="00557C61" w:rsidRPr="004E63E9" w14:paraId="33D9172C" w14:textId="77777777" w:rsidTr="005362D8">
        <w:tc>
          <w:tcPr>
            <w:tcW w:w="3652" w:type="dxa"/>
            <w:shd w:val="clear" w:color="auto" w:fill="auto"/>
          </w:tcPr>
          <w:p w14:paraId="6A5D02C0" w14:textId="77777777" w:rsidR="00557C61" w:rsidRPr="004E63E9" w:rsidRDefault="00557C61" w:rsidP="005362D8">
            <w:pPr>
              <w:pStyle w:val="Text"/>
              <w:rPr>
                <w:rFonts w:asciiTheme="minorHAnsi" w:hAnsiTheme="minorHAnsi"/>
                <w:sz w:val="20"/>
                <w:lang w:val="fr-FR"/>
              </w:rPr>
            </w:pPr>
            <w:proofErr w:type="spellStart"/>
            <w:r w:rsidRPr="004E63E9">
              <w:rPr>
                <w:rFonts w:asciiTheme="minorHAnsi" w:hAnsiTheme="minorHAnsi"/>
                <w:sz w:val="20"/>
                <w:lang w:val="fr-FR"/>
              </w:rPr>
              <w:t>Stomatitis</w:t>
            </w:r>
            <w:proofErr w:type="spellEnd"/>
          </w:p>
        </w:tc>
        <w:tc>
          <w:tcPr>
            <w:tcW w:w="2552" w:type="dxa"/>
            <w:shd w:val="clear" w:color="auto" w:fill="auto"/>
          </w:tcPr>
          <w:p w14:paraId="0D3F7D68" w14:textId="77777777" w:rsidR="00557C61" w:rsidRPr="004E63E9" w:rsidRDefault="00557C61" w:rsidP="005362D8">
            <w:pPr>
              <w:pStyle w:val="Text"/>
              <w:jc w:val="center"/>
              <w:rPr>
                <w:rFonts w:asciiTheme="minorHAnsi" w:hAnsiTheme="minorHAnsi"/>
                <w:sz w:val="20"/>
                <w:lang w:val="fr-FR"/>
              </w:rPr>
            </w:pPr>
            <w:r w:rsidRPr="004E63E9">
              <w:rPr>
                <w:rFonts w:asciiTheme="minorHAnsi" w:hAnsiTheme="minorHAnsi"/>
                <w:sz w:val="20"/>
                <w:lang w:val="fr-FR"/>
              </w:rPr>
              <w:t>137 (33.9)</w:t>
            </w:r>
          </w:p>
        </w:tc>
        <w:tc>
          <w:tcPr>
            <w:tcW w:w="2693" w:type="dxa"/>
            <w:shd w:val="clear" w:color="auto" w:fill="auto"/>
          </w:tcPr>
          <w:p w14:paraId="57BAC9B5" w14:textId="77777777" w:rsidR="00557C61" w:rsidRPr="004E63E9" w:rsidRDefault="00557C61" w:rsidP="005362D8">
            <w:pPr>
              <w:pStyle w:val="Text"/>
              <w:jc w:val="center"/>
              <w:rPr>
                <w:rFonts w:asciiTheme="minorHAnsi" w:hAnsiTheme="minorHAnsi"/>
                <w:sz w:val="20"/>
                <w:lang w:val="fr-FR"/>
              </w:rPr>
            </w:pPr>
            <w:r w:rsidRPr="004E63E9">
              <w:rPr>
                <w:rFonts w:asciiTheme="minorHAnsi" w:hAnsiTheme="minorHAnsi"/>
                <w:sz w:val="20"/>
                <w:lang w:val="fr-FR"/>
              </w:rPr>
              <w:t>15 (7.6)</w:t>
            </w:r>
          </w:p>
        </w:tc>
      </w:tr>
      <w:tr w:rsidR="00557C61" w:rsidRPr="004E63E9" w14:paraId="1FFF41D3" w14:textId="77777777" w:rsidTr="005362D8">
        <w:tc>
          <w:tcPr>
            <w:tcW w:w="3652" w:type="dxa"/>
            <w:shd w:val="clear" w:color="auto" w:fill="auto"/>
          </w:tcPr>
          <w:p w14:paraId="2A5AB479" w14:textId="77777777" w:rsidR="00557C61" w:rsidRPr="004E63E9" w:rsidRDefault="00557C61" w:rsidP="005362D8">
            <w:pPr>
              <w:pStyle w:val="Text"/>
              <w:rPr>
                <w:rFonts w:asciiTheme="minorHAnsi" w:hAnsiTheme="minorHAnsi"/>
                <w:sz w:val="20"/>
                <w:lang w:val="x-none"/>
              </w:rPr>
            </w:pPr>
            <w:proofErr w:type="spellStart"/>
            <w:r w:rsidRPr="004E63E9">
              <w:rPr>
                <w:rFonts w:asciiTheme="minorHAnsi" w:hAnsiTheme="minorHAnsi"/>
                <w:sz w:val="20"/>
                <w:lang w:val="fr-FR"/>
              </w:rPr>
              <w:t>Mouth</w:t>
            </w:r>
            <w:proofErr w:type="spellEnd"/>
            <w:r w:rsidRPr="004E63E9">
              <w:rPr>
                <w:rFonts w:asciiTheme="minorHAnsi" w:hAnsiTheme="minorHAnsi"/>
                <w:sz w:val="20"/>
                <w:lang w:val="fr-FR"/>
              </w:rPr>
              <w:t xml:space="preserve"> </w:t>
            </w:r>
            <w:proofErr w:type="spellStart"/>
            <w:r w:rsidRPr="004E63E9">
              <w:rPr>
                <w:rFonts w:asciiTheme="minorHAnsi" w:hAnsiTheme="minorHAnsi"/>
                <w:sz w:val="20"/>
                <w:lang w:val="fr-FR"/>
              </w:rPr>
              <w:t>ulceration</w:t>
            </w:r>
            <w:proofErr w:type="spellEnd"/>
          </w:p>
        </w:tc>
        <w:tc>
          <w:tcPr>
            <w:tcW w:w="2552" w:type="dxa"/>
            <w:shd w:val="clear" w:color="auto" w:fill="auto"/>
          </w:tcPr>
          <w:p w14:paraId="74CA565A"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96 (23.8)</w:t>
            </w:r>
          </w:p>
        </w:tc>
        <w:tc>
          <w:tcPr>
            <w:tcW w:w="2693" w:type="dxa"/>
            <w:shd w:val="clear" w:color="auto" w:fill="auto"/>
          </w:tcPr>
          <w:p w14:paraId="115FB714"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9 (4.6)</w:t>
            </w:r>
          </w:p>
        </w:tc>
      </w:tr>
      <w:tr w:rsidR="00557C61" w:rsidRPr="004E63E9" w14:paraId="42318FB5" w14:textId="77777777" w:rsidTr="005362D8">
        <w:tc>
          <w:tcPr>
            <w:tcW w:w="3652" w:type="dxa"/>
            <w:shd w:val="clear" w:color="auto" w:fill="auto"/>
          </w:tcPr>
          <w:p w14:paraId="1E8D010A" w14:textId="77777777" w:rsidR="00557C61" w:rsidRPr="004E63E9" w:rsidRDefault="00557C61" w:rsidP="005362D8">
            <w:pPr>
              <w:pStyle w:val="Text"/>
              <w:rPr>
                <w:rFonts w:asciiTheme="minorHAnsi" w:hAnsiTheme="minorHAnsi"/>
                <w:sz w:val="20"/>
                <w:lang w:val="x-none"/>
              </w:rPr>
            </w:pPr>
            <w:proofErr w:type="spellStart"/>
            <w:r w:rsidRPr="004E63E9">
              <w:rPr>
                <w:rFonts w:asciiTheme="minorHAnsi" w:hAnsiTheme="minorHAnsi"/>
                <w:sz w:val="20"/>
                <w:lang w:val="fr-FR"/>
              </w:rPr>
              <w:t>Nasopharyngitis</w:t>
            </w:r>
            <w:proofErr w:type="spellEnd"/>
          </w:p>
        </w:tc>
        <w:tc>
          <w:tcPr>
            <w:tcW w:w="2552" w:type="dxa"/>
            <w:shd w:val="clear" w:color="auto" w:fill="auto"/>
          </w:tcPr>
          <w:p w14:paraId="226D97C1"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75 (18.6)</w:t>
            </w:r>
          </w:p>
        </w:tc>
        <w:tc>
          <w:tcPr>
            <w:tcW w:w="2693" w:type="dxa"/>
            <w:shd w:val="clear" w:color="auto" w:fill="auto"/>
          </w:tcPr>
          <w:p w14:paraId="616386A7"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43 (21.8)</w:t>
            </w:r>
          </w:p>
        </w:tc>
      </w:tr>
      <w:tr w:rsidR="00557C61" w:rsidRPr="004E63E9" w14:paraId="466D81BD" w14:textId="77777777" w:rsidTr="005362D8">
        <w:tc>
          <w:tcPr>
            <w:tcW w:w="3652" w:type="dxa"/>
            <w:shd w:val="clear" w:color="auto" w:fill="auto"/>
          </w:tcPr>
          <w:p w14:paraId="0262E0D5" w14:textId="77777777" w:rsidR="00557C61" w:rsidRPr="004E63E9" w:rsidRDefault="00557C61" w:rsidP="005362D8">
            <w:pPr>
              <w:pStyle w:val="Text"/>
              <w:rPr>
                <w:rFonts w:asciiTheme="minorHAnsi" w:hAnsiTheme="minorHAnsi"/>
                <w:sz w:val="20"/>
                <w:lang w:val="x-none"/>
              </w:rPr>
            </w:pPr>
            <w:proofErr w:type="spellStart"/>
            <w:r w:rsidRPr="004E63E9">
              <w:rPr>
                <w:rFonts w:asciiTheme="minorHAnsi" w:hAnsiTheme="minorHAnsi"/>
                <w:sz w:val="20"/>
                <w:lang w:val="fr-FR"/>
              </w:rPr>
              <w:t>Diarrhoea</w:t>
            </w:r>
            <w:proofErr w:type="spellEnd"/>
          </w:p>
        </w:tc>
        <w:tc>
          <w:tcPr>
            <w:tcW w:w="2552" w:type="dxa"/>
            <w:shd w:val="clear" w:color="auto" w:fill="auto"/>
          </w:tcPr>
          <w:p w14:paraId="26580932"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72 (17.8)</w:t>
            </w:r>
          </w:p>
        </w:tc>
        <w:tc>
          <w:tcPr>
            <w:tcW w:w="2693" w:type="dxa"/>
            <w:shd w:val="clear" w:color="auto" w:fill="auto"/>
          </w:tcPr>
          <w:p w14:paraId="1A659763"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10 (5.1)</w:t>
            </w:r>
          </w:p>
        </w:tc>
      </w:tr>
      <w:tr w:rsidR="00557C61" w:rsidRPr="004E63E9" w14:paraId="2155B74E" w14:textId="77777777" w:rsidTr="005362D8">
        <w:tc>
          <w:tcPr>
            <w:tcW w:w="3652" w:type="dxa"/>
            <w:shd w:val="clear" w:color="auto" w:fill="auto"/>
          </w:tcPr>
          <w:p w14:paraId="72170227" w14:textId="77777777" w:rsidR="00557C61" w:rsidRPr="004E63E9" w:rsidRDefault="00557C61" w:rsidP="005362D8">
            <w:pPr>
              <w:pStyle w:val="Text"/>
              <w:rPr>
                <w:rFonts w:asciiTheme="minorHAnsi" w:hAnsiTheme="minorHAnsi"/>
                <w:sz w:val="20"/>
                <w:lang w:val="x-none"/>
              </w:rPr>
            </w:pPr>
            <w:proofErr w:type="spellStart"/>
            <w:r w:rsidRPr="004E63E9">
              <w:rPr>
                <w:rFonts w:asciiTheme="minorHAnsi" w:hAnsiTheme="minorHAnsi"/>
                <w:sz w:val="20"/>
                <w:lang w:val="fr-FR"/>
              </w:rPr>
              <w:t>Pyrexia</w:t>
            </w:r>
            <w:proofErr w:type="spellEnd"/>
          </w:p>
        </w:tc>
        <w:tc>
          <w:tcPr>
            <w:tcW w:w="2552" w:type="dxa"/>
            <w:shd w:val="clear" w:color="auto" w:fill="auto"/>
          </w:tcPr>
          <w:p w14:paraId="77BA91D8"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67 (16.6)</w:t>
            </w:r>
          </w:p>
        </w:tc>
        <w:tc>
          <w:tcPr>
            <w:tcW w:w="2693" w:type="dxa"/>
            <w:shd w:val="clear" w:color="auto" w:fill="auto"/>
          </w:tcPr>
          <w:p w14:paraId="4B79F917"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16 (8.1)</w:t>
            </w:r>
          </w:p>
        </w:tc>
      </w:tr>
      <w:tr w:rsidR="00557C61" w:rsidRPr="004E63E9" w14:paraId="5C65F9AE" w14:textId="77777777" w:rsidTr="005362D8">
        <w:tc>
          <w:tcPr>
            <w:tcW w:w="3652" w:type="dxa"/>
            <w:shd w:val="clear" w:color="auto" w:fill="auto"/>
          </w:tcPr>
          <w:p w14:paraId="7065FDE7" w14:textId="77777777" w:rsidR="00557C61" w:rsidRPr="004E63E9" w:rsidRDefault="00557C61" w:rsidP="005362D8">
            <w:pPr>
              <w:pStyle w:val="Text"/>
              <w:rPr>
                <w:rFonts w:asciiTheme="minorHAnsi" w:hAnsiTheme="minorHAnsi"/>
                <w:sz w:val="20"/>
                <w:lang w:val="x-none"/>
              </w:rPr>
            </w:pPr>
            <w:proofErr w:type="spellStart"/>
            <w:r w:rsidRPr="004E63E9">
              <w:rPr>
                <w:rFonts w:asciiTheme="minorHAnsi" w:hAnsiTheme="minorHAnsi"/>
                <w:sz w:val="20"/>
                <w:lang w:val="fr-FR"/>
              </w:rPr>
              <w:t>Upper</w:t>
            </w:r>
            <w:proofErr w:type="spellEnd"/>
            <w:r w:rsidRPr="004E63E9">
              <w:rPr>
                <w:rFonts w:asciiTheme="minorHAnsi" w:hAnsiTheme="minorHAnsi"/>
                <w:sz w:val="20"/>
                <w:lang w:val="fr-FR"/>
              </w:rPr>
              <w:t xml:space="preserve"> </w:t>
            </w:r>
            <w:proofErr w:type="spellStart"/>
            <w:r w:rsidRPr="004E63E9">
              <w:rPr>
                <w:rFonts w:asciiTheme="minorHAnsi" w:hAnsiTheme="minorHAnsi"/>
                <w:sz w:val="20"/>
                <w:lang w:val="fr-FR"/>
              </w:rPr>
              <w:t>respiratory</w:t>
            </w:r>
            <w:proofErr w:type="spellEnd"/>
            <w:r w:rsidRPr="004E63E9">
              <w:rPr>
                <w:rFonts w:asciiTheme="minorHAnsi" w:hAnsiTheme="minorHAnsi"/>
                <w:sz w:val="20"/>
                <w:lang w:val="fr-FR"/>
              </w:rPr>
              <w:t xml:space="preserve"> tract infection</w:t>
            </w:r>
          </w:p>
        </w:tc>
        <w:tc>
          <w:tcPr>
            <w:tcW w:w="2552" w:type="dxa"/>
            <w:shd w:val="clear" w:color="auto" w:fill="auto"/>
          </w:tcPr>
          <w:p w14:paraId="13CA8D91"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58 (14.4)</w:t>
            </w:r>
          </w:p>
        </w:tc>
        <w:tc>
          <w:tcPr>
            <w:tcW w:w="2693" w:type="dxa"/>
            <w:shd w:val="clear" w:color="auto" w:fill="auto"/>
          </w:tcPr>
          <w:p w14:paraId="5CA5B6E3"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26 (13.2)</w:t>
            </w:r>
          </w:p>
        </w:tc>
      </w:tr>
      <w:tr w:rsidR="00557C61" w:rsidRPr="004E63E9" w14:paraId="30DD3A77" w14:textId="77777777" w:rsidTr="005362D8">
        <w:tc>
          <w:tcPr>
            <w:tcW w:w="3652" w:type="dxa"/>
            <w:shd w:val="clear" w:color="auto" w:fill="auto"/>
          </w:tcPr>
          <w:p w14:paraId="4F287289" w14:textId="77777777" w:rsidR="00557C61" w:rsidRPr="004E63E9" w:rsidRDefault="00557C61" w:rsidP="005362D8">
            <w:pPr>
              <w:pStyle w:val="Text"/>
              <w:rPr>
                <w:rFonts w:asciiTheme="minorHAnsi" w:hAnsiTheme="minorHAnsi"/>
                <w:sz w:val="20"/>
                <w:lang w:val="x-none"/>
              </w:rPr>
            </w:pPr>
            <w:proofErr w:type="spellStart"/>
            <w:r w:rsidRPr="004E63E9">
              <w:rPr>
                <w:rFonts w:asciiTheme="minorHAnsi" w:hAnsiTheme="minorHAnsi"/>
                <w:sz w:val="20"/>
                <w:lang w:val="fr-FR"/>
              </w:rPr>
              <w:t>Vomiting</w:t>
            </w:r>
            <w:proofErr w:type="spellEnd"/>
          </w:p>
        </w:tc>
        <w:tc>
          <w:tcPr>
            <w:tcW w:w="2552" w:type="dxa"/>
            <w:shd w:val="clear" w:color="auto" w:fill="auto"/>
          </w:tcPr>
          <w:p w14:paraId="5DBEC1F1"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56 (13.9)</w:t>
            </w:r>
          </w:p>
        </w:tc>
        <w:tc>
          <w:tcPr>
            <w:tcW w:w="2693" w:type="dxa"/>
            <w:shd w:val="clear" w:color="auto" w:fill="auto"/>
          </w:tcPr>
          <w:p w14:paraId="7A232206"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18 (9.1)</w:t>
            </w:r>
          </w:p>
        </w:tc>
      </w:tr>
      <w:tr w:rsidR="00557C61" w:rsidRPr="004E63E9" w14:paraId="6B7AD6A1" w14:textId="77777777" w:rsidTr="005362D8">
        <w:tc>
          <w:tcPr>
            <w:tcW w:w="3652" w:type="dxa"/>
            <w:shd w:val="clear" w:color="auto" w:fill="auto"/>
          </w:tcPr>
          <w:p w14:paraId="3218AB7E" w14:textId="77777777" w:rsidR="00557C61" w:rsidRPr="004E63E9" w:rsidRDefault="00557C61" w:rsidP="005362D8">
            <w:pPr>
              <w:pStyle w:val="Text"/>
              <w:rPr>
                <w:rFonts w:asciiTheme="minorHAnsi" w:hAnsiTheme="minorHAnsi"/>
                <w:sz w:val="20"/>
                <w:lang w:val="x-none"/>
              </w:rPr>
            </w:pPr>
            <w:proofErr w:type="spellStart"/>
            <w:r w:rsidRPr="004E63E9">
              <w:rPr>
                <w:rFonts w:asciiTheme="minorHAnsi" w:hAnsiTheme="minorHAnsi"/>
                <w:sz w:val="20"/>
                <w:lang w:val="fr-FR"/>
              </w:rPr>
              <w:t>Cough</w:t>
            </w:r>
            <w:proofErr w:type="spellEnd"/>
          </w:p>
        </w:tc>
        <w:tc>
          <w:tcPr>
            <w:tcW w:w="2552" w:type="dxa"/>
            <w:shd w:val="clear" w:color="auto" w:fill="auto"/>
          </w:tcPr>
          <w:p w14:paraId="7777C674"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54 (13.4)</w:t>
            </w:r>
          </w:p>
        </w:tc>
        <w:tc>
          <w:tcPr>
            <w:tcW w:w="2693" w:type="dxa"/>
            <w:shd w:val="clear" w:color="auto" w:fill="auto"/>
          </w:tcPr>
          <w:p w14:paraId="49054D7F"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15 (7.6)</w:t>
            </w:r>
          </w:p>
        </w:tc>
      </w:tr>
      <w:tr w:rsidR="00557C61" w:rsidRPr="004E63E9" w14:paraId="198ADF66" w14:textId="77777777" w:rsidTr="005362D8">
        <w:tc>
          <w:tcPr>
            <w:tcW w:w="3652" w:type="dxa"/>
            <w:shd w:val="clear" w:color="auto" w:fill="auto"/>
          </w:tcPr>
          <w:p w14:paraId="6288C1FE" w14:textId="77777777" w:rsidR="00557C61" w:rsidRPr="004E63E9" w:rsidRDefault="00557C61" w:rsidP="005362D8">
            <w:pPr>
              <w:pStyle w:val="Text"/>
              <w:rPr>
                <w:rFonts w:asciiTheme="minorHAnsi" w:hAnsiTheme="minorHAnsi"/>
                <w:sz w:val="20"/>
                <w:lang w:val="fr-FR"/>
              </w:rPr>
            </w:pPr>
            <w:proofErr w:type="spellStart"/>
            <w:r w:rsidRPr="004E63E9">
              <w:rPr>
                <w:rFonts w:asciiTheme="minorHAnsi" w:hAnsiTheme="minorHAnsi"/>
                <w:sz w:val="20"/>
                <w:lang w:val="fr-FR"/>
              </w:rPr>
              <w:t>Aphthous</w:t>
            </w:r>
            <w:proofErr w:type="spellEnd"/>
            <w:r w:rsidRPr="004E63E9">
              <w:rPr>
                <w:rFonts w:asciiTheme="minorHAnsi" w:hAnsiTheme="minorHAnsi"/>
                <w:sz w:val="20"/>
                <w:lang w:val="fr-FR"/>
              </w:rPr>
              <w:t xml:space="preserve"> </w:t>
            </w:r>
            <w:proofErr w:type="spellStart"/>
            <w:r w:rsidRPr="004E63E9">
              <w:rPr>
                <w:rFonts w:asciiTheme="minorHAnsi" w:hAnsiTheme="minorHAnsi"/>
                <w:sz w:val="20"/>
                <w:lang w:val="fr-FR"/>
              </w:rPr>
              <w:t>ulcer</w:t>
            </w:r>
            <w:proofErr w:type="spellEnd"/>
          </w:p>
        </w:tc>
        <w:tc>
          <w:tcPr>
            <w:tcW w:w="2552" w:type="dxa"/>
            <w:shd w:val="clear" w:color="auto" w:fill="auto"/>
          </w:tcPr>
          <w:p w14:paraId="33870F81"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41 (10.1)</w:t>
            </w:r>
          </w:p>
        </w:tc>
        <w:tc>
          <w:tcPr>
            <w:tcW w:w="2693" w:type="dxa"/>
            <w:shd w:val="clear" w:color="auto" w:fill="auto"/>
          </w:tcPr>
          <w:p w14:paraId="5F6AA6B9" w14:textId="77777777" w:rsidR="00557C61" w:rsidRPr="004E63E9" w:rsidRDefault="00557C61" w:rsidP="005362D8">
            <w:pPr>
              <w:pStyle w:val="Text"/>
              <w:jc w:val="center"/>
              <w:rPr>
                <w:rFonts w:asciiTheme="minorHAnsi" w:hAnsiTheme="minorHAnsi"/>
                <w:sz w:val="20"/>
                <w:lang w:val="x-none"/>
              </w:rPr>
            </w:pPr>
            <w:r w:rsidRPr="004E63E9">
              <w:rPr>
                <w:rFonts w:asciiTheme="minorHAnsi" w:hAnsiTheme="minorHAnsi"/>
                <w:sz w:val="20"/>
                <w:lang w:val="fr-FR"/>
              </w:rPr>
              <w:t>7 (3.6)</w:t>
            </w:r>
          </w:p>
        </w:tc>
      </w:tr>
    </w:tbl>
    <w:p w14:paraId="7FA91DDF" w14:textId="77777777" w:rsidR="00557C61" w:rsidRDefault="00557C61" w:rsidP="00557C61"/>
    <w:p w14:paraId="15EC01B4" w14:textId="65C70DDB" w:rsidR="00557C61" w:rsidRPr="00B90F07" w:rsidRDefault="00557C61" w:rsidP="00557C61">
      <w:pPr>
        <w:rPr>
          <w:lang w:val="en-US"/>
        </w:rPr>
      </w:pPr>
      <w:r w:rsidRPr="00B90F07">
        <w:t>Adverse drug reaction (</w:t>
      </w:r>
      <w:r w:rsidRPr="00B90F07">
        <w:rPr>
          <w:lang w:val="en-US"/>
        </w:rPr>
        <w:t>ADR, assessed as related to treatment by the sponsor</w:t>
      </w:r>
      <w:r w:rsidRPr="00B90F07">
        <w:t>) information is based on pooled data</w:t>
      </w:r>
      <w:r w:rsidRPr="00B90F07">
        <w:rPr>
          <w:lang w:val="en-US"/>
        </w:rPr>
        <w:t xml:space="preserve"> from the 3 controlled studies mentioned above but including cumulative data </w:t>
      </w:r>
      <w:r w:rsidRPr="00B90F07">
        <w:t xml:space="preserve">(N=608, including 408 patients </w:t>
      </w:r>
      <w:r w:rsidRPr="00B90F07">
        <w:rPr>
          <w:rFonts w:cs="Arial"/>
        </w:rPr>
        <w:t>&lt;</w:t>
      </w:r>
      <w:r w:rsidRPr="00B90F07">
        <w:t xml:space="preserve">18 years of age) </w:t>
      </w:r>
      <w:r w:rsidRPr="00B90F07">
        <w:rPr>
          <w:lang w:val="en-US"/>
        </w:rPr>
        <w:t>from the double-blind plus open-label treatment phases and in addition from</w:t>
      </w:r>
      <w:r w:rsidRPr="00B90F07">
        <w:t xml:space="preserve"> </w:t>
      </w:r>
      <w:r w:rsidRPr="00B90F07">
        <w:rPr>
          <w:lang w:val="en-US"/>
        </w:rPr>
        <w:t xml:space="preserve">one non-randomized, open-label, single-arm </w:t>
      </w:r>
      <w:r w:rsidRPr="00B90F07">
        <w:t xml:space="preserve">phase II study </w:t>
      </w:r>
      <w:r w:rsidRPr="00B90F07">
        <w:rPr>
          <w:lang w:val="en-US"/>
        </w:rPr>
        <w:t xml:space="preserve">(see </w:t>
      </w:r>
      <w:r w:rsidRPr="00B90F07">
        <w:rPr>
          <w:lang w:val="en-US"/>
        </w:rPr>
        <w:fldChar w:fldCharType="begin"/>
      </w:r>
      <w:r w:rsidRPr="00B90F07">
        <w:rPr>
          <w:lang w:val="en-US"/>
        </w:rPr>
        <w:instrText xml:space="preserve"> REF _Ref491097287 \h  \* MERGEFORMAT </w:instrText>
      </w:r>
      <w:r w:rsidRPr="00B90F07">
        <w:rPr>
          <w:lang w:val="en-US"/>
        </w:rPr>
      </w:r>
      <w:r w:rsidRPr="00B90F07">
        <w:rPr>
          <w:lang w:val="en-US"/>
        </w:rPr>
        <w:fldChar w:fldCharType="separate"/>
      </w:r>
      <w:r w:rsidR="00D64407" w:rsidRPr="00B90F07">
        <w:t xml:space="preserve">Table </w:t>
      </w:r>
      <w:r w:rsidR="00D64407">
        <w:rPr>
          <w:noProof/>
        </w:rPr>
        <w:t>5</w:t>
      </w:r>
      <w:r w:rsidRPr="00B90F07">
        <w:rPr>
          <w:lang w:val="en-US"/>
        </w:rPr>
        <w:fldChar w:fldCharType="end"/>
      </w:r>
      <w:r w:rsidRPr="00B90F07">
        <w:rPr>
          <w:lang w:val="en-US"/>
        </w:rPr>
        <w:t xml:space="preserve"> and </w:t>
      </w:r>
      <w:r w:rsidR="00830F70">
        <w:rPr>
          <w:lang w:val="en-US"/>
        </w:rPr>
        <w:t>section 4.1 ‘Therapeutic i</w:t>
      </w:r>
      <w:r w:rsidRPr="00B90F07">
        <w:rPr>
          <w:lang w:val="en-US"/>
        </w:rPr>
        <w:t>ndications</w:t>
      </w:r>
      <w:r w:rsidR="00830F70">
        <w:rPr>
          <w:lang w:val="en-US"/>
        </w:rPr>
        <w:t>’</w:t>
      </w:r>
      <w:r w:rsidRPr="00B90F07">
        <w:rPr>
          <w:lang w:val="en-US"/>
        </w:rPr>
        <w:t>):</w:t>
      </w:r>
    </w:p>
    <w:p w14:paraId="10F23B40" w14:textId="77777777" w:rsidR="00557C61" w:rsidRPr="00B90F07" w:rsidRDefault="00557C61" w:rsidP="00557C61">
      <w:pPr>
        <w:pStyle w:val="Caption"/>
        <w:keepNext/>
        <w:rPr>
          <w:rFonts w:asciiTheme="minorHAnsi" w:hAnsiTheme="minorHAnsi"/>
        </w:rPr>
      </w:pPr>
      <w:bookmarkStart w:id="19" w:name="_Ref491097287"/>
      <w:r w:rsidRPr="00B90F07">
        <w:rPr>
          <w:rFonts w:asciiTheme="minorHAnsi" w:hAnsiTheme="minorHAnsi"/>
        </w:rPr>
        <w:t xml:space="preserve">Table </w:t>
      </w:r>
      <w:r w:rsidRPr="00B90F07">
        <w:rPr>
          <w:rFonts w:asciiTheme="minorHAnsi" w:hAnsiTheme="minorHAnsi"/>
        </w:rPr>
        <w:fldChar w:fldCharType="begin"/>
      </w:r>
      <w:r w:rsidRPr="00B90F07">
        <w:rPr>
          <w:rFonts w:asciiTheme="minorHAnsi" w:hAnsiTheme="minorHAnsi"/>
        </w:rPr>
        <w:instrText xml:space="preserve"> SEQ Table \* ARABIC </w:instrText>
      </w:r>
      <w:r w:rsidRPr="00B90F07">
        <w:rPr>
          <w:rFonts w:asciiTheme="minorHAnsi" w:hAnsiTheme="minorHAnsi"/>
        </w:rPr>
        <w:fldChar w:fldCharType="separate"/>
      </w:r>
      <w:r w:rsidR="00D64407">
        <w:rPr>
          <w:rFonts w:asciiTheme="minorHAnsi" w:hAnsiTheme="minorHAnsi"/>
          <w:noProof/>
        </w:rPr>
        <w:t>5</w:t>
      </w:r>
      <w:r w:rsidRPr="00B90F07">
        <w:rPr>
          <w:rFonts w:asciiTheme="minorHAnsi" w:hAnsiTheme="minorHAnsi"/>
        </w:rPr>
        <w:fldChar w:fldCharType="end"/>
      </w:r>
      <w:bookmarkEnd w:id="19"/>
      <w:r w:rsidRPr="00B90F07">
        <w:rPr>
          <w:rFonts w:asciiTheme="minorHAnsi" w:hAnsiTheme="minorHAnsi"/>
        </w:rPr>
        <w:t xml:space="preserve"> </w:t>
      </w:r>
      <w:r w:rsidRPr="00B90F07">
        <w:rPr>
          <w:rFonts w:asciiTheme="minorHAnsi" w:hAnsiTheme="minorHAnsi"/>
        </w:rPr>
        <w:tab/>
      </w:r>
      <w:proofErr w:type="spellStart"/>
      <w:r w:rsidRPr="00B90F07">
        <w:rPr>
          <w:rFonts w:asciiTheme="minorHAnsi" w:hAnsiTheme="minorHAnsi"/>
        </w:rPr>
        <w:t>Afinitor</w:t>
      </w:r>
      <w:proofErr w:type="spellEnd"/>
      <w:r w:rsidRPr="00B90F07">
        <w:rPr>
          <w:rFonts w:asciiTheme="minorHAnsi" w:hAnsiTheme="minorHAnsi"/>
        </w:rPr>
        <w:t xml:space="preserve"> TSC studies in the pooled safety data for ADR assessment</w:t>
      </w:r>
    </w:p>
    <w:tbl>
      <w:tblPr>
        <w:tblW w:w="9299" w:type="dxa"/>
        <w:tblBorders>
          <w:top w:val="single" w:sz="4" w:space="0" w:color="auto"/>
          <w:bottom w:val="single" w:sz="4" w:space="0" w:color="auto"/>
        </w:tblBorders>
        <w:tblLayout w:type="fixed"/>
        <w:tblLook w:val="0000" w:firstRow="0" w:lastRow="0" w:firstColumn="0" w:lastColumn="0" w:noHBand="0" w:noVBand="0"/>
      </w:tblPr>
      <w:tblGrid>
        <w:gridCol w:w="1859"/>
        <w:gridCol w:w="1860"/>
        <w:gridCol w:w="1860"/>
        <w:gridCol w:w="1860"/>
        <w:gridCol w:w="1860"/>
      </w:tblGrid>
      <w:tr w:rsidR="00557C61" w:rsidRPr="00B90F07" w14:paraId="529D9624" w14:textId="77777777" w:rsidTr="005362D8">
        <w:trPr>
          <w:tblHeader/>
        </w:trPr>
        <w:tc>
          <w:tcPr>
            <w:tcW w:w="1859" w:type="dxa"/>
            <w:tcBorders>
              <w:top w:val="single" w:sz="4" w:space="0" w:color="auto"/>
              <w:bottom w:val="single" w:sz="4" w:space="0" w:color="auto"/>
            </w:tcBorders>
            <w:shd w:val="clear" w:color="auto" w:fill="auto"/>
          </w:tcPr>
          <w:p w14:paraId="37D7C710" w14:textId="77777777" w:rsidR="00557C61" w:rsidRPr="00B90F07" w:rsidRDefault="00557C61" w:rsidP="005362D8">
            <w:pPr>
              <w:pStyle w:val="Table"/>
              <w:rPr>
                <w:rFonts w:asciiTheme="minorHAnsi" w:hAnsiTheme="minorHAnsi"/>
                <w:sz w:val="18"/>
                <w:szCs w:val="18"/>
              </w:rPr>
            </w:pPr>
            <w:r w:rsidRPr="00B90F07">
              <w:rPr>
                <w:rFonts w:asciiTheme="minorHAnsi" w:hAnsiTheme="minorHAnsi"/>
                <w:sz w:val="18"/>
                <w:szCs w:val="18"/>
              </w:rPr>
              <w:t>Study name</w:t>
            </w:r>
          </w:p>
          <w:p w14:paraId="6BFC8F38" w14:textId="77777777" w:rsidR="00557C61" w:rsidRPr="00B90F07" w:rsidRDefault="00557C61" w:rsidP="005362D8">
            <w:pPr>
              <w:pStyle w:val="Table"/>
              <w:rPr>
                <w:rFonts w:asciiTheme="minorHAnsi" w:hAnsiTheme="minorHAnsi"/>
              </w:rPr>
            </w:pPr>
            <w:r w:rsidRPr="00B90F07">
              <w:rPr>
                <w:rFonts w:asciiTheme="minorHAnsi" w:hAnsiTheme="minorHAnsi"/>
                <w:sz w:val="18"/>
                <w:szCs w:val="18"/>
              </w:rPr>
              <w:t>Indication</w:t>
            </w:r>
          </w:p>
        </w:tc>
        <w:tc>
          <w:tcPr>
            <w:tcW w:w="1860" w:type="dxa"/>
            <w:tcBorders>
              <w:top w:val="single" w:sz="4" w:space="0" w:color="auto"/>
              <w:bottom w:val="single" w:sz="4" w:space="0" w:color="auto"/>
            </w:tcBorders>
            <w:shd w:val="clear" w:color="auto" w:fill="auto"/>
          </w:tcPr>
          <w:p w14:paraId="530F5273"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CRAD001C2485</w:t>
            </w:r>
            <w:r w:rsidRPr="00B90F07">
              <w:rPr>
                <w:rFonts w:asciiTheme="minorHAnsi" w:hAnsiTheme="minorHAnsi"/>
                <w:sz w:val="18"/>
                <w:szCs w:val="18"/>
                <w:vertAlign w:val="superscript"/>
              </w:rPr>
              <w:t>a</w:t>
            </w:r>
          </w:p>
          <w:p w14:paraId="0DDAF067" w14:textId="77777777" w:rsidR="00557C61" w:rsidRPr="00B90F07" w:rsidRDefault="00557C61" w:rsidP="005362D8">
            <w:pPr>
              <w:pStyle w:val="Table"/>
              <w:jc w:val="center"/>
              <w:rPr>
                <w:rFonts w:asciiTheme="minorHAnsi" w:hAnsiTheme="minorHAnsi"/>
              </w:rPr>
            </w:pPr>
            <w:r w:rsidRPr="00B90F07">
              <w:rPr>
                <w:rFonts w:asciiTheme="minorHAnsi" w:hAnsiTheme="minorHAnsi"/>
                <w:sz w:val="18"/>
                <w:szCs w:val="18"/>
              </w:rPr>
              <w:t>TSC-SEGA</w:t>
            </w:r>
          </w:p>
        </w:tc>
        <w:tc>
          <w:tcPr>
            <w:tcW w:w="1860" w:type="dxa"/>
            <w:tcBorders>
              <w:top w:val="single" w:sz="4" w:space="0" w:color="auto"/>
              <w:bottom w:val="single" w:sz="4" w:space="0" w:color="auto"/>
            </w:tcBorders>
            <w:shd w:val="clear" w:color="auto" w:fill="auto"/>
          </w:tcPr>
          <w:p w14:paraId="2345651A"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EXIST-1 (M2301)</w:t>
            </w:r>
          </w:p>
          <w:p w14:paraId="38446D70" w14:textId="77777777" w:rsidR="00557C61" w:rsidRPr="00B90F07" w:rsidRDefault="00557C61" w:rsidP="005362D8">
            <w:pPr>
              <w:pStyle w:val="Table"/>
              <w:jc w:val="center"/>
              <w:rPr>
                <w:rFonts w:asciiTheme="minorHAnsi" w:hAnsiTheme="minorHAnsi"/>
              </w:rPr>
            </w:pPr>
            <w:r w:rsidRPr="00B90F07">
              <w:rPr>
                <w:rFonts w:asciiTheme="minorHAnsi" w:hAnsiTheme="minorHAnsi"/>
                <w:sz w:val="18"/>
                <w:szCs w:val="18"/>
              </w:rPr>
              <w:t>TSC-SEGA</w:t>
            </w:r>
          </w:p>
        </w:tc>
        <w:tc>
          <w:tcPr>
            <w:tcW w:w="1860" w:type="dxa"/>
            <w:tcBorders>
              <w:top w:val="single" w:sz="4" w:space="0" w:color="auto"/>
              <w:bottom w:val="single" w:sz="4" w:space="0" w:color="auto"/>
            </w:tcBorders>
            <w:shd w:val="clear" w:color="auto" w:fill="auto"/>
          </w:tcPr>
          <w:p w14:paraId="3427371B"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EXIST-2 (M2302)</w:t>
            </w:r>
          </w:p>
          <w:p w14:paraId="5F79E358" w14:textId="77777777" w:rsidR="00557C61" w:rsidRPr="00B90F07" w:rsidRDefault="00557C61" w:rsidP="005362D8">
            <w:pPr>
              <w:pStyle w:val="Table"/>
              <w:jc w:val="center"/>
              <w:rPr>
                <w:rFonts w:asciiTheme="minorHAnsi" w:hAnsiTheme="minorHAnsi"/>
              </w:rPr>
            </w:pPr>
            <w:r w:rsidRPr="00B90F07">
              <w:rPr>
                <w:rFonts w:asciiTheme="minorHAnsi" w:hAnsiTheme="minorHAnsi"/>
                <w:sz w:val="18"/>
                <w:szCs w:val="18"/>
              </w:rPr>
              <w:t xml:space="preserve">TSC-Renal </w:t>
            </w:r>
            <w:proofErr w:type="spellStart"/>
            <w:r w:rsidRPr="00B90F07">
              <w:rPr>
                <w:rFonts w:asciiTheme="minorHAnsi" w:hAnsiTheme="minorHAnsi"/>
                <w:sz w:val="18"/>
                <w:szCs w:val="18"/>
              </w:rPr>
              <w:t>angiomyolipoma</w:t>
            </w:r>
            <w:proofErr w:type="spellEnd"/>
          </w:p>
        </w:tc>
        <w:tc>
          <w:tcPr>
            <w:tcW w:w="1860" w:type="dxa"/>
            <w:tcBorders>
              <w:top w:val="single" w:sz="4" w:space="0" w:color="auto"/>
              <w:bottom w:val="single" w:sz="4" w:space="0" w:color="auto"/>
            </w:tcBorders>
            <w:shd w:val="clear" w:color="auto" w:fill="auto"/>
          </w:tcPr>
          <w:p w14:paraId="62138D52"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EXIST-3 (M2304)</w:t>
            </w:r>
          </w:p>
          <w:p w14:paraId="23216147" w14:textId="77777777" w:rsidR="00557C61" w:rsidRPr="00B90F07" w:rsidRDefault="00557C61" w:rsidP="005362D8">
            <w:pPr>
              <w:pStyle w:val="Table"/>
              <w:jc w:val="center"/>
              <w:rPr>
                <w:rFonts w:asciiTheme="minorHAnsi" w:hAnsiTheme="minorHAnsi"/>
              </w:rPr>
            </w:pPr>
            <w:r w:rsidRPr="00B90F07">
              <w:rPr>
                <w:rFonts w:asciiTheme="minorHAnsi" w:hAnsiTheme="minorHAnsi"/>
                <w:sz w:val="18"/>
                <w:szCs w:val="18"/>
              </w:rPr>
              <w:t>TSC-Seizures</w:t>
            </w:r>
          </w:p>
        </w:tc>
      </w:tr>
      <w:tr w:rsidR="00557C61" w:rsidRPr="00B90F07" w14:paraId="0CFF5348" w14:textId="77777777" w:rsidTr="005362D8">
        <w:tc>
          <w:tcPr>
            <w:tcW w:w="1859" w:type="dxa"/>
            <w:tcBorders>
              <w:top w:val="single" w:sz="4" w:space="0" w:color="auto"/>
            </w:tcBorders>
            <w:shd w:val="clear" w:color="auto" w:fill="auto"/>
          </w:tcPr>
          <w:p w14:paraId="0295C982" w14:textId="77777777" w:rsidR="00557C61" w:rsidRPr="00B90F07" w:rsidRDefault="00557C61" w:rsidP="005362D8">
            <w:pPr>
              <w:pStyle w:val="Table"/>
              <w:rPr>
                <w:rFonts w:asciiTheme="minorHAnsi" w:hAnsiTheme="minorHAnsi"/>
                <w:sz w:val="18"/>
                <w:szCs w:val="18"/>
              </w:rPr>
            </w:pPr>
            <w:r w:rsidRPr="00B90F07">
              <w:rPr>
                <w:rFonts w:asciiTheme="minorHAnsi" w:hAnsiTheme="minorHAnsi"/>
                <w:sz w:val="18"/>
                <w:szCs w:val="18"/>
              </w:rPr>
              <w:t xml:space="preserve">Total number of patients receiving </w:t>
            </w:r>
            <w:proofErr w:type="spellStart"/>
            <w:r w:rsidRPr="00B90F07">
              <w:rPr>
                <w:rFonts w:asciiTheme="minorHAnsi" w:hAnsiTheme="minorHAnsi"/>
                <w:sz w:val="18"/>
                <w:szCs w:val="18"/>
              </w:rPr>
              <w:t>everolimus</w:t>
            </w:r>
            <w:proofErr w:type="spellEnd"/>
          </w:p>
        </w:tc>
        <w:tc>
          <w:tcPr>
            <w:tcW w:w="1860" w:type="dxa"/>
            <w:tcBorders>
              <w:top w:val="single" w:sz="4" w:space="0" w:color="auto"/>
            </w:tcBorders>
            <w:shd w:val="clear" w:color="auto" w:fill="auto"/>
          </w:tcPr>
          <w:p w14:paraId="47603F51"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28</w:t>
            </w:r>
          </w:p>
        </w:tc>
        <w:tc>
          <w:tcPr>
            <w:tcW w:w="1860" w:type="dxa"/>
            <w:tcBorders>
              <w:top w:val="single" w:sz="4" w:space="0" w:color="auto"/>
            </w:tcBorders>
            <w:shd w:val="clear" w:color="auto" w:fill="auto"/>
          </w:tcPr>
          <w:p w14:paraId="5269DE05"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111</w:t>
            </w:r>
            <w:r w:rsidRPr="00B90F07">
              <w:rPr>
                <w:rFonts w:asciiTheme="minorHAnsi" w:hAnsiTheme="minorHAnsi"/>
                <w:sz w:val="18"/>
                <w:szCs w:val="18"/>
                <w:vertAlign w:val="superscript"/>
              </w:rPr>
              <w:t>b</w:t>
            </w:r>
          </w:p>
        </w:tc>
        <w:tc>
          <w:tcPr>
            <w:tcW w:w="1860" w:type="dxa"/>
            <w:tcBorders>
              <w:top w:val="single" w:sz="4" w:space="0" w:color="auto"/>
            </w:tcBorders>
            <w:shd w:val="clear" w:color="auto" w:fill="auto"/>
          </w:tcPr>
          <w:p w14:paraId="42773D42"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112</w:t>
            </w:r>
            <w:r w:rsidRPr="00B90F07">
              <w:rPr>
                <w:rFonts w:asciiTheme="minorHAnsi" w:hAnsiTheme="minorHAnsi"/>
                <w:sz w:val="18"/>
                <w:szCs w:val="18"/>
                <w:vertAlign w:val="superscript"/>
              </w:rPr>
              <w:t>b</w:t>
            </w:r>
          </w:p>
        </w:tc>
        <w:tc>
          <w:tcPr>
            <w:tcW w:w="1860" w:type="dxa"/>
            <w:tcBorders>
              <w:top w:val="single" w:sz="4" w:space="0" w:color="auto"/>
            </w:tcBorders>
            <w:shd w:val="clear" w:color="auto" w:fill="auto"/>
          </w:tcPr>
          <w:p w14:paraId="7375E5D7"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357</w:t>
            </w:r>
            <w:r w:rsidRPr="00B90F07">
              <w:rPr>
                <w:rFonts w:asciiTheme="minorHAnsi" w:hAnsiTheme="minorHAnsi"/>
                <w:sz w:val="18"/>
                <w:szCs w:val="18"/>
                <w:vertAlign w:val="superscript"/>
              </w:rPr>
              <w:t>d</w:t>
            </w:r>
          </w:p>
        </w:tc>
      </w:tr>
      <w:tr w:rsidR="00557C61" w:rsidRPr="00B90F07" w14:paraId="0EF11676" w14:textId="77777777" w:rsidTr="005362D8">
        <w:tc>
          <w:tcPr>
            <w:tcW w:w="1859" w:type="dxa"/>
            <w:shd w:val="clear" w:color="auto" w:fill="auto"/>
          </w:tcPr>
          <w:p w14:paraId="3A2AB378" w14:textId="77777777" w:rsidR="00557C61" w:rsidRPr="00B90F07" w:rsidRDefault="00557C61" w:rsidP="005362D8">
            <w:pPr>
              <w:pStyle w:val="Table"/>
              <w:rPr>
                <w:rFonts w:asciiTheme="minorHAnsi" w:hAnsiTheme="minorHAnsi"/>
                <w:sz w:val="18"/>
                <w:szCs w:val="18"/>
              </w:rPr>
            </w:pPr>
            <w:r w:rsidRPr="00B90F07">
              <w:rPr>
                <w:rFonts w:asciiTheme="minorHAnsi" w:hAnsiTheme="minorHAnsi"/>
                <w:sz w:val="18"/>
                <w:szCs w:val="18"/>
              </w:rPr>
              <w:t>Median duration of exposure, months (range)</w:t>
            </w:r>
          </w:p>
        </w:tc>
        <w:tc>
          <w:tcPr>
            <w:tcW w:w="1860" w:type="dxa"/>
            <w:shd w:val="clear" w:color="auto" w:fill="auto"/>
          </w:tcPr>
          <w:p w14:paraId="1333D2EC"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67.8 (4.7 to 83.2)</w:t>
            </w:r>
          </w:p>
        </w:tc>
        <w:tc>
          <w:tcPr>
            <w:tcW w:w="1860" w:type="dxa"/>
            <w:shd w:val="clear" w:color="auto" w:fill="auto"/>
          </w:tcPr>
          <w:p w14:paraId="462F506C"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47.1(1.9 to 58.3)</w:t>
            </w:r>
          </w:p>
        </w:tc>
        <w:tc>
          <w:tcPr>
            <w:tcW w:w="1860" w:type="dxa"/>
            <w:shd w:val="clear" w:color="auto" w:fill="auto"/>
          </w:tcPr>
          <w:p w14:paraId="202D0AEA"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46.9 (0.5 to 63.9)</w:t>
            </w:r>
          </w:p>
        </w:tc>
        <w:tc>
          <w:tcPr>
            <w:tcW w:w="1860" w:type="dxa"/>
            <w:shd w:val="clear" w:color="auto" w:fill="auto"/>
          </w:tcPr>
          <w:p w14:paraId="7B087803"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11.1 (0-26.9)</w:t>
            </w:r>
            <w:r w:rsidRPr="00B90F07">
              <w:rPr>
                <w:rFonts w:asciiTheme="minorHAnsi" w:hAnsiTheme="minorHAnsi"/>
                <w:sz w:val="18"/>
                <w:szCs w:val="18"/>
                <w:vertAlign w:val="superscript"/>
              </w:rPr>
              <w:t>c</w:t>
            </w:r>
          </w:p>
        </w:tc>
      </w:tr>
      <w:tr w:rsidR="00557C61" w:rsidRPr="00B90F07" w14:paraId="3F94E996" w14:textId="77777777" w:rsidTr="005362D8">
        <w:tc>
          <w:tcPr>
            <w:tcW w:w="1859" w:type="dxa"/>
            <w:shd w:val="clear" w:color="auto" w:fill="auto"/>
          </w:tcPr>
          <w:p w14:paraId="51F75AA6" w14:textId="77777777" w:rsidR="00557C61" w:rsidRPr="00B90F07" w:rsidRDefault="00557C61" w:rsidP="005362D8">
            <w:pPr>
              <w:pStyle w:val="Table"/>
              <w:rPr>
                <w:rFonts w:asciiTheme="minorHAnsi" w:hAnsiTheme="minorHAnsi"/>
                <w:sz w:val="18"/>
                <w:szCs w:val="18"/>
              </w:rPr>
            </w:pPr>
            <w:r w:rsidRPr="00B90F07">
              <w:rPr>
                <w:rFonts w:asciiTheme="minorHAnsi" w:hAnsiTheme="minorHAnsi"/>
                <w:sz w:val="18"/>
                <w:szCs w:val="18"/>
              </w:rPr>
              <w:t>Exposure in Patient-Years</w:t>
            </w:r>
          </w:p>
        </w:tc>
        <w:tc>
          <w:tcPr>
            <w:tcW w:w="1860" w:type="dxa"/>
            <w:shd w:val="clear" w:color="auto" w:fill="auto"/>
          </w:tcPr>
          <w:p w14:paraId="195D6B79"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146</w:t>
            </w:r>
          </w:p>
        </w:tc>
        <w:tc>
          <w:tcPr>
            <w:tcW w:w="1860" w:type="dxa"/>
            <w:shd w:val="clear" w:color="auto" w:fill="auto"/>
          </w:tcPr>
          <w:p w14:paraId="2FF0BA47"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391</w:t>
            </w:r>
          </w:p>
        </w:tc>
        <w:tc>
          <w:tcPr>
            <w:tcW w:w="1860" w:type="dxa"/>
            <w:shd w:val="clear" w:color="auto" w:fill="auto"/>
          </w:tcPr>
          <w:p w14:paraId="41270DE9"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391</w:t>
            </w:r>
          </w:p>
        </w:tc>
        <w:tc>
          <w:tcPr>
            <w:tcW w:w="1860" w:type="dxa"/>
            <w:shd w:val="clear" w:color="auto" w:fill="auto"/>
          </w:tcPr>
          <w:p w14:paraId="124D6E80" w14:textId="77777777" w:rsidR="00557C61" w:rsidRPr="00B90F07" w:rsidRDefault="00557C61" w:rsidP="005362D8">
            <w:pPr>
              <w:pStyle w:val="Table"/>
              <w:jc w:val="center"/>
              <w:rPr>
                <w:rFonts w:asciiTheme="minorHAnsi" w:hAnsiTheme="minorHAnsi"/>
                <w:sz w:val="18"/>
                <w:szCs w:val="18"/>
              </w:rPr>
            </w:pPr>
            <w:r w:rsidRPr="00B90F07">
              <w:rPr>
                <w:rFonts w:asciiTheme="minorHAnsi" w:hAnsiTheme="minorHAnsi"/>
                <w:sz w:val="18"/>
                <w:szCs w:val="18"/>
              </w:rPr>
              <w:t>353</w:t>
            </w:r>
          </w:p>
        </w:tc>
      </w:tr>
      <w:tr w:rsidR="00557C61" w:rsidRPr="00B90F07" w14:paraId="39C5A408" w14:textId="77777777" w:rsidTr="005362D8">
        <w:tc>
          <w:tcPr>
            <w:tcW w:w="9299" w:type="dxa"/>
            <w:gridSpan w:val="5"/>
            <w:shd w:val="clear" w:color="auto" w:fill="auto"/>
          </w:tcPr>
          <w:p w14:paraId="4ED1E51A" w14:textId="77777777" w:rsidR="00557C61" w:rsidRPr="00B90F07" w:rsidRDefault="00557C61" w:rsidP="005362D8">
            <w:pPr>
              <w:pStyle w:val="Table"/>
              <w:rPr>
                <w:rFonts w:asciiTheme="minorHAnsi" w:hAnsiTheme="minorHAnsi"/>
                <w:i/>
                <w:sz w:val="16"/>
                <w:szCs w:val="16"/>
                <w:vertAlign w:val="superscript"/>
              </w:rPr>
            </w:pPr>
            <w:proofErr w:type="spellStart"/>
            <w:r w:rsidRPr="00B90F07">
              <w:rPr>
                <w:rFonts w:asciiTheme="minorHAnsi" w:hAnsiTheme="minorHAnsi"/>
                <w:i/>
                <w:sz w:val="16"/>
                <w:szCs w:val="16"/>
                <w:vertAlign w:val="superscript"/>
              </w:rPr>
              <w:t>a</w:t>
            </w:r>
            <w:proofErr w:type="spellEnd"/>
            <w:r w:rsidRPr="00B90F07">
              <w:rPr>
                <w:rFonts w:asciiTheme="minorHAnsi" w:hAnsiTheme="minorHAnsi"/>
                <w:i/>
                <w:sz w:val="16"/>
                <w:szCs w:val="16"/>
                <w:vertAlign w:val="superscript"/>
              </w:rPr>
              <w:t xml:space="preserve"> </w:t>
            </w:r>
            <w:r w:rsidRPr="00B90F07">
              <w:rPr>
                <w:rFonts w:asciiTheme="minorHAnsi" w:hAnsiTheme="minorHAnsi"/>
                <w:i/>
                <w:sz w:val="16"/>
                <w:szCs w:val="16"/>
              </w:rPr>
              <w:t>Open label single arm trial, no comparator or control arm</w:t>
            </w:r>
          </w:p>
          <w:p w14:paraId="654EE677" w14:textId="77777777" w:rsidR="00557C61" w:rsidRPr="00B90F07" w:rsidRDefault="00557C61" w:rsidP="005362D8">
            <w:pPr>
              <w:pStyle w:val="Table"/>
              <w:rPr>
                <w:rFonts w:asciiTheme="minorHAnsi" w:hAnsiTheme="minorHAnsi"/>
                <w:i/>
                <w:sz w:val="16"/>
                <w:szCs w:val="16"/>
              </w:rPr>
            </w:pPr>
            <w:r w:rsidRPr="00B90F07">
              <w:rPr>
                <w:rFonts w:asciiTheme="minorHAnsi" w:hAnsiTheme="minorHAnsi"/>
                <w:i/>
                <w:sz w:val="16"/>
                <w:szCs w:val="16"/>
                <w:vertAlign w:val="superscript"/>
              </w:rPr>
              <w:t xml:space="preserve">b </w:t>
            </w:r>
            <w:r w:rsidRPr="00B90F07">
              <w:rPr>
                <w:rFonts w:asciiTheme="minorHAnsi" w:hAnsiTheme="minorHAnsi"/>
                <w:i/>
                <w:sz w:val="16"/>
                <w:szCs w:val="16"/>
              </w:rPr>
              <w:t xml:space="preserve">Total number of patients receiving </w:t>
            </w:r>
            <w:proofErr w:type="spellStart"/>
            <w:r w:rsidRPr="00B90F07">
              <w:rPr>
                <w:rFonts w:asciiTheme="minorHAnsi" w:hAnsiTheme="minorHAnsi"/>
                <w:i/>
                <w:sz w:val="16"/>
                <w:szCs w:val="16"/>
              </w:rPr>
              <w:t>everolimus</w:t>
            </w:r>
            <w:proofErr w:type="spellEnd"/>
            <w:r w:rsidRPr="00B90F07">
              <w:rPr>
                <w:rFonts w:asciiTheme="minorHAnsi" w:hAnsiTheme="minorHAnsi"/>
                <w:i/>
                <w:sz w:val="16"/>
                <w:szCs w:val="16"/>
              </w:rPr>
              <w:t xml:space="preserve"> during the double blind and open label extension phases including patients from the placebo arm who crossed over to </w:t>
            </w:r>
            <w:proofErr w:type="spellStart"/>
            <w:r w:rsidRPr="00B90F07">
              <w:rPr>
                <w:rFonts w:asciiTheme="minorHAnsi" w:hAnsiTheme="minorHAnsi"/>
                <w:i/>
                <w:sz w:val="16"/>
                <w:szCs w:val="16"/>
              </w:rPr>
              <w:t>everolimus</w:t>
            </w:r>
            <w:proofErr w:type="spellEnd"/>
            <w:r w:rsidRPr="00B90F07">
              <w:rPr>
                <w:rFonts w:asciiTheme="minorHAnsi" w:hAnsiTheme="minorHAnsi"/>
                <w:i/>
                <w:sz w:val="16"/>
                <w:szCs w:val="16"/>
              </w:rPr>
              <w:t xml:space="preserve"> treatment</w:t>
            </w:r>
          </w:p>
          <w:p w14:paraId="1EEC6323" w14:textId="77777777" w:rsidR="00557C61" w:rsidRPr="00B90F07" w:rsidRDefault="00557C61" w:rsidP="005362D8">
            <w:pPr>
              <w:pStyle w:val="Table"/>
              <w:rPr>
                <w:rFonts w:asciiTheme="minorHAnsi" w:hAnsiTheme="minorHAnsi"/>
                <w:i/>
                <w:sz w:val="16"/>
                <w:szCs w:val="16"/>
              </w:rPr>
            </w:pPr>
            <w:r w:rsidRPr="00B90F07">
              <w:rPr>
                <w:rFonts w:asciiTheme="minorHAnsi" w:hAnsiTheme="minorHAnsi"/>
                <w:i/>
                <w:sz w:val="16"/>
                <w:szCs w:val="16"/>
                <w:vertAlign w:val="superscript"/>
              </w:rPr>
              <w:t>c</w:t>
            </w:r>
            <w:r w:rsidRPr="00B90F07">
              <w:rPr>
                <w:rFonts w:asciiTheme="minorHAnsi" w:hAnsiTheme="minorHAnsi"/>
                <w:i/>
                <w:sz w:val="16"/>
                <w:szCs w:val="16"/>
              </w:rPr>
              <w:t xml:space="preserve"> One patient discontinued during the first week of treatment and was recorded as “0” months.</w:t>
            </w:r>
            <w:r w:rsidRPr="00B90F07" w:rsidDel="00C60AAF">
              <w:rPr>
                <w:rFonts w:asciiTheme="minorHAnsi" w:hAnsiTheme="minorHAnsi"/>
                <w:i/>
                <w:sz w:val="16"/>
                <w:szCs w:val="16"/>
              </w:rPr>
              <w:t xml:space="preserve"> </w:t>
            </w:r>
          </w:p>
          <w:p w14:paraId="6DA3EB83" w14:textId="77777777" w:rsidR="00557C61" w:rsidRPr="00B90F07" w:rsidRDefault="00557C61" w:rsidP="005362D8">
            <w:pPr>
              <w:pStyle w:val="Table"/>
              <w:rPr>
                <w:rFonts w:asciiTheme="minorHAnsi" w:hAnsiTheme="minorHAnsi"/>
                <w:i/>
                <w:sz w:val="16"/>
                <w:szCs w:val="16"/>
              </w:rPr>
            </w:pPr>
            <w:r w:rsidRPr="00B90F07">
              <w:rPr>
                <w:rFonts w:asciiTheme="minorHAnsi" w:hAnsiTheme="minorHAnsi"/>
                <w:i/>
                <w:sz w:val="16"/>
                <w:szCs w:val="16"/>
                <w:vertAlign w:val="superscript"/>
              </w:rPr>
              <w:t>d</w:t>
            </w:r>
            <w:r w:rsidRPr="00B90F07">
              <w:rPr>
                <w:rFonts w:asciiTheme="minorHAnsi" w:hAnsiTheme="minorHAnsi"/>
                <w:i/>
                <w:sz w:val="16"/>
                <w:szCs w:val="16"/>
              </w:rPr>
              <w:t xml:space="preserve"> Total number of patients receiving </w:t>
            </w:r>
            <w:proofErr w:type="spellStart"/>
            <w:r w:rsidRPr="00B90F07">
              <w:rPr>
                <w:rFonts w:asciiTheme="minorHAnsi" w:hAnsiTheme="minorHAnsi"/>
                <w:i/>
                <w:sz w:val="16"/>
                <w:szCs w:val="16"/>
              </w:rPr>
              <w:t>everolimus</w:t>
            </w:r>
            <w:proofErr w:type="spellEnd"/>
            <w:r w:rsidRPr="00B90F07">
              <w:rPr>
                <w:rFonts w:asciiTheme="minorHAnsi" w:hAnsiTheme="minorHAnsi"/>
                <w:i/>
                <w:sz w:val="16"/>
                <w:szCs w:val="16"/>
              </w:rPr>
              <w:t xml:space="preserve"> during the core and extension phases, including patients from placebo arm who</w:t>
            </w:r>
          </w:p>
          <w:p w14:paraId="448EEA77" w14:textId="77777777" w:rsidR="00557C61" w:rsidRPr="00B90F07" w:rsidRDefault="00557C61" w:rsidP="005362D8">
            <w:pPr>
              <w:pStyle w:val="Table"/>
              <w:rPr>
                <w:rFonts w:asciiTheme="minorHAnsi" w:hAnsiTheme="minorHAnsi"/>
                <w:i/>
                <w:sz w:val="16"/>
                <w:szCs w:val="16"/>
              </w:rPr>
            </w:pPr>
            <w:r w:rsidRPr="00B90F07">
              <w:rPr>
                <w:rFonts w:asciiTheme="minorHAnsi" w:hAnsiTheme="minorHAnsi"/>
                <w:i/>
                <w:sz w:val="16"/>
                <w:szCs w:val="16"/>
              </w:rPr>
              <w:t xml:space="preserve">crossed over to </w:t>
            </w:r>
            <w:proofErr w:type="spellStart"/>
            <w:r w:rsidRPr="00B90F07">
              <w:rPr>
                <w:rFonts w:asciiTheme="minorHAnsi" w:hAnsiTheme="minorHAnsi"/>
                <w:i/>
                <w:sz w:val="16"/>
                <w:szCs w:val="16"/>
              </w:rPr>
              <w:t>everolimus</w:t>
            </w:r>
            <w:proofErr w:type="spellEnd"/>
            <w:r w:rsidRPr="00B90F07">
              <w:rPr>
                <w:rFonts w:asciiTheme="minorHAnsi" w:hAnsiTheme="minorHAnsi"/>
                <w:i/>
                <w:sz w:val="16"/>
                <w:szCs w:val="16"/>
              </w:rPr>
              <w:t xml:space="preserve"> treatment.</w:t>
            </w:r>
          </w:p>
        </w:tc>
      </w:tr>
    </w:tbl>
    <w:p w14:paraId="2858E508" w14:textId="77777777" w:rsidR="00557C61" w:rsidRPr="00B90F07" w:rsidRDefault="00557C61" w:rsidP="000E6647">
      <w:pPr>
        <w:spacing w:before="240"/>
        <w:rPr>
          <w:rFonts w:eastAsia="MS Mincho"/>
          <w:lang w:val="en-US" w:eastAsia="ja-JP"/>
        </w:rPr>
      </w:pPr>
      <w:r w:rsidRPr="00B90F07">
        <w:t xml:space="preserve">The most </w:t>
      </w:r>
      <w:r w:rsidRPr="00B90F07">
        <w:rPr>
          <w:lang w:val="en-US"/>
        </w:rPr>
        <w:t>frequent</w:t>
      </w:r>
      <w:r w:rsidRPr="00B90F07">
        <w:t xml:space="preserve"> ADRs (incidence ≥</w:t>
      </w:r>
      <w:r w:rsidRPr="00B90F07">
        <w:rPr>
          <w:lang w:val="en-US"/>
        </w:rPr>
        <w:t>1/</w:t>
      </w:r>
      <w:r w:rsidRPr="00B90F07">
        <w:t xml:space="preserve">10, assessed as related to treatment by the sponsor) </w:t>
      </w:r>
      <w:r w:rsidRPr="00B90F07">
        <w:rPr>
          <w:lang w:val="en-US"/>
        </w:rPr>
        <w:t>from the pooled safety database are</w:t>
      </w:r>
      <w:r w:rsidRPr="00B90F07">
        <w:t xml:space="preserve"> (in decreasing order): stomatitis, </w:t>
      </w:r>
      <w:proofErr w:type="spellStart"/>
      <w:r w:rsidRPr="00B90F07">
        <w:t>nasopharyngitis</w:t>
      </w:r>
      <w:proofErr w:type="spellEnd"/>
      <w:r w:rsidRPr="00B90F07">
        <w:t>, pyrexia, diarrhoea, upper respiratory tract infection, vomiting, cough, headache, rash, amenorrhea, acne, menstruation irregular, pneumonia, sinusitis, urinary tract infection, pharyngitis, decreased appetite, fatigue, and hypercholesterolemia.</w:t>
      </w:r>
    </w:p>
    <w:p w14:paraId="75573DBE" w14:textId="77777777" w:rsidR="00557C61" w:rsidRDefault="00557C61" w:rsidP="00557C61">
      <w:r w:rsidRPr="00B90F07">
        <w:t>The most frequent grade 3/4 adverse reactions (</w:t>
      </w:r>
      <w:r w:rsidRPr="00B90F07">
        <w:rPr>
          <w:lang w:val="en-US"/>
        </w:rPr>
        <w:t xml:space="preserve">incidence </w:t>
      </w:r>
      <w:r w:rsidRPr="00B90F07">
        <w:t>≥1/100 to &lt;1/10 suspected to be related to treatment by the sponsor) were pneumonia, stomatitis, amenorrhea, neutropenia</w:t>
      </w:r>
      <w:r w:rsidRPr="00B90F07">
        <w:rPr>
          <w:lang w:val="en-US"/>
        </w:rPr>
        <w:t>,</w:t>
      </w:r>
      <w:r w:rsidRPr="00B90F07">
        <w:t xml:space="preserve"> </w:t>
      </w:r>
      <w:r w:rsidRPr="00B90F07">
        <w:rPr>
          <w:lang w:val="en-US"/>
        </w:rPr>
        <w:t xml:space="preserve">pyrexia, menstruation irregular, cellulitis and </w:t>
      </w:r>
      <w:proofErr w:type="spellStart"/>
      <w:r w:rsidRPr="00B90F07">
        <w:rPr>
          <w:lang w:val="en-US"/>
        </w:rPr>
        <w:t>hypophosphataemia</w:t>
      </w:r>
      <w:proofErr w:type="spellEnd"/>
      <w:r w:rsidRPr="00B90F07">
        <w:rPr>
          <w:lang w:val="en-US"/>
        </w:rPr>
        <w:t>.</w:t>
      </w:r>
      <w:r w:rsidRPr="00B90F07">
        <w:t xml:space="preserve"> </w:t>
      </w:r>
    </w:p>
    <w:p w14:paraId="2C6B0AFD" w14:textId="77777777" w:rsidR="00557C61" w:rsidRPr="00B90F07" w:rsidRDefault="00557C61" w:rsidP="00557C61">
      <w:pPr>
        <w:pStyle w:val="Text"/>
        <w:spacing w:after="240" w:line="276" w:lineRule="auto"/>
        <w:rPr>
          <w:rFonts w:asciiTheme="minorHAnsi" w:hAnsiTheme="minorHAnsi"/>
          <w:b/>
        </w:rPr>
      </w:pPr>
      <w:r w:rsidRPr="00B90F07">
        <w:rPr>
          <w:rFonts w:asciiTheme="minorHAnsi" w:hAnsiTheme="minorHAnsi"/>
          <w:b/>
        </w:rPr>
        <w:t>Tabulated summary of adverse reacti</w:t>
      </w:r>
      <w:r>
        <w:rPr>
          <w:rFonts w:asciiTheme="minorHAnsi" w:hAnsiTheme="minorHAnsi"/>
          <w:b/>
        </w:rPr>
        <w:t>ons from clinical trials in TSC</w:t>
      </w:r>
    </w:p>
    <w:p w14:paraId="21916813" w14:textId="7551249D" w:rsidR="00557C61" w:rsidRPr="00B90F07" w:rsidRDefault="00557C61" w:rsidP="00557C61">
      <w:r w:rsidRPr="00B90F07">
        <w:fldChar w:fldCharType="begin"/>
      </w:r>
      <w:r w:rsidRPr="00B90F07">
        <w:instrText xml:space="preserve"> REF _Ref491097316 \h  \* MERGEFORMAT </w:instrText>
      </w:r>
      <w:r w:rsidRPr="00B90F07">
        <w:fldChar w:fldCharType="separate"/>
      </w:r>
      <w:r w:rsidR="00D64407" w:rsidRPr="00B90F07">
        <w:t xml:space="preserve">Table </w:t>
      </w:r>
      <w:r w:rsidR="00D64407">
        <w:rPr>
          <w:noProof/>
        </w:rPr>
        <w:t>6</w:t>
      </w:r>
      <w:r w:rsidRPr="00B90F07">
        <w:fldChar w:fldCharType="end"/>
      </w:r>
      <w:r>
        <w:t xml:space="preserve"> </w:t>
      </w:r>
      <w:r w:rsidRPr="00B90F07">
        <w:t xml:space="preserve">shows the incidence of ADRs based on pooled data in patients receiving </w:t>
      </w:r>
      <w:proofErr w:type="spellStart"/>
      <w:r w:rsidRPr="00B90F07">
        <w:t>everolimus</w:t>
      </w:r>
      <w:proofErr w:type="spellEnd"/>
      <w:r w:rsidRPr="00B90F07">
        <w:t xml:space="preserve"> in the TSC studies (including both the double-blind and open-label </w:t>
      </w:r>
      <w:r w:rsidRPr="00B90F07">
        <w:rPr>
          <w:lang w:val="en-US"/>
        </w:rPr>
        <w:t xml:space="preserve">study and </w:t>
      </w:r>
      <w:r w:rsidRPr="00B90F07">
        <w:t xml:space="preserve">extension </w:t>
      </w:r>
      <w:r w:rsidRPr="00B90F07">
        <w:rPr>
          <w:lang w:val="en-US"/>
        </w:rPr>
        <w:t>periods</w:t>
      </w:r>
      <w:r w:rsidRPr="00B90F07">
        <w:t xml:space="preserve">) covering a median duration of exposure of 18.25 months (with up to 47.1 months in the TSC-SEGA and TSC-Renal </w:t>
      </w:r>
      <w:proofErr w:type="spellStart"/>
      <w:r w:rsidRPr="00B90F07">
        <w:t>angiomyolipoma</w:t>
      </w:r>
      <w:proofErr w:type="spellEnd"/>
      <w:r w:rsidRPr="00B90F07">
        <w:t xml:space="preserve"> studies). ADRs are listed according to </w:t>
      </w:r>
      <w:proofErr w:type="spellStart"/>
      <w:r w:rsidRPr="00B90F07">
        <w:t>MedDRA</w:t>
      </w:r>
      <w:proofErr w:type="spellEnd"/>
      <w:r w:rsidRPr="00B90F07">
        <w:t xml:space="preserve"> system organ class. Frequency categories are defined using the following convention: very common (≥1/10); common (≥1/100 to &lt;1/10); uncommon (≥1/1,000 to &lt;1/100); rare (≥1/10,000 to &lt;1/1,000); very rare (&lt;1/10,000); </w:t>
      </w:r>
      <w:r w:rsidRPr="00B90F07">
        <w:rPr>
          <w:noProof/>
        </w:rPr>
        <w:t>not known (cannot be estimated from the available data)</w:t>
      </w:r>
      <w:r w:rsidRPr="00B90F07">
        <w:t xml:space="preserve">. Within each frequency grouping, </w:t>
      </w:r>
      <w:r w:rsidRPr="00B90F07">
        <w:rPr>
          <w:lang w:val="en-US"/>
        </w:rPr>
        <w:t xml:space="preserve">ADRs </w:t>
      </w:r>
      <w:r w:rsidRPr="00B90F07">
        <w:t>are presented in order of decreasing frequency.</w:t>
      </w:r>
    </w:p>
    <w:p w14:paraId="0DE3033D" w14:textId="77777777" w:rsidR="00557C61" w:rsidRPr="00B90F07" w:rsidRDefault="00557C61" w:rsidP="00557C61">
      <w:pPr>
        <w:pStyle w:val="Caption"/>
        <w:keepNext/>
        <w:ind w:left="1418" w:hanging="1418"/>
        <w:rPr>
          <w:rFonts w:asciiTheme="minorHAnsi" w:hAnsiTheme="minorHAnsi"/>
        </w:rPr>
      </w:pPr>
      <w:bookmarkStart w:id="20" w:name="_Ref491097316"/>
      <w:r w:rsidRPr="00B90F07">
        <w:rPr>
          <w:rFonts w:asciiTheme="minorHAnsi" w:hAnsiTheme="minorHAnsi"/>
        </w:rPr>
        <w:t xml:space="preserve">Table </w:t>
      </w:r>
      <w:r w:rsidRPr="00B90F07">
        <w:rPr>
          <w:rFonts w:asciiTheme="minorHAnsi" w:hAnsiTheme="minorHAnsi"/>
        </w:rPr>
        <w:fldChar w:fldCharType="begin"/>
      </w:r>
      <w:r w:rsidRPr="00B90F07">
        <w:rPr>
          <w:rFonts w:asciiTheme="minorHAnsi" w:hAnsiTheme="minorHAnsi"/>
        </w:rPr>
        <w:instrText xml:space="preserve"> SEQ Table \* ARABIC </w:instrText>
      </w:r>
      <w:r w:rsidRPr="00B90F07">
        <w:rPr>
          <w:rFonts w:asciiTheme="minorHAnsi" w:hAnsiTheme="minorHAnsi"/>
        </w:rPr>
        <w:fldChar w:fldCharType="separate"/>
      </w:r>
      <w:r w:rsidR="00D64407">
        <w:rPr>
          <w:rFonts w:asciiTheme="minorHAnsi" w:hAnsiTheme="minorHAnsi"/>
          <w:noProof/>
        </w:rPr>
        <w:t>6</w:t>
      </w:r>
      <w:r w:rsidRPr="00B90F07">
        <w:rPr>
          <w:rFonts w:asciiTheme="minorHAnsi" w:hAnsiTheme="minorHAnsi"/>
        </w:rPr>
        <w:fldChar w:fldCharType="end"/>
      </w:r>
      <w:bookmarkEnd w:id="20"/>
      <w:r w:rsidRPr="00B90F07">
        <w:rPr>
          <w:rFonts w:asciiTheme="minorHAnsi" w:hAnsiTheme="minorHAnsi"/>
        </w:rPr>
        <w:t xml:space="preserve"> </w:t>
      </w:r>
      <w:r w:rsidRPr="00B90F07">
        <w:rPr>
          <w:rFonts w:asciiTheme="minorHAnsi" w:hAnsiTheme="minorHAnsi"/>
        </w:rPr>
        <w:tab/>
        <w:t xml:space="preserve">Adverse drug reactions assessed from clinical trials in TSC in the </w:t>
      </w:r>
      <w:proofErr w:type="spellStart"/>
      <w:r w:rsidRPr="00B90F07">
        <w:rPr>
          <w:rFonts w:asciiTheme="minorHAnsi" w:hAnsiTheme="minorHAnsi"/>
        </w:rPr>
        <w:t>Afinitor</w:t>
      </w:r>
      <w:proofErr w:type="spellEnd"/>
      <w:r w:rsidRPr="00B90F07">
        <w:rPr>
          <w:rFonts w:asciiTheme="minorHAnsi" w:hAnsiTheme="minorHAnsi"/>
        </w:rPr>
        <w:t xml:space="preserve"> arm</w:t>
      </w:r>
    </w:p>
    <w:tbl>
      <w:tblPr>
        <w:tblW w:w="8745" w:type="dxa"/>
        <w:tblBorders>
          <w:top w:val="single" w:sz="4" w:space="0" w:color="auto"/>
          <w:bottom w:val="single" w:sz="4" w:space="0" w:color="auto"/>
        </w:tblBorders>
        <w:tblLayout w:type="fixed"/>
        <w:tblLook w:val="04A0" w:firstRow="1" w:lastRow="0" w:firstColumn="1" w:lastColumn="0" w:noHBand="0" w:noVBand="1"/>
      </w:tblPr>
      <w:tblGrid>
        <w:gridCol w:w="1715"/>
        <w:gridCol w:w="12"/>
        <w:gridCol w:w="7012"/>
        <w:gridCol w:w="6"/>
      </w:tblGrid>
      <w:tr w:rsidR="00557C61" w:rsidRPr="00B90F07" w14:paraId="6D72B4E2"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58FFEEA2"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Infections and infestations</w:t>
            </w:r>
          </w:p>
        </w:tc>
      </w:tr>
      <w:tr w:rsidR="00557C61" w:rsidRPr="00B90F07" w14:paraId="302C96A5" w14:textId="77777777" w:rsidTr="005362D8">
        <w:trPr>
          <w:gridAfter w:val="1"/>
          <w:wAfter w:w="6" w:type="dxa"/>
        </w:trPr>
        <w:tc>
          <w:tcPr>
            <w:tcW w:w="1715" w:type="dxa"/>
            <w:tcBorders>
              <w:top w:val="nil"/>
              <w:left w:val="single" w:sz="4" w:space="0" w:color="auto"/>
              <w:bottom w:val="nil"/>
              <w:right w:val="nil"/>
            </w:tcBorders>
            <w:hideMark/>
          </w:tcPr>
          <w:p w14:paraId="649241DA"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Very common</w:t>
            </w:r>
          </w:p>
        </w:tc>
        <w:tc>
          <w:tcPr>
            <w:tcW w:w="7024" w:type="dxa"/>
            <w:gridSpan w:val="2"/>
            <w:tcBorders>
              <w:top w:val="nil"/>
              <w:left w:val="nil"/>
              <w:bottom w:val="nil"/>
              <w:right w:val="single" w:sz="4" w:space="0" w:color="auto"/>
            </w:tcBorders>
            <w:hideMark/>
          </w:tcPr>
          <w:p w14:paraId="59F53CDB" w14:textId="77777777" w:rsidR="00557C61" w:rsidRPr="00B90F07" w:rsidRDefault="00557C61" w:rsidP="005362D8">
            <w:pPr>
              <w:pStyle w:val="Text"/>
              <w:rPr>
                <w:rFonts w:asciiTheme="minorHAnsi" w:hAnsiTheme="minorHAnsi" w:cs="Arial"/>
                <w:sz w:val="18"/>
                <w:szCs w:val="18"/>
                <w:lang w:eastAsia="ja-JP"/>
              </w:rPr>
            </w:pPr>
            <w:proofErr w:type="spellStart"/>
            <w:r w:rsidRPr="00B90F07">
              <w:rPr>
                <w:rFonts w:asciiTheme="minorHAnsi" w:hAnsiTheme="minorHAnsi" w:cs="Arial"/>
                <w:bCs/>
                <w:sz w:val="18"/>
                <w:szCs w:val="18"/>
              </w:rPr>
              <w:t>Nasopharyngitis</w:t>
            </w:r>
            <w:proofErr w:type="spellEnd"/>
            <w:r w:rsidRPr="00B90F07">
              <w:rPr>
                <w:rFonts w:asciiTheme="minorHAnsi" w:hAnsiTheme="minorHAnsi" w:cs="Arial"/>
                <w:bCs/>
                <w:sz w:val="18"/>
                <w:szCs w:val="18"/>
              </w:rPr>
              <w:t>, upper respiratory tract infection, pneumonia, sinusitis, urinary tract infection, pneumonia, pharyngitis</w:t>
            </w:r>
          </w:p>
        </w:tc>
      </w:tr>
      <w:tr w:rsidR="00557C61" w:rsidRPr="00B90F07" w14:paraId="14B3E526" w14:textId="77777777" w:rsidTr="005362D8">
        <w:trPr>
          <w:gridAfter w:val="1"/>
          <w:wAfter w:w="6" w:type="dxa"/>
        </w:trPr>
        <w:tc>
          <w:tcPr>
            <w:tcW w:w="1715" w:type="dxa"/>
            <w:tcBorders>
              <w:top w:val="nil"/>
              <w:left w:val="single" w:sz="4" w:space="0" w:color="auto"/>
              <w:bottom w:val="nil"/>
              <w:right w:val="nil"/>
            </w:tcBorders>
            <w:hideMark/>
          </w:tcPr>
          <w:p w14:paraId="399BFFCC"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 xml:space="preserve"> Common</w:t>
            </w:r>
          </w:p>
        </w:tc>
        <w:tc>
          <w:tcPr>
            <w:tcW w:w="7024" w:type="dxa"/>
            <w:gridSpan w:val="2"/>
            <w:tcBorders>
              <w:top w:val="nil"/>
              <w:left w:val="nil"/>
              <w:bottom w:val="nil"/>
              <w:right w:val="single" w:sz="4" w:space="0" w:color="auto"/>
            </w:tcBorders>
            <w:hideMark/>
          </w:tcPr>
          <w:p w14:paraId="30B1165E"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Otitis media, cellulitis, pharyngitis streptococcal,  gastro</w:t>
            </w:r>
            <w:r w:rsidRPr="00B90F07">
              <w:rPr>
                <w:rFonts w:asciiTheme="minorHAnsi" w:hAnsiTheme="minorHAnsi" w:cs="Arial"/>
                <w:bCs/>
                <w:sz w:val="18"/>
                <w:szCs w:val="18"/>
                <w:lang w:val="en-US"/>
              </w:rPr>
              <w:t xml:space="preserve">enteritis </w:t>
            </w:r>
            <w:r w:rsidRPr="00B90F07">
              <w:rPr>
                <w:rFonts w:asciiTheme="minorHAnsi" w:hAnsiTheme="minorHAnsi" w:cs="Arial"/>
                <w:bCs/>
                <w:sz w:val="18"/>
                <w:szCs w:val="18"/>
              </w:rPr>
              <w:t>viral, gingivitis</w:t>
            </w:r>
          </w:p>
        </w:tc>
      </w:tr>
      <w:tr w:rsidR="00557C61" w:rsidRPr="00B90F07" w14:paraId="4DF8919D" w14:textId="77777777" w:rsidTr="005362D8">
        <w:trPr>
          <w:gridAfter w:val="1"/>
          <w:wAfter w:w="6" w:type="dxa"/>
        </w:trPr>
        <w:tc>
          <w:tcPr>
            <w:tcW w:w="1715" w:type="dxa"/>
            <w:tcBorders>
              <w:top w:val="nil"/>
              <w:left w:val="single" w:sz="4" w:space="0" w:color="auto"/>
              <w:bottom w:val="nil"/>
              <w:right w:val="nil"/>
            </w:tcBorders>
            <w:hideMark/>
          </w:tcPr>
          <w:p w14:paraId="546AA3D7"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Uncommon</w:t>
            </w:r>
          </w:p>
        </w:tc>
        <w:tc>
          <w:tcPr>
            <w:tcW w:w="7024" w:type="dxa"/>
            <w:gridSpan w:val="2"/>
            <w:tcBorders>
              <w:top w:val="nil"/>
              <w:left w:val="nil"/>
              <w:bottom w:val="nil"/>
              <w:right w:val="single" w:sz="4" w:space="0" w:color="auto"/>
            </w:tcBorders>
            <w:hideMark/>
          </w:tcPr>
          <w:p w14:paraId="1A1C626C"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Sepsis, herpes zoster, bronchitis viral</w:t>
            </w:r>
          </w:p>
        </w:tc>
      </w:tr>
      <w:tr w:rsidR="00557C61" w:rsidRPr="00B90F07" w14:paraId="4A883D44"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53F71FB5"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Blood and lymphatic system disorders</w:t>
            </w:r>
          </w:p>
        </w:tc>
      </w:tr>
      <w:tr w:rsidR="00557C61" w:rsidRPr="00F71679" w14:paraId="6923FC64" w14:textId="77777777" w:rsidTr="005362D8">
        <w:tc>
          <w:tcPr>
            <w:tcW w:w="1715" w:type="dxa"/>
            <w:tcBorders>
              <w:top w:val="nil"/>
              <w:left w:val="single" w:sz="4" w:space="0" w:color="auto"/>
              <w:bottom w:val="nil"/>
              <w:right w:val="nil"/>
            </w:tcBorders>
            <w:hideMark/>
          </w:tcPr>
          <w:p w14:paraId="67A343B9"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lastRenderedPageBreak/>
              <w:t>Common</w:t>
            </w:r>
          </w:p>
        </w:tc>
        <w:tc>
          <w:tcPr>
            <w:tcW w:w="7030" w:type="dxa"/>
            <w:gridSpan w:val="3"/>
            <w:tcBorders>
              <w:top w:val="nil"/>
              <w:left w:val="nil"/>
              <w:bottom w:val="nil"/>
              <w:right w:val="single" w:sz="4" w:space="0" w:color="auto"/>
            </w:tcBorders>
            <w:hideMark/>
          </w:tcPr>
          <w:p w14:paraId="7D6A113B" w14:textId="77777777" w:rsidR="00557C61" w:rsidRPr="00B90F07" w:rsidRDefault="00557C61" w:rsidP="005362D8">
            <w:pPr>
              <w:pStyle w:val="Text"/>
              <w:rPr>
                <w:rFonts w:asciiTheme="minorHAnsi" w:hAnsiTheme="minorHAnsi" w:cs="Arial"/>
                <w:sz w:val="18"/>
                <w:szCs w:val="18"/>
                <w:lang w:val="it-IT" w:eastAsia="ja-JP"/>
              </w:rPr>
            </w:pPr>
            <w:r w:rsidRPr="00B90F07">
              <w:rPr>
                <w:rFonts w:asciiTheme="minorHAnsi" w:hAnsiTheme="minorHAnsi" w:cs="Arial"/>
                <w:bCs/>
                <w:sz w:val="18"/>
                <w:szCs w:val="18"/>
                <w:lang w:val="it-IT"/>
              </w:rPr>
              <w:t xml:space="preserve">Anemia, neutropenia, leukopenia, thrombocytopenia, lymphopenia </w:t>
            </w:r>
          </w:p>
        </w:tc>
      </w:tr>
      <w:tr w:rsidR="00557C61" w:rsidRPr="00B90F07" w14:paraId="3CE6E7C1"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24968131"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Immune system disorders</w:t>
            </w:r>
          </w:p>
        </w:tc>
      </w:tr>
      <w:tr w:rsidR="00557C61" w:rsidRPr="00B90F07" w14:paraId="1B960B92" w14:textId="77777777" w:rsidTr="005362D8">
        <w:tc>
          <w:tcPr>
            <w:tcW w:w="1715" w:type="dxa"/>
            <w:tcBorders>
              <w:top w:val="nil"/>
              <w:left w:val="single" w:sz="4" w:space="0" w:color="auto"/>
              <w:bottom w:val="single" w:sz="4" w:space="0" w:color="auto"/>
              <w:right w:val="nil"/>
            </w:tcBorders>
            <w:hideMark/>
          </w:tcPr>
          <w:p w14:paraId="01559E60"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030" w:type="dxa"/>
            <w:gridSpan w:val="3"/>
            <w:tcBorders>
              <w:top w:val="nil"/>
              <w:left w:val="nil"/>
              <w:bottom w:val="single" w:sz="4" w:space="0" w:color="auto"/>
              <w:right w:val="single" w:sz="4" w:space="0" w:color="auto"/>
            </w:tcBorders>
            <w:hideMark/>
          </w:tcPr>
          <w:p w14:paraId="4CA97263"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sz w:val="18"/>
                <w:szCs w:val="18"/>
              </w:rPr>
              <w:t>Hypersensitivity</w:t>
            </w:r>
          </w:p>
        </w:tc>
      </w:tr>
      <w:tr w:rsidR="00557C61" w:rsidRPr="00B90F07" w14:paraId="3FE31A9A"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6646A98B"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Metabolism and nutrition disorders</w:t>
            </w:r>
          </w:p>
        </w:tc>
      </w:tr>
      <w:tr w:rsidR="00557C61" w:rsidRPr="00B90F07" w14:paraId="34842FF3" w14:textId="77777777" w:rsidTr="005362D8">
        <w:trPr>
          <w:gridAfter w:val="1"/>
          <w:wAfter w:w="6" w:type="dxa"/>
        </w:trPr>
        <w:tc>
          <w:tcPr>
            <w:tcW w:w="1715" w:type="dxa"/>
            <w:tcBorders>
              <w:top w:val="nil"/>
              <w:left w:val="single" w:sz="4" w:space="0" w:color="auto"/>
              <w:bottom w:val="nil"/>
              <w:right w:val="nil"/>
            </w:tcBorders>
            <w:hideMark/>
          </w:tcPr>
          <w:p w14:paraId="06806F60"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Very common</w:t>
            </w:r>
          </w:p>
        </w:tc>
        <w:tc>
          <w:tcPr>
            <w:tcW w:w="7024" w:type="dxa"/>
            <w:gridSpan w:val="2"/>
            <w:tcBorders>
              <w:top w:val="nil"/>
              <w:left w:val="nil"/>
              <w:bottom w:val="nil"/>
              <w:right w:val="single" w:sz="4" w:space="0" w:color="auto"/>
            </w:tcBorders>
            <w:hideMark/>
          </w:tcPr>
          <w:p w14:paraId="083D58CC"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 xml:space="preserve">Decreased appetite, hypercholesterolemia, </w:t>
            </w:r>
          </w:p>
        </w:tc>
      </w:tr>
      <w:tr w:rsidR="00557C61" w:rsidRPr="00B90F07" w14:paraId="1F409AA1" w14:textId="77777777" w:rsidTr="005362D8">
        <w:trPr>
          <w:gridAfter w:val="1"/>
          <w:wAfter w:w="6" w:type="dxa"/>
        </w:trPr>
        <w:tc>
          <w:tcPr>
            <w:tcW w:w="1715" w:type="dxa"/>
            <w:tcBorders>
              <w:top w:val="nil"/>
              <w:left w:val="single" w:sz="4" w:space="0" w:color="auto"/>
              <w:bottom w:val="nil"/>
              <w:right w:val="nil"/>
            </w:tcBorders>
            <w:hideMark/>
          </w:tcPr>
          <w:p w14:paraId="4E304CB3"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024" w:type="dxa"/>
            <w:gridSpan w:val="2"/>
            <w:tcBorders>
              <w:top w:val="nil"/>
              <w:left w:val="nil"/>
              <w:bottom w:val="nil"/>
              <w:right w:val="single" w:sz="4" w:space="0" w:color="auto"/>
            </w:tcBorders>
            <w:hideMark/>
          </w:tcPr>
          <w:p w14:paraId="2DFB5D8C" w14:textId="77777777" w:rsidR="00557C61" w:rsidRPr="00B90F07" w:rsidRDefault="00557C61" w:rsidP="005362D8">
            <w:pPr>
              <w:pStyle w:val="Text"/>
              <w:rPr>
                <w:rFonts w:asciiTheme="minorHAnsi" w:hAnsiTheme="minorHAnsi" w:cs="Arial"/>
                <w:sz w:val="18"/>
                <w:szCs w:val="18"/>
                <w:lang w:val="en-US" w:eastAsia="ja-JP"/>
              </w:rPr>
            </w:pPr>
            <w:r w:rsidRPr="00B90F07">
              <w:rPr>
                <w:rFonts w:asciiTheme="minorHAnsi" w:hAnsiTheme="minorHAnsi" w:cs="Arial"/>
                <w:bCs/>
                <w:sz w:val="18"/>
                <w:szCs w:val="18"/>
              </w:rPr>
              <w:t xml:space="preserve">Hypertriglyceridemia, </w:t>
            </w:r>
            <w:proofErr w:type="spellStart"/>
            <w:r w:rsidRPr="00B90F07">
              <w:rPr>
                <w:rFonts w:asciiTheme="minorHAnsi" w:hAnsiTheme="minorHAnsi" w:cs="Arial"/>
                <w:bCs/>
                <w:sz w:val="18"/>
                <w:szCs w:val="18"/>
              </w:rPr>
              <w:t>hyperlipidemia</w:t>
            </w:r>
            <w:proofErr w:type="spellEnd"/>
            <w:r w:rsidRPr="00B90F07">
              <w:rPr>
                <w:rFonts w:asciiTheme="minorHAnsi" w:hAnsiTheme="minorHAnsi" w:cs="Arial"/>
                <w:bCs/>
                <w:sz w:val="18"/>
                <w:szCs w:val="18"/>
              </w:rPr>
              <w:t xml:space="preserve">, </w:t>
            </w:r>
            <w:r w:rsidRPr="00B90F07">
              <w:rPr>
                <w:rFonts w:asciiTheme="minorHAnsi" w:hAnsiTheme="minorHAnsi" w:cs="Arial"/>
                <w:sz w:val="18"/>
                <w:szCs w:val="18"/>
              </w:rPr>
              <w:t>hypophosphatemia</w:t>
            </w:r>
            <w:r w:rsidRPr="00B90F07">
              <w:rPr>
                <w:rFonts w:asciiTheme="minorHAnsi" w:hAnsiTheme="minorHAnsi" w:cs="Arial"/>
                <w:sz w:val="18"/>
                <w:szCs w:val="18"/>
                <w:lang w:val="en-US"/>
              </w:rPr>
              <w:t>, hyperglycemia</w:t>
            </w:r>
          </w:p>
        </w:tc>
      </w:tr>
      <w:tr w:rsidR="00557C61" w:rsidRPr="00B90F07" w14:paraId="12438FE7"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0C78D301"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Psychiatric disorders</w:t>
            </w:r>
          </w:p>
        </w:tc>
      </w:tr>
      <w:tr w:rsidR="00557C61" w:rsidRPr="00B90F07" w14:paraId="4A46B08E" w14:textId="77777777" w:rsidTr="005362D8">
        <w:trPr>
          <w:gridAfter w:val="1"/>
          <w:wAfter w:w="6" w:type="dxa"/>
        </w:trPr>
        <w:tc>
          <w:tcPr>
            <w:tcW w:w="1715" w:type="dxa"/>
            <w:tcBorders>
              <w:top w:val="nil"/>
              <w:left w:val="single" w:sz="4" w:space="0" w:color="auto"/>
              <w:bottom w:val="single" w:sz="4" w:space="0" w:color="auto"/>
              <w:right w:val="nil"/>
            </w:tcBorders>
            <w:hideMark/>
          </w:tcPr>
          <w:p w14:paraId="44F44FC8" w14:textId="77777777" w:rsidR="00557C61" w:rsidRPr="00B90F07" w:rsidRDefault="00557C61" w:rsidP="005362D8">
            <w:pPr>
              <w:pStyle w:val="Text"/>
              <w:rPr>
                <w:rFonts w:asciiTheme="minorHAnsi" w:hAnsiTheme="minorHAnsi" w:cs="Arial"/>
                <w:strike/>
                <w:sz w:val="18"/>
                <w:szCs w:val="18"/>
                <w:lang w:eastAsia="ja-JP"/>
              </w:rPr>
            </w:pPr>
            <w:r w:rsidRPr="00B90F07">
              <w:rPr>
                <w:rFonts w:asciiTheme="minorHAnsi" w:hAnsiTheme="minorHAnsi" w:cs="Arial"/>
                <w:bCs/>
                <w:sz w:val="18"/>
                <w:szCs w:val="18"/>
              </w:rPr>
              <w:t>Common</w:t>
            </w:r>
          </w:p>
        </w:tc>
        <w:tc>
          <w:tcPr>
            <w:tcW w:w="7024" w:type="dxa"/>
            <w:gridSpan w:val="2"/>
            <w:tcBorders>
              <w:top w:val="nil"/>
              <w:left w:val="nil"/>
              <w:bottom w:val="single" w:sz="4" w:space="0" w:color="auto"/>
              <w:right w:val="single" w:sz="4" w:space="0" w:color="auto"/>
            </w:tcBorders>
            <w:hideMark/>
          </w:tcPr>
          <w:p w14:paraId="6BA594B4" w14:textId="77777777" w:rsidR="00557C61" w:rsidRPr="00B90F07" w:rsidRDefault="00557C61" w:rsidP="005362D8">
            <w:pPr>
              <w:pStyle w:val="Text"/>
              <w:rPr>
                <w:rFonts w:asciiTheme="minorHAnsi" w:hAnsiTheme="minorHAnsi" w:cs="Arial"/>
                <w:sz w:val="18"/>
                <w:szCs w:val="18"/>
                <w:lang w:val="it-IT" w:eastAsia="ja-JP"/>
              </w:rPr>
            </w:pPr>
            <w:r w:rsidRPr="00B90F07">
              <w:rPr>
                <w:rFonts w:asciiTheme="minorHAnsi" w:hAnsiTheme="minorHAnsi" w:cs="Arial"/>
                <w:bCs/>
                <w:sz w:val="18"/>
                <w:szCs w:val="18"/>
                <w:lang w:val="it-IT"/>
              </w:rPr>
              <w:t>Insomnia, aggression, irritability</w:t>
            </w:r>
          </w:p>
        </w:tc>
      </w:tr>
      <w:tr w:rsidR="00557C61" w:rsidRPr="00B90F07" w14:paraId="59E7881D"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14F01879"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Nervous system disorders</w:t>
            </w:r>
          </w:p>
        </w:tc>
      </w:tr>
      <w:tr w:rsidR="00557C61" w:rsidRPr="00B90F07" w14:paraId="5A84785F" w14:textId="77777777" w:rsidTr="005362D8">
        <w:trPr>
          <w:gridAfter w:val="1"/>
          <w:wAfter w:w="6" w:type="dxa"/>
        </w:trPr>
        <w:tc>
          <w:tcPr>
            <w:tcW w:w="1715" w:type="dxa"/>
            <w:tcBorders>
              <w:top w:val="nil"/>
              <w:left w:val="single" w:sz="4" w:space="0" w:color="auto"/>
              <w:bottom w:val="nil"/>
              <w:right w:val="nil"/>
            </w:tcBorders>
          </w:tcPr>
          <w:p w14:paraId="225D962E" w14:textId="77777777" w:rsidR="00557C61" w:rsidRPr="00B90F07" w:rsidRDefault="00557C61" w:rsidP="005362D8">
            <w:pPr>
              <w:pStyle w:val="Text"/>
              <w:rPr>
                <w:rFonts w:asciiTheme="minorHAnsi" w:hAnsiTheme="minorHAnsi" w:cs="Arial"/>
                <w:bCs/>
                <w:sz w:val="18"/>
                <w:szCs w:val="18"/>
              </w:rPr>
            </w:pPr>
            <w:r w:rsidRPr="00B90F07">
              <w:rPr>
                <w:rFonts w:asciiTheme="minorHAnsi" w:hAnsiTheme="minorHAnsi" w:cs="Arial"/>
                <w:bCs/>
                <w:sz w:val="18"/>
                <w:szCs w:val="18"/>
              </w:rPr>
              <w:t>Very common</w:t>
            </w:r>
          </w:p>
        </w:tc>
        <w:tc>
          <w:tcPr>
            <w:tcW w:w="7024" w:type="dxa"/>
            <w:gridSpan w:val="2"/>
            <w:tcBorders>
              <w:top w:val="nil"/>
              <w:left w:val="nil"/>
              <w:bottom w:val="nil"/>
              <w:right w:val="single" w:sz="4" w:space="0" w:color="auto"/>
            </w:tcBorders>
          </w:tcPr>
          <w:p w14:paraId="7B572DC9" w14:textId="77777777" w:rsidR="00557C61" w:rsidRPr="00B90F07" w:rsidRDefault="00557C61" w:rsidP="005362D8">
            <w:pPr>
              <w:pStyle w:val="Text"/>
              <w:rPr>
                <w:rFonts w:asciiTheme="minorHAnsi" w:hAnsiTheme="minorHAnsi" w:cs="Arial"/>
                <w:bCs/>
                <w:sz w:val="18"/>
                <w:szCs w:val="18"/>
              </w:rPr>
            </w:pPr>
            <w:r w:rsidRPr="00B90F07">
              <w:rPr>
                <w:rFonts w:asciiTheme="minorHAnsi" w:hAnsiTheme="minorHAnsi" w:cs="Arial"/>
                <w:bCs/>
                <w:sz w:val="18"/>
                <w:szCs w:val="18"/>
              </w:rPr>
              <w:t>Headache</w:t>
            </w:r>
          </w:p>
        </w:tc>
      </w:tr>
      <w:tr w:rsidR="00557C61" w:rsidRPr="00B90F07" w14:paraId="508A2702" w14:textId="77777777" w:rsidTr="005362D8">
        <w:trPr>
          <w:gridAfter w:val="1"/>
          <w:wAfter w:w="6" w:type="dxa"/>
        </w:trPr>
        <w:tc>
          <w:tcPr>
            <w:tcW w:w="1715" w:type="dxa"/>
            <w:tcBorders>
              <w:top w:val="nil"/>
              <w:left w:val="single" w:sz="4" w:space="0" w:color="auto"/>
              <w:bottom w:val="nil"/>
              <w:right w:val="nil"/>
            </w:tcBorders>
            <w:hideMark/>
          </w:tcPr>
          <w:p w14:paraId="270AB432"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Uncommon</w:t>
            </w:r>
          </w:p>
        </w:tc>
        <w:tc>
          <w:tcPr>
            <w:tcW w:w="7024" w:type="dxa"/>
            <w:gridSpan w:val="2"/>
            <w:tcBorders>
              <w:top w:val="nil"/>
              <w:left w:val="nil"/>
              <w:bottom w:val="nil"/>
              <w:right w:val="single" w:sz="4" w:space="0" w:color="auto"/>
            </w:tcBorders>
            <w:hideMark/>
          </w:tcPr>
          <w:p w14:paraId="60AFBA47" w14:textId="77777777" w:rsidR="00557C61" w:rsidRPr="00B90F07" w:rsidRDefault="00557C61" w:rsidP="005362D8">
            <w:pPr>
              <w:pStyle w:val="Text"/>
              <w:rPr>
                <w:rFonts w:asciiTheme="minorHAnsi" w:hAnsiTheme="minorHAnsi" w:cs="Arial"/>
                <w:sz w:val="18"/>
                <w:szCs w:val="18"/>
                <w:lang w:eastAsia="ja-JP"/>
              </w:rPr>
            </w:pPr>
            <w:proofErr w:type="spellStart"/>
            <w:r w:rsidRPr="00B90F07">
              <w:rPr>
                <w:rFonts w:asciiTheme="minorHAnsi" w:hAnsiTheme="minorHAnsi" w:cs="Arial"/>
                <w:bCs/>
                <w:sz w:val="18"/>
                <w:szCs w:val="18"/>
              </w:rPr>
              <w:t>Dysgeusia</w:t>
            </w:r>
            <w:proofErr w:type="spellEnd"/>
          </w:p>
        </w:tc>
      </w:tr>
      <w:tr w:rsidR="00557C61" w:rsidRPr="00B90F07" w14:paraId="39747AF5"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5F07632C"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Vascular disorders</w:t>
            </w:r>
          </w:p>
        </w:tc>
      </w:tr>
      <w:tr w:rsidR="00557C61" w:rsidRPr="00B90F07" w14:paraId="4F64F0CA" w14:textId="77777777" w:rsidTr="005362D8">
        <w:trPr>
          <w:gridAfter w:val="1"/>
          <w:wAfter w:w="6" w:type="dxa"/>
        </w:trPr>
        <w:tc>
          <w:tcPr>
            <w:tcW w:w="1715" w:type="dxa"/>
            <w:tcBorders>
              <w:top w:val="nil"/>
              <w:left w:val="single" w:sz="4" w:space="0" w:color="auto"/>
              <w:bottom w:val="nil"/>
              <w:right w:val="nil"/>
            </w:tcBorders>
            <w:hideMark/>
          </w:tcPr>
          <w:p w14:paraId="449DD907"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024" w:type="dxa"/>
            <w:gridSpan w:val="2"/>
            <w:tcBorders>
              <w:top w:val="nil"/>
              <w:left w:val="nil"/>
              <w:bottom w:val="nil"/>
              <w:right w:val="single" w:sz="4" w:space="0" w:color="auto"/>
            </w:tcBorders>
            <w:hideMark/>
          </w:tcPr>
          <w:p w14:paraId="769BBB14"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Hypertension, lymphedema</w:t>
            </w:r>
          </w:p>
        </w:tc>
      </w:tr>
      <w:tr w:rsidR="00557C61" w:rsidRPr="00B90F07" w14:paraId="4E36F372"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6E765F67"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Respiratory, thoracic and mediastinal disorders</w:t>
            </w:r>
          </w:p>
        </w:tc>
      </w:tr>
      <w:tr w:rsidR="00557C61" w:rsidRPr="00B90F07" w14:paraId="38AD76B8" w14:textId="77777777" w:rsidTr="005362D8">
        <w:trPr>
          <w:gridAfter w:val="1"/>
          <w:wAfter w:w="6" w:type="dxa"/>
        </w:trPr>
        <w:tc>
          <w:tcPr>
            <w:tcW w:w="1715" w:type="dxa"/>
            <w:tcBorders>
              <w:top w:val="nil"/>
              <w:left w:val="single" w:sz="4" w:space="0" w:color="auto"/>
              <w:bottom w:val="nil"/>
              <w:right w:val="nil"/>
            </w:tcBorders>
          </w:tcPr>
          <w:p w14:paraId="2D262E2A" w14:textId="77777777" w:rsidR="00557C61" w:rsidRPr="00B90F07" w:rsidRDefault="00557C61" w:rsidP="005362D8">
            <w:pPr>
              <w:pStyle w:val="Text"/>
              <w:rPr>
                <w:rFonts w:asciiTheme="minorHAnsi" w:hAnsiTheme="minorHAnsi" w:cs="Arial"/>
                <w:bCs/>
                <w:sz w:val="18"/>
                <w:szCs w:val="18"/>
              </w:rPr>
            </w:pPr>
            <w:r w:rsidRPr="00B90F07">
              <w:rPr>
                <w:rFonts w:asciiTheme="minorHAnsi" w:hAnsiTheme="minorHAnsi" w:cs="Arial"/>
                <w:bCs/>
                <w:sz w:val="18"/>
                <w:szCs w:val="18"/>
              </w:rPr>
              <w:t>Very common</w:t>
            </w:r>
          </w:p>
        </w:tc>
        <w:tc>
          <w:tcPr>
            <w:tcW w:w="7024" w:type="dxa"/>
            <w:gridSpan w:val="2"/>
            <w:tcBorders>
              <w:top w:val="nil"/>
              <w:left w:val="nil"/>
              <w:bottom w:val="nil"/>
              <w:right w:val="single" w:sz="4" w:space="0" w:color="auto"/>
            </w:tcBorders>
          </w:tcPr>
          <w:p w14:paraId="2CC5BB41" w14:textId="77777777" w:rsidR="00557C61" w:rsidRPr="00B90F07" w:rsidRDefault="00557C61" w:rsidP="005362D8">
            <w:pPr>
              <w:pStyle w:val="Text"/>
              <w:rPr>
                <w:rFonts w:asciiTheme="minorHAnsi" w:hAnsiTheme="minorHAnsi" w:cs="Arial"/>
                <w:bCs/>
                <w:sz w:val="18"/>
                <w:szCs w:val="18"/>
              </w:rPr>
            </w:pPr>
            <w:r w:rsidRPr="00B90F07">
              <w:rPr>
                <w:rFonts w:asciiTheme="minorHAnsi" w:hAnsiTheme="minorHAnsi" w:cs="Arial"/>
                <w:bCs/>
                <w:sz w:val="18"/>
                <w:szCs w:val="18"/>
              </w:rPr>
              <w:t>Cough</w:t>
            </w:r>
          </w:p>
        </w:tc>
      </w:tr>
      <w:tr w:rsidR="00557C61" w:rsidRPr="00B90F07" w14:paraId="0F9DB15D" w14:textId="77777777" w:rsidTr="005362D8">
        <w:trPr>
          <w:gridAfter w:val="1"/>
          <w:wAfter w:w="6" w:type="dxa"/>
        </w:trPr>
        <w:tc>
          <w:tcPr>
            <w:tcW w:w="1715" w:type="dxa"/>
            <w:tcBorders>
              <w:top w:val="nil"/>
              <w:left w:val="single" w:sz="4" w:space="0" w:color="auto"/>
              <w:bottom w:val="nil"/>
              <w:right w:val="nil"/>
            </w:tcBorders>
            <w:hideMark/>
          </w:tcPr>
          <w:p w14:paraId="71B03CF8"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024" w:type="dxa"/>
            <w:gridSpan w:val="2"/>
            <w:tcBorders>
              <w:top w:val="nil"/>
              <w:left w:val="nil"/>
              <w:bottom w:val="nil"/>
              <w:right w:val="single" w:sz="4" w:space="0" w:color="auto"/>
            </w:tcBorders>
            <w:hideMark/>
          </w:tcPr>
          <w:p w14:paraId="111FE4EA"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Epistaxis pneumonitis</w:t>
            </w:r>
          </w:p>
        </w:tc>
      </w:tr>
      <w:tr w:rsidR="00557C61" w:rsidRPr="00B90F07" w14:paraId="25FA25EF"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2FA9F3C9"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Gastrointestinal disorders</w:t>
            </w:r>
          </w:p>
        </w:tc>
      </w:tr>
      <w:tr w:rsidR="00557C61" w:rsidRPr="00B90F07" w14:paraId="1323F4BE" w14:textId="77777777" w:rsidTr="005362D8">
        <w:trPr>
          <w:gridAfter w:val="1"/>
          <w:wAfter w:w="6" w:type="dxa"/>
        </w:trPr>
        <w:tc>
          <w:tcPr>
            <w:tcW w:w="1715" w:type="dxa"/>
            <w:tcBorders>
              <w:top w:val="nil"/>
              <w:left w:val="single" w:sz="4" w:space="0" w:color="auto"/>
              <w:bottom w:val="nil"/>
              <w:right w:val="nil"/>
            </w:tcBorders>
            <w:hideMark/>
          </w:tcPr>
          <w:p w14:paraId="088E1958"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Very common</w:t>
            </w:r>
          </w:p>
        </w:tc>
        <w:tc>
          <w:tcPr>
            <w:tcW w:w="7024" w:type="dxa"/>
            <w:gridSpan w:val="2"/>
            <w:tcBorders>
              <w:top w:val="nil"/>
              <w:left w:val="nil"/>
              <w:bottom w:val="nil"/>
              <w:right w:val="single" w:sz="4" w:space="0" w:color="auto"/>
            </w:tcBorders>
            <w:hideMark/>
          </w:tcPr>
          <w:p w14:paraId="4E6EFE70" w14:textId="77777777" w:rsidR="00557C61" w:rsidRPr="00B90F07" w:rsidRDefault="00557C61" w:rsidP="005362D8">
            <w:pPr>
              <w:pStyle w:val="Text"/>
              <w:rPr>
                <w:rFonts w:asciiTheme="minorHAnsi" w:hAnsiTheme="minorHAnsi" w:cs="Arial"/>
                <w:sz w:val="18"/>
                <w:szCs w:val="18"/>
                <w:lang w:eastAsia="ja-JP"/>
              </w:rPr>
            </w:pPr>
            <w:proofErr w:type="spellStart"/>
            <w:r w:rsidRPr="00B90F07">
              <w:rPr>
                <w:rFonts w:asciiTheme="minorHAnsi" w:hAnsiTheme="minorHAnsi" w:cs="Arial"/>
                <w:bCs/>
                <w:sz w:val="18"/>
                <w:szCs w:val="18"/>
              </w:rPr>
              <w:t>Stomatitis</w:t>
            </w:r>
            <w:r w:rsidRPr="00B90F07">
              <w:rPr>
                <w:rFonts w:asciiTheme="minorHAnsi" w:hAnsiTheme="minorHAnsi" w:cs="Arial"/>
                <w:bCs/>
                <w:sz w:val="18"/>
                <w:szCs w:val="18"/>
                <w:vertAlign w:val="superscript"/>
              </w:rPr>
              <w:t>a</w:t>
            </w:r>
            <w:proofErr w:type="spellEnd"/>
            <w:r w:rsidRPr="00B90F07">
              <w:rPr>
                <w:rFonts w:asciiTheme="minorHAnsi" w:hAnsiTheme="minorHAnsi" w:cs="Arial"/>
                <w:bCs/>
                <w:sz w:val="18"/>
                <w:szCs w:val="18"/>
              </w:rPr>
              <w:t>, diarrhoea, vomiting</w:t>
            </w:r>
          </w:p>
        </w:tc>
      </w:tr>
      <w:tr w:rsidR="00557C61" w:rsidRPr="00B90F07" w14:paraId="58664F49" w14:textId="77777777" w:rsidTr="005362D8">
        <w:trPr>
          <w:gridAfter w:val="1"/>
          <w:wAfter w:w="6" w:type="dxa"/>
        </w:trPr>
        <w:tc>
          <w:tcPr>
            <w:tcW w:w="1715" w:type="dxa"/>
            <w:tcBorders>
              <w:top w:val="nil"/>
              <w:left w:val="single" w:sz="4" w:space="0" w:color="auto"/>
              <w:bottom w:val="single" w:sz="4" w:space="0" w:color="auto"/>
              <w:right w:val="nil"/>
            </w:tcBorders>
            <w:hideMark/>
          </w:tcPr>
          <w:p w14:paraId="6570DFA2"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024" w:type="dxa"/>
            <w:gridSpan w:val="2"/>
            <w:tcBorders>
              <w:top w:val="nil"/>
              <w:left w:val="nil"/>
              <w:bottom w:val="single" w:sz="4" w:space="0" w:color="auto"/>
              <w:right w:val="single" w:sz="4" w:space="0" w:color="auto"/>
            </w:tcBorders>
            <w:hideMark/>
          </w:tcPr>
          <w:p w14:paraId="3640360D"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Constipation, nausea, abdominal pain, flatulence, oral pain, gastritis</w:t>
            </w:r>
          </w:p>
        </w:tc>
      </w:tr>
      <w:tr w:rsidR="00557C61" w:rsidRPr="00B90F07" w14:paraId="603BF7BC"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67FC970F"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Skin and subcutaneous tissue disorders</w:t>
            </w:r>
          </w:p>
        </w:tc>
      </w:tr>
      <w:tr w:rsidR="00557C61" w:rsidRPr="00F71679" w14:paraId="1E3CCB17" w14:textId="77777777" w:rsidTr="005362D8">
        <w:trPr>
          <w:gridAfter w:val="1"/>
          <w:wAfter w:w="6" w:type="dxa"/>
        </w:trPr>
        <w:tc>
          <w:tcPr>
            <w:tcW w:w="1715" w:type="dxa"/>
            <w:tcBorders>
              <w:top w:val="nil"/>
              <w:left w:val="single" w:sz="4" w:space="0" w:color="auto"/>
              <w:bottom w:val="nil"/>
              <w:right w:val="nil"/>
            </w:tcBorders>
            <w:hideMark/>
          </w:tcPr>
          <w:p w14:paraId="779BC69A" w14:textId="77777777" w:rsidR="00557C61" w:rsidRPr="00B90F07" w:rsidRDefault="00557C61" w:rsidP="005362D8">
            <w:pPr>
              <w:pStyle w:val="Text"/>
              <w:rPr>
                <w:rFonts w:asciiTheme="minorHAnsi" w:hAnsiTheme="minorHAnsi" w:cs="Arial"/>
                <w:bCs/>
                <w:sz w:val="18"/>
                <w:szCs w:val="18"/>
              </w:rPr>
            </w:pPr>
            <w:r w:rsidRPr="00B90F07">
              <w:rPr>
                <w:rFonts w:asciiTheme="minorHAnsi" w:hAnsiTheme="minorHAnsi" w:cs="Arial"/>
                <w:bCs/>
                <w:sz w:val="18"/>
                <w:szCs w:val="18"/>
              </w:rPr>
              <w:t>Very common</w:t>
            </w:r>
          </w:p>
          <w:p w14:paraId="2E1F03F3" w14:textId="77777777" w:rsidR="00557C61" w:rsidRPr="00B90F07" w:rsidRDefault="00557C61" w:rsidP="005362D8">
            <w:pPr>
              <w:pStyle w:val="Text"/>
              <w:rPr>
                <w:rFonts w:asciiTheme="minorHAnsi" w:hAnsiTheme="minorHAnsi" w:cs="Arial"/>
                <w:bCs/>
                <w:sz w:val="18"/>
                <w:szCs w:val="18"/>
              </w:rPr>
            </w:pPr>
            <w:r w:rsidRPr="00B90F07">
              <w:rPr>
                <w:rFonts w:asciiTheme="minorHAnsi" w:hAnsiTheme="minorHAnsi" w:cs="Arial"/>
                <w:bCs/>
                <w:sz w:val="18"/>
                <w:szCs w:val="18"/>
              </w:rPr>
              <w:t>Common</w:t>
            </w:r>
          </w:p>
          <w:p w14:paraId="76E73A72"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Uncommon</w:t>
            </w:r>
          </w:p>
        </w:tc>
        <w:tc>
          <w:tcPr>
            <w:tcW w:w="7024" w:type="dxa"/>
            <w:gridSpan w:val="2"/>
            <w:tcBorders>
              <w:top w:val="nil"/>
              <w:left w:val="nil"/>
              <w:bottom w:val="nil"/>
              <w:right w:val="single" w:sz="4" w:space="0" w:color="auto"/>
            </w:tcBorders>
            <w:hideMark/>
          </w:tcPr>
          <w:p w14:paraId="1FBA17F5" w14:textId="77777777" w:rsidR="00557C61" w:rsidRPr="00B90F07" w:rsidRDefault="00557C61" w:rsidP="005362D8">
            <w:pPr>
              <w:pStyle w:val="Text"/>
              <w:rPr>
                <w:rFonts w:asciiTheme="minorHAnsi" w:hAnsiTheme="minorHAnsi" w:cs="Arial"/>
                <w:bCs/>
                <w:sz w:val="18"/>
                <w:szCs w:val="18"/>
                <w:lang w:val="de-DE"/>
              </w:rPr>
            </w:pPr>
            <w:r w:rsidRPr="00B90F07">
              <w:rPr>
                <w:rFonts w:asciiTheme="minorHAnsi" w:hAnsiTheme="minorHAnsi" w:cs="Arial"/>
                <w:bCs/>
                <w:sz w:val="18"/>
                <w:szCs w:val="18"/>
                <w:lang w:val="de-DE"/>
              </w:rPr>
              <w:t>Rash</w:t>
            </w:r>
            <w:r w:rsidRPr="00B90F07">
              <w:rPr>
                <w:rFonts w:asciiTheme="minorHAnsi" w:hAnsiTheme="minorHAnsi" w:cs="Arial"/>
                <w:bCs/>
                <w:sz w:val="18"/>
                <w:szCs w:val="18"/>
                <w:vertAlign w:val="superscript"/>
                <w:lang w:val="de-DE"/>
              </w:rPr>
              <w:t>b</w:t>
            </w:r>
            <w:r w:rsidRPr="00B90F07">
              <w:rPr>
                <w:rFonts w:asciiTheme="minorHAnsi" w:hAnsiTheme="minorHAnsi" w:cs="Arial"/>
                <w:bCs/>
                <w:sz w:val="18"/>
                <w:szCs w:val="18"/>
                <w:lang w:val="de-DE"/>
              </w:rPr>
              <w:t>, acne</w:t>
            </w:r>
          </w:p>
          <w:p w14:paraId="4135E540" w14:textId="77777777" w:rsidR="00557C61" w:rsidRPr="00B90F07" w:rsidRDefault="00557C61" w:rsidP="005362D8">
            <w:pPr>
              <w:pStyle w:val="Text"/>
              <w:rPr>
                <w:rFonts w:asciiTheme="minorHAnsi" w:hAnsiTheme="minorHAnsi" w:cs="Arial"/>
                <w:bCs/>
                <w:sz w:val="18"/>
                <w:szCs w:val="18"/>
                <w:lang w:val="de-DE"/>
              </w:rPr>
            </w:pPr>
            <w:r w:rsidRPr="00B90F07">
              <w:rPr>
                <w:rFonts w:asciiTheme="minorHAnsi" w:hAnsiTheme="minorHAnsi" w:cs="Arial"/>
                <w:bCs/>
                <w:sz w:val="18"/>
                <w:szCs w:val="18"/>
                <w:lang w:val="de-DE"/>
              </w:rPr>
              <w:t>Dry skin, dermatitis acneiform</w:t>
            </w:r>
          </w:p>
          <w:p w14:paraId="4BA89A85" w14:textId="77777777" w:rsidR="00557C61" w:rsidRPr="00B90F07" w:rsidRDefault="00557C61" w:rsidP="005362D8">
            <w:pPr>
              <w:pStyle w:val="Text"/>
              <w:rPr>
                <w:rFonts w:asciiTheme="minorHAnsi" w:hAnsiTheme="minorHAnsi" w:cs="Arial"/>
                <w:sz w:val="18"/>
                <w:szCs w:val="18"/>
                <w:lang w:val="de-DE" w:eastAsia="ja-JP"/>
              </w:rPr>
            </w:pPr>
            <w:r w:rsidRPr="00B90F07">
              <w:rPr>
                <w:rFonts w:asciiTheme="minorHAnsi" w:hAnsiTheme="minorHAnsi" w:cs="Arial"/>
                <w:bCs/>
                <w:sz w:val="18"/>
                <w:szCs w:val="18"/>
                <w:lang w:val="de-DE"/>
              </w:rPr>
              <w:t>Angioedema</w:t>
            </w:r>
          </w:p>
        </w:tc>
      </w:tr>
      <w:tr w:rsidR="00557C61" w:rsidRPr="00B90F07" w14:paraId="6EF3B991"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1D4804FA"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Renal and urinary disorders</w:t>
            </w:r>
          </w:p>
        </w:tc>
      </w:tr>
      <w:tr w:rsidR="00557C61" w:rsidRPr="00B90F07" w14:paraId="0DC67CA3" w14:textId="77777777" w:rsidTr="005362D8">
        <w:trPr>
          <w:gridAfter w:val="1"/>
          <w:wAfter w:w="6" w:type="dxa"/>
        </w:trPr>
        <w:tc>
          <w:tcPr>
            <w:tcW w:w="1715" w:type="dxa"/>
            <w:tcBorders>
              <w:top w:val="nil"/>
              <w:left w:val="single" w:sz="4" w:space="0" w:color="auto"/>
              <w:bottom w:val="single" w:sz="4" w:space="0" w:color="auto"/>
              <w:right w:val="nil"/>
            </w:tcBorders>
            <w:hideMark/>
          </w:tcPr>
          <w:p w14:paraId="1722EC36"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Common</w:t>
            </w:r>
          </w:p>
        </w:tc>
        <w:tc>
          <w:tcPr>
            <w:tcW w:w="7024" w:type="dxa"/>
            <w:gridSpan w:val="2"/>
            <w:tcBorders>
              <w:top w:val="nil"/>
              <w:left w:val="nil"/>
              <w:bottom w:val="single" w:sz="4" w:space="0" w:color="auto"/>
              <w:right w:val="single" w:sz="4" w:space="0" w:color="auto"/>
            </w:tcBorders>
            <w:hideMark/>
          </w:tcPr>
          <w:p w14:paraId="31CC82E6"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Proteinuria</w:t>
            </w:r>
          </w:p>
        </w:tc>
      </w:tr>
      <w:tr w:rsidR="00557C61" w:rsidRPr="00B90F07" w14:paraId="58CD13B6"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12A82CD8"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Reproductive system and breast disorders</w:t>
            </w:r>
          </w:p>
        </w:tc>
      </w:tr>
      <w:tr w:rsidR="00557C61" w:rsidRPr="00B90F07" w14:paraId="38C70356" w14:textId="77777777" w:rsidTr="005362D8">
        <w:trPr>
          <w:gridAfter w:val="1"/>
          <w:wAfter w:w="6" w:type="dxa"/>
        </w:trPr>
        <w:tc>
          <w:tcPr>
            <w:tcW w:w="1727" w:type="dxa"/>
            <w:gridSpan w:val="2"/>
            <w:tcBorders>
              <w:top w:val="nil"/>
              <w:left w:val="single" w:sz="4" w:space="0" w:color="auto"/>
              <w:bottom w:val="nil"/>
              <w:right w:val="nil"/>
            </w:tcBorders>
            <w:hideMark/>
          </w:tcPr>
          <w:p w14:paraId="4E7A24A1" w14:textId="77777777" w:rsidR="00557C61" w:rsidRPr="00B90F07" w:rsidRDefault="00557C61" w:rsidP="005362D8">
            <w:pPr>
              <w:pStyle w:val="Text"/>
              <w:rPr>
                <w:rFonts w:asciiTheme="minorHAnsi" w:hAnsiTheme="minorHAnsi" w:cs="Arial"/>
                <w:bCs/>
                <w:sz w:val="18"/>
                <w:szCs w:val="18"/>
              </w:rPr>
            </w:pPr>
            <w:r w:rsidRPr="00B90F07">
              <w:rPr>
                <w:rFonts w:asciiTheme="minorHAnsi" w:hAnsiTheme="minorHAnsi" w:cs="Arial"/>
                <w:bCs/>
                <w:sz w:val="18"/>
                <w:szCs w:val="18"/>
              </w:rPr>
              <w:t>Very common</w:t>
            </w:r>
          </w:p>
          <w:p w14:paraId="3EDC0377" w14:textId="77777777" w:rsidR="00557C61" w:rsidRPr="00B90F07" w:rsidRDefault="00557C61" w:rsidP="005362D8">
            <w:pPr>
              <w:pStyle w:val="Text"/>
              <w:rPr>
                <w:rFonts w:asciiTheme="minorHAnsi" w:hAnsiTheme="minorHAnsi" w:cs="Arial"/>
                <w:bCs/>
                <w:sz w:val="18"/>
                <w:szCs w:val="18"/>
              </w:rPr>
            </w:pPr>
            <w:r w:rsidRPr="00B90F07">
              <w:rPr>
                <w:rFonts w:asciiTheme="minorHAnsi" w:hAnsiTheme="minorHAnsi" w:cs="Arial"/>
                <w:bCs/>
                <w:sz w:val="18"/>
                <w:szCs w:val="18"/>
              </w:rPr>
              <w:t>Common</w:t>
            </w:r>
          </w:p>
          <w:p w14:paraId="197DB0F1"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Uncommon</w:t>
            </w:r>
          </w:p>
        </w:tc>
        <w:tc>
          <w:tcPr>
            <w:tcW w:w="7012" w:type="dxa"/>
            <w:tcBorders>
              <w:top w:val="nil"/>
              <w:left w:val="nil"/>
              <w:bottom w:val="nil"/>
              <w:right w:val="single" w:sz="4" w:space="0" w:color="auto"/>
            </w:tcBorders>
            <w:hideMark/>
          </w:tcPr>
          <w:p w14:paraId="05F9D6AF" w14:textId="77777777" w:rsidR="00557C61" w:rsidRPr="00B90F07" w:rsidRDefault="00557C61" w:rsidP="005362D8">
            <w:pPr>
              <w:pStyle w:val="Text"/>
              <w:rPr>
                <w:rFonts w:asciiTheme="minorHAnsi" w:hAnsiTheme="minorHAnsi" w:cs="Arial"/>
                <w:sz w:val="18"/>
                <w:szCs w:val="18"/>
              </w:rPr>
            </w:pPr>
            <w:proofErr w:type="spellStart"/>
            <w:r w:rsidRPr="00B90F07">
              <w:rPr>
                <w:rFonts w:asciiTheme="minorHAnsi" w:hAnsiTheme="minorHAnsi" w:cs="Arial"/>
                <w:sz w:val="18"/>
                <w:szCs w:val="18"/>
              </w:rPr>
              <w:t>Amenorrhea</w:t>
            </w:r>
            <w:r w:rsidRPr="00B90F07">
              <w:rPr>
                <w:rFonts w:asciiTheme="minorHAnsi" w:hAnsiTheme="minorHAnsi" w:cs="Arial"/>
                <w:sz w:val="18"/>
                <w:szCs w:val="18"/>
                <w:vertAlign w:val="superscript"/>
              </w:rPr>
              <w:t>c</w:t>
            </w:r>
            <w:proofErr w:type="spellEnd"/>
            <w:r w:rsidRPr="00B90F07">
              <w:rPr>
                <w:rFonts w:asciiTheme="minorHAnsi" w:hAnsiTheme="minorHAnsi" w:cs="Arial"/>
                <w:sz w:val="18"/>
                <w:szCs w:val="18"/>
              </w:rPr>
              <w:t xml:space="preserve">, menstruation </w:t>
            </w:r>
            <w:proofErr w:type="spellStart"/>
            <w:r w:rsidRPr="00B90F07">
              <w:rPr>
                <w:rFonts w:asciiTheme="minorHAnsi" w:hAnsiTheme="minorHAnsi" w:cs="Arial"/>
                <w:sz w:val="18"/>
                <w:szCs w:val="18"/>
              </w:rPr>
              <w:t>irregular</w:t>
            </w:r>
            <w:r w:rsidRPr="00B90F07">
              <w:rPr>
                <w:rFonts w:asciiTheme="minorHAnsi" w:hAnsiTheme="minorHAnsi" w:cs="Arial"/>
                <w:sz w:val="18"/>
                <w:szCs w:val="18"/>
                <w:vertAlign w:val="superscript"/>
              </w:rPr>
              <w:t>c</w:t>
            </w:r>
            <w:proofErr w:type="spellEnd"/>
          </w:p>
          <w:p w14:paraId="5CADB5D7" w14:textId="77777777" w:rsidR="00557C61" w:rsidRPr="00B90F07" w:rsidRDefault="00557C61" w:rsidP="005362D8">
            <w:pPr>
              <w:pStyle w:val="Text"/>
              <w:rPr>
                <w:rFonts w:asciiTheme="minorHAnsi" w:hAnsiTheme="minorHAnsi" w:cs="Arial"/>
                <w:sz w:val="18"/>
                <w:szCs w:val="18"/>
                <w:vertAlign w:val="superscript"/>
              </w:rPr>
            </w:pPr>
            <w:r w:rsidRPr="00B90F07">
              <w:rPr>
                <w:rFonts w:asciiTheme="minorHAnsi" w:hAnsiTheme="minorHAnsi" w:cs="Arial"/>
                <w:sz w:val="18"/>
                <w:szCs w:val="18"/>
              </w:rPr>
              <w:t>Menorrhagia, ovarian cyst, vaginal haemorrhage</w:t>
            </w:r>
          </w:p>
          <w:p w14:paraId="0F25D0C6"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sz w:val="18"/>
                <w:szCs w:val="18"/>
              </w:rPr>
              <w:t xml:space="preserve">Menstruation </w:t>
            </w:r>
            <w:proofErr w:type="spellStart"/>
            <w:r w:rsidRPr="00B90F07">
              <w:rPr>
                <w:rFonts w:asciiTheme="minorHAnsi" w:hAnsiTheme="minorHAnsi" w:cs="Arial"/>
                <w:sz w:val="18"/>
                <w:szCs w:val="18"/>
              </w:rPr>
              <w:t>delayed</w:t>
            </w:r>
            <w:r w:rsidRPr="00B90F07">
              <w:rPr>
                <w:rFonts w:asciiTheme="minorHAnsi" w:hAnsiTheme="minorHAnsi" w:cs="Arial"/>
                <w:sz w:val="18"/>
                <w:szCs w:val="18"/>
                <w:vertAlign w:val="superscript"/>
              </w:rPr>
              <w:t>c</w:t>
            </w:r>
            <w:proofErr w:type="spellEnd"/>
          </w:p>
        </w:tc>
      </w:tr>
      <w:tr w:rsidR="00557C61" w:rsidRPr="00B90F07" w14:paraId="04885473"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45D7D80D"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General disorders and administration site conditions</w:t>
            </w:r>
          </w:p>
        </w:tc>
      </w:tr>
      <w:tr w:rsidR="00557C61" w:rsidRPr="00B90F07" w14:paraId="60497D79" w14:textId="77777777" w:rsidTr="005362D8">
        <w:trPr>
          <w:gridAfter w:val="1"/>
          <w:wAfter w:w="6" w:type="dxa"/>
        </w:trPr>
        <w:tc>
          <w:tcPr>
            <w:tcW w:w="1727" w:type="dxa"/>
            <w:gridSpan w:val="2"/>
            <w:tcBorders>
              <w:top w:val="nil"/>
              <w:left w:val="single" w:sz="4" w:space="0" w:color="auto"/>
              <w:bottom w:val="nil"/>
              <w:right w:val="nil"/>
            </w:tcBorders>
            <w:hideMark/>
          </w:tcPr>
          <w:p w14:paraId="7D1C7E90"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Very common</w:t>
            </w:r>
          </w:p>
        </w:tc>
        <w:tc>
          <w:tcPr>
            <w:tcW w:w="7012" w:type="dxa"/>
            <w:tcBorders>
              <w:top w:val="nil"/>
              <w:left w:val="nil"/>
              <w:bottom w:val="nil"/>
              <w:right w:val="single" w:sz="4" w:space="0" w:color="auto"/>
            </w:tcBorders>
            <w:hideMark/>
          </w:tcPr>
          <w:p w14:paraId="493062C2"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sz w:val="18"/>
                <w:szCs w:val="18"/>
              </w:rPr>
              <w:t>Pyrexia, fatigue</w:t>
            </w:r>
          </w:p>
        </w:tc>
      </w:tr>
      <w:tr w:rsidR="00557C61" w:rsidRPr="00B90F07" w14:paraId="2EB30060" w14:textId="77777777" w:rsidTr="005362D8">
        <w:trPr>
          <w:gridAfter w:val="1"/>
          <w:wAfter w:w="6" w:type="dxa"/>
        </w:trPr>
        <w:tc>
          <w:tcPr>
            <w:tcW w:w="8739" w:type="dxa"/>
            <w:gridSpan w:val="3"/>
            <w:tcBorders>
              <w:top w:val="single" w:sz="4" w:space="0" w:color="auto"/>
              <w:left w:val="single" w:sz="4" w:space="0" w:color="auto"/>
              <w:bottom w:val="nil"/>
              <w:right w:val="single" w:sz="4" w:space="0" w:color="auto"/>
            </w:tcBorders>
            <w:hideMark/>
          </w:tcPr>
          <w:p w14:paraId="7E5F725B"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
                <w:bCs/>
                <w:sz w:val="18"/>
                <w:szCs w:val="18"/>
              </w:rPr>
              <w:t>Investigations</w:t>
            </w:r>
          </w:p>
        </w:tc>
      </w:tr>
      <w:tr w:rsidR="00557C61" w:rsidRPr="00B90F07" w14:paraId="6B425CEC" w14:textId="77777777" w:rsidTr="005362D8">
        <w:trPr>
          <w:gridAfter w:val="1"/>
          <w:wAfter w:w="6" w:type="dxa"/>
        </w:trPr>
        <w:tc>
          <w:tcPr>
            <w:tcW w:w="1715" w:type="dxa"/>
            <w:tcBorders>
              <w:top w:val="nil"/>
              <w:left w:val="single" w:sz="4" w:space="0" w:color="auto"/>
              <w:bottom w:val="single" w:sz="4" w:space="0" w:color="auto"/>
              <w:right w:val="nil"/>
            </w:tcBorders>
            <w:hideMark/>
          </w:tcPr>
          <w:p w14:paraId="24222B55"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sz w:val="18"/>
                <w:szCs w:val="18"/>
              </w:rPr>
              <w:t>Common</w:t>
            </w:r>
          </w:p>
        </w:tc>
        <w:tc>
          <w:tcPr>
            <w:tcW w:w="7024" w:type="dxa"/>
            <w:gridSpan w:val="2"/>
            <w:tcBorders>
              <w:top w:val="nil"/>
              <w:left w:val="nil"/>
              <w:bottom w:val="single" w:sz="4" w:space="0" w:color="auto"/>
              <w:right w:val="single" w:sz="4" w:space="0" w:color="auto"/>
            </w:tcBorders>
            <w:hideMark/>
          </w:tcPr>
          <w:p w14:paraId="4DE52828"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Blood lactate dehydrogenase increased,</w:t>
            </w:r>
            <w:r w:rsidRPr="00B90F07">
              <w:rPr>
                <w:rFonts w:asciiTheme="minorHAnsi" w:hAnsiTheme="minorHAnsi" w:cs="Arial"/>
                <w:bCs/>
                <w:sz w:val="18"/>
                <w:szCs w:val="18"/>
                <w:lang w:val="en-US"/>
              </w:rPr>
              <w:t xml:space="preserve"> </w:t>
            </w:r>
            <w:r w:rsidRPr="00B90F07">
              <w:rPr>
                <w:rFonts w:asciiTheme="minorHAnsi" w:hAnsiTheme="minorHAnsi" w:cs="Arial"/>
                <w:sz w:val="18"/>
                <w:szCs w:val="18"/>
              </w:rPr>
              <w:t xml:space="preserve">blood luteinizing hormone increased </w:t>
            </w:r>
          </w:p>
        </w:tc>
      </w:tr>
      <w:tr w:rsidR="00557C61" w:rsidRPr="00B90F07" w14:paraId="1459EC35" w14:textId="77777777" w:rsidTr="005362D8">
        <w:trPr>
          <w:gridAfter w:val="1"/>
          <w:wAfter w:w="6" w:type="dxa"/>
        </w:trPr>
        <w:tc>
          <w:tcPr>
            <w:tcW w:w="1715" w:type="dxa"/>
            <w:tcBorders>
              <w:top w:val="nil"/>
              <w:left w:val="single" w:sz="4" w:space="0" w:color="auto"/>
              <w:bottom w:val="single" w:sz="4" w:space="0" w:color="auto"/>
              <w:right w:val="nil"/>
            </w:tcBorders>
            <w:hideMark/>
          </w:tcPr>
          <w:p w14:paraId="6BF3B421"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sz w:val="18"/>
                <w:szCs w:val="18"/>
              </w:rPr>
              <w:t>Uncommon</w:t>
            </w:r>
          </w:p>
        </w:tc>
        <w:tc>
          <w:tcPr>
            <w:tcW w:w="7024" w:type="dxa"/>
            <w:gridSpan w:val="2"/>
            <w:tcBorders>
              <w:top w:val="nil"/>
              <w:left w:val="nil"/>
              <w:bottom w:val="single" w:sz="4" w:space="0" w:color="auto"/>
              <w:right w:val="single" w:sz="4" w:space="0" w:color="auto"/>
            </w:tcBorders>
            <w:hideMark/>
          </w:tcPr>
          <w:p w14:paraId="7F52537D" w14:textId="77777777" w:rsidR="00557C61" w:rsidRPr="00B90F07" w:rsidRDefault="00557C61" w:rsidP="005362D8">
            <w:pPr>
              <w:pStyle w:val="Text"/>
              <w:rPr>
                <w:rFonts w:asciiTheme="minorHAnsi" w:hAnsiTheme="minorHAnsi" w:cs="Arial"/>
                <w:sz w:val="18"/>
                <w:szCs w:val="18"/>
                <w:lang w:eastAsia="ja-JP"/>
              </w:rPr>
            </w:pPr>
            <w:r w:rsidRPr="00B90F07">
              <w:rPr>
                <w:rFonts w:asciiTheme="minorHAnsi" w:hAnsiTheme="minorHAnsi" w:cs="Arial"/>
                <w:bCs/>
                <w:sz w:val="18"/>
                <w:szCs w:val="18"/>
              </w:rPr>
              <w:t>Blood follicle stimulating hormone increased</w:t>
            </w:r>
          </w:p>
        </w:tc>
      </w:tr>
      <w:tr w:rsidR="00557C61" w:rsidRPr="00B90F07" w14:paraId="15BB7B63" w14:textId="77777777" w:rsidTr="005362D8">
        <w:trPr>
          <w:gridAfter w:val="1"/>
          <w:wAfter w:w="6" w:type="dxa"/>
        </w:trPr>
        <w:tc>
          <w:tcPr>
            <w:tcW w:w="8739" w:type="dxa"/>
            <w:gridSpan w:val="3"/>
            <w:tcBorders>
              <w:top w:val="single" w:sz="4" w:space="0" w:color="auto"/>
              <w:left w:val="single" w:sz="4" w:space="0" w:color="auto"/>
              <w:bottom w:val="single" w:sz="4" w:space="0" w:color="auto"/>
              <w:right w:val="single" w:sz="4" w:space="0" w:color="auto"/>
            </w:tcBorders>
            <w:hideMark/>
          </w:tcPr>
          <w:p w14:paraId="58C7623A" w14:textId="77777777" w:rsidR="00557C61" w:rsidRPr="00B90F07" w:rsidRDefault="00557C61" w:rsidP="005362D8">
            <w:pPr>
              <w:pStyle w:val="Text"/>
              <w:rPr>
                <w:rFonts w:asciiTheme="minorHAnsi" w:eastAsia="MS Mincho" w:hAnsiTheme="minorHAnsi" w:cs="Arial"/>
                <w:i/>
                <w:sz w:val="16"/>
                <w:szCs w:val="16"/>
                <w:lang w:eastAsia="ja-JP"/>
              </w:rPr>
            </w:pPr>
            <w:proofErr w:type="spellStart"/>
            <w:r w:rsidRPr="00B90F07">
              <w:rPr>
                <w:rFonts w:asciiTheme="minorHAnsi" w:hAnsiTheme="minorHAnsi" w:cs="Arial"/>
                <w:i/>
                <w:sz w:val="16"/>
                <w:szCs w:val="16"/>
                <w:vertAlign w:val="superscript"/>
              </w:rPr>
              <w:t>a</w:t>
            </w:r>
            <w:r w:rsidRPr="00B90F07">
              <w:rPr>
                <w:rFonts w:asciiTheme="minorHAnsi" w:hAnsiTheme="minorHAnsi" w:cs="Arial"/>
                <w:i/>
                <w:sz w:val="16"/>
                <w:szCs w:val="16"/>
              </w:rPr>
              <w:t>Includes</w:t>
            </w:r>
            <w:proofErr w:type="spellEnd"/>
            <w:r w:rsidRPr="00B90F07">
              <w:rPr>
                <w:rFonts w:asciiTheme="minorHAnsi" w:hAnsiTheme="minorHAnsi" w:cs="Arial"/>
                <w:i/>
                <w:sz w:val="16"/>
                <w:szCs w:val="16"/>
              </w:rPr>
              <w:t xml:space="preserve"> very common: stomatitis,  mouth ulceration, </w:t>
            </w:r>
            <w:proofErr w:type="spellStart"/>
            <w:r w:rsidRPr="00B90F07">
              <w:rPr>
                <w:rFonts w:asciiTheme="minorHAnsi" w:hAnsiTheme="minorHAnsi" w:cs="Arial"/>
                <w:i/>
                <w:sz w:val="16"/>
                <w:szCs w:val="16"/>
              </w:rPr>
              <w:t>aphthous</w:t>
            </w:r>
            <w:proofErr w:type="spellEnd"/>
            <w:r w:rsidRPr="00B90F07">
              <w:rPr>
                <w:rFonts w:asciiTheme="minorHAnsi" w:hAnsiTheme="minorHAnsi" w:cs="Arial"/>
                <w:i/>
                <w:sz w:val="16"/>
                <w:szCs w:val="16"/>
              </w:rPr>
              <w:t xml:space="preserve"> ulcer</w:t>
            </w:r>
            <w:r w:rsidRPr="00B90F07">
              <w:rPr>
                <w:rFonts w:asciiTheme="minorHAnsi" w:hAnsiTheme="minorHAnsi" w:cs="Arial"/>
                <w:i/>
                <w:sz w:val="16"/>
                <w:szCs w:val="16"/>
                <w:lang w:val="en-US"/>
              </w:rPr>
              <w:t>;</w:t>
            </w:r>
            <w:r w:rsidRPr="00B90F07">
              <w:rPr>
                <w:rFonts w:asciiTheme="minorHAnsi" w:hAnsiTheme="minorHAnsi" w:cs="Arial"/>
                <w:i/>
                <w:sz w:val="16"/>
                <w:szCs w:val="16"/>
              </w:rPr>
              <w:t xml:space="preserve"> common: tongue ulceration, lip ulceration; uncommon: gingival pain, glossitis.</w:t>
            </w:r>
          </w:p>
          <w:p w14:paraId="74103504" w14:textId="77777777" w:rsidR="00557C61" w:rsidRPr="00B90F07" w:rsidRDefault="00557C61" w:rsidP="005362D8">
            <w:pPr>
              <w:pStyle w:val="Text"/>
              <w:rPr>
                <w:rFonts w:asciiTheme="minorHAnsi" w:hAnsiTheme="minorHAnsi" w:cs="Arial"/>
                <w:i/>
                <w:sz w:val="16"/>
                <w:szCs w:val="16"/>
              </w:rPr>
            </w:pPr>
            <w:proofErr w:type="spellStart"/>
            <w:r w:rsidRPr="00B90F07">
              <w:rPr>
                <w:rFonts w:asciiTheme="minorHAnsi" w:hAnsiTheme="minorHAnsi" w:cs="Arial"/>
                <w:i/>
                <w:sz w:val="16"/>
                <w:szCs w:val="16"/>
                <w:vertAlign w:val="superscript"/>
              </w:rPr>
              <w:t>b</w:t>
            </w:r>
            <w:r w:rsidRPr="00B90F07">
              <w:rPr>
                <w:rFonts w:asciiTheme="minorHAnsi" w:hAnsiTheme="minorHAnsi" w:cs="Arial"/>
                <w:i/>
                <w:sz w:val="16"/>
                <w:szCs w:val="16"/>
              </w:rPr>
              <w:t>Includes</w:t>
            </w:r>
            <w:proofErr w:type="spellEnd"/>
            <w:r w:rsidRPr="00B90F07">
              <w:rPr>
                <w:rFonts w:asciiTheme="minorHAnsi" w:hAnsiTheme="minorHAnsi" w:cs="Arial"/>
                <w:i/>
                <w:sz w:val="16"/>
                <w:szCs w:val="16"/>
              </w:rPr>
              <w:t xml:space="preserve"> very common: rash, common: rash erythematous, uncommon:  rash generalized, erythema, rash </w:t>
            </w:r>
            <w:proofErr w:type="spellStart"/>
            <w:r w:rsidRPr="00B90F07">
              <w:rPr>
                <w:rFonts w:asciiTheme="minorHAnsi" w:hAnsiTheme="minorHAnsi" w:cs="Arial"/>
                <w:i/>
                <w:sz w:val="16"/>
                <w:szCs w:val="16"/>
              </w:rPr>
              <w:t>maculo-papular</w:t>
            </w:r>
            <w:proofErr w:type="spellEnd"/>
            <w:r w:rsidRPr="00B90F07">
              <w:rPr>
                <w:rFonts w:asciiTheme="minorHAnsi" w:hAnsiTheme="minorHAnsi" w:cs="Arial"/>
                <w:i/>
                <w:sz w:val="16"/>
                <w:szCs w:val="16"/>
              </w:rPr>
              <w:t>, rash macular.</w:t>
            </w:r>
          </w:p>
          <w:p w14:paraId="2CCED483" w14:textId="77777777" w:rsidR="00557C61" w:rsidRPr="00B90F07" w:rsidRDefault="00557C61" w:rsidP="005362D8">
            <w:pPr>
              <w:pStyle w:val="Text"/>
              <w:rPr>
                <w:rFonts w:asciiTheme="minorHAnsi" w:hAnsiTheme="minorHAnsi" w:cs="Arial"/>
                <w:sz w:val="18"/>
                <w:szCs w:val="18"/>
                <w:lang w:eastAsia="ja-JP"/>
              </w:rPr>
            </w:pPr>
            <w:proofErr w:type="spellStart"/>
            <w:r w:rsidRPr="00B90F07">
              <w:rPr>
                <w:rFonts w:asciiTheme="minorHAnsi" w:hAnsiTheme="minorHAnsi" w:cs="Arial"/>
                <w:i/>
                <w:sz w:val="16"/>
                <w:szCs w:val="16"/>
                <w:vertAlign w:val="superscript"/>
              </w:rPr>
              <w:t>C</w:t>
            </w:r>
            <w:r w:rsidRPr="00B90F07">
              <w:rPr>
                <w:rFonts w:asciiTheme="minorHAnsi" w:hAnsiTheme="minorHAnsi" w:cs="Arial"/>
                <w:i/>
                <w:sz w:val="16"/>
                <w:szCs w:val="16"/>
              </w:rPr>
              <w:t>frequency</w:t>
            </w:r>
            <w:proofErr w:type="spellEnd"/>
            <w:r w:rsidRPr="00B90F07">
              <w:rPr>
                <w:rFonts w:asciiTheme="minorHAnsi" w:hAnsiTheme="minorHAnsi" w:cs="Arial"/>
                <w:i/>
                <w:sz w:val="16"/>
                <w:szCs w:val="16"/>
              </w:rPr>
              <w:t xml:space="preserve"> is based upon number of women 10 to 55 </w:t>
            </w:r>
            <w:proofErr w:type="spellStart"/>
            <w:r w:rsidRPr="00B90F07">
              <w:rPr>
                <w:rFonts w:asciiTheme="minorHAnsi" w:hAnsiTheme="minorHAnsi" w:cs="Arial"/>
                <w:i/>
                <w:sz w:val="16"/>
                <w:szCs w:val="16"/>
              </w:rPr>
              <w:t>yrs</w:t>
            </w:r>
            <w:proofErr w:type="spellEnd"/>
            <w:r w:rsidRPr="00B90F07">
              <w:rPr>
                <w:rFonts w:asciiTheme="minorHAnsi" w:hAnsiTheme="minorHAnsi" w:cs="Arial"/>
                <w:i/>
                <w:sz w:val="16"/>
                <w:szCs w:val="16"/>
              </w:rPr>
              <w:t xml:space="preserve"> of age </w:t>
            </w:r>
            <w:r w:rsidRPr="00B90F07">
              <w:rPr>
                <w:rFonts w:asciiTheme="minorHAnsi" w:hAnsiTheme="minorHAnsi" w:cs="Arial"/>
                <w:bCs/>
                <w:i/>
                <w:sz w:val="16"/>
                <w:szCs w:val="16"/>
              </w:rPr>
              <w:t>while on treatment</w:t>
            </w:r>
            <w:r w:rsidRPr="00B90F07">
              <w:rPr>
                <w:rFonts w:asciiTheme="minorHAnsi" w:hAnsiTheme="minorHAnsi"/>
                <w:bCs/>
                <w:i/>
                <w:sz w:val="18"/>
                <w:szCs w:val="18"/>
              </w:rPr>
              <w:t xml:space="preserve"> </w:t>
            </w:r>
            <w:r w:rsidRPr="00B90F07">
              <w:rPr>
                <w:rFonts w:asciiTheme="minorHAnsi" w:hAnsiTheme="minorHAnsi" w:cs="Arial"/>
                <w:i/>
                <w:sz w:val="16"/>
                <w:szCs w:val="16"/>
              </w:rPr>
              <w:t>in the safety pool</w:t>
            </w:r>
          </w:p>
        </w:tc>
      </w:tr>
    </w:tbl>
    <w:p w14:paraId="5479379E" w14:textId="77777777" w:rsidR="00557C61" w:rsidRPr="00B90F07" w:rsidRDefault="00557C61" w:rsidP="00557C61">
      <w:pPr>
        <w:rPr>
          <w:sz w:val="24"/>
          <w:lang w:val="en-GB"/>
        </w:rPr>
      </w:pPr>
    </w:p>
    <w:p w14:paraId="49577A25" w14:textId="77777777" w:rsidR="00557C61" w:rsidRPr="00B90F07" w:rsidRDefault="00557C61" w:rsidP="00557C61">
      <w:pPr>
        <w:pStyle w:val="Heading3"/>
        <w:tabs>
          <w:tab w:val="left" w:pos="567"/>
        </w:tabs>
        <w:spacing w:before="0"/>
        <w:ind w:left="0"/>
        <w:rPr>
          <w:rFonts w:asciiTheme="minorHAnsi" w:hAnsiTheme="minorHAnsi"/>
          <w:lang w:val="en-GB"/>
        </w:rPr>
      </w:pPr>
      <w:r w:rsidRPr="00B90F07">
        <w:rPr>
          <w:rFonts w:asciiTheme="minorHAnsi" w:hAnsiTheme="minorHAnsi"/>
          <w:lang w:val="en-GB"/>
        </w:rPr>
        <w:lastRenderedPageBreak/>
        <w:t xml:space="preserve">Clinically relevant laboratory abnormalities </w:t>
      </w:r>
    </w:p>
    <w:p w14:paraId="3BF5BDCD" w14:textId="77777777" w:rsidR="00557C61" w:rsidRPr="004E63E9" w:rsidRDefault="00557C61" w:rsidP="00557C61">
      <w:pPr>
        <w:pStyle w:val="Text"/>
        <w:spacing w:line="276" w:lineRule="auto"/>
        <w:rPr>
          <w:rFonts w:asciiTheme="minorHAnsi" w:hAnsiTheme="minorHAnsi"/>
          <w:sz w:val="22"/>
        </w:rPr>
      </w:pPr>
      <w:r w:rsidRPr="004E63E9">
        <w:rPr>
          <w:rFonts w:asciiTheme="minorHAnsi" w:hAnsiTheme="minorHAnsi"/>
          <w:sz w:val="22"/>
        </w:rPr>
        <w:t>In the pooled TSC safety database the following new or worsening clinically relevant laboratory abnormalities reported with an incidence of ≥ 1/10 (very common, listed in decreasing frequency):</w:t>
      </w:r>
    </w:p>
    <w:p w14:paraId="5D7F2B93" w14:textId="77777777" w:rsidR="00557C61" w:rsidRPr="004E63E9" w:rsidRDefault="00557C61" w:rsidP="00557C61">
      <w:pPr>
        <w:pStyle w:val="Listlevel1"/>
        <w:numPr>
          <w:ilvl w:val="0"/>
          <w:numId w:val="30"/>
        </w:numPr>
        <w:spacing w:line="276" w:lineRule="auto"/>
        <w:rPr>
          <w:rFonts w:asciiTheme="minorHAnsi" w:hAnsiTheme="minorHAnsi"/>
          <w:sz w:val="22"/>
        </w:rPr>
      </w:pPr>
      <w:r w:rsidRPr="004E63E9">
        <w:rPr>
          <w:rFonts w:asciiTheme="minorHAnsi" w:hAnsiTheme="minorHAnsi"/>
          <w:sz w:val="22"/>
        </w:rPr>
        <w:t>Hematology: p</w:t>
      </w:r>
      <w:proofErr w:type="spellStart"/>
      <w:r w:rsidRPr="004E63E9">
        <w:rPr>
          <w:rFonts w:asciiTheme="minorHAnsi" w:hAnsiTheme="minorHAnsi"/>
          <w:sz w:val="22"/>
          <w:lang w:val="en-GB"/>
        </w:rPr>
        <w:t>artial</w:t>
      </w:r>
      <w:proofErr w:type="spellEnd"/>
      <w:r w:rsidRPr="004E63E9">
        <w:rPr>
          <w:rFonts w:asciiTheme="minorHAnsi" w:hAnsiTheme="minorHAnsi"/>
          <w:sz w:val="22"/>
          <w:lang w:val="en-GB"/>
        </w:rPr>
        <w:t xml:space="preserve"> thromboplastin time increased</w:t>
      </w:r>
      <w:r w:rsidRPr="004E63E9">
        <w:rPr>
          <w:rFonts w:asciiTheme="minorHAnsi" w:hAnsiTheme="minorHAnsi"/>
          <w:sz w:val="22"/>
        </w:rPr>
        <w:t>, neutrophils decreased, hemoglobin decreased, white blood cells decreased, platelet count decreased, and lymphocytes decreased.</w:t>
      </w:r>
    </w:p>
    <w:p w14:paraId="72B798E4" w14:textId="77777777" w:rsidR="00557C61" w:rsidRPr="004E63E9" w:rsidRDefault="00557C61" w:rsidP="00557C61">
      <w:pPr>
        <w:pStyle w:val="Listlevel1"/>
        <w:numPr>
          <w:ilvl w:val="0"/>
          <w:numId w:val="30"/>
        </w:numPr>
        <w:spacing w:line="276" w:lineRule="auto"/>
        <w:rPr>
          <w:rFonts w:asciiTheme="minorHAnsi" w:hAnsiTheme="minorHAnsi"/>
          <w:sz w:val="22"/>
          <w:lang w:val="x-none"/>
        </w:rPr>
      </w:pPr>
      <w:r w:rsidRPr="004E63E9">
        <w:rPr>
          <w:rFonts w:asciiTheme="minorHAnsi" w:hAnsiTheme="minorHAnsi"/>
          <w:sz w:val="22"/>
        </w:rPr>
        <w:t xml:space="preserve">Clinical chemistry: cholesterol increased, triglycerides increased, AST increased, ALT increased, </w:t>
      </w:r>
      <w:r w:rsidRPr="004E63E9">
        <w:rPr>
          <w:rFonts w:asciiTheme="minorHAnsi" w:hAnsiTheme="minorHAnsi"/>
          <w:sz w:val="22"/>
          <w:lang w:val="en-GB"/>
        </w:rPr>
        <w:t xml:space="preserve">phosphate decreased, </w:t>
      </w:r>
      <w:r w:rsidRPr="004E63E9">
        <w:rPr>
          <w:rFonts w:asciiTheme="minorHAnsi" w:hAnsiTheme="minorHAnsi"/>
          <w:sz w:val="22"/>
        </w:rPr>
        <w:t xml:space="preserve">alkaline phosphatase increased and </w:t>
      </w:r>
      <w:r w:rsidRPr="004E63E9">
        <w:rPr>
          <w:rFonts w:asciiTheme="minorHAnsi" w:hAnsiTheme="minorHAnsi"/>
          <w:sz w:val="22"/>
          <w:lang w:val="en-GB"/>
        </w:rPr>
        <w:t>glucose (fasting) increased.</w:t>
      </w:r>
    </w:p>
    <w:p w14:paraId="087151A7" w14:textId="77777777" w:rsidR="00557C61" w:rsidRPr="004E63E9" w:rsidRDefault="00557C61" w:rsidP="00557C61">
      <w:pPr>
        <w:pStyle w:val="Text"/>
        <w:spacing w:line="276" w:lineRule="auto"/>
        <w:rPr>
          <w:rFonts w:asciiTheme="minorHAnsi" w:hAnsiTheme="minorHAnsi"/>
          <w:sz w:val="22"/>
        </w:rPr>
      </w:pPr>
      <w:r w:rsidRPr="004E63E9">
        <w:rPr>
          <w:rFonts w:asciiTheme="minorHAnsi" w:hAnsiTheme="minorHAnsi"/>
          <w:sz w:val="22"/>
        </w:rPr>
        <w:t xml:space="preserve">Most of the laboratory abnormalities were mild (grade 1) or moderate (grade 2). Grade 3/4 </w:t>
      </w:r>
      <w:proofErr w:type="spellStart"/>
      <w:r w:rsidRPr="004E63E9">
        <w:rPr>
          <w:rFonts w:asciiTheme="minorHAnsi" w:hAnsiTheme="minorHAnsi"/>
          <w:sz w:val="22"/>
        </w:rPr>
        <w:t>hematology</w:t>
      </w:r>
      <w:proofErr w:type="spellEnd"/>
      <w:r w:rsidRPr="004E63E9">
        <w:rPr>
          <w:rFonts w:asciiTheme="minorHAnsi" w:hAnsiTheme="minorHAnsi"/>
          <w:sz w:val="22"/>
        </w:rPr>
        <w:t xml:space="preserve"> and chemistry abnormalities included:</w:t>
      </w:r>
    </w:p>
    <w:p w14:paraId="7E5619A7" w14:textId="77777777" w:rsidR="00557C61" w:rsidRPr="004E63E9" w:rsidRDefault="00557C61" w:rsidP="00557C61">
      <w:pPr>
        <w:pStyle w:val="Listlevel1"/>
        <w:numPr>
          <w:ilvl w:val="0"/>
          <w:numId w:val="31"/>
        </w:numPr>
        <w:spacing w:line="276" w:lineRule="auto"/>
        <w:rPr>
          <w:rFonts w:asciiTheme="minorHAnsi" w:hAnsiTheme="minorHAnsi"/>
          <w:sz w:val="22"/>
          <w:lang w:val="x-none"/>
        </w:rPr>
      </w:pPr>
      <w:r w:rsidRPr="004E63E9">
        <w:rPr>
          <w:rFonts w:asciiTheme="minorHAnsi" w:hAnsiTheme="minorHAnsi"/>
          <w:sz w:val="22"/>
        </w:rPr>
        <w:t>Hematology: neutrophils decreased, p</w:t>
      </w:r>
      <w:proofErr w:type="spellStart"/>
      <w:r w:rsidRPr="004E63E9">
        <w:rPr>
          <w:rFonts w:asciiTheme="minorHAnsi" w:hAnsiTheme="minorHAnsi"/>
          <w:sz w:val="22"/>
          <w:lang w:val="en-GB"/>
        </w:rPr>
        <w:t>artial</w:t>
      </w:r>
      <w:proofErr w:type="spellEnd"/>
      <w:r w:rsidRPr="004E63E9">
        <w:rPr>
          <w:rFonts w:asciiTheme="minorHAnsi" w:hAnsiTheme="minorHAnsi"/>
          <w:sz w:val="22"/>
          <w:lang w:val="en-GB"/>
        </w:rPr>
        <w:t xml:space="preserve"> thromboplastin time increased,</w:t>
      </w:r>
      <w:r w:rsidRPr="004E63E9">
        <w:rPr>
          <w:rFonts w:asciiTheme="minorHAnsi" w:hAnsiTheme="minorHAnsi"/>
          <w:sz w:val="22"/>
        </w:rPr>
        <w:t xml:space="preserve"> hemoglobin decreased, (common); lymphocytes decreased, platelet count decreased and white blood cells decreased (uncommon).</w:t>
      </w:r>
    </w:p>
    <w:p w14:paraId="48231F64" w14:textId="77777777" w:rsidR="00557C61" w:rsidRPr="004E63E9" w:rsidRDefault="00557C61" w:rsidP="00557C61">
      <w:pPr>
        <w:pStyle w:val="Listlevel1"/>
        <w:numPr>
          <w:ilvl w:val="0"/>
          <w:numId w:val="31"/>
        </w:numPr>
        <w:spacing w:line="276" w:lineRule="auto"/>
        <w:rPr>
          <w:rFonts w:asciiTheme="minorHAnsi" w:hAnsiTheme="minorHAnsi"/>
          <w:sz w:val="22"/>
        </w:rPr>
      </w:pPr>
      <w:r w:rsidRPr="004E63E9">
        <w:rPr>
          <w:rFonts w:asciiTheme="minorHAnsi" w:hAnsiTheme="minorHAnsi"/>
          <w:sz w:val="22"/>
        </w:rPr>
        <w:t xml:space="preserve">Clinical chemistry: </w:t>
      </w:r>
      <w:r w:rsidRPr="004E63E9">
        <w:rPr>
          <w:rFonts w:asciiTheme="minorHAnsi" w:hAnsiTheme="minorHAnsi"/>
          <w:sz w:val="22"/>
          <w:lang w:val="en-GB"/>
        </w:rPr>
        <w:t xml:space="preserve">phosphate decreased, </w:t>
      </w:r>
      <w:r w:rsidRPr="004E63E9">
        <w:rPr>
          <w:rFonts w:asciiTheme="minorHAnsi" w:hAnsiTheme="minorHAnsi"/>
          <w:sz w:val="22"/>
        </w:rPr>
        <w:t xml:space="preserve">triglycerides increased, alkaline phosphatase increased (common); cholesterol increased, AST increased, ALT increased and glucose (fasting) increased (uncommon). </w:t>
      </w:r>
    </w:p>
    <w:p w14:paraId="4A4D4291" w14:textId="77777777" w:rsidR="00557C61" w:rsidRPr="00B90F07" w:rsidRDefault="00557C61" w:rsidP="00557C61">
      <w:pPr>
        <w:pStyle w:val="Heading3"/>
        <w:tabs>
          <w:tab w:val="left" w:pos="567"/>
        </w:tabs>
        <w:spacing w:before="0" w:after="240"/>
        <w:ind w:left="0"/>
        <w:rPr>
          <w:rFonts w:asciiTheme="minorHAnsi" w:hAnsiTheme="minorHAnsi"/>
          <w:lang w:val="en-GB"/>
        </w:rPr>
      </w:pPr>
      <w:r w:rsidRPr="00B90F07">
        <w:rPr>
          <w:rFonts w:asciiTheme="minorHAnsi" w:hAnsiTheme="minorHAnsi"/>
          <w:lang w:val="en-GB"/>
        </w:rPr>
        <w:t>Adverse Reactions of special interest</w:t>
      </w:r>
    </w:p>
    <w:p w14:paraId="10FF8C45" w14:textId="58B16CC5" w:rsidR="00557C61" w:rsidRPr="00B90F07" w:rsidRDefault="00557C61" w:rsidP="00557C61">
      <w:pPr>
        <w:rPr>
          <w:lang w:val="en-GB"/>
        </w:rPr>
      </w:pPr>
      <w:r w:rsidRPr="00B90F07">
        <w:rPr>
          <w:lang w:val="en-GB"/>
        </w:rPr>
        <w:t xml:space="preserve">In clinical trials and post-marketing spontaneous reports, </w:t>
      </w:r>
      <w:proofErr w:type="spellStart"/>
      <w:r w:rsidRPr="00B90F07">
        <w:rPr>
          <w:lang w:val="en-GB"/>
        </w:rPr>
        <w:t>everolimus</w:t>
      </w:r>
      <w:proofErr w:type="spellEnd"/>
      <w:r w:rsidRPr="00B90F07">
        <w:rPr>
          <w:lang w:val="en-GB"/>
        </w:rPr>
        <w:t xml:space="preserve"> has been associated with serious cases of hepatitis B reactivation, including fatal outcome. Reactivation of infections is an expected event during periods of immunosuppression (see </w:t>
      </w:r>
      <w:r>
        <w:rPr>
          <w:lang w:val="en-GB"/>
        </w:rPr>
        <w:t>section 4.2 ‘Special warnings and precautions for use’</w:t>
      </w:r>
      <w:r w:rsidRPr="00B90F07">
        <w:rPr>
          <w:lang w:val="en-GB"/>
        </w:rPr>
        <w:t>).</w:t>
      </w:r>
    </w:p>
    <w:p w14:paraId="36B4F381" w14:textId="29A6A333" w:rsidR="00557C61" w:rsidRPr="00B90F07" w:rsidRDefault="00557C61" w:rsidP="00557C61">
      <w:pPr>
        <w:rPr>
          <w:lang w:val="en-GB"/>
        </w:rPr>
      </w:pPr>
      <w:r w:rsidRPr="00B90F07">
        <w:rPr>
          <w:lang w:val="en-GB"/>
        </w:rPr>
        <w:t xml:space="preserve">In clinical trials and post-marketing spontaneous reports, </w:t>
      </w:r>
      <w:proofErr w:type="spellStart"/>
      <w:r w:rsidRPr="00B90F07">
        <w:rPr>
          <w:lang w:val="en-GB"/>
        </w:rPr>
        <w:t>everolimus</w:t>
      </w:r>
      <w:proofErr w:type="spellEnd"/>
      <w:r w:rsidRPr="00B90F07">
        <w:rPr>
          <w:lang w:val="en-GB"/>
        </w:rPr>
        <w:t xml:space="preserve"> has been associated with renal failure events (including fatal outcome) and proteinuria. Monitoring of renal function is recommended (see </w:t>
      </w:r>
      <w:r>
        <w:rPr>
          <w:lang w:val="en-GB"/>
        </w:rPr>
        <w:t>section 4.2 ‘Special warnings and precautions for use’</w:t>
      </w:r>
      <w:r w:rsidRPr="00B90F07">
        <w:rPr>
          <w:lang w:val="en-GB"/>
        </w:rPr>
        <w:t>).</w:t>
      </w:r>
    </w:p>
    <w:p w14:paraId="56EE7DCB" w14:textId="77777777" w:rsidR="00557C61" w:rsidRPr="00B90F07" w:rsidRDefault="00557C61" w:rsidP="00557C61">
      <w:pPr>
        <w:rPr>
          <w:lang w:val="en-GB"/>
        </w:rPr>
      </w:pPr>
      <w:r w:rsidRPr="00B90F07">
        <w:rPr>
          <w:lang w:val="en-GB"/>
        </w:rPr>
        <w:t xml:space="preserve">In clinical trials and post-marketing spontaneous reports, </w:t>
      </w:r>
      <w:proofErr w:type="spellStart"/>
      <w:r w:rsidRPr="00B90F07">
        <w:rPr>
          <w:lang w:val="en-GB"/>
        </w:rPr>
        <w:t>everolimus</w:t>
      </w:r>
      <w:proofErr w:type="spellEnd"/>
      <w:r w:rsidRPr="00B90F07">
        <w:rPr>
          <w:lang w:val="en-GB"/>
        </w:rPr>
        <w:t xml:space="preserve"> has been associated with cases of amenorrhea (including secondary amenorrhea).</w:t>
      </w:r>
    </w:p>
    <w:p w14:paraId="165CBE19" w14:textId="78CFA900" w:rsidR="00557C61" w:rsidRPr="00B90F07" w:rsidRDefault="00557C61" w:rsidP="00557C61">
      <w:pPr>
        <w:rPr>
          <w:bCs/>
          <w:szCs w:val="24"/>
        </w:rPr>
      </w:pPr>
      <w:r w:rsidRPr="00B90F07">
        <w:rPr>
          <w:szCs w:val="24"/>
        </w:rPr>
        <w:t xml:space="preserve">In clinical trials and post-marketing spontaneous reports, </w:t>
      </w:r>
      <w:proofErr w:type="spellStart"/>
      <w:r w:rsidRPr="00B90F07">
        <w:rPr>
          <w:szCs w:val="24"/>
        </w:rPr>
        <w:t>everolimus</w:t>
      </w:r>
      <w:proofErr w:type="spellEnd"/>
      <w:r w:rsidRPr="00B90F07">
        <w:rPr>
          <w:szCs w:val="24"/>
        </w:rPr>
        <w:t xml:space="preserve"> has been associated with </w:t>
      </w:r>
      <w:r w:rsidRPr="00B90F07">
        <w:rPr>
          <w:i/>
          <w:szCs w:val="24"/>
        </w:rPr>
        <w:t xml:space="preserve">pneumocystis </w:t>
      </w:r>
      <w:proofErr w:type="spellStart"/>
      <w:r w:rsidRPr="00B90F07">
        <w:rPr>
          <w:i/>
          <w:szCs w:val="24"/>
        </w:rPr>
        <w:t>jirovecii</w:t>
      </w:r>
      <w:proofErr w:type="spellEnd"/>
      <w:r w:rsidRPr="00B90F07">
        <w:rPr>
          <w:i/>
          <w:szCs w:val="24"/>
        </w:rPr>
        <w:t xml:space="preserve"> pneumonia</w:t>
      </w:r>
      <w:r w:rsidRPr="00B90F07">
        <w:rPr>
          <w:szCs w:val="24"/>
        </w:rPr>
        <w:t xml:space="preserve"> (PJP), </w:t>
      </w:r>
      <w:r w:rsidRPr="00B90F07">
        <w:rPr>
          <w:bCs/>
          <w:szCs w:val="24"/>
        </w:rPr>
        <w:t xml:space="preserve">some with fatal outcome </w:t>
      </w:r>
      <w:r w:rsidRPr="00AA1E37">
        <w:rPr>
          <w:lang w:val="en-GB"/>
        </w:rPr>
        <w:t xml:space="preserve">(see </w:t>
      </w:r>
      <w:r>
        <w:rPr>
          <w:lang w:val="en-GB"/>
        </w:rPr>
        <w:t>section 4.2 ‘</w:t>
      </w:r>
      <w:proofErr w:type="spellStart"/>
      <w:r>
        <w:rPr>
          <w:lang w:val="en-GB"/>
        </w:rPr>
        <w:t>Speacial</w:t>
      </w:r>
      <w:proofErr w:type="spellEnd"/>
      <w:r>
        <w:rPr>
          <w:lang w:val="en-GB"/>
        </w:rPr>
        <w:t xml:space="preserve"> warnings and precautions for use’</w:t>
      </w:r>
      <w:r w:rsidRPr="00AA1E37">
        <w:rPr>
          <w:lang w:val="en-GB"/>
        </w:rPr>
        <w:t>).</w:t>
      </w:r>
    </w:p>
    <w:p w14:paraId="7EF58764" w14:textId="51935E29" w:rsidR="00557C61" w:rsidRPr="00B90F07" w:rsidRDefault="00557C61" w:rsidP="00557C61">
      <w:pPr>
        <w:rPr>
          <w:szCs w:val="24"/>
          <w:lang w:val="en-GB"/>
        </w:rPr>
      </w:pPr>
      <w:r w:rsidRPr="00B90F07">
        <w:rPr>
          <w:szCs w:val="24"/>
        </w:rPr>
        <w:t xml:space="preserve">In clinical trials and post-marketing spontaneous reports, angioedema has been reported with and without concomitant use of ACE inhibitors </w:t>
      </w:r>
      <w:r w:rsidRPr="00AA1E37">
        <w:rPr>
          <w:lang w:val="en-GB"/>
        </w:rPr>
        <w:t xml:space="preserve">(see </w:t>
      </w:r>
      <w:r>
        <w:rPr>
          <w:lang w:val="en-GB"/>
        </w:rPr>
        <w:t>section 4.2 ‘Special warnings and precautions for use’</w:t>
      </w:r>
      <w:r w:rsidRPr="00AA1E37">
        <w:rPr>
          <w:lang w:val="en-GB"/>
        </w:rPr>
        <w:t>).</w:t>
      </w:r>
    </w:p>
    <w:p w14:paraId="2C57FE04" w14:textId="77777777" w:rsidR="00557C61" w:rsidRPr="00B90F07" w:rsidRDefault="00557C61" w:rsidP="00557C61">
      <w:pPr>
        <w:pStyle w:val="Nottoc-headings"/>
        <w:spacing w:line="276" w:lineRule="auto"/>
        <w:rPr>
          <w:rFonts w:asciiTheme="minorHAnsi" w:hAnsiTheme="minorHAnsi"/>
        </w:rPr>
      </w:pPr>
      <w:r w:rsidRPr="00B90F07">
        <w:rPr>
          <w:rFonts w:asciiTheme="minorHAnsi" w:hAnsiTheme="minorHAnsi"/>
        </w:rPr>
        <w:t xml:space="preserve">Special populations </w:t>
      </w:r>
    </w:p>
    <w:p w14:paraId="46B8AE81" w14:textId="77777777" w:rsidR="00557C61" w:rsidRPr="00164A3B" w:rsidRDefault="00557C61" w:rsidP="00557C61">
      <w:pPr>
        <w:pStyle w:val="Nottoc-headings"/>
        <w:spacing w:line="276" w:lineRule="auto"/>
        <w:rPr>
          <w:rFonts w:asciiTheme="minorHAnsi" w:hAnsiTheme="minorHAnsi"/>
          <w:sz w:val="22"/>
        </w:rPr>
      </w:pPr>
      <w:proofErr w:type="spellStart"/>
      <w:r w:rsidRPr="00164A3B">
        <w:rPr>
          <w:rFonts w:asciiTheme="minorHAnsi" w:hAnsiTheme="minorHAnsi"/>
          <w:sz w:val="22"/>
        </w:rPr>
        <w:t>Paediatrics</w:t>
      </w:r>
      <w:proofErr w:type="spellEnd"/>
    </w:p>
    <w:p w14:paraId="360B568B" w14:textId="77777777" w:rsidR="00557C61" w:rsidRPr="00B90F07" w:rsidRDefault="00557C61" w:rsidP="00557C61">
      <w:pPr>
        <w:rPr>
          <w:lang w:val="en-GB"/>
        </w:rPr>
      </w:pPr>
      <w:r w:rsidRPr="00B90F07">
        <w:rPr>
          <w:lang w:val="en-GB"/>
        </w:rPr>
        <w:t xml:space="preserve">The safety of </w:t>
      </w:r>
      <w:proofErr w:type="spellStart"/>
      <w:r w:rsidRPr="00B90F07">
        <w:rPr>
          <w:lang w:val="en-GB"/>
        </w:rPr>
        <w:t>Afinitor</w:t>
      </w:r>
      <w:proofErr w:type="spellEnd"/>
      <w:r w:rsidRPr="00B90F07">
        <w:rPr>
          <w:lang w:val="en-GB"/>
        </w:rPr>
        <w:t xml:space="preserve"> in paediatric patients with TSC who have SEGA was demonstrated in two clinical trials (EXIST-1 and Study CRAD001C2485) and in paediatric patients with TSC and refractory seizures in one clinical trial (EXIST-3). </w:t>
      </w:r>
    </w:p>
    <w:p w14:paraId="6C03D781" w14:textId="77777777" w:rsidR="00557C61" w:rsidRPr="00B90F07" w:rsidRDefault="00557C61" w:rsidP="00557C61">
      <w:pPr>
        <w:rPr>
          <w:lang w:val="en-GB"/>
        </w:rPr>
      </w:pPr>
      <w:r w:rsidRPr="00B90F07">
        <w:rPr>
          <w:lang w:val="en-GB"/>
        </w:rPr>
        <w:lastRenderedPageBreak/>
        <w:t xml:space="preserve">The overall type, frequency and severity of ADRs across the age groups evaluated were similar, with the exception of infections, which were reported at a higher frequency and severity in patients below the age of 6 years. Two fatal cases due to infection were reported in patients &lt;18 years receiving </w:t>
      </w:r>
      <w:proofErr w:type="spellStart"/>
      <w:r w:rsidRPr="00B90F07">
        <w:rPr>
          <w:lang w:val="en-GB"/>
        </w:rPr>
        <w:t>everolimus</w:t>
      </w:r>
      <w:proofErr w:type="spellEnd"/>
      <w:r w:rsidRPr="00B90F07">
        <w:rPr>
          <w:lang w:val="en-GB"/>
        </w:rPr>
        <w:t xml:space="preserve">. </w:t>
      </w:r>
    </w:p>
    <w:p w14:paraId="6A6F54DD" w14:textId="77777777" w:rsidR="00557C61" w:rsidRPr="00164A3B" w:rsidRDefault="00557C61" w:rsidP="00557C61">
      <w:pPr>
        <w:pStyle w:val="Nottoc-headings"/>
        <w:spacing w:line="276" w:lineRule="auto"/>
        <w:rPr>
          <w:rFonts w:asciiTheme="minorHAnsi" w:hAnsiTheme="minorHAnsi"/>
          <w:sz w:val="22"/>
        </w:rPr>
      </w:pPr>
      <w:r w:rsidRPr="00164A3B">
        <w:rPr>
          <w:rFonts w:asciiTheme="minorHAnsi" w:hAnsiTheme="minorHAnsi"/>
          <w:sz w:val="22"/>
        </w:rPr>
        <w:t xml:space="preserve">Geriatrics </w:t>
      </w:r>
    </w:p>
    <w:p w14:paraId="4C179CCB" w14:textId="77777777" w:rsidR="00557C61" w:rsidRPr="00B90F07" w:rsidRDefault="00557C61" w:rsidP="00557C61">
      <w:pPr>
        <w:rPr>
          <w:lang w:val="en-US"/>
        </w:rPr>
      </w:pPr>
      <w:r w:rsidRPr="00B90F07">
        <w:rPr>
          <w:lang w:val="en-US"/>
        </w:rPr>
        <w:t xml:space="preserve">In the pooled oncology safety database, 37% of the </w:t>
      </w:r>
      <w:proofErr w:type="spellStart"/>
      <w:r w:rsidRPr="00B90F07">
        <w:rPr>
          <w:lang w:val="en-US"/>
        </w:rPr>
        <w:t>Afinitor</w:t>
      </w:r>
      <w:proofErr w:type="spellEnd"/>
      <w:r w:rsidRPr="00B90F07">
        <w:rPr>
          <w:lang w:val="en-US"/>
        </w:rPr>
        <w:t xml:space="preserve">-treated patients were ≥ 65 years of age. </w:t>
      </w:r>
    </w:p>
    <w:p w14:paraId="40E6F0E9" w14:textId="77777777" w:rsidR="00557C61" w:rsidRPr="00B90F07" w:rsidRDefault="00557C61" w:rsidP="00557C61">
      <w:r w:rsidRPr="00B90F07">
        <w:t xml:space="preserve">The number of oncology patients with an </w:t>
      </w:r>
      <w:r w:rsidRPr="00B90F07">
        <w:rPr>
          <w:lang w:val="en-US"/>
        </w:rPr>
        <w:t>ADR</w:t>
      </w:r>
      <w:r w:rsidRPr="00B90F07">
        <w:t xml:space="preserve"> leading to discontinuation </w:t>
      </w:r>
      <w:r w:rsidRPr="00B90F07">
        <w:rPr>
          <w:lang w:val="en-US"/>
        </w:rPr>
        <w:t xml:space="preserve">of </w:t>
      </w:r>
      <w:proofErr w:type="spellStart"/>
      <w:r w:rsidRPr="00B90F07">
        <w:rPr>
          <w:lang w:val="en-US"/>
        </w:rPr>
        <w:t>Afinitor</w:t>
      </w:r>
      <w:proofErr w:type="spellEnd"/>
      <w:r w:rsidRPr="00B90F07">
        <w:rPr>
          <w:lang w:val="en-US"/>
        </w:rPr>
        <w:t xml:space="preserve"> </w:t>
      </w:r>
      <w:r w:rsidRPr="00B90F07">
        <w:t>was higher in patients ≥ 65 years of age (20% vs</w:t>
      </w:r>
      <w:r w:rsidRPr="00B90F07">
        <w:rPr>
          <w:lang w:val="en-US"/>
        </w:rPr>
        <w:t>.</w:t>
      </w:r>
      <w:r w:rsidRPr="00B90F07">
        <w:t xml:space="preserve"> 13%). The most common </w:t>
      </w:r>
      <w:r w:rsidRPr="00B90F07">
        <w:rPr>
          <w:lang w:val="en-US"/>
        </w:rPr>
        <w:t>ADRs</w:t>
      </w:r>
      <w:r w:rsidRPr="00B90F07">
        <w:t xml:space="preserve"> (≥1/100) leading to discontinuation were pneumonitis (including interstitial lung disease), stomatitis, fatigue, and </w:t>
      </w:r>
      <w:proofErr w:type="spellStart"/>
      <w:r w:rsidRPr="00B90F07">
        <w:t>dyspnea</w:t>
      </w:r>
      <w:proofErr w:type="spellEnd"/>
      <w:r w:rsidRPr="00B90F07">
        <w:t>.</w:t>
      </w:r>
    </w:p>
    <w:p w14:paraId="17F440A2" w14:textId="77777777" w:rsidR="001A3992" w:rsidRPr="00497C85" w:rsidRDefault="001A3992" w:rsidP="001A3992">
      <w:pPr>
        <w:pStyle w:val="Heading2"/>
        <w:keepNext/>
        <w:keepLines/>
        <w:spacing w:before="0" w:after="120"/>
        <w:rPr>
          <w:rFonts w:cstheme="minorHAnsi"/>
        </w:rPr>
      </w:pPr>
      <w:r w:rsidRPr="00497C85">
        <w:rPr>
          <w:rFonts w:cstheme="minorHAnsi"/>
        </w:rPr>
        <w:t>Overdose</w:t>
      </w:r>
    </w:p>
    <w:p w14:paraId="106051B5" w14:textId="77777777" w:rsidR="00557C61" w:rsidRPr="002A1CBE" w:rsidRDefault="00557C61" w:rsidP="00557C61">
      <w:pPr>
        <w:rPr>
          <w:lang w:val="en-GB"/>
        </w:rPr>
      </w:pPr>
      <w:r w:rsidRPr="002A1CBE">
        <w:rPr>
          <w:lang w:val="en-GB"/>
        </w:rPr>
        <w:t xml:space="preserve">In animal studies, </w:t>
      </w:r>
      <w:proofErr w:type="spellStart"/>
      <w:r w:rsidRPr="002A1CBE">
        <w:rPr>
          <w:lang w:val="en-GB"/>
        </w:rPr>
        <w:t>everolimus</w:t>
      </w:r>
      <w:proofErr w:type="spellEnd"/>
      <w:r w:rsidRPr="002A1CBE">
        <w:rPr>
          <w:lang w:val="en-GB"/>
        </w:rPr>
        <w:t xml:space="preserve"> showed a low acute toxic potential.  No lethality or severe toxicity was observed in either mice or rats given single oral doses of 2000 mg/kg (limit test).</w:t>
      </w:r>
    </w:p>
    <w:p w14:paraId="5A2B51D6" w14:textId="77777777" w:rsidR="00557C61" w:rsidRPr="002A1CBE" w:rsidRDefault="00557C61" w:rsidP="00557C61">
      <w:pPr>
        <w:rPr>
          <w:lang w:val="en-GB"/>
        </w:rPr>
      </w:pPr>
      <w:r w:rsidRPr="002A1CBE">
        <w:rPr>
          <w:lang w:val="en-GB"/>
        </w:rPr>
        <w:t>Reported experience with overdose in humans is very limited. Single doses of up to 70 mg have been given with acceptable acute tolerability.</w:t>
      </w:r>
    </w:p>
    <w:p w14:paraId="4AEF6AB7" w14:textId="77777777" w:rsidR="00557C61" w:rsidRPr="002A1CBE" w:rsidRDefault="00557C61" w:rsidP="00557C61">
      <w:pPr>
        <w:rPr>
          <w:lang w:val="en-GB"/>
        </w:rPr>
      </w:pPr>
      <w:r w:rsidRPr="002A1CBE">
        <w:rPr>
          <w:lang w:val="en-GB"/>
        </w:rPr>
        <w:t>General supportive measures should be initiated in all cases of overdose.</w:t>
      </w:r>
    </w:p>
    <w:p w14:paraId="5DDDBE81" w14:textId="77777777" w:rsidR="00557C61" w:rsidRDefault="00557C61" w:rsidP="00557C61">
      <w:pPr>
        <w:rPr>
          <w:lang w:val="en-GB"/>
        </w:rPr>
      </w:pPr>
      <w:r w:rsidRPr="002A1CBE">
        <w:rPr>
          <w:lang w:val="en-GB"/>
        </w:rPr>
        <w:t>Contact the Poisons Information Centre on 13 11 26 for advice on management.</w:t>
      </w:r>
    </w:p>
    <w:p w14:paraId="21358217" w14:textId="77777777" w:rsidR="00C874A3" w:rsidRPr="002A1CBE" w:rsidRDefault="00C874A3" w:rsidP="00557C61">
      <w:pPr>
        <w:rPr>
          <w:lang w:val="en-GB"/>
        </w:rPr>
      </w:pPr>
    </w:p>
    <w:p w14:paraId="1EE23468" w14:textId="77777777" w:rsidR="001A3992" w:rsidRPr="00497C85" w:rsidRDefault="001A3992" w:rsidP="001A3992">
      <w:pPr>
        <w:pStyle w:val="Heading1"/>
        <w:spacing w:before="0" w:after="120"/>
        <w:rPr>
          <w:rFonts w:cstheme="minorHAnsi"/>
          <w:lang w:val="en-US"/>
        </w:rPr>
      </w:pPr>
      <w:r w:rsidRPr="00497C85">
        <w:rPr>
          <w:rFonts w:cstheme="minorHAnsi"/>
          <w:lang w:val="en-US"/>
        </w:rPr>
        <w:t>Pharmacological properties</w:t>
      </w:r>
    </w:p>
    <w:p w14:paraId="67012F94" w14:textId="77777777" w:rsidR="001A3992" w:rsidRPr="00497C85" w:rsidRDefault="001A3992" w:rsidP="001A3992">
      <w:pPr>
        <w:pStyle w:val="Heading2"/>
        <w:spacing w:before="0" w:after="120"/>
        <w:rPr>
          <w:rFonts w:cstheme="minorHAnsi"/>
          <w:lang w:val="en-US"/>
        </w:rPr>
      </w:pPr>
      <w:proofErr w:type="spellStart"/>
      <w:r w:rsidRPr="00497C85">
        <w:rPr>
          <w:rFonts w:cstheme="minorHAnsi"/>
          <w:lang w:val="en-US"/>
        </w:rPr>
        <w:t>Pharmacodynamic</w:t>
      </w:r>
      <w:proofErr w:type="spellEnd"/>
      <w:r w:rsidRPr="00497C85">
        <w:rPr>
          <w:rFonts w:cstheme="minorHAnsi"/>
          <w:lang w:val="en-US"/>
        </w:rPr>
        <w:t xml:space="preserve"> properties </w:t>
      </w:r>
    </w:p>
    <w:p w14:paraId="338B2AA4" w14:textId="77777777" w:rsidR="001A3992" w:rsidRDefault="001A3992" w:rsidP="00AA1E37">
      <w:pPr>
        <w:pStyle w:val="Heading3"/>
        <w:spacing w:before="0" w:after="120"/>
        <w:rPr>
          <w:rFonts w:cstheme="minorHAnsi"/>
        </w:rPr>
      </w:pPr>
      <w:r w:rsidRPr="00497C85">
        <w:rPr>
          <w:rFonts w:cstheme="minorHAnsi"/>
        </w:rPr>
        <w:t>Mechanism of action</w:t>
      </w:r>
    </w:p>
    <w:p w14:paraId="7CEFA24D" w14:textId="77777777" w:rsidR="00557C61" w:rsidRPr="00B90F07" w:rsidRDefault="00557C61" w:rsidP="00557C61">
      <w:pPr>
        <w:rPr>
          <w:lang w:val="en-GB"/>
        </w:rPr>
      </w:pPr>
      <w:proofErr w:type="spellStart"/>
      <w:r w:rsidRPr="00B90F07">
        <w:rPr>
          <w:lang w:val="en-GB"/>
        </w:rPr>
        <w:t>Everolimus</w:t>
      </w:r>
      <w:proofErr w:type="spellEnd"/>
      <w:r w:rsidRPr="00B90F07">
        <w:rPr>
          <w:lang w:val="en-GB"/>
        </w:rPr>
        <w:t xml:space="preserve"> is an inhibitor targeting </w:t>
      </w:r>
      <w:proofErr w:type="spellStart"/>
      <w:r w:rsidRPr="00B90F07">
        <w:rPr>
          <w:lang w:val="en-GB"/>
        </w:rPr>
        <w:t>mTOR</w:t>
      </w:r>
      <w:proofErr w:type="spellEnd"/>
      <w:r w:rsidRPr="00B90F07">
        <w:rPr>
          <w:lang w:val="en-GB"/>
        </w:rPr>
        <w:t xml:space="preserve"> (mammalian target of rapamycin), or more specifically, mTORC1 (mammalian 'target of rapamycin' complex 1). </w:t>
      </w:r>
      <w:r w:rsidRPr="00B90F07">
        <w:rPr>
          <w:szCs w:val="24"/>
        </w:rPr>
        <w:t>It exerts its activity through high affinity interaction with the intracellular receptor protein FKBP12. The FKBP12/</w:t>
      </w:r>
      <w:proofErr w:type="spellStart"/>
      <w:r w:rsidRPr="00B90F07">
        <w:rPr>
          <w:szCs w:val="24"/>
        </w:rPr>
        <w:t>everolimus</w:t>
      </w:r>
      <w:proofErr w:type="spellEnd"/>
      <w:r w:rsidRPr="00B90F07">
        <w:rPr>
          <w:szCs w:val="24"/>
        </w:rPr>
        <w:t xml:space="preserve"> complex binds to mTORC1, inhibiting its </w:t>
      </w:r>
      <w:proofErr w:type="spellStart"/>
      <w:r w:rsidRPr="00B90F07">
        <w:rPr>
          <w:szCs w:val="24"/>
        </w:rPr>
        <w:t>signaling</w:t>
      </w:r>
      <w:proofErr w:type="spellEnd"/>
      <w:r w:rsidRPr="00B90F07">
        <w:rPr>
          <w:szCs w:val="24"/>
        </w:rPr>
        <w:t xml:space="preserve"> capacity. </w:t>
      </w:r>
      <w:proofErr w:type="spellStart"/>
      <w:r w:rsidRPr="00B90F07">
        <w:rPr>
          <w:lang w:val="en-GB"/>
        </w:rPr>
        <w:t>mTOR</w:t>
      </w:r>
      <w:proofErr w:type="spellEnd"/>
      <w:r w:rsidRPr="00B90F07">
        <w:rPr>
          <w:lang w:val="en-GB"/>
        </w:rPr>
        <w:t xml:space="preserve"> is a key serine-threonine kinase playing a central role in the regulation of cell growth, proliferation and survival. The regulation of mTORC1 signalling is complex, being modulated by mitogens, growth factors, energy and nutrient availability. mTORC1 is an essential regulator of global protein synthesis downstream on the PI3K/AKT pathway, which is dysregulated in the majority of human cancers as well as genetic diseases such as TSC.  </w:t>
      </w:r>
    </w:p>
    <w:p w14:paraId="1032642E" w14:textId="77777777" w:rsidR="00557C61" w:rsidRPr="00B90F07" w:rsidRDefault="00557C61" w:rsidP="00557C61">
      <w:pPr>
        <w:rPr>
          <w:szCs w:val="24"/>
        </w:rPr>
      </w:pPr>
      <w:r w:rsidRPr="00B90F07">
        <w:rPr>
          <w:szCs w:val="24"/>
        </w:rPr>
        <w:t xml:space="preserve">mTORC1 </w:t>
      </w:r>
      <w:proofErr w:type="spellStart"/>
      <w:r w:rsidRPr="00B90F07">
        <w:rPr>
          <w:szCs w:val="24"/>
        </w:rPr>
        <w:t>signaling</w:t>
      </w:r>
      <w:proofErr w:type="spellEnd"/>
      <w:r w:rsidRPr="00B90F07">
        <w:rPr>
          <w:szCs w:val="24"/>
        </w:rPr>
        <w:t xml:space="preserve"> is effected through modulation of the phosphorylation of downstream effectors, the best characterized of which are the translational regulators S6 ribosomal protein kinase (S6K1) and eukaryotic initiation factor 4E-binding protein (4E-BP). Disruption of S6K1 and 4E-BP1 function, as a consequence of mTORC1 inhibition, interferes with the translation of mRNAs encoding pivotal proteins involved in cell cycle regulation, glycolysis and adaptation to low oxygen conditions (hypoxia). This inhibits </w:t>
      </w:r>
      <w:proofErr w:type="spellStart"/>
      <w:r w:rsidRPr="00B90F07">
        <w:rPr>
          <w:szCs w:val="24"/>
        </w:rPr>
        <w:t>tumor</w:t>
      </w:r>
      <w:proofErr w:type="spellEnd"/>
      <w:r w:rsidRPr="00B90F07">
        <w:rPr>
          <w:szCs w:val="24"/>
        </w:rPr>
        <w:t xml:space="preserve"> growth and expression of hypoxia-inducible factors (e.g. HIF-1 </w:t>
      </w:r>
      <w:r w:rsidRPr="00B90F07">
        <w:rPr>
          <w:szCs w:val="24"/>
        </w:rPr>
        <w:lastRenderedPageBreak/>
        <w:t xml:space="preserve">transcription factors); the latter resulting in reduced expression of factors involved in the potentiation of </w:t>
      </w:r>
      <w:proofErr w:type="spellStart"/>
      <w:r w:rsidRPr="00B90F07">
        <w:rPr>
          <w:szCs w:val="24"/>
        </w:rPr>
        <w:t>tumor</w:t>
      </w:r>
      <w:proofErr w:type="spellEnd"/>
      <w:r w:rsidRPr="00B90F07">
        <w:rPr>
          <w:szCs w:val="24"/>
        </w:rPr>
        <w:t xml:space="preserve"> </w:t>
      </w:r>
      <w:proofErr w:type="spellStart"/>
      <w:r w:rsidRPr="00B90F07">
        <w:rPr>
          <w:szCs w:val="24"/>
        </w:rPr>
        <w:t>angiogenic</w:t>
      </w:r>
      <w:proofErr w:type="spellEnd"/>
      <w:r w:rsidRPr="00B90F07">
        <w:rPr>
          <w:szCs w:val="24"/>
        </w:rPr>
        <w:t xml:space="preserve"> processes (e.g. the vascular endothelial growth factor VEGF) in multiple </w:t>
      </w:r>
      <w:proofErr w:type="spellStart"/>
      <w:r w:rsidRPr="00B90F07">
        <w:rPr>
          <w:szCs w:val="24"/>
        </w:rPr>
        <w:t>tumors</w:t>
      </w:r>
      <w:proofErr w:type="spellEnd"/>
      <w:r w:rsidRPr="00B90F07">
        <w:rPr>
          <w:szCs w:val="24"/>
        </w:rPr>
        <w:t xml:space="preserve"> such as RCC and </w:t>
      </w:r>
      <w:proofErr w:type="spellStart"/>
      <w:r w:rsidRPr="00B90F07">
        <w:rPr>
          <w:szCs w:val="24"/>
        </w:rPr>
        <w:t>angiomyolipoma</w:t>
      </w:r>
      <w:proofErr w:type="spellEnd"/>
      <w:r w:rsidRPr="00B90F07">
        <w:rPr>
          <w:szCs w:val="24"/>
        </w:rPr>
        <w:t xml:space="preserve">). Two primary regulators of mTORC1 </w:t>
      </w:r>
      <w:proofErr w:type="spellStart"/>
      <w:r w:rsidRPr="00B90F07">
        <w:rPr>
          <w:szCs w:val="24"/>
        </w:rPr>
        <w:t>signaling</w:t>
      </w:r>
      <w:proofErr w:type="spellEnd"/>
      <w:r w:rsidRPr="00B90F07">
        <w:rPr>
          <w:szCs w:val="24"/>
        </w:rPr>
        <w:t xml:space="preserve"> are the oncogene suppressors </w:t>
      </w:r>
      <w:proofErr w:type="spellStart"/>
      <w:r w:rsidRPr="00B90F07">
        <w:rPr>
          <w:szCs w:val="24"/>
        </w:rPr>
        <w:t>tuberin</w:t>
      </w:r>
      <w:proofErr w:type="spellEnd"/>
      <w:r w:rsidRPr="00B90F07">
        <w:rPr>
          <w:szCs w:val="24"/>
        </w:rPr>
        <w:t xml:space="preserve">-sclerosis complexes 1 &amp; 2 (TSC1, TSC2). Loss or inactivation of either TSC1 or TSC2 leads to elevated </w:t>
      </w:r>
      <w:proofErr w:type="spellStart"/>
      <w:r w:rsidRPr="00B90F07">
        <w:rPr>
          <w:szCs w:val="24"/>
        </w:rPr>
        <w:t>rheb</w:t>
      </w:r>
      <w:proofErr w:type="spellEnd"/>
      <w:r w:rsidRPr="00B90F07">
        <w:rPr>
          <w:szCs w:val="24"/>
        </w:rPr>
        <w:t xml:space="preserve">-GTP levels, a </w:t>
      </w:r>
      <w:proofErr w:type="spellStart"/>
      <w:r w:rsidRPr="00B90F07">
        <w:rPr>
          <w:szCs w:val="24"/>
        </w:rPr>
        <w:t>ras</w:t>
      </w:r>
      <w:proofErr w:type="spellEnd"/>
      <w:r w:rsidRPr="00B90F07">
        <w:rPr>
          <w:szCs w:val="24"/>
        </w:rPr>
        <w:t xml:space="preserve"> family </w:t>
      </w:r>
      <w:proofErr w:type="spellStart"/>
      <w:r w:rsidRPr="00B90F07">
        <w:rPr>
          <w:szCs w:val="24"/>
        </w:rPr>
        <w:t>GTPase</w:t>
      </w:r>
      <w:proofErr w:type="spellEnd"/>
      <w:r w:rsidRPr="00B90F07">
        <w:rPr>
          <w:szCs w:val="24"/>
        </w:rPr>
        <w:t xml:space="preserve">, which interacts with the mTORC1 complex to cause its activation. mTORC1 activation leads to a downstream kinase </w:t>
      </w:r>
      <w:proofErr w:type="spellStart"/>
      <w:r w:rsidRPr="00B90F07">
        <w:rPr>
          <w:szCs w:val="24"/>
        </w:rPr>
        <w:t>signaling</w:t>
      </w:r>
      <w:proofErr w:type="spellEnd"/>
      <w:r w:rsidRPr="00B90F07">
        <w:rPr>
          <w:szCs w:val="24"/>
        </w:rPr>
        <w:t xml:space="preserve"> cascade, including activation of the S6K1. A substrate of </w:t>
      </w:r>
      <w:proofErr w:type="spellStart"/>
      <w:r w:rsidRPr="00B90F07">
        <w:rPr>
          <w:szCs w:val="24"/>
        </w:rPr>
        <w:t>mTOR</w:t>
      </w:r>
      <w:proofErr w:type="spellEnd"/>
      <w:r w:rsidRPr="00B90F07">
        <w:rPr>
          <w:szCs w:val="24"/>
        </w:rPr>
        <w:t xml:space="preserve"> complex 1 (mTORC1), S6K1 phosphorylates the estrogen receptor, which is responsible for ligand-independent receptor activation.  </w:t>
      </w:r>
    </w:p>
    <w:p w14:paraId="7839E417" w14:textId="77777777" w:rsidR="00557C61" w:rsidRPr="00B90F07" w:rsidRDefault="00557C61" w:rsidP="00557C61">
      <w:pPr>
        <w:rPr>
          <w:szCs w:val="24"/>
          <w:lang w:val="en-GB"/>
        </w:rPr>
      </w:pPr>
      <w:proofErr w:type="spellStart"/>
      <w:r w:rsidRPr="00B90F07">
        <w:rPr>
          <w:szCs w:val="24"/>
        </w:rPr>
        <w:t>Everolimus</w:t>
      </w:r>
      <w:proofErr w:type="spellEnd"/>
      <w:r w:rsidRPr="00B90F07">
        <w:rPr>
          <w:szCs w:val="24"/>
        </w:rPr>
        <w:t xml:space="preserve"> is an inhibitor of the growth and proliferation of </w:t>
      </w:r>
      <w:proofErr w:type="spellStart"/>
      <w:r w:rsidRPr="00B90F07">
        <w:rPr>
          <w:szCs w:val="24"/>
        </w:rPr>
        <w:t>tumor</w:t>
      </w:r>
      <w:proofErr w:type="spellEnd"/>
      <w:r w:rsidRPr="00B90F07">
        <w:rPr>
          <w:szCs w:val="24"/>
        </w:rPr>
        <w:t xml:space="preserve"> cells, endothelial cells, fibroblasts and blood vessel-associated smooth muscle cells. Consistent with the central regulatory role of mTORC1, </w:t>
      </w:r>
      <w:proofErr w:type="spellStart"/>
      <w:r w:rsidRPr="00B90F07">
        <w:rPr>
          <w:szCs w:val="24"/>
        </w:rPr>
        <w:t>everolimus</w:t>
      </w:r>
      <w:proofErr w:type="spellEnd"/>
      <w:r w:rsidRPr="00B90F07">
        <w:rPr>
          <w:szCs w:val="24"/>
        </w:rPr>
        <w:t xml:space="preserve"> has been shown to reduce </w:t>
      </w:r>
      <w:proofErr w:type="spellStart"/>
      <w:r w:rsidRPr="00B90F07">
        <w:rPr>
          <w:szCs w:val="24"/>
        </w:rPr>
        <w:t>tumor</w:t>
      </w:r>
      <w:proofErr w:type="spellEnd"/>
      <w:r w:rsidRPr="00B90F07">
        <w:rPr>
          <w:szCs w:val="24"/>
        </w:rPr>
        <w:t xml:space="preserve"> cell proliferation, glycolysis and angiogenesis in solid </w:t>
      </w:r>
      <w:proofErr w:type="spellStart"/>
      <w:r w:rsidRPr="00B90F07">
        <w:rPr>
          <w:szCs w:val="24"/>
        </w:rPr>
        <w:t>tumors</w:t>
      </w:r>
      <w:proofErr w:type="spellEnd"/>
      <w:r w:rsidRPr="00B90F07">
        <w:rPr>
          <w:szCs w:val="24"/>
        </w:rPr>
        <w:t xml:space="preserve"> </w:t>
      </w:r>
      <w:r w:rsidRPr="00B90F07">
        <w:rPr>
          <w:i/>
          <w:szCs w:val="24"/>
        </w:rPr>
        <w:t>in vivo</w:t>
      </w:r>
      <w:r w:rsidRPr="00B90F07">
        <w:rPr>
          <w:szCs w:val="24"/>
        </w:rPr>
        <w:t xml:space="preserve">, and thus provides two independent mechanisms for inhibiting </w:t>
      </w:r>
      <w:proofErr w:type="spellStart"/>
      <w:r w:rsidRPr="00B90F07">
        <w:rPr>
          <w:szCs w:val="24"/>
        </w:rPr>
        <w:t>tumor</w:t>
      </w:r>
      <w:proofErr w:type="spellEnd"/>
      <w:r w:rsidRPr="00B90F07">
        <w:rPr>
          <w:szCs w:val="24"/>
        </w:rPr>
        <w:t xml:space="preserve"> growth: direct antitumor cell activity and inhibition of the </w:t>
      </w:r>
      <w:proofErr w:type="spellStart"/>
      <w:r w:rsidRPr="00B90F07">
        <w:rPr>
          <w:szCs w:val="24"/>
        </w:rPr>
        <w:t>tumor</w:t>
      </w:r>
      <w:proofErr w:type="spellEnd"/>
      <w:r w:rsidRPr="00B90F07">
        <w:rPr>
          <w:szCs w:val="24"/>
        </w:rPr>
        <w:t xml:space="preserve"> stromal compartment.</w:t>
      </w:r>
    </w:p>
    <w:p w14:paraId="5FF04D13" w14:textId="77777777" w:rsidR="00557C61" w:rsidRPr="00B90F07" w:rsidRDefault="00557C61" w:rsidP="00557C61">
      <w:pPr>
        <w:rPr>
          <w:lang w:val="en-GB"/>
        </w:rPr>
      </w:pPr>
      <w:r w:rsidRPr="00B90F07">
        <w:rPr>
          <w:lang w:val="en-GB"/>
        </w:rPr>
        <w:t xml:space="preserve">Clinical trial results did not show an impact of </w:t>
      </w:r>
      <w:proofErr w:type="spellStart"/>
      <w:r w:rsidRPr="00B90F07">
        <w:rPr>
          <w:lang w:val="en-GB"/>
        </w:rPr>
        <w:t>Afinitor</w:t>
      </w:r>
      <w:proofErr w:type="spellEnd"/>
      <w:r w:rsidRPr="00B90F07">
        <w:rPr>
          <w:lang w:val="en-GB"/>
        </w:rPr>
        <w:t xml:space="preserve"> on growth and pubertal development.</w:t>
      </w:r>
    </w:p>
    <w:p w14:paraId="20C9C286" w14:textId="77777777" w:rsidR="00557C61" w:rsidRPr="00B90F07" w:rsidRDefault="00557C61" w:rsidP="00557C61">
      <w:pPr>
        <w:rPr>
          <w:lang w:val="en-GB"/>
        </w:rPr>
      </w:pPr>
      <w:r w:rsidRPr="00B90F07">
        <w:rPr>
          <w:lang w:val="en-GB"/>
        </w:rPr>
        <w:t>Constitutive activation of the PI3K/</w:t>
      </w:r>
      <w:proofErr w:type="spellStart"/>
      <w:r w:rsidRPr="00B90F07">
        <w:rPr>
          <w:lang w:val="en-GB"/>
        </w:rPr>
        <w:t>Akt</w:t>
      </w:r>
      <w:proofErr w:type="spellEnd"/>
      <w:r w:rsidRPr="00B90F07">
        <w:rPr>
          <w:lang w:val="en-GB"/>
        </w:rPr>
        <w:t>/</w:t>
      </w:r>
      <w:proofErr w:type="spellStart"/>
      <w:r w:rsidRPr="00B90F07">
        <w:rPr>
          <w:lang w:val="en-GB"/>
        </w:rPr>
        <w:t>mTOR</w:t>
      </w:r>
      <w:proofErr w:type="spellEnd"/>
      <w:r w:rsidRPr="00B90F07">
        <w:rPr>
          <w:lang w:val="en-GB"/>
        </w:rPr>
        <w:t xml:space="preserve"> pathway can contribute to endocrine resistance in breast cancer. </w:t>
      </w:r>
      <w:r w:rsidRPr="00B90F07">
        <w:rPr>
          <w:i/>
          <w:lang w:val="en-GB"/>
        </w:rPr>
        <w:t>In vitro</w:t>
      </w:r>
      <w:r w:rsidRPr="00B90F07">
        <w:rPr>
          <w:lang w:val="en-GB"/>
        </w:rPr>
        <w:t xml:space="preserve"> studies show that oestrogen-dependent and HER2+ breast cancer cells are sensitive to the inhibitory effects of </w:t>
      </w:r>
      <w:proofErr w:type="spellStart"/>
      <w:r w:rsidRPr="00B90F07">
        <w:rPr>
          <w:lang w:val="en-GB"/>
        </w:rPr>
        <w:t>everolimus</w:t>
      </w:r>
      <w:proofErr w:type="spellEnd"/>
      <w:r w:rsidRPr="00B90F07">
        <w:rPr>
          <w:lang w:val="en-GB"/>
        </w:rPr>
        <w:t xml:space="preserve">, and that combination of </w:t>
      </w:r>
      <w:proofErr w:type="spellStart"/>
      <w:r w:rsidRPr="00B90F07">
        <w:rPr>
          <w:lang w:val="en-GB"/>
        </w:rPr>
        <w:t>everolimus</w:t>
      </w:r>
      <w:proofErr w:type="spellEnd"/>
      <w:r w:rsidRPr="00B90F07">
        <w:rPr>
          <w:lang w:val="en-GB"/>
        </w:rPr>
        <w:t xml:space="preserve"> with </w:t>
      </w:r>
      <w:proofErr w:type="spellStart"/>
      <w:r w:rsidRPr="00B90F07">
        <w:rPr>
          <w:lang w:val="en-GB"/>
        </w:rPr>
        <w:t>Akt</w:t>
      </w:r>
      <w:proofErr w:type="spellEnd"/>
      <w:r w:rsidRPr="00B90F07">
        <w:rPr>
          <w:lang w:val="en-GB"/>
        </w:rPr>
        <w:t xml:space="preserve">, HER2, or aromatase inhibitors synergistically enhances the anti-tumour effect of </w:t>
      </w:r>
      <w:proofErr w:type="spellStart"/>
      <w:r w:rsidRPr="00B90F07">
        <w:rPr>
          <w:lang w:val="en-GB"/>
        </w:rPr>
        <w:t>everolimus</w:t>
      </w:r>
      <w:proofErr w:type="spellEnd"/>
      <w:r w:rsidRPr="00B90F07">
        <w:rPr>
          <w:lang w:val="en-GB"/>
        </w:rPr>
        <w:t>.</w:t>
      </w:r>
    </w:p>
    <w:p w14:paraId="77384261" w14:textId="1D9019CC" w:rsidR="00557C61" w:rsidRPr="00B90F07" w:rsidRDefault="00557C61" w:rsidP="00557C61">
      <w:pPr>
        <w:rPr>
          <w:lang w:val="en-GB"/>
        </w:rPr>
      </w:pPr>
      <w:r w:rsidRPr="00B90F07">
        <w:rPr>
          <w:lang w:val="en-GB"/>
        </w:rPr>
        <w:t>In tuberous sclerosis syndrome, a genetic disorder, inactivating mutations in either the TSC1 or the TSC2 gene lead to hamartoma</w:t>
      </w:r>
      <w:r>
        <w:rPr>
          <w:lang w:val="en-GB"/>
        </w:rPr>
        <w:t xml:space="preserve"> formation throughout the body,</w:t>
      </w:r>
      <w:r w:rsidRPr="00B90F07">
        <w:rPr>
          <w:lang w:val="en-GB"/>
        </w:rPr>
        <w:t xml:space="preserve"> including seizure and </w:t>
      </w:r>
      <w:proofErr w:type="spellStart"/>
      <w:r w:rsidRPr="00B90F07">
        <w:rPr>
          <w:lang w:val="en-GB"/>
        </w:rPr>
        <w:t>epileptogenesis</w:t>
      </w:r>
      <w:proofErr w:type="spellEnd"/>
      <w:r w:rsidRPr="00B90F07">
        <w:rPr>
          <w:lang w:val="en-GB"/>
        </w:rPr>
        <w:t xml:space="preserve">. </w:t>
      </w:r>
      <w:r w:rsidRPr="00B90F07">
        <w:rPr>
          <w:iCs/>
          <w:szCs w:val="24"/>
        </w:rPr>
        <w:t xml:space="preserve">The </w:t>
      </w:r>
      <w:proofErr w:type="spellStart"/>
      <w:r w:rsidRPr="00B90F07">
        <w:rPr>
          <w:iCs/>
          <w:szCs w:val="24"/>
        </w:rPr>
        <w:t>mTOR</w:t>
      </w:r>
      <w:proofErr w:type="spellEnd"/>
      <w:r w:rsidRPr="00B90F07">
        <w:rPr>
          <w:iCs/>
          <w:szCs w:val="24"/>
        </w:rPr>
        <w:t xml:space="preserve"> regulates protein synthesis and multiple downstream cellular functions that may influence neuronal excitability and </w:t>
      </w:r>
      <w:proofErr w:type="spellStart"/>
      <w:r w:rsidRPr="00B90F07">
        <w:rPr>
          <w:iCs/>
          <w:szCs w:val="24"/>
        </w:rPr>
        <w:t>epileptogenesis</w:t>
      </w:r>
      <w:proofErr w:type="spellEnd"/>
      <w:r w:rsidRPr="00B90F07">
        <w:rPr>
          <w:iCs/>
          <w:szCs w:val="24"/>
        </w:rPr>
        <w:t>. </w:t>
      </w:r>
      <w:proofErr w:type="spellStart"/>
      <w:r w:rsidRPr="00B90F07">
        <w:rPr>
          <w:iCs/>
          <w:szCs w:val="24"/>
        </w:rPr>
        <w:t>Overactivation</w:t>
      </w:r>
      <w:proofErr w:type="spellEnd"/>
      <w:r w:rsidRPr="00B90F07">
        <w:rPr>
          <w:iCs/>
          <w:szCs w:val="24"/>
        </w:rPr>
        <w:t xml:space="preserve"> of </w:t>
      </w:r>
      <w:proofErr w:type="spellStart"/>
      <w:r w:rsidRPr="00B90F07">
        <w:rPr>
          <w:iCs/>
          <w:szCs w:val="24"/>
        </w:rPr>
        <w:t>mTOR</w:t>
      </w:r>
      <w:proofErr w:type="spellEnd"/>
      <w:r w:rsidRPr="00B90F07">
        <w:rPr>
          <w:iCs/>
          <w:szCs w:val="24"/>
        </w:rPr>
        <w:t xml:space="preserve"> results in neuronal dysplasia, aberrant </w:t>
      </w:r>
      <w:proofErr w:type="spellStart"/>
      <w:r w:rsidRPr="00B90F07">
        <w:rPr>
          <w:iCs/>
          <w:szCs w:val="24"/>
        </w:rPr>
        <w:t>axonogenesis</w:t>
      </w:r>
      <w:proofErr w:type="spellEnd"/>
      <w:r w:rsidRPr="00B90F07">
        <w:rPr>
          <w:iCs/>
          <w:szCs w:val="24"/>
        </w:rPr>
        <w:t xml:space="preserve"> and dendrite formation, increased excitatory synaptic currents, reduced myelination, and disruption of the cortical laminar structure causing abnormalities in neuronal development and function. Preclinical studies in models of </w:t>
      </w:r>
      <w:proofErr w:type="spellStart"/>
      <w:r w:rsidRPr="00B90F07">
        <w:rPr>
          <w:iCs/>
          <w:szCs w:val="24"/>
        </w:rPr>
        <w:t>mTOR</w:t>
      </w:r>
      <w:proofErr w:type="spellEnd"/>
      <w:r w:rsidRPr="00B90F07">
        <w:rPr>
          <w:iCs/>
          <w:szCs w:val="24"/>
        </w:rPr>
        <w:t xml:space="preserve"> dysregulation in the brain demonstrated that treatment with an </w:t>
      </w:r>
      <w:proofErr w:type="spellStart"/>
      <w:r w:rsidRPr="00B90F07">
        <w:rPr>
          <w:iCs/>
          <w:szCs w:val="24"/>
        </w:rPr>
        <w:t>mTOR</w:t>
      </w:r>
      <w:proofErr w:type="spellEnd"/>
      <w:r w:rsidRPr="00B90F07">
        <w:rPr>
          <w:iCs/>
          <w:szCs w:val="24"/>
        </w:rPr>
        <w:t xml:space="preserve"> inhibitor such as </w:t>
      </w:r>
      <w:proofErr w:type="spellStart"/>
      <w:r w:rsidRPr="00B90F07">
        <w:rPr>
          <w:iCs/>
          <w:szCs w:val="24"/>
        </w:rPr>
        <w:t>everolimus</w:t>
      </w:r>
      <w:proofErr w:type="spellEnd"/>
      <w:r w:rsidRPr="00B90F07">
        <w:rPr>
          <w:iCs/>
          <w:szCs w:val="24"/>
        </w:rPr>
        <w:t xml:space="preserve"> could prolong survival, suppress seizures, prevent the development of new-onset seizures, and prevent premature death.  </w:t>
      </w:r>
      <w:r w:rsidRPr="00B90F07">
        <w:rPr>
          <w:szCs w:val="24"/>
        </w:rPr>
        <w:t xml:space="preserve">In summary, </w:t>
      </w:r>
      <w:proofErr w:type="spellStart"/>
      <w:r w:rsidRPr="00B90F07">
        <w:rPr>
          <w:szCs w:val="24"/>
        </w:rPr>
        <w:t>everolimus</w:t>
      </w:r>
      <w:proofErr w:type="spellEnd"/>
      <w:r w:rsidRPr="00B90F07">
        <w:rPr>
          <w:szCs w:val="24"/>
        </w:rPr>
        <w:t xml:space="preserve"> is highly active in this neuronal model of TSC, with benefit apparently attributable to effects on mTORC1 inhibition</w:t>
      </w:r>
      <w:r w:rsidRPr="00B90F07">
        <w:rPr>
          <w:lang w:val="en-GB"/>
        </w:rPr>
        <w:t>.</w:t>
      </w:r>
    </w:p>
    <w:p w14:paraId="445769D1" w14:textId="77777777" w:rsidR="00557C61" w:rsidRPr="00B90F07" w:rsidRDefault="00557C61" w:rsidP="00557C61">
      <w:pPr>
        <w:pStyle w:val="Heading3"/>
        <w:tabs>
          <w:tab w:val="left" w:pos="567"/>
        </w:tabs>
        <w:spacing w:before="0" w:after="240" w:line="320" w:lineRule="atLeast"/>
        <w:ind w:left="0"/>
        <w:rPr>
          <w:rFonts w:asciiTheme="minorHAnsi" w:hAnsiTheme="minorHAnsi"/>
          <w:lang w:val="en-GB"/>
        </w:rPr>
      </w:pPr>
      <w:proofErr w:type="spellStart"/>
      <w:r w:rsidRPr="00B90F07">
        <w:rPr>
          <w:rFonts w:asciiTheme="minorHAnsi" w:hAnsiTheme="minorHAnsi"/>
          <w:lang w:val="en-GB"/>
        </w:rPr>
        <w:t>Pharmacodynamic</w:t>
      </w:r>
      <w:proofErr w:type="spellEnd"/>
      <w:r w:rsidRPr="00B90F07">
        <w:rPr>
          <w:rFonts w:asciiTheme="minorHAnsi" w:hAnsiTheme="minorHAnsi"/>
          <w:lang w:val="en-GB"/>
        </w:rPr>
        <w:t xml:space="preserve"> properties/Exposure-response relationships</w:t>
      </w:r>
    </w:p>
    <w:p w14:paraId="68834406" w14:textId="77777777" w:rsidR="00557C61" w:rsidRPr="00B90F07" w:rsidRDefault="00557C61" w:rsidP="00557C61">
      <w:r w:rsidRPr="00B90F07">
        <w:t xml:space="preserve">There was a moderate correlation between the decrease in the phosphorylation of 4E-BP1 (P4E-BP1) in </w:t>
      </w:r>
      <w:proofErr w:type="spellStart"/>
      <w:r w:rsidRPr="00B90F07">
        <w:t>tumor</w:t>
      </w:r>
      <w:proofErr w:type="spellEnd"/>
      <w:r w:rsidRPr="00B90F07">
        <w:t xml:space="preserve"> tissue and the average </w:t>
      </w:r>
      <w:proofErr w:type="spellStart"/>
      <w:r w:rsidRPr="00B90F07">
        <w:t>everolimus</w:t>
      </w:r>
      <w:proofErr w:type="spellEnd"/>
      <w:r w:rsidRPr="00B90F07">
        <w:t xml:space="preserve"> </w:t>
      </w:r>
      <w:proofErr w:type="spellStart"/>
      <w:r w:rsidRPr="00B90F07">
        <w:t>Cmin</w:t>
      </w:r>
      <w:proofErr w:type="spellEnd"/>
      <w:r w:rsidRPr="00B90F07">
        <w:t xml:space="preserve"> at steady state in blood after daily administration of 5 or 10 mg </w:t>
      </w:r>
      <w:proofErr w:type="spellStart"/>
      <w:r w:rsidRPr="00B90F07">
        <w:t>everolimus</w:t>
      </w:r>
      <w:proofErr w:type="spellEnd"/>
      <w:r w:rsidRPr="00B90F07">
        <w:t xml:space="preserve">. Further data suggest that the inhibition of phosphorylation of the S6 kinase is very sensitive to the </w:t>
      </w:r>
      <w:proofErr w:type="spellStart"/>
      <w:r w:rsidRPr="00B90F07">
        <w:t>mTOR</w:t>
      </w:r>
      <w:proofErr w:type="spellEnd"/>
      <w:r w:rsidRPr="00B90F07">
        <w:t xml:space="preserve"> inhibition by </w:t>
      </w:r>
      <w:proofErr w:type="spellStart"/>
      <w:r w:rsidRPr="00B90F07">
        <w:t>everolimus</w:t>
      </w:r>
      <w:proofErr w:type="spellEnd"/>
      <w:r w:rsidRPr="00B90F07">
        <w:t xml:space="preserve">. Inhibition of phosphorylation of elF-4G was complete at all </w:t>
      </w:r>
      <w:proofErr w:type="spellStart"/>
      <w:r w:rsidRPr="00B90F07">
        <w:t>Cmin</w:t>
      </w:r>
      <w:proofErr w:type="spellEnd"/>
      <w:r w:rsidRPr="00B90F07">
        <w:t xml:space="preserve"> values after the 10 mg daily dose.</w:t>
      </w:r>
    </w:p>
    <w:p w14:paraId="0ED596DD" w14:textId="77777777" w:rsidR="00557C61" w:rsidRPr="00B90F07" w:rsidRDefault="00557C61" w:rsidP="00557C61">
      <w:r w:rsidRPr="00B90F07">
        <w:t xml:space="preserve">In patients with TSC who have SEGA, a model based analysis indicated that a 2-fold </w:t>
      </w:r>
      <w:proofErr w:type="spellStart"/>
      <w:r w:rsidRPr="00B90F07">
        <w:t>Cmin</w:t>
      </w:r>
      <w:proofErr w:type="spellEnd"/>
      <w:r w:rsidRPr="00B90F07">
        <w:t xml:space="preserve"> increase led to a 13% (95% CI: -18.2%, -7.5%) </w:t>
      </w:r>
      <w:proofErr w:type="spellStart"/>
      <w:r w:rsidRPr="00B90F07">
        <w:t>tumor</w:t>
      </w:r>
      <w:proofErr w:type="spellEnd"/>
      <w:r w:rsidRPr="00B90F07">
        <w:t xml:space="preserve"> size reduction from baseline, which was statistically significant at a 5% level.</w:t>
      </w:r>
    </w:p>
    <w:p w14:paraId="3309595A" w14:textId="77777777" w:rsidR="00557C61" w:rsidRPr="00B90F07" w:rsidRDefault="00557C61" w:rsidP="00557C61">
      <w:pPr>
        <w:rPr>
          <w:lang w:val="en-GB"/>
        </w:rPr>
      </w:pPr>
      <w:r w:rsidRPr="00B90F07">
        <w:lastRenderedPageBreak/>
        <w:t>In patients with TSC and refractory seizures, a conditional logistic regression analysis for the probability of seizure response vs. Time Normalized(TN)-</w:t>
      </w:r>
      <w:proofErr w:type="spellStart"/>
      <w:r w:rsidRPr="00B90F07">
        <w:t>C</w:t>
      </w:r>
      <w:r w:rsidRPr="00B90F07">
        <w:rPr>
          <w:vertAlign w:val="subscript"/>
        </w:rPr>
        <w:t>min</w:t>
      </w:r>
      <w:proofErr w:type="spellEnd"/>
      <w:r w:rsidRPr="00B90F07">
        <w:t xml:space="preserve"> stratified by age subgroup indicated that a 2-fold increase in TN-</w:t>
      </w:r>
      <w:proofErr w:type="spellStart"/>
      <w:r w:rsidRPr="00B90F07">
        <w:t>C</w:t>
      </w:r>
      <w:r w:rsidRPr="00B90F07">
        <w:rPr>
          <w:vertAlign w:val="subscript"/>
        </w:rPr>
        <w:t>min</w:t>
      </w:r>
      <w:proofErr w:type="spellEnd"/>
      <w:r w:rsidRPr="00B90F07">
        <w:t xml:space="preserve"> was associated with a 2.172-fold increase (95% CI: 1.339, 3.524) in the odds for a seizure response. Baseline seizure frequency was also a significant factor in the seizure response (with an odds ratio of 0.978 [95% CI: 0.959, 0.998]). </w:t>
      </w:r>
    </w:p>
    <w:p w14:paraId="3CB915FC" w14:textId="409D884A" w:rsidR="00557C61" w:rsidRDefault="001A3992" w:rsidP="000E6647">
      <w:pPr>
        <w:pStyle w:val="Heading3"/>
        <w:spacing w:before="0" w:after="120"/>
        <w:ind w:left="0"/>
        <w:rPr>
          <w:rFonts w:cstheme="minorHAnsi"/>
          <w:lang w:val="en-US"/>
        </w:rPr>
      </w:pPr>
      <w:r w:rsidRPr="00497C85">
        <w:rPr>
          <w:rFonts w:cstheme="minorHAnsi"/>
        </w:rPr>
        <w:t>Clinical</w:t>
      </w:r>
      <w:r w:rsidRPr="00497C85">
        <w:rPr>
          <w:rFonts w:cstheme="minorHAnsi"/>
          <w:lang w:val="en-US"/>
        </w:rPr>
        <w:t xml:space="preserve"> </w:t>
      </w:r>
      <w:r w:rsidRPr="00B878CC">
        <w:rPr>
          <w:lang w:val="en-US"/>
        </w:rPr>
        <w:t>trials</w:t>
      </w:r>
    </w:p>
    <w:p w14:paraId="238D3C5D" w14:textId="77777777" w:rsidR="00557C61" w:rsidRPr="00B90F07" w:rsidRDefault="00557C61" w:rsidP="00557C61">
      <w:pPr>
        <w:pStyle w:val="Heading3"/>
        <w:tabs>
          <w:tab w:val="left" w:pos="567"/>
        </w:tabs>
        <w:spacing w:before="0" w:after="240" w:line="320" w:lineRule="atLeast"/>
        <w:ind w:left="0"/>
        <w:rPr>
          <w:rFonts w:asciiTheme="minorHAnsi" w:hAnsiTheme="minorHAnsi"/>
          <w:u w:val="single"/>
          <w:lang w:val="en-GB"/>
        </w:rPr>
      </w:pPr>
      <w:r w:rsidRPr="00B90F07">
        <w:rPr>
          <w:rFonts w:asciiTheme="minorHAnsi" w:hAnsiTheme="minorHAnsi"/>
          <w:u w:val="single"/>
          <w:lang w:val="en-GB"/>
        </w:rPr>
        <w:t>Hormone receptor-positive advanced breast cancer</w:t>
      </w:r>
    </w:p>
    <w:p w14:paraId="7C519120" w14:textId="77777777" w:rsidR="00557C61" w:rsidRPr="00B90F07" w:rsidRDefault="00557C61" w:rsidP="00557C61">
      <w:pPr>
        <w:rPr>
          <w:lang w:val="en-GB"/>
        </w:rPr>
      </w:pPr>
      <w:r w:rsidRPr="00B90F07">
        <w:rPr>
          <w:lang w:val="en-GB"/>
        </w:rPr>
        <w:t xml:space="preserve">BOLERO-2 (Study CRAD001Y2301) a randomized, double-blind, multicentre phase III study of </w:t>
      </w:r>
      <w:proofErr w:type="spellStart"/>
      <w:r w:rsidRPr="00B90F07">
        <w:rPr>
          <w:lang w:val="en-GB"/>
        </w:rPr>
        <w:t>Afinitor</w:t>
      </w:r>
      <w:proofErr w:type="spellEnd"/>
      <w:r w:rsidRPr="00B90F07">
        <w:rPr>
          <w:lang w:val="en-GB"/>
        </w:rPr>
        <w:t xml:space="preserve"> + </w:t>
      </w:r>
      <w:proofErr w:type="spellStart"/>
      <w:r w:rsidRPr="00B90F07">
        <w:rPr>
          <w:lang w:val="en-GB"/>
        </w:rPr>
        <w:t>exemestane</w:t>
      </w:r>
      <w:proofErr w:type="spellEnd"/>
      <w:r w:rsidRPr="00B90F07">
        <w:rPr>
          <w:lang w:val="en-GB"/>
        </w:rPr>
        <w:t xml:space="preserve"> versus placebo + </w:t>
      </w:r>
      <w:proofErr w:type="spellStart"/>
      <w:r w:rsidRPr="00B90F07">
        <w:rPr>
          <w:lang w:val="en-GB"/>
        </w:rPr>
        <w:t>exemestane</w:t>
      </w:r>
      <w:proofErr w:type="spellEnd"/>
      <w:r w:rsidRPr="00B90F07">
        <w:rPr>
          <w:lang w:val="en-GB"/>
        </w:rPr>
        <w:t xml:space="preserve"> was conducted in postmenopausal women with oestrogen receptor-positive, HER 2-neu/non-amplified advanced breast cancer (ABC) with recurrence</w:t>
      </w:r>
      <w:r w:rsidRPr="00B90F07">
        <w:rPr>
          <w:rStyle w:val="FootnoteReference"/>
          <w:lang w:val="en-GB"/>
        </w:rPr>
        <w:footnoteReference w:id="4"/>
      </w:r>
      <w:r w:rsidRPr="00B90F07">
        <w:rPr>
          <w:lang w:val="en-GB"/>
        </w:rPr>
        <w:t xml:space="preserve"> or progression</w:t>
      </w:r>
      <w:r w:rsidRPr="00B90F07">
        <w:rPr>
          <w:rStyle w:val="FootnoteReference"/>
          <w:lang w:val="en-GB"/>
        </w:rPr>
        <w:footnoteReference w:id="5"/>
      </w:r>
      <w:r w:rsidRPr="00B90F07">
        <w:rPr>
          <w:lang w:val="en-GB"/>
        </w:rPr>
        <w:t xml:space="preserve"> following prior therapy with </w:t>
      </w:r>
      <w:proofErr w:type="spellStart"/>
      <w:r w:rsidRPr="00B90F07">
        <w:rPr>
          <w:lang w:val="en-GB"/>
        </w:rPr>
        <w:t>letrozole</w:t>
      </w:r>
      <w:proofErr w:type="spellEnd"/>
      <w:r w:rsidRPr="00B90F07">
        <w:rPr>
          <w:lang w:val="en-GB"/>
        </w:rPr>
        <w:t xml:space="preserve"> or </w:t>
      </w:r>
      <w:proofErr w:type="spellStart"/>
      <w:r w:rsidRPr="00B90F07">
        <w:rPr>
          <w:lang w:val="en-GB"/>
        </w:rPr>
        <w:t>anastrozole</w:t>
      </w:r>
      <w:proofErr w:type="spellEnd"/>
      <w:r w:rsidRPr="00B90F07">
        <w:rPr>
          <w:lang w:val="en-GB"/>
        </w:rPr>
        <w:t xml:space="preserve">. A total of 724 patients were randomized in a 2:1 ratio to receive either </w:t>
      </w:r>
      <w:proofErr w:type="spellStart"/>
      <w:r w:rsidRPr="00B90F07">
        <w:rPr>
          <w:lang w:val="en-GB"/>
        </w:rPr>
        <w:t>Afinitor</w:t>
      </w:r>
      <w:proofErr w:type="spellEnd"/>
      <w:r w:rsidRPr="00B90F07">
        <w:rPr>
          <w:lang w:val="en-GB"/>
        </w:rPr>
        <w:t xml:space="preserve"> (10 mg daily) plus </w:t>
      </w:r>
      <w:proofErr w:type="spellStart"/>
      <w:r w:rsidRPr="00B90F07">
        <w:rPr>
          <w:lang w:val="en-GB"/>
        </w:rPr>
        <w:t>exemestane</w:t>
      </w:r>
      <w:proofErr w:type="spellEnd"/>
      <w:r w:rsidRPr="00B90F07">
        <w:rPr>
          <w:lang w:val="en-GB"/>
        </w:rPr>
        <w:t xml:space="preserve"> (25 mg daily) (n=485) or placebo plus </w:t>
      </w:r>
      <w:proofErr w:type="spellStart"/>
      <w:r w:rsidRPr="00B90F07">
        <w:rPr>
          <w:lang w:val="en-GB"/>
        </w:rPr>
        <w:t>exemestane</w:t>
      </w:r>
      <w:proofErr w:type="spellEnd"/>
      <w:r w:rsidRPr="00B90F07">
        <w:rPr>
          <w:lang w:val="en-GB"/>
        </w:rPr>
        <w:t xml:space="preserve"> (25 mg daily) (n=239). Randomization was stratified by documented sensitivity to prior hormonal therapy (yes vs. no) and by the presence of visceral metastasis (yes vs. no). Sensitivity to prior hormonal therapy was defined as either (1) documented clinical benefit (complete response [CR], partial response [PR], stable disease ≥ 24 weeks) to at least one prior hormonal therapy in the advanced setting or (2) at least 24 months of adjuvant hormonal therapy prior to recurrence.</w:t>
      </w:r>
    </w:p>
    <w:p w14:paraId="6039748E" w14:textId="77777777" w:rsidR="00557C61" w:rsidRPr="00B90F07" w:rsidRDefault="00557C61" w:rsidP="00557C61">
      <w:pPr>
        <w:rPr>
          <w:lang w:val="en-GB"/>
        </w:rPr>
      </w:pPr>
      <w:r w:rsidRPr="00B90F07">
        <w:rPr>
          <w:lang w:val="en-GB"/>
        </w:rPr>
        <w:t>The primary endpoint for the trial was progression-free survival (PFS) evaluated by Response Evaluation Criteria in Solid Tumours (RECIST), based on the investigators (local radiology) assessment. Supportive PFS analyses were based on an independent central radiology review.</w:t>
      </w:r>
    </w:p>
    <w:p w14:paraId="17395636" w14:textId="77777777" w:rsidR="00557C61" w:rsidRPr="00B90F07" w:rsidRDefault="00557C61" w:rsidP="00557C61">
      <w:pPr>
        <w:rPr>
          <w:lang w:val="en-GB"/>
        </w:rPr>
      </w:pPr>
      <w:r w:rsidRPr="00B90F07">
        <w:rPr>
          <w:lang w:val="en-GB"/>
        </w:rPr>
        <w:t>Secondary endpoints included overall survival (OS), Overall Response Rate (ORR), Clinical Benefit Rate (CBR), Safety, change in Quality of Life (</w:t>
      </w:r>
      <w:proofErr w:type="spellStart"/>
      <w:r w:rsidRPr="00B90F07">
        <w:rPr>
          <w:lang w:val="en-GB"/>
        </w:rPr>
        <w:t>QoL</w:t>
      </w:r>
      <w:proofErr w:type="spellEnd"/>
      <w:r w:rsidRPr="00B90F07">
        <w:rPr>
          <w:lang w:val="en-GB"/>
        </w:rPr>
        <w:t>) and time to ECOG PS deterioration. Additional endpoints included changes in bone turnover markers at 6 and 12 weeks.</w:t>
      </w:r>
    </w:p>
    <w:p w14:paraId="0DAD1B4E" w14:textId="77777777" w:rsidR="00557C61" w:rsidRPr="00B90F07" w:rsidRDefault="00557C61" w:rsidP="00557C61">
      <w:pPr>
        <w:rPr>
          <w:lang w:val="en-GB"/>
        </w:rPr>
      </w:pPr>
      <w:r w:rsidRPr="00B90F07">
        <w:rPr>
          <w:lang w:val="en-GB"/>
        </w:rPr>
        <w:t>The two treatment groups were generally balanced with respect to the baseline demographics of disease characteristics and history of prior anti-neoplastic usages. The median age of patients was 61 years (range 28 to 93) and 75% were Caucasian.</w:t>
      </w:r>
    </w:p>
    <w:p w14:paraId="44FD2FF7" w14:textId="77777777" w:rsidR="00557C61" w:rsidRPr="00B90F07" w:rsidRDefault="00557C61" w:rsidP="00557C61">
      <w:pPr>
        <w:rPr>
          <w:lang w:val="en-GB"/>
        </w:rPr>
      </w:pPr>
      <w:r w:rsidRPr="00B90F07">
        <w:rPr>
          <w:lang w:val="en-GB"/>
        </w:rPr>
        <w:t xml:space="preserve">The median progression-free survival by investigator assessment at the time of the final PFS analysis was 7.8 months and 3.2 months in the </w:t>
      </w:r>
      <w:proofErr w:type="spellStart"/>
      <w:r w:rsidRPr="00B90F07">
        <w:rPr>
          <w:lang w:val="en-GB"/>
        </w:rPr>
        <w:t>Afinitor</w:t>
      </w:r>
      <w:proofErr w:type="spellEnd"/>
      <w:r w:rsidRPr="00B90F07">
        <w:rPr>
          <w:lang w:val="en-GB"/>
        </w:rPr>
        <w:t xml:space="preserve"> and placebo arms, respectively. Patients in the </w:t>
      </w:r>
      <w:proofErr w:type="spellStart"/>
      <w:r w:rsidRPr="00B90F07">
        <w:rPr>
          <w:lang w:val="en-GB"/>
        </w:rPr>
        <w:t>placebo+exemestane</w:t>
      </w:r>
      <w:proofErr w:type="spellEnd"/>
      <w:r w:rsidRPr="00B90F07">
        <w:rPr>
          <w:lang w:val="en-GB"/>
        </w:rPr>
        <w:t xml:space="preserve"> arm did not cross-over to </w:t>
      </w:r>
      <w:proofErr w:type="spellStart"/>
      <w:r w:rsidRPr="00B90F07">
        <w:rPr>
          <w:lang w:val="en-GB"/>
        </w:rPr>
        <w:t>Afinitor</w:t>
      </w:r>
      <w:proofErr w:type="spellEnd"/>
      <w:r w:rsidRPr="00B90F07">
        <w:rPr>
          <w:lang w:val="en-GB"/>
        </w:rPr>
        <w:t xml:space="preserve"> at the time of progression. The median duration of treatment was 29.5 weeks (range 1.0-123.3 weeks) for patients receiving </w:t>
      </w:r>
      <w:proofErr w:type="spellStart"/>
      <w:r w:rsidRPr="00B90F07">
        <w:rPr>
          <w:lang w:val="en-GB"/>
        </w:rPr>
        <w:t>Afinitor</w:t>
      </w:r>
      <w:proofErr w:type="spellEnd"/>
      <w:r w:rsidRPr="00B90F07">
        <w:rPr>
          <w:lang w:val="en-GB"/>
        </w:rPr>
        <w:t xml:space="preserve"> + </w:t>
      </w:r>
      <w:proofErr w:type="spellStart"/>
      <w:r w:rsidRPr="00B90F07">
        <w:rPr>
          <w:lang w:val="en-GB"/>
        </w:rPr>
        <w:t>exemestane</w:t>
      </w:r>
      <w:proofErr w:type="spellEnd"/>
      <w:r w:rsidRPr="00B90F07">
        <w:rPr>
          <w:lang w:val="en-GB"/>
        </w:rPr>
        <w:t xml:space="preserve"> and 14.1 weeks (range 1.0-101.0 weeks) for the placebo + </w:t>
      </w:r>
      <w:proofErr w:type="spellStart"/>
      <w:r w:rsidRPr="00B90F07">
        <w:rPr>
          <w:lang w:val="en-GB"/>
        </w:rPr>
        <w:t>exemestane</w:t>
      </w:r>
      <w:proofErr w:type="spellEnd"/>
      <w:r w:rsidRPr="00B90F07">
        <w:rPr>
          <w:lang w:val="en-GB"/>
        </w:rPr>
        <w:t xml:space="preserve"> group.</w:t>
      </w:r>
    </w:p>
    <w:p w14:paraId="21149C51" w14:textId="77777777" w:rsidR="00D64407" w:rsidRPr="00D64407" w:rsidRDefault="00557C61" w:rsidP="00D64407">
      <w:r w:rsidRPr="00B90F07">
        <w:rPr>
          <w:lang w:val="en-GB"/>
        </w:rPr>
        <w:t xml:space="preserve">The study demonstrated a statistically significant increase in PFS with </w:t>
      </w:r>
      <w:proofErr w:type="spellStart"/>
      <w:r w:rsidRPr="00B90F07">
        <w:rPr>
          <w:lang w:val="en-GB"/>
        </w:rPr>
        <w:t>Afinitor</w:t>
      </w:r>
      <w:proofErr w:type="spellEnd"/>
      <w:r w:rsidRPr="00B90F07">
        <w:rPr>
          <w:lang w:val="en-GB"/>
        </w:rPr>
        <w:t xml:space="preserve"> + </w:t>
      </w:r>
      <w:proofErr w:type="spellStart"/>
      <w:r w:rsidRPr="00B90F07">
        <w:rPr>
          <w:lang w:val="en-GB"/>
        </w:rPr>
        <w:t>exemestane</w:t>
      </w:r>
      <w:proofErr w:type="spellEnd"/>
      <w:r w:rsidRPr="00B90F07">
        <w:rPr>
          <w:lang w:val="en-GB"/>
        </w:rPr>
        <w:t xml:space="preserve"> compared with placebo + </w:t>
      </w:r>
      <w:proofErr w:type="spellStart"/>
      <w:r w:rsidRPr="00B90F07">
        <w:rPr>
          <w:lang w:val="en-GB"/>
        </w:rPr>
        <w:t>exemestane</w:t>
      </w:r>
      <w:proofErr w:type="spellEnd"/>
      <w:r w:rsidRPr="00B90F07">
        <w:rPr>
          <w:lang w:val="en-GB"/>
        </w:rPr>
        <w:t xml:space="preserve"> based on the investigator assessmen</w:t>
      </w:r>
      <w:r w:rsidR="00AA1E37">
        <w:rPr>
          <w:lang w:val="en-GB"/>
        </w:rPr>
        <w:t xml:space="preserve">t </w:t>
      </w:r>
      <w:r w:rsidRPr="00B90F07">
        <w:fldChar w:fldCharType="begin"/>
      </w:r>
      <w:r w:rsidRPr="00B90F07">
        <w:instrText xml:space="preserve"> REF _Ref491093398 \h  \* MERGEFORMAT </w:instrText>
      </w:r>
      <w:r w:rsidRPr="00B90F07">
        <w:fldChar w:fldCharType="separate"/>
      </w:r>
    </w:p>
    <w:p w14:paraId="09E14A58" w14:textId="0D0858C4" w:rsidR="00557C61" w:rsidRPr="00E253EE" w:rsidRDefault="00D64407" w:rsidP="00557C61">
      <w:r w:rsidRPr="00B90F07">
        <w:lastRenderedPageBreak/>
        <w:t xml:space="preserve">Table </w:t>
      </w:r>
      <w:r>
        <w:rPr>
          <w:noProof/>
        </w:rPr>
        <w:t>7</w:t>
      </w:r>
      <w:r w:rsidR="00557C61" w:rsidRPr="00B90F07">
        <w:fldChar w:fldCharType="end"/>
      </w:r>
      <w:r w:rsidR="00557C61" w:rsidRPr="00B90F07">
        <w:rPr>
          <w:lang w:val="en-GB"/>
        </w:rPr>
        <w:t xml:space="preserve"> and </w:t>
      </w:r>
      <w:r w:rsidR="00557C61" w:rsidRPr="00B90F07">
        <w:rPr>
          <w:lang w:val="en-GB"/>
        </w:rPr>
        <w:fldChar w:fldCharType="begin"/>
      </w:r>
      <w:r w:rsidR="00557C61" w:rsidRPr="00B90F07">
        <w:rPr>
          <w:lang w:val="en-GB"/>
        </w:rPr>
        <w:instrText xml:space="preserve"> REF _Ref491093486 \h  \* MERGEFORMAT </w:instrText>
      </w:r>
      <w:r w:rsidR="00557C61" w:rsidRPr="00B90F07">
        <w:rPr>
          <w:lang w:val="en-GB"/>
        </w:rPr>
      </w:r>
      <w:r w:rsidR="00557C61" w:rsidRPr="00B90F07">
        <w:rPr>
          <w:lang w:val="en-GB"/>
        </w:rPr>
        <w:fldChar w:fldCharType="separate"/>
      </w:r>
      <w:r w:rsidRPr="00B90F07">
        <w:t xml:space="preserve">Figure </w:t>
      </w:r>
      <w:r>
        <w:rPr>
          <w:noProof/>
        </w:rPr>
        <w:t>1</w:t>
      </w:r>
      <w:r w:rsidR="00557C61" w:rsidRPr="00B90F07">
        <w:rPr>
          <w:lang w:val="en-GB"/>
        </w:rPr>
        <w:fldChar w:fldCharType="end"/>
      </w:r>
      <w:r w:rsidR="00557C61" w:rsidRPr="00B90F07">
        <w:rPr>
          <w:lang w:val="en-GB"/>
        </w:rPr>
        <w:t>). The independent assessment was supportive.</w:t>
      </w:r>
    </w:p>
    <w:p w14:paraId="22EDD1F6" w14:textId="77777777" w:rsidR="00557C61" w:rsidRPr="00B90F07" w:rsidRDefault="00557C61" w:rsidP="00557C61">
      <w:pPr>
        <w:pStyle w:val="Caption"/>
        <w:keepNext/>
        <w:ind w:left="1440" w:hanging="1440"/>
        <w:rPr>
          <w:rFonts w:asciiTheme="minorHAnsi" w:hAnsiTheme="minorHAnsi"/>
          <w:b w:val="0"/>
          <w:bCs w:val="0"/>
          <w:sz w:val="24"/>
          <w:szCs w:val="24"/>
        </w:rPr>
      </w:pPr>
      <w:bookmarkStart w:id="21" w:name="_Ref491093398"/>
    </w:p>
    <w:p w14:paraId="189C827E" w14:textId="77777777" w:rsidR="00557C61" w:rsidRPr="00B90F07" w:rsidRDefault="00557C61" w:rsidP="00557C61">
      <w:pPr>
        <w:pStyle w:val="Caption"/>
        <w:keepNext/>
        <w:ind w:left="1440" w:hanging="1440"/>
        <w:rPr>
          <w:rFonts w:asciiTheme="minorHAnsi" w:hAnsiTheme="minorHAnsi"/>
        </w:rPr>
      </w:pPr>
      <w:r w:rsidRPr="00B90F07">
        <w:rPr>
          <w:rFonts w:asciiTheme="minorHAnsi" w:hAnsiTheme="minorHAnsi"/>
        </w:rPr>
        <w:t xml:space="preserve">Table </w:t>
      </w:r>
      <w:r w:rsidRPr="00B90F07">
        <w:rPr>
          <w:rFonts w:asciiTheme="minorHAnsi" w:hAnsiTheme="minorHAnsi"/>
        </w:rPr>
        <w:fldChar w:fldCharType="begin"/>
      </w:r>
      <w:r w:rsidRPr="00B90F07">
        <w:rPr>
          <w:rFonts w:asciiTheme="minorHAnsi" w:hAnsiTheme="minorHAnsi"/>
        </w:rPr>
        <w:instrText xml:space="preserve"> SEQ Table \* ARABIC </w:instrText>
      </w:r>
      <w:r w:rsidRPr="00B90F07">
        <w:rPr>
          <w:rFonts w:asciiTheme="minorHAnsi" w:hAnsiTheme="minorHAnsi"/>
        </w:rPr>
        <w:fldChar w:fldCharType="separate"/>
      </w:r>
      <w:r w:rsidR="00D64407">
        <w:rPr>
          <w:rFonts w:asciiTheme="minorHAnsi" w:hAnsiTheme="minorHAnsi"/>
          <w:noProof/>
        </w:rPr>
        <w:t>7</w:t>
      </w:r>
      <w:r w:rsidRPr="00B90F07">
        <w:rPr>
          <w:rFonts w:asciiTheme="minorHAnsi" w:hAnsiTheme="minorHAnsi"/>
        </w:rPr>
        <w:fldChar w:fldCharType="end"/>
      </w:r>
      <w:bookmarkEnd w:id="21"/>
      <w:r w:rsidRPr="00B90F07">
        <w:rPr>
          <w:rFonts w:asciiTheme="minorHAnsi" w:hAnsiTheme="minorHAnsi"/>
        </w:rPr>
        <w:t xml:space="preserve"> </w:t>
      </w:r>
      <w:r w:rsidRPr="00B90F07">
        <w:rPr>
          <w:rFonts w:asciiTheme="minorHAnsi" w:hAnsiTheme="minorHAnsi"/>
        </w:rPr>
        <w:tab/>
        <w:t>BOLERO-2 – efficacy results</w:t>
      </w:r>
    </w:p>
    <w:tbl>
      <w:tblPr>
        <w:tblW w:w="9322" w:type="dxa"/>
        <w:tblBorders>
          <w:top w:val="single" w:sz="4" w:space="0" w:color="auto"/>
          <w:bottom w:val="single" w:sz="4" w:space="0" w:color="auto"/>
        </w:tblBorders>
        <w:tblLayout w:type="fixed"/>
        <w:tblLook w:val="0000" w:firstRow="0" w:lastRow="0" w:firstColumn="0" w:lastColumn="0" w:noHBand="0" w:noVBand="0"/>
      </w:tblPr>
      <w:tblGrid>
        <w:gridCol w:w="3078"/>
        <w:gridCol w:w="1620"/>
        <w:gridCol w:w="1800"/>
        <w:gridCol w:w="1620"/>
        <w:gridCol w:w="1204"/>
      </w:tblGrid>
      <w:tr w:rsidR="00557C61" w:rsidRPr="00E253EE" w14:paraId="35C5BEBA" w14:textId="77777777" w:rsidTr="005362D8">
        <w:trPr>
          <w:tblHeader/>
        </w:trPr>
        <w:tc>
          <w:tcPr>
            <w:tcW w:w="3078" w:type="dxa"/>
            <w:tcBorders>
              <w:top w:val="single" w:sz="4" w:space="0" w:color="auto"/>
              <w:bottom w:val="single" w:sz="4" w:space="0" w:color="auto"/>
            </w:tcBorders>
            <w:shd w:val="clear" w:color="auto" w:fill="auto"/>
          </w:tcPr>
          <w:p w14:paraId="4746D11F" w14:textId="77777777" w:rsidR="00557C61" w:rsidRPr="00E253EE" w:rsidRDefault="00557C61" w:rsidP="005362D8">
            <w:pPr>
              <w:pStyle w:val="Table"/>
              <w:rPr>
                <w:rFonts w:asciiTheme="minorHAnsi" w:hAnsiTheme="minorHAnsi"/>
                <w:b/>
                <w:szCs w:val="24"/>
              </w:rPr>
            </w:pPr>
            <w:r w:rsidRPr="00E253EE">
              <w:rPr>
                <w:rFonts w:asciiTheme="minorHAnsi" w:hAnsiTheme="minorHAnsi"/>
                <w:b/>
                <w:szCs w:val="24"/>
              </w:rPr>
              <w:t>Analysis</w:t>
            </w:r>
          </w:p>
        </w:tc>
        <w:tc>
          <w:tcPr>
            <w:tcW w:w="1620" w:type="dxa"/>
            <w:tcBorders>
              <w:top w:val="single" w:sz="4" w:space="0" w:color="auto"/>
              <w:bottom w:val="single" w:sz="4" w:space="0" w:color="auto"/>
            </w:tcBorders>
            <w:shd w:val="clear" w:color="auto" w:fill="auto"/>
          </w:tcPr>
          <w:p w14:paraId="02D178B1" w14:textId="77777777" w:rsidR="00557C61" w:rsidRPr="00E253EE" w:rsidRDefault="00557C61" w:rsidP="005362D8">
            <w:pPr>
              <w:pStyle w:val="Table"/>
              <w:jc w:val="center"/>
              <w:rPr>
                <w:rFonts w:asciiTheme="minorHAnsi" w:hAnsiTheme="minorHAnsi"/>
                <w:b/>
                <w:szCs w:val="24"/>
              </w:rPr>
            </w:pPr>
            <w:proofErr w:type="spellStart"/>
            <w:r w:rsidRPr="00E253EE">
              <w:rPr>
                <w:rFonts w:asciiTheme="minorHAnsi" w:hAnsiTheme="minorHAnsi"/>
                <w:b/>
                <w:szCs w:val="24"/>
              </w:rPr>
              <w:t>Afinitor</w:t>
            </w:r>
            <w:r w:rsidRPr="00E253EE">
              <w:rPr>
                <w:rFonts w:asciiTheme="minorHAnsi" w:hAnsiTheme="minorHAnsi"/>
                <w:b/>
                <w:szCs w:val="24"/>
                <w:vertAlign w:val="superscript"/>
              </w:rPr>
              <w:t>a</w:t>
            </w:r>
            <w:proofErr w:type="spellEnd"/>
          </w:p>
          <w:p w14:paraId="390FDD64" w14:textId="77777777" w:rsidR="00557C61" w:rsidRPr="00E253EE" w:rsidRDefault="00557C61" w:rsidP="005362D8">
            <w:pPr>
              <w:pStyle w:val="Table"/>
              <w:jc w:val="center"/>
              <w:rPr>
                <w:rFonts w:asciiTheme="minorHAnsi" w:hAnsiTheme="minorHAnsi"/>
                <w:b/>
                <w:szCs w:val="24"/>
              </w:rPr>
            </w:pPr>
            <w:r w:rsidRPr="00E253EE">
              <w:rPr>
                <w:rFonts w:asciiTheme="minorHAnsi" w:hAnsiTheme="minorHAnsi"/>
                <w:b/>
                <w:szCs w:val="24"/>
              </w:rPr>
              <w:t>N = 485</w:t>
            </w:r>
          </w:p>
        </w:tc>
        <w:tc>
          <w:tcPr>
            <w:tcW w:w="1800" w:type="dxa"/>
            <w:tcBorders>
              <w:top w:val="single" w:sz="4" w:space="0" w:color="auto"/>
              <w:bottom w:val="single" w:sz="4" w:space="0" w:color="auto"/>
            </w:tcBorders>
            <w:shd w:val="clear" w:color="auto" w:fill="auto"/>
          </w:tcPr>
          <w:p w14:paraId="30AD1CEC" w14:textId="77777777" w:rsidR="00557C61" w:rsidRPr="00E253EE" w:rsidRDefault="00557C61" w:rsidP="005362D8">
            <w:pPr>
              <w:pStyle w:val="Table"/>
              <w:jc w:val="center"/>
              <w:rPr>
                <w:rFonts w:asciiTheme="minorHAnsi" w:hAnsiTheme="minorHAnsi"/>
                <w:b/>
                <w:szCs w:val="24"/>
              </w:rPr>
            </w:pPr>
            <w:proofErr w:type="spellStart"/>
            <w:r w:rsidRPr="00E253EE">
              <w:rPr>
                <w:rFonts w:asciiTheme="minorHAnsi" w:hAnsiTheme="minorHAnsi"/>
                <w:b/>
                <w:szCs w:val="24"/>
              </w:rPr>
              <w:t>Placebo</w:t>
            </w:r>
            <w:r w:rsidRPr="00E253EE">
              <w:rPr>
                <w:rFonts w:asciiTheme="minorHAnsi" w:hAnsiTheme="minorHAnsi"/>
                <w:b/>
                <w:szCs w:val="24"/>
                <w:vertAlign w:val="superscript"/>
              </w:rPr>
              <w:t>a</w:t>
            </w:r>
            <w:proofErr w:type="spellEnd"/>
          </w:p>
          <w:p w14:paraId="7C3B612C" w14:textId="77777777" w:rsidR="00557C61" w:rsidRPr="00E253EE" w:rsidRDefault="00557C61" w:rsidP="005362D8">
            <w:pPr>
              <w:pStyle w:val="Table"/>
              <w:jc w:val="center"/>
              <w:rPr>
                <w:rFonts w:asciiTheme="minorHAnsi" w:hAnsiTheme="minorHAnsi"/>
                <w:b/>
                <w:szCs w:val="24"/>
              </w:rPr>
            </w:pPr>
            <w:r w:rsidRPr="00E253EE">
              <w:rPr>
                <w:rFonts w:asciiTheme="minorHAnsi" w:hAnsiTheme="minorHAnsi"/>
                <w:b/>
                <w:szCs w:val="24"/>
              </w:rPr>
              <w:t>N = 239</w:t>
            </w:r>
          </w:p>
        </w:tc>
        <w:tc>
          <w:tcPr>
            <w:tcW w:w="1620" w:type="dxa"/>
            <w:tcBorders>
              <w:top w:val="single" w:sz="4" w:space="0" w:color="auto"/>
              <w:bottom w:val="single" w:sz="4" w:space="0" w:color="auto"/>
            </w:tcBorders>
            <w:shd w:val="clear" w:color="auto" w:fill="auto"/>
          </w:tcPr>
          <w:p w14:paraId="0D0BD437" w14:textId="77777777" w:rsidR="00557C61" w:rsidRPr="00E253EE" w:rsidRDefault="00557C61" w:rsidP="005362D8">
            <w:pPr>
              <w:pStyle w:val="Table"/>
              <w:jc w:val="center"/>
              <w:rPr>
                <w:rFonts w:asciiTheme="minorHAnsi" w:hAnsiTheme="minorHAnsi"/>
                <w:b/>
                <w:szCs w:val="24"/>
              </w:rPr>
            </w:pPr>
            <w:r w:rsidRPr="00E253EE">
              <w:rPr>
                <w:rFonts w:asciiTheme="minorHAnsi" w:hAnsiTheme="minorHAnsi"/>
                <w:b/>
                <w:szCs w:val="24"/>
              </w:rPr>
              <w:t>Hazard ratio</w:t>
            </w:r>
          </w:p>
        </w:tc>
        <w:tc>
          <w:tcPr>
            <w:tcW w:w="1204" w:type="dxa"/>
            <w:tcBorders>
              <w:top w:val="single" w:sz="4" w:space="0" w:color="auto"/>
              <w:bottom w:val="single" w:sz="4" w:space="0" w:color="auto"/>
            </w:tcBorders>
            <w:shd w:val="clear" w:color="auto" w:fill="auto"/>
          </w:tcPr>
          <w:p w14:paraId="19D905F1" w14:textId="77777777" w:rsidR="00557C61" w:rsidRPr="00E253EE" w:rsidRDefault="00557C61" w:rsidP="005362D8">
            <w:pPr>
              <w:pStyle w:val="Table"/>
              <w:jc w:val="center"/>
              <w:rPr>
                <w:rFonts w:asciiTheme="minorHAnsi" w:hAnsiTheme="minorHAnsi"/>
                <w:b/>
                <w:szCs w:val="24"/>
              </w:rPr>
            </w:pPr>
            <w:r w:rsidRPr="00E253EE">
              <w:rPr>
                <w:rFonts w:asciiTheme="minorHAnsi" w:hAnsiTheme="minorHAnsi"/>
                <w:b/>
                <w:szCs w:val="24"/>
              </w:rPr>
              <w:t>P-value</w:t>
            </w:r>
          </w:p>
        </w:tc>
      </w:tr>
      <w:tr w:rsidR="00557C61" w:rsidRPr="00E253EE" w14:paraId="78315B7E" w14:textId="77777777" w:rsidTr="005362D8">
        <w:tc>
          <w:tcPr>
            <w:tcW w:w="9322" w:type="dxa"/>
            <w:gridSpan w:val="5"/>
            <w:tcBorders>
              <w:top w:val="single" w:sz="4" w:space="0" w:color="auto"/>
            </w:tcBorders>
            <w:shd w:val="clear" w:color="auto" w:fill="auto"/>
          </w:tcPr>
          <w:p w14:paraId="7E32A6AE" w14:textId="77777777" w:rsidR="00557C61" w:rsidRPr="00E253EE" w:rsidRDefault="00557C61" w:rsidP="005362D8">
            <w:pPr>
              <w:pStyle w:val="Table"/>
              <w:rPr>
                <w:rFonts w:asciiTheme="minorHAnsi" w:hAnsiTheme="minorHAnsi"/>
                <w:b/>
                <w:szCs w:val="24"/>
              </w:rPr>
            </w:pPr>
            <w:r w:rsidRPr="00E253EE">
              <w:rPr>
                <w:rFonts w:asciiTheme="minorHAnsi" w:hAnsiTheme="minorHAnsi"/>
                <w:b/>
                <w:szCs w:val="24"/>
              </w:rPr>
              <w:t>Median progression-free survival (months, 95% CI)</w:t>
            </w:r>
          </w:p>
        </w:tc>
      </w:tr>
      <w:tr w:rsidR="00557C61" w:rsidRPr="00E253EE" w14:paraId="3BF757D3" w14:textId="77777777" w:rsidTr="005362D8">
        <w:tc>
          <w:tcPr>
            <w:tcW w:w="3078" w:type="dxa"/>
            <w:tcBorders>
              <w:top w:val="single" w:sz="4" w:space="0" w:color="auto"/>
            </w:tcBorders>
            <w:shd w:val="clear" w:color="auto" w:fill="auto"/>
          </w:tcPr>
          <w:p w14:paraId="188FDB66" w14:textId="77777777" w:rsidR="00557C61" w:rsidRPr="00E253EE" w:rsidRDefault="00557C61" w:rsidP="005362D8">
            <w:pPr>
              <w:pStyle w:val="Table"/>
              <w:rPr>
                <w:rFonts w:asciiTheme="minorHAnsi" w:hAnsiTheme="minorHAnsi"/>
                <w:szCs w:val="24"/>
              </w:rPr>
            </w:pPr>
            <w:r w:rsidRPr="00E253EE">
              <w:rPr>
                <w:rFonts w:asciiTheme="minorHAnsi" w:hAnsiTheme="minorHAnsi"/>
                <w:szCs w:val="24"/>
              </w:rPr>
              <w:t>Investigator radiological review</w:t>
            </w:r>
          </w:p>
        </w:tc>
        <w:tc>
          <w:tcPr>
            <w:tcW w:w="1620" w:type="dxa"/>
            <w:tcBorders>
              <w:top w:val="single" w:sz="4" w:space="0" w:color="auto"/>
            </w:tcBorders>
            <w:shd w:val="clear" w:color="auto" w:fill="auto"/>
          </w:tcPr>
          <w:p w14:paraId="61E09DD0"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7.8</w:t>
            </w:r>
          </w:p>
          <w:p w14:paraId="01131287"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(6.9 to 8.5)</w:t>
            </w:r>
          </w:p>
        </w:tc>
        <w:tc>
          <w:tcPr>
            <w:tcW w:w="1800" w:type="dxa"/>
            <w:tcBorders>
              <w:top w:val="single" w:sz="4" w:space="0" w:color="auto"/>
            </w:tcBorders>
            <w:shd w:val="clear" w:color="auto" w:fill="auto"/>
          </w:tcPr>
          <w:p w14:paraId="53BA6FFA" w14:textId="77777777" w:rsidR="00557C61" w:rsidRPr="00E253EE" w:rsidRDefault="00557C61" w:rsidP="005362D8">
            <w:pPr>
              <w:pStyle w:val="Table"/>
              <w:jc w:val="center"/>
              <w:rPr>
                <w:rFonts w:asciiTheme="minorHAnsi" w:hAnsiTheme="minorHAnsi"/>
                <w:strike/>
                <w:szCs w:val="24"/>
              </w:rPr>
            </w:pPr>
            <w:r w:rsidRPr="00E253EE">
              <w:rPr>
                <w:rFonts w:asciiTheme="minorHAnsi" w:hAnsiTheme="minorHAnsi"/>
                <w:szCs w:val="24"/>
              </w:rPr>
              <w:t>3.2</w:t>
            </w:r>
          </w:p>
          <w:p w14:paraId="3266A6BC"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(2.8 to 4.1)</w:t>
            </w:r>
          </w:p>
        </w:tc>
        <w:tc>
          <w:tcPr>
            <w:tcW w:w="1620" w:type="dxa"/>
            <w:tcBorders>
              <w:top w:val="single" w:sz="4" w:space="0" w:color="auto"/>
            </w:tcBorders>
            <w:shd w:val="clear" w:color="auto" w:fill="auto"/>
          </w:tcPr>
          <w:p w14:paraId="2717423B"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0.45</w:t>
            </w:r>
          </w:p>
          <w:p w14:paraId="4254934C"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(0.38 to 0.54)</w:t>
            </w:r>
          </w:p>
        </w:tc>
        <w:tc>
          <w:tcPr>
            <w:tcW w:w="1204" w:type="dxa"/>
            <w:tcBorders>
              <w:top w:val="single" w:sz="4" w:space="0" w:color="auto"/>
            </w:tcBorders>
            <w:shd w:val="clear" w:color="auto" w:fill="auto"/>
          </w:tcPr>
          <w:p w14:paraId="41A3977C" w14:textId="77777777" w:rsidR="00557C61" w:rsidRPr="00E253EE" w:rsidRDefault="00557C61" w:rsidP="005362D8">
            <w:pPr>
              <w:pStyle w:val="Text"/>
              <w:jc w:val="center"/>
              <w:rPr>
                <w:rFonts w:asciiTheme="minorHAnsi" w:hAnsiTheme="minorHAnsi"/>
                <w:sz w:val="20"/>
                <w:szCs w:val="24"/>
              </w:rPr>
            </w:pPr>
            <w:r w:rsidRPr="00E253EE">
              <w:rPr>
                <w:rFonts w:asciiTheme="minorHAnsi" w:hAnsiTheme="minorHAnsi"/>
                <w:sz w:val="20"/>
                <w:szCs w:val="24"/>
              </w:rPr>
              <w:t>&lt;0.0001</w:t>
            </w:r>
          </w:p>
        </w:tc>
      </w:tr>
      <w:tr w:rsidR="00557C61" w:rsidRPr="00E253EE" w14:paraId="67B62AFB" w14:textId="77777777" w:rsidTr="005362D8">
        <w:tc>
          <w:tcPr>
            <w:tcW w:w="3078" w:type="dxa"/>
            <w:tcBorders>
              <w:bottom w:val="single" w:sz="4" w:space="0" w:color="auto"/>
            </w:tcBorders>
            <w:shd w:val="clear" w:color="auto" w:fill="auto"/>
          </w:tcPr>
          <w:p w14:paraId="1AF10316" w14:textId="77777777" w:rsidR="00557C61" w:rsidRPr="00E253EE" w:rsidRDefault="00557C61" w:rsidP="005362D8">
            <w:pPr>
              <w:pStyle w:val="Text"/>
              <w:jc w:val="left"/>
              <w:rPr>
                <w:rFonts w:asciiTheme="minorHAnsi" w:hAnsiTheme="minorHAnsi"/>
                <w:sz w:val="20"/>
                <w:szCs w:val="24"/>
              </w:rPr>
            </w:pPr>
            <w:r w:rsidRPr="00E253EE">
              <w:rPr>
                <w:rFonts w:asciiTheme="minorHAnsi" w:hAnsiTheme="minorHAnsi"/>
                <w:sz w:val="20"/>
                <w:szCs w:val="24"/>
              </w:rPr>
              <w:t>Independent radiological review</w:t>
            </w:r>
          </w:p>
        </w:tc>
        <w:tc>
          <w:tcPr>
            <w:tcW w:w="1620" w:type="dxa"/>
            <w:tcBorders>
              <w:bottom w:val="single" w:sz="4" w:space="0" w:color="auto"/>
            </w:tcBorders>
            <w:shd w:val="clear" w:color="auto" w:fill="auto"/>
          </w:tcPr>
          <w:p w14:paraId="2B1016C5" w14:textId="77777777" w:rsidR="00557C61" w:rsidRPr="00E253EE" w:rsidRDefault="00557C61" w:rsidP="005362D8">
            <w:pPr>
              <w:pStyle w:val="Table"/>
              <w:jc w:val="center"/>
              <w:rPr>
                <w:rFonts w:asciiTheme="minorHAnsi" w:hAnsiTheme="minorHAnsi"/>
                <w:strike/>
                <w:szCs w:val="24"/>
              </w:rPr>
            </w:pPr>
            <w:r w:rsidRPr="00E253EE">
              <w:rPr>
                <w:rFonts w:asciiTheme="minorHAnsi" w:hAnsiTheme="minorHAnsi"/>
                <w:szCs w:val="24"/>
              </w:rPr>
              <w:t>11.0</w:t>
            </w:r>
          </w:p>
          <w:p w14:paraId="23464AC0"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(9.7 to 15.0)</w:t>
            </w:r>
          </w:p>
        </w:tc>
        <w:tc>
          <w:tcPr>
            <w:tcW w:w="1800" w:type="dxa"/>
            <w:tcBorders>
              <w:bottom w:val="single" w:sz="4" w:space="0" w:color="auto"/>
            </w:tcBorders>
            <w:shd w:val="clear" w:color="auto" w:fill="auto"/>
          </w:tcPr>
          <w:p w14:paraId="5AAE70A7" w14:textId="77777777" w:rsidR="00557C61" w:rsidRPr="00E253EE" w:rsidRDefault="00557C61" w:rsidP="005362D8">
            <w:pPr>
              <w:pStyle w:val="Table"/>
              <w:jc w:val="center"/>
              <w:rPr>
                <w:rFonts w:asciiTheme="minorHAnsi" w:hAnsiTheme="minorHAnsi"/>
                <w:strike/>
                <w:szCs w:val="24"/>
              </w:rPr>
            </w:pPr>
            <w:r w:rsidRPr="00E253EE">
              <w:rPr>
                <w:rFonts w:asciiTheme="minorHAnsi" w:hAnsiTheme="minorHAnsi"/>
                <w:szCs w:val="24"/>
              </w:rPr>
              <w:t>4.1</w:t>
            </w:r>
          </w:p>
          <w:p w14:paraId="7124ACC1"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(2.9 to 5.6)</w:t>
            </w:r>
          </w:p>
        </w:tc>
        <w:tc>
          <w:tcPr>
            <w:tcW w:w="1620" w:type="dxa"/>
            <w:tcBorders>
              <w:bottom w:val="single" w:sz="4" w:space="0" w:color="auto"/>
            </w:tcBorders>
            <w:shd w:val="clear" w:color="auto" w:fill="auto"/>
          </w:tcPr>
          <w:p w14:paraId="27044C25" w14:textId="77777777" w:rsidR="00557C61" w:rsidRPr="00E253EE" w:rsidRDefault="00557C61" w:rsidP="005362D8">
            <w:pPr>
              <w:pStyle w:val="Table"/>
              <w:jc w:val="center"/>
              <w:rPr>
                <w:rFonts w:asciiTheme="minorHAnsi" w:hAnsiTheme="minorHAnsi"/>
                <w:strike/>
                <w:szCs w:val="24"/>
              </w:rPr>
            </w:pPr>
            <w:r w:rsidRPr="00E253EE">
              <w:rPr>
                <w:rFonts w:asciiTheme="minorHAnsi" w:hAnsiTheme="minorHAnsi"/>
                <w:szCs w:val="24"/>
              </w:rPr>
              <w:t>0.38</w:t>
            </w:r>
          </w:p>
          <w:p w14:paraId="6AE9EDCC"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(0.31 to 0.48)</w:t>
            </w:r>
          </w:p>
        </w:tc>
        <w:tc>
          <w:tcPr>
            <w:tcW w:w="1204" w:type="dxa"/>
            <w:tcBorders>
              <w:bottom w:val="single" w:sz="4" w:space="0" w:color="auto"/>
            </w:tcBorders>
            <w:shd w:val="clear" w:color="auto" w:fill="auto"/>
          </w:tcPr>
          <w:p w14:paraId="2B549A74"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&lt;0.0001</w:t>
            </w:r>
          </w:p>
        </w:tc>
      </w:tr>
      <w:tr w:rsidR="00557C61" w:rsidRPr="00E253EE" w14:paraId="3E156A52" w14:textId="77777777" w:rsidTr="005362D8">
        <w:trPr>
          <w:tblHeader/>
        </w:trPr>
        <w:tc>
          <w:tcPr>
            <w:tcW w:w="9322" w:type="dxa"/>
            <w:gridSpan w:val="5"/>
            <w:tcBorders>
              <w:top w:val="single" w:sz="4" w:space="0" w:color="auto"/>
              <w:bottom w:val="single" w:sz="4" w:space="0" w:color="auto"/>
            </w:tcBorders>
            <w:shd w:val="clear" w:color="auto" w:fill="auto"/>
          </w:tcPr>
          <w:p w14:paraId="529BCD07" w14:textId="77777777" w:rsidR="00557C61" w:rsidRPr="00E253EE" w:rsidRDefault="00557C61" w:rsidP="005362D8">
            <w:pPr>
              <w:pStyle w:val="Table"/>
              <w:rPr>
                <w:rFonts w:asciiTheme="minorHAnsi" w:hAnsiTheme="minorHAnsi"/>
                <w:b/>
                <w:szCs w:val="24"/>
              </w:rPr>
            </w:pPr>
            <w:r w:rsidRPr="00E253EE">
              <w:rPr>
                <w:rFonts w:asciiTheme="minorHAnsi" w:hAnsiTheme="minorHAnsi"/>
                <w:b/>
                <w:szCs w:val="24"/>
              </w:rPr>
              <w:t>Best overall response (%, 95% CI)</w:t>
            </w:r>
          </w:p>
        </w:tc>
      </w:tr>
      <w:tr w:rsidR="00557C61" w:rsidRPr="00E253EE" w14:paraId="174674AE" w14:textId="77777777" w:rsidTr="005362D8">
        <w:tc>
          <w:tcPr>
            <w:tcW w:w="3078" w:type="dxa"/>
            <w:shd w:val="clear" w:color="auto" w:fill="auto"/>
          </w:tcPr>
          <w:p w14:paraId="569CB164" w14:textId="77777777" w:rsidR="00557C61" w:rsidRPr="00E253EE" w:rsidRDefault="00557C61" w:rsidP="005362D8">
            <w:pPr>
              <w:pStyle w:val="Table"/>
              <w:rPr>
                <w:rFonts w:asciiTheme="minorHAnsi" w:hAnsiTheme="minorHAnsi"/>
                <w:szCs w:val="24"/>
              </w:rPr>
            </w:pPr>
            <w:r w:rsidRPr="00E253EE">
              <w:rPr>
                <w:rFonts w:asciiTheme="minorHAnsi" w:hAnsiTheme="minorHAnsi"/>
                <w:szCs w:val="24"/>
              </w:rPr>
              <w:t>Objective response rate (ORR)</w:t>
            </w:r>
            <w:r w:rsidRPr="00E253EE">
              <w:rPr>
                <w:rFonts w:asciiTheme="minorHAnsi" w:hAnsiTheme="minorHAnsi"/>
                <w:szCs w:val="24"/>
                <w:vertAlign w:val="superscript"/>
              </w:rPr>
              <w:t>b</w:t>
            </w:r>
          </w:p>
          <w:p w14:paraId="544E2EDB" w14:textId="77777777" w:rsidR="00557C61" w:rsidRPr="00E253EE" w:rsidRDefault="00557C61" w:rsidP="005362D8">
            <w:pPr>
              <w:pStyle w:val="Table"/>
              <w:rPr>
                <w:rFonts w:asciiTheme="minorHAnsi" w:hAnsiTheme="minorHAnsi"/>
                <w:szCs w:val="24"/>
              </w:rPr>
            </w:pPr>
          </w:p>
        </w:tc>
        <w:tc>
          <w:tcPr>
            <w:tcW w:w="1620" w:type="dxa"/>
            <w:shd w:val="clear" w:color="auto" w:fill="auto"/>
          </w:tcPr>
          <w:p w14:paraId="5668661E"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12.6</w:t>
            </w:r>
          </w:p>
          <w:p w14:paraId="7E226F93"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(9.8 to 15.9)</w:t>
            </w:r>
          </w:p>
        </w:tc>
        <w:tc>
          <w:tcPr>
            <w:tcW w:w="1800" w:type="dxa"/>
            <w:shd w:val="clear" w:color="auto" w:fill="auto"/>
          </w:tcPr>
          <w:p w14:paraId="0A1F6313" w14:textId="77777777" w:rsidR="00557C61" w:rsidRPr="00E253EE" w:rsidRDefault="00557C61" w:rsidP="005362D8">
            <w:pPr>
              <w:pStyle w:val="Table"/>
              <w:jc w:val="center"/>
              <w:rPr>
                <w:rFonts w:asciiTheme="minorHAnsi" w:hAnsiTheme="minorHAnsi"/>
                <w:strike/>
                <w:szCs w:val="24"/>
              </w:rPr>
            </w:pPr>
            <w:r w:rsidRPr="00E253EE">
              <w:rPr>
                <w:rFonts w:asciiTheme="minorHAnsi" w:hAnsiTheme="minorHAnsi"/>
                <w:szCs w:val="24"/>
              </w:rPr>
              <w:t>1.7</w:t>
            </w:r>
          </w:p>
          <w:p w14:paraId="71288F5D"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(0.5 to 4.2)</w:t>
            </w:r>
          </w:p>
        </w:tc>
        <w:tc>
          <w:tcPr>
            <w:tcW w:w="1620" w:type="dxa"/>
            <w:shd w:val="clear" w:color="auto" w:fill="auto"/>
            <w:vAlign w:val="center"/>
          </w:tcPr>
          <w:p w14:paraId="3C10DD38"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n/a</w:t>
            </w:r>
            <w:r w:rsidRPr="00E253EE">
              <w:rPr>
                <w:rFonts w:asciiTheme="minorHAnsi" w:hAnsiTheme="minorHAnsi"/>
                <w:szCs w:val="24"/>
                <w:vertAlign w:val="superscript"/>
              </w:rPr>
              <w:t>d</w:t>
            </w:r>
          </w:p>
        </w:tc>
        <w:tc>
          <w:tcPr>
            <w:tcW w:w="1204" w:type="dxa"/>
            <w:shd w:val="clear" w:color="auto" w:fill="auto"/>
            <w:vAlign w:val="center"/>
          </w:tcPr>
          <w:p w14:paraId="6E037FB0"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&lt;0.0001</w:t>
            </w:r>
            <w:r w:rsidRPr="00E253EE">
              <w:rPr>
                <w:rFonts w:asciiTheme="minorHAnsi" w:hAnsiTheme="minorHAnsi"/>
                <w:szCs w:val="24"/>
                <w:vertAlign w:val="superscript"/>
              </w:rPr>
              <w:t>e</w:t>
            </w:r>
          </w:p>
        </w:tc>
      </w:tr>
      <w:tr w:rsidR="00557C61" w:rsidRPr="00E253EE" w14:paraId="541EBEC3" w14:textId="77777777" w:rsidTr="005362D8">
        <w:tc>
          <w:tcPr>
            <w:tcW w:w="3078" w:type="dxa"/>
            <w:tcBorders>
              <w:bottom w:val="nil"/>
            </w:tcBorders>
            <w:shd w:val="clear" w:color="auto" w:fill="auto"/>
          </w:tcPr>
          <w:p w14:paraId="04F706DD" w14:textId="77777777" w:rsidR="00557C61" w:rsidRPr="00E253EE" w:rsidRDefault="00557C61" w:rsidP="005362D8">
            <w:pPr>
              <w:pStyle w:val="Table"/>
              <w:rPr>
                <w:rFonts w:asciiTheme="minorHAnsi" w:hAnsiTheme="minorHAnsi"/>
                <w:szCs w:val="24"/>
              </w:rPr>
            </w:pPr>
          </w:p>
        </w:tc>
        <w:tc>
          <w:tcPr>
            <w:tcW w:w="1620" w:type="dxa"/>
            <w:tcBorders>
              <w:bottom w:val="nil"/>
            </w:tcBorders>
            <w:shd w:val="clear" w:color="auto" w:fill="auto"/>
          </w:tcPr>
          <w:p w14:paraId="13CF02FC" w14:textId="77777777" w:rsidR="00557C61" w:rsidRPr="00E253EE" w:rsidRDefault="00557C61" w:rsidP="005362D8">
            <w:pPr>
              <w:pStyle w:val="Table"/>
              <w:jc w:val="center"/>
              <w:rPr>
                <w:rFonts w:asciiTheme="minorHAnsi" w:hAnsiTheme="minorHAnsi"/>
                <w:strike/>
                <w:szCs w:val="24"/>
              </w:rPr>
            </w:pPr>
          </w:p>
        </w:tc>
        <w:tc>
          <w:tcPr>
            <w:tcW w:w="1800" w:type="dxa"/>
            <w:tcBorders>
              <w:bottom w:val="nil"/>
            </w:tcBorders>
            <w:shd w:val="clear" w:color="auto" w:fill="auto"/>
          </w:tcPr>
          <w:p w14:paraId="07B247F4" w14:textId="77777777" w:rsidR="00557C61" w:rsidRPr="00E253EE" w:rsidRDefault="00557C61" w:rsidP="005362D8">
            <w:pPr>
              <w:pStyle w:val="Table"/>
              <w:jc w:val="center"/>
              <w:rPr>
                <w:rFonts w:asciiTheme="minorHAnsi" w:hAnsiTheme="minorHAnsi"/>
                <w:strike/>
                <w:szCs w:val="24"/>
              </w:rPr>
            </w:pPr>
          </w:p>
        </w:tc>
        <w:tc>
          <w:tcPr>
            <w:tcW w:w="1620" w:type="dxa"/>
            <w:tcBorders>
              <w:bottom w:val="nil"/>
            </w:tcBorders>
            <w:shd w:val="clear" w:color="auto" w:fill="auto"/>
          </w:tcPr>
          <w:p w14:paraId="5D7F1D47" w14:textId="77777777" w:rsidR="00557C61" w:rsidRPr="00E253EE" w:rsidRDefault="00557C61" w:rsidP="005362D8">
            <w:pPr>
              <w:pStyle w:val="Table"/>
              <w:jc w:val="center"/>
              <w:rPr>
                <w:rFonts w:asciiTheme="minorHAnsi" w:hAnsiTheme="minorHAnsi"/>
                <w:szCs w:val="24"/>
              </w:rPr>
            </w:pPr>
          </w:p>
        </w:tc>
        <w:tc>
          <w:tcPr>
            <w:tcW w:w="1204" w:type="dxa"/>
            <w:tcBorders>
              <w:bottom w:val="nil"/>
            </w:tcBorders>
            <w:shd w:val="clear" w:color="auto" w:fill="auto"/>
          </w:tcPr>
          <w:p w14:paraId="70930B20" w14:textId="77777777" w:rsidR="00557C61" w:rsidRPr="00E253EE" w:rsidRDefault="00557C61" w:rsidP="005362D8">
            <w:pPr>
              <w:pStyle w:val="Table"/>
              <w:jc w:val="center"/>
              <w:rPr>
                <w:rFonts w:asciiTheme="minorHAnsi" w:hAnsiTheme="minorHAnsi"/>
                <w:szCs w:val="24"/>
              </w:rPr>
            </w:pPr>
          </w:p>
        </w:tc>
      </w:tr>
      <w:tr w:rsidR="00557C61" w:rsidRPr="00E253EE" w14:paraId="43F20826" w14:textId="77777777" w:rsidTr="005362D8">
        <w:tc>
          <w:tcPr>
            <w:tcW w:w="3078" w:type="dxa"/>
            <w:tcBorders>
              <w:top w:val="nil"/>
              <w:bottom w:val="nil"/>
            </w:tcBorders>
            <w:shd w:val="clear" w:color="auto" w:fill="auto"/>
          </w:tcPr>
          <w:p w14:paraId="3A892DA9" w14:textId="77777777" w:rsidR="00557C61" w:rsidRPr="00E253EE" w:rsidRDefault="00557C61" w:rsidP="005362D8">
            <w:pPr>
              <w:pStyle w:val="Table"/>
              <w:rPr>
                <w:rFonts w:asciiTheme="minorHAnsi" w:hAnsiTheme="minorHAnsi"/>
                <w:szCs w:val="24"/>
              </w:rPr>
            </w:pPr>
            <w:r w:rsidRPr="00E253EE">
              <w:rPr>
                <w:rFonts w:asciiTheme="minorHAnsi" w:hAnsiTheme="minorHAnsi"/>
                <w:szCs w:val="24"/>
              </w:rPr>
              <w:t>Clinical benefit rate (CBR)</w:t>
            </w:r>
            <w:r w:rsidRPr="00E253EE">
              <w:rPr>
                <w:rFonts w:asciiTheme="minorHAnsi" w:hAnsiTheme="minorHAnsi"/>
                <w:szCs w:val="24"/>
                <w:vertAlign w:val="superscript"/>
              </w:rPr>
              <w:t>c</w:t>
            </w:r>
          </w:p>
        </w:tc>
        <w:tc>
          <w:tcPr>
            <w:tcW w:w="1620" w:type="dxa"/>
            <w:tcBorders>
              <w:top w:val="nil"/>
              <w:bottom w:val="nil"/>
            </w:tcBorders>
            <w:shd w:val="clear" w:color="auto" w:fill="auto"/>
          </w:tcPr>
          <w:p w14:paraId="3BA978AC"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51.3</w:t>
            </w:r>
          </w:p>
          <w:p w14:paraId="6F8734E0" w14:textId="77777777" w:rsidR="00557C61" w:rsidRPr="00E253EE" w:rsidRDefault="00557C61" w:rsidP="005362D8">
            <w:pPr>
              <w:pStyle w:val="Table"/>
              <w:jc w:val="center"/>
              <w:rPr>
                <w:rFonts w:asciiTheme="minorHAnsi" w:hAnsiTheme="minorHAnsi"/>
                <w:strike/>
                <w:szCs w:val="24"/>
              </w:rPr>
            </w:pPr>
          </w:p>
        </w:tc>
        <w:tc>
          <w:tcPr>
            <w:tcW w:w="1800" w:type="dxa"/>
            <w:tcBorders>
              <w:top w:val="nil"/>
              <w:bottom w:val="nil"/>
            </w:tcBorders>
            <w:shd w:val="clear" w:color="auto" w:fill="auto"/>
          </w:tcPr>
          <w:p w14:paraId="31045FC6"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26.4</w:t>
            </w:r>
          </w:p>
          <w:p w14:paraId="0FDB0613" w14:textId="77777777" w:rsidR="00557C61" w:rsidRPr="00E253EE" w:rsidRDefault="00557C61" w:rsidP="005362D8">
            <w:pPr>
              <w:pStyle w:val="Table"/>
              <w:jc w:val="center"/>
              <w:rPr>
                <w:rFonts w:asciiTheme="minorHAnsi" w:hAnsiTheme="minorHAnsi"/>
                <w:strike/>
                <w:szCs w:val="24"/>
              </w:rPr>
            </w:pPr>
          </w:p>
        </w:tc>
        <w:tc>
          <w:tcPr>
            <w:tcW w:w="1620" w:type="dxa"/>
            <w:tcBorders>
              <w:top w:val="nil"/>
              <w:bottom w:val="nil"/>
            </w:tcBorders>
            <w:shd w:val="clear" w:color="auto" w:fill="auto"/>
            <w:vAlign w:val="center"/>
          </w:tcPr>
          <w:p w14:paraId="6084C3E4"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n/a</w:t>
            </w:r>
            <w:r w:rsidRPr="00E253EE">
              <w:rPr>
                <w:rFonts w:asciiTheme="minorHAnsi" w:hAnsiTheme="minorHAnsi"/>
                <w:szCs w:val="24"/>
                <w:vertAlign w:val="superscript"/>
              </w:rPr>
              <w:t>d</w:t>
            </w:r>
          </w:p>
        </w:tc>
        <w:tc>
          <w:tcPr>
            <w:tcW w:w="1204" w:type="dxa"/>
            <w:tcBorders>
              <w:top w:val="nil"/>
              <w:bottom w:val="nil"/>
            </w:tcBorders>
            <w:shd w:val="clear" w:color="auto" w:fill="auto"/>
            <w:vAlign w:val="center"/>
          </w:tcPr>
          <w:p w14:paraId="605BFC7C"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&lt;0.0001</w:t>
            </w:r>
            <w:r w:rsidRPr="00E253EE">
              <w:rPr>
                <w:rFonts w:asciiTheme="minorHAnsi" w:hAnsiTheme="minorHAnsi"/>
                <w:szCs w:val="24"/>
                <w:vertAlign w:val="superscript"/>
              </w:rPr>
              <w:t>e</w:t>
            </w:r>
          </w:p>
        </w:tc>
      </w:tr>
      <w:tr w:rsidR="00557C61" w:rsidRPr="00E253EE" w14:paraId="3F94D3C1" w14:textId="77777777" w:rsidTr="005362D8">
        <w:tc>
          <w:tcPr>
            <w:tcW w:w="3078" w:type="dxa"/>
            <w:tcBorders>
              <w:top w:val="nil"/>
              <w:bottom w:val="single" w:sz="4" w:space="0" w:color="auto"/>
            </w:tcBorders>
            <w:shd w:val="clear" w:color="auto" w:fill="auto"/>
          </w:tcPr>
          <w:p w14:paraId="372F713F" w14:textId="77777777" w:rsidR="00557C61" w:rsidRPr="00E253EE" w:rsidRDefault="00557C61" w:rsidP="005362D8">
            <w:pPr>
              <w:pStyle w:val="Table"/>
              <w:rPr>
                <w:rFonts w:asciiTheme="minorHAnsi" w:hAnsiTheme="minorHAnsi"/>
                <w:szCs w:val="24"/>
              </w:rPr>
            </w:pPr>
          </w:p>
        </w:tc>
        <w:tc>
          <w:tcPr>
            <w:tcW w:w="1620" w:type="dxa"/>
            <w:tcBorders>
              <w:top w:val="nil"/>
              <w:bottom w:val="single" w:sz="4" w:space="0" w:color="auto"/>
            </w:tcBorders>
            <w:shd w:val="clear" w:color="auto" w:fill="auto"/>
          </w:tcPr>
          <w:p w14:paraId="321856C1"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(46.8 to 55.9)</w:t>
            </w:r>
          </w:p>
        </w:tc>
        <w:tc>
          <w:tcPr>
            <w:tcW w:w="1800" w:type="dxa"/>
            <w:tcBorders>
              <w:top w:val="nil"/>
              <w:bottom w:val="single" w:sz="4" w:space="0" w:color="auto"/>
            </w:tcBorders>
            <w:shd w:val="clear" w:color="auto" w:fill="auto"/>
          </w:tcPr>
          <w:p w14:paraId="6AC4EDEC" w14:textId="77777777" w:rsidR="00557C61" w:rsidRPr="00E253EE" w:rsidRDefault="00557C61" w:rsidP="005362D8">
            <w:pPr>
              <w:pStyle w:val="Table"/>
              <w:jc w:val="center"/>
              <w:rPr>
                <w:rFonts w:asciiTheme="minorHAnsi" w:hAnsiTheme="minorHAnsi"/>
                <w:szCs w:val="24"/>
              </w:rPr>
            </w:pPr>
            <w:r w:rsidRPr="00E253EE">
              <w:rPr>
                <w:rFonts w:asciiTheme="minorHAnsi" w:hAnsiTheme="minorHAnsi"/>
                <w:szCs w:val="24"/>
              </w:rPr>
              <w:t>(20.9 to 32.4)</w:t>
            </w:r>
          </w:p>
        </w:tc>
        <w:tc>
          <w:tcPr>
            <w:tcW w:w="1620" w:type="dxa"/>
            <w:tcBorders>
              <w:top w:val="nil"/>
              <w:bottom w:val="single" w:sz="4" w:space="0" w:color="auto"/>
            </w:tcBorders>
            <w:shd w:val="clear" w:color="auto" w:fill="auto"/>
          </w:tcPr>
          <w:p w14:paraId="1FE85F56" w14:textId="77777777" w:rsidR="00557C61" w:rsidRPr="00E253EE" w:rsidRDefault="00557C61" w:rsidP="005362D8">
            <w:pPr>
              <w:pStyle w:val="Table"/>
              <w:jc w:val="center"/>
              <w:rPr>
                <w:rFonts w:asciiTheme="minorHAnsi" w:hAnsiTheme="minorHAnsi"/>
                <w:szCs w:val="24"/>
              </w:rPr>
            </w:pPr>
          </w:p>
        </w:tc>
        <w:tc>
          <w:tcPr>
            <w:tcW w:w="1204" w:type="dxa"/>
            <w:tcBorders>
              <w:top w:val="nil"/>
              <w:bottom w:val="single" w:sz="4" w:space="0" w:color="auto"/>
            </w:tcBorders>
            <w:shd w:val="clear" w:color="auto" w:fill="auto"/>
          </w:tcPr>
          <w:p w14:paraId="309E2F99" w14:textId="77777777" w:rsidR="00557C61" w:rsidRPr="00E253EE" w:rsidRDefault="00557C61" w:rsidP="005362D8">
            <w:pPr>
              <w:pStyle w:val="Table"/>
              <w:jc w:val="center"/>
              <w:rPr>
                <w:rFonts w:asciiTheme="minorHAnsi" w:hAnsiTheme="minorHAnsi"/>
                <w:szCs w:val="24"/>
              </w:rPr>
            </w:pPr>
          </w:p>
        </w:tc>
      </w:tr>
      <w:tr w:rsidR="00557C61" w:rsidRPr="00E253EE" w14:paraId="406C3851" w14:textId="77777777" w:rsidTr="005362D8">
        <w:tc>
          <w:tcPr>
            <w:tcW w:w="9322" w:type="dxa"/>
            <w:gridSpan w:val="5"/>
            <w:tcBorders>
              <w:top w:val="single" w:sz="4" w:space="0" w:color="auto"/>
            </w:tcBorders>
            <w:shd w:val="clear" w:color="auto" w:fill="auto"/>
          </w:tcPr>
          <w:p w14:paraId="4B8C5E6A" w14:textId="77777777" w:rsidR="00557C61" w:rsidRPr="00E253EE" w:rsidRDefault="00557C61" w:rsidP="005362D8">
            <w:pPr>
              <w:pStyle w:val="Legend"/>
              <w:rPr>
                <w:rFonts w:asciiTheme="minorHAnsi" w:hAnsiTheme="minorHAnsi"/>
                <w:vertAlign w:val="superscript"/>
                <w:lang w:val="en-US"/>
              </w:rPr>
            </w:pPr>
            <w:r w:rsidRPr="00E253EE">
              <w:rPr>
                <w:rFonts w:asciiTheme="minorHAnsi" w:hAnsiTheme="minorHAnsi"/>
                <w:vertAlign w:val="superscript"/>
                <w:lang w:val="en-US"/>
              </w:rPr>
              <w:t xml:space="preserve">a </w:t>
            </w:r>
            <w:r w:rsidRPr="00E253EE">
              <w:rPr>
                <w:rFonts w:asciiTheme="minorHAnsi" w:hAnsiTheme="minorHAnsi"/>
                <w:lang w:val="en-US"/>
              </w:rPr>
              <w:t xml:space="preserve">Plus </w:t>
            </w:r>
            <w:proofErr w:type="spellStart"/>
            <w:r w:rsidRPr="00E253EE">
              <w:rPr>
                <w:rFonts w:asciiTheme="minorHAnsi" w:hAnsiTheme="minorHAnsi"/>
                <w:lang w:val="en-US"/>
              </w:rPr>
              <w:t>exemestane</w:t>
            </w:r>
            <w:proofErr w:type="spellEnd"/>
            <w:r w:rsidRPr="00E253EE">
              <w:rPr>
                <w:rFonts w:asciiTheme="minorHAnsi" w:hAnsiTheme="minorHAnsi"/>
                <w:vertAlign w:val="superscript"/>
                <w:lang w:val="en-US"/>
              </w:rPr>
              <w:t xml:space="preserve"> </w:t>
            </w:r>
          </w:p>
          <w:p w14:paraId="630EF766" w14:textId="77777777" w:rsidR="00557C61" w:rsidRPr="00E253EE" w:rsidRDefault="00557C61" w:rsidP="005362D8">
            <w:pPr>
              <w:pStyle w:val="Legend"/>
              <w:rPr>
                <w:rFonts w:asciiTheme="minorHAnsi" w:hAnsiTheme="minorHAnsi"/>
                <w:vertAlign w:val="superscript"/>
                <w:lang w:val="en-US"/>
              </w:rPr>
            </w:pPr>
            <w:r w:rsidRPr="00E253EE">
              <w:rPr>
                <w:rFonts w:asciiTheme="minorHAnsi" w:hAnsiTheme="minorHAnsi"/>
                <w:vertAlign w:val="superscript"/>
                <w:lang w:val="en-US"/>
              </w:rPr>
              <w:t xml:space="preserve">b </w:t>
            </w:r>
            <w:r w:rsidRPr="00E253EE">
              <w:rPr>
                <w:rFonts w:asciiTheme="minorHAnsi" w:hAnsiTheme="minorHAnsi"/>
                <w:lang w:val="en-US"/>
              </w:rPr>
              <w:t>Objective response rate = proportion of patients with CR or PR</w:t>
            </w:r>
            <w:r w:rsidRPr="00E253EE">
              <w:rPr>
                <w:rFonts w:asciiTheme="minorHAnsi" w:hAnsiTheme="minorHAnsi"/>
                <w:vertAlign w:val="superscript"/>
                <w:lang w:val="en-US"/>
              </w:rPr>
              <w:br/>
              <w:t xml:space="preserve">c </w:t>
            </w:r>
            <w:r w:rsidRPr="00E253EE">
              <w:rPr>
                <w:rFonts w:asciiTheme="minorHAnsi" w:hAnsiTheme="minorHAnsi"/>
                <w:lang w:val="en-US"/>
              </w:rPr>
              <w:t>Clinical benefit rate = proportion of patients with CR or PR or SD ≥ 24 weeks</w:t>
            </w:r>
          </w:p>
          <w:p w14:paraId="5035FDAA" w14:textId="77777777" w:rsidR="00557C61" w:rsidRPr="00E253EE" w:rsidRDefault="00557C61" w:rsidP="005362D8">
            <w:pPr>
              <w:pStyle w:val="Legend"/>
              <w:rPr>
                <w:rFonts w:asciiTheme="minorHAnsi" w:hAnsiTheme="minorHAnsi"/>
                <w:vertAlign w:val="superscript"/>
                <w:lang w:val="en-US"/>
              </w:rPr>
            </w:pPr>
            <w:r w:rsidRPr="00E253EE">
              <w:rPr>
                <w:rFonts w:asciiTheme="minorHAnsi" w:hAnsiTheme="minorHAnsi"/>
                <w:vertAlign w:val="superscript"/>
                <w:lang w:val="en-US"/>
              </w:rPr>
              <w:t xml:space="preserve">d </w:t>
            </w:r>
            <w:r w:rsidRPr="00E253EE">
              <w:rPr>
                <w:rFonts w:asciiTheme="minorHAnsi" w:hAnsiTheme="minorHAnsi"/>
                <w:lang w:val="en-US"/>
              </w:rPr>
              <w:t>not applicable</w:t>
            </w:r>
          </w:p>
          <w:p w14:paraId="42513507" w14:textId="77777777" w:rsidR="00557C61" w:rsidRPr="00E253EE" w:rsidRDefault="00557C61" w:rsidP="005362D8">
            <w:pPr>
              <w:pStyle w:val="Legend"/>
              <w:rPr>
                <w:rFonts w:asciiTheme="minorHAnsi" w:hAnsiTheme="minorHAnsi"/>
                <w:i/>
                <w:vertAlign w:val="superscript"/>
                <w:lang w:val="en-US"/>
              </w:rPr>
            </w:pPr>
            <w:r w:rsidRPr="00E253EE">
              <w:rPr>
                <w:rFonts w:asciiTheme="minorHAnsi" w:hAnsiTheme="minorHAnsi"/>
                <w:vertAlign w:val="superscript"/>
                <w:lang w:val="en-US"/>
              </w:rPr>
              <w:t xml:space="preserve">e </w:t>
            </w:r>
            <w:r w:rsidRPr="00E253EE">
              <w:rPr>
                <w:rFonts w:asciiTheme="minorHAnsi" w:hAnsiTheme="minorHAnsi"/>
                <w:lang w:val="en-US"/>
              </w:rPr>
              <w:t>p-value is obtained from the exact CMH test using a stratified version of the Cochran-Armitage permutation test</w:t>
            </w:r>
          </w:p>
        </w:tc>
      </w:tr>
    </w:tbl>
    <w:p w14:paraId="12B94F0D" w14:textId="77777777" w:rsidR="00557C61" w:rsidRPr="00B90F07" w:rsidRDefault="00557C61" w:rsidP="00557C61">
      <w:r w:rsidRPr="00B90F07">
        <w:t>Overall Survival (OS) data are not mature at the time of the interim analysis and no statistically significant treatment-related difference in OS was noted [HR=0.77 (95% CI: 0.57, 1.04)].</w:t>
      </w:r>
    </w:p>
    <w:p w14:paraId="6A1A4E1B" w14:textId="77777777" w:rsidR="00557C61" w:rsidRPr="00B90F07" w:rsidRDefault="00557C61" w:rsidP="00557C61">
      <w:pPr>
        <w:pStyle w:val="paragraph"/>
        <w:jc w:val="left"/>
        <w:rPr>
          <w:rFonts w:asciiTheme="minorHAnsi" w:hAnsiTheme="minorHAnsi"/>
          <w:b/>
          <w:bCs/>
          <w:szCs w:val="24"/>
        </w:rPr>
      </w:pPr>
    </w:p>
    <w:p w14:paraId="0E335E58" w14:textId="77777777" w:rsidR="00557C61" w:rsidRPr="00B90F07" w:rsidRDefault="00557C61" w:rsidP="00557C61">
      <w:pPr>
        <w:pStyle w:val="Caption"/>
        <w:keepNext/>
        <w:ind w:left="1440" w:hanging="1440"/>
        <w:rPr>
          <w:rFonts w:asciiTheme="minorHAnsi" w:hAnsiTheme="minorHAnsi"/>
        </w:rPr>
      </w:pPr>
      <w:bookmarkStart w:id="22" w:name="_Ref491093486"/>
      <w:r w:rsidRPr="00B90F07">
        <w:rPr>
          <w:rFonts w:asciiTheme="minorHAnsi" w:hAnsiTheme="minorHAnsi"/>
        </w:rPr>
        <w:t xml:space="preserve">Figure </w:t>
      </w:r>
      <w:r w:rsidRPr="00B90F07">
        <w:rPr>
          <w:rFonts w:asciiTheme="minorHAnsi" w:hAnsiTheme="minorHAnsi"/>
        </w:rPr>
        <w:fldChar w:fldCharType="begin"/>
      </w:r>
      <w:r w:rsidRPr="00B90F07">
        <w:rPr>
          <w:rFonts w:asciiTheme="minorHAnsi" w:hAnsiTheme="minorHAnsi"/>
        </w:rPr>
        <w:instrText xml:space="preserve"> SEQ Figure \* ARABIC </w:instrText>
      </w:r>
      <w:r w:rsidRPr="00B90F07">
        <w:rPr>
          <w:rFonts w:asciiTheme="minorHAnsi" w:hAnsiTheme="minorHAnsi"/>
        </w:rPr>
        <w:fldChar w:fldCharType="separate"/>
      </w:r>
      <w:r w:rsidR="00D64407">
        <w:rPr>
          <w:rFonts w:asciiTheme="minorHAnsi" w:hAnsiTheme="minorHAnsi"/>
          <w:noProof/>
        </w:rPr>
        <w:t>1</w:t>
      </w:r>
      <w:r w:rsidRPr="00B90F07">
        <w:rPr>
          <w:rFonts w:asciiTheme="minorHAnsi" w:hAnsiTheme="minorHAnsi"/>
        </w:rPr>
        <w:fldChar w:fldCharType="end"/>
      </w:r>
      <w:bookmarkEnd w:id="22"/>
      <w:r w:rsidRPr="00B90F07">
        <w:rPr>
          <w:rFonts w:asciiTheme="minorHAnsi" w:hAnsiTheme="minorHAnsi"/>
        </w:rPr>
        <w:t xml:space="preserve"> </w:t>
      </w:r>
      <w:r w:rsidRPr="00B90F07">
        <w:rPr>
          <w:rFonts w:asciiTheme="minorHAnsi" w:hAnsiTheme="minorHAnsi"/>
        </w:rPr>
        <w:tab/>
        <w:t>BOLERO-2 - Kaplan-Meier progression-free survival curves (investigator radiological review)</w:t>
      </w:r>
    </w:p>
    <w:p w14:paraId="63B70519" w14:textId="77777777" w:rsidR="00557C61" w:rsidRPr="00B90F07" w:rsidRDefault="00557C61" w:rsidP="00557C61">
      <w:pPr>
        <w:tabs>
          <w:tab w:val="left" w:pos="567"/>
        </w:tabs>
        <w:spacing w:line="320" w:lineRule="atLeast"/>
        <w:rPr>
          <w:noProof/>
          <w:szCs w:val="30"/>
          <w:lang w:val="en-US"/>
        </w:rPr>
      </w:pPr>
      <w:r w:rsidRPr="00B90F07">
        <w:rPr>
          <w:noProof/>
          <w:szCs w:val="30"/>
          <w:lang w:eastAsia="en-AU"/>
        </w:rPr>
        <w:drawing>
          <wp:inline distT="0" distB="0" distL="0" distR="0" wp14:anchorId="610CE30E" wp14:editId="466F67FA">
            <wp:extent cx="5943600" cy="2962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62275"/>
                    </a:xfrm>
                    <a:prstGeom prst="rect">
                      <a:avLst/>
                    </a:prstGeom>
                    <a:noFill/>
                    <a:ln>
                      <a:noFill/>
                    </a:ln>
                  </pic:spPr>
                </pic:pic>
              </a:graphicData>
            </a:graphic>
          </wp:inline>
        </w:drawing>
      </w:r>
    </w:p>
    <w:tbl>
      <w:tblPr>
        <w:tblW w:w="9970" w:type="dxa"/>
        <w:tblLook w:val="04A0" w:firstRow="1" w:lastRow="0" w:firstColumn="1" w:lastColumn="0" w:noHBand="0" w:noVBand="1"/>
      </w:tblPr>
      <w:tblGrid>
        <w:gridCol w:w="456"/>
        <w:gridCol w:w="484"/>
        <w:gridCol w:w="460"/>
        <w:gridCol w:w="460"/>
        <w:gridCol w:w="460"/>
        <w:gridCol w:w="460"/>
        <w:gridCol w:w="460"/>
        <w:gridCol w:w="460"/>
        <w:gridCol w:w="460"/>
        <w:gridCol w:w="460"/>
        <w:gridCol w:w="460"/>
        <w:gridCol w:w="379"/>
        <w:gridCol w:w="379"/>
        <w:gridCol w:w="379"/>
        <w:gridCol w:w="379"/>
        <w:gridCol w:w="379"/>
        <w:gridCol w:w="379"/>
        <w:gridCol w:w="379"/>
        <w:gridCol w:w="397"/>
        <w:gridCol w:w="460"/>
        <w:gridCol w:w="460"/>
        <w:gridCol w:w="460"/>
        <w:gridCol w:w="460"/>
      </w:tblGrid>
      <w:tr w:rsidR="00557C61" w:rsidRPr="00B90F07" w14:paraId="29CD4F25" w14:textId="77777777" w:rsidTr="005362D8">
        <w:tc>
          <w:tcPr>
            <w:tcW w:w="456" w:type="dxa"/>
          </w:tcPr>
          <w:p w14:paraId="7F4B7395" w14:textId="77777777" w:rsidR="00557C61" w:rsidRPr="00B90F07" w:rsidRDefault="00557C61" w:rsidP="005362D8">
            <w:pPr>
              <w:rPr>
                <w:sz w:val="16"/>
                <w:szCs w:val="16"/>
              </w:rPr>
            </w:pPr>
          </w:p>
        </w:tc>
        <w:tc>
          <w:tcPr>
            <w:tcW w:w="9514" w:type="dxa"/>
            <w:gridSpan w:val="22"/>
          </w:tcPr>
          <w:p w14:paraId="0C9E23BA" w14:textId="77777777" w:rsidR="00557C61" w:rsidRPr="00B90F07" w:rsidRDefault="00557C61" w:rsidP="005362D8">
            <w:pPr>
              <w:rPr>
                <w:sz w:val="16"/>
                <w:szCs w:val="16"/>
              </w:rPr>
            </w:pPr>
            <w:r w:rsidRPr="00B90F07">
              <w:rPr>
                <w:sz w:val="16"/>
                <w:szCs w:val="16"/>
              </w:rPr>
              <w:t>No. of patients still at risk</w:t>
            </w:r>
          </w:p>
        </w:tc>
      </w:tr>
      <w:tr w:rsidR="00557C61" w:rsidRPr="00B90F07" w14:paraId="50C3D259" w14:textId="77777777" w:rsidTr="005362D8">
        <w:tc>
          <w:tcPr>
            <w:tcW w:w="954" w:type="dxa"/>
            <w:gridSpan w:val="2"/>
          </w:tcPr>
          <w:p w14:paraId="4461F73D" w14:textId="77777777" w:rsidR="00557C61" w:rsidRPr="00B90F07" w:rsidRDefault="00557C61" w:rsidP="005362D8">
            <w:pPr>
              <w:rPr>
                <w:sz w:val="16"/>
                <w:szCs w:val="16"/>
              </w:rPr>
            </w:pPr>
            <w:r w:rsidRPr="00B90F07">
              <w:rPr>
                <w:sz w:val="16"/>
                <w:szCs w:val="16"/>
              </w:rPr>
              <w:lastRenderedPageBreak/>
              <w:t>Time (</w:t>
            </w:r>
            <w:proofErr w:type="spellStart"/>
            <w:r w:rsidRPr="00B90F07">
              <w:rPr>
                <w:sz w:val="16"/>
                <w:szCs w:val="16"/>
              </w:rPr>
              <w:t>wks</w:t>
            </w:r>
            <w:proofErr w:type="spellEnd"/>
            <w:r w:rsidRPr="00B90F07">
              <w:rPr>
                <w:sz w:val="16"/>
                <w:szCs w:val="16"/>
              </w:rPr>
              <w:t>)</w:t>
            </w:r>
          </w:p>
        </w:tc>
        <w:tc>
          <w:tcPr>
            <w:tcW w:w="456" w:type="dxa"/>
          </w:tcPr>
          <w:p w14:paraId="7D56ACDB" w14:textId="77777777" w:rsidR="00557C61" w:rsidRPr="00B90F07" w:rsidRDefault="00557C61" w:rsidP="005362D8">
            <w:pPr>
              <w:rPr>
                <w:sz w:val="16"/>
                <w:szCs w:val="16"/>
              </w:rPr>
            </w:pPr>
            <w:r w:rsidRPr="00B90F07">
              <w:rPr>
                <w:sz w:val="16"/>
                <w:szCs w:val="16"/>
              </w:rPr>
              <w:t>0</w:t>
            </w:r>
          </w:p>
        </w:tc>
        <w:tc>
          <w:tcPr>
            <w:tcW w:w="456" w:type="dxa"/>
          </w:tcPr>
          <w:p w14:paraId="01325BA0" w14:textId="77777777" w:rsidR="00557C61" w:rsidRPr="00B90F07" w:rsidRDefault="00557C61" w:rsidP="005362D8">
            <w:pPr>
              <w:rPr>
                <w:sz w:val="16"/>
                <w:szCs w:val="16"/>
              </w:rPr>
            </w:pPr>
            <w:r w:rsidRPr="00B90F07">
              <w:rPr>
                <w:sz w:val="16"/>
                <w:szCs w:val="16"/>
              </w:rPr>
              <w:t>6</w:t>
            </w:r>
          </w:p>
        </w:tc>
        <w:tc>
          <w:tcPr>
            <w:tcW w:w="456" w:type="dxa"/>
          </w:tcPr>
          <w:p w14:paraId="03F1CB97" w14:textId="77777777" w:rsidR="00557C61" w:rsidRPr="00B90F07" w:rsidRDefault="00557C61" w:rsidP="005362D8">
            <w:pPr>
              <w:rPr>
                <w:sz w:val="16"/>
                <w:szCs w:val="16"/>
              </w:rPr>
            </w:pPr>
            <w:r w:rsidRPr="00B90F07">
              <w:rPr>
                <w:sz w:val="16"/>
                <w:szCs w:val="16"/>
              </w:rPr>
              <w:t>12</w:t>
            </w:r>
          </w:p>
        </w:tc>
        <w:tc>
          <w:tcPr>
            <w:tcW w:w="456" w:type="dxa"/>
          </w:tcPr>
          <w:p w14:paraId="6E1C17C0" w14:textId="77777777" w:rsidR="00557C61" w:rsidRPr="00B90F07" w:rsidRDefault="00557C61" w:rsidP="005362D8">
            <w:pPr>
              <w:rPr>
                <w:sz w:val="16"/>
                <w:szCs w:val="16"/>
              </w:rPr>
            </w:pPr>
            <w:r w:rsidRPr="00B90F07">
              <w:rPr>
                <w:sz w:val="16"/>
                <w:szCs w:val="16"/>
              </w:rPr>
              <w:t>18</w:t>
            </w:r>
          </w:p>
        </w:tc>
        <w:tc>
          <w:tcPr>
            <w:tcW w:w="456" w:type="dxa"/>
          </w:tcPr>
          <w:p w14:paraId="46C8196B" w14:textId="77777777" w:rsidR="00557C61" w:rsidRPr="00B90F07" w:rsidRDefault="00557C61" w:rsidP="005362D8">
            <w:pPr>
              <w:rPr>
                <w:sz w:val="16"/>
                <w:szCs w:val="16"/>
              </w:rPr>
            </w:pPr>
            <w:r w:rsidRPr="00B90F07">
              <w:rPr>
                <w:sz w:val="16"/>
                <w:szCs w:val="16"/>
              </w:rPr>
              <w:t>24</w:t>
            </w:r>
          </w:p>
        </w:tc>
        <w:tc>
          <w:tcPr>
            <w:tcW w:w="456" w:type="dxa"/>
          </w:tcPr>
          <w:p w14:paraId="0583F16C" w14:textId="77777777" w:rsidR="00557C61" w:rsidRPr="00B90F07" w:rsidRDefault="00557C61" w:rsidP="005362D8">
            <w:pPr>
              <w:rPr>
                <w:sz w:val="16"/>
                <w:szCs w:val="16"/>
              </w:rPr>
            </w:pPr>
            <w:r w:rsidRPr="00B90F07">
              <w:rPr>
                <w:sz w:val="16"/>
                <w:szCs w:val="16"/>
              </w:rPr>
              <w:t>30</w:t>
            </w:r>
          </w:p>
        </w:tc>
        <w:tc>
          <w:tcPr>
            <w:tcW w:w="456" w:type="dxa"/>
          </w:tcPr>
          <w:p w14:paraId="31D15DA7" w14:textId="77777777" w:rsidR="00557C61" w:rsidRPr="00B90F07" w:rsidRDefault="00557C61" w:rsidP="005362D8">
            <w:pPr>
              <w:rPr>
                <w:sz w:val="16"/>
                <w:szCs w:val="16"/>
              </w:rPr>
            </w:pPr>
            <w:r w:rsidRPr="00B90F07">
              <w:rPr>
                <w:sz w:val="16"/>
                <w:szCs w:val="16"/>
              </w:rPr>
              <w:t>36</w:t>
            </w:r>
          </w:p>
        </w:tc>
        <w:tc>
          <w:tcPr>
            <w:tcW w:w="456" w:type="dxa"/>
          </w:tcPr>
          <w:p w14:paraId="4802A9F5" w14:textId="77777777" w:rsidR="00557C61" w:rsidRPr="00B90F07" w:rsidRDefault="00557C61" w:rsidP="005362D8">
            <w:pPr>
              <w:rPr>
                <w:sz w:val="16"/>
                <w:szCs w:val="16"/>
              </w:rPr>
            </w:pPr>
            <w:r w:rsidRPr="00B90F07">
              <w:rPr>
                <w:sz w:val="16"/>
                <w:szCs w:val="16"/>
              </w:rPr>
              <w:t>42</w:t>
            </w:r>
          </w:p>
        </w:tc>
        <w:tc>
          <w:tcPr>
            <w:tcW w:w="456" w:type="dxa"/>
          </w:tcPr>
          <w:p w14:paraId="293EF120" w14:textId="77777777" w:rsidR="00557C61" w:rsidRPr="00B90F07" w:rsidRDefault="00557C61" w:rsidP="005362D8">
            <w:pPr>
              <w:rPr>
                <w:sz w:val="16"/>
                <w:szCs w:val="16"/>
              </w:rPr>
            </w:pPr>
            <w:r w:rsidRPr="00B90F07">
              <w:rPr>
                <w:sz w:val="16"/>
                <w:szCs w:val="16"/>
              </w:rPr>
              <w:t>48</w:t>
            </w:r>
          </w:p>
        </w:tc>
        <w:tc>
          <w:tcPr>
            <w:tcW w:w="376" w:type="dxa"/>
          </w:tcPr>
          <w:p w14:paraId="6EB51949" w14:textId="77777777" w:rsidR="00557C61" w:rsidRPr="00B90F07" w:rsidRDefault="00557C61" w:rsidP="005362D8">
            <w:pPr>
              <w:rPr>
                <w:sz w:val="16"/>
                <w:szCs w:val="16"/>
              </w:rPr>
            </w:pPr>
            <w:r w:rsidRPr="00B90F07">
              <w:rPr>
                <w:sz w:val="16"/>
                <w:szCs w:val="16"/>
              </w:rPr>
              <w:t>54</w:t>
            </w:r>
          </w:p>
        </w:tc>
        <w:tc>
          <w:tcPr>
            <w:tcW w:w="376" w:type="dxa"/>
          </w:tcPr>
          <w:p w14:paraId="3497FC5B" w14:textId="77777777" w:rsidR="00557C61" w:rsidRPr="00B90F07" w:rsidRDefault="00557C61" w:rsidP="005362D8">
            <w:pPr>
              <w:rPr>
                <w:sz w:val="16"/>
                <w:szCs w:val="16"/>
              </w:rPr>
            </w:pPr>
            <w:r w:rsidRPr="00B90F07">
              <w:rPr>
                <w:sz w:val="16"/>
                <w:szCs w:val="16"/>
              </w:rPr>
              <w:t>60</w:t>
            </w:r>
          </w:p>
        </w:tc>
        <w:tc>
          <w:tcPr>
            <w:tcW w:w="376" w:type="dxa"/>
          </w:tcPr>
          <w:p w14:paraId="45B90C32" w14:textId="77777777" w:rsidR="00557C61" w:rsidRPr="00B90F07" w:rsidRDefault="00557C61" w:rsidP="005362D8">
            <w:pPr>
              <w:rPr>
                <w:sz w:val="16"/>
                <w:szCs w:val="16"/>
              </w:rPr>
            </w:pPr>
            <w:r w:rsidRPr="00B90F07">
              <w:rPr>
                <w:sz w:val="16"/>
                <w:szCs w:val="16"/>
              </w:rPr>
              <w:t>66</w:t>
            </w:r>
          </w:p>
        </w:tc>
        <w:tc>
          <w:tcPr>
            <w:tcW w:w="376" w:type="dxa"/>
          </w:tcPr>
          <w:p w14:paraId="6715AB89" w14:textId="77777777" w:rsidR="00557C61" w:rsidRPr="00B90F07" w:rsidRDefault="00557C61" w:rsidP="005362D8">
            <w:pPr>
              <w:rPr>
                <w:sz w:val="16"/>
                <w:szCs w:val="16"/>
              </w:rPr>
            </w:pPr>
            <w:r w:rsidRPr="00B90F07">
              <w:rPr>
                <w:sz w:val="16"/>
                <w:szCs w:val="16"/>
              </w:rPr>
              <w:t>72</w:t>
            </w:r>
          </w:p>
        </w:tc>
        <w:tc>
          <w:tcPr>
            <w:tcW w:w="376" w:type="dxa"/>
          </w:tcPr>
          <w:p w14:paraId="45628AA6" w14:textId="77777777" w:rsidR="00557C61" w:rsidRPr="00B90F07" w:rsidRDefault="00557C61" w:rsidP="005362D8">
            <w:pPr>
              <w:rPr>
                <w:sz w:val="16"/>
                <w:szCs w:val="16"/>
              </w:rPr>
            </w:pPr>
            <w:r w:rsidRPr="00B90F07">
              <w:rPr>
                <w:sz w:val="16"/>
                <w:szCs w:val="16"/>
              </w:rPr>
              <w:t>78</w:t>
            </w:r>
          </w:p>
        </w:tc>
        <w:tc>
          <w:tcPr>
            <w:tcW w:w="376" w:type="dxa"/>
          </w:tcPr>
          <w:p w14:paraId="706DE103" w14:textId="77777777" w:rsidR="00557C61" w:rsidRPr="00B90F07" w:rsidRDefault="00557C61" w:rsidP="005362D8">
            <w:pPr>
              <w:rPr>
                <w:sz w:val="16"/>
                <w:szCs w:val="16"/>
              </w:rPr>
            </w:pPr>
            <w:r w:rsidRPr="00B90F07">
              <w:rPr>
                <w:sz w:val="16"/>
                <w:szCs w:val="16"/>
              </w:rPr>
              <w:t>84</w:t>
            </w:r>
          </w:p>
        </w:tc>
        <w:tc>
          <w:tcPr>
            <w:tcW w:w="376" w:type="dxa"/>
          </w:tcPr>
          <w:p w14:paraId="425E20B5" w14:textId="77777777" w:rsidR="00557C61" w:rsidRPr="00B90F07" w:rsidRDefault="00557C61" w:rsidP="005362D8">
            <w:pPr>
              <w:rPr>
                <w:sz w:val="16"/>
                <w:szCs w:val="16"/>
              </w:rPr>
            </w:pPr>
            <w:r w:rsidRPr="00B90F07">
              <w:rPr>
                <w:sz w:val="16"/>
                <w:szCs w:val="16"/>
              </w:rPr>
              <w:t>90</w:t>
            </w:r>
          </w:p>
        </w:tc>
        <w:tc>
          <w:tcPr>
            <w:tcW w:w="456" w:type="dxa"/>
          </w:tcPr>
          <w:p w14:paraId="301999E5" w14:textId="77777777" w:rsidR="00557C61" w:rsidRPr="00B90F07" w:rsidRDefault="00557C61" w:rsidP="005362D8">
            <w:pPr>
              <w:rPr>
                <w:sz w:val="16"/>
                <w:szCs w:val="16"/>
              </w:rPr>
            </w:pPr>
            <w:r w:rsidRPr="00B90F07">
              <w:rPr>
                <w:sz w:val="16"/>
                <w:szCs w:val="16"/>
              </w:rPr>
              <w:t>96</w:t>
            </w:r>
          </w:p>
        </w:tc>
        <w:tc>
          <w:tcPr>
            <w:tcW w:w="456" w:type="dxa"/>
          </w:tcPr>
          <w:p w14:paraId="6131AD5F" w14:textId="77777777" w:rsidR="00557C61" w:rsidRPr="00B90F07" w:rsidRDefault="00557C61" w:rsidP="005362D8">
            <w:pPr>
              <w:rPr>
                <w:sz w:val="16"/>
                <w:szCs w:val="16"/>
              </w:rPr>
            </w:pPr>
            <w:r w:rsidRPr="00B90F07">
              <w:rPr>
                <w:sz w:val="16"/>
                <w:szCs w:val="16"/>
              </w:rPr>
              <w:t>102</w:t>
            </w:r>
          </w:p>
        </w:tc>
        <w:tc>
          <w:tcPr>
            <w:tcW w:w="456" w:type="dxa"/>
          </w:tcPr>
          <w:p w14:paraId="49D504C8" w14:textId="77777777" w:rsidR="00557C61" w:rsidRPr="00B90F07" w:rsidRDefault="00557C61" w:rsidP="005362D8">
            <w:pPr>
              <w:rPr>
                <w:sz w:val="16"/>
                <w:szCs w:val="16"/>
              </w:rPr>
            </w:pPr>
            <w:r w:rsidRPr="00B90F07">
              <w:rPr>
                <w:sz w:val="16"/>
                <w:szCs w:val="16"/>
              </w:rPr>
              <w:t>108</w:t>
            </w:r>
          </w:p>
        </w:tc>
        <w:tc>
          <w:tcPr>
            <w:tcW w:w="456" w:type="dxa"/>
          </w:tcPr>
          <w:p w14:paraId="0C253C62" w14:textId="77777777" w:rsidR="00557C61" w:rsidRPr="00B90F07" w:rsidRDefault="00557C61" w:rsidP="005362D8">
            <w:pPr>
              <w:rPr>
                <w:sz w:val="16"/>
                <w:szCs w:val="16"/>
              </w:rPr>
            </w:pPr>
            <w:r w:rsidRPr="00B90F07">
              <w:rPr>
                <w:sz w:val="16"/>
                <w:szCs w:val="16"/>
              </w:rPr>
              <w:t>114</w:t>
            </w:r>
          </w:p>
        </w:tc>
        <w:tc>
          <w:tcPr>
            <w:tcW w:w="456" w:type="dxa"/>
          </w:tcPr>
          <w:p w14:paraId="0B8A3945" w14:textId="77777777" w:rsidR="00557C61" w:rsidRPr="00B90F07" w:rsidRDefault="00557C61" w:rsidP="005362D8">
            <w:pPr>
              <w:rPr>
                <w:sz w:val="16"/>
                <w:szCs w:val="16"/>
              </w:rPr>
            </w:pPr>
            <w:r w:rsidRPr="00B90F07">
              <w:rPr>
                <w:sz w:val="16"/>
                <w:szCs w:val="16"/>
              </w:rPr>
              <w:t>120</w:t>
            </w:r>
          </w:p>
        </w:tc>
      </w:tr>
      <w:tr w:rsidR="00557C61" w:rsidRPr="00B90F07" w14:paraId="7BFDBA7D" w14:textId="77777777" w:rsidTr="005362D8">
        <w:tc>
          <w:tcPr>
            <w:tcW w:w="954" w:type="dxa"/>
            <w:gridSpan w:val="2"/>
          </w:tcPr>
          <w:p w14:paraId="036988B6" w14:textId="77777777" w:rsidR="00557C61" w:rsidRPr="00B90F07" w:rsidRDefault="00557C61" w:rsidP="005362D8">
            <w:pPr>
              <w:rPr>
                <w:sz w:val="16"/>
                <w:szCs w:val="16"/>
              </w:rPr>
            </w:pPr>
            <w:proofErr w:type="spellStart"/>
            <w:r w:rsidRPr="00B90F07">
              <w:rPr>
                <w:sz w:val="16"/>
                <w:szCs w:val="16"/>
              </w:rPr>
              <w:t>Everolimus</w:t>
            </w:r>
            <w:proofErr w:type="spellEnd"/>
          </w:p>
        </w:tc>
        <w:tc>
          <w:tcPr>
            <w:tcW w:w="456" w:type="dxa"/>
          </w:tcPr>
          <w:p w14:paraId="02AE6292" w14:textId="77777777" w:rsidR="00557C61" w:rsidRPr="00B90F07" w:rsidRDefault="00557C61" w:rsidP="005362D8">
            <w:pPr>
              <w:rPr>
                <w:sz w:val="16"/>
                <w:szCs w:val="16"/>
              </w:rPr>
            </w:pPr>
            <w:r w:rsidRPr="00B90F07">
              <w:rPr>
                <w:sz w:val="16"/>
                <w:szCs w:val="16"/>
              </w:rPr>
              <w:t>485</w:t>
            </w:r>
          </w:p>
        </w:tc>
        <w:tc>
          <w:tcPr>
            <w:tcW w:w="456" w:type="dxa"/>
          </w:tcPr>
          <w:p w14:paraId="77083435" w14:textId="77777777" w:rsidR="00557C61" w:rsidRPr="00B90F07" w:rsidRDefault="00557C61" w:rsidP="005362D8">
            <w:pPr>
              <w:rPr>
                <w:sz w:val="16"/>
                <w:szCs w:val="16"/>
              </w:rPr>
            </w:pPr>
            <w:r w:rsidRPr="00B90F07">
              <w:rPr>
                <w:sz w:val="16"/>
                <w:szCs w:val="16"/>
              </w:rPr>
              <w:t>436</w:t>
            </w:r>
          </w:p>
        </w:tc>
        <w:tc>
          <w:tcPr>
            <w:tcW w:w="456" w:type="dxa"/>
          </w:tcPr>
          <w:p w14:paraId="10C7C5CD" w14:textId="77777777" w:rsidR="00557C61" w:rsidRPr="00B90F07" w:rsidRDefault="00557C61" w:rsidP="005362D8">
            <w:pPr>
              <w:rPr>
                <w:sz w:val="16"/>
                <w:szCs w:val="16"/>
              </w:rPr>
            </w:pPr>
            <w:r w:rsidRPr="00B90F07">
              <w:rPr>
                <w:sz w:val="16"/>
                <w:szCs w:val="16"/>
              </w:rPr>
              <w:t>366</w:t>
            </w:r>
          </w:p>
        </w:tc>
        <w:tc>
          <w:tcPr>
            <w:tcW w:w="456" w:type="dxa"/>
          </w:tcPr>
          <w:p w14:paraId="5AFC0D48" w14:textId="77777777" w:rsidR="00557C61" w:rsidRPr="00B90F07" w:rsidRDefault="00557C61" w:rsidP="005362D8">
            <w:pPr>
              <w:rPr>
                <w:sz w:val="16"/>
                <w:szCs w:val="16"/>
              </w:rPr>
            </w:pPr>
            <w:r w:rsidRPr="00B90F07">
              <w:rPr>
                <w:sz w:val="16"/>
                <w:szCs w:val="16"/>
              </w:rPr>
              <w:t>304</w:t>
            </w:r>
          </w:p>
        </w:tc>
        <w:tc>
          <w:tcPr>
            <w:tcW w:w="456" w:type="dxa"/>
          </w:tcPr>
          <w:p w14:paraId="12966BC2" w14:textId="77777777" w:rsidR="00557C61" w:rsidRPr="00B90F07" w:rsidRDefault="00557C61" w:rsidP="005362D8">
            <w:pPr>
              <w:rPr>
                <w:sz w:val="16"/>
                <w:szCs w:val="16"/>
              </w:rPr>
            </w:pPr>
            <w:r w:rsidRPr="00B90F07">
              <w:rPr>
                <w:sz w:val="16"/>
                <w:szCs w:val="16"/>
              </w:rPr>
              <w:t>257</w:t>
            </w:r>
          </w:p>
        </w:tc>
        <w:tc>
          <w:tcPr>
            <w:tcW w:w="456" w:type="dxa"/>
          </w:tcPr>
          <w:p w14:paraId="2FB0BAD5" w14:textId="77777777" w:rsidR="00557C61" w:rsidRPr="00B90F07" w:rsidRDefault="00557C61" w:rsidP="005362D8">
            <w:pPr>
              <w:rPr>
                <w:sz w:val="16"/>
                <w:szCs w:val="16"/>
              </w:rPr>
            </w:pPr>
            <w:r w:rsidRPr="00B90F07">
              <w:rPr>
                <w:sz w:val="16"/>
                <w:szCs w:val="16"/>
              </w:rPr>
              <w:t>221</w:t>
            </w:r>
          </w:p>
        </w:tc>
        <w:tc>
          <w:tcPr>
            <w:tcW w:w="456" w:type="dxa"/>
          </w:tcPr>
          <w:p w14:paraId="29FC508D" w14:textId="77777777" w:rsidR="00557C61" w:rsidRPr="00B90F07" w:rsidRDefault="00557C61" w:rsidP="005362D8">
            <w:pPr>
              <w:rPr>
                <w:sz w:val="16"/>
                <w:szCs w:val="16"/>
              </w:rPr>
            </w:pPr>
            <w:r w:rsidRPr="00B90F07">
              <w:rPr>
                <w:sz w:val="16"/>
                <w:szCs w:val="16"/>
              </w:rPr>
              <w:t>185</w:t>
            </w:r>
          </w:p>
        </w:tc>
        <w:tc>
          <w:tcPr>
            <w:tcW w:w="456" w:type="dxa"/>
          </w:tcPr>
          <w:p w14:paraId="4FAAFC86" w14:textId="77777777" w:rsidR="00557C61" w:rsidRPr="00B90F07" w:rsidRDefault="00557C61" w:rsidP="005362D8">
            <w:pPr>
              <w:rPr>
                <w:sz w:val="16"/>
                <w:szCs w:val="16"/>
              </w:rPr>
            </w:pPr>
            <w:r w:rsidRPr="00B90F07">
              <w:rPr>
                <w:sz w:val="16"/>
                <w:szCs w:val="16"/>
              </w:rPr>
              <w:t>158</w:t>
            </w:r>
          </w:p>
        </w:tc>
        <w:tc>
          <w:tcPr>
            <w:tcW w:w="456" w:type="dxa"/>
          </w:tcPr>
          <w:p w14:paraId="6DA68F92" w14:textId="77777777" w:rsidR="00557C61" w:rsidRPr="00B90F07" w:rsidRDefault="00557C61" w:rsidP="005362D8">
            <w:pPr>
              <w:rPr>
                <w:sz w:val="16"/>
                <w:szCs w:val="16"/>
              </w:rPr>
            </w:pPr>
            <w:r w:rsidRPr="00B90F07">
              <w:rPr>
                <w:sz w:val="16"/>
                <w:szCs w:val="16"/>
              </w:rPr>
              <w:t>124</w:t>
            </w:r>
          </w:p>
        </w:tc>
        <w:tc>
          <w:tcPr>
            <w:tcW w:w="376" w:type="dxa"/>
          </w:tcPr>
          <w:p w14:paraId="29DECDA6" w14:textId="77777777" w:rsidR="00557C61" w:rsidRPr="00B90F07" w:rsidRDefault="00557C61" w:rsidP="005362D8">
            <w:pPr>
              <w:rPr>
                <w:sz w:val="16"/>
                <w:szCs w:val="16"/>
              </w:rPr>
            </w:pPr>
            <w:r w:rsidRPr="00B90F07">
              <w:rPr>
                <w:sz w:val="16"/>
                <w:szCs w:val="16"/>
              </w:rPr>
              <w:t>91</w:t>
            </w:r>
          </w:p>
        </w:tc>
        <w:tc>
          <w:tcPr>
            <w:tcW w:w="376" w:type="dxa"/>
          </w:tcPr>
          <w:p w14:paraId="63842BA6" w14:textId="77777777" w:rsidR="00557C61" w:rsidRPr="00B90F07" w:rsidRDefault="00557C61" w:rsidP="005362D8">
            <w:pPr>
              <w:rPr>
                <w:sz w:val="16"/>
                <w:szCs w:val="16"/>
              </w:rPr>
            </w:pPr>
            <w:r w:rsidRPr="00B90F07">
              <w:rPr>
                <w:sz w:val="16"/>
                <w:szCs w:val="16"/>
              </w:rPr>
              <w:t>66</w:t>
            </w:r>
          </w:p>
        </w:tc>
        <w:tc>
          <w:tcPr>
            <w:tcW w:w="376" w:type="dxa"/>
          </w:tcPr>
          <w:p w14:paraId="608B710B" w14:textId="77777777" w:rsidR="00557C61" w:rsidRPr="00B90F07" w:rsidRDefault="00557C61" w:rsidP="005362D8">
            <w:pPr>
              <w:rPr>
                <w:sz w:val="16"/>
                <w:szCs w:val="16"/>
              </w:rPr>
            </w:pPr>
            <w:r w:rsidRPr="00B90F07">
              <w:rPr>
                <w:sz w:val="16"/>
                <w:szCs w:val="16"/>
              </w:rPr>
              <w:t>50</w:t>
            </w:r>
          </w:p>
        </w:tc>
        <w:tc>
          <w:tcPr>
            <w:tcW w:w="376" w:type="dxa"/>
          </w:tcPr>
          <w:p w14:paraId="607CA8DB" w14:textId="77777777" w:rsidR="00557C61" w:rsidRPr="00B90F07" w:rsidRDefault="00557C61" w:rsidP="005362D8">
            <w:pPr>
              <w:rPr>
                <w:sz w:val="16"/>
                <w:szCs w:val="16"/>
              </w:rPr>
            </w:pPr>
            <w:r w:rsidRPr="00B90F07">
              <w:rPr>
                <w:sz w:val="16"/>
                <w:szCs w:val="16"/>
              </w:rPr>
              <w:t>35</w:t>
            </w:r>
          </w:p>
        </w:tc>
        <w:tc>
          <w:tcPr>
            <w:tcW w:w="376" w:type="dxa"/>
          </w:tcPr>
          <w:p w14:paraId="2966CF0C" w14:textId="77777777" w:rsidR="00557C61" w:rsidRPr="00B90F07" w:rsidRDefault="00557C61" w:rsidP="005362D8">
            <w:pPr>
              <w:rPr>
                <w:sz w:val="16"/>
                <w:szCs w:val="16"/>
              </w:rPr>
            </w:pPr>
            <w:r w:rsidRPr="00B90F07">
              <w:rPr>
                <w:sz w:val="16"/>
                <w:szCs w:val="16"/>
              </w:rPr>
              <w:t>24</w:t>
            </w:r>
          </w:p>
        </w:tc>
        <w:tc>
          <w:tcPr>
            <w:tcW w:w="376" w:type="dxa"/>
          </w:tcPr>
          <w:p w14:paraId="6821D201" w14:textId="77777777" w:rsidR="00557C61" w:rsidRPr="00B90F07" w:rsidRDefault="00557C61" w:rsidP="005362D8">
            <w:pPr>
              <w:rPr>
                <w:sz w:val="16"/>
                <w:szCs w:val="16"/>
              </w:rPr>
            </w:pPr>
            <w:r w:rsidRPr="00B90F07">
              <w:rPr>
                <w:sz w:val="16"/>
                <w:szCs w:val="16"/>
              </w:rPr>
              <w:t>22</w:t>
            </w:r>
          </w:p>
        </w:tc>
        <w:tc>
          <w:tcPr>
            <w:tcW w:w="376" w:type="dxa"/>
          </w:tcPr>
          <w:p w14:paraId="7482579D" w14:textId="77777777" w:rsidR="00557C61" w:rsidRPr="00B90F07" w:rsidRDefault="00557C61" w:rsidP="005362D8">
            <w:pPr>
              <w:rPr>
                <w:sz w:val="16"/>
                <w:szCs w:val="16"/>
              </w:rPr>
            </w:pPr>
            <w:r w:rsidRPr="00B90F07">
              <w:rPr>
                <w:sz w:val="16"/>
                <w:szCs w:val="16"/>
              </w:rPr>
              <w:t>13</w:t>
            </w:r>
          </w:p>
        </w:tc>
        <w:tc>
          <w:tcPr>
            <w:tcW w:w="456" w:type="dxa"/>
          </w:tcPr>
          <w:p w14:paraId="4768076A" w14:textId="77777777" w:rsidR="00557C61" w:rsidRPr="00B90F07" w:rsidRDefault="00557C61" w:rsidP="005362D8">
            <w:pPr>
              <w:rPr>
                <w:sz w:val="16"/>
                <w:szCs w:val="16"/>
              </w:rPr>
            </w:pPr>
            <w:r w:rsidRPr="00B90F07">
              <w:rPr>
                <w:sz w:val="16"/>
                <w:szCs w:val="16"/>
              </w:rPr>
              <w:t>10</w:t>
            </w:r>
          </w:p>
        </w:tc>
        <w:tc>
          <w:tcPr>
            <w:tcW w:w="456" w:type="dxa"/>
          </w:tcPr>
          <w:p w14:paraId="7CF13E34" w14:textId="77777777" w:rsidR="00557C61" w:rsidRPr="00B90F07" w:rsidRDefault="00557C61" w:rsidP="005362D8">
            <w:pPr>
              <w:rPr>
                <w:sz w:val="16"/>
                <w:szCs w:val="16"/>
              </w:rPr>
            </w:pPr>
            <w:r w:rsidRPr="00B90F07">
              <w:rPr>
                <w:sz w:val="16"/>
                <w:szCs w:val="16"/>
              </w:rPr>
              <w:t>8</w:t>
            </w:r>
          </w:p>
        </w:tc>
        <w:tc>
          <w:tcPr>
            <w:tcW w:w="456" w:type="dxa"/>
          </w:tcPr>
          <w:p w14:paraId="4DEC42C8" w14:textId="77777777" w:rsidR="00557C61" w:rsidRPr="00B90F07" w:rsidRDefault="00557C61" w:rsidP="005362D8">
            <w:pPr>
              <w:rPr>
                <w:sz w:val="16"/>
                <w:szCs w:val="16"/>
              </w:rPr>
            </w:pPr>
            <w:r w:rsidRPr="00B90F07">
              <w:rPr>
                <w:sz w:val="16"/>
                <w:szCs w:val="16"/>
              </w:rPr>
              <w:t>2</w:t>
            </w:r>
          </w:p>
        </w:tc>
        <w:tc>
          <w:tcPr>
            <w:tcW w:w="456" w:type="dxa"/>
          </w:tcPr>
          <w:p w14:paraId="7BCAD017" w14:textId="77777777" w:rsidR="00557C61" w:rsidRPr="00B90F07" w:rsidRDefault="00557C61" w:rsidP="005362D8">
            <w:pPr>
              <w:rPr>
                <w:sz w:val="16"/>
                <w:szCs w:val="16"/>
              </w:rPr>
            </w:pPr>
            <w:r w:rsidRPr="00B90F07">
              <w:rPr>
                <w:sz w:val="16"/>
                <w:szCs w:val="16"/>
              </w:rPr>
              <w:t>1</w:t>
            </w:r>
          </w:p>
        </w:tc>
        <w:tc>
          <w:tcPr>
            <w:tcW w:w="456" w:type="dxa"/>
          </w:tcPr>
          <w:p w14:paraId="2E9DEF9A" w14:textId="77777777" w:rsidR="00557C61" w:rsidRPr="00B90F07" w:rsidRDefault="00557C61" w:rsidP="005362D8">
            <w:pPr>
              <w:rPr>
                <w:sz w:val="16"/>
                <w:szCs w:val="16"/>
              </w:rPr>
            </w:pPr>
            <w:r w:rsidRPr="00B90F07">
              <w:rPr>
                <w:sz w:val="16"/>
                <w:szCs w:val="16"/>
              </w:rPr>
              <w:t>0</w:t>
            </w:r>
          </w:p>
        </w:tc>
      </w:tr>
      <w:tr w:rsidR="00557C61" w:rsidRPr="00B90F07" w14:paraId="7C002153" w14:textId="77777777" w:rsidTr="005362D8">
        <w:tc>
          <w:tcPr>
            <w:tcW w:w="954" w:type="dxa"/>
            <w:gridSpan w:val="2"/>
          </w:tcPr>
          <w:p w14:paraId="4FE83B8E" w14:textId="77777777" w:rsidR="00557C61" w:rsidRPr="00B90F07" w:rsidRDefault="00557C61" w:rsidP="005362D8">
            <w:pPr>
              <w:rPr>
                <w:sz w:val="16"/>
                <w:szCs w:val="16"/>
              </w:rPr>
            </w:pPr>
            <w:r w:rsidRPr="00B90F07">
              <w:rPr>
                <w:sz w:val="16"/>
                <w:szCs w:val="16"/>
              </w:rPr>
              <w:t>Placebo</w:t>
            </w:r>
          </w:p>
        </w:tc>
        <w:tc>
          <w:tcPr>
            <w:tcW w:w="456" w:type="dxa"/>
          </w:tcPr>
          <w:p w14:paraId="1B419107" w14:textId="77777777" w:rsidR="00557C61" w:rsidRPr="00B90F07" w:rsidRDefault="00557C61" w:rsidP="005362D8">
            <w:pPr>
              <w:rPr>
                <w:sz w:val="16"/>
                <w:szCs w:val="16"/>
              </w:rPr>
            </w:pPr>
            <w:r w:rsidRPr="00B90F07">
              <w:rPr>
                <w:sz w:val="16"/>
                <w:szCs w:val="16"/>
              </w:rPr>
              <w:t>239</w:t>
            </w:r>
          </w:p>
        </w:tc>
        <w:tc>
          <w:tcPr>
            <w:tcW w:w="456" w:type="dxa"/>
          </w:tcPr>
          <w:p w14:paraId="3D65763C" w14:textId="77777777" w:rsidR="00557C61" w:rsidRPr="00B90F07" w:rsidRDefault="00557C61" w:rsidP="005362D8">
            <w:pPr>
              <w:rPr>
                <w:sz w:val="16"/>
                <w:szCs w:val="16"/>
              </w:rPr>
            </w:pPr>
            <w:r w:rsidRPr="00B90F07">
              <w:rPr>
                <w:sz w:val="16"/>
                <w:szCs w:val="16"/>
              </w:rPr>
              <w:t>190</w:t>
            </w:r>
          </w:p>
        </w:tc>
        <w:tc>
          <w:tcPr>
            <w:tcW w:w="456" w:type="dxa"/>
          </w:tcPr>
          <w:p w14:paraId="7875BA94" w14:textId="77777777" w:rsidR="00557C61" w:rsidRPr="00B90F07" w:rsidRDefault="00557C61" w:rsidP="005362D8">
            <w:pPr>
              <w:rPr>
                <w:sz w:val="16"/>
                <w:szCs w:val="16"/>
              </w:rPr>
            </w:pPr>
            <w:r w:rsidRPr="00B90F07">
              <w:rPr>
                <w:sz w:val="16"/>
                <w:szCs w:val="16"/>
              </w:rPr>
              <w:t>132</w:t>
            </w:r>
          </w:p>
        </w:tc>
        <w:tc>
          <w:tcPr>
            <w:tcW w:w="456" w:type="dxa"/>
          </w:tcPr>
          <w:p w14:paraId="5783B75A" w14:textId="77777777" w:rsidR="00557C61" w:rsidRPr="00B90F07" w:rsidRDefault="00557C61" w:rsidP="005362D8">
            <w:pPr>
              <w:rPr>
                <w:sz w:val="16"/>
                <w:szCs w:val="16"/>
              </w:rPr>
            </w:pPr>
            <w:r w:rsidRPr="00B90F07">
              <w:rPr>
                <w:sz w:val="16"/>
                <w:szCs w:val="16"/>
              </w:rPr>
              <w:t>96</w:t>
            </w:r>
          </w:p>
        </w:tc>
        <w:tc>
          <w:tcPr>
            <w:tcW w:w="456" w:type="dxa"/>
          </w:tcPr>
          <w:p w14:paraId="731DCDA3" w14:textId="77777777" w:rsidR="00557C61" w:rsidRPr="00B90F07" w:rsidRDefault="00557C61" w:rsidP="005362D8">
            <w:pPr>
              <w:rPr>
                <w:sz w:val="16"/>
                <w:szCs w:val="16"/>
              </w:rPr>
            </w:pPr>
            <w:r w:rsidRPr="00B90F07">
              <w:rPr>
                <w:sz w:val="16"/>
                <w:szCs w:val="16"/>
              </w:rPr>
              <w:t>67</w:t>
            </w:r>
          </w:p>
        </w:tc>
        <w:tc>
          <w:tcPr>
            <w:tcW w:w="456" w:type="dxa"/>
          </w:tcPr>
          <w:p w14:paraId="5966CD2A" w14:textId="77777777" w:rsidR="00557C61" w:rsidRPr="00B90F07" w:rsidRDefault="00557C61" w:rsidP="005362D8">
            <w:pPr>
              <w:rPr>
                <w:sz w:val="16"/>
                <w:szCs w:val="16"/>
              </w:rPr>
            </w:pPr>
            <w:r w:rsidRPr="00B90F07">
              <w:rPr>
                <w:sz w:val="16"/>
                <w:szCs w:val="16"/>
              </w:rPr>
              <w:t>50</w:t>
            </w:r>
          </w:p>
        </w:tc>
        <w:tc>
          <w:tcPr>
            <w:tcW w:w="456" w:type="dxa"/>
          </w:tcPr>
          <w:p w14:paraId="57D9B446" w14:textId="77777777" w:rsidR="00557C61" w:rsidRPr="00B90F07" w:rsidRDefault="00557C61" w:rsidP="005362D8">
            <w:pPr>
              <w:rPr>
                <w:sz w:val="16"/>
                <w:szCs w:val="16"/>
              </w:rPr>
            </w:pPr>
            <w:r w:rsidRPr="00B90F07">
              <w:rPr>
                <w:sz w:val="16"/>
                <w:szCs w:val="16"/>
              </w:rPr>
              <w:t>39</w:t>
            </w:r>
          </w:p>
        </w:tc>
        <w:tc>
          <w:tcPr>
            <w:tcW w:w="456" w:type="dxa"/>
          </w:tcPr>
          <w:p w14:paraId="55E5D079" w14:textId="77777777" w:rsidR="00557C61" w:rsidRPr="00B90F07" w:rsidRDefault="00557C61" w:rsidP="005362D8">
            <w:pPr>
              <w:rPr>
                <w:sz w:val="16"/>
                <w:szCs w:val="16"/>
              </w:rPr>
            </w:pPr>
            <w:r w:rsidRPr="00B90F07">
              <w:rPr>
                <w:sz w:val="16"/>
                <w:szCs w:val="16"/>
              </w:rPr>
              <w:t>30</w:t>
            </w:r>
          </w:p>
        </w:tc>
        <w:tc>
          <w:tcPr>
            <w:tcW w:w="456" w:type="dxa"/>
          </w:tcPr>
          <w:p w14:paraId="6C7B9323" w14:textId="77777777" w:rsidR="00557C61" w:rsidRPr="00B90F07" w:rsidRDefault="00557C61" w:rsidP="005362D8">
            <w:pPr>
              <w:rPr>
                <w:sz w:val="16"/>
                <w:szCs w:val="16"/>
              </w:rPr>
            </w:pPr>
            <w:r w:rsidRPr="00B90F07">
              <w:rPr>
                <w:sz w:val="16"/>
                <w:szCs w:val="16"/>
              </w:rPr>
              <w:t>21</w:t>
            </w:r>
          </w:p>
        </w:tc>
        <w:tc>
          <w:tcPr>
            <w:tcW w:w="376" w:type="dxa"/>
          </w:tcPr>
          <w:p w14:paraId="5BC8961B" w14:textId="77777777" w:rsidR="00557C61" w:rsidRPr="00B90F07" w:rsidRDefault="00557C61" w:rsidP="005362D8">
            <w:pPr>
              <w:rPr>
                <w:sz w:val="16"/>
                <w:szCs w:val="16"/>
              </w:rPr>
            </w:pPr>
            <w:r w:rsidRPr="00B90F07">
              <w:rPr>
                <w:sz w:val="16"/>
                <w:szCs w:val="16"/>
              </w:rPr>
              <w:t>15</w:t>
            </w:r>
          </w:p>
        </w:tc>
        <w:tc>
          <w:tcPr>
            <w:tcW w:w="376" w:type="dxa"/>
          </w:tcPr>
          <w:p w14:paraId="39337555" w14:textId="77777777" w:rsidR="00557C61" w:rsidRPr="00B90F07" w:rsidRDefault="00557C61" w:rsidP="005362D8">
            <w:pPr>
              <w:rPr>
                <w:sz w:val="16"/>
                <w:szCs w:val="16"/>
              </w:rPr>
            </w:pPr>
            <w:r w:rsidRPr="00B90F07">
              <w:rPr>
                <w:sz w:val="16"/>
                <w:szCs w:val="16"/>
              </w:rPr>
              <w:t>10</w:t>
            </w:r>
          </w:p>
        </w:tc>
        <w:tc>
          <w:tcPr>
            <w:tcW w:w="376" w:type="dxa"/>
          </w:tcPr>
          <w:p w14:paraId="06290A76" w14:textId="77777777" w:rsidR="00557C61" w:rsidRPr="00B90F07" w:rsidRDefault="00557C61" w:rsidP="005362D8">
            <w:pPr>
              <w:rPr>
                <w:sz w:val="16"/>
                <w:szCs w:val="16"/>
              </w:rPr>
            </w:pPr>
            <w:r w:rsidRPr="00B90F07">
              <w:rPr>
                <w:sz w:val="16"/>
                <w:szCs w:val="16"/>
              </w:rPr>
              <w:t>8</w:t>
            </w:r>
          </w:p>
        </w:tc>
        <w:tc>
          <w:tcPr>
            <w:tcW w:w="376" w:type="dxa"/>
          </w:tcPr>
          <w:p w14:paraId="6F82F667" w14:textId="77777777" w:rsidR="00557C61" w:rsidRPr="00B90F07" w:rsidRDefault="00557C61" w:rsidP="005362D8">
            <w:pPr>
              <w:rPr>
                <w:sz w:val="16"/>
                <w:szCs w:val="16"/>
              </w:rPr>
            </w:pPr>
            <w:r w:rsidRPr="00B90F07">
              <w:rPr>
                <w:sz w:val="16"/>
                <w:szCs w:val="16"/>
              </w:rPr>
              <w:t>5</w:t>
            </w:r>
          </w:p>
        </w:tc>
        <w:tc>
          <w:tcPr>
            <w:tcW w:w="376" w:type="dxa"/>
          </w:tcPr>
          <w:p w14:paraId="0E33CDB3" w14:textId="77777777" w:rsidR="00557C61" w:rsidRPr="00B90F07" w:rsidRDefault="00557C61" w:rsidP="005362D8">
            <w:pPr>
              <w:rPr>
                <w:sz w:val="16"/>
                <w:szCs w:val="16"/>
              </w:rPr>
            </w:pPr>
            <w:r w:rsidRPr="00B90F07">
              <w:rPr>
                <w:sz w:val="16"/>
                <w:szCs w:val="16"/>
              </w:rPr>
              <w:t>3</w:t>
            </w:r>
          </w:p>
        </w:tc>
        <w:tc>
          <w:tcPr>
            <w:tcW w:w="376" w:type="dxa"/>
          </w:tcPr>
          <w:p w14:paraId="7466FE4D" w14:textId="77777777" w:rsidR="00557C61" w:rsidRPr="00B90F07" w:rsidRDefault="00557C61" w:rsidP="005362D8">
            <w:pPr>
              <w:rPr>
                <w:sz w:val="16"/>
                <w:szCs w:val="16"/>
              </w:rPr>
            </w:pPr>
            <w:r w:rsidRPr="00B90F07">
              <w:rPr>
                <w:sz w:val="16"/>
                <w:szCs w:val="16"/>
              </w:rPr>
              <w:t>1</w:t>
            </w:r>
          </w:p>
        </w:tc>
        <w:tc>
          <w:tcPr>
            <w:tcW w:w="376" w:type="dxa"/>
          </w:tcPr>
          <w:p w14:paraId="2E36CB9B" w14:textId="77777777" w:rsidR="00557C61" w:rsidRPr="00B90F07" w:rsidRDefault="00557C61" w:rsidP="005362D8">
            <w:pPr>
              <w:rPr>
                <w:sz w:val="16"/>
                <w:szCs w:val="16"/>
              </w:rPr>
            </w:pPr>
            <w:r w:rsidRPr="00B90F07">
              <w:rPr>
                <w:sz w:val="16"/>
                <w:szCs w:val="16"/>
              </w:rPr>
              <w:t>1</w:t>
            </w:r>
          </w:p>
        </w:tc>
        <w:tc>
          <w:tcPr>
            <w:tcW w:w="456" w:type="dxa"/>
          </w:tcPr>
          <w:p w14:paraId="072DC810" w14:textId="77777777" w:rsidR="00557C61" w:rsidRPr="00B90F07" w:rsidRDefault="00557C61" w:rsidP="005362D8">
            <w:pPr>
              <w:rPr>
                <w:sz w:val="16"/>
                <w:szCs w:val="16"/>
              </w:rPr>
            </w:pPr>
            <w:r w:rsidRPr="00B90F07">
              <w:rPr>
                <w:sz w:val="16"/>
                <w:szCs w:val="16"/>
              </w:rPr>
              <w:t>1</w:t>
            </w:r>
          </w:p>
        </w:tc>
        <w:tc>
          <w:tcPr>
            <w:tcW w:w="456" w:type="dxa"/>
          </w:tcPr>
          <w:p w14:paraId="0260BD9F" w14:textId="77777777" w:rsidR="00557C61" w:rsidRPr="00B90F07" w:rsidRDefault="00557C61" w:rsidP="005362D8">
            <w:pPr>
              <w:rPr>
                <w:sz w:val="16"/>
                <w:szCs w:val="16"/>
              </w:rPr>
            </w:pPr>
            <w:r w:rsidRPr="00B90F07">
              <w:rPr>
                <w:sz w:val="16"/>
                <w:szCs w:val="16"/>
              </w:rPr>
              <w:t>0</w:t>
            </w:r>
          </w:p>
        </w:tc>
        <w:tc>
          <w:tcPr>
            <w:tcW w:w="456" w:type="dxa"/>
          </w:tcPr>
          <w:p w14:paraId="54572BE4" w14:textId="77777777" w:rsidR="00557C61" w:rsidRPr="00B90F07" w:rsidRDefault="00557C61" w:rsidP="005362D8">
            <w:pPr>
              <w:rPr>
                <w:sz w:val="16"/>
                <w:szCs w:val="16"/>
              </w:rPr>
            </w:pPr>
            <w:r w:rsidRPr="00B90F07">
              <w:rPr>
                <w:sz w:val="16"/>
                <w:szCs w:val="16"/>
              </w:rPr>
              <w:t>0</w:t>
            </w:r>
          </w:p>
        </w:tc>
        <w:tc>
          <w:tcPr>
            <w:tcW w:w="456" w:type="dxa"/>
          </w:tcPr>
          <w:p w14:paraId="2F3BAD56" w14:textId="77777777" w:rsidR="00557C61" w:rsidRPr="00B90F07" w:rsidRDefault="00557C61" w:rsidP="005362D8">
            <w:pPr>
              <w:rPr>
                <w:sz w:val="16"/>
                <w:szCs w:val="16"/>
              </w:rPr>
            </w:pPr>
            <w:r w:rsidRPr="00B90F07">
              <w:rPr>
                <w:sz w:val="16"/>
                <w:szCs w:val="16"/>
              </w:rPr>
              <w:t>0</w:t>
            </w:r>
          </w:p>
        </w:tc>
        <w:tc>
          <w:tcPr>
            <w:tcW w:w="456" w:type="dxa"/>
          </w:tcPr>
          <w:p w14:paraId="1F758F1D" w14:textId="77777777" w:rsidR="00557C61" w:rsidRPr="00B90F07" w:rsidRDefault="00557C61" w:rsidP="005362D8">
            <w:pPr>
              <w:rPr>
                <w:sz w:val="16"/>
                <w:szCs w:val="16"/>
              </w:rPr>
            </w:pPr>
            <w:r w:rsidRPr="00B90F07">
              <w:rPr>
                <w:sz w:val="16"/>
                <w:szCs w:val="16"/>
              </w:rPr>
              <w:t>0</w:t>
            </w:r>
          </w:p>
        </w:tc>
      </w:tr>
      <w:tr w:rsidR="00557C61" w:rsidRPr="00B90F07" w14:paraId="1DA7A06C" w14:textId="77777777" w:rsidTr="005362D8">
        <w:tc>
          <w:tcPr>
            <w:tcW w:w="954" w:type="dxa"/>
            <w:gridSpan w:val="2"/>
          </w:tcPr>
          <w:p w14:paraId="2C0B6C88" w14:textId="77777777" w:rsidR="00557C61" w:rsidRPr="00B90F07" w:rsidRDefault="00557C61" w:rsidP="005362D8">
            <w:pPr>
              <w:rPr>
                <w:sz w:val="16"/>
                <w:szCs w:val="16"/>
              </w:rPr>
            </w:pPr>
          </w:p>
        </w:tc>
        <w:tc>
          <w:tcPr>
            <w:tcW w:w="456" w:type="dxa"/>
          </w:tcPr>
          <w:p w14:paraId="4D4F6F27" w14:textId="77777777" w:rsidR="00557C61" w:rsidRPr="00B90F07" w:rsidRDefault="00557C61" w:rsidP="005362D8">
            <w:pPr>
              <w:rPr>
                <w:sz w:val="16"/>
                <w:szCs w:val="16"/>
              </w:rPr>
            </w:pPr>
          </w:p>
        </w:tc>
        <w:tc>
          <w:tcPr>
            <w:tcW w:w="456" w:type="dxa"/>
          </w:tcPr>
          <w:p w14:paraId="7B680B86" w14:textId="77777777" w:rsidR="00557C61" w:rsidRPr="00B90F07" w:rsidRDefault="00557C61" w:rsidP="005362D8">
            <w:pPr>
              <w:rPr>
                <w:sz w:val="16"/>
                <w:szCs w:val="16"/>
              </w:rPr>
            </w:pPr>
          </w:p>
        </w:tc>
        <w:tc>
          <w:tcPr>
            <w:tcW w:w="456" w:type="dxa"/>
          </w:tcPr>
          <w:p w14:paraId="618F0425" w14:textId="77777777" w:rsidR="00557C61" w:rsidRPr="00B90F07" w:rsidRDefault="00557C61" w:rsidP="005362D8">
            <w:pPr>
              <w:rPr>
                <w:sz w:val="16"/>
                <w:szCs w:val="16"/>
              </w:rPr>
            </w:pPr>
          </w:p>
        </w:tc>
        <w:tc>
          <w:tcPr>
            <w:tcW w:w="456" w:type="dxa"/>
          </w:tcPr>
          <w:p w14:paraId="469EF202" w14:textId="77777777" w:rsidR="00557C61" w:rsidRPr="00B90F07" w:rsidRDefault="00557C61" w:rsidP="005362D8">
            <w:pPr>
              <w:rPr>
                <w:sz w:val="16"/>
                <w:szCs w:val="16"/>
              </w:rPr>
            </w:pPr>
          </w:p>
        </w:tc>
        <w:tc>
          <w:tcPr>
            <w:tcW w:w="456" w:type="dxa"/>
          </w:tcPr>
          <w:p w14:paraId="5AB70626" w14:textId="77777777" w:rsidR="00557C61" w:rsidRPr="00B90F07" w:rsidRDefault="00557C61" w:rsidP="005362D8">
            <w:pPr>
              <w:rPr>
                <w:sz w:val="16"/>
                <w:szCs w:val="16"/>
              </w:rPr>
            </w:pPr>
          </w:p>
        </w:tc>
        <w:tc>
          <w:tcPr>
            <w:tcW w:w="456" w:type="dxa"/>
          </w:tcPr>
          <w:p w14:paraId="3A73CE53" w14:textId="77777777" w:rsidR="00557C61" w:rsidRPr="00B90F07" w:rsidRDefault="00557C61" w:rsidP="005362D8">
            <w:pPr>
              <w:rPr>
                <w:sz w:val="16"/>
                <w:szCs w:val="16"/>
              </w:rPr>
            </w:pPr>
          </w:p>
        </w:tc>
        <w:tc>
          <w:tcPr>
            <w:tcW w:w="456" w:type="dxa"/>
          </w:tcPr>
          <w:p w14:paraId="07BF1CEC" w14:textId="77777777" w:rsidR="00557C61" w:rsidRPr="00B90F07" w:rsidRDefault="00557C61" w:rsidP="005362D8">
            <w:pPr>
              <w:rPr>
                <w:sz w:val="16"/>
                <w:szCs w:val="16"/>
              </w:rPr>
            </w:pPr>
          </w:p>
        </w:tc>
        <w:tc>
          <w:tcPr>
            <w:tcW w:w="456" w:type="dxa"/>
          </w:tcPr>
          <w:p w14:paraId="49C54A3F" w14:textId="77777777" w:rsidR="00557C61" w:rsidRPr="00B90F07" w:rsidRDefault="00557C61" w:rsidP="005362D8">
            <w:pPr>
              <w:rPr>
                <w:sz w:val="16"/>
                <w:szCs w:val="16"/>
              </w:rPr>
            </w:pPr>
          </w:p>
        </w:tc>
        <w:tc>
          <w:tcPr>
            <w:tcW w:w="456" w:type="dxa"/>
          </w:tcPr>
          <w:p w14:paraId="30BE3BCA" w14:textId="77777777" w:rsidR="00557C61" w:rsidRPr="00B90F07" w:rsidRDefault="00557C61" w:rsidP="005362D8">
            <w:pPr>
              <w:rPr>
                <w:sz w:val="16"/>
                <w:szCs w:val="16"/>
              </w:rPr>
            </w:pPr>
          </w:p>
        </w:tc>
        <w:tc>
          <w:tcPr>
            <w:tcW w:w="376" w:type="dxa"/>
          </w:tcPr>
          <w:p w14:paraId="0D087340" w14:textId="77777777" w:rsidR="00557C61" w:rsidRPr="00B90F07" w:rsidRDefault="00557C61" w:rsidP="005362D8">
            <w:pPr>
              <w:rPr>
                <w:sz w:val="16"/>
                <w:szCs w:val="16"/>
              </w:rPr>
            </w:pPr>
          </w:p>
        </w:tc>
        <w:tc>
          <w:tcPr>
            <w:tcW w:w="376" w:type="dxa"/>
          </w:tcPr>
          <w:p w14:paraId="183A20F0" w14:textId="77777777" w:rsidR="00557C61" w:rsidRPr="00B90F07" w:rsidRDefault="00557C61" w:rsidP="005362D8">
            <w:pPr>
              <w:rPr>
                <w:sz w:val="16"/>
                <w:szCs w:val="16"/>
              </w:rPr>
            </w:pPr>
          </w:p>
        </w:tc>
        <w:tc>
          <w:tcPr>
            <w:tcW w:w="376" w:type="dxa"/>
          </w:tcPr>
          <w:p w14:paraId="090E63FE" w14:textId="77777777" w:rsidR="00557C61" w:rsidRPr="00B90F07" w:rsidRDefault="00557C61" w:rsidP="005362D8">
            <w:pPr>
              <w:rPr>
                <w:sz w:val="16"/>
                <w:szCs w:val="16"/>
              </w:rPr>
            </w:pPr>
          </w:p>
        </w:tc>
        <w:tc>
          <w:tcPr>
            <w:tcW w:w="376" w:type="dxa"/>
          </w:tcPr>
          <w:p w14:paraId="081EC1B9" w14:textId="77777777" w:rsidR="00557C61" w:rsidRPr="00B90F07" w:rsidRDefault="00557C61" w:rsidP="005362D8">
            <w:pPr>
              <w:rPr>
                <w:sz w:val="16"/>
                <w:szCs w:val="16"/>
              </w:rPr>
            </w:pPr>
          </w:p>
        </w:tc>
        <w:tc>
          <w:tcPr>
            <w:tcW w:w="376" w:type="dxa"/>
          </w:tcPr>
          <w:p w14:paraId="1EFA7D66" w14:textId="77777777" w:rsidR="00557C61" w:rsidRPr="00B90F07" w:rsidRDefault="00557C61" w:rsidP="005362D8">
            <w:pPr>
              <w:rPr>
                <w:sz w:val="16"/>
                <w:szCs w:val="16"/>
              </w:rPr>
            </w:pPr>
          </w:p>
        </w:tc>
        <w:tc>
          <w:tcPr>
            <w:tcW w:w="376" w:type="dxa"/>
          </w:tcPr>
          <w:p w14:paraId="0AA96576" w14:textId="77777777" w:rsidR="00557C61" w:rsidRPr="00B90F07" w:rsidRDefault="00557C61" w:rsidP="005362D8">
            <w:pPr>
              <w:rPr>
                <w:sz w:val="16"/>
                <w:szCs w:val="16"/>
              </w:rPr>
            </w:pPr>
          </w:p>
        </w:tc>
        <w:tc>
          <w:tcPr>
            <w:tcW w:w="376" w:type="dxa"/>
          </w:tcPr>
          <w:p w14:paraId="1FA60436" w14:textId="77777777" w:rsidR="00557C61" w:rsidRPr="00B90F07" w:rsidRDefault="00557C61" w:rsidP="005362D8">
            <w:pPr>
              <w:rPr>
                <w:sz w:val="16"/>
                <w:szCs w:val="16"/>
              </w:rPr>
            </w:pPr>
          </w:p>
        </w:tc>
        <w:tc>
          <w:tcPr>
            <w:tcW w:w="456" w:type="dxa"/>
          </w:tcPr>
          <w:p w14:paraId="3EFC42C4" w14:textId="77777777" w:rsidR="00557C61" w:rsidRPr="00B90F07" w:rsidRDefault="00557C61" w:rsidP="005362D8">
            <w:pPr>
              <w:rPr>
                <w:sz w:val="16"/>
                <w:szCs w:val="16"/>
              </w:rPr>
            </w:pPr>
          </w:p>
        </w:tc>
        <w:tc>
          <w:tcPr>
            <w:tcW w:w="456" w:type="dxa"/>
          </w:tcPr>
          <w:p w14:paraId="6E9A270D" w14:textId="77777777" w:rsidR="00557C61" w:rsidRPr="00B90F07" w:rsidRDefault="00557C61" w:rsidP="005362D8">
            <w:pPr>
              <w:rPr>
                <w:sz w:val="16"/>
                <w:szCs w:val="16"/>
              </w:rPr>
            </w:pPr>
          </w:p>
        </w:tc>
        <w:tc>
          <w:tcPr>
            <w:tcW w:w="456" w:type="dxa"/>
          </w:tcPr>
          <w:p w14:paraId="2AD9135D" w14:textId="77777777" w:rsidR="00557C61" w:rsidRPr="00B90F07" w:rsidRDefault="00557C61" w:rsidP="005362D8">
            <w:pPr>
              <w:rPr>
                <w:sz w:val="16"/>
                <w:szCs w:val="16"/>
              </w:rPr>
            </w:pPr>
          </w:p>
        </w:tc>
        <w:tc>
          <w:tcPr>
            <w:tcW w:w="456" w:type="dxa"/>
          </w:tcPr>
          <w:p w14:paraId="64C89127" w14:textId="77777777" w:rsidR="00557C61" w:rsidRPr="00B90F07" w:rsidRDefault="00557C61" w:rsidP="005362D8">
            <w:pPr>
              <w:rPr>
                <w:sz w:val="16"/>
                <w:szCs w:val="16"/>
              </w:rPr>
            </w:pPr>
          </w:p>
        </w:tc>
        <w:tc>
          <w:tcPr>
            <w:tcW w:w="456" w:type="dxa"/>
          </w:tcPr>
          <w:p w14:paraId="7D75721C" w14:textId="77777777" w:rsidR="00557C61" w:rsidRPr="00B90F07" w:rsidRDefault="00557C61" w:rsidP="005362D8">
            <w:pPr>
              <w:rPr>
                <w:sz w:val="16"/>
                <w:szCs w:val="16"/>
              </w:rPr>
            </w:pPr>
          </w:p>
        </w:tc>
      </w:tr>
      <w:tr w:rsidR="00557C61" w:rsidRPr="00B90F07" w14:paraId="601D9E50" w14:textId="77777777" w:rsidTr="005362D8">
        <w:tc>
          <w:tcPr>
            <w:tcW w:w="456" w:type="dxa"/>
          </w:tcPr>
          <w:p w14:paraId="42C219A3" w14:textId="77777777" w:rsidR="00557C61" w:rsidRPr="00B90F07" w:rsidRDefault="00557C61" w:rsidP="005362D8">
            <w:pPr>
              <w:rPr>
                <w:sz w:val="16"/>
                <w:szCs w:val="16"/>
              </w:rPr>
            </w:pPr>
          </w:p>
        </w:tc>
        <w:tc>
          <w:tcPr>
            <w:tcW w:w="9514" w:type="dxa"/>
            <w:gridSpan w:val="22"/>
          </w:tcPr>
          <w:p w14:paraId="2B5E6A38" w14:textId="77777777" w:rsidR="00557C61" w:rsidRPr="00B90F07" w:rsidRDefault="00557C61" w:rsidP="005362D8">
            <w:pPr>
              <w:rPr>
                <w:sz w:val="16"/>
                <w:szCs w:val="16"/>
              </w:rPr>
            </w:pPr>
            <w:r w:rsidRPr="00B90F07">
              <w:rPr>
                <w:sz w:val="16"/>
                <w:szCs w:val="16"/>
              </w:rPr>
              <w:t>-One-sided P-value is obtained from the log-rank test stratified by sensitivity to prior hormonal therapy and presence of visceral metastasis from IXRS.</w:t>
            </w:r>
          </w:p>
        </w:tc>
      </w:tr>
    </w:tbl>
    <w:p w14:paraId="6B4F5733" w14:textId="77777777" w:rsidR="00557C61" w:rsidRPr="00B90F07" w:rsidRDefault="00557C61" w:rsidP="00557C61">
      <w:pPr>
        <w:rPr>
          <w:sz w:val="24"/>
          <w:lang w:val="en-GB"/>
        </w:rPr>
      </w:pPr>
    </w:p>
    <w:p w14:paraId="5DD12E32" w14:textId="77777777" w:rsidR="00557C61" w:rsidRPr="00B90F07" w:rsidRDefault="00557C61" w:rsidP="00557C61">
      <w:pPr>
        <w:rPr>
          <w:lang w:val="en-GB"/>
        </w:rPr>
      </w:pPr>
      <w:r w:rsidRPr="00B90F07">
        <w:rPr>
          <w:lang w:val="en-GB"/>
        </w:rPr>
        <w:t xml:space="preserve">Nine-month PFS rates were 44% of patients receiving </w:t>
      </w:r>
      <w:proofErr w:type="spellStart"/>
      <w:r w:rsidRPr="00B90F07">
        <w:rPr>
          <w:lang w:val="en-GB"/>
        </w:rPr>
        <w:t>Afinitor</w:t>
      </w:r>
      <w:proofErr w:type="spellEnd"/>
      <w:r w:rsidRPr="00B90F07">
        <w:rPr>
          <w:lang w:val="en-GB"/>
        </w:rPr>
        <w:t xml:space="preserve"> + </w:t>
      </w:r>
      <w:proofErr w:type="spellStart"/>
      <w:r w:rsidRPr="00B90F07">
        <w:rPr>
          <w:lang w:val="en-GB"/>
        </w:rPr>
        <w:t>exemestane</w:t>
      </w:r>
      <w:proofErr w:type="spellEnd"/>
      <w:r w:rsidRPr="00B90F07">
        <w:rPr>
          <w:lang w:val="en-GB"/>
        </w:rPr>
        <w:t xml:space="preserve"> compared with 16% in the placebo + </w:t>
      </w:r>
      <w:proofErr w:type="spellStart"/>
      <w:r w:rsidRPr="00B90F07">
        <w:rPr>
          <w:lang w:val="en-GB"/>
        </w:rPr>
        <w:t>exemestane</w:t>
      </w:r>
      <w:proofErr w:type="spellEnd"/>
      <w:r w:rsidRPr="00B90F07">
        <w:rPr>
          <w:lang w:val="en-GB"/>
        </w:rPr>
        <w:t xml:space="preserve"> arm at a median follow-up of 17.7 months.</w:t>
      </w:r>
    </w:p>
    <w:p w14:paraId="3CE618F1" w14:textId="466C7231" w:rsidR="00557C61" w:rsidRPr="00B90F07" w:rsidRDefault="00557C61" w:rsidP="00557C61">
      <w:pPr>
        <w:rPr>
          <w:lang w:val="en-GB"/>
        </w:rPr>
      </w:pPr>
      <w:r w:rsidRPr="00B90F07">
        <w:rPr>
          <w:lang w:val="en-GB"/>
        </w:rPr>
        <w:t xml:space="preserve">The estimated PFS treatment effect was supported by planned subgroup analysis of PFS per investigator assessment. For all </w:t>
      </w:r>
      <w:proofErr w:type="spellStart"/>
      <w:r w:rsidRPr="00B90F07">
        <w:rPr>
          <w:lang w:val="en-GB"/>
        </w:rPr>
        <w:t>analyzed</w:t>
      </w:r>
      <w:proofErr w:type="spellEnd"/>
      <w:r w:rsidRPr="00B90F07">
        <w:rPr>
          <w:lang w:val="en-GB"/>
        </w:rPr>
        <w:t xml:space="preserve"> subgroups, a positive treatment effect was seen with </w:t>
      </w:r>
      <w:proofErr w:type="spellStart"/>
      <w:r w:rsidRPr="00B90F07">
        <w:rPr>
          <w:lang w:val="en-GB"/>
        </w:rPr>
        <w:t>Afinitor</w:t>
      </w:r>
      <w:proofErr w:type="spellEnd"/>
      <w:r w:rsidRPr="00B90F07">
        <w:rPr>
          <w:lang w:val="en-GB"/>
        </w:rPr>
        <w:t xml:space="preserve"> + </w:t>
      </w:r>
      <w:proofErr w:type="spellStart"/>
      <w:r w:rsidRPr="00B90F07">
        <w:rPr>
          <w:lang w:val="en-GB"/>
        </w:rPr>
        <w:t>exemestane</w:t>
      </w:r>
      <w:proofErr w:type="spellEnd"/>
      <w:r w:rsidRPr="00B90F07">
        <w:rPr>
          <w:lang w:val="en-GB"/>
        </w:rPr>
        <w:t xml:space="preserve"> with an estimated hazard ratio vs. placebo + </w:t>
      </w:r>
      <w:proofErr w:type="spellStart"/>
      <w:r w:rsidRPr="00B90F07">
        <w:rPr>
          <w:lang w:val="en-GB"/>
        </w:rPr>
        <w:t>exemestane</w:t>
      </w:r>
      <w:proofErr w:type="spellEnd"/>
      <w:r w:rsidRPr="00B90F07">
        <w:rPr>
          <w:lang w:val="en-GB"/>
        </w:rPr>
        <w:t xml:space="preserve"> ranging from 0.25 to 0.62 (see </w:t>
      </w:r>
      <w:r w:rsidRPr="00B90F07">
        <w:rPr>
          <w:lang w:val="en-GB"/>
        </w:rPr>
        <w:fldChar w:fldCharType="begin"/>
      </w:r>
      <w:r w:rsidRPr="00B90F07">
        <w:rPr>
          <w:lang w:val="en-GB"/>
        </w:rPr>
        <w:instrText xml:space="preserve"> REF _Ref491094528 \h  \* MERGEFORMAT </w:instrText>
      </w:r>
      <w:r w:rsidRPr="00B90F07">
        <w:rPr>
          <w:lang w:val="en-GB"/>
        </w:rPr>
      </w:r>
      <w:r w:rsidRPr="00B90F07">
        <w:rPr>
          <w:lang w:val="en-GB"/>
        </w:rPr>
        <w:fldChar w:fldCharType="separate"/>
      </w:r>
      <w:r w:rsidR="00D64407" w:rsidRPr="00D64407">
        <w:rPr>
          <w:lang w:val="en-GB"/>
        </w:rPr>
        <w:t>Figure 2</w:t>
      </w:r>
      <w:r w:rsidRPr="00B90F07">
        <w:rPr>
          <w:lang w:val="en-GB"/>
        </w:rPr>
        <w:fldChar w:fldCharType="end"/>
      </w:r>
      <w:r w:rsidRPr="00B90F07">
        <w:rPr>
          <w:lang w:val="en-GB"/>
        </w:rPr>
        <w:t xml:space="preserve"> and </w:t>
      </w:r>
      <w:r w:rsidRPr="00B90F07">
        <w:rPr>
          <w:lang w:val="en-GB"/>
        </w:rPr>
        <w:fldChar w:fldCharType="begin"/>
      </w:r>
      <w:r w:rsidRPr="00B90F07">
        <w:rPr>
          <w:lang w:val="en-GB"/>
        </w:rPr>
        <w:instrText xml:space="preserve"> REF _Ref491094504 \h  \* MERGEFORMAT </w:instrText>
      </w:r>
      <w:r w:rsidRPr="00B90F07">
        <w:rPr>
          <w:lang w:val="en-GB"/>
        </w:rPr>
      </w:r>
      <w:r w:rsidRPr="00B90F07">
        <w:rPr>
          <w:lang w:val="en-GB"/>
        </w:rPr>
        <w:fldChar w:fldCharType="separate"/>
      </w:r>
      <w:r w:rsidR="00D64407" w:rsidRPr="00D64407">
        <w:rPr>
          <w:lang w:val="en-GB"/>
        </w:rPr>
        <w:t>Figure 3</w:t>
      </w:r>
      <w:r w:rsidRPr="00B90F07">
        <w:rPr>
          <w:lang w:val="en-GB"/>
        </w:rPr>
        <w:fldChar w:fldCharType="end"/>
      </w:r>
      <w:r w:rsidRPr="00B90F07">
        <w:rPr>
          <w:lang w:val="en-GB"/>
        </w:rPr>
        <w:t>). Subgroup analyses demonstrated a homogeneous and consistent treatment effect irrespective of sensitivity to prior hormonal therapy and presence of visceral metastasis, and across major demographic and prognostic subgroups.</w:t>
      </w:r>
    </w:p>
    <w:p w14:paraId="6257BB27" w14:textId="77777777" w:rsidR="00557C61" w:rsidRPr="00B90F07" w:rsidRDefault="00557C61" w:rsidP="00557C61">
      <w:pPr>
        <w:tabs>
          <w:tab w:val="left" w:pos="567"/>
        </w:tabs>
        <w:rPr>
          <w:b/>
          <w:bCs/>
          <w:sz w:val="24"/>
          <w:szCs w:val="24"/>
        </w:rPr>
      </w:pPr>
    </w:p>
    <w:p w14:paraId="5AB3ACB2" w14:textId="77777777" w:rsidR="00557C61" w:rsidRPr="00B90F07" w:rsidRDefault="00557C61" w:rsidP="00557C61">
      <w:pPr>
        <w:pStyle w:val="Caption"/>
        <w:keepNext/>
        <w:spacing w:line="276" w:lineRule="auto"/>
        <w:rPr>
          <w:rFonts w:asciiTheme="minorHAnsi" w:hAnsiTheme="minorHAnsi"/>
        </w:rPr>
      </w:pPr>
      <w:bookmarkStart w:id="23" w:name="_Ref491094528"/>
      <w:r w:rsidRPr="00B90F07">
        <w:rPr>
          <w:rFonts w:asciiTheme="minorHAnsi" w:hAnsiTheme="minorHAnsi"/>
        </w:rPr>
        <w:t xml:space="preserve">Figure </w:t>
      </w:r>
      <w:r w:rsidRPr="00B90F07">
        <w:rPr>
          <w:rFonts w:asciiTheme="minorHAnsi" w:hAnsiTheme="minorHAnsi"/>
        </w:rPr>
        <w:fldChar w:fldCharType="begin"/>
      </w:r>
      <w:r w:rsidRPr="00B90F07">
        <w:rPr>
          <w:rFonts w:asciiTheme="minorHAnsi" w:hAnsiTheme="minorHAnsi"/>
        </w:rPr>
        <w:instrText xml:space="preserve"> SEQ Figure \* ARABIC </w:instrText>
      </w:r>
      <w:r w:rsidRPr="00B90F07">
        <w:rPr>
          <w:rFonts w:asciiTheme="minorHAnsi" w:hAnsiTheme="minorHAnsi"/>
        </w:rPr>
        <w:fldChar w:fldCharType="separate"/>
      </w:r>
      <w:r w:rsidR="00D64407">
        <w:rPr>
          <w:rFonts w:asciiTheme="minorHAnsi" w:hAnsiTheme="minorHAnsi"/>
          <w:noProof/>
        </w:rPr>
        <w:t>2</w:t>
      </w:r>
      <w:r w:rsidRPr="00B90F07">
        <w:rPr>
          <w:rFonts w:asciiTheme="minorHAnsi" w:hAnsiTheme="minorHAnsi"/>
        </w:rPr>
        <w:fldChar w:fldCharType="end"/>
      </w:r>
      <w:bookmarkEnd w:id="23"/>
      <w:r w:rsidRPr="00B90F07">
        <w:rPr>
          <w:rFonts w:asciiTheme="minorHAnsi" w:hAnsiTheme="minorHAnsi"/>
        </w:rPr>
        <w:tab/>
      </w:r>
      <w:r w:rsidRPr="00B90F07">
        <w:rPr>
          <w:rFonts w:asciiTheme="minorHAnsi" w:hAnsiTheme="minorHAnsi"/>
        </w:rPr>
        <w:tab/>
        <w:t>Forest plot of PFS as per investigator by subgroup (1)</w:t>
      </w:r>
    </w:p>
    <w:p w14:paraId="39F50739" w14:textId="77777777" w:rsidR="00557C61" w:rsidRPr="00B90F07" w:rsidRDefault="00557C61" w:rsidP="00557C61">
      <w:pPr>
        <w:tabs>
          <w:tab w:val="left" w:pos="567"/>
        </w:tabs>
        <w:rPr>
          <w:noProof/>
          <w:lang w:val="en-US"/>
        </w:rPr>
      </w:pPr>
      <w:r w:rsidRPr="00B90F07">
        <w:rPr>
          <w:noProof/>
          <w:lang w:eastAsia="en-AU"/>
        </w:rPr>
        <w:drawing>
          <wp:inline distT="0" distB="0" distL="0" distR="0" wp14:anchorId="3AF4BE22" wp14:editId="5A2EEFCC">
            <wp:extent cx="4562475" cy="3886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3886200"/>
                    </a:xfrm>
                    <a:prstGeom prst="rect">
                      <a:avLst/>
                    </a:prstGeom>
                    <a:noFill/>
                    <a:ln>
                      <a:noFill/>
                    </a:ln>
                  </pic:spPr>
                </pic:pic>
              </a:graphicData>
            </a:graphic>
          </wp:inline>
        </w:drawing>
      </w:r>
    </w:p>
    <w:p w14:paraId="0822F864" w14:textId="77777777" w:rsidR="00557C61" w:rsidRPr="00B90F07" w:rsidRDefault="00557C61" w:rsidP="00557C61">
      <w:pPr>
        <w:tabs>
          <w:tab w:val="left" w:pos="567"/>
        </w:tabs>
        <w:rPr>
          <w:noProof/>
          <w:lang w:val="en-US"/>
        </w:rPr>
      </w:pPr>
    </w:p>
    <w:p w14:paraId="409FD045" w14:textId="77777777" w:rsidR="00557C61" w:rsidRPr="00B90F07" w:rsidRDefault="00557C61" w:rsidP="00557C61">
      <w:pPr>
        <w:pStyle w:val="Caption"/>
        <w:keepNext/>
        <w:spacing w:line="276" w:lineRule="auto"/>
        <w:rPr>
          <w:rFonts w:asciiTheme="minorHAnsi" w:hAnsiTheme="minorHAnsi"/>
        </w:rPr>
      </w:pPr>
      <w:bookmarkStart w:id="24" w:name="_Ref491094504"/>
      <w:r w:rsidRPr="00B90F07">
        <w:rPr>
          <w:rFonts w:asciiTheme="minorHAnsi" w:hAnsiTheme="minorHAnsi"/>
        </w:rPr>
        <w:lastRenderedPageBreak/>
        <w:t xml:space="preserve">Figure </w:t>
      </w:r>
      <w:r w:rsidRPr="00B90F07">
        <w:rPr>
          <w:rFonts w:asciiTheme="minorHAnsi" w:hAnsiTheme="minorHAnsi"/>
        </w:rPr>
        <w:fldChar w:fldCharType="begin"/>
      </w:r>
      <w:r w:rsidRPr="00B90F07">
        <w:rPr>
          <w:rFonts w:asciiTheme="minorHAnsi" w:hAnsiTheme="minorHAnsi"/>
        </w:rPr>
        <w:instrText xml:space="preserve"> SEQ Figure \* ARABIC </w:instrText>
      </w:r>
      <w:r w:rsidRPr="00B90F07">
        <w:rPr>
          <w:rFonts w:asciiTheme="minorHAnsi" w:hAnsiTheme="minorHAnsi"/>
        </w:rPr>
        <w:fldChar w:fldCharType="separate"/>
      </w:r>
      <w:r w:rsidR="00D64407">
        <w:rPr>
          <w:rFonts w:asciiTheme="minorHAnsi" w:hAnsiTheme="minorHAnsi"/>
          <w:noProof/>
        </w:rPr>
        <w:t>3</w:t>
      </w:r>
      <w:r w:rsidRPr="00B90F07">
        <w:rPr>
          <w:rFonts w:asciiTheme="minorHAnsi" w:hAnsiTheme="minorHAnsi"/>
        </w:rPr>
        <w:fldChar w:fldCharType="end"/>
      </w:r>
      <w:bookmarkEnd w:id="24"/>
      <w:r w:rsidRPr="00B90F07">
        <w:rPr>
          <w:rFonts w:asciiTheme="minorHAnsi" w:hAnsiTheme="minorHAnsi"/>
        </w:rPr>
        <w:t xml:space="preserve"> </w:t>
      </w:r>
      <w:r w:rsidRPr="00B90F07">
        <w:rPr>
          <w:rFonts w:asciiTheme="minorHAnsi" w:hAnsiTheme="minorHAnsi"/>
        </w:rPr>
        <w:tab/>
        <w:t>Forest plot of PFS as per investigator by subgroup (2)</w:t>
      </w:r>
    </w:p>
    <w:p w14:paraId="4E05CCE5" w14:textId="77777777" w:rsidR="00557C61" w:rsidRPr="00B90F07" w:rsidRDefault="00557C61" w:rsidP="00557C61">
      <w:pPr>
        <w:tabs>
          <w:tab w:val="left" w:pos="567"/>
        </w:tabs>
        <w:rPr>
          <w:noProof/>
          <w:lang w:val="en-US"/>
        </w:rPr>
      </w:pPr>
      <w:r w:rsidRPr="00B90F07">
        <w:rPr>
          <w:noProof/>
          <w:lang w:eastAsia="en-AU"/>
        </w:rPr>
        <w:drawing>
          <wp:inline distT="0" distB="0" distL="0" distR="0" wp14:anchorId="55B24FF5" wp14:editId="34B24498">
            <wp:extent cx="4562475" cy="3705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3705225"/>
                    </a:xfrm>
                    <a:prstGeom prst="rect">
                      <a:avLst/>
                    </a:prstGeom>
                    <a:noFill/>
                    <a:ln>
                      <a:noFill/>
                    </a:ln>
                  </pic:spPr>
                </pic:pic>
              </a:graphicData>
            </a:graphic>
          </wp:inline>
        </w:drawing>
      </w:r>
    </w:p>
    <w:p w14:paraId="38DE7989" w14:textId="77777777" w:rsidR="00557C61" w:rsidRDefault="00557C61" w:rsidP="00557C61">
      <w:pPr>
        <w:rPr>
          <w:lang w:val="en-GB"/>
        </w:rPr>
      </w:pPr>
      <w:r w:rsidRPr="00B90F07">
        <w:rPr>
          <w:lang w:val="en-GB"/>
        </w:rPr>
        <w:t>Clinically or statistically significant differences were not observed between the two treatment arms in terms of time to deterioration of ECOG PS (≥1 point) and median times to deterioration (≥5%) of QLQ-C30 domain scores.</w:t>
      </w:r>
    </w:p>
    <w:p w14:paraId="192ABF25" w14:textId="77777777" w:rsidR="00557C61" w:rsidRPr="00B90F07" w:rsidRDefault="00557C61" w:rsidP="00557C61">
      <w:pPr>
        <w:pStyle w:val="Heading3"/>
        <w:tabs>
          <w:tab w:val="left" w:pos="567"/>
        </w:tabs>
        <w:spacing w:before="0" w:after="240" w:line="320" w:lineRule="atLeast"/>
        <w:ind w:left="0"/>
        <w:rPr>
          <w:rFonts w:asciiTheme="minorHAnsi" w:hAnsiTheme="minorHAnsi"/>
          <w:u w:val="single"/>
          <w:lang w:val="en-GB"/>
        </w:rPr>
      </w:pPr>
      <w:r w:rsidRPr="00B90F07">
        <w:rPr>
          <w:rFonts w:asciiTheme="minorHAnsi" w:hAnsiTheme="minorHAnsi"/>
          <w:u w:val="single"/>
          <w:lang w:val="en-GB"/>
        </w:rPr>
        <w:t>Advanced neuroendocrine tumours of pancreatic origin</w:t>
      </w:r>
    </w:p>
    <w:p w14:paraId="17F3BCD2" w14:textId="58EB8171" w:rsidR="00557C61" w:rsidRPr="0022140F" w:rsidRDefault="00557C61" w:rsidP="00557C61">
      <w:pPr>
        <w:rPr>
          <w:lang w:val="en-GB"/>
        </w:rPr>
      </w:pPr>
      <w:r w:rsidRPr="0022140F">
        <w:rPr>
          <w:lang w:val="en-GB"/>
        </w:rPr>
        <w:t xml:space="preserve">RADIANT-3 (Study CRAD001C2324), a randomised, double-blind, multicentre phase III study of </w:t>
      </w:r>
      <w:proofErr w:type="spellStart"/>
      <w:r w:rsidRPr="0022140F">
        <w:rPr>
          <w:lang w:val="en-GB"/>
        </w:rPr>
        <w:t>Afinitor</w:t>
      </w:r>
      <w:proofErr w:type="spellEnd"/>
      <w:r w:rsidRPr="0022140F">
        <w:rPr>
          <w:lang w:val="en-GB"/>
        </w:rPr>
        <w:t xml:space="preserve"> plus best supportive care (BSC) versus placebo plus BSC in patients with progressive, </w:t>
      </w:r>
      <w:proofErr w:type="spellStart"/>
      <w:r w:rsidRPr="0022140F">
        <w:rPr>
          <w:lang w:val="en-GB"/>
        </w:rPr>
        <w:t>unresectable</w:t>
      </w:r>
      <w:proofErr w:type="spellEnd"/>
      <w:r w:rsidRPr="0022140F">
        <w:rPr>
          <w:lang w:val="en-GB"/>
        </w:rPr>
        <w:t xml:space="preserve"> or metastatic, well or moderately differentiated pancreatic neuroendocrine tumours (</w:t>
      </w:r>
      <w:proofErr w:type="spellStart"/>
      <w:r w:rsidRPr="0022140F">
        <w:rPr>
          <w:lang w:val="en-GB"/>
        </w:rPr>
        <w:t>pNET</w:t>
      </w:r>
      <w:proofErr w:type="spellEnd"/>
      <w:r w:rsidRPr="0022140F">
        <w:rPr>
          <w:lang w:val="en-GB"/>
        </w:rPr>
        <w:t xml:space="preserve">), demonstrated a statistically significant clinical benefit of </w:t>
      </w:r>
      <w:proofErr w:type="spellStart"/>
      <w:r w:rsidRPr="0022140F">
        <w:rPr>
          <w:lang w:val="en-GB"/>
        </w:rPr>
        <w:t>Afinitor</w:t>
      </w:r>
      <w:proofErr w:type="spellEnd"/>
      <w:r w:rsidRPr="0022140F">
        <w:rPr>
          <w:lang w:val="en-GB"/>
        </w:rPr>
        <w:t xml:space="preserve"> over placebo by a 2.4-fold prolongation in median progression-free-survival PFS (11.04 months versus 4.6 months), resulting in a 65% risk reduction in PFS (HR 0.35; 95%CI: 0.27, 0.45; one sided p&lt;0.0001) (see </w:t>
      </w:r>
      <w:r w:rsidRPr="0022140F">
        <w:rPr>
          <w:lang w:val="en-GB"/>
        </w:rPr>
        <w:fldChar w:fldCharType="begin"/>
      </w:r>
      <w:r w:rsidRPr="0022140F">
        <w:rPr>
          <w:lang w:val="en-GB"/>
        </w:rPr>
        <w:instrText xml:space="preserve"> REF _Ref491094587 \h  \* MERGEFORMAT </w:instrText>
      </w:r>
      <w:r w:rsidRPr="0022140F">
        <w:rPr>
          <w:lang w:val="en-GB"/>
        </w:rPr>
      </w:r>
      <w:r w:rsidRPr="0022140F">
        <w:rPr>
          <w:lang w:val="en-GB"/>
        </w:rPr>
        <w:fldChar w:fldCharType="separate"/>
      </w:r>
      <w:r w:rsidR="00D64407" w:rsidRPr="00D64407">
        <w:rPr>
          <w:lang w:val="en-GB"/>
        </w:rPr>
        <w:t>Table 8</w:t>
      </w:r>
      <w:r w:rsidRPr="0022140F">
        <w:rPr>
          <w:lang w:val="en-GB"/>
        </w:rPr>
        <w:fldChar w:fldCharType="end"/>
      </w:r>
      <w:r w:rsidRPr="0022140F">
        <w:rPr>
          <w:lang w:val="en-GB"/>
        </w:rPr>
        <w:t xml:space="preserve"> and </w:t>
      </w:r>
      <w:r w:rsidRPr="0022140F">
        <w:rPr>
          <w:lang w:val="en-GB"/>
        </w:rPr>
        <w:fldChar w:fldCharType="begin"/>
      </w:r>
      <w:r w:rsidRPr="0022140F">
        <w:rPr>
          <w:lang w:val="en-GB"/>
        </w:rPr>
        <w:instrText xml:space="preserve"> REF _Ref491094605 \h  \* MERGEFORMAT </w:instrText>
      </w:r>
      <w:r w:rsidRPr="0022140F">
        <w:rPr>
          <w:lang w:val="en-GB"/>
        </w:rPr>
      </w:r>
      <w:r w:rsidRPr="0022140F">
        <w:rPr>
          <w:lang w:val="en-GB"/>
        </w:rPr>
        <w:fldChar w:fldCharType="separate"/>
      </w:r>
      <w:r w:rsidR="00D64407" w:rsidRPr="00D64407">
        <w:rPr>
          <w:lang w:val="en-GB"/>
        </w:rPr>
        <w:t>Figure 4</w:t>
      </w:r>
      <w:r w:rsidRPr="0022140F">
        <w:rPr>
          <w:lang w:val="en-GB"/>
        </w:rPr>
        <w:fldChar w:fldCharType="end"/>
      </w:r>
      <w:r w:rsidRPr="0022140F">
        <w:rPr>
          <w:lang w:val="en-GB"/>
        </w:rPr>
        <w:t>).</w:t>
      </w:r>
    </w:p>
    <w:p w14:paraId="7C9F779D" w14:textId="77777777" w:rsidR="00557C61" w:rsidRPr="0022140F" w:rsidRDefault="00557C61" w:rsidP="00557C61">
      <w:pPr>
        <w:rPr>
          <w:lang w:val="en-GB"/>
        </w:rPr>
      </w:pPr>
      <w:r w:rsidRPr="0022140F">
        <w:rPr>
          <w:lang w:val="en-GB"/>
        </w:rPr>
        <w:t xml:space="preserve">RADIANT-3 enrolled patients with advanced </w:t>
      </w:r>
      <w:proofErr w:type="spellStart"/>
      <w:r w:rsidRPr="0022140F">
        <w:rPr>
          <w:lang w:val="en-GB"/>
        </w:rPr>
        <w:t>pNET</w:t>
      </w:r>
      <w:proofErr w:type="spellEnd"/>
      <w:r w:rsidRPr="0022140F">
        <w:rPr>
          <w:lang w:val="en-GB"/>
        </w:rPr>
        <w:t xml:space="preserve"> whose disease had progressed within the prior 12 months, was well or moderately differentiated, and </w:t>
      </w:r>
      <w:proofErr w:type="spellStart"/>
      <w:r w:rsidRPr="0022140F">
        <w:rPr>
          <w:lang w:val="en-GB"/>
        </w:rPr>
        <w:t>unresectable</w:t>
      </w:r>
      <w:proofErr w:type="spellEnd"/>
      <w:r w:rsidRPr="0022140F">
        <w:rPr>
          <w:lang w:val="en-GB"/>
        </w:rPr>
        <w:t xml:space="preserve"> or metastatic. Patients were stratified by prior cytotoxic chemotherapy (yes/no) and by WHO performance status (0 vs. 1 and 2). Treatment with somatostatin </w:t>
      </w:r>
      <w:proofErr w:type="spellStart"/>
      <w:r w:rsidRPr="0022140F">
        <w:rPr>
          <w:lang w:val="en-GB"/>
        </w:rPr>
        <w:t>analogs</w:t>
      </w:r>
      <w:proofErr w:type="spellEnd"/>
      <w:r w:rsidRPr="0022140F">
        <w:rPr>
          <w:lang w:val="en-GB"/>
        </w:rPr>
        <w:t xml:space="preserve"> was allowed as part of BSC.</w:t>
      </w:r>
    </w:p>
    <w:p w14:paraId="0CBCAC23" w14:textId="77777777" w:rsidR="00557C61" w:rsidRPr="0022140F" w:rsidRDefault="00557C61" w:rsidP="00557C61">
      <w:pPr>
        <w:rPr>
          <w:lang w:val="en-GB"/>
        </w:rPr>
      </w:pPr>
      <w:r w:rsidRPr="0022140F">
        <w:rPr>
          <w:lang w:val="en-GB"/>
        </w:rPr>
        <w:t xml:space="preserve">The primary endpoint for the trial was PFS evaluated by RECIST (Response Evaluation Criteria in Solid Tumours, version 1.0) as per investigator radiological review. After documented radiological </w:t>
      </w:r>
      <w:r w:rsidRPr="0022140F">
        <w:rPr>
          <w:lang w:val="en-GB"/>
        </w:rPr>
        <w:lastRenderedPageBreak/>
        <w:t xml:space="preserve">progression, patients could be </w:t>
      </w:r>
      <w:proofErr w:type="spellStart"/>
      <w:r w:rsidRPr="0022140F">
        <w:rPr>
          <w:lang w:val="en-GB"/>
        </w:rPr>
        <w:t>unblinded</w:t>
      </w:r>
      <w:proofErr w:type="spellEnd"/>
      <w:r w:rsidRPr="0022140F">
        <w:rPr>
          <w:lang w:val="en-GB"/>
        </w:rPr>
        <w:t xml:space="preserve"> by the investigator: those randomised to placebo were then able to receive open-label </w:t>
      </w:r>
      <w:proofErr w:type="spellStart"/>
      <w:r w:rsidRPr="0022140F">
        <w:rPr>
          <w:lang w:val="en-GB"/>
        </w:rPr>
        <w:t>Afinitor</w:t>
      </w:r>
      <w:proofErr w:type="spellEnd"/>
      <w:r w:rsidRPr="0022140F">
        <w:rPr>
          <w:lang w:val="en-GB"/>
        </w:rPr>
        <w:t>.</w:t>
      </w:r>
    </w:p>
    <w:p w14:paraId="3D2475FC" w14:textId="77777777" w:rsidR="00557C61" w:rsidRPr="0022140F" w:rsidRDefault="00557C61" w:rsidP="00557C61">
      <w:pPr>
        <w:rPr>
          <w:lang w:val="en-GB"/>
        </w:rPr>
      </w:pPr>
      <w:r w:rsidRPr="0022140F">
        <w:rPr>
          <w:lang w:val="en-GB"/>
        </w:rPr>
        <w:t>Secondary endpoints include safety, objective response rate ORR (complete response (CR) or partial response (PR)), response duration, and overall survival OS.</w:t>
      </w:r>
    </w:p>
    <w:p w14:paraId="3ACF1206" w14:textId="77777777" w:rsidR="00557C61" w:rsidRPr="0022140F" w:rsidRDefault="00557C61" w:rsidP="00557C61">
      <w:pPr>
        <w:rPr>
          <w:lang w:val="en-GB"/>
        </w:rPr>
      </w:pPr>
      <w:r w:rsidRPr="0022140F">
        <w:rPr>
          <w:lang w:val="en-GB"/>
        </w:rPr>
        <w:t xml:space="preserve">In total, 410 patients were randomised 1:1 to receive either </w:t>
      </w:r>
      <w:proofErr w:type="spellStart"/>
      <w:r w:rsidRPr="0022140F">
        <w:rPr>
          <w:lang w:val="en-GB"/>
        </w:rPr>
        <w:t>Afinitor</w:t>
      </w:r>
      <w:proofErr w:type="spellEnd"/>
      <w:r w:rsidRPr="0022140F">
        <w:rPr>
          <w:lang w:val="en-GB"/>
        </w:rPr>
        <w:t xml:space="preserve"> 10mg/day (n=207) or placebo (n=203). Demographics were well balanced (median age 58 years, 55.4% male, 78.5% Caucasian).</w:t>
      </w:r>
    </w:p>
    <w:p w14:paraId="735D3FA4" w14:textId="77777777" w:rsidR="00557C61" w:rsidRPr="0022140F" w:rsidRDefault="00557C61" w:rsidP="00557C61">
      <w:pPr>
        <w:pStyle w:val="Caption"/>
        <w:keepNext/>
        <w:rPr>
          <w:rFonts w:asciiTheme="minorHAnsi" w:hAnsiTheme="minorHAnsi"/>
        </w:rPr>
      </w:pPr>
      <w:bookmarkStart w:id="25" w:name="_Ref491094587"/>
      <w:r w:rsidRPr="0022140F">
        <w:rPr>
          <w:rFonts w:asciiTheme="minorHAnsi" w:hAnsiTheme="minorHAnsi"/>
        </w:rPr>
        <w:t xml:space="preserve">Table </w:t>
      </w:r>
      <w:r w:rsidRPr="0022140F">
        <w:rPr>
          <w:rFonts w:asciiTheme="minorHAnsi" w:hAnsiTheme="minorHAnsi"/>
        </w:rPr>
        <w:fldChar w:fldCharType="begin"/>
      </w:r>
      <w:r w:rsidRPr="0022140F">
        <w:rPr>
          <w:rFonts w:asciiTheme="minorHAnsi" w:hAnsiTheme="minorHAnsi"/>
        </w:rPr>
        <w:instrText xml:space="preserve"> SEQ Table \* ARABIC </w:instrText>
      </w:r>
      <w:r w:rsidRPr="0022140F">
        <w:rPr>
          <w:rFonts w:asciiTheme="minorHAnsi" w:hAnsiTheme="minorHAnsi"/>
        </w:rPr>
        <w:fldChar w:fldCharType="separate"/>
      </w:r>
      <w:r w:rsidR="00D64407">
        <w:rPr>
          <w:rFonts w:asciiTheme="minorHAnsi" w:hAnsiTheme="minorHAnsi"/>
          <w:noProof/>
        </w:rPr>
        <w:t>8</w:t>
      </w:r>
      <w:r w:rsidRPr="0022140F">
        <w:rPr>
          <w:rFonts w:asciiTheme="minorHAnsi" w:hAnsiTheme="minorHAnsi"/>
        </w:rPr>
        <w:fldChar w:fldCharType="end"/>
      </w:r>
      <w:bookmarkEnd w:id="25"/>
      <w:r w:rsidRPr="0022140F">
        <w:rPr>
          <w:rFonts w:asciiTheme="minorHAnsi" w:hAnsiTheme="minorHAnsi"/>
        </w:rPr>
        <w:t xml:space="preserve"> </w:t>
      </w:r>
      <w:r w:rsidRPr="0022140F">
        <w:rPr>
          <w:rFonts w:asciiTheme="minorHAnsi" w:hAnsiTheme="minorHAnsi"/>
        </w:rPr>
        <w:tab/>
      </w:r>
      <w:r w:rsidRPr="0022140F">
        <w:rPr>
          <w:rFonts w:asciiTheme="minorHAnsi" w:hAnsiTheme="minorHAnsi"/>
        </w:rPr>
        <w:tab/>
        <w:t>RADIANT-3 – Progression Free Survival results</w:t>
      </w:r>
    </w:p>
    <w:tbl>
      <w:tblPr>
        <w:tblW w:w="9217" w:type="dxa"/>
        <w:tblBorders>
          <w:top w:val="single" w:sz="4" w:space="0" w:color="auto"/>
          <w:bottom w:val="single" w:sz="4" w:space="0" w:color="auto"/>
        </w:tblBorders>
        <w:tblLayout w:type="fixed"/>
        <w:tblLook w:val="0000" w:firstRow="0" w:lastRow="0" w:firstColumn="0" w:lastColumn="0" w:noHBand="0" w:noVBand="0"/>
      </w:tblPr>
      <w:tblGrid>
        <w:gridCol w:w="2376"/>
        <w:gridCol w:w="720"/>
        <w:gridCol w:w="1690"/>
        <w:gridCol w:w="1640"/>
        <w:gridCol w:w="1760"/>
        <w:gridCol w:w="1031"/>
      </w:tblGrid>
      <w:tr w:rsidR="00557C61" w:rsidRPr="004E63E9" w14:paraId="07418A75" w14:textId="77777777" w:rsidTr="005362D8">
        <w:trPr>
          <w:tblHeader/>
        </w:trPr>
        <w:tc>
          <w:tcPr>
            <w:tcW w:w="2376" w:type="dxa"/>
            <w:tcBorders>
              <w:top w:val="single" w:sz="4" w:space="0" w:color="auto"/>
              <w:bottom w:val="nil"/>
            </w:tcBorders>
            <w:shd w:val="clear" w:color="auto" w:fill="auto"/>
          </w:tcPr>
          <w:p w14:paraId="5B5F7A13" w14:textId="77777777" w:rsidR="00557C61" w:rsidRPr="004E63E9" w:rsidRDefault="00557C61" w:rsidP="005362D8">
            <w:pPr>
              <w:tabs>
                <w:tab w:val="left" w:pos="567"/>
              </w:tabs>
              <w:spacing w:line="320" w:lineRule="atLeast"/>
              <w:rPr>
                <w:b/>
                <w:sz w:val="18"/>
                <w:lang w:val="en-GB"/>
              </w:rPr>
            </w:pPr>
            <w:r w:rsidRPr="004E63E9">
              <w:rPr>
                <w:b/>
                <w:sz w:val="18"/>
                <w:lang w:val="en-GB"/>
              </w:rPr>
              <w:t>Analysis</w:t>
            </w:r>
          </w:p>
        </w:tc>
        <w:tc>
          <w:tcPr>
            <w:tcW w:w="720" w:type="dxa"/>
            <w:tcBorders>
              <w:top w:val="single" w:sz="4" w:space="0" w:color="auto"/>
              <w:bottom w:val="nil"/>
            </w:tcBorders>
            <w:shd w:val="clear" w:color="auto" w:fill="auto"/>
          </w:tcPr>
          <w:p w14:paraId="78DB22B6" w14:textId="77777777" w:rsidR="00557C61" w:rsidRPr="004E63E9" w:rsidRDefault="00557C61" w:rsidP="005362D8">
            <w:pPr>
              <w:tabs>
                <w:tab w:val="left" w:pos="567"/>
              </w:tabs>
              <w:spacing w:line="320" w:lineRule="atLeast"/>
              <w:jc w:val="center"/>
              <w:rPr>
                <w:b/>
                <w:sz w:val="18"/>
                <w:lang w:val="en-GB"/>
              </w:rPr>
            </w:pPr>
            <w:r w:rsidRPr="004E63E9">
              <w:rPr>
                <w:b/>
                <w:sz w:val="18"/>
                <w:lang w:val="en-GB"/>
              </w:rPr>
              <w:t>N</w:t>
            </w:r>
          </w:p>
        </w:tc>
        <w:tc>
          <w:tcPr>
            <w:tcW w:w="1690" w:type="dxa"/>
            <w:tcBorders>
              <w:top w:val="single" w:sz="4" w:space="0" w:color="auto"/>
              <w:bottom w:val="nil"/>
            </w:tcBorders>
            <w:shd w:val="clear" w:color="auto" w:fill="auto"/>
          </w:tcPr>
          <w:p w14:paraId="09CF8AF8" w14:textId="77777777" w:rsidR="00557C61" w:rsidRPr="004E63E9" w:rsidRDefault="00557C61" w:rsidP="005362D8">
            <w:pPr>
              <w:tabs>
                <w:tab w:val="left" w:pos="567"/>
              </w:tabs>
              <w:spacing w:line="320" w:lineRule="atLeast"/>
              <w:jc w:val="center"/>
              <w:rPr>
                <w:b/>
                <w:sz w:val="18"/>
                <w:lang w:val="en-GB"/>
              </w:rPr>
            </w:pPr>
            <w:proofErr w:type="spellStart"/>
            <w:r w:rsidRPr="004E63E9">
              <w:rPr>
                <w:b/>
                <w:sz w:val="18"/>
                <w:lang w:val="en-GB"/>
              </w:rPr>
              <w:t>Afinitor</w:t>
            </w:r>
            <w:proofErr w:type="spellEnd"/>
          </w:p>
          <w:p w14:paraId="7A130077" w14:textId="77777777" w:rsidR="00557C61" w:rsidRPr="004E63E9" w:rsidRDefault="00557C61" w:rsidP="005362D8">
            <w:pPr>
              <w:tabs>
                <w:tab w:val="left" w:pos="567"/>
              </w:tabs>
              <w:spacing w:line="320" w:lineRule="atLeast"/>
              <w:jc w:val="center"/>
              <w:rPr>
                <w:b/>
                <w:sz w:val="18"/>
                <w:lang w:val="en-GB"/>
              </w:rPr>
            </w:pPr>
            <w:r w:rsidRPr="004E63E9">
              <w:rPr>
                <w:b/>
                <w:sz w:val="18"/>
                <w:lang w:val="en-GB"/>
              </w:rPr>
              <w:t>N=207</w:t>
            </w:r>
          </w:p>
        </w:tc>
        <w:tc>
          <w:tcPr>
            <w:tcW w:w="1640" w:type="dxa"/>
            <w:tcBorders>
              <w:top w:val="single" w:sz="4" w:space="0" w:color="auto"/>
              <w:bottom w:val="nil"/>
            </w:tcBorders>
            <w:shd w:val="clear" w:color="auto" w:fill="auto"/>
          </w:tcPr>
          <w:p w14:paraId="4605D429" w14:textId="77777777" w:rsidR="00557C61" w:rsidRPr="004E63E9" w:rsidRDefault="00557C61" w:rsidP="005362D8">
            <w:pPr>
              <w:tabs>
                <w:tab w:val="left" w:pos="567"/>
              </w:tabs>
              <w:spacing w:line="320" w:lineRule="atLeast"/>
              <w:jc w:val="center"/>
              <w:rPr>
                <w:b/>
                <w:sz w:val="18"/>
                <w:lang w:val="en-GB"/>
              </w:rPr>
            </w:pPr>
            <w:r w:rsidRPr="004E63E9">
              <w:rPr>
                <w:b/>
                <w:sz w:val="18"/>
                <w:lang w:val="en-GB"/>
              </w:rPr>
              <w:t>Placebo</w:t>
            </w:r>
          </w:p>
          <w:p w14:paraId="68A8F758" w14:textId="77777777" w:rsidR="00557C61" w:rsidRPr="004E63E9" w:rsidRDefault="00557C61" w:rsidP="005362D8">
            <w:pPr>
              <w:tabs>
                <w:tab w:val="left" w:pos="567"/>
              </w:tabs>
              <w:spacing w:line="320" w:lineRule="atLeast"/>
              <w:jc w:val="center"/>
              <w:rPr>
                <w:b/>
                <w:sz w:val="18"/>
                <w:lang w:val="en-GB"/>
              </w:rPr>
            </w:pPr>
            <w:r w:rsidRPr="004E63E9">
              <w:rPr>
                <w:b/>
                <w:sz w:val="18"/>
                <w:lang w:val="en-GB"/>
              </w:rPr>
              <w:t>N=203</w:t>
            </w:r>
          </w:p>
        </w:tc>
        <w:tc>
          <w:tcPr>
            <w:tcW w:w="1760" w:type="dxa"/>
            <w:tcBorders>
              <w:top w:val="single" w:sz="4" w:space="0" w:color="auto"/>
              <w:bottom w:val="nil"/>
            </w:tcBorders>
            <w:shd w:val="clear" w:color="auto" w:fill="auto"/>
          </w:tcPr>
          <w:p w14:paraId="3525CBA1" w14:textId="77777777" w:rsidR="00557C61" w:rsidRPr="004E63E9" w:rsidRDefault="00557C61" w:rsidP="005362D8">
            <w:pPr>
              <w:tabs>
                <w:tab w:val="left" w:pos="567"/>
              </w:tabs>
              <w:spacing w:line="320" w:lineRule="atLeast"/>
              <w:jc w:val="center"/>
              <w:rPr>
                <w:b/>
                <w:sz w:val="18"/>
                <w:lang w:val="en-GB"/>
              </w:rPr>
            </w:pPr>
            <w:r w:rsidRPr="004E63E9">
              <w:rPr>
                <w:b/>
                <w:sz w:val="18"/>
                <w:lang w:val="en-GB"/>
              </w:rPr>
              <w:t>Hazard Ratio (95%CI)</w:t>
            </w:r>
          </w:p>
        </w:tc>
        <w:tc>
          <w:tcPr>
            <w:tcW w:w="1031" w:type="dxa"/>
            <w:tcBorders>
              <w:top w:val="single" w:sz="4" w:space="0" w:color="auto"/>
              <w:bottom w:val="nil"/>
            </w:tcBorders>
            <w:shd w:val="clear" w:color="auto" w:fill="auto"/>
          </w:tcPr>
          <w:p w14:paraId="06019F1B" w14:textId="77777777" w:rsidR="00557C61" w:rsidRPr="004E63E9" w:rsidRDefault="00557C61" w:rsidP="005362D8">
            <w:pPr>
              <w:tabs>
                <w:tab w:val="left" w:pos="567"/>
              </w:tabs>
              <w:spacing w:line="320" w:lineRule="atLeast"/>
              <w:jc w:val="center"/>
              <w:rPr>
                <w:b/>
                <w:sz w:val="18"/>
                <w:lang w:val="en-GB"/>
              </w:rPr>
            </w:pPr>
            <w:r w:rsidRPr="004E63E9">
              <w:rPr>
                <w:b/>
                <w:sz w:val="18"/>
                <w:lang w:val="en-GB"/>
              </w:rPr>
              <w:t>p-</w:t>
            </w:r>
            <w:proofErr w:type="spellStart"/>
            <w:r w:rsidRPr="004E63E9">
              <w:rPr>
                <w:b/>
                <w:sz w:val="18"/>
                <w:lang w:val="en-GB"/>
              </w:rPr>
              <w:t>value</w:t>
            </w:r>
            <w:r w:rsidRPr="004E63E9">
              <w:rPr>
                <w:b/>
                <w:sz w:val="18"/>
                <w:vertAlign w:val="superscript"/>
                <w:lang w:val="en-GB"/>
              </w:rPr>
              <w:t>b</w:t>
            </w:r>
            <w:proofErr w:type="spellEnd"/>
          </w:p>
        </w:tc>
      </w:tr>
      <w:tr w:rsidR="00557C61" w:rsidRPr="004E63E9" w14:paraId="53B5EC82" w14:textId="77777777" w:rsidTr="005362D8">
        <w:tc>
          <w:tcPr>
            <w:tcW w:w="2376" w:type="dxa"/>
            <w:tcBorders>
              <w:top w:val="nil"/>
              <w:bottom w:val="single" w:sz="4" w:space="0" w:color="auto"/>
            </w:tcBorders>
            <w:shd w:val="clear" w:color="auto" w:fill="auto"/>
          </w:tcPr>
          <w:p w14:paraId="78694E17" w14:textId="77777777" w:rsidR="00557C61" w:rsidRPr="004E63E9" w:rsidRDefault="00557C61" w:rsidP="005362D8">
            <w:pPr>
              <w:tabs>
                <w:tab w:val="left" w:pos="567"/>
              </w:tabs>
              <w:spacing w:line="320" w:lineRule="atLeast"/>
              <w:rPr>
                <w:sz w:val="18"/>
                <w:lang w:val="en-GB"/>
              </w:rPr>
            </w:pPr>
          </w:p>
        </w:tc>
        <w:tc>
          <w:tcPr>
            <w:tcW w:w="720" w:type="dxa"/>
            <w:tcBorders>
              <w:top w:val="nil"/>
              <w:bottom w:val="single" w:sz="4" w:space="0" w:color="auto"/>
            </w:tcBorders>
            <w:shd w:val="clear" w:color="auto" w:fill="auto"/>
          </w:tcPr>
          <w:p w14:paraId="7AE5D345" w14:textId="77777777" w:rsidR="00557C61" w:rsidRPr="004E63E9" w:rsidRDefault="00557C61" w:rsidP="005362D8">
            <w:pPr>
              <w:tabs>
                <w:tab w:val="left" w:pos="567"/>
              </w:tabs>
              <w:spacing w:line="320" w:lineRule="atLeast"/>
              <w:jc w:val="center"/>
              <w:rPr>
                <w:sz w:val="18"/>
                <w:lang w:val="en-GB"/>
              </w:rPr>
            </w:pPr>
            <w:r w:rsidRPr="004E63E9">
              <w:rPr>
                <w:sz w:val="18"/>
                <w:lang w:val="en-GB"/>
              </w:rPr>
              <w:t>410</w:t>
            </w:r>
          </w:p>
        </w:tc>
        <w:tc>
          <w:tcPr>
            <w:tcW w:w="3330" w:type="dxa"/>
            <w:gridSpan w:val="2"/>
            <w:tcBorders>
              <w:top w:val="nil"/>
              <w:bottom w:val="single" w:sz="4" w:space="0" w:color="auto"/>
            </w:tcBorders>
            <w:shd w:val="clear" w:color="auto" w:fill="auto"/>
          </w:tcPr>
          <w:p w14:paraId="5DE6F547" w14:textId="77777777" w:rsidR="00557C61" w:rsidRPr="004E63E9" w:rsidRDefault="00557C61" w:rsidP="005362D8">
            <w:pPr>
              <w:tabs>
                <w:tab w:val="left" w:pos="567"/>
              </w:tabs>
              <w:spacing w:line="320" w:lineRule="atLeast"/>
              <w:jc w:val="center"/>
              <w:rPr>
                <w:sz w:val="18"/>
                <w:lang w:val="en-GB"/>
              </w:rPr>
            </w:pPr>
            <w:r w:rsidRPr="004E63E9">
              <w:rPr>
                <w:sz w:val="18"/>
                <w:lang w:val="en-GB"/>
              </w:rPr>
              <w:t>Median progression-free survival (months) (95% CI)</w:t>
            </w:r>
          </w:p>
        </w:tc>
        <w:tc>
          <w:tcPr>
            <w:tcW w:w="1760" w:type="dxa"/>
            <w:tcBorders>
              <w:top w:val="nil"/>
              <w:bottom w:val="single" w:sz="4" w:space="0" w:color="auto"/>
            </w:tcBorders>
            <w:shd w:val="clear" w:color="auto" w:fill="auto"/>
          </w:tcPr>
          <w:p w14:paraId="005C7E56" w14:textId="77777777" w:rsidR="00557C61" w:rsidRPr="004E63E9" w:rsidRDefault="00557C61" w:rsidP="005362D8">
            <w:pPr>
              <w:tabs>
                <w:tab w:val="left" w:pos="567"/>
              </w:tabs>
              <w:spacing w:line="320" w:lineRule="atLeast"/>
              <w:rPr>
                <w:sz w:val="18"/>
                <w:lang w:val="en-GB"/>
              </w:rPr>
            </w:pPr>
          </w:p>
        </w:tc>
        <w:tc>
          <w:tcPr>
            <w:tcW w:w="1031" w:type="dxa"/>
            <w:tcBorders>
              <w:top w:val="nil"/>
              <w:bottom w:val="single" w:sz="4" w:space="0" w:color="auto"/>
            </w:tcBorders>
            <w:shd w:val="clear" w:color="auto" w:fill="auto"/>
          </w:tcPr>
          <w:p w14:paraId="77675F0A" w14:textId="77777777" w:rsidR="00557C61" w:rsidRPr="004E63E9" w:rsidRDefault="00557C61" w:rsidP="005362D8">
            <w:pPr>
              <w:tabs>
                <w:tab w:val="left" w:pos="567"/>
              </w:tabs>
              <w:spacing w:line="320" w:lineRule="atLeast"/>
              <w:rPr>
                <w:sz w:val="18"/>
                <w:lang w:val="en-GB"/>
              </w:rPr>
            </w:pPr>
          </w:p>
        </w:tc>
      </w:tr>
      <w:tr w:rsidR="00557C61" w:rsidRPr="004E63E9" w14:paraId="37A51DA7" w14:textId="77777777" w:rsidTr="005362D8">
        <w:tc>
          <w:tcPr>
            <w:tcW w:w="2376" w:type="dxa"/>
            <w:tcBorders>
              <w:top w:val="nil"/>
              <w:bottom w:val="nil"/>
            </w:tcBorders>
            <w:shd w:val="clear" w:color="auto" w:fill="auto"/>
          </w:tcPr>
          <w:p w14:paraId="053F126B" w14:textId="77777777" w:rsidR="00557C61" w:rsidRPr="004E63E9" w:rsidRDefault="00557C61" w:rsidP="005362D8">
            <w:pPr>
              <w:tabs>
                <w:tab w:val="left" w:pos="567"/>
              </w:tabs>
              <w:spacing w:line="320" w:lineRule="atLeast"/>
              <w:rPr>
                <w:b/>
                <w:sz w:val="18"/>
                <w:lang w:val="en-GB"/>
              </w:rPr>
            </w:pPr>
            <w:r w:rsidRPr="004E63E9">
              <w:rPr>
                <w:b/>
                <w:sz w:val="18"/>
                <w:lang w:val="en-GB"/>
              </w:rPr>
              <w:t>Investigator radiological review</w:t>
            </w:r>
          </w:p>
        </w:tc>
        <w:tc>
          <w:tcPr>
            <w:tcW w:w="720" w:type="dxa"/>
            <w:tcBorders>
              <w:top w:val="nil"/>
              <w:bottom w:val="nil"/>
            </w:tcBorders>
            <w:shd w:val="clear" w:color="auto" w:fill="auto"/>
          </w:tcPr>
          <w:p w14:paraId="5FB24885" w14:textId="77777777" w:rsidR="00557C61" w:rsidRPr="004E63E9" w:rsidRDefault="00557C61" w:rsidP="005362D8">
            <w:pPr>
              <w:tabs>
                <w:tab w:val="left" w:pos="567"/>
              </w:tabs>
              <w:spacing w:line="320" w:lineRule="atLeast"/>
              <w:rPr>
                <w:sz w:val="18"/>
                <w:lang w:val="en-GB"/>
              </w:rPr>
            </w:pPr>
          </w:p>
        </w:tc>
        <w:tc>
          <w:tcPr>
            <w:tcW w:w="1690" w:type="dxa"/>
            <w:tcBorders>
              <w:top w:val="nil"/>
              <w:bottom w:val="nil"/>
            </w:tcBorders>
            <w:shd w:val="clear" w:color="auto" w:fill="auto"/>
          </w:tcPr>
          <w:p w14:paraId="5594F241" w14:textId="77777777" w:rsidR="00557C61" w:rsidRPr="004E63E9" w:rsidRDefault="00557C61" w:rsidP="005362D8">
            <w:pPr>
              <w:tabs>
                <w:tab w:val="left" w:pos="567"/>
              </w:tabs>
              <w:spacing w:line="320" w:lineRule="atLeast"/>
              <w:jc w:val="center"/>
              <w:rPr>
                <w:sz w:val="18"/>
                <w:lang w:val="en-GB"/>
              </w:rPr>
            </w:pPr>
            <w:r w:rsidRPr="004E63E9">
              <w:rPr>
                <w:sz w:val="18"/>
                <w:lang w:val="en-GB"/>
              </w:rPr>
              <w:t>11.04</w:t>
            </w:r>
          </w:p>
          <w:p w14:paraId="4E1E7C95" w14:textId="77777777" w:rsidR="00557C61" w:rsidRPr="004E63E9" w:rsidRDefault="00557C61" w:rsidP="005362D8">
            <w:pPr>
              <w:tabs>
                <w:tab w:val="left" w:pos="567"/>
              </w:tabs>
              <w:spacing w:line="320" w:lineRule="atLeast"/>
              <w:jc w:val="center"/>
              <w:rPr>
                <w:sz w:val="18"/>
                <w:lang w:val="en-GB"/>
              </w:rPr>
            </w:pPr>
            <w:r w:rsidRPr="004E63E9">
              <w:rPr>
                <w:sz w:val="18"/>
                <w:lang w:val="en-GB"/>
              </w:rPr>
              <w:t>(8.41 to 13.86)</w:t>
            </w:r>
          </w:p>
        </w:tc>
        <w:tc>
          <w:tcPr>
            <w:tcW w:w="1640" w:type="dxa"/>
            <w:tcBorders>
              <w:top w:val="nil"/>
              <w:bottom w:val="nil"/>
            </w:tcBorders>
            <w:shd w:val="clear" w:color="auto" w:fill="auto"/>
          </w:tcPr>
          <w:p w14:paraId="029E3939" w14:textId="77777777" w:rsidR="00557C61" w:rsidRPr="004E63E9" w:rsidRDefault="00557C61" w:rsidP="005362D8">
            <w:pPr>
              <w:tabs>
                <w:tab w:val="left" w:pos="567"/>
              </w:tabs>
              <w:spacing w:line="320" w:lineRule="atLeast"/>
              <w:jc w:val="center"/>
              <w:rPr>
                <w:sz w:val="18"/>
                <w:lang w:val="en-GB"/>
              </w:rPr>
            </w:pPr>
            <w:r w:rsidRPr="004E63E9">
              <w:rPr>
                <w:sz w:val="18"/>
                <w:lang w:val="en-GB"/>
              </w:rPr>
              <w:t>4.60</w:t>
            </w:r>
          </w:p>
          <w:p w14:paraId="0B05F210" w14:textId="77777777" w:rsidR="00557C61" w:rsidRPr="004E63E9" w:rsidRDefault="00557C61" w:rsidP="005362D8">
            <w:pPr>
              <w:tabs>
                <w:tab w:val="left" w:pos="567"/>
              </w:tabs>
              <w:spacing w:line="320" w:lineRule="atLeast"/>
              <w:jc w:val="center"/>
              <w:rPr>
                <w:sz w:val="18"/>
                <w:lang w:val="en-GB"/>
              </w:rPr>
            </w:pPr>
            <w:r w:rsidRPr="004E63E9">
              <w:rPr>
                <w:sz w:val="18"/>
                <w:lang w:val="en-GB"/>
              </w:rPr>
              <w:t>(3.06 to 5.39)</w:t>
            </w:r>
          </w:p>
        </w:tc>
        <w:tc>
          <w:tcPr>
            <w:tcW w:w="1760" w:type="dxa"/>
            <w:tcBorders>
              <w:top w:val="nil"/>
              <w:bottom w:val="nil"/>
            </w:tcBorders>
            <w:shd w:val="clear" w:color="auto" w:fill="auto"/>
          </w:tcPr>
          <w:p w14:paraId="7E2405AF" w14:textId="77777777" w:rsidR="00557C61" w:rsidRPr="004E63E9" w:rsidRDefault="00557C61" w:rsidP="005362D8">
            <w:pPr>
              <w:tabs>
                <w:tab w:val="left" w:pos="567"/>
              </w:tabs>
              <w:spacing w:line="320" w:lineRule="atLeast"/>
              <w:jc w:val="center"/>
              <w:rPr>
                <w:sz w:val="18"/>
                <w:lang w:val="en-GB"/>
              </w:rPr>
            </w:pPr>
            <w:r w:rsidRPr="004E63E9">
              <w:rPr>
                <w:sz w:val="18"/>
                <w:lang w:val="en-GB"/>
              </w:rPr>
              <w:t>0.35</w:t>
            </w:r>
          </w:p>
          <w:p w14:paraId="46FB1269" w14:textId="77777777" w:rsidR="00557C61" w:rsidRPr="004E63E9" w:rsidRDefault="00557C61" w:rsidP="005362D8">
            <w:pPr>
              <w:tabs>
                <w:tab w:val="left" w:pos="567"/>
              </w:tabs>
              <w:spacing w:line="320" w:lineRule="atLeast"/>
              <w:jc w:val="center"/>
              <w:rPr>
                <w:sz w:val="18"/>
                <w:lang w:val="en-GB"/>
              </w:rPr>
            </w:pPr>
            <w:r w:rsidRPr="004E63E9">
              <w:rPr>
                <w:sz w:val="18"/>
                <w:lang w:val="en-GB"/>
              </w:rPr>
              <w:t>(0.27 to 0.45)</w:t>
            </w:r>
          </w:p>
        </w:tc>
        <w:tc>
          <w:tcPr>
            <w:tcW w:w="1031" w:type="dxa"/>
            <w:tcBorders>
              <w:top w:val="nil"/>
              <w:bottom w:val="nil"/>
            </w:tcBorders>
            <w:shd w:val="clear" w:color="auto" w:fill="auto"/>
          </w:tcPr>
          <w:p w14:paraId="28FE1CD7" w14:textId="77777777" w:rsidR="00557C61" w:rsidRPr="004E63E9" w:rsidRDefault="00557C61" w:rsidP="005362D8">
            <w:pPr>
              <w:tabs>
                <w:tab w:val="left" w:pos="567"/>
              </w:tabs>
              <w:spacing w:line="320" w:lineRule="atLeast"/>
              <w:jc w:val="center"/>
              <w:rPr>
                <w:sz w:val="18"/>
                <w:lang w:val="en-GB"/>
              </w:rPr>
            </w:pPr>
            <w:r w:rsidRPr="004E63E9">
              <w:rPr>
                <w:sz w:val="18"/>
                <w:lang w:val="en-GB"/>
              </w:rPr>
              <w:t>&lt;0.0001</w:t>
            </w:r>
          </w:p>
        </w:tc>
      </w:tr>
      <w:tr w:rsidR="00557C61" w:rsidRPr="004E63E9" w14:paraId="4F738F72" w14:textId="77777777" w:rsidTr="005362D8">
        <w:tc>
          <w:tcPr>
            <w:tcW w:w="2376" w:type="dxa"/>
            <w:tcBorders>
              <w:top w:val="nil"/>
              <w:bottom w:val="nil"/>
            </w:tcBorders>
            <w:shd w:val="clear" w:color="auto" w:fill="auto"/>
          </w:tcPr>
          <w:p w14:paraId="546F5653" w14:textId="77777777" w:rsidR="00557C61" w:rsidRPr="004E63E9" w:rsidDel="000B17B6" w:rsidRDefault="00557C61" w:rsidP="005362D8">
            <w:pPr>
              <w:tabs>
                <w:tab w:val="left" w:pos="567"/>
              </w:tabs>
              <w:spacing w:line="320" w:lineRule="atLeast"/>
              <w:rPr>
                <w:b/>
                <w:sz w:val="18"/>
                <w:vertAlign w:val="superscript"/>
                <w:lang w:val="en-GB"/>
              </w:rPr>
            </w:pPr>
            <w:r w:rsidRPr="004E63E9">
              <w:rPr>
                <w:b/>
                <w:sz w:val="18"/>
                <w:lang w:val="en-GB"/>
              </w:rPr>
              <w:t xml:space="preserve">Independent radiological </w:t>
            </w:r>
            <w:proofErr w:type="spellStart"/>
            <w:r w:rsidRPr="004E63E9">
              <w:rPr>
                <w:b/>
                <w:sz w:val="18"/>
                <w:lang w:val="en-GB"/>
              </w:rPr>
              <w:t>review</w:t>
            </w:r>
            <w:r w:rsidRPr="004E63E9">
              <w:rPr>
                <w:b/>
                <w:sz w:val="18"/>
                <w:vertAlign w:val="superscript"/>
                <w:lang w:val="en-GB"/>
              </w:rPr>
              <w:t>a</w:t>
            </w:r>
            <w:proofErr w:type="spellEnd"/>
          </w:p>
        </w:tc>
        <w:tc>
          <w:tcPr>
            <w:tcW w:w="720" w:type="dxa"/>
            <w:tcBorders>
              <w:top w:val="nil"/>
              <w:bottom w:val="nil"/>
            </w:tcBorders>
            <w:shd w:val="clear" w:color="auto" w:fill="auto"/>
          </w:tcPr>
          <w:p w14:paraId="4E4F9301" w14:textId="77777777" w:rsidR="00557C61" w:rsidRPr="004E63E9" w:rsidRDefault="00557C61" w:rsidP="005362D8">
            <w:pPr>
              <w:tabs>
                <w:tab w:val="left" w:pos="567"/>
              </w:tabs>
              <w:spacing w:line="320" w:lineRule="atLeast"/>
              <w:rPr>
                <w:sz w:val="18"/>
                <w:lang w:val="en-GB"/>
              </w:rPr>
            </w:pPr>
          </w:p>
        </w:tc>
        <w:tc>
          <w:tcPr>
            <w:tcW w:w="1690" w:type="dxa"/>
            <w:tcBorders>
              <w:top w:val="nil"/>
              <w:bottom w:val="nil"/>
            </w:tcBorders>
            <w:shd w:val="clear" w:color="auto" w:fill="auto"/>
          </w:tcPr>
          <w:p w14:paraId="5DC779EF" w14:textId="77777777" w:rsidR="00557C61" w:rsidRPr="004E63E9" w:rsidRDefault="00557C61" w:rsidP="005362D8">
            <w:pPr>
              <w:tabs>
                <w:tab w:val="left" w:pos="567"/>
              </w:tabs>
              <w:spacing w:line="320" w:lineRule="atLeast"/>
              <w:jc w:val="center"/>
              <w:rPr>
                <w:sz w:val="18"/>
                <w:lang w:val="en-GB"/>
              </w:rPr>
            </w:pPr>
            <w:r w:rsidRPr="004E63E9">
              <w:rPr>
                <w:sz w:val="18"/>
                <w:lang w:val="en-GB"/>
              </w:rPr>
              <w:t>11.40</w:t>
            </w:r>
          </w:p>
          <w:p w14:paraId="489DA73B" w14:textId="77777777" w:rsidR="00557C61" w:rsidRPr="004E63E9" w:rsidRDefault="00557C61" w:rsidP="005362D8">
            <w:pPr>
              <w:tabs>
                <w:tab w:val="left" w:pos="567"/>
              </w:tabs>
              <w:spacing w:line="320" w:lineRule="atLeast"/>
              <w:jc w:val="center"/>
              <w:rPr>
                <w:sz w:val="18"/>
                <w:lang w:val="en-GB"/>
              </w:rPr>
            </w:pPr>
            <w:r w:rsidRPr="004E63E9">
              <w:rPr>
                <w:sz w:val="18"/>
                <w:lang w:val="en-GB"/>
              </w:rPr>
              <w:t>(10.84 to 14.75)</w:t>
            </w:r>
          </w:p>
        </w:tc>
        <w:tc>
          <w:tcPr>
            <w:tcW w:w="1640" w:type="dxa"/>
            <w:tcBorders>
              <w:top w:val="nil"/>
              <w:bottom w:val="nil"/>
            </w:tcBorders>
            <w:shd w:val="clear" w:color="auto" w:fill="auto"/>
          </w:tcPr>
          <w:p w14:paraId="6325615E" w14:textId="77777777" w:rsidR="00557C61" w:rsidRPr="004E63E9" w:rsidRDefault="00557C61" w:rsidP="005362D8">
            <w:pPr>
              <w:tabs>
                <w:tab w:val="left" w:pos="567"/>
              </w:tabs>
              <w:spacing w:line="320" w:lineRule="atLeast"/>
              <w:jc w:val="center"/>
              <w:rPr>
                <w:sz w:val="18"/>
                <w:lang w:val="en-GB"/>
              </w:rPr>
            </w:pPr>
            <w:r w:rsidRPr="004E63E9">
              <w:rPr>
                <w:sz w:val="18"/>
                <w:lang w:val="en-GB"/>
              </w:rPr>
              <w:t>5.39</w:t>
            </w:r>
          </w:p>
          <w:p w14:paraId="2C15324F" w14:textId="77777777" w:rsidR="00557C61" w:rsidRPr="004E63E9" w:rsidRDefault="00557C61" w:rsidP="005362D8">
            <w:pPr>
              <w:tabs>
                <w:tab w:val="left" w:pos="567"/>
              </w:tabs>
              <w:spacing w:line="320" w:lineRule="atLeast"/>
              <w:jc w:val="center"/>
              <w:rPr>
                <w:sz w:val="18"/>
                <w:lang w:val="en-GB"/>
              </w:rPr>
            </w:pPr>
            <w:r w:rsidRPr="004E63E9">
              <w:rPr>
                <w:sz w:val="18"/>
                <w:lang w:val="en-GB"/>
              </w:rPr>
              <w:t>(4.34 to 5.55)</w:t>
            </w:r>
          </w:p>
        </w:tc>
        <w:tc>
          <w:tcPr>
            <w:tcW w:w="1760" w:type="dxa"/>
            <w:tcBorders>
              <w:top w:val="nil"/>
              <w:bottom w:val="nil"/>
            </w:tcBorders>
            <w:shd w:val="clear" w:color="auto" w:fill="auto"/>
          </w:tcPr>
          <w:p w14:paraId="4437CE66" w14:textId="77777777" w:rsidR="00557C61" w:rsidRPr="004E63E9" w:rsidRDefault="00557C61" w:rsidP="005362D8">
            <w:pPr>
              <w:tabs>
                <w:tab w:val="left" w:pos="567"/>
              </w:tabs>
              <w:spacing w:line="320" w:lineRule="atLeast"/>
              <w:jc w:val="center"/>
              <w:rPr>
                <w:sz w:val="18"/>
                <w:lang w:val="en-GB"/>
              </w:rPr>
            </w:pPr>
            <w:r w:rsidRPr="004E63E9">
              <w:rPr>
                <w:sz w:val="18"/>
                <w:lang w:val="en-GB"/>
              </w:rPr>
              <w:t>0.34</w:t>
            </w:r>
          </w:p>
          <w:p w14:paraId="2BF606C2" w14:textId="77777777" w:rsidR="00557C61" w:rsidRPr="004E63E9" w:rsidRDefault="00557C61" w:rsidP="005362D8">
            <w:pPr>
              <w:tabs>
                <w:tab w:val="left" w:pos="567"/>
              </w:tabs>
              <w:spacing w:line="320" w:lineRule="atLeast"/>
              <w:jc w:val="center"/>
              <w:rPr>
                <w:sz w:val="18"/>
                <w:lang w:val="en-GB"/>
              </w:rPr>
            </w:pPr>
            <w:r w:rsidRPr="004E63E9">
              <w:rPr>
                <w:sz w:val="18"/>
                <w:lang w:val="en-GB"/>
              </w:rPr>
              <w:t>(0.26 to 0.44)</w:t>
            </w:r>
          </w:p>
        </w:tc>
        <w:tc>
          <w:tcPr>
            <w:tcW w:w="1031" w:type="dxa"/>
            <w:tcBorders>
              <w:top w:val="nil"/>
              <w:bottom w:val="nil"/>
            </w:tcBorders>
            <w:shd w:val="clear" w:color="auto" w:fill="auto"/>
          </w:tcPr>
          <w:p w14:paraId="186E02F1" w14:textId="77777777" w:rsidR="00557C61" w:rsidRPr="004E63E9" w:rsidRDefault="00557C61" w:rsidP="005362D8">
            <w:pPr>
              <w:tabs>
                <w:tab w:val="left" w:pos="567"/>
              </w:tabs>
              <w:spacing w:line="320" w:lineRule="atLeast"/>
              <w:jc w:val="center"/>
              <w:rPr>
                <w:sz w:val="18"/>
                <w:lang w:val="en-GB"/>
              </w:rPr>
            </w:pPr>
            <w:r w:rsidRPr="004E63E9">
              <w:rPr>
                <w:sz w:val="18"/>
                <w:lang w:val="en-GB"/>
              </w:rPr>
              <w:t>&lt;0.0001</w:t>
            </w:r>
          </w:p>
        </w:tc>
      </w:tr>
      <w:tr w:rsidR="00557C61" w:rsidRPr="004E63E9" w14:paraId="5567E6B3" w14:textId="77777777" w:rsidTr="005362D8">
        <w:tc>
          <w:tcPr>
            <w:tcW w:w="9217" w:type="dxa"/>
            <w:gridSpan w:val="6"/>
            <w:tcBorders>
              <w:top w:val="nil"/>
              <w:bottom w:val="nil"/>
            </w:tcBorders>
            <w:shd w:val="clear" w:color="auto" w:fill="auto"/>
          </w:tcPr>
          <w:p w14:paraId="1F52F596" w14:textId="77777777" w:rsidR="00557C61" w:rsidRPr="004E63E9" w:rsidRDefault="00557C61" w:rsidP="005362D8">
            <w:pPr>
              <w:tabs>
                <w:tab w:val="left" w:pos="567"/>
              </w:tabs>
              <w:spacing w:line="320" w:lineRule="atLeast"/>
              <w:rPr>
                <w:sz w:val="18"/>
                <w:lang w:val="en-GB"/>
              </w:rPr>
            </w:pPr>
            <w:proofErr w:type="spellStart"/>
            <w:r w:rsidRPr="004E63E9">
              <w:rPr>
                <w:sz w:val="18"/>
                <w:vertAlign w:val="superscript"/>
                <w:lang w:val="en-GB"/>
              </w:rPr>
              <w:t>a</w:t>
            </w:r>
            <w:proofErr w:type="spellEnd"/>
            <w:r w:rsidRPr="004E63E9">
              <w:rPr>
                <w:sz w:val="18"/>
                <w:lang w:val="en-GB"/>
              </w:rPr>
              <w:t xml:space="preserve"> Includes adjudication for discrepant assessments between investigator radiological review and central radiological review</w:t>
            </w:r>
          </w:p>
          <w:p w14:paraId="4CA447EB" w14:textId="77777777" w:rsidR="00557C61" w:rsidRPr="004E63E9" w:rsidRDefault="00557C61" w:rsidP="005362D8">
            <w:pPr>
              <w:tabs>
                <w:tab w:val="left" w:pos="567"/>
              </w:tabs>
              <w:spacing w:line="320" w:lineRule="atLeast"/>
              <w:rPr>
                <w:sz w:val="18"/>
                <w:lang w:val="en-GB"/>
              </w:rPr>
            </w:pPr>
            <w:r w:rsidRPr="004E63E9">
              <w:rPr>
                <w:sz w:val="18"/>
                <w:vertAlign w:val="superscript"/>
                <w:lang w:val="en-GB"/>
              </w:rPr>
              <w:t xml:space="preserve">b </w:t>
            </w:r>
            <w:r w:rsidRPr="004E63E9">
              <w:rPr>
                <w:sz w:val="18"/>
                <w:lang w:val="en-GB"/>
              </w:rPr>
              <w:t>One-sided p-value from a stratified log-rank test</w:t>
            </w:r>
          </w:p>
        </w:tc>
      </w:tr>
    </w:tbl>
    <w:p w14:paraId="3AC039F7" w14:textId="77777777" w:rsidR="00557C61" w:rsidRPr="0022140F" w:rsidRDefault="00557C61" w:rsidP="00557C61">
      <w:pPr>
        <w:pStyle w:val="Caption"/>
        <w:keepNext/>
        <w:ind w:left="1440" w:hanging="1440"/>
        <w:rPr>
          <w:rFonts w:asciiTheme="minorHAnsi" w:hAnsiTheme="minorHAnsi"/>
        </w:rPr>
      </w:pPr>
      <w:bookmarkStart w:id="26" w:name="_Ref491094605"/>
      <w:bookmarkStart w:id="27" w:name="_Ref491094599"/>
      <w:r w:rsidRPr="0022140F">
        <w:rPr>
          <w:rFonts w:asciiTheme="minorHAnsi" w:hAnsiTheme="minorHAnsi"/>
        </w:rPr>
        <w:t xml:space="preserve">Figure </w:t>
      </w:r>
      <w:r w:rsidRPr="0022140F">
        <w:rPr>
          <w:rFonts w:asciiTheme="minorHAnsi" w:hAnsiTheme="minorHAnsi"/>
        </w:rPr>
        <w:fldChar w:fldCharType="begin"/>
      </w:r>
      <w:r w:rsidRPr="0022140F">
        <w:rPr>
          <w:rFonts w:asciiTheme="minorHAnsi" w:hAnsiTheme="minorHAnsi"/>
        </w:rPr>
        <w:instrText xml:space="preserve"> SEQ Figure \* ARABIC </w:instrText>
      </w:r>
      <w:r w:rsidRPr="0022140F">
        <w:rPr>
          <w:rFonts w:asciiTheme="minorHAnsi" w:hAnsiTheme="minorHAnsi"/>
        </w:rPr>
        <w:fldChar w:fldCharType="separate"/>
      </w:r>
      <w:r w:rsidR="00D64407">
        <w:rPr>
          <w:rFonts w:asciiTheme="minorHAnsi" w:hAnsiTheme="minorHAnsi"/>
          <w:noProof/>
        </w:rPr>
        <w:t>4</w:t>
      </w:r>
      <w:r w:rsidRPr="0022140F">
        <w:rPr>
          <w:rFonts w:asciiTheme="minorHAnsi" w:hAnsiTheme="minorHAnsi"/>
        </w:rPr>
        <w:fldChar w:fldCharType="end"/>
      </w:r>
      <w:bookmarkEnd w:id="26"/>
      <w:r w:rsidRPr="0022140F">
        <w:rPr>
          <w:rFonts w:asciiTheme="minorHAnsi" w:hAnsiTheme="minorHAnsi"/>
        </w:rPr>
        <w:t xml:space="preserve"> </w:t>
      </w:r>
      <w:r w:rsidRPr="0022140F">
        <w:rPr>
          <w:rFonts w:asciiTheme="minorHAnsi" w:hAnsiTheme="minorHAnsi"/>
        </w:rPr>
        <w:tab/>
        <w:t>RADIANT-3 – Kaplan-Meier progression-free survival curves (investigator radiological review)</w:t>
      </w:r>
      <w:bookmarkEnd w:id="27"/>
    </w:p>
    <w:p w14:paraId="7B7C950A" w14:textId="77777777" w:rsidR="00557C61" w:rsidRPr="0022140F" w:rsidRDefault="00557C61" w:rsidP="00557C61">
      <w:pPr>
        <w:tabs>
          <w:tab w:val="left" w:pos="567"/>
        </w:tabs>
        <w:spacing w:line="320" w:lineRule="atLeast"/>
        <w:rPr>
          <w:sz w:val="24"/>
          <w:lang w:val="en-GB"/>
        </w:rPr>
      </w:pPr>
      <w:r w:rsidRPr="0022140F">
        <w:rPr>
          <w:noProof/>
          <w:sz w:val="24"/>
          <w:lang w:eastAsia="en-AU"/>
        </w:rPr>
        <w:drawing>
          <wp:inline distT="0" distB="0" distL="0" distR="0" wp14:anchorId="35FE45D9" wp14:editId="76CA6C5F">
            <wp:extent cx="5753100" cy="40767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14:paraId="756E9871" w14:textId="77777777" w:rsidR="00557C61" w:rsidRPr="0022140F" w:rsidRDefault="00557C61" w:rsidP="00557C61">
      <w:pPr>
        <w:rPr>
          <w:lang w:val="en-GB"/>
        </w:rPr>
      </w:pPr>
      <w:r w:rsidRPr="0022140F">
        <w:rPr>
          <w:lang w:val="en-GB"/>
        </w:rPr>
        <w:t xml:space="preserve">Eighteen-months PFS rates were 34.2% for </w:t>
      </w:r>
      <w:proofErr w:type="spellStart"/>
      <w:r w:rsidRPr="0022140F">
        <w:rPr>
          <w:lang w:val="en-GB"/>
        </w:rPr>
        <w:t>Afinitor</w:t>
      </w:r>
      <w:proofErr w:type="spellEnd"/>
      <w:r w:rsidRPr="0022140F">
        <w:rPr>
          <w:lang w:val="en-GB"/>
        </w:rPr>
        <w:t xml:space="preserve"> therapy compared to 8.9% for placebo.</w:t>
      </w:r>
    </w:p>
    <w:p w14:paraId="2EDB11FA" w14:textId="77777777" w:rsidR="00557C61" w:rsidRPr="002A1CBE" w:rsidRDefault="00557C61" w:rsidP="00557C61">
      <w:pPr>
        <w:rPr>
          <w:lang w:val="en-GB"/>
        </w:rPr>
      </w:pPr>
      <w:r w:rsidRPr="0022140F">
        <w:rPr>
          <w:lang w:val="en-GB"/>
        </w:rPr>
        <w:t xml:space="preserve">The overall survival results are not yet mature and no statistically significant difference in OS was noted (HR=0.99 (95% CI 0.68 to 1.43) in an updated analysis). Crossover of &gt;74% of patients from placebo to open-label </w:t>
      </w:r>
      <w:proofErr w:type="spellStart"/>
      <w:r w:rsidRPr="0022140F">
        <w:rPr>
          <w:lang w:val="en-GB"/>
        </w:rPr>
        <w:t>Afinitor</w:t>
      </w:r>
      <w:proofErr w:type="spellEnd"/>
      <w:r w:rsidRPr="0022140F">
        <w:rPr>
          <w:lang w:val="en-GB"/>
        </w:rPr>
        <w:t xml:space="preserve"> following disease progression likely confounded the detection of any treatment-related difference in OS</w:t>
      </w:r>
      <w:r w:rsidRPr="002A1CBE">
        <w:rPr>
          <w:lang w:val="en-GB"/>
        </w:rPr>
        <w:t>.</w:t>
      </w:r>
    </w:p>
    <w:p w14:paraId="2445C2D5" w14:textId="77777777" w:rsidR="00557C61" w:rsidRPr="0022140F" w:rsidRDefault="00557C61" w:rsidP="00557C61">
      <w:pPr>
        <w:pStyle w:val="Heading3"/>
        <w:tabs>
          <w:tab w:val="left" w:pos="567"/>
        </w:tabs>
        <w:spacing w:before="0" w:after="240" w:line="320" w:lineRule="atLeast"/>
        <w:ind w:left="0"/>
        <w:rPr>
          <w:rFonts w:ascii="Times New Roman" w:hAnsi="Times New Roman"/>
          <w:u w:val="single"/>
          <w:lang w:val="en-GB"/>
        </w:rPr>
      </w:pPr>
      <w:r w:rsidRPr="0022140F">
        <w:rPr>
          <w:rFonts w:asciiTheme="minorHAnsi" w:hAnsiTheme="minorHAnsi"/>
          <w:u w:val="single"/>
          <w:lang w:val="en-GB"/>
        </w:rPr>
        <w:t>Advanced neuroendocrine tumours of gastrointestinal or lung origin</w:t>
      </w:r>
    </w:p>
    <w:p w14:paraId="2350382D" w14:textId="77777777" w:rsidR="00557C61" w:rsidRPr="0022140F" w:rsidRDefault="00557C61" w:rsidP="00557C61">
      <w:r w:rsidRPr="0022140F">
        <w:t xml:space="preserve">RADIANT-4 (Study CRAD001T2302), a randomised, double-blind, </w:t>
      </w:r>
      <w:proofErr w:type="spellStart"/>
      <w:r w:rsidRPr="0022140F">
        <w:t>multicenter</w:t>
      </w:r>
      <w:proofErr w:type="spellEnd"/>
      <w:r w:rsidRPr="0022140F">
        <w:t xml:space="preserve"> phase III study of </w:t>
      </w:r>
      <w:proofErr w:type="spellStart"/>
      <w:r w:rsidRPr="0022140F">
        <w:t>Afinitor</w:t>
      </w:r>
      <w:proofErr w:type="spellEnd"/>
      <w:r w:rsidRPr="0022140F">
        <w:t xml:space="preserve"> plus best supportive care (BSC) versus placebo plus best supportive care was conducted in patients with advanced well-differentiated (Grade 1 or Grade 2) non-functional neuroendocrine tumours (NET) of gastrointestinal or lung origin without a history of and no active symptoms related to carcinoid syndrome. Randomization was stratified by prior somatostatin </w:t>
      </w:r>
      <w:proofErr w:type="spellStart"/>
      <w:r w:rsidRPr="0022140F">
        <w:t>analog</w:t>
      </w:r>
      <w:proofErr w:type="spellEnd"/>
      <w:r w:rsidRPr="0022140F">
        <w:t xml:space="preserve"> (SSA) use, tumour origin and WHO performance status.</w:t>
      </w:r>
    </w:p>
    <w:p w14:paraId="5787E52C" w14:textId="77777777" w:rsidR="00557C61" w:rsidRPr="0022140F" w:rsidRDefault="00557C61" w:rsidP="00557C61">
      <w:r w:rsidRPr="0022140F">
        <w:t xml:space="preserve">The primary endpoint for the study was progression-free survival (PFS) evaluated by Response Evaluation Criteria in Solid Tumours (modified RECIST version 1.0), based on independent radiological assessment. Supportive PFS analysis was based on local investigator review. </w:t>
      </w:r>
    </w:p>
    <w:p w14:paraId="136FA620" w14:textId="77777777" w:rsidR="00557C61" w:rsidRPr="0022140F" w:rsidRDefault="00557C61" w:rsidP="00557C61">
      <w:r w:rsidRPr="0022140F">
        <w:t xml:space="preserve">Secondary endpoints included overall survival (OS), Overall Response Rate (ORR), Disease Control Rate (DCR = proportion of patients with a best overall response of complete response, partial </w:t>
      </w:r>
      <w:r w:rsidRPr="0022140F">
        <w:lastRenderedPageBreak/>
        <w:t>response or stable disease), Safety, change in Quality of Life (</w:t>
      </w:r>
      <w:proofErr w:type="spellStart"/>
      <w:r w:rsidRPr="0022140F">
        <w:t>QoL</w:t>
      </w:r>
      <w:proofErr w:type="spellEnd"/>
      <w:r w:rsidRPr="0022140F">
        <w:t xml:space="preserve">) via FACT-G and time to WHO PS deterioration. </w:t>
      </w:r>
    </w:p>
    <w:p w14:paraId="3D44C4A2" w14:textId="77777777" w:rsidR="00557C61" w:rsidRPr="0022140F" w:rsidRDefault="00557C61" w:rsidP="00557C61">
      <w:r w:rsidRPr="0022140F">
        <w:t xml:space="preserve">A total of 302 patients were randomised in a 2:1 ratio to receive either </w:t>
      </w:r>
      <w:proofErr w:type="spellStart"/>
      <w:r w:rsidRPr="0022140F">
        <w:t>everolimus</w:t>
      </w:r>
      <w:proofErr w:type="spellEnd"/>
      <w:r w:rsidRPr="0022140F">
        <w:t xml:space="preserve"> (10 mg daily) (n = 205) or placebo (n = 97). The two treatment groups were generally balanced with respect to the baseline demographics, disease characteristics and history of prior somatostatin </w:t>
      </w:r>
      <w:proofErr w:type="spellStart"/>
      <w:r w:rsidRPr="0022140F">
        <w:t>analog</w:t>
      </w:r>
      <w:proofErr w:type="spellEnd"/>
      <w:r w:rsidRPr="0022140F">
        <w:t xml:space="preserve"> (SSA) use (</w:t>
      </w:r>
      <w:r w:rsidRPr="0022140F">
        <w:rPr>
          <w:bCs/>
          <w:iCs/>
        </w:rPr>
        <w:t>approximately 50% of patients had received prior SSA treatment in each arm)</w:t>
      </w:r>
      <w:r w:rsidRPr="0022140F">
        <w:t xml:space="preserve">. The median age of patients was 63 years (range 22 to 86) and 76% were Caucasian. The median duration of blinded treatment was 40.4 weeks for patients receiving </w:t>
      </w:r>
      <w:proofErr w:type="spellStart"/>
      <w:r w:rsidRPr="0022140F">
        <w:t>Afinitor</w:t>
      </w:r>
      <w:proofErr w:type="spellEnd"/>
      <w:r w:rsidRPr="0022140F">
        <w:t xml:space="preserve"> and 19.6 weeks for those receiving placebo. Patients in the placebo arm did not cross-over to </w:t>
      </w:r>
      <w:proofErr w:type="spellStart"/>
      <w:r w:rsidRPr="0022140F">
        <w:t>everolimus</w:t>
      </w:r>
      <w:proofErr w:type="spellEnd"/>
      <w:r w:rsidRPr="0022140F">
        <w:t xml:space="preserve"> at the time of progression.</w:t>
      </w:r>
    </w:p>
    <w:p w14:paraId="12385EBC" w14:textId="77777777" w:rsidR="00557C61" w:rsidRPr="0022140F" w:rsidRDefault="00557C61" w:rsidP="00557C61">
      <w:r w:rsidRPr="0022140F">
        <w:t>The efficacy results were obtained from the final analysis of PFS after 178 PFS events were observed per independent radiological review.</w:t>
      </w:r>
    </w:p>
    <w:p w14:paraId="17970AA5" w14:textId="0372D361" w:rsidR="00557C61" w:rsidRPr="0022140F" w:rsidRDefault="00557C61" w:rsidP="00557C61">
      <w:r w:rsidRPr="0022140F">
        <w:t xml:space="preserve">The study demonstrated a statistically significant clinical benefit of </w:t>
      </w:r>
      <w:proofErr w:type="spellStart"/>
      <w:r w:rsidRPr="0022140F">
        <w:t>everolimus</w:t>
      </w:r>
      <w:proofErr w:type="spellEnd"/>
      <w:r w:rsidRPr="0022140F">
        <w:t xml:space="preserve"> over placebo by a 2.8-fold prolongation in median PFS (11.01 months versus 3.91 months), resulting in a 52% risk reduction of progression or death (HR 0.48; 95% CI: 0.35, 0.67; one-sided stratified log-rank test p-value &lt;0.0001) per independent assessment (see </w:t>
      </w:r>
      <w:r w:rsidRPr="0022140F">
        <w:fldChar w:fldCharType="begin"/>
      </w:r>
      <w:r w:rsidRPr="0022140F">
        <w:instrText xml:space="preserve"> REF _Ref491094674 \h  \* MERGEFORMAT </w:instrText>
      </w:r>
      <w:r w:rsidRPr="0022140F">
        <w:fldChar w:fldCharType="separate"/>
      </w:r>
      <w:r w:rsidR="00D64407" w:rsidRPr="0022140F">
        <w:t xml:space="preserve">Table </w:t>
      </w:r>
      <w:r w:rsidR="00D64407">
        <w:rPr>
          <w:noProof/>
        </w:rPr>
        <w:t>9</w:t>
      </w:r>
      <w:r w:rsidRPr="0022140F">
        <w:fldChar w:fldCharType="end"/>
      </w:r>
      <w:r w:rsidRPr="0022140F">
        <w:t xml:space="preserve"> and </w:t>
      </w:r>
      <w:r w:rsidRPr="0022140F">
        <w:fldChar w:fldCharType="begin"/>
      </w:r>
      <w:r w:rsidRPr="0022140F">
        <w:instrText xml:space="preserve"> REF _Ref491094716 \h  \* MERGEFORMAT </w:instrText>
      </w:r>
      <w:r w:rsidRPr="0022140F">
        <w:fldChar w:fldCharType="separate"/>
      </w:r>
      <w:r w:rsidR="00D64407" w:rsidRPr="0022140F">
        <w:t xml:space="preserve">Figure </w:t>
      </w:r>
      <w:r w:rsidR="00D64407">
        <w:rPr>
          <w:noProof/>
        </w:rPr>
        <w:t>5</w:t>
      </w:r>
      <w:r w:rsidRPr="0022140F">
        <w:fldChar w:fldCharType="end"/>
      </w:r>
      <w:r w:rsidRPr="0022140F">
        <w:t xml:space="preserve">). </w:t>
      </w:r>
    </w:p>
    <w:p w14:paraId="18802633" w14:textId="680EA7B3" w:rsidR="00557C61" w:rsidRPr="0022140F" w:rsidRDefault="00557C61" w:rsidP="00557C61">
      <w:r w:rsidRPr="0022140F">
        <w:t xml:space="preserve">The analysis of PFS based on local investigator assessment was supportive and showed a 2.5-fold prolongation in median progression-free-survival (13.96 months versus 5.45 months), resulting in a 61% risk reduction of progression or death (HR 0.39; 95% CI: 0.28, 0.54; one-sided stratified log-rank test p-value&lt;0.0001) (see </w:t>
      </w:r>
      <w:r w:rsidRPr="0022140F">
        <w:fldChar w:fldCharType="begin"/>
      </w:r>
      <w:r w:rsidRPr="0022140F">
        <w:instrText xml:space="preserve"> REF _Ref491094674 \h  \* MERGEFORMAT </w:instrText>
      </w:r>
      <w:r w:rsidRPr="0022140F">
        <w:fldChar w:fldCharType="separate"/>
      </w:r>
      <w:r w:rsidR="00D64407" w:rsidRPr="0022140F">
        <w:t xml:space="preserve">Table </w:t>
      </w:r>
      <w:r w:rsidR="00D64407">
        <w:t>9</w:t>
      </w:r>
      <w:r w:rsidRPr="0022140F">
        <w:fldChar w:fldCharType="end"/>
      </w:r>
      <w:r w:rsidRPr="0022140F">
        <w:t>).</w:t>
      </w:r>
    </w:p>
    <w:p w14:paraId="0746263B" w14:textId="77777777" w:rsidR="00557C61" w:rsidRPr="0022140F" w:rsidRDefault="00557C61" w:rsidP="00557C61">
      <w:pPr>
        <w:pStyle w:val="Caption"/>
        <w:keepNext/>
        <w:rPr>
          <w:rFonts w:asciiTheme="minorHAnsi" w:hAnsiTheme="minorHAnsi"/>
        </w:rPr>
      </w:pPr>
      <w:bookmarkStart w:id="28" w:name="_Ref491094674"/>
      <w:r w:rsidRPr="0022140F">
        <w:rPr>
          <w:rFonts w:asciiTheme="minorHAnsi" w:hAnsiTheme="minorHAnsi"/>
        </w:rPr>
        <w:t xml:space="preserve">Table </w:t>
      </w:r>
      <w:r w:rsidRPr="0022140F">
        <w:rPr>
          <w:rFonts w:asciiTheme="minorHAnsi" w:hAnsiTheme="minorHAnsi"/>
        </w:rPr>
        <w:fldChar w:fldCharType="begin"/>
      </w:r>
      <w:r w:rsidRPr="0022140F">
        <w:rPr>
          <w:rFonts w:asciiTheme="minorHAnsi" w:hAnsiTheme="minorHAnsi"/>
        </w:rPr>
        <w:instrText xml:space="preserve"> SEQ Table \* ARABIC </w:instrText>
      </w:r>
      <w:r w:rsidRPr="0022140F">
        <w:rPr>
          <w:rFonts w:asciiTheme="minorHAnsi" w:hAnsiTheme="minorHAnsi"/>
        </w:rPr>
        <w:fldChar w:fldCharType="separate"/>
      </w:r>
      <w:r w:rsidR="00D64407">
        <w:rPr>
          <w:rFonts w:asciiTheme="minorHAnsi" w:hAnsiTheme="minorHAnsi"/>
          <w:noProof/>
        </w:rPr>
        <w:t>9</w:t>
      </w:r>
      <w:r w:rsidRPr="0022140F">
        <w:rPr>
          <w:rFonts w:asciiTheme="minorHAnsi" w:hAnsiTheme="minorHAnsi"/>
        </w:rPr>
        <w:fldChar w:fldCharType="end"/>
      </w:r>
      <w:bookmarkEnd w:id="28"/>
      <w:r w:rsidRPr="0022140F">
        <w:rPr>
          <w:rFonts w:asciiTheme="minorHAnsi" w:hAnsiTheme="minorHAnsi"/>
        </w:rPr>
        <w:t xml:space="preserve"> </w:t>
      </w:r>
      <w:r w:rsidRPr="0022140F">
        <w:rPr>
          <w:rFonts w:asciiTheme="minorHAnsi" w:hAnsiTheme="minorHAnsi"/>
        </w:rPr>
        <w:tab/>
      </w:r>
      <w:r w:rsidRPr="0022140F">
        <w:rPr>
          <w:rFonts w:asciiTheme="minorHAnsi" w:hAnsiTheme="minorHAnsi"/>
        </w:rPr>
        <w:tab/>
        <w:t>RADIANT-4 – Progression Free Survival results</w:t>
      </w:r>
    </w:p>
    <w:tbl>
      <w:tblPr>
        <w:tblW w:w="9217" w:type="dxa"/>
        <w:tblBorders>
          <w:top w:val="single" w:sz="4" w:space="0" w:color="auto"/>
          <w:bottom w:val="single" w:sz="4" w:space="0" w:color="auto"/>
        </w:tblBorders>
        <w:tblLayout w:type="fixed"/>
        <w:tblLook w:val="0000" w:firstRow="0" w:lastRow="0" w:firstColumn="0" w:lastColumn="0" w:noHBand="0" w:noVBand="0"/>
      </w:tblPr>
      <w:tblGrid>
        <w:gridCol w:w="2376"/>
        <w:gridCol w:w="720"/>
        <w:gridCol w:w="1690"/>
        <w:gridCol w:w="1640"/>
        <w:gridCol w:w="1760"/>
        <w:gridCol w:w="1031"/>
      </w:tblGrid>
      <w:tr w:rsidR="00557C61" w:rsidRPr="0022140F" w14:paraId="64652BD5" w14:textId="77777777" w:rsidTr="005362D8">
        <w:trPr>
          <w:tblHeader/>
        </w:trPr>
        <w:tc>
          <w:tcPr>
            <w:tcW w:w="2376" w:type="dxa"/>
            <w:tcBorders>
              <w:top w:val="single" w:sz="4" w:space="0" w:color="auto"/>
              <w:bottom w:val="nil"/>
            </w:tcBorders>
            <w:shd w:val="clear" w:color="auto" w:fill="auto"/>
          </w:tcPr>
          <w:p w14:paraId="293565A6" w14:textId="77777777" w:rsidR="00557C61" w:rsidRPr="0022140F" w:rsidRDefault="00557C61" w:rsidP="005362D8">
            <w:pPr>
              <w:pStyle w:val="Table"/>
              <w:keepNext/>
              <w:rPr>
                <w:rFonts w:asciiTheme="minorHAnsi" w:hAnsiTheme="minorHAnsi"/>
                <w:b/>
                <w:sz w:val="18"/>
                <w:szCs w:val="18"/>
              </w:rPr>
            </w:pPr>
            <w:r w:rsidRPr="0022140F">
              <w:rPr>
                <w:rFonts w:asciiTheme="minorHAnsi" w:hAnsiTheme="minorHAnsi"/>
                <w:b/>
                <w:sz w:val="18"/>
                <w:szCs w:val="18"/>
              </w:rPr>
              <w:t>Analysis</w:t>
            </w:r>
          </w:p>
        </w:tc>
        <w:tc>
          <w:tcPr>
            <w:tcW w:w="720" w:type="dxa"/>
            <w:tcBorders>
              <w:top w:val="single" w:sz="4" w:space="0" w:color="auto"/>
              <w:bottom w:val="nil"/>
            </w:tcBorders>
            <w:shd w:val="clear" w:color="auto" w:fill="auto"/>
          </w:tcPr>
          <w:p w14:paraId="00895E56" w14:textId="77777777" w:rsidR="00557C61" w:rsidRPr="0022140F" w:rsidRDefault="00557C61" w:rsidP="005362D8">
            <w:pPr>
              <w:pStyle w:val="Table"/>
              <w:keepNext/>
              <w:jc w:val="center"/>
              <w:rPr>
                <w:rFonts w:asciiTheme="minorHAnsi" w:hAnsiTheme="minorHAnsi"/>
                <w:b/>
                <w:sz w:val="18"/>
                <w:szCs w:val="18"/>
              </w:rPr>
            </w:pPr>
            <w:r w:rsidRPr="0022140F">
              <w:rPr>
                <w:rFonts w:asciiTheme="minorHAnsi" w:hAnsiTheme="minorHAnsi"/>
                <w:b/>
                <w:sz w:val="18"/>
                <w:szCs w:val="18"/>
              </w:rPr>
              <w:t>N</w:t>
            </w:r>
          </w:p>
        </w:tc>
        <w:tc>
          <w:tcPr>
            <w:tcW w:w="1690" w:type="dxa"/>
            <w:tcBorders>
              <w:top w:val="single" w:sz="4" w:space="0" w:color="auto"/>
              <w:bottom w:val="nil"/>
            </w:tcBorders>
            <w:shd w:val="clear" w:color="auto" w:fill="auto"/>
          </w:tcPr>
          <w:p w14:paraId="30F4B23B" w14:textId="77777777" w:rsidR="00557C61" w:rsidRPr="0022140F" w:rsidRDefault="00557C61" w:rsidP="005362D8">
            <w:pPr>
              <w:pStyle w:val="Table"/>
              <w:keepNext/>
              <w:jc w:val="center"/>
              <w:rPr>
                <w:rFonts w:asciiTheme="minorHAnsi" w:hAnsiTheme="minorHAnsi"/>
                <w:b/>
                <w:sz w:val="18"/>
                <w:szCs w:val="18"/>
              </w:rPr>
            </w:pPr>
            <w:proofErr w:type="spellStart"/>
            <w:r w:rsidRPr="0022140F">
              <w:rPr>
                <w:rFonts w:asciiTheme="minorHAnsi" w:hAnsiTheme="minorHAnsi"/>
                <w:b/>
                <w:sz w:val="18"/>
                <w:szCs w:val="18"/>
              </w:rPr>
              <w:t>Afinitor</w:t>
            </w:r>
            <w:proofErr w:type="spellEnd"/>
          </w:p>
          <w:p w14:paraId="366642A0" w14:textId="77777777" w:rsidR="00557C61" w:rsidRPr="0022140F" w:rsidRDefault="00557C61" w:rsidP="005362D8">
            <w:pPr>
              <w:pStyle w:val="Table"/>
              <w:keepNext/>
              <w:jc w:val="center"/>
              <w:rPr>
                <w:rFonts w:asciiTheme="minorHAnsi" w:hAnsiTheme="minorHAnsi"/>
                <w:b/>
                <w:sz w:val="18"/>
                <w:szCs w:val="18"/>
              </w:rPr>
            </w:pPr>
            <w:r w:rsidRPr="0022140F">
              <w:rPr>
                <w:rFonts w:asciiTheme="minorHAnsi" w:hAnsiTheme="minorHAnsi"/>
                <w:b/>
                <w:sz w:val="18"/>
                <w:szCs w:val="18"/>
              </w:rPr>
              <w:t>N=205</w:t>
            </w:r>
          </w:p>
        </w:tc>
        <w:tc>
          <w:tcPr>
            <w:tcW w:w="1640" w:type="dxa"/>
            <w:tcBorders>
              <w:top w:val="single" w:sz="4" w:space="0" w:color="auto"/>
              <w:bottom w:val="nil"/>
            </w:tcBorders>
            <w:shd w:val="clear" w:color="auto" w:fill="auto"/>
          </w:tcPr>
          <w:p w14:paraId="0C16B428" w14:textId="77777777" w:rsidR="00557C61" w:rsidRPr="0022140F" w:rsidRDefault="00557C61" w:rsidP="005362D8">
            <w:pPr>
              <w:pStyle w:val="Table"/>
              <w:keepNext/>
              <w:jc w:val="center"/>
              <w:rPr>
                <w:rFonts w:asciiTheme="minorHAnsi" w:hAnsiTheme="minorHAnsi"/>
                <w:b/>
                <w:sz w:val="18"/>
                <w:szCs w:val="18"/>
              </w:rPr>
            </w:pPr>
            <w:r w:rsidRPr="0022140F">
              <w:rPr>
                <w:rFonts w:asciiTheme="minorHAnsi" w:hAnsiTheme="minorHAnsi"/>
                <w:b/>
                <w:sz w:val="18"/>
                <w:szCs w:val="18"/>
              </w:rPr>
              <w:t>Placebo</w:t>
            </w:r>
          </w:p>
          <w:p w14:paraId="5E0A0AFE" w14:textId="77777777" w:rsidR="00557C61" w:rsidRPr="0022140F" w:rsidRDefault="00557C61" w:rsidP="005362D8">
            <w:pPr>
              <w:pStyle w:val="Table"/>
              <w:keepNext/>
              <w:jc w:val="center"/>
              <w:rPr>
                <w:rFonts w:asciiTheme="minorHAnsi" w:hAnsiTheme="minorHAnsi"/>
                <w:b/>
                <w:sz w:val="18"/>
                <w:szCs w:val="18"/>
              </w:rPr>
            </w:pPr>
            <w:r w:rsidRPr="0022140F">
              <w:rPr>
                <w:rFonts w:asciiTheme="minorHAnsi" w:hAnsiTheme="minorHAnsi"/>
                <w:b/>
                <w:sz w:val="18"/>
                <w:szCs w:val="18"/>
              </w:rPr>
              <w:t>N=97</w:t>
            </w:r>
          </w:p>
        </w:tc>
        <w:tc>
          <w:tcPr>
            <w:tcW w:w="1760" w:type="dxa"/>
            <w:tcBorders>
              <w:top w:val="single" w:sz="4" w:space="0" w:color="auto"/>
              <w:bottom w:val="nil"/>
            </w:tcBorders>
            <w:shd w:val="clear" w:color="auto" w:fill="auto"/>
          </w:tcPr>
          <w:p w14:paraId="42548F69" w14:textId="77777777" w:rsidR="00557C61" w:rsidRPr="0022140F" w:rsidRDefault="00557C61" w:rsidP="005362D8">
            <w:pPr>
              <w:pStyle w:val="Table"/>
              <w:keepNext/>
              <w:jc w:val="center"/>
              <w:rPr>
                <w:rFonts w:asciiTheme="minorHAnsi" w:hAnsiTheme="minorHAnsi"/>
                <w:b/>
                <w:sz w:val="18"/>
                <w:szCs w:val="18"/>
              </w:rPr>
            </w:pPr>
            <w:r w:rsidRPr="0022140F">
              <w:rPr>
                <w:rFonts w:asciiTheme="minorHAnsi" w:hAnsiTheme="minorHAnsi"/>
                <w:b/>
                <w:sz w:val="18"/>
                <w:szCs w:val="18"/>
              </w:rPr>
              <w:t>Hazard Ratio (95%CI)</w:t>
            </w:r>
          </w:p>
        </w:tc>
        <w:tc>
          <w:tcPr>
            <w:tcW w:w="1031" w:type="dxa"/>
            <w:tcBorders>
              <w:top w:val="single" w:sz="4" w:space="0" w:color="auto"/>
              <w:bottom w:val="nil"/>
            </w:tcBorders>
            <w:shd w:val="clear" w:color="auto" w:fill="auto"/>
          </w:tcPr>
          <w:p w14:paraId="410E8084" w14:textId="77777777" w:rsidR="00557C61" w:rsidRPr="0022140F" w:rsidRDefault="00557C61" w:rsidP="005362D8">
            <w:pPr>
              <w:pStyle w:val="Table"/>
              <w:keepNext/>
              <w:jc w:val="center"/>
              <w:rPr>
                <w:rFonts w:asciiTheme="minorHAnsi" w:hAnsiTheme="minorHAnsi"/>
                <w:sz w:val="18"/>
                <w:szCs w:val="18"/>
              </w:rPr>
            </w:pPr>
            <w:r w:rsidRPr="0022140F">
              <w:rPr>
                <w:rFonts w:asciiTheme="minorHAnsi" w:hAnsiTheme="minorHAnsi"/>
                <w:b/>
                <w:sz w:val="18"/>
                <w:szCs w:val="18"/>
              </w:rPr>
              <w:t>p-</w:t>
            </w:r>
            <w:proofErr w:type="spellStart"/>
            <w:r w:rsidRPr="0022140F">
              <w:rPr>
                <w:rFonts w:asciiTheme="minorHAnsi" w:hAnsiTheme="minorHAnsi"/>
                <w:b/>
                <w:sz w:val="18"/>
                <w:szCs w:val="18"/>
              </w:rPr>
              <w:t>value</w:t>
            </w:r>
            <w:r w:rsidRPr="0022140F">
              <w:rPr>
                <w:rFonts w:asciiTheme="minorHAnsi" w:hAnsiTheme="minorHAnsi"/>
                <w:sz w:val="18"/>
                <w:szCs w:val="18"/>
                <w:vertAlign w:val="superscript"/>
              </w:rPr>
              <w:t>a</w:t>
            </w:r>
            <w:proofErr w:type="spellEnd"/>
          </w:p>
        </w:tc>
      </w:tr>
      <w:tr w:rsidR="00557C61" w:rsidRPr="0022140F" w14:paraId="647BD9C4" w14:textId="77777777" w:rsidTr="005362D8">
        <w:tc>
          <w:tcPr>
            <w:tcW w:w="2376" w:type="dxa"/>
            <w:tcBorders>
              <w:top w:val="nil"/>
              <w:bottom w:val="single" w:sz="4" w:space="0" w:color="auto"/>
            </w:tcBorders>
            <w:shd w:val="clear" w:color="auto" w:fill="auto"/>
          </w:tcPr>
          <w:p w14:paraId="184F6917" w14:textId="77777777" w:rsidR="00557C61" w:rsidRPr="0022140F" w:rsidRDefault="00557C61" w:rsidP="005362D8">
            <w:pPr>
              <w:pStyle w:val="Table"/>
              <w:keepNext/>
              <w:rPr>
                <w:rFonts w:asciiTheme="minorHAnsi" w:hAnsiTheme="minorHAnsi"/>
                <w:b/>
                <w:sz w:val="18"/>
                <w:szCs w:val="18"/>
              </w:rPr>
            </w:pPr>
          </w:p>
        </w:tc>
        <w:tc>
          <w:tcPr>
            <w:tcW w:w="720" w:type="dxa"/>
            <w:tcBorders>
              <w:top w:val="nil"/>
              <w:bottom w:val="single" w:sz="4" w:space="0" w:color="auto"/>
            </w:tcBorders>
            <w:shd w:val="clear" w:color="auto" w:fill="auto"/>
          </w:tcPr>
          <w:p w14:paraId="397F619C" w14:textId="77777777" w:rsidR="00557C61" w:rsidRPr="0022140F" w:rsidRDefault="00557C61" w:rsidP="005362D8">
            <w:pPr>
              <w:pStyle w:val="Table"/>
              <w:keepNext/>
              <w:jc w:val="center"/>
              <w:rPr>
                <w:rFonts w:asciiTheme="minorHAnsi" w:hAnsiTheme="minorHAnsi"/>
                <w:b/>
                <w:sz w:val="18"/>
                <w:szCs w:val="18"/>
              </w:rPr>
            </w:pPr>
            <w:r w:rsidRPr="0022140F">
              <w:rPr>
                <w:rFonts w:asciiTheme="minorHAnsi" w:hAnsiTheme="minorHAnsi"/>
                <w:sz w:val="18"/>
                <w:szCs w:val="18"/>
              </w:rPr>
              <w:t>302</w:t>
            </w:r>
          </w:p>
        </w:tc>
        <w:tc>
          <w:tcPr>
            <w:tcW w:w="3330" w:type="dxa"/>
            <w:gridSpan w:val="2"/>
            <w:tcBorders>
              <w:top w:val="nil"/>
              <w:bottom w:val="single" w:sz="4" w:space="0" w:color="auto"/>
            </w:tcBorders>
            <w:shd w:val="clear" w:color="auto" w:fill="auto"/>
          </w:tcPr>
          <w:p w14:paraId="66D077BC" w14:textId="77777777" w:rsidR="00557C61" w:rsidRPr="0022140F" w:rsidRDefault="00557C61" w:rsidP="005362D8">
            <w:pPr>
              <w:pStyle w:val="Table"/>
              <w:keepNext/>
              <w:jc w:val="center"/>
              <w:rPr>
                <w:rFonts w:asciiTheme="minorHAnsi" w:hAnsiTheme="minorHAnsi"/>
                <w:b/>
                <w:sz w:val="18"/>
                <w:szCs w:val="18"/>
              </w:rPr>
            </w:pPr>
            <w:r w:rsidRPr="0022140F">
              <w:rPr>
                <w:rFonts w:asciiTheme="minorHAnsi" w:hAnsiTheme="minorHAnsi"/>
                <w:b/>
                <w:sz w:val="18"/>
                <w:szCs w:val="18"/>
              </w:rPr>
              <w:t>Median progression-free survival (months) (95% CI)</w:t>
            </w:r>
          </w:p>
        </w:tc>
        <w:tc>
          <w:tcPr>
            <w:tcW w:w="1760" w:type="dxa"/>
            <w:tcBorders>
              <w:top w:val="nil"/>
              <w:bottom w:val="single" w:sz="4" w:space="0" w:color="auto"/>
            </w:tcBorders>
            <w:shd w:val="clear" w:color="auto" w:fill="auto"/>
          </w:tcPr>
          <w:p w14:paraId="668E4DDF" w14:textId="77777777" w:rsidR="00557C61" w:rsidRPr="0022140F" w:rsidRDefault="00557C61" w:rsidP="005362D8">
            <w:pPr>
              <w:pStyle w:val="Table"/>
              <w:keepNext/>
              <w:jc w:val="center"/>
              <w:rPr>
                <w:rFonts w:asciiTheme="minorHAnsi" w:hAnsiTheme="minorHAnsi"/>
                <w:b/>
                <w:sz w:val="18"/>
                <w:szCs w:val="18"/>
              </w:rPr>
            </w:pPr>
          </w:p>
        </w:tc>
        <w:tc>
          <w:tcPr>
            <w:tcW w:w="1031" w:type="dxa"/>
            <w:tcBorders>
              <w:top w:val="nil"/>
              <w:bottom w:val="single" w:sz="4" w:space="0" w:color="auto"/>
            </w:tcBorders>
            <w:shd w:val="clear" w:color="auto" w:fill="auto"/>
          </w:tcPr>
          <w:p w14:paraId="7C4E5766" w14:textId="77777777" w:rsidR="00557C61" w:rsidRPr="0022140F" w:rsidRDefault="00557C61" w:rsidP="005362D8">
            <w:pPr>
              <w:pStyle w:val="Table"/>
              <w:keepNext/>
              <w:jc w:val="center"/>
              <w:rPr>
                <w:rFonts w:asciiTheme="minorHAnsi" w:hAnsiTheme="minorHAnsi"/>
                <w:b/>
                <w:sz w:val="18"/>
                <w:szCs w:val="18"/>
              </w:rPr>
            </w:pPr>
          </w:p>
        </w:tc>
      </w:tr>
      <w:tr w:rsidR="00557C61" w:rsidRPr="0022140F" w14:paraId="6FB00C6D" w14:textId="77777777" w:rsidTr="005362D8">
        <w:tc>
          <w:tcPr>
            <w:tcW w:w="2376" w:type="dxa"/>
            <w:tcBorders>
              <w:top w:val="nil"/>
              <w:bottom w:val="nil"/>
            </w:tcBorders>
            <w:shd w:val="clear" w:color="auto" w:fill="auto"/>
          </w:tcPr>
          <w:p w14:paraId="7E5E1BD3" w14:textId="77777777" w:rsidR="00557C61" w:rsidRPr="0022140F" w:rsidRDefault="00557C61" w:rsidP="005362D8">
            <w:pPr>
              <w:pStyle w:val="Table"/>
              <w:rPr>
                <w:rFonts w:asciiTheme="minorHAnsi" w:hAnsiTheme="minorHAnsi"/>
                <w:sz w:val="18"/>
                <w:szCs w:val="18"/>
              </w:rPr>
            </w:pPr>
            <w:r w:rsidRPr="0022140F">
              <w:rPr>
                <w:rFonts w:asciiTheme="minorHAnsi" w:hAnsiTheme="minorHAnsi"/>
                <w:sz w:val="18"/>
                <w:szCs w:val="18"/>
              </w:rPr>
              <w:t>Independent radiological review</w:t>
            </w:r>
          </w:p>
        </w:tc>
        <w:tc>
          <w:tcPr>
            <w:tcW w:w="720" w:type="dxa"/>
            <w:tcBorders>
              <w:top w:val="nil"/>
              <w:bottom w:val="nil"/>
            </w:tcBorders>
            <w:shd w:val="clear" w:color="auto" w:fill="auto"/>
          </w:tcPr>
          <w:p w14:paraId="7B5E75DE" w14:textId="77777777" w:rsidR="00557C61" w:rsidRPr="0022140F" w:rsidRDefault="00557C61" w:rsidP="005362D8">
            <w:pPr>
              <w:pStyle w:val="Table"/>
              <w:jc w:val="center"/>
              <w:rPr>
                <w:rFonts w:asciiTheme="minorHAnsi" w:hAnsiTheme="minorHAnsi"/>
                <w:sz w:val="18"/>
                <w:szCs w:val="18"/>
              </w:rPr>
            </w:pPr>
          </w:p>
        </w:tc>
        <w:tc>
          <w:tcPr>
            <w:tcW w:w="1690" w:type="dxa"/>
            <w:tcBorders>
              <w:top w:val="nil"/>
              <w:bottom w:val="nil"/>
            </w:tcBorders>
            <w:shd w:val="clear" w:color="auto" w:fill="auto"/>
          </w:tcPr>
          <w:p w14:paraId="71DCCE8A" w14:textId="77777777" w:rsidR="00557C61" w:rsidRPr="0022140F" w:rsidRDefault="00557C61" w:rsidP="005362D8">
            <w:pPr>
              <w:pStyle w:val="Table"/>
              <w:jc w:val="center"/>
              <w:rPr>
                <w:rFonts w:asciiTheme="minorHAnsi" w:hAnsiTheme="minorHAnsi"/>
                <w:sz w:val="18"/>
                <w:szCs w:val="18"/>
              </w:rPr>
            </w:pPr>
            <w:r w:rsidRPr="0022140F">
              <w:rPr>
                <w:rFonts w:asciiTheme="minorHAnsi" w:hAnsiTheme="minorHAnsi"/>
                <w:sz w:val="18"/>
                <w:szCs w:val="18"/>
              </w:rPr>
              <w:t>11.01</w:t>
            </w:r>
          </w:p>
          <w:p w14:paraId="3EEC7EF1" w14:textId="77777777" w:rsidR="00557C61" w:rsidRPr="0022140F" w:rsidRDefault="00557C61" w:rsidP="005362D8">
            <w:pPr>
              <w:pStyle w:val="Table"/>
              <w:jc w:val="center"/>
              <w:rPr>
                <w:rFonts w:asciiTheme="minorHAnsi" w:hAnsiTheme="minorHAnsi"/>
                <w:sz w:val="18"/>
                <w:szCs w:val="18"/>
              </w:rPr>
            </w:pPr>
            <w:r w:rsidRPr="0022140F">
              <w:rPr>
                <w:rFonts w:asciiTheme="minorHAnsi" w:hAnsiTheme="minorHAnsi"/>
                <w:sz w:val="18"/>
                <w:szCs w:val="18"/>
              </w:rPr>
              <w:t>(9.2 to 13.3)</w:t>
            </w:r>
          </w:p>
        </w:tc>
        <w:tc>
          <w:tcPr>
            <w:tcW w:w="1640" w:type="dxa"/>
            <w:tcBorders>
              <w:top w:val="nil"/>
              <w:bottom w:val="nil"/>
            </w:tcBorders>
            <w:shd w:val="clear" w:color="auto" w:fill="auto"/>
          </w:tcPr>
          <w:p w14:paraId="11CEB24E" w14:textId="77777777" w:rsidR="00557C61" w:rsidRPr="0022140F" w:rsidRDefault="00557C61" w:rsidP="005362D8">
            <w:pPr>
              <w:pStyle w:val="Table"/>
              <w:jc w:val="center"/>
              <w:rPr>
                <w:rFonts w:asciiTheme="minorHAnsi" w:hAnsiTheme="minorHAnsi"/>
                <w:sz w:val="18"/>
                <w:szCs w:val="18"/>
              </w:rPr>
            </w:pPr>
            <w:r w:rsidRPr="0022140F">
              <w:rPr>
                <w:rFonts w:asciiTheme="minorHAnsi" w:hAnsiTheme="minorHAnsi"/>
                <w:sz w:val="18"/>
                <w:szCs w:val="18"/>
              </w:rPr>
              <w:t>3.91</w:t>
            </w:r>
          </w:p>
          <w:p w14:paraId="419B0A24" w14:textId="77777777" w:rsidR="00557C61" w:rsidRPr="0022140F" w:rsidRDefault="00557C61" w:rsidP="005362D8">
            <w:pPr>
              <w:pStyle w:val="Table"/>
              <w:jc w:val="center"/>
              <w:rPr>
                <w:rFonts w:asciiTheme="minorHAnsi" w:hAnsiTheme="minorHAnsi"/>
                <w:sz w:val="18"/>
                <w:szCs w:val="18"/>
              </w:rPr>
            </w:pPr>
            <w:r w:rsidRPr="0022140F">
              <w:rPr>
                <w:rFonts w:asciiTheme="minorHAnsi" w:hAnsiTheme="minorHAnsi"/>
                <w:sz w:val="18"/>
                <w:szCs w:val="18"/>
              </w:rPr>
              <w:t>(3.6 to 7.4)</w:t>
            </w:r>
          </w:p>
        </w:tc>
        <w:tc>
          <w:tcPr>
            <w:tcW w:w="1760" w:type="dxa"/>
            <w:tcBorders>
              <w:top w:val="nil"/>
              <w:bottom w:val="nil"/>
            </w:tcBorders>
            <w:shd w:val="clear" w:color="auto" w:fill="auto"/>
          </w:tcPr>
          <w:p w14:paraId="73E0DC92" w14:textId="77777777" w:rsidR="00557C61" w:rsidRPr="0022140F" w:rsidRDefault="00557C61" w:rsidP="005362D8">
            <w:pPr>
              <w:pStyle w:val="Table"/>
              <w:jc w:val="center"/>
              <w:rPr>
                <w:rFonts w:asciiTheme="minorHAnsi" w:hAnsiTheme="minorHAnsi"/>
                <w:sz w:val="18"/>
                <w:szCs w:val="18"/>
              </w:rPr>
            </w:pPr>
            <w:r w:rsidRPr="0022140F">
              <w:rPr>
                <w:rFonts w:asciiTheme="minorHAnsi" w:hAnsiTheme="minorHAnsi"/>
                <w:sz w:val="18"/>
                <w:szCs w:val="18"/>
              </w:rPr>
              <w:t>0.48</w:t>
            </w:r>
          </w:p>
          <w:p w14:paraId="147AB08C" w14:textId="77777777" w:rsidR="00557C61" w:rsidRPr="0022140F" w:rsidRDefault="00557C61" w:rsidP="005362D8">
            <w:pPr>
              <w:pStyle w:val="Table"/>
              <w:jc w:val="center"/>
              <w:rPr>
                <w:rFonts w:asciiTheme="minorHAnsi" w:hAnsiTheme="minorHAnsi"/>
                <w:sz w:val="18"/>
                <w:szCs w:val="18"/>
              </w:rPr>
            </w:pPr>
            <w:r w:rsidRPr="0022140F">
              <w:rPr>
                <w:rFonts w:asciiTheme="minorHAnsi" w:hAnsiTheme="minorHAnsi"/>
                <w:sz w:val="18"/>
                <w:szCs w:val="18"/>
              </w:rPr>
              <w:t>(0.35 to 0.67)</w:t>
            </w:r>
          </w:p>
        </w:tc>
        <w:tc>
          <w:tcPr>
            <w:tcW w:w="1031" w:type="dxa"/>
            <w:tcBorders>
              <w:top w:val="nil"/>
              <w:bottom w:val="nil"/>
            </w:tcBorders>
            <w:shd w:val="clear" w:color="auto" w:fill="auto"/>
          </w:tcPr>
          <w:p w14:paraId="41D3A6BA" w14:textId="77777777" w:rsidR="00557C61" w:rsidRPr="0022140F" w:rsidRDefault="00557C61" w:rsidP="005362D8">
            <w:pPr>
              <w:pStyle w:val="Table"/>
              <w:tabs>
                <w:tab w:val="clear" w:pos="284"/>
                <w:tab w:val="decimal" w:pos="264"/>
              </w:tabs>
              <w:rPr>
                <w:rFonts w:asciiTheme="minorHAnsi" w:hAnsiTheme="minorHAnsi"/>
                <w:sz w:val="18"/>
                <w:szCs w:val="18"/>
              </w:rPr>
            </w:pPr>
            <w:r w:rsidRPr="0022140F">
              <w:rPr>
                <w:rFonts w:asciiTheme="minorHAnsi" w:hAnsiTheme="minorHAnsi"/>
                <w:sz w:val="18"/>
                <w:szCs w:val="18"/>
              </w:rPr>
              <w:t>&lt;0.0001</w:t>
            </w:r>
          </w:p>
        </w:tc>
      </w:tr>
      <w:tr w:rsidR="00557C61" w:rsidRPr="0022140F" w14:paraId="5B6A7404" w14:textId="77777777" w:rsidTr="005362D8">
        <w:tc>
          <w:tcPr>
            <w:tcW w:w="2376" w:type="dxa"/>
            <w:tcBorders>
              <w:top w:val="nil"/>
              <w:bottom w:val="single" w:sz="4" w:space="0" w:color="auto"/>
            </w:tcBorders>
            <w:shd w:val="clear" w:color="auto" w:fill="auto"/>
          </w:tcPr>
          <w:p w14:paraId="4FD9B027" w14:textId="77777777" w:rsidR="00557C61" w:rsidRPr="0022140F" w:rsidDel="000B17B6" w:rsidRDefault="00557C61" w:rsidP="005362D8">
            <w:pPr>
              <w:pStyle w:val="Table"/>
              <w:rPr>
                <w:rFonts w:asciiTheme="minorHAnsi" w:hAnsiTheme="minorHAnsi"/>
                <w:sz w:val="18"/>
                <w:szCs w:val="18"/>
              </w:rPr>
            </w:pPr>
            <w:r w:rsidRPr="0022140F">
              <w:rPr>
                <w:rFonts w:asciiTheme="minorHAnsi" w:hAnsiTheme="minorHAnsi"/>
                <w:sz w:val="18"/>
                <w:szCs w:val="18"/>
              </w:rPr>
              <w:t xml:space="preserve">Investigator radiological review </w:t>
            </w:r>
          </w:p>
        </w:tc>
        <w:tc>
          <w:tcPr>
            <w:tcW w:w="720" w:type="dxa"/>
            <w:tcBorders>
              <w:top w:val="nil"/>
              <w:bottom w:val="single" w:sz="4" w:space="0" w:color="auto"/>
            </w:tcBorders>
            <w:shd w:val="clear" w:color="auto" w:fill="auto"/>
          </w:tcPr>
          <w:p w14:paraId="6D479A10" w14:textId="77777777" w:rsidR="00557C61" w:rsidRPr="0022140F" w:rsidRDefault="00557C61" w:rsidP="005362D8">
            <w:pPr>
              <w:pStyle w:val="Table"/>
              <w:jc w:val="center"/>
              <w:rPr>
                <w:rFonts w:asciiTheme="minorHAnsi" w:hAnsiTheme="minorHAnsi"/>
                <w:sz w:val="18"/>
                <w:szCs w:val="18"/>
              </w:rPr>
            </w:pPr>
          </w:p>
        </w:tc>
        <w:tc>
          <w:tcPr>
            <w:tcW w:w="1690" w:type="dxa"/>
            <w:tcBorders>
              <w:top w:val="nil"/>
              <w:bottom w:val="single" w:sz="4" w:space="0" w:color="auto"/>
            </w:tcBorders>
            <w:shd w:val="clear" w:color="auto" w:fill="auto"/>
          </w:tcPr>
          <w:p w14:paraId="6EEE461B" w14:textId="77777777" w:rsidR="00557C61" w:rsidRPr="0022140F" w:rsidRDefault="00557C61" w:rsidP="005362D8">
            <w:pPr>
              <w:pStyle w:val="Table"/>
              <w:jc w:val="center"/>
              <w:rPr>
                <w:rFonts w:asciiTheme="minorHAnsi" w:hAnsiTheme="minorHAnsi"/>
                <w:sz w:val="18"/>
                <w:szCs w:val="18"/>
              </w:rPr>
            </w:pPr>
            <w:r w:rsidRPr="0022140F">
              <w:rPr>
                <w:rFonts w:asciiTheme="minorHAnsi" w:hAnsiTheme="minorHAnsi"/>
                <w:sz w:val="18"/>
                <w:szCs w:val="18"/>
              </w:rPr>
              <w:t>13.96</w:t>
            </w:r>
          </w:p>
          <w:p w14:paraId="46046209" w14:textId="77777777" w:rsidR="00557C61" w:rsidRPr="0022140F" w:rsidRDefault="00557C61" w:rsidP="005362D8">
            <w:pPr>
              <w:pStyle w:val="Table"/>
              <w:ind w:left="-119" w:firstLine="119"/>
              <w:jc w:val="center"/>
              <w:rPr>
                <w:rFonts w:asciiTheme="minorHAnsi" w:hAnsiTheme="minorHAnsi"/>
                <w:sz w:val="18"/>
                <w:szCs w:val="18"/>
              </w:rPr>
            </w:pPr>
            <w:r w:rsidRPr="0022140F">
              <w:rPr>
                <w:rFonts w:asciiTheme="minorHAnsi" w:hAnsiTheme="minorHAnsi"/>
                <w:sz w:val="18"/>
                <w:szCs w:val="18"/>
              </w:rPr>
              <w:t>(11.2 to 17.7)</w:t>
            </w:r>
          </w:p>
        </w:tc>
        <w:tc>
          <w:tcPr>
            <w:tcW w:w="1640" w:type="dxa"/>
            <w:tcBorders>
              <w:top w:val="nil"/>
              <w:bottom w:val="single" w:sz="4" w:space="0" w:color="auto"/>
            </w:tcBorders>
            <w:shd w:val="clear" w:color="auto" w:fill="auto"/>
          </w:tcPr>
          <w:p w14:paraId="3131C039" w14:textId="77777777" w:rsidR="00557C61" w:rsidRPr="0022140F" w:rsidRDefault="00557C61" w:rsidP="005362D8">
            <w:pPr>
              <w:pStyle w:val="Table"/>
              <w:jc w:val="center"/>
              <w:rPr>
                <w:rFonts w:asciiTheme="minorHAnsi" w:hAnsiTheme="minorHAnsi"/>
                <w:sz w:val="18"/>
                <w:szCs w:val="18"/>
              </w:rPr>
            </w:pPr>
            <w:r w:rsidRPr="0022140F">
              <w:rPr>
                <w:rFonts w:asciiTheme="minorHAnsi" w:hAnsiTheme="minorHAnsi"/>
                <w:sz w:val="18"/>
                <w:szCs w:val="18"/>
              </w:rPr>
              <w:t>5.45</w:t>
            </w:r>
          </w:p>
          <w:p w14:paraId="5CA81316" w14:textId="77777777" w:rsidR="00557C61" w:rsidRPr="0022140F" w:rsidRDefault="00557C61" w:rsidP="005362D8">
            <w:pPr>
              <w:pStyle w:val="Table"/>
              <w:jc w:val="center"/>
              <w:rPr>
                <w:rFonts w:asciiTheme="minorHAnsi" w:hAnsiTheme="minorHAnsi"/>
                <w:sz w:val="18"/>
                <w:szCs w:val="18"/>
              </w:rPr>
            </w:pPr>
            <w:r w:rsidRPr="0022140F">
              <w:rPr>
                <w:rFonts w:asciiTheme="minorHAnsi" w:hAnsiTheme="minorHAnsi"/>
                <w:sz w:val="18"/>
                <w:szCs w:val="18"/>
              </w:rPr>
              <w:t>(3.7 to 7.4)</w:t>
            </w:r>
          </w:p>
        </w:tc>
        <w:tc>
          <w:tcPr>
            <w:tcW w:w="1760" w:type="dxa"/>
            <w:tcBorders>
              <w:top w:val="nil"/>
              <w:bottom w:val="single" w:sz="4" w:space="0" w:color="auto"/>
            </w:tcBorders>
            <w:shd w:val="clear" w:color="auto" w:fill="auto"/>
          </w:tcPr>
          <w:p w14:paraId="36F11EAA" w14:textId="77777777" w:rsidR="00557C61" w:rsidRPr="0022140F" w:rsidRDefault="00557C61" w:rsidP="005362D8">
            <w:pPr>
              <w:pStyle w:val="Table"/>
              <w:jc w:val="center"/>
              <w:rPr>
                <w:rFonts w:asciiTheme="minorHAnsi" w:hAnsiTheme="minorHAnsi"/>
                <w:sz w:val="18"/>
                <w:szCs w:val="18"/>
              </w:rPr>
            </w:pPr>
            <w:r w:rsidRPr="0022140F">
              <w:rPr>
                <w:rFonts w:asciiTheme="minorHAnsi" w:hAnsiTheme="minorHAnsi"/>
                <w:sz w:val="18"/>
                <w:szCs w:val="18"/>
              </w:rPr>
              <w:t>0.39</w:t>
            </w:r>
          </w:p>
          <w:p w14:paraId="5B323A45" w14:textId="77777777" w:rsidR="00557C61" w:rsidRPr="0022140F" w:rsidRDefault="00557C61" w:rsidP="005362D8">
            <w:pPr>
              <w:pStyle w:val="Table"/>
              <w:jc w:val="center"/>
              <w:rPr>
                <w:rFonts w:asciiTheme="minorHAnsi" w:hAnsiTheme="minorHAnsi"/>
                <w:sz w:val="18"/>
                <w:szCs w:val="18"/>
              </w:rPr>
            </w:pPr>
            <w:r w:rsidRPr="0022140F">
              <w:rPr>
                <w:rFonts w:asciiTheme="minorHAnsi" w:hAnsiTheme="minorHAnsi"/>
                <w:sz w:val="18"/>
                <w:szCs w:val="18"/>
              </w:rPr>
              <w:t>(0.28 to 0.54)</w:t>
            </w:r>
          </w:p>
        </w:tc>
        <w:tc>
          <w:tcPr>
            <w:tcW w:w="1031" w:type="dxa"/>
            <w:tcBorders>
              <w:top w:val="nil"/>
              <w:bottom w:val="single" w:sz="4" w:space="0" w:color="auto"/>
            </w:tcBorders>
            <w:shd w:val="clear" w:color="auto" w:fill="auto"/>
          </w:tcPr>
          <w:p w14:paraId="30F25317" w14:textId="77777777" w:rsidR="00557C61" w:rsidRPr="0022140F" w:rsidRDefault="00557C61" w:rsidP="005362D8">
            <w:pPr>
              <w:pStyle w:val="Table"/>
              <w:tabs>
                <w:tab w:val="clear" w:pos="284"/>
                <w:tab w:val="decimal" w:pos="264"/>
              </w:tabs>
              <w:rPr>
                <w:rFonts w:asciiTheme="minorHAnsi" w:hAnsiTheme="minorHAnsi"/>
                <w:sz w:val="18"/>
                <w:szCs w:val="18"/>
              </w:rPr>
            </w:pPr>
            <w:r w:rsidRPr="0022140F">
              <w:rPr>
                <w:rFonts w:asciiTheme="minorHAnsi" w:hAnsiTheme="minorHAnsi"/>
                <w:sz w:val="18"/>
                <w:szCs w:val="18"/>
              </w:rPr>
              <w:t>&lt;0.0001</w:t>
            </w:r>
          </w:p>
        </w:tc>
      </w:tr>
      <w:tr w:rsidR="00557C61" w:rsidRPr="0022140F" w14:paraId="5CC975ED" w14:textId="77777777" w:rsidTr="005362D8">
        <w:tc>
          <w:tcPr>
            <w:tcW w:w="9217" w:type="dxa"/>
            <w:gridSpan w:val="6"/>
            <w:tcBorders>
              <w:top w:val="single" w:sz="4" w:space="0" w:color="auto"/>
              <w:bottom w:val="nil"/>
            </w:tcBorders>
            <w:shd w:val="clear" w:color="auto" w:fill="auto"/>
          </w:tcPr>
          <w:p w14:paraId="1DF1B56A" w14:textId="77777777" w:rsidR="00557C61" w:rsidRPr="0022140F" w:rsidRDefault="00557C61" w:rsidP="005362D8">
            <w:pPr>
              <w:pStyle w:val="Table"/>
              <w:rPr>
                <w:rFonts w:asciiTheme="minorHAnsi" w:hAnsiTheme="minorHAnsi"/>
                <w:i/>
                <w:sz w:val="16"/>
                <w:szCs w:val="16"/>
              </w:rPr>
            </w:pPr>
            <w:proofErr w:type="spellStart"/>
            <w:r w:rsidRPr="0022140F">
              <w:rPr>
                <w:rFonts w:asciiTheme="minorHAnsi" w:hAnsiTheme="minorHAnsi"/>
                <w:i/>
                <w:sz w:val="16"/>
                <w:szCs w:val="16"/>
                <w:vertAlign w:val="superscript"/>
              </w:rPr>
              <w:t>a</w:t>
            </w:r>
            <w:r w:rsidRPr="0022140F">
              <w:rPr>
                <w:rFonts w:asciiTheme="minorHAnsi" w:hAnsiTheme="minorHAnsi"/>
                <w:i/>
                <w:sz w:val="16"/>
                <w:szCs w:val="16"/>
              </w:rPr>
              <w:t>One</w:t>
            </w:r>
            <w:proofErr w:type="spellEnd"/>
            <w:r w:rsidRPr="0022140F">
              <w:rPr>
                <w:rFonts w:asciiTheme="minorHAnsi" w:hAnsiTheme="minorHAnsi"/>
                <w:i/>
                <w:sz w:val="16"/>
                <w:szCs w:val="16"/>
              </w:rPr>
              <w:t>-sided p-value from a stratified log-rank test</w:t>
            </w:r>
          </w:p>
        </w:tc>
      </w:tr>
    </w:tbl>
    <w:p w14:paraId="0EBEB995" w14:textId="77777777" w:rsidR="00557C61" w:rsidRPr="0022140F" w:rsidRDefault="00557C61" w:rsidP="00557C61">
      <w:pPr>
        <w:pStyle w:val="Caption"/>
        <w:keepNext/>
        <w:ind w:left="1440" w:hanging="1440"/>
        <w:rPr>
          <w:rFonts w:asciiTheme="minorHAnsi" w:hAnsiTheme="minorHAnsi"/>
        </w:rPr>
      </w:pPr>
      <w:bookmarkStart w:id="29" w:name="_Ref491094716"/>
      <w:r w:rsidRPr="0022140F">
        <w:rPr>
          <w:rFonts w:asciiTheme="minorHAnsi" w:hAnsiTheme="minorHAnsi"/>
        </w:rPr>
        <w:lastRenderedPageBreak/>
        <w:t xml:space="preserve">Figure </w:t>
      </w:r>
      <w:r w:rsidRPr="0022140F">
        <w:rPr>
          <w:rFonts w:asciiTheme="minorHAnsi" w:hAnsiTheme="minorHAnsi"/>
        </w:rPr>
        <w:fldChar w:fldCharType="begin"/>
      </w:r>
      <w:r w:rsidRPr="0022140F">
        <w:rPr>
          <w:rFonts w:asciiTheme="minorHAnsi" w:hAnsiTheme="minorHAnsi"/>
        </w:rPr>
        <w:instrText xml:space="preserve"> SEQ Figure \* ARABIC </w:instrText>
      </w:r>
      <w:r w:rsidRPr="0022140F">
        <w:rPr>
          <w:rFonts w:asciiTheme="minorHAnsi" w:hAnsiTheme="minorHAnsi"/>
        </w:rPr>
        <w:fldChar w:fldCharType="separate"/>
      </w:r>
      <w:r w:rsidR="00D64407">
        <w:rPr>
          <w:rFonts w:asciiTheme="minorHAnsi" w:hAnsiTheme="minorHAnsi"/>
          <w:noProof/>
        </w:rPr>
        <w:t>5</w:t>
      </w:r>
      <w:r w:rsidRPr="0022140F">
        <w:rPr>
          <w:rFonts w:asciiTheme="minorHAnsi" w:hAnsiTheme="minorHAnsi"/>
        </w:rPr>
        <w:fldChar w:fldCharType="end"/>
      </w:r>
      <w:bookmarkEnd w:id="29"/>
      <w:r w:rsidRPr="0022140F">
        <w:rPr>
          <w:rFonts w:asciiTheme="minorHAnsi" w:hAnsiTheme="minorHAnsi"/>
        </w:rPr>
        <w:t xml:space="preserve"> </w:t>
      </w:r>
      <w:r w:rsidRPr="0022140F">
        <w:rPr>
          <w:rFonts w:asciiTheme="minorHAnsi" w:hAnsiTheme="minorHAnsi"/>
        </w:rPr>
        <w:tab/>
        <w:t>RADIANT-4 – Kaplan-Meier progression-free survival curves (independent radiological review)</w:t>
      </w:r>
    </w:p>
    <w:p w14:paraId="45E23244" w14:textId="77777777" w:rsidR="00557C61" w:rsidRPr="0022140F" w:rsidRDefault="00557C61" w:rsidP="00557C61">
      <w:pPr>
        <w:pStyle w:val="Text"/>
        <w:rPr>
          <w:rFonts w:asciiTheme="minorHAnsi" w:hAnsiTheme="minorHAnsi"/>
        </w:rPr>
      </w:pPr>
      <w:r w:rsidRPr="0022140F">
        <w:rPr>
          <w:rFonts w:asciiTheme="minorHAnsi" w:hAnsiTheme="minorHAnsi"/>
          <w:noProof/>
          <w:lang w:val="en-AU" w:eastAsia="en-AU"/>
        </w:rPr>
        <w:drawing>
          <wp:inline distT="0" distB="0" distL="0" distR="0" wp14:anchorId="4EAC70D9" wp14:editId="487203E2">
            <wp:extent cx="4838700" cy="265747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8700" cy="2657475"/>
                    </a:xfrm>
                    <a:prstGeom prst="rect">
                      <a:avLst/>
                    </a:prstGeom>
                    <a:noFill/>
                    <a:ln>
                      <a:noFill/>
                    </a:ln>
                  </pic:spPr>
                </pic:pic>
              </a:graphicData>
            </a:graphic>
          </wp:inline>
        </w:drawing>
      </w:r>
    </w:p>
    <w:p w14:paraId="07E47CAA" w14:textId="77777777" w:rsidR="00557C61" w:rsidRPr="0022140F" w:rsidRDefault="00557C61" w:rsidP="00557C61">
      <w:pPr>
        <w:pStyle w:val="Text"/>
        <w:rPr>
          <w:rFonts w:asciiTheme="minorHAnsi" w:hAnsiTheme="minorHAnsi"/>
        </w:rPr>
      </w:pPr>
    </w:p>
    <w:p w14:paraId="638F46A5" w14:textId="7E9D3B42" w:rsidR="00557C61" w:rsidRDefault="00557C61" w:rsidP="00557C61">
      <w:r w:rsidRPr="0022140F">
        <w:t xml:space="preserve">In supportive analyses, positive treatment effect has been observed in all subgroups with the exception of the subgroup of patients with ileum as primary site of tumour origin (Ileum: HR=1.22 [95% CI: 0.56 to 2.65]; Non-ileum: HR=0.34 [95% CI: 0.22 to 0.54]; Lung: HR=0.43 [95% CI: 0.24 to 0.79]) (see </w:t>
      </w:r>
      <w:r w:rsidRPr="0022140F">
        <w:fldChar w:fldCharType="begin"/>
      </w:r>
      <w:r w:rsidRPr="0022140F">
        <w:instrText xml:space="preserve"> REF _Ref491095510 \h  \* MERGEFORMAT </w:instrText>
      </w:r>
      <w:r w:rsidRPr="0022140F">
        <w:fldChar w:fldCharType="separate"/>
      </w:r>
      <w:r w:rsidR="00D64407" w:rsidRPr="0022140F">
        <w:t xml:space="preserve">Figure </w:t>
      </w:r>
      <w:r w:rsidR="00D64407">
        <w:t>6</w:t>
      </w:r>
      <w:r w:rsidRPr="0022140F">
        <w:fldChar w:fldCharType="end"/>
      </w:r>
      <w:r w:rsidRPr="0022140F">
        <w:t>).</w:t>
      </w:r>
    </w:p>
    <w:p w14:paraId="0A960D53" w14:textId="77777777" w:rsidR="00557C61" w:rsidRPr="0022140F" w:rsidRDefault="00557C61" w:rsidP="00557C61">
      <w:pPr>
        <w:pStyle w:val="Caption"/>
        <w:keepNext/>
        <w:ind w:left="1134" w:hanging="1134"/>
        <w:rPr>
          <w:rFonts w:asciiTheme="minorHAnsi" w:hAnsiTheme="minorHAnsi"/>
        </w:rPr>
      </w:pPr>
      <w:bookmarkStart w:id="30" w:name="_Ref491095510"/>
      <w:r w:rsidRPr="0022140F">
        <w:rPr>
          <w:rFonts w:asciiTheme="minorHAnsi" w:hAnsiTheme="minorHAnsi"/>
        </w:rPr>
        <w:lastRenderedPageBreak/>
        <w:t xml:space="preserve">Figure </w:t>
      </w:r>
      <w:r w:rsidRPr="0022140F">
        <w:rPr>
          <w:rFonts w:asciiTheme="minorHAnsi" w:hAnsiTheme="minorHAnsi"/>
        </w:rPr>
        <w:fldChar w:fldCharType="begin"/>
      </w:r>
      <w:r w:rsidRPr="0022140F">
        <w:rPr>
          <w:rFonts w:asciiTheme="minorHAnsi" w:hAnsiTheme="minorHAnsi"/>
        </w:rPr>
        <w:instrText xml:space="preserve"> SEQ Figure \* ARABIC </w:instrText>
      </w:r>
      <w:r w:rsidRPr="0022140F">
        <w:rPr>
          <w:rFonts w:asciiTheme="minorHAnsi" w:hAnsiTheme="minorHAnsi"/>
        </w:rPr>
        <w:fldChar w:fldCharType="separate"/>
      </w:r>
      <w:r w:rsidR="00D64407">
        <w:rPr>
          <w:rFonts w:asciiTheme="minorHAnsi" w:hAnsiTheme="minorHAnsi"/>
          <w:noProof/>
        </w:rPr>
        <w:t>6</w:t>
      </w:r>
      <w:r w:rsidRPr="0022140F">
        <w:rPr>
          <w:rFonts w:asciiTheme="minorHAnsi" w:hAnsiTheme="minorHAnsi"/>
        </w:rPr>
        <w:fldChar w:fldCharType="end"/>
      </w:r>
      <w:bookmarkEnd w:id="30"/>
      <w:r w:rsidRPr="0022140F">
        <w:rPr>
          <w:rFonts w:asciiTheme="minorHAnsi" w:hAnsiTheme="minorHAnsi"/>
        </w:rPr>
        <w:t xml:space="preserve"> </w:t>
      </w:r>
      <w:r w:rsidRPr="0022140F">
        <w:rPr>
          <w:rFonts w:asciiTheme="minorHAnsi" w:hAnsiTheme="minorHAnsi"/>
        </w:rPr>
        <w:tab/>
        <w:t>RADIANT-4 – Progression free survival results by pre-specified patient subgroup (independent radiological review)</w:t>
      </w:r>
    </w:p>
    <w:p w14:paraId="3989D36A" w14:textId="77777777" w:rsidR="00557C61" w:rsidRPr="0022140F" w:rsidRDefault="00557C61" w:rsidP="00557C61">
      <w:pPr>
        <w:tabs>
          <w:tab w:val="left" w:pos="567"/>
        </w:tabs>
        <w:spacing w:after="120" w:line="320" w:lineRule="atLeast"/>
      </w:pPr>
      <w:r w:rsidRPr="0022140F">
        <w:rPr>
          <w:noProof/>
          <w:lang w:eastAsia="en-AU"/>
        </w:rPr>
        <w:drawing>
          <wp:inline distT="0" distB="0" distL="0" distR="0" wp14:anchorId="590BC0C7" wp14:editId="32EF7DAB">
            <wp:extent cx="5867400" cy="427672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t="1521"/>
                    <a:stretch>
                      <a:fillRect/>
                    </a:stretch>
                  </pic:blipFill>
                  <pic:spPr bwMode="auto">
                    <a:xfrm>
                      <a:off x="0" y="0"/>
                      <a:ext cx="5867400" cy="4276725"/>
                    </a:xfrm>
                    <a:prstGeom prst="rect">
                      <a:avLst/>
                    </a:prstGeom>
                    <a:noFill/>
                    <a:ln>
                      <a:noFill/>
                    </a:ln>
                  </pic:spPr>
                </pic:pic>
              </a:graphicData>
            </a:graphic>
          </wp:inline>
        </w:drawing>
      </w:r>
    </w:p>
    <w:p w14:paraId="77804E10" w14:textId="77777777" w:rsidR="00557C61" w:rsidRPr="004E63E9" w:rsidRDefault="00557C61" w:rsidP="00557C61">
      <w:pPr>
        <w:contextualSpacing/>
        <w:rPr>
          <w:sz w:val="18"/>
        </w:rPr>
      </w:pPr>
      <w:r w:rsidRPr="004E63E9">
        <w:rPr>
          <w:sz w:val="18"/>
        </w:rPr>
        <w:t>Non-ileum: stomach, colon, rectum, appendix, caecum, duodenum, jejunum, carcinoma of unknown primary origin and other gastrointestinal origin</w:t>
      </w:r>
    </w:p>
    <w:p w14:paraId="103FC3BC" w14:textId="77777777" w:rsidR="00557C61" w:rsidRPr="004E63E9" w:rsidRDefault="00557C61" w:rsidP="00557C61">
      <w:pPr>
        <w:contextualSpacing/>
        <w:rPr>
          <w:sz w:val="18"/>
        </w:rPr>
      </w:pPr>
      <w:r w:rsidRPr="004E63E9">
        <w:rPr>
          <w:sz w:val="18"/>
        </w:rPr>
        <w:t>ULN: Upper limit of normal</w:t>
      </w:r>
    </w:p>
    <w:p w14:paraId="7944C9F3" w14:textId="77777777" w:rsidR="00557C61" w:rsidRPr="004E63E9" w:rsidRDefault="00557C61" w:rsidP="00557C61">
      <w:pPr>
        <w:contextualSpacing/>
        <w:rPr>
          <w:sz w:val="18"/>
        </w:rPr>
      </w:pPr>
      <w:proofErr w:type="spellStart"/>
      <w:r w:rsidRPr="004E63E9">
        <w:rPr>
          <w:sz w:val="18"/>
        </w:rPr>
        <w:t>CgA</w:t>
      </w:r>
      <w:proofErr w:type="spellEnd"/>
      <w:r w:rsidRPr="004E63E9">
        <w:rPr>
          <w:sz w:val="18"/>
        </w:rPr>
        <w:t>: Chromogranin A</w:t>
      </w:r>
    </w:p>
    <w:p w14:paraId="5F047A7E" w14:textId="77777777" w:rsidR="00557C61" w:rsidRPr="004E63E9" w:rsidRDefault="00557C61" w:rsidP="00557C61">
      <w:pPr>
        <w:contextualSpacing/>
        <w:rPr>
          <w:sz w:val="18"/>
        </w:rPr>
      </w:pPr>
      <w:r w:rsidRPr="004E63E9">
        <w:rPr>
          <w:sz w:val="18"/>
        </w:rPr>
        <w:t>NSE: Neuron specific enolase</w:t>
      </w:r>
    </w:p>
    <w:p w14:paraId="49DC207E" w14:textId="77777777" w:rsidR="00557C61" w:rsidRPr="004E63E9" w:rsidRDefault="00557C61" w:rsidP="00557C61">
      <w:pPr>
        <w:contextualSpacing/>
        <w:rPr>
          <w:sz w:val="18"/>
        </w:rPr>
      </w:pPr>
      <w:r w:rsidRPr="004E63E9">
        <w:rPr>
          <w:sz w:val="18"/>
        </w:rPr>
        <w:t>Hazard ratio (95% CI) from stratified Cox model</w:t>
      </w:r>
    </w:p>
    <w:p w14:paraId="1CD7711F" w14:textId="77777777" w:rsidR="00557C61" w:rsidRPr="0022140F" w:rsidRDefault="00557C61" w:rsidP="00557C61">
      <w:pPr>
        <w:tabs>
          <w:tab w:val="left" w:pos="567"/>
        </w:tabs>
        <w:spacing w:after="120" w:line="320" w:lineRule="atLeast"/>
        <w:rPr>
          <w:sz w:val="24"/>
          <w:szCs w:val="24"/>
        </w:rPr>
      </w:pPr>
    </w:p>
    <w:p w14:paraId="101B6298" w14:textId="168D13CC" w:rsidR="00557C61" w:rsidRPr="0022140F" w:rsidRDefault="00557C61" w:rsidP="00557C61">
      <w:r w:rsidRPr="0022140F">
        <w:t xml:space="preserve">The overall response rate as per independent assessment was 2% in the </w:t>
      </w:r>
      <w:proofErr w:type="spellStart"/>
      <w:r w:rsidRPr="0022140F">
        <w:t>everolimus</w:t>
      </w:r>
      <w:proofErr w:type="spellEnd"/>
      <w:r w:rsidRPr="0022140F">
        <w:t xml:space="preserve"> arm vs. 1% in the placebo arm. Disease control rate (CR or PR or SD) for </w:t>
      </w:r>
      <w:proofErr w:type="spellStart"/>
      <w:r w:rsidRPr="0022140F">
        <w:t>everolimus</w:t>
      </w:r>
      <w:proofErr w:type="spellEnd"/>
      <w:r w:rsidRPr="0022140F">
        <w:t xml:space="preserve"> was 82.4% vs. 64.9% in the placebo arm.  Tumour reduction was also evident from the corresponding waterfall plot. Results indicate that 63.6% of patients in the </w:t>
      </w:r>
      <w:proofErr w:type="spellStart"/>
      <w:r w:rsidRPr="0022140F">
        <w:t>everolimus</w:t>
      </w:r>
      <w:proofErr w:type="spellEnd"/>
      <w:r w:rsidRPr="0022140F">
        <w:t xml:space="preserve"> arm experienced tumour shrinkage versus 25.9% for placebo (</w:t>
      </w:r>
      <w:r w:rsidRPr="0022140F">
        <w:fldChar w:fldCharType="begin"/>
      </w:r>
      <w:r w:rsidRPr="0022140F">
        <w:instrText xml:space="preserve"> REF _Ref491095527 \h  \* MERGEFORMAT </w:instrText>
      </w:r>
      <w:r w:rsidRPr="0022140F">
        <w:fldChar w:fldCharType="separate"/>
      </w:r>
      <w:r w:rsidR="00D64407" w:rsidRPr="0022140F">
        <w:t xml:space="preserve">Figure </w:t>
      </w:r>
      <w:r w:rsidR="00D64407">
        <w:t>7</w:t>
      </w:r>
      <w:r w:rsidRPr="0022140F">
        <w:fldChar w:fldCharType="end"/>
      </w:r>
      <w:r w:rsidRPr="0022140F">
        <w:t>).</w:t>
      </w:r>
    </w:p>
    <w:p w14:paraId="05A21AC4" w14:textId="77777777" w:rsidR="00557C61" w:rsidRPr="0022140F" w:rsidRDefault="00557C61" w:rsidP="00557C61">
      <w:pPr>
        <w:pStyle w:val="Text"/>
        <w:spacing w:line="276" w:lineRule="auto"/>
        <w:rPr>
          <w:rFonts w:asciiTheme="minorHAnsi" w:hAnsiTheme="minorHAnsi"/>
        </w:rPr>
      </w:pPr>
    </w:p>
    <w:p w14:paraId="36E997DD" w14:textId="77777777" w:rsidR="00557C61" w:rsidRPr="0022140F" w:rsidRDefault="00557C61" w:rsidP="00557C61">
      <w:pPr>
        <w:pStyle w:val="Text"/>
        <w:spacing w:line="276" w:lineRule="auto"/>
        <w:rPr>
          <w:rFonts w:asciiTheme="minorHAnsi" w:hAnsiTheme="minorHAnsi"/>
        </w:rPr>
      </w:pPr>
    </w:p>
    <w:p w14:paraId="3A73B7C7" w14:textId="77777777" w:rsidR="00557C61" w:rsidRPr="0022140F" w:rsidRDefault="00557C61" w:rsidP="00557C61">
      <w:pPr>
        <w:pStyle w:val="Caption"/>
        <w:keepNext/>
        <w:ind w:left="1440" w:hanging="1440"/>
        <w:rPr>
          <w:rFonts w:asciiTheme="minorHAnsi" w:hAnsiTheme="minorHAnsi"/>
        </w:rPr>
      </w:pPr>
      <w:bookmarkStart w:id="31" w:name="_Ref491095527"/>
      <w:r w:rsidRPr="0022140F">
        <w:rPr>
          <w:rFonts w:asciiTheme="minorHAnsi" w:hAnsiTheme="minorHAnsi"/>
        </w:rPr>
        <w:lastRenderedPageBreak/>
        <w:t xml:space="preserve">Figure </w:t>
      </w:r>
      <w:r w:rsidRPr="0022140F">
        <w:rPr>
          <w:rFonts w:asciiTheme="minorHAnsi" w:hAnsiTheme="minorHAnsi"/>
        </w:rPr>
        <w:fldChar w:fldCharType="begin"/>
      </w:r>
      <w:r w:rsidRPr="0022140F">
        <w:rPr>
          <w:rFonts w:asciiTheme="minorHAnsi" w:hAnsiTheme="minorHAnsi"/>
        </w:rPr>
        <w:instrText xml:space="preserve"> SEQ Figure \* ARABIC </w:instrText>
      </w:r>
      <w:r w:rsidRPr="0022140F">
        <w:rPr>
          <w:rFonts w:asciiTheme="minorHAnsi" w:hAnsiTheme="minorHAnsi"/>
        </w:rPr>
        <w:fldChar w:fldCharType="separate"/>
      </w:r>
      <w:r w:rsidR="00D64407">
        <w:rPr>
          <w:rFonts w:asciiTheme="minorHAnsi" w:hAnsiTheme="minorHAnsi"/>
          <w:noProof/>
        </w:rPr>
        <w:t>7</w:t>
      </w:r>
      <w:r w:rsidRPr="0022140F">
        <w:rPr>
          <w:rFonts w:asciiTheme="minorHAnsi" w:hAnsiTheme="minorHAnsi"/>
        </w:rPr>
        <w:fldChar w:fldCharType="end"/>
      </w:r>
      <w:bookmarkEnd w:id="31"/>
      <w:r w:rsidRPr="0022140F">
        <w:rPr>
          <w:rFonts w:asciiTheme="minorHAnsi" w:hAnsiTheme="minorHAnsi"/>
        </w:rPr>
        <w:t xml:space="preserve"> </w:t>
      </w:r>
      <w:r w:rsidRPr="0022140F">
        <w:rPr>
          <w:rFonts w:asciiTheme="minorHAnsi" w:hAnsiTheme="minorHAnsi"/>
        </w:rPr>
        <w:tab/>
        <w:t>Tumour shrinkage: best percentage change from baseline in sum of longest diameters as per independent radiological assessment</w:t>
      </w:r>
    </w:p>
    <w:p w14:paraId="045E1381" w14:textId="77777777" w:rsidR="00557C61" w:rsidRPr="0022140F" w:rsidRDefault="00557C61" w:rsidP="00557C61">
      <w:pPr>
        <w:pStyle w:val="Text"/>
        <w:rPr>
          <w:rFonts w:asciiTheme="minorHAnsi" w:hAnsiTheme="minorHAnsi"/>
          <w:noProof/>
          <w:lang w:val="en-US"/>
        </w:rPr>
      </w:pPr>
      <w:r w:rsidRPr="0022140F">
        <w:rPr>
          <w:rFonts w:asciiTheme="minorHAnsi" w:hAnsiTheme="minorHAnsi"/>
          <w:noProof/>
          <w:lang w:val="en-AU" w:eastAsia="en-AU"/>
        </w:rPr>
        <w:drawing>
          <wp:inline distT="0" distB="0" distL="0" distR="0" wp14:anchorId="28B4C7C3" wp14:editId="3A6057FC">
            <wp:extent cx="5772150" cy="2619375"/>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2150" cy="2619375"/>
                    </a:xfrm>
                    <a:prstGeom prst="rect">
                      <a:avLst/>
                    </a:prstGeom>
                    <a:noFill/>
                    <a:ln>
                      <a:noFill/>
                    </a:ln>
                  </pic:spPr>
                </pic:pic>
              </a:graphicData>
            </a:graphic>
          </wp:inline>
        </w:drawing>
      </w:r>
    </w:p>
    <w:p w14:paraId="281EF6E9" w14:textId="77777777" w:rsidR="00557C61" w:rsidRPr="0022140F" w:rsidRDefault="00557C61" w:rsidP="00557C61">
      <w:pPr>
        <w:pStyle w:val="Text"/>
        <w:rPr>
          <w:rFonts w:asciiTheme="minorHAnsi" w:hAnsiTheme="minorHAnsi"/>
          <w:noProof/>
          <w:lang w:val="en-US"/>
        </w:rPr>
      </w:pPr>
    </w:p>
    <w:p w14:paraId="46F30137" w14:textId="6DED1349" w:rsidR="00557C61" w:rsidRPr="0022140F" w:rsidRDefault="00557C61" w:rsidP="00557C61">
      <w:bookmarkStart w:id="32" w:name="_Toc424810353"/>
      <w:bookmarkStart w:id="33" w:name="_Toc427564287"/>
      <w:r w:rsidRPr="0022140F">
        <w:t xml:space="preserve">The pre-planned OS interim analysis after 101 deaths (out of 191 required for final analysis) and 33 months follow-up favoured the </w:t>
      </w:r>
      <w:proofErr w:type="spellStart"/>
      <w:r w:rsidRPr="0022140F">
        <w:t>everolimus</w:t>
      </w:r>
      <w:proofErr w:type="spellEnd"/>
      <w:r w:rsidRPr="0022140F">
        <w:t xml:space="preserve"> arm; however, no statistically significant difference in OS was noted (HR= 0.73 [95% CI: 0.48 to 1.11; p=0.071]) (</w:t>
      </w:r>
      <w:r w:rsidRPr="0022140F">
        <w:fldChar w:fldCharType="begin"/>
      </w:r>
      <w:r w:rsidRPr="0022140F">
        <w:instrText xml:space="preserve"> REF _Ref491095540 \h  \* MERGEFORMAT </w:instrText>
      </w:r>
      <w:r w:rsidRPr="0022140F">
        <w:fldChar w:fldCharType="separate"/>
      </w:r>
      <w:r w:rsidR="00D64407" w:rsidRPr="0022140F">
        <w:t xml:space="preserve">Figure </w:t>
      </w:r>
      <w:r w:rsidR="00D64407">
        <w:t>8</w:t>
      </w:r>
      <w:r w:rsidRPr="0022140F">
        <w:fldChar w:fldCharType="end"/>
      </w:r>
      <w:r w:rsidRPr="0022140F">
        <w:t>).</w:t>
      </w:r>
    </w:p>
    <w:p w14:paraId="73827A23" w14:textId="77777777" w:rsidR="00557C61" w:rsidRPr="0022140F" w:rsidRDefault="00557C61" w:rsidP="00557C61">
      <w:pPr>
        <w:rPr>
          <w:sz w:val="24"/>
          <w:szCs w:val="24"/>
        </w:rPr>
      </w:pPr>
    </w:p>
    <w:p w14:paraId="6F9484C7" w14:textId="77777777" w:rsidR="00557C61" w:rsidRPr="0022140F" w:rsidRDefault="00557C61" w:rsidP="00557C61">
      <w:pPr>
        <w:pStyle w:val="Caption"/>
        <w:keepNext/>
        <w:rPr>
          <w:rFonts w:asciiTheme="minorHAnsi" w:hAnsiTheme="minorHAnsi"/>
        </w:rPr>
      </w:pPr>
      <w:bookmarkStart w:id="34" w:name="_Ref491095540"/>
      <w:r w:rsidRPr="0022140F">
        <w:rPr>
          <w:rFonts w:asciiTheme="minorHAnsi" w:hAnsiTheme="minorHAnsi"/>
        </w:rPr>
        <w:t xml:space="preserve">Figure </w:t>
      </w:r>
      <w:r w:rsidRPr="0022140F">
        <w:rPr>
          <w:rFonts w:asciiTheme="minorHAnsi" w:hAnsiTheme="minorHAnsi"/>
        </w:rPr>
        <w:fldChar w:fldCharType="begin"/>
      </w:r>
      <w:r w:rsidRPr="0022140F">
        <w:rPr>
          <w:rFonts w:asciiTheme="minorHAnsi" w:hAnsiTheme="minorHAnsi"/>
        </w:rPr>
        <w:instrText xml:space="preserve"> SEQ Figure \* ARABIC </w:instrText>
      </w:r>
      <w:r w:rsidRPr="0022140F">
        <w:rPr>
          <w:rFonts w:asciiTheme="minorHAnsi" w:hAnsiTheme="minorHAnsi"/>
        </w:rPr>
        <w:fldChar w:fldCharType="separate"/>
      </w:r>
      <w:r w:rsidR="00D64407">
        <w:rPr>
          <w:rFonts w:asciiTheme="minorHAnsi" w:hAnsiTheme="minorHAnsi"/>
          <w:noProof/>
        </w:rPr>
        <w:t>8</w:t>
      </w:r>
      <w:r w:rsidRPr="0022140F">
        <w:rPr>
          <w:rFonts w:asciiTheme="minorHAnsi" w:hAnsiTheme="minorHAnsi"/>
        </w:rPr>
        <w:fldChar w:fldCharType="end"/>
      </w:r>
      <w:bookmarkEnd w:id="34"/>
      <w:r w:rsidRPr="0022140F">
        <w:rPr>
          <w:rFonts w:asciiTheme="minorHAnsi" w:hAnsiTheme="minorHAnsi"/>
        </w:rPr>
        <w:t xml:space="preserve"> </w:t>
      </w:r>
      <w:r w:rsidRPr="0022140F">
        <w:rPr>
          <w:rFonts w:asciiTheme="minorHAnsi" w:hAnsiTheme="minorHAnsi"/>
        </w:rPr>
        <w:tab/>
        <w:t>RADIANT-4 - Kaplan-Meier plot of overall survival (Full Analysis Set)</w:t>
      </w:r>
    </w:p>
    <w:p w14:paraId="2FB6AE12" w14:textId="77777777" w:rsidR="00557C61" w:rsidRPr="0022140F" w:rsidRDefault="00557C61" w:rsidP="00557C61">
      <w:pPr>
        <w:pStyle w:val="Text"/>
        <w:rPr>
          <w:rFonts w:asciiTheme="minorHAnsi" w:hAnsiTheme="minorHAnsi"/>
        </w:rPr>
      </w:pPr>
      <w:r w:rsidRPr="0022140F">
        <w:rPr>
          <w:rFonts w:asciiTheme="minorHAnsi" w:hAnsiTheme="minorHAnsi"/>
          <w:noProof/>
          <w:lang w:val="en-AU" w:eastAsia="en-AU"/>
        </w:rPr>
        <w:drawing>
          <wp:inline distT="0" distB="0" distL="0" distR="0" wp14:anchorId="1D1C37B7" wp14:editId="5E9220CD">
            <wp:extent cx="5762625" cy="3143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143250"/>
                    </a:xfrm>
                    <a:prstGeom prst="rect">
                      <a:avLst/>
                    </a:prstGeom>
                    <a:noFill/>
                    <a:ln>
                      <a:noFill/>
                    </a:ln>
                  </pic:spPr>
                </pic:pic>
              </a:graphicData>
            </a:graphic>
          </wp:inline>
        </w:drawing>
      </w:r>
    </w:p>
    <w:p w14:paraId="0E40B20C" w14:textId="77777777" w:rsidR="00557C61" w:rsidRPr="0022140F" w:rsidRDefault="00557C61" w:rsidP="00557C61">
      <w:pPr>
        <w:pStyle w:val="Text"/>
        <w:rPr>
          <w:rFonts w:asciiTheme="minorHAnsi" w:hAnsiTheme="minorHAnsi"/>
          <w:strike/>
          <w:szCs w:val="24"/>
          <w:lang w:val="en-AU"/>
        </w:rPr>
      </w:pPr>
    </w:p>
    <w:bookmarkEnd w:id="32"/>
    <w:bookmarkEnd w:id="33"/>
    <w:p w14:paraId="62FB311A" w14:textId="77777777" w:rsidR="00557C61" w:rsidRPr="0022140F" w:rsidRDefault="00557C61" w:rsidP="00557C61">
      <w:pPr>
        <w:rPr>
          <w:lang w:val="en-GB"/>
        </w:rPr>
      </w:pPr>
      <w:r w:rsidRPr="0022140F">
        <w:t>Clinically or statistically significant differences were not observed between the two treatment arms in terms of time to deterioration of WHO PS (≥1 point) and time to deterioration of FACT-G total score (≥7 points).</w:t>
      </w:r>
    </w:p>
    <w:p w14:paraId="59979BDE" w14:textId="77777777" w:rsidR="00557C61" w:rsidRPr="0022140F" w:rsidRDefault="00557C61" w:rsidP="00557C61">
      <w:pPr>
        <w:pStyle w:val="Heading3"/>
        <w:tabs>
          <w:tab w:val="left" w:pos="567"/>
        </w:tabs>
        <w:spacing w:before="0" w:after="240" w:line="320" w:lineRule="atLeast"/>
        <w:ind w:left="0"/>
        <w:rPr>
          <w:rFonts w:asciiTheme="minorHAnsi" w:hAnsiTheme="minorHAnsi"/>
          <w:u w:val="single"/>
          <w:lang w:val="en-GB"/>
        </w:rPr>
      </w:pPr>
      <w:r w:rsidRPr="0022140F">
        <w:rPr>
          <w:rFonts w:asciiTheme="minorHAnsi" w:hAnsiTheme="minorHAnsi"/>
          <w:u w:val="single"/>
          <w:lang w:val="en-GB"/>
        </w:rPr>
        <w:lastRenderedPageBreak/>
        <w:t>Advanced renal cell carcinoma</w:t>
      </w:r>
    </w:p>
    <w:p w14:paraId="2843834B" w14:textId="77777777" w:rsidR="00557C61" w:rsidRPr="0022140F" w:rsidRDefault="00557C61" w:rsidP="00557C61">
      <w:pPr>
        <w:rPr>
          <w:lang w:val="en-GB"/>
        </w:rPr>
      </w:pPr>
      <w:r w:rsidRPr="0022140F">
        <w:rPr>
          <w:lang w:val="en-GB"/>
        </w:rPr>
        <w:t xml:space="preserve">RECORD-1 (CRAD001C2240), a phase III, international, multicentre, randomised, double-blind study comparing </w:t>
      </w:r>
      <w:proofErr w:type="spellStart"/>
      <w:r w:rsidRPr="0022140F">
        <w:rPr>
          <w:lang w:val="en-GB"/>
        </w:rPr>
        <w:t>Afinitor</w:t>
      </w:r>
      <w:proofErr w:type="spellEnd"/>
      <w:r w:rsidRPr="0022140F">
        <w:rPr>
          <w:lang w:val="en-GB"/>
        </w:rPr>
        <w:t xml:space="preserve"> 10 mg/day and placebo, both in conjunction with best supportive care, was conducted in patients with metastatic renal cell carcinoma whose disease had progressed despite prior treatment with VEGFR-TKI (vascular endothelial growth factor receptor tyrosine kinase inhibitor) therapy (</w:t>
      </w:r>
      <w:proofErr w:type="spellStart"/>
      <w:r w:rsidRPr="0022140F">
        <w:rPr>
          <w:lang w:val="en-GB"/>
        </w:rPr>
        <w:t>sunitinib</w:t>
      </w:r>
      <w:proofErr w:type="spellEnd"/>
      <w:r w:rsidRPr="0022140F">
        <w:rPr>
          <w:lang w:val="en-GB"/>
        </w:rPr>
        <w:t xml:space="preserve">, </w:t>
      </w:r>
      <w:proofErr w:type="spellStart"/>
      <w:r w:rsidRPr="0022140F">
        <w:rPr>
          <w:lang w:val="en-GB"/>
        </w:rPr>
        <w:t>sorafenib</w:t>
      </w:r>
      <w:proofErr w:type="spellEnd"/>
      <w:r w:rsidRPr="0022140F">
        <w:rPr>
          <w:lang w:val="en-GB"/>
        </w:rPr>
        <w:t xml:space="preserve">, or both </w:t>
      </w:r>
      <w:proofErr w:type="spellStart"/>
      <w:r w:rsidRPr="0022140F">
        <w:rPr>
          <w:lang w:val="en-GB"/>
        </w:rPr>
        <w:t>sunitinib</w:t>
      </w:r>
      <w:proofErr w:type="spellEnd"/>
      <w:r w:rsidRPr="0022140F">
        <w:rPr>
          <w:lang w:val="en-GB"/>
        </w:rPr>
        <w:t xml:space="preserve"> and </w:t>
      </w:r>
      <w:proofErr w:type="spellStart"/>
      <w:r w:rsidRPr="0022140F">
        <w:rPr>
          <w:lang w:val="en-GB"/>
        </w:rPr>
        <w:t>sorafenib</w:t>
      </w:r>
      <w:proofErr w:type="spellEnd"/>
      <w:r w:rsidRPr="0022140F">
        <w:rPr>
          <w:lang w:val="en-GB"/>
        </w:rPr>
        <w:t xml:space="preserve">). Prior therapy with bevacizumab, cytokines and chemotherapy was also permitted. Patients were stratified according to Memorial Sloan-Kettering Cancer </w:t>
      </w:r>
      <w:proofErr w:type="spellStart"/>
      <w:r w:rsidRPr="0022140F">
        <w:rPr>
          <w:lang w:val="en-GB"/>
        </w:rPr>
        <w:t>Center</w:t>
      </w:r>
      <w:proofErr w:type="spellEnd"/>
      <w:r w:rsidRPr="0022140F">
        <w:rPr>
          <w:lang w:val="en-GB"/>
        </w:rPr>
        <w:t xml:space="preserve"> (MSKCC) prognostic score (favourable- vs intermediate- vs. poor-risk groups) and prior anticancer therapy (1 vs. 2 prior VEGFR-TKIs).</w:t>
      </w:r>
    </w:p>
    <w:p w14:paraId="4110A073" w14:textId="77777777" w:rsidR="00557C61" w:rsidRPr="0022140F" w:rsidRDefault="00557C61" w:rsidP="00557C61">
      <w:pPr>
        <w:rPr>
          <w:lang w:val="en-GB"/>
        </w:rPr>
      </w:pPr>
      <w:r w:rsidRPr="0022140F">
        <w:rPr>
          <w:lang w:val="en-GB"/>
        </w:rPr>
        <w:t xml:space="preserve">Progression-free survival, documented using RECIST (Response Evaluation Criteria in Solid Tumours) and assessed via a blinded, independent central review, was the primary endpoint. Secondary endpoints included safety, objective tumour response rate, overall survival, disease-related symptoms, and quality of life. After documented radiological progression, patients could be </w:t>
      </w:r>
      <w:proofErr w:type="spellStart"/>
      <w:r w:rsidRPr="0022140F">
        <w:rPr>
          <w:lang w:val="en-GB"/>
        </w:rPr>
        <w:t>unblinded</w:t>
      </w:r>
      <w:proofErr w:type="spellEnd"/>
      <w:r w:rsidRPr="0022140F">
        <w:rPr>
          <w:lang w:val="en-GB"/>
        </w:rPr>
        <w:t xml:space="preserve"> by the investigator: those randomised to placebo were then able to receive open-label </w:t>
      </w:r>
      <w:proofErr w:type="spellStart"/>
      <w:r w:rsidRPr="0022140F">
        <w:rPr>
          <w:lang w:val="en-GB"/>
        </w:rPr>
        <w:t>Afinitor</w:t>
      </w:r>
      <w:proofErr w:type="spellEnd"/>
      <w:r w:rsidRPr="0022140F">
        <w:rPr>
          <w:lang w:val="en-GB"/>
        </w:rPr>
        <w:t xml:space="preserve"> 10 mg/day. The Independent Data Monitoring Committee recommended termination of this trial at the time of the second interim analysis as the primary endpoint had been met.</w:t>
      </w:r>
    </w:p>
    <w:p w14:paraId="35E82B34" w14:textId="77777777" w:rsidR="00557C61" w:rsidRPr="0022140F" w:rsidRDefault="00557C61" w:rsidP="00557C61">
      <w:pPr>
        <w:rPr>
          <w:lang w:val="en-GB"/>
        </w:rPr>
      </w:pPr>
      <w:r w:rsidRPr="0022140F">
        <w:rPr>
          <w:lang w:val="en-GB"/>
        </w:rPr>
        <w:t xml:space="preserve">In total, 416 patients were randomised 2:1 to receive </w:t>
      </w:r>
      <w:proofErr w:type="spellStart"/>
      <w:r w:rsidRPr="0022140F">
        <w:rPr>
          <w:lang w:val="en-GB"/>
        </w:rPr>
        <w:t>Afinitor</w:t>
      </w:r>
      <w:proofErr w:type="spellEnd"/>
      <w:r w:rsidRPr="0022140F">
        <w:rPr>
          <w:lang w:val="en-GB"/>
        </w:rPr>
        <w:t xml:space="preserve"> (n=277) or placebo (n=139). Demographics were well balanced (pooled median age 61 years [range 27 to 85], 77% male, 88% Caucasian, 74% one prior VEGFR-TKI therapy.</w:t>
      </w:r>
    </w:p>
    <w:p w14:paraId="26CE320C" w14:textId="7F33592A" w:rsidR="00557C61" w:rsidRPr="0022140F" w:rsidRDefault="00557C61" w:rsidP="00557C61">
      <w:pPr>
        <w:rPr>
          <w:lang w:val="en-GB"/>
        </w:rPr>
      </w:pPr>
      <w:r w:rsidRPr="0022140F">
        <w:rPr>
          <w:lang w:val="en-GB"/>
        </w:rPr>
        <w:t xml:space="preserve">Results from a planned interim analysis showed that </w:t>
      </w:r>
      <w:proofErr w:type="spellStart"/>
      <w:r w:rsidRPr="0022140F">
        <w:rPr>
          <w:lang w:val="en-GB"/>
        </w:rPr>
        <w:t>Afinitor</w:t>
      </w:r>
      <w:proofErr w:type="spellEnd"/>
      <w:r w:rsidRPr="0022140F">
        <w:rPr>
          <w:lang w:val="en-GB"/>
        </w:rPr>
        <w:t xml:space="preserve"> was superior to placebo for the primary endpoint of progression-free survival, with a statistically significant 67% reduction in the risk of progression or death (see </w:t>
      </w:r>
      <w:r w:rsidRPr="0022140F">
        <w:rPr>
          <w:lang w:val="en-GB"/>
        </w:rPr>
        <w:fldChar w:fldCharType="begin"/>
      </w:r>
      <w:r w:rsidRPr="0022140F">
        <w:rPr>
          <w:lang w:val="en-GB"/>
        </w:rPr>
        <w:instrText xml:space="preserve"> REF _Ref491095567 \h  \* MERGEFORMAT </w:instrText>
      </w:r>
      <w:r w:rsidRPr="0022140F">
        <w:rPr>
          <w:lang w:val="en-GB"/>
        </w:rPr>
      </w:r>
      <w:r w:rsidRPr="0022140F">
        <w:rPr>
          <w:lang w:val="en-GB"/>
        </w:rPr>
        <w:fldChar w:fldCharType="separate"/>
      </w:r>
      <w:r w:rsidR="00D64407" w:rsidRPr="00D64407">
        <w:rPr>
          <w:lang w:val="en-GB"/>
        </w:rPr>
        <w:t>Table 10</w:t>
      </w:r>
      <w:r w:rsidRPr="0022140F">
        <w:rPr>
          <w:lang w:val="en-GB"/>
        </w:rPr>
        <w:fldChar w:fldCharType="end"/>
      </w:r>
      <w:r w:rsidRPr="0022140F">
        <w:rPr>
          <w:lang w:val="en-GB"/>
        </w:rPr>
        <w:t xml:space="preserve"> and </w:t>
      </w:r>
      <w:r w:rsidRPr="0022140F">
        <w:rPr>
          <w:lang w:val="en-GB"/>
        </w:rPr>
        <w:fldChar w:fldCharType="begin"/>
      </w:r>
      <w:r w:rsidRPr="0022140F">
        <w:rPr>
          <w:lang w:val="en-GB"/>
        </w:rPr>
        <w:instrText xml:space="preserve"> REF _Ref491095559 \h  \* MERGEFORMAT </w:instrText>
      </w:r>
      <w:r w:rsidRPr="0022140F">
        <w:rPr>
          <w:lang w:val="en-GB"/>
        </w:rPr>
      </w:r>
      <w:r w:rsidRPr="0022140F">
        <w:rPr>
          <w:lang w:val="en-GB"/>
        </w:rPr>
        <w:fldChar w:fldCharType="separate"/>
      </w:r>
      <w:r w:rsidR="00D64407" w:rsidRPr="00D64407">
        <w:rPr>
          <w:lang w:val="en-GB"/>
        </w:rPr>
        <w:t>Figure 9</w:t>
      </w:r>
      <w:r w:rsidRPr="0022140F">
        <w:rPr>
          <w:lang w:val="en-GB"/>
        </w:rPr>
        <w:fldChar w:fldCharType="end"/>
      </w:r>
      <w:r w:rsidRPr="0022140F">
        <w:rPr>
          <w:lang w:val="en-GB"/>
        </w:rPr>
        <w:t>).</w:t>
      </w:r>
    </w:p>
    <w:p w14:paraId="4F62CD20" w14:textId="77777777" w:rsidR="00557C61" w:rsidRPr="0022140F" w:rsidRDefault="00557C61" w:rsidP="00557C61">
      <w:pPr>
        <w:pStyle w:val="Caption"/>
        <w:keepNext/>
        <w:rPr>
          <w:rFonts w:asciiTheme="minorHAnsi" w:hAnsiTheme="minorHAnsi"/>
        </w:rPr>
      </w:pPr>
      <w:bookmarkStart w:id="35" w:name="_Ref491095567"/>
      <w:r w:rsidRPr="0022140F">
        <w:rPr>
          <w:rFonts w:asciiTheme="minorHAnsi" w:hAnsiTheme="minorHAnsi"/>
        </w:rPr>
        <w:t xml:space="preserve">Table </w:t>
      </w:r>
      <w:r w:rsidRPr="0022140F">
        <w:rPr>
          <w:rFonts w:asciiTheme="minorHAnsi" w:hAnsiTheme="minorHAnsi"/>
        </w:rPr>
        <w:fldChar w:fldCharType="begin"/>
      </w:r>
      <w:r w:rsidRPr="0022140F">
        <w:rPr>
          <w:rFonts w:asciiTheme="minorHAnsi" w:hAnsiTheme="minorHAnsi"/>
        </w:rPr>
        <w:instrText xml:space="preserve"> SEQ Table \* ARABIC </w:instrText>
      </w:r>
      <w:r w:rsidRPr="0022140F">
        <w:rPr>
          <w:rFonts w:asciiTheme="minorHAnsi" w:hAnsiTheme="minorHAnsi"/>
        </w:rPr>
        <w:fldChar w:fldCharType="separate"/>
      </w:r>
      <w:r w:rsidR="00D64407">
        <w:rPr>
          <w:rFonts w:asciiTheme="minorHAnsi" w:hAnsiTheme="minorHAnsi"/>
          <w:noProof/>
        </w:rPr>
        <w:t>10</w:t>
      </w:r>
      <w:r w:rsidRPr="0022140F">
        <w:rPr>
          <w:rFonts w:asciiTheme="minorHAnsi" w:hAnsiTheme="minorHAnsi"/>
        </w:rPr>
        <w:fldChar w:fldCharType="end"/>
      </w:r>
      <w:bookmarkEnd w:id="35"/>
      <w:r w:rsidRPr="0022140F">
        <w:rPr>
          <w:rFonts w:asciiTheme="minorHAnsi" w:hAnsiTheme="minorHAnsi"/>
        </w:rPr>
        <w:t xml:space="preserve"> </w:t>
      </w:r>
      <w:r w:rsidRPr="0022140F">
        <w:rPr>
          <w:rFonts w:asciiTheme="minorHAnsi" w:hAnsiTheme="minorHAnsi"/>
        </w:rPr>
        <w:tab/>
      </w:r>
      <w:r w:rsidRPr="0022140F">
        <w:rPr>
          <w:rFonts w:asciiTheme="minorHAnsi" w:hAnsiTheme="minorHAnsi"/>
        </w:rPr>
        <w:tab/>
        <w:t>RECORD-1 - Progression Free Survival results</w:t>
      </w:r>
    </w:p>
    <w:tbl>
      <w:tblPr>
        <w:tblW w:w="9191" w:type="dxa"/>
        <w:tblInd w:w="108" w:type="dxa"/>
        <w:tblBorders>
          <w:top w:val="single" w:sz="4" w:space="0" w:color="auto"/>
          <w:bottom w:val="single" w:sz="4" w:space="0" w:color="auto"/>
        </w:tblBorders>
        <w:tblLayout w:type="fixed"/>
        <w:tblLook w:val="0000" w:firstRow="0" w:lastRow="0" w:firstColumn="0" w:lastColumn="0" w:noHBand="0" w:noVBand="0"/>
      </w:tblPr>
      <w:tblGrid>
        <w:gridCol w:w="2400"/>
        <w:gridCol w:w="720"/>
        <w:gridCol w:w="1640"/>
        <w:gridCol w:w="1640"/>
        <w:gridCol w:w="1760"/>
        <w:gridCol w:w="1031"/>
      </w:tblGrid>
      <w:tr w:rsidR="00557C61" w:rsidRPr="004E63E9" w14:paraId="52398616" w14:textId="77777777" w:rsidTr="005362D8">
        <w:trPr>
          <w:tblHeader/>
        </w:trPr>
        <w:tc>
          <w:tcPr>
            <w:tcW w:w="2400" w:type="dxa"/>
            <w:tcBorders>
              <w:top w:val="single" w:sz="4" w:space="0" w:color="auto"/>
              <w:bottom w:val="nil"/>
            </w:tcBorders>
            <w:shd w:val="clear" w:color="auto" w:fill="auto"/>
          </w:tcPr>
          <w:p w14:paraId="1C642B81" w14:textId="77777777" w:rsidR="00557C61" w:rsidRPr="004E63E9" w:rsidRDefault="00557C61" w:rsidP="005362D8">
            <w:pPr>
              <w:spacing w:before="20" w:after="20"/>
              <w:rPr>
                <w:b/>
                <w:sz w:val="20"/>
                <w:szCs w:val="24"/>
              </w:rPr>
            </w:pPr>
            <w:r w:rsidRPr="004E63E9">
              <w:rPr>
                <w:b/>
                <w:sz w:val="20"/>
                <w:szCs w:val="24"/>
              </w:rPr>
              <w:t>Population</w:t>
            </w:r>
          </w:p>
        </w:tc>
        <w:tc>
          <w:tcPr>
            <w:tcW w:w="720" w:type="dxa"/>
            <w:tcBorders>
              <w:top w:val="single" w:sz="4" w:space="0" w:color="auto"/>
              <w:bottom w:val="nil"/>
            </w:tcBorders>
            <w:shd w:val="clear" w:color="auto" w:fill="auto"/>
          </w:tcPr>
          <w:p w14:paraId="49E5B666" w14:textId="77777777" w:rsidR="00557C61" w:rsidRPr="004E63E9" w:rsidRDefault="00557C61" w:rsidP="005362D8">
            <w:pPr>
              <w:spacing w:before="20" w:after="20"/>
              <w:jc w:val="center"/>
              <w:rPr>
                <w:b/>
                <w:sz w:val="20"/>
                <w:szCs w:val="24"/>
              </w:rPr>
            </w:pPr>
            <w:r w:rsidRPr="004E63E9">
              <w:rPr>
                <w:b/>
                <w:sz w:val="20"/>
                <w:szCs w:val="24"/>
              </w:rPr>
              <w:t>N</w:t>
            </w:r>
          </w:p>
        </w:tc>
        <w:tc>
          <w:tcPr>
            <w:tcW w:w="1640" w:type="dxa"/>
            <w:tcBorders>
              <w:top w:val="single" w:sz="4" w:space="0" w:color="auto"/>
              <w:bottom w:val="nil"/>
            </w:tcBorders>
            <w:shd w:val="clear" w:color="auto" w:fill="auto"/>
          </w:tcPr>
          <w:p w14:paraId="0C934C49" w14:textId="77777777" w:rsidR="00557C61" w:rsidRPr="004E63E9" w:rsidRDefault="00557C61" w:rsidP="005362D8">
            <w:pPr>
              <w:spacing w:before="20" w:after="20"/>
              <w:jc w:val="center"/>
              <w:rPr>
                <w:b/>
                <w:sz w:val="20"/>
                <w:szCs w:val="24"/>
              </w:rPr>
            </w:pPr>
            <w:proofErr w:type="spellStart"/>
            <w:r w:rsidRPr="004E63E9">
              <w:rPr>
                <w:b/>
                <w:sz w:val="20"/>
                <w:szCs w:val="24"/>
              </w:rPr>
              <w:t>Afinitor</w:t>
            </w:r>
            <w:proofErr w:type="spellEnd"/>
          </w:p>
          <w:p w14:paraId="09E24F36" w14:textId="77777777" w:rsidR="00557C61" w:rsidRPr="004E63E9" w:rsidRDefault="00557C61" w:rsidP="005362D8">
            <w:pPr>
              <w:spacing w:before="20" w:after="20"/>
              <w:jc w:val="center"/>
              <w:rPr>
                <w:b/>
                <w:sz w:val="20"/>
                <w:szCs w:val="24"/>
              </w:rPr>
            </w:pPr>
            <w:r w:rsidRPr="004E63E9">
              <w:rPr>
                <w:b/>
                <w:sz w:val="20"/>
                <w:szCs w:val="24"/>
              </w:rPr>
              <w:t>N=277</w:t>
            </w:r>
          </w:p>
        </w:tc>
        <w:tc>
          <w:tcPr>
            <w:tcW w:w="1640" w:type="dxa"/>
            <w:tcBorders>
              <w:top w:val="single" w:sz="4" w:space="0" w:color="auto"/>
              <w:bottom w:val="nil"/>
            </w:tcBorders>
            <w:shd w:val="clear" w:color="auto" w:fill="auto"/>
          </w:tcPr>
          <w:p w14:paraId="4A05710E" w14:textId="77777777" w:rsidR="00557C61" w:rsidRPr="004E63E9" w:rsidRDefault="00557C61" w:rsidP="005362D8">
            <w:pPr>
              <w:spacing w:before="20" w:after="20"/>
              <w:jc w:val="center"/>
              <w:rPr>
                <w:b/>
                <w:sz w:val="20"/>
                <w:szCs w:val="24"/>
              </w:rPr>
            </w:pPr>
            <w:r w:rsidRPr="004E63E9">
              <w:rPr>
                <w:b/>
                <w:sz w:val="20"/>
                <w:szCs w:val="24"/>
              </w:rPr>
              <w:t>Placebo</w:t>
            </w:r>
          </w:p>
          <w:p w14:paraId="4DCF06E5" w14:textId="77777777" w:rsidR="00557C61" w:rsidRPr="004E63E9" w:rsidRDefault="00557C61" w:rsidP="005362D8">
            <w:pPr>
              <w:spacing w:before="20" w:after="20"/>
              <w:jc w:val="center"/>
              <w:rPr>
                <w:b/>
                <w:sz w:val="20"/>
                <w:szCs w:val="24"/>
              </w:rPr>
            </w:pPr>
            <w:r w:rsidRPr="004E63E9">
              <w:rPr>
                <w:b/>
                <w:sz w:val="20"/>
                <w:szCs w:val="24"/>
              </w:rPr>
              <w:t>N=139</w:t>
            </w:r>
          </w:p>
        </w:tc>
        <w:tc>
          <w:tcPr>
            <w:tcW w:w="1760" w:type="dxa"/>
            <w:tcBorders>
              <w:top w:val="single" w:sz="4" w:space="0" w:color="auto"/>
              <w:bottom w:val="nil"/>
            </w:tcBorders>
            <w:shd w:val="clear" w:color="auto" w:fill="auto"/>
          </w:tcPr>
          <w:p w14:paraId="1A484CBF" w14:textId="77777777" w:rsidR="00557C61" w:rsidRPr="004E63E9" w:rsidRDefault="00557C61" w:rsidP="005362D8">
            <w:pPr>
              <w:spacing w:before="20" w:after="20"/>
              <w:jc w:val="center"/>
              <w:rPr>
                <w:b/>
                <w:sz w:val="20"/>
                <w:szCs w:val="24"/>
              </w:rPr>
            </w:pPr>
            <w:r w:rsidRPr="004E63E9">
              <w:rPr>
                <w:b/>
                <w:sz w:val="20"/>
                <w:szCs w:val="24"/>
              </w:rPr>
              <w:t>Hazard Ratio (95%CI)</w:t>
            </w:r>
          </w:p>
        </w:tc>
        <w:tc>
          <w:tcPr>
            <w:tcW w:w="1031" w:type="dxa"/>
            <w:tcBorders>
              <w:top w:val="single" w:sz="4" w:space="0" w:color="auto"/>
              <w:bottom w:val="nil"/>
            </w:tcBorders>
            <w:shd w:val="clear" w:color="auto" w:fill="auto"/>
          </w:tcPr>
          <w:p w14:paraId="62B4EEC9" w14:textId="77777777" w:rsidR="00557C61" w:rsidRPr="004E63E9" w:rsidRDefault="00557C61" w:rsidP="005362D8">
            <w:pPr>
              <w:spacing w:before="20" w:after="20"/>
              <w:jc w:val="center"/>
              <w:rPr>
                <w:b/>
                <w:sz w:val="20"/>
                <w:szCs w:val="24"/>
              </w:rPr>
            </w:pPr>
            <w:r w:rsidRPr="004E63E9">
              <w:rPr>
                <w:b/>
                <w:sz w:val="20"/>
                <w:szCs w:val="24"/>
              </w:rPr>
              <w:t>p-value</w:t>
            </w:r>
            <w:r w:rsidRPr="004E63E9">
              <w:rPr>
                <w:b/>
                <w:sz w:val="20"/>
                <w:szCs w:val="24"/>
                <w:vertAlign w:val="superscript"/>
              </w:rPr>
              <w:t xml:space="preserve"> </w:t>
            </w:r>
          </w:p>
        </w:tc>
      </w:tr>
      <w:tr w:rsidR="00557C61" w:rsidRPr="004E63E9" w14:paraId="50F12B7B" w14:textId="77777777" w:rsidTr="005362D8">
        <w:tc>
          <w:tcPr>
            <w:tcW w:w="2400" w:type="dxa"/>
            <w:tcBorders>
              <w:top w:val="nil"/>
              <w:bottom w:val="single" w:sz="4" w:space="0" w:color="auto"/>
            </w:tcBorders>
            <w:shd w:val="clear" w:color="auto" w:fill="auto"/>
          </w:tcPr>
          <w:p w14:paraId="03D9D782" w14:textId="77777777" w:rsidR="00557C61" w:rsidRPr="004E63E9" w:rsidRDefault="00557C61" w:rsidP="005362D8">
            <w:pPr>
              <w:spacing w:before="20" w:after="20"/>
              <w:rPr>
                <w:b/>
                <w:sz w:val="20"/>
                <w:szCs w:val="24"/>
              </w:rPr>
            </w:pPr>
          </w:p>
        </w:tc>
        <w:tc>
          <w:tcPr>
            <w:tcW w:w="720" w:type="dxa"/>
            <w:tcBorders>
              <w:top w:val="nil"/>
              <w:bottom w:val="single" w:sz="4" w:space="0" w:color="auto"/>
            </w:tcBorders>
            <w:shd w:val="clear" w:color="auto" w:fill="auto"/>
          </w:tcPr>
          <w:p w14:paraId="572D3DB6" w14:textId="77777777" w:rsidR="00557C61" w:rsidRPr="004E63E9" w:rsidRDefault="00557C61" w:rsidP="005362D8">
            <w:pPr>
              <w:spacing w:before="20" w:after="20"/>
              <w:rPr>
                <w:b/>
                <w:sz w:val="20"/>
                <w:szCs w:val="24"/>
              </w:rPr>
            </w:pPr>
          </w:p>
        </w:tc>
        <w:tc>
          <w:tcPr>
            <w:tcW w:w="3280" w:type="dxa"/>
            <w:gridSpan w:val="2"/>
            <w:tcBorders>
              <w:top w:val="nil"/>
              <w:bottom w:val="single" w:sz="4" w:space="0" w:color="auto"/>
            </w:tcBorders>
            <w:shd w:val="clear" w:color="auto" w:fill="auto"/>
          </w:tcPr>
          <w:p w14:paraId="7DA564C0" w14:textId="77777777" w:rsidR="00557C61" w:rsidRPr="004E63E9" w:rsidRDefault="00557C61" w:rsidP="005362D8">
            <w:pPr>
              <w:spacing w:before="20" w:after="20"/>
              <w:jc w:val="center"/>
              <w:rPr>
                <w:b/>
                <w:sz w:val="20"/>
                <w:szCs w:val="24"/>
              </w:rPr>
            </w:pPr>
            <w:r w:rsidRPr="004E63E9">
              <w:rPr>
                <w:b/>
                <w:sz w:val="20"/>
                <w:szCs w:val="24"/>
              </w:rPr>
              <w:t>Median progression-free survival (months) (95% CI)</w:t>
            </w:r>
          </w:p>
        </w:tc>
        <w:tc>
          <w:tcPr>
            <w:tcW w:w="1760" w:type="dxa"/>
            <w:tcBorders>
              <w:top w:val="nil"/>
              <w:bottom w:val="single" w:sz="4" w:space="0" w:color="auto"/>
            </w:tcBorders>
            <w:shd w:val="clear" w:color="auto" w:fill="auto"/>
          </w:tcPr>
          <w:p w14:paraId="4D1720B2" w14:textId="77777777" w:rsidR="00557C61" w:rsidRPr="004E63E9" w:rsidRDefault="00557C61" w:rsidP="005362D8">
            <w:pPr>
              <w:spacing w:before="20" w:after="20"/>
              <w:jc w:val="center"/>
              <w:rPr>
                <w:b/>
                <w:sz w:val="20"/>
                <w:szCs w:val="24"/>
              </w:rPr>
            </w:pPr>
          </w:p>
        </w:tc>
        <w:tc>
          <w:tcPr>
            <w:tcW w:w="1031" w:type="dxa"/>
            <w:tcBorders>
              <w:top w:val="nil"/>
              <w:bottom w:val="single" w:sz="4" w:space="0" w:color="auto"/>
            </w:tcBorders>
            <w:shd w:val="clear" w:color="auto" w:fill="auto"/>
          </w:tcPr>
          <w:p w14:paraId="0B4E2BC0" w14:textId="77777777" w:rsidR="00557C61" w:rsidRPr="004E63E9" w:rsidRDefault="00557C61" w:rsidP="005362D8">
            <w:pPr>
              <w:spacing w:before="20" w:after="20"/>
              <w:jc w:val="center"/>
              <w:rPr>
                <w:b/>
                <w:sz w:val="20"/>
                <w:szCs w:val="24"/>
              </w:rPr>
            </w:pPr>
          </w:p>
        </w:tc>
      </w:tr>
      <w:tr w:rsidR="00557C61" w:rsidRPr="004E63E9" w14:paraId="4BF9B250" w14:textId="77777777" w:rsidTr="005362D8">
        <w:tc>
          <w:tcPr>
            <w:tcW w:w="9191" w:type="dxa"/>
            <w:gridSpan w:val="6"/>
            <w:tcBorders>
              <w:top w:val="single" w:sz="4" w:space="0" w:color="auto"/>
              <w:bottom w:val="nil"/>
            </w:tcBorders>
            <w:shd w:val="clear" w:color="auto" w:fill="auto"/>
          </w:tcPr>
          <w:p w14:paraId="4F1DF981" w14:textId="77777777" w:rsidR="00557C61" w:rsidRPr="004E63E9" w:rsidRDefault="00557C61" w:rsidP="005362D8">
            <w:pPr>
              <w:spacing w:before="20" w:after="20"/>
              <w:rPr>
                <w:b/>
                <w:sz w:val="20"/>
                <w:szCs w:val="24"/>
              </w:rPr>
            </w:pPr>
            <w:r w:rsidRPr="004E63E9">
              <w:rPr>
                <w:b/>
                <w:sz w:val="20"/>
                <w:szCs w:val="24"/>
              </w:rPr>
              <w:t>Primary analysis</w:t>
            </w:r>
          </w:p>
        </w:tc>
      </w:tr>
      <w:tr w:rsidR="00557C61" w:rsidRPr="004E63E9" w14:paraId="7D2C2F60" w14:textId="77777777" w:rsidTr="005362D8">
        <w:tc>
          <w:tcPr>
            <w:tcW w:w="2400" w:type="dxa"/>
            <w:tcBorders>
              <w:top w:val="nil"/>
              <w:bottom w:val="nil"/>
            </w:tcBorders>
            <w:shd w:val="clear" w:color="auto" w:fill="auto"/>
          </w:tcPr>
          <w:p w14:paraId="453A88D8" w14:textId="77777777" w:rsidR="00557C61" w:rsidRPr="004E63E9" w:rsidRDefault="00557C61" w:rsidP="005362D8">
            <w:pPr>
              <w:spacing w:before="20" w:after="20"/>
              <w:rPr>
                <w:sz w:val="20"/>
                <w:szCs w:val="24"/>
              </w:rPr>
            </w:pPr>
            <w:r w:rsidRPr="004E63E9">
              <w:rPr>
                <w:sz w:val="20"/>
                <w:szCs w:val="24"/>
              </w:rPr>
              <w:t>All (blinded independent central review)</w:t>
            </w:r>
          </w:p>
        </w:tc>
        <w:tc>
          <w:tcPr>
            <w:tcW w:w="720" w:type="dxa"/>
            <w:tcBorders>
              <w:top w:val="nil"/>
              <w:bottom w:val="nil"/>
            </w:tcBorders>
            <w:shd w:val="clear" w:color="auto" w:fill="auto"/>
          </w:tcPr>
          <w:p w14:paraId="71A0A1E1" w14:textId="77777777" w:rsidR="00557C61" w:rsidRPr="004E63E9" w:rsidRDefault="00557C61" w:rsidP="005362D8">
            <w:pPr>
              <w:spacing w:before="20" w:after="20"/>
              <w:jc w:val="center"/>
              <w:rPr>
                <w:sz w:val="20"/>
                <w:szCs w:val="24"/>
              </w:rPr>
            </w:pPr>
            <w:r w:rsidRPr="004E63E9">
              <w:rPr>
                <w:sz w:val="20"/>
                <w:szCs w:val="24"/>
              </w:rPr>
              <w:t>416</w:t>
            </w:r>
          </w:p>
        </w:tc>
        <w:tc>
          <w:tcPr>
            <w:tcW w:w="1640" w:type="dxa"/>
            <w:tcBorders>
              <w:top w:val="nil"/>
              <w:bottom w:val="nil"/>
            </w:tcBorders>
            <w:shd w:val="clear" w:color="auto" w:fill="auto"/>
          </w:tcPr>
          <w:p w14:paraId="3A6F25A8" w14:textId="77777777" w:rsidR="00557C61" w:rsidRPr="004E63E9" w:rsidRDefault="00557C61" w:rsidP="005362D8">
            <w:pPr>
              <w:spacing w:before="20" w:after="20"/>
              <w:jc w:val="center"/>
              <w:rPr>
                <w:sz w:val="20"/>
                <w:szCs w:val="24"/>
              </w:rPr>
            </w:pPr>
            <w:r w:rsidRPr="004E63E9">
              <w:rPr>
                <w:sz w:val="20"/>
                <w:szCs w:val="24"/>
              </w:rPr>
              <w:t>4.9</w:t>
            </w:r>
            <w:r w:rsidRPr="004E63E9">
              <w:rPr>
                <w:sz w:val="20"/>
                <w:szCs w:val="24"/>
              </w:rPr>
              <w:br/>
              <w:t>(4.0 to 5.5)</w:t>
            </w:r>
          </w:p>
        </w:tc>
        <w:tc>
          <w:tcPr>
            <w:tcW w:w="1640" w:type="dxa"/>
            <w:tcBorders>
              <w:top w:val="nil"/>
              <w:bottom w:val="nil"/>
            </w:tcBorders>
            <w:shd w:val="clear" w:color="auto" w:fill="auto"/>
          </w:tcPr>
          <w:p w14:paraId="55046DAE" w14:textId="77777777" w:rsidR="00557C61" w:rsidRPr="004E63E9" w:rsidRDefault="00557C61" w:rsidP="005362D8">
            <w:pPr>
              <w:spacing w:before="20" w:after="20"/>
              <w:jc w:val="center"/>
              <w:rPr>
                <w:sz w:val="20"/>
                <w:szCs w:val="24"/>
              </w:rPr>
            </w:pPr>
            <w:r w:rsidRPr="004E63E9">
              <w:rPr>
                <w:sz w:val="20"/>
                <w:szCs w:val="24"/>
              </w:rPr>
              <w:t>1.9</w:t>
            </w:r>
            <w:r w:rsidRPr="004E63E9">
              <w:rPr>
                <w:sz w:val="20"/>
                <w:szCs w:val="24"/>
              </w:rPr>
              <w:br/>
              <w:t>(1.8 to 1.9)</w:t>
            </w:r>
          </w:p>
        </w:tc>
        <w:tc>
          <w:tcPr>
            <w:tcW w:w="1760" w:type="dxa"/>
            <w:tcBorders>
              <w:top w:val="nil"/>
              <w:bottom w:val="nil"/>
            </w:tcBorders>
            <w:shd w:val="clear" w:color="auto" w:fill="auto"/>
          </w:tcPr>
          <w:p w14:paraId="25F08946" w14:textId="77777777" w:rsidR="00557C61" w:rsidRPr="004E63E9" w:rsidRDefault="00557C61" w:rsidP="005362D8">
            <w:pPr>
              <w:spacing w:before="20" w:after="20"/>
              <w:jc w:val="center"/>
              <w:rPr>
                <w:sz w:val="20"/>
                <w:szCs w:val="24"/>
              </w:rPr>
            </w:pPr>
            <w:r w:rsidRPr="004E63E9">
              <w:rPr>
                <w:sz w:val="20"/>
                <w:szCs w:val="24"/>
              </w:rPr>
              <w:t>0.33</w:t>
            </w:r>
            <w:r w:rsidRPr="004E63E9">
              <w:rPr>
                <w:sz w:val="20"/>
                <w:szCs w:val="24"/>
              </w:rPr>
              <w:br/>
              <w:t>(0.25 to 0.43)</w:t>
            </w:r>
          </w:p>
        </w:tc>
        <w:tc>
          <w:tcPr>
            <w:tcW w:w="1031" w:type="dxa"/>
            <w:tcBorders>
              <w:top w:val="nil"/>
              <w:bottom w:val="nil"/>
            </w:tcBorders>
            <w:shd w:val="clear" w:color="auto" w:fill="auto"/>
          </w:tcPr>
          <w:p w14:paraId="17CF0CD6" w14:textId="77777777" w:rsidR="00557C61" w:rsidRPr="004E63E9" w:rsidRDefault="00557C61" w:rsidP="005362D8">
            <w:pPr>
              <w:spacing w:before="20" w:after="20"/>
              <w:jc w:val="center"/>
              <w:rPr>
                <w:sz w:val="20"/>
                <w:szCs w:val="24"/>
              </w:rPr>
            </w:pPr>
            <w:r w:rsidRPr="004E63E9">
              <w:rPr>
                <w:sz w:val="20"/>
                <w:szCs w:val="24"/>
              </w:rPr>
              <w:t>&lt;0.001</w:t>
            </w:r>
            <w:r w:rsidRPr="004E63E9">
              <w:rPr>
                <w:b/>
                <w:sz w:val="20"/>
                <w:szCs w:val="24"/>
                <w:vertAlign w:val="superscript"/>
              </w:rPr>
              <w:t xml:space="preserve"> a</w:t>
            </w:r>
          </w:p>
        </w:tc>
      </w:tr>
      <w:tr w:rsidR="00557C61" w:rsidRPr="004E63E9" w14:paraId="7CC52740" w14:textId="77777777" w:rsidTr="005362D8">
        <w:tc>
          <w:tcPr>
            <w:tcW w:w="9191" w:type="dxa"/>
            <w:gridSpan w:val="6"/>
            <w:tcBorders>
              <w:top w:val="nil"/>
              <w:bottom w:val="nil"/>
            </w:tcBorders>
            <w:shd w:val="clear" w:color="auto" w:fill="auto"/>
          </w:tcPr>
          <w:p w14:paraId="23227A93" w14:textId="77777777" w:rsidR="00557C61" w:rsidRPr="004E63E9" w:rsidRDefault="00557C61" w:rsidP="005362D8">
            <w:pPr>
              <w:spacing w:before="20" w:after="20"/>
              <w:rPr>
                <w:b/>
                <w:sz w:val="20"/>
                <w:szCs w:val="24"/>
              </w:rPr>
            </w:pPr>
            <w:r w:rsidRPr="004E63E9">
              <w:rPr>
                <w:b/>
                <w:sz w:val="20"/>
                <w:szCs w:val="24"/>
              </w:rPr>
              <w:t>Supportive/sensitivity analyses</w:t>
            </w:r>
          </w:p>
        </w:tc>
      </w:tr>
      <w:tr w:rsidR="00557C61" w:rsidRPr="004E63E9" w14:paraId="24EDF59C" w14:textId="77777777" w:rsidTr="005362D8">
        <w:tc>
          <w:tcPr>
            <w:tcW w:w="2400" w:type="dxa"/>
            <w:tcBorders>
              <w:top w:val="nil"/>
              <w:bottom w:val="nil"/>
            </w:tcBorders>
            <w:shd w:val="clear" w:color="auto" w:fill="auto"/>
          </w:tcPr>
          <w:p w14:paraId="327FB7E3" w14:textId="77777777" w:rsidR="00557C61" w:rsidRPr="004E63E9" w:rsidRDefault="00557C61" w:rsidP="005362D8">
            <w:pPr>
              <w:spacing w:before="20" w:after="20"/>
              <w:rPr>
                <w:sz w:val="20"/>
                <w:szCs w:val="24"/>
              </w:rPr>
            </w:pPr>
            <w:r w:rsidRPr="004E63E9">
              <w:rPr>
                <w:sz w:val="20"/>
                <w:szCs w:val="24"/>
              </w:rPr>
              <w:t>All (local review by investigator)</w:t>
            </w:r>
          </w:p>
        </w:tc>
        <w:tc>
          <w:tcPr>
            <w:tcW w:w="720" w:type="dxa"/>
            <w:tcBorders>
              <w:top w:val="nil"/>
              <w:bottom w:val="nil"/>
            </w:tcBorders>
            <w:shd w:val="clear" w:color="auto" w:fill="auto"/>
          </w:tcPr>
          <w:p w14:paraId="68BE6032" w14:textId="77777777" w:rsidR="00557C61" w:rsidRPr="004E63E9" w:rsidRDefault="00557C61" w:rsidP="005362D8">
            <w:pPr>
              <w:spacing w:before="20" w:after="20"/>
              <w:jc w:val="center"/>
              <w:rPr>
                <w:sz w:val="20"/>
                <w:szCs w:val="24"/>
              </w:rPr>
            </w:pPr>
            <w:r w:rsidRPr="004E63E9">
              <w:rPr>
                <w:sz w:val="20"/>
                <w:szCs w:val="24"/>
              </w:rPr>
              <w:t>416</w:t>
            </w:r>
          </w:p>
        </w:tc>
        <w:tc>
          <w:tcPr>
            <w:tcW w:w="1640" w:type="dxa"/>
            <w:tcBorders>
              <w:top w:val="nil"/>
              <w:bottom w:val="nil"/>
            </w:tcBorders>
            <w:shd w:val="clear" w:color="auto" w:fill="auto"/>
          </w:tcPr>
          <w:p w14:paraId="6A7D4B1C" w14:textId="77777777" w:rsidR="00557C61" w:rsidRPr="004E63E9" w:rsidRDefault="00557C61" w:rsidP="005362D8">
            <w:pPr>
              <w:spacing w:before="20" w:after="20"/>
              <w:jc w:val="center"/>
              <w:rPr>
                <w:sz w:val="20"/>
                <w:szCs w:val="24"/>
              </w:rPr>
            </w:pPr>
            <w:r w:rsidRPr="004E63E9">
              <w:rPr>
                <w:sz w:val="20"/>
                <w:szCs w:val="24"/>
              </w:rPr>
              <w:t>5.5</w:t>
            </w:r>
            <w:r w:rsidRPr="004E63E9">
              <w:rPr>
                <w:sz w:val="20"/>
                <w:szCs w:val="24"/>
              </w:rPr>
              <w:br/>
              <w:t>(4.6 to 5.8)</w:t>
            </w:r>
          </w:p>
        </w:tc>
        <w:tc>
          <w:tcPr>
            <w:tcW w:w="1640" w:type="dxa"/>
            <w:tcBorders>
              <w:top w:val="nil"/>
              <w:bottom w:val="nil"/>
            </w:tcBorders>
            <w:shd w:val="clear" w:color="auto" w:fill="auto"/>
          </w:tcPr>
          <w:p w14:paraId="63B74F0E" w14:textId="77777777" w:rsidR="00557C61" w:rsidRPr="004E63E9" w:rsidRDefault="00557C61" w:rsidP="005362D8">
            <w:pPr>
              <w:spacing w:before="20" w:after="20"/>
              <w:jc w:val="center"/>
              <w:rPr>
                <w:sz w:val="20"/>
                <w:szCs w:val="24"/>
              </w:rPr>
            </w:pPr>
            <w:r w:rsidRPr="004E63E9">
              <w:rPr>
                <w:sz w:val="20"/>
                <w:szCs w:val="24"/>
              </w:rPr>
              <w:t>1.9</w:t>
            </w:r>
            <w:r w:rsidRPr="004E63E9">
              <w:rPr>
                <w:sz w:val="20"/>
                <w:szCs w:val="24"/>
              </w:rPr>
              <w:br/>
              <w:t>(1.8 to 2.2)</w:t>
            </w:r>
          </w:p>
        </w:tc>
        <w:tc>
          <w:tcPr>
            <w:tcW w:w="1760" w:type="dxa"/>
            <w:tcBorders>
              <w:top w:val="nil"/>
              <w:bottom w:val="nil"/>
            </w:tcBorders>
            <w:shd w:val="clear" w:color="auto" w:fill="auto"/>
          </w:tcPr>
          <w:p w14:paraId="0A60BCC8" w14:textId="77777777" w:rsidR="00557C61" w:rsidRPr="004E63E9" w:rsidRDefault="00557C61" w:rsidP="005362D8">
            <w:pPr>
              <w:spacing w:before="20" w:after="20"/>
              <w:jc w:val="center"/>
              <w:rPr>
                <w:sz w:val="20"/>
                <w:szCs w:val="24"/>
              </w:rPr>
            </w:pPr>
            <w:r w:rsidRPr="004E63E9">
              <w:rPr>
                <w:sz w:val="20"/>
                <w:szCs w:val="24"/>
              </w:rPr>
              <w:t>0.32</w:t>
            </w:r>
            <w:r w:rsidRPr="004E63E9">
              <w:rPr>
                <w:sz w:val="20"/>
                <w:szCs w:val="24"/>
              </w:rPr>
              <w:br/>
              <w:t>(0.25 to 0.41)</w:t>
            </w:r>
          </w:p>
        </w:tc>
        <w:tc>
          <w:tcPr>
            <w:tcW w:w="1031" w:type="dxa"/>
            <w:tcBorders>
              <w:top w:val="nil"/>
              <w:bottom w:val="nil"/>
            </w:tcBorders>
            <w:shd w:val="clear" w:color="auto" w:fill="auto"/>
          </w:tcPr>
          <w:p w14:paraId="3C36FF53" w14:textId="77777777" w:rsidR="00557C61" w:rsidRPr="004E63E9" w:rsidRDefault="00557C61" w:rsidP="005362D8">
            <w:pPr>
              <w:spacing w:before="20" w:after="20"/>
              <w:jc w:val="center"/>
              <w:rPr>
                <w:sz w:val="20"/>
                <w:szCs w:val="24"/>
              </w:rPr>
            </w:pPr>
            <w:r w:rsidRPr="004E63E9">
              <w:rPr>
                <w:sz w:val="20"/>
                <w:szCs w:val="24"/>
              </w:rPr>
              <w:t>&lt;0.001</w:t>
            </w:r>
            <w:r w:rsidRPr="004E63E9">
              <w:rPr>
                <w:b/>
                <w:sz w:val="20"/>
                <w:szCs w:val="24"/>
                <w:vertAlign w:val="superscript"/>
              </w:rPr>
              <w:t xml:space="preserve"> a</w:t>
            </w:r>
          </w:p>
        </w:tc>
      </w:tr>
      <w:tr w:rsidR="00557C61" w:rsidRPr="004E63E9" w14:paraId="4DBEB7BB" w14:textId="77777777" w:rsidTr="005362D8">
        <w:tc>
          <w:tcPr>
            <w:tcW w:w="9191" w:type="dxa"/>
            <w:gridSpan w:val="6"/>
            <w:tcBorders>
              <w:top w:val="nil"/>
            </w:tcBorders>
            <w:shd w:val="clear" w:color="auto" w:fill="auto"/>
          </w:tcPr>
          <w:p w14:paraId="57F42F12" w14:textId="77777777" w:rsidR="00557C61" w:rsidRPr="004E63E9" w:rsidRDefault="00557C61" w:rsidP="005362D8">
            <w:pPr>
              <w:spacing w:before="20" w:after="20"/>
              <w:rPr>
                <w:sz w:val="20"/>
                <w:szCs w:val="24"/>
              </w:rPr>
            </w:pPr>
            <w:r w:rsidRPr="004E63E9">
              <w:rPr>
                <w:sz w:val="20"/>
                <w:szCs w:val="24"/>
              </w:rPr>
              <w:t>MSKCC prognostic score</w:t>
            </w:r>
          </w:p>
        </w:tc>
      </w:tr>
      <w:tr w:rsidR="00557C61" w:rsidRPr="004E63E9" w14:paraId="1228B760" w14:textId="77777777" w:rsidTr="005362D8">
        <w:tc>
          <w:tcPr>
            <w:tcW w:w="2400" w:type="dxa"/>
            <w:shd w:val="clear" w:color="auto" w:fill="auto"/>
          </w:tcPr>
          <w:p w14:paraId="289B53E2" w14:textId="77777777" w:rsidR="00557C61" w:rsidRPr="004E63E9" w:rsidRDefault="00557C61" w:rsidP="005362D8">
            <w:pPr>
              <w:spacing w:before="20" w:after="20"/>
              <w:ind w:left="360"/>
              <w:rPr>
                <w:sz w:val="20"/>
                <w:szCs w:val="24"/>
              </w:rPr>
            </w:pPr>
            <w:r w:rsidRPr="004E63E9">
              <w:rPr>
                <w:sz w:val="20"/>
                <w:szCs w:val="24"/>
              </w:rPr>
              <w:t>Favourable risk</w:t>
            </w:r>
          </w:p>
        </w:tc>
        <w:tc>
          <w:tcPr>
            <w:tcW w:w="720" w:type="dxa"/>
            <w:shd w:val="clear" w:color="auto" w:fill="auto"/>
          </w:tcPr>
          <w:p w14:paraId="69EDBB7F" w14:textId="77777777" w:rsidR="00557C61" w:rsidRPr="004E63E9" w:rsidRDefault="00557C61" w:rsidP="005362D8">
            <w:pPr>
              <w:spacing w:before="20" w:after="20"/>
              <w:jc w:val="center"/>
              <w:rPr>
                <w:sz w:val="20"/>
                <w:szCs w:val="24"/>
              </w:rPr>
            </w:pPr>
            <w:r w:rsidRPr="004E63E9">
              <w:rPr>
                <w:sz w:val="20"/>
                <w:szCs w:val="24"/>
              </w:rPr>
              <w:t>120</w:t>
            </w:r>
          </w:p>
        </w:tc>
        <w:tc>
          <w:tcPr>
            <w:tcW w:w="1640" w:type="dxa"/>
            <w:shd w:val="clear" w:color="auto" w:fill="auto"/>
          </w:tcPr>
          <w:p w14:paraId="603EF264" w14:textId="77777777" w:rsidR="00557C61" w:rsidRPr="004E63E9" w:rsidRDefault="00557C61" w:rsidP="005362D8">
            <w:pPr>
              <w:spacing w:before="20" w:after="20"/>
              <w:jc w:val="center"/>
              <w:rPr>
                <w:sz w:val="20"/>
                <w:szCs w:val="24"/>
              </w:rPr>
            </w:pPr>
            <w:r w:rsidRPr="004E63E9">
              <w:rPr>
                <w:sz w:val="20"/>
                <w:szCs w:val="24"/>
              </w:rPr>
              <w:t>5.8</w:t>
            </w:r>
            <w:r w:rsidRPr="004E63E9">
              <w:rPr>
                <w:sz w:val="20"/>
                <w:szCs w:val="24"/>
              </w:rPr>
              <w:br/>
              <w:t>(4.0 to 7.4)</w:t>
            </w:r>
          </w:p>
        </w:tc>
        <w:tc>
          <w:tcPr>
            <w:tcW w:w="1640" w:type="dxa"/>
            <w:shd w:val="clear" w:color="auto" w:fill="auto"/>
          </w:tcPr>
          <w:p w14:paraId="69E5DED0" w14:textId="77777777" w:rsidR="00557C61" w:rsidRPr="004E63E9" w:rsidRDefault="00557C61" w:rsidP="005362D8">
            <w:pPr>
              <w:spacing w:before="20" w:after="20"/>
              <w:jc w:val="center"/>
              <w:rPr>
                <w:sz w:val="20"/>
                <w:szCs w:val="24"/>
              </w:rPr>
            </w:pPr>
            <w:r w:rsidRPr="004E63E9">
              <w:rPr>
                <w:sz w:val="20"/>
                <w:szCs w:val="24"/>
              </w:rPr>
              <w:t>1.9</w:t>
            </w:r>
            <w:r w:rsidRPr="004E63E9">
              <w:rPr>
                <w:sz w:val="20"/>
                <w:szCs w:val="24"/>
              </w:rPr>
              <w:br/>
              <w:t>(1.9 to 2.8)</w:t>
            </w:r>
          </w:p>
        </w:tc>
        <w:tc>
          <w:tcPr>
            <w:tcW w:w="1760" w:type="dxa"/>
            <w:shd w:val="clear" w:color="auto" w:fill="auto"/>
          </w:tcPr>
          <w:p w14:paraId="32A1AE66" w14:textId="77777777" w:rsidR="00557C61" w:rsidRPr="004E63E9" w:rsidRDefault="00557C61" w:rsidP="005362D8">
            <w:pPr>
              <w:spacing w:before="20" w:after="20"/>
              <w:jc w:val="center"/>
              <w:rPr>
                <w:sz w:val="20"/>
                <w:szCs w:val="24"/>
              </w:rPr>
            </w:pPr>
            <w:r w:rsidRPr="004E63E9">
              <w:rPr>
                <w:sz w:val="20"/>
                <w:szCs w:val="24"/>
              </w:rPr>
              <w:t>0.31</w:t>
            </w:r>
            <w:r w:rsidRPr="004E63E9">
              <w:rPr>
                <w:sz w:val="20"/>
                <w:szCs w:val="24"/>
              </w:rPr>
              <w:br/>
              <w:t>(0.19 to 0.50)</w:t>
            </w:r>
          </w:p>
        </w:tc>
        <w:tc>
          <w:tcPr>
            <w:tcW w:w="1031" w:type="dxa"/>
            <w:shd w:val="clear" w:color="auto" w:fill="auto"/>
          </w:tcPr>
          <w:p w14:paraId="7FAC5AEA" w14:textId="77777777" w:rsidR="00557C61" w:rsidRPr="004E63E9" w:rsidRDefault="00557C61" w:rsidP="005362D8">
            <w:pPr>
              <w:spacing w:before="20" w:after="20"/>
              <w:jc w:val="center"/>
              <w:rPr>
                <w:sz w:val="20"/>
                <w:szCs w:val="24"/>
              </w:rPr>
            </w:pPr>
            <w:r w:rsidRPr="004E63E9">
              <w:rPr>
                <w:sz w:val="20"/>
                <w:szCs w:val="24"/>
              </w:rPr>
              <w:t>&lt;0.001</w:t>
            </w:r>
            <w:r w:rsidRPr="004E63E9">
              <w:rPr>
                <w:sz w:val="20"/>
                <w:szCs w:val="24"/>
                <w:vertAlign w:val="superscript"/>
              </w:rPr>
              <w:t>b</w:t>
            </w:r>
          </w:p>
        </w:tc>
      </w:tr>
      <w:tr w:rsidR="00557C61" w:rsidRPr="004E63E9" w14:paraId="53EDE124" w14:textId="77777777" w:rsidTr="005362D8">
        <w:tc>
          <w:tcPr>
            <w:tcW w:w="2400" w:type="dxa"/>
            <w:tcBorders>
              <w:bottom w:val="nil"/>
            </w:tcBorders>
            <w:shd w:val="clear" w:color="auto" w:fill="auto"/>
          </w:tcPr>
          <w:p w14:paraId="3F0F94CC" w14:textId="77777777" w:rsidR="00557C61" w:rsidRPr="004E63E9" w:rsidRDefault="00557C61" w:rsidP="005362D8">
            <w:pPr>
              <w:spacing w:before="20" w:after="20"/>
              <w:ind w:left="360"/>
              <w:rPr>
                <w:sz w:val="20"/>
                <w:szCs w:val="24"/>
              </w:rPr>
            </w:pPr>
            <w:r w:rsidRPr="004E63E9">
              <w:rPr>
                <w:sz w:val="20"/>
                <w:szCs w:val="24"/>
              </w:rPr>
              <w:t>Intermediate risk</w:t>
            </w:r>
          </w:p>
        </w:tc>
        <w:tc>
          <w:tcPr>
            <w:tcW w:w="720" w:type="dxa"/>
            <w:tcBorders>
              <w:bottom w:val="nil"/>
            </w:tcBorders>
            <w:shd w:val="clear" w:color="auto" w:fill="auto"/>
          </w:tcPr>
          <w:p w14:paraId="53CC356B" w14:textId="77777777" w:rsidR="00557C61" w:rsidRPr="004E63E9" w:rsidRDefault="00557C61" w:rsidP="005362D8">
            <w:pPr>
              <w:spacing w:before="20" w:after="20"/>
              <w:jc w:val="center"/>
              <w:rPr>
                <w:sz w:val="20"/>
                <w:szCs w:val="24"/>
              </w:rPr>
            </w:pPr>
            <w:r w:rsidRPr="004E63E9">
              <w:rPr>
                <w:sz w:val="20"/>
                <w:szCs w:val="24"/>
              </w:rPr>
              <w:t>235</w:t>
            </w:r>
          </w:p>
        </w:tc>
        <w:tc>
          <w:tcPr>
            <w:tcW w:w="1640" w:type="dxa"/>
            <w:tcBorders>
              <w:bottom w:val="nil"/>
            </w:tcBorders>
            <w:shd w:val="clear" w:color="auto" w:fill="auto"/>
          </w:tcPr>
          <w:p w14:paraId="5C2A2582" w14:textId="77777777" w:rsidR="00557C61" w:rsidRPr="004E63E9" w:rsidRDefault="00557C61" w:rsidP="005362D8">
            <w:pPr>
              <w:spacing w:before="20" w:after="20"/>
              <w:jc w:val="center"/>
              <w:rPr>
                <w:sz w:val="20"/>
                <w:szCs w:val="24"/>
              </w:rPr>
            </w:pPr>
            <w:r w:rsidRPr="004E63E9">
              <w:rPr>
                <w:sz w:val="20"/>
                <w:szCs w:val="24"/>
              </w:rPr>
              <w:t>4.5</w:t>
            </w:r>
            <w:r w:rsidRPr="004E63E9">
              <w:rPr>
                <w:sz w:val="20"/>
                <w:szCs w:val="24"/>
              </w:rPr>
              <w:br/>
              <w:t>(3.8 to 5.5)</w:t>
            </w:r>
          </w:p>
        </w:tc>
        <w:tc>
          <w:tcPr>
            <w:tcW w:w="1640" w:type="dxa"/>
            <w:tcBorders>
              <w:bottom w:val="nil"/>
            </w:tcBorders>
            <w:shd w:val="clear" w:color="auto" w:fill="auto"/>
          </w:tcPr>
          <w:p w14:paraId="57EDCBAF" w14:textId="77777777" w:rsidR="00557C61" w:rsidRPr="004E63E9" w:rsidRDefault="00557C61" w:rsidP="005362D8">
            <w:pPr>
              <w:spacing w:before="20" w:after="20"/>
              <w:jc w:val="center"/>
              <w:rPr>
                <w:sz w:val="20"/>
                <w:szCs w:val="24"/>
              </w:rPr>
            </w:pPr>
            <w:r w:rsidRPr="004E63E9">
              <w:rPr>
                <w:sz w:val="20"/>
                <w:szCs w:val="24"/>
              </w:rPr>
              <w:t>1.8</w:t>
            </w:r>
            <w:r w:rsidRPr="004E63E9">
              <w:rPr>
                <w:sz w:val="20"/>
                <w:szCs w:val="24"/>
              </w:rPr>
              <w:br/>
              <w:t>(1.8 to 1.9)</w:t>
            </w:r>
          </w:p>
        </w:tc>
        <w:tc>
          <w:tcPr>
            <w:tcW w:w="1760" w:type="dxa"/>
            <w:tcBorders>
              <w:bottom w:val="nil"/>
            </w:tcBorders>
            <w:shd w:val="clear" w:color="auto" w:fill="auto"/>
          </w:tcPr>
          <w:p w14:paraId="58ABE226" w14:textId="77777777" w:rsidR="00557C61" w:rsidRPr="004E63E9" w:rsidRDefault="00557C61" w:rsidP="005362D8">
            <w:pPr>
              <w:spacing w:before="20" w:after="20"/>
              <w:jc w:val="center"/>
              <w:rPr>
                <w:sz w:val="20"/>
                <w:szCs w:val="24"/>
              </w:rPr>
            </w:pPr>
            <w:r w:rsidRPr="004E63E9">
              <w:rPr>
                <w:sz w:val="20"/>
                <w:szCs w:val="24"/>
              </w:rPr>
              <w:t>0.32</w:t>
            </w:r>
            <w:r w:rsidRPr="004E63E9">
              <w:rPr>
                <w:sz w:val="20"/>
                <w:szCs w:val="24"/>
              </w:rPr>
              <w:br/>
              <w:t>(0.22 to 0.44)</w:t>
            </w:r>
          </w:p>
        </w:tc>
        <w:tc>
          <w:tcPr>
            <w:tcW w:w="1031" w:type="dxa"/>
            <w:tcBorders>
              <w:bottom w:val="nil"/>
            </w:tcBorders>
            <w:shd w:val="clear" w:color="auto" w:fill="auto"/>
          </w:tcPr>
          <w:p w14:paraId="550FA305" w14:textId="77777777" w:rsidR="00557C61" w:rsidRPr="004E63E9" w:rsidRDefault="00557C61" w:rsidP="005362D8">
            <w:pPr>
              <w:spacing w:before="20" w:after="20"/>
              <w:jc w:val="center"/>
              <w:rPr>
                <w:sz w:val="20"/>
                <w:szCs w:val="24"/>
              </w:rPr>
            </w:pPr>
            <w:r w:rsidRPr="004E63E9">
              <w:rPr>
                <w:sz w:val="20"/>
                <w:szCs w:val="24"/>
              </w:rPr>
              <w:t>&lt;0.001</w:t>
            </w:r>
            <w:r w:rsidRPr="004E63E9">
              <w:rPr>
                <w:sz w:val="20"/>
                <w:szCs w:val="24"/>
                <w:vertAlign w:val="superscript"/>
              </w:rPr>
              <w:t xml:space="preserve"> b</w:t>
            </w:r>
          </w:p>
        </w:tc>
      </w:tr>
      <w:tr w:rsidR="00557C61" w:rsidRPr="004E63E9" w14:paraId="4B952829" w14:textId="77777777" w:rsidTr="005362D8">
        <w:tc>
          <w:tcPr>
            <w:tcW w:w="2400" w:type="dxa"/>
            <w:tcBorders>
              <w:top w:val="nil"/>
              <w:bottom w:val="nil"/>
            </w:tcBorders>
            <w:shd w:val="clear" w:color="auto" w:fill="auto"/>
          </w:tcPr>
          <w:p w14:paraId="67E2F240" w14:textId="77777777" w:rsidR="00557C61" w:rsidRPr="004E63E9" w:rsidRDefault="00557C61" w:rsidP="005362D8">
            <w:pPr>
              <w:spacing w:before="20" w:after="20"/>
              <w:ind w:left="360"/>
              <w:rPr>
                <w:sz w:val="20"/>
                <w:szCs w:val="24"/>
              </w:rPr>
            </w:pPr>
            <w:r w:rsidRPr="004E63E9">
              <w:rPr>
                <w:sz w:val="20"/>
                <w:szCs w:val="24"/>
              </w:rPr>
              <w:t>Poor risk</w:t>
            </w:r>
          </w:p>
        </w:tc>
        <w:tc>
          <w:tcPr>
            <w:tcW w:w="720" w:type="dxa"/>
            <w:tcBorders>
              <w:top w:val="nil"/>
              <w:bottom w:val="nil"/>
            </w:tcBorders>
            <w:shd w:val="clear" w:color="auto" w:fill="auto"/>
          </w:tcPr>
          <w:p w14:paraId="087468BB" w14:textId="77777777" w:rsidR="00557C61" w:rsidRPr="004E63E9" w:rsidRDefault="00557C61" w:rsidP="005362D8">
            <w:pPr>
              <w:spacing w:before="20" w:after="20"/>
              <w:jc w:val="center"/>
              <w:rPr>
                <w:sz w:val="20"/>
                <w:szCs w:val="24"/>
              </w:rPr>
            </w:pPr>
            <w:r w:rsidRPr="004E63E9">
              <w:rPr>
                <w:sz w:val="20"/>
                <w:szCs w:val="24"/>
              </w:rPr>
              <w:t>61</w:t>
            </w:r>
          </w:p>
        </w:tc>
        <w:tc>
          <w:tcPr>
            <w:tcW w:w="1640" w:type="dxa"/>
            <w:tcBorders>
              <w:top w:val="nil"/>
              <w:bottom w:val="nil"/>
            </w:tcBorders>
            <w:shd w:val="clear" w:color="auto" w:fill="auto"/>
          </w:tcPr>
          <w:p w14:paraId="74E27B7D" w14:textId="77777777" w:rsidR="00557C61" w:rsidRPr="004E63E9" w:rsidRDefault="00557C61" w:rsidP="005362D8">
            <w:pPr>
              <w:spacing w:before="20" w:after="20"/>
              <w:jc w:val="center"/>
              <w:rPr>
                <w:sz w:val="20"/>
                <w:szCs w:val="24"/>
              </w:rPr>
            </w:pPr>
            <w:r w:rsidRPr="004E63E9">
              <w:rPr>
                <w:sz w:val="20"/>
                <w:szCs w:val="24"/>
              </w:rPr>
              <w:t>3.6</w:t>
            </w:r>
            <w:r w:rsidRPr="004E63E9">
              <w:rPr>
                <w:sz w:val="20"/>
                <w:szCs w:val="24"/>
              </w:rPr>
              <w:br/>
              <w:t>(1.9 to 4.6)</w:t>
            </w:r>
          </w:p>
        </w:tc>
        <w:tc>
          <w:tcPr>
            <w:tcW w:w="1640" w:type="dxa"/>
            <w:tcBorders>
              <w:top w:val="nil"/>
              <w:bottom w:val="nil"/>
            </w:tcBorders>
            <w:shd w:val="clear" w:color="auto" w:fill="auto"/>
          </w:tcPr>
          <w:p w14:paraId="2FA85509" w14:textId="77777777" w:rsidR="00557C61" w:rsidRPr="004E63E9" w:rsidRDefault="00557C61" w:rsidP="005362D8">
            <w:pPr>
              <w:spacing w:before="20" w:after="20"/>
              <w:jc w:val="center"/>
              <w:rPr>
                <w:sz w:val="20"/>
                <w:szCs w:val="24"/>
              </w:rPr>
            </w:pPr>
            <w:r w:rsidRPr="004E63E9">
              <w:rPr>
                <w:sz w:val="20"/>
                <w:szCs w:val="24"/>
              </w:rPr>
              <w:t>1.8</w:t>
            </w:r>
            <w:r w:rsidRPr="004E63E9">
              <w:rPr>
                <w:sz w:val="20"/>
                <w:szCs w:val="24"/>
              </w:rPr>
              <w:br/>
              <w:t>(1.8 to 3.6)</w:t>
            </w:r>
          </w:p>
        </w:tc>
        <w:tc>
          <w:tcPr>
            <w:tcW w:w="1760" w:type="dxa"/>
            <w:tcBorders>
              <w:top w:val="nil"/>
              <w:bottom w:val="nil"/>
            </w:tcBorders>
            <w:shd w:val="clear" w:color="auto" w:fill="auto"/>
          </w:tcPr>
          <w:p w14:paraId="67D30007" w14:textId="77777777" w:rsidR="00557C61" w:rsidRPr="004E63E9" w:rsidRDefault="00557C61" w:rsidP="005362D8">
            <w:pPr>
              <w:spacing w:before="20" w:after="20"/>
              <w:jc w:val="center"/>
              <w:rPr>
                <w:sz w:val="20"/>
                <w:szCs w:val="24"/>
              </w:rPr>
            </w:pPr>
            <w:r w:rsidRPr="004E63E9">
              <w:rPr>
                <w:sz w:val="20"/>
                <w:szCs w:val="24"/>
              </w:rPr>
              <w:t>0.44</w:t>
            </w:r>
            <w:r w:rsidRPr="004E63E9">
              <w:rPr>
                <w:sz w:val="20"/>
                <w:szCs w:val="24"/>
              </w:rPr>
              <w:br/>
              <w:t>(0.22 to 0.85)</w:t>
            </w:r>
          </w:p>
        </w:tc>
        <w:tc>
          <w:tcPr>
            <w:tcW w:w="1031" w:type="dxa"/>
            <w:tcBorders>
              <w:top w:val="nil"/>
              <w:bottom w:val="nil"/>
            </w:tcBorders>
            <w:shd w:val="clear" w:color="auto" w:fill="auto"/>
          </w:tcPr>
          <w:p w14:paraId="24B4EA81" w14:textId="77777777" w:rsidR="00557C61" w:rsidRPr="004E63E9" w:rsidRDefault="00557C61" w:rsidP="005362D8">
            <w:pPr>
              <w:spacing w:before="20" w:after="20"/>
              <w:jc w:val="center"/>
              <w:rPr>
                <w:sz w:val="20"/>
                <w:szCs w:val="24"/>
              </w:rPr>
            </w:pPr>
            <w:r w:rsidRPr="004E63E9">
              <w:rPr>
                <w:sz w:val="20"/>
                <w:szCs w:val="24"/>
              </w:rPr>
              <w:t>0.007</w:t>
            </w:r>
            <w:r w:rsidRPr="004E63E9">
              <w:rPr>
                <w:sz w:val="20"/>
                <w:szCs w:val="24"/>
                <w:vertAlign w:val="superscript"/>
              </w:rPr>
              <w:t xml:space="preserve"> b</w:t>
            </w:r>
          </w:p>
        </w:tc>
      </w:tr>
      <w:tr w:rsidR="00557C61" w:rsidRPr="004E63E9" w14:paraId="11DD86AB" w14:textId="77777777" w:rsidTr="005362D8">
        <w:tc>
          <w:tcPr>
            <w:tcW w:w="9191" w:type="dxa"/>
            <w:gridSpan w:val="6"/>
            <w:tcBorders>
              <w:top w:val="nil"/>
              <w:bottom w:val="nil"/>
            </w:tcBorders>
            <w:shd w:val="clear" w:color="auto" w:fill="auto"/>
          </w:tcPr>
          <w:p w14:paraId="343289CF" w14:textId="77777777" w:rsidR="00557C61" w:rsidRPr="004E63E9" w:rsidRDefault="00557C61" w:rsidP="005362D8">
            <w:pPr>
              <w:spacing w:before="20" w:after="20"/>
              <w:rPr>
                <w:sz w:val="20"/>
                <w:szCs w:val="24"/>
              </w:rPr>
            </w:pPr>
            <w:r w:rsidRPr="004E63E9">
              <w:rPr>
                <w:sz w:val="20"/>
                <w:szCs w:val="24"/>
              </w:rPr>
              <w:t>Prior VEGFR-TKI therapy</w:t>
            </w:r>
          </w:p>
        </w:tc>
      </w:tr>
      <w:tr w:rsidR="00557C61" w:rsidRPr="004E63E9" w14:paraId="6C5DC5BC" w14:textId="77777777" w:rsidTr="005362D8">
        <w:tc>
          <w:tcPr>
            <w:tcW w:w="2400" w:type="dxa"/>
            <w:tcBorders>
              <w:top w:val="nil"/>
              <w:bottom w:val="nil"/>
            </w:tcBorders>
            <w:shd w:val="clear" w:color="auto" w:fill="auto"/>
          </w:tcPr>
          <w:p w14:paraId="7A8417FF" w14:textId="77777777" w:rsidR="00557C61" w:rsidRPr="004E63E9" w:rsidRDefault="00557C61" w:rsidP="005362D8">
            <w:pPr>
              <w:spacing w:before="20" w:after="20"/>
              <w:ind w:left="720" w:hanging="360"/>
              <w:rPr>
                <w:sz w:val="20"/>
                <w:szCs w:val="24"/>
              </w:rPr>
            </w:pPr>
            <w:proofErr w:type="spellStart"/>
            <w:r w:rsidRPr="004E63E9">
              <w:rPr>
                <w:sz w:val="20"/>
                <w:szCs w:val="24"/>
              </w:rPr>
              <w:t>Sunitinib</w:t>
            </w:r>
            <w:proofErr w:type="spellEnd"/>
            <w:r w:rsidRPr="004E63E9">
              <w:rPr>
                <w:sz w:val="20"/>
                <w:szCs w:val="24"/>
              </w:rPr>
              <w:t xml:space="preserve"> only</w:t>
            </w:r>
          </w:p>
        </w:tc>
        <w:tc>
          <w:tcPr>
            <w:tcW w:w="720" w:type="dxa"/>
            <w:tcBorders>
              <w:top w:val="nil"/>
              <w:bottom w:val="nil"/>
            </w:tcBorders>
            <w:shd w:val="clear" w:color="auto" w:fill="auto"/>
          </w:tcPr>
          <w:p w14:paraId="38999596" w14:textId="77777777" w:rsidR="00557C61" w:rsidRPr="004E63E9" w:rsidRDefault="00557C61" w:rsidP="005362D8">
            <w:pPr>
              <w:spacing w:before="20" w:after="20"/>
              <w:rPr>
                <w:sz w:val="20"/>
                <w:szCs w:val="24"/>
              </w:rPr>
            </w:pPr>
            <w:r w:rsidRPr="004E63E9">
              <w:rPr>
                <w:sz w:val="20"/>
                <w:szCs w:val="24"/>
              </w:rPr>
              <w:t>184</w:t>
            </w:r>
          </w:p>
        </w:tc>
        <w:tc>
          <w:tcPr>
            <w:tcW w:w="1640" w:type="dxa"/>
            <w:tcBorders>
              <w:top w:val="nil"/>
              <w:bottom w:val="nil"/>
            </w:tcBorders>
            <w:shd w:val="clear" w:color="auto" w:fill="auto"/>
          </w:tcPr>
          <w:p w14:paraId="770C7062" w14:textId="77777777" w:rsidR="00557C61" w:rsidRPr="004E63E9" w:rsidRDefault="00557C61" w:rsidP="005362D8">
            <w:pPr>
              <w:spacing w:before="20" w:after="20"/>
              <w:jc w:val="center"/>
              <w:rPr>
                <w:sz w:val="20"/>
                <w:szCs w:val="24"/>
              </w:rPr>
            </w:pPr>
            <w:r w:rsidRPr="004E63E9">
              <w:rPr>
                <w:sz w:val="20"/>
                <w:szCs w:val="24"/>
              </w:rPr>
              <w:t>3.9</w:t>
            </w:r>
            <w:r w:rsidRPr="004E63E9">
              <w:rPr>
                <w:sz w:val="20"/>
                <w:szCs w:val="24"/>
              </w:rPr>
              <w:br/>
            </w:r>
            <w:r w:rsidRPr="004E63E9">
              <w:rPr>
                <w:sz w:val="20"/>
                <w:szCs w:val="24"/>
              </w:rPr>
              <w:lastRenderedPageBreak/>
              <w:t>( 3.6 to 5.6)</w:t>
            </w:r>
          </w:p>
        </w:tc>
        <w:tc>
          <w:tcPr>
            <w:tcW w:w="1640" w:type="dxa"/>
            <w:tcBorders>
              <w:top w:val="nil"/>
              <w:bottom w:val="nil"/>
            </w:tcBorders>
            <w:shd w:val="clear" w:color="auto" w:fill="auto"/>
          </w:tcPr>
          <w:p w14:paraId="33405816" w14:textId="77777777" w:rsidR="00557C61" w:rsidRPr="004E63E9" w:rsidRDefault="00557C61" w:rsidP="005362D8">
            <w:pPr>
              <w:spacing w:before="20" w:after="20"/>
              <w:jc w:val="center"/>
              <w:rPr>
                <w:sz w:val="20"/>
                <w:szCs w:val="24"/>
              </w:rPr>
            </w:pPr>
            <w:r w:rsidRPr="004E63E9">
              <w:rPr>
                <w:sz w:val="20"/>
                <w:szCs w:val="24"/>
              </w:rPr>
              <w:lastRenderedPageBreak/>
              <w:t>1.8</w:t>
            </w:r>
            <w:r w:rsidRPr="004E63E9">
              <w:rPr>
                <w:sz w:val="20"/>
                <w:szCs w:val="24"/>
              </w:rPr>
              <w:br/>
            </w:r>
            <w:r w:rsidRPr="004E63E9">
              <w:rPr>
                <w:sz w:val="20"/>
                <w:szCs w:val="24"/>
              </w:rPr>
              <w:lastRenderedPageBreak/>
              <w:t>(1.8 to 1.9)</w:t>
            </w:r>
          </w:p>
        </w:tc>
        <w:tc>
          <w:tcPr>
            <w:tcW w:w="1760" w:type="dxa"/>
            <w:tcBorders>
              <w:top w:val="nil"/>
              <w:bottom w:val="nil"/>
            </w:tcBorders>
            <w:shd w:val="clear" w:color="auto" w:fill="auto"/>
          </w:tcPr>
          <w:p w14:paraId="468020D4" w14:textId="77777777" w:rsidR="00557C61" w:rsidRPr="004E63E9" w:rsidRDefault="00557C61" w:rsidP="005362D8">
            <w:pPr>
              <w:spacing w:before="20" w:after="20"/>
              <w:jc w:val="center"/>
              <w:rPr>
                <w:sz w:val="20"/>
                <w:szCs w:val="24"/>
              </w:rPr>
            </w:pPr>
            <w:r w:rsidRPr="004E63E9">
              <w:rPr>
                <w:sz w:val="20"/>
                <w:szCs w:val="24"/>
              </w:rPr>
              <w:lastRenderedPageBreak/>
              <w:t>0.34</w:t>
            </w:r>
            <w:r w:rsidRPr="004E63E9">
              <w:rPr>
                <w:sz w:val="20"/>
                <w:szCs w:val="24"/>
              </w:rPr>
              <w:br/>
            </w:r>
            <w:r w:rsidRPr="004E63E9">
              <w:rPr>
                <w:sz w:val="20"/>
                <w:szCs w:val="24"/>
              </w:rPr>
              <w:lastRenderedPageBreak/>
              <w:t>(0.23 to 0.51)</w:t>
            </w:r>
          </w:p>
        </w:tc>
        <w:tc>
          <w:tcPr>
            <w:tcW w:w="1031" w:type="dxa"/>
            <w:tcBorders>
              <w:top w:val="nil"/>
              <w:bottom w:val="nil"/>
            </w:tcBorders>
            <w:shd w:val="clear" w:color="auto" w:fill="auto"/>
          </w:tcPr>
          <w:p w14:paraId="3C7840E1" w14:textId="77777777" w:rsidR="00557C61" w:rsidRPr="004E63E9" w:rsidRDefault="00557C61" w:rsidP="005362D8">
            <w:pPr>
              <w:spacing w:before="20" w:after="20"/>
              <w:rPr>
                <w:sz w:val="20"/>
                <w:szCs w:val="24"/>
              </w:rPr>
            </w:pPr>
            <w:r w:rsidRPr="004E63E9">
              <w:rPr>
                <w:sz w:val="20"/>
                <w:szCs w:val="24"/>
              </w:rPr>
              <w:lastRenderedPageBreak/>
              <w:t>&lt;0.001</w:t>
            </w:r>
            <w:r w:rsidRPr="004E63E9">
              <w:rPr>
                <w:sz w:val="20"/>
                <w:szCs w:val="24"/>
                <w:vertAlign w:val="superscript"/>
              </w:rPr>
              <w:t xml:space="preserve"> b</w:t>
            </w:r>
          </w:p>
        </w:tc>
      </w:tr>
      <w:tr w:rsidR="00557C61" w:rsidRPr="004E63E9" w14:paraId="5BA250C5" w14:textId="77777777" w:rsidTr="005362D8">
        <w:tc>
          <w:tcPr>
            <w:tcW w:w="2400" w:type="dxa"/>
            <w:tcBorders>
              <w:top w:val="nil"/>
              <w:bottom w:val="nil"/>
            </w:tcBorders>
            <w:shd w:val="clear" w:color="auto" w:fill="auto"/>
          </w:tcPr>
          <w:p w14:paraId="6477C0DE" w14:textId="77777777" w:rsidR="00557C61" w:rsidRPr="004E63E9" w:rsidRDefault="00557C61" w:rsidP="005362D8">
            <w:pPr>
              <w:spacing w:before="20" w:after="20"/>
              <w:ind w:left="360" w:hanging="360"/>
              <w:rPr>
                <w:sz w:val="20"/>
                <w:szCs w:val="24"/>
              </w:rPr>
            </w:pPr>
            <w:r w:rsidRPr="004E63E9">
              <w:rPr>
                <w:sz w:val="20"/>
                <w:szCs w:val="24"/>
              </w:rPr>
              <w:lastRenderedPageBreak/>
              <w:tab/>
            </w:r>
            <w:proofErr w:type="spellStart"/>
            <w:r w:rsidRPr="004E63E9">
              <w:rPr>
                <w:sz w:val="20"/>
                <w:szCs w:val="24"/>
              </w:rPr>
              <w:t>Sorafenib</w:t>
            </w:r>
            <w:proofErr w:type="spellEnd"/>
            <w:r w:rsidRPr="004E63E9">
              <w:rPr>
                <w:sz w:val="20"/>
                <w:szCs w:val="24"/>
              </w:rPr>
              <w:t xml:space="preserve"> only</w:t>
            </w:r>
          </w:p>
        </w:tc>
        <w:tc>
          <w:tcPr>
            <w:tcW w:w="720" w:type="dxa"/>
            <w:tcBorders>
              <w:top w:val="nil"/>
              <w:bottom w:val="nil"/>
            </w:tcBorders>
            <w:shd w:val="clear" w:color="auto" w:fill="auto"/>
          </w:tcPr>
          <w:p w14:paraId="612F035A" w14:textId="77777777" w:rsidR="00557C61" w:rsidRPr="004E63E9" w:rsidRDefault="00557C61" w:rsidP="005362D8">
            <w:pPr>
              <w:spacing w:before="20" w:after="20"/>
              <w:rPr>
                <w:sz w:val="20"/>
                <w:szCs w:val="24"/>
              </w:rPr>
            </w:pPr>
            <w:r w:rsidRPr="004E63E9">
              <w:rPr>
                <w:sz w:val="20"/>
                <w:szCs w:val="24"/>
              </w:rPr>
              <w:t>124</w:t>
            </w:r>
          </w:p>
        </w:tc>
        <w:tc>
          <w:tcPr>
            <w:tcW w:w="1640" w:type="dxa"/>
            <w:tcBorders>
              <w:top w:val="nil"/>
              <w:bottom w:val="nil"/>
            </w:tcBorders>
            <w:shd w:val="clear" w:color="auto" w:fill="auto"/>
          </w:tcPr>
          <w:p w14:paraId="63A07374" w14:textId="77777777" w:rsidR="00557C61" w:rsidRPr="004E63E9" w:rsidRDefault="00557C61" w:rsidP="005362D8">
            <w:pPr>
              <w:spacing w:before="20" w:after="20"/>
              <w:jc w:val="center"/>
              <w:rPr>
                <w:sz w:val="20"/>
                <w:szCs w:val="24"/>
              </w:rPr>
            </w:pPr>
            <w:r w:rsidRPr="004E63E9">
              <w:rPr>
                <w:sz w:val="20"/>
                <w:szCs w:val="24"/>
              </w:rPr>
              <w:t>5.9</w:t>
            </w:r>
            <w:r w:rsidRPr="004E63E9">
              <w:rPr>
                <w:sz w:val="20"/>
                <w:szCs w:val="24"/>
              </w:rPr>
              <w:br/>
              <w:t>(4.9 to 11.4)</w:t>
            </w:r>
          </w:p>
        </w:tc>
        <w:tc>
          <w:tcPr>
            <w:tcW w:w="1640" w:type="dxa"/>
            <w:tcBorders>
              <w:top w:val="nil"/>
              <w:bottom w:val="nil"/>
            </w:tcBorders>
            <w:shd w:val="clear" w:color="auto" w:fill="auto"/>
          </w:tcPr>
          <w:p w14:paraId="1D7A083A" w14:textId="77777777" w:rsidR="00557C61" w:rsidRPr="004E63E9" w:rsidRDefault="00557C61" w:rsidP="005362D8">
            <w:pPr>
              <w:spacing w:before="20" w:after="20"/>
              <w:jc w:val="center"/>
              <w:rPr>
                <w:sz w:val="20"/>
                <w:szCs w:val="24"/>
              </w:rPr>
            </w:pPr>
            <w:r w:rsidRPr="004E63E9">
              <w:rPr>
                <w:sz w:val="20"/>
                <w:szCs w:val="24"/>
              </w:rPr>
              <w:t>2.8</w:t>
            </w:r>
            <w:r w:rsidRPr="004E63E9">
              <w:rPr>
                <w:sz w:val="20"/>
                <w:szCs w:val="24"/>
              </w:rPr>
              <w:br/>
              <w:t>(1.9 to 3.6)</w:t>
            </w:r>
          </w:p>
        </w:tc>
        <w:tc>
          <w:tcPr>
            <w:tcW w:w="1760" w:type="dxa"/>
            <w:tcBorders>
              <w:top w:val="nil"/>
              <w:bottom w:val="nil"/>
            </w:tcBorders>
            <w:shd w:val="clear" w:color="auto" w:fill="auto"/>
          </w:tcPr>
          <w:p w14:paraId="6D9A5FCD" w14:textId="77777777" w:rsidR="00557C61" w:rsidRPr="004E63E9" w:rsidRDefault="00557C61" w:rsidP="005362D8">
            <w:pPr>
              <w:spacing w:before="20" w:after="20"/>
              <w:jc w:val="center"/>
              <w:rPr>
                <w:sz w:val="20"/>
                <w:szCs w:val="24"/>
              </w:rPr>
            </w:pPr>
            <w:r w:rsidRPr="004E63E9">
              <w:rPr>
                <w:sz w:val="20"/>
                <w:szCs w:val="24"/>
              </w:rPr>
              <w:t>0.25</w:t>
            </w:r>
            <w:r w:rsidRPr="004E63E9">
              <w:rPr>
                <w:sz w:val="20"/>
                <w:szCs w:val="24"/>
              </w:rPr>
              <w:br/>
              <w:t>(0.16 to 0.42)</w:t>
            </w:r>
          </w:p>
        </w:tc>
        <w:tc>
          <w:tcPr>
            <w:tcW w:w="1031" w:type="dxa"/>
            <w:tcBorders>
              <w:top w:val="nil"/>
              <w:bottom w:val="nil"/>
            </w:tcBorders>
            <w:shd w:val="clear" w:color="auto" w:fill="auto"/>
          </w:tcPr>
          <w:p w14:paraId="565A274B" w14:textId="77777777" w:rsidR="00557C61" w:rsidRPr="004E63E9" w:rsidRDefault="00557C61" w:rsidP="005362D8">
            <w:pPr>
              <w:spacing w:before="20" w:after="20"/>
              <w:rPr>
                <w:sz w:val="20"/>
                <w:szCs w:val="24"/>
              </w:rPr>
            </w:pPr>
            <w:r w:rsidRPr="004E63E9">
              <w:rPr>
                <w:sz w:val="20"/>
                <w:szCs w:val="24"/>
              </w:rPr>
              <w:t>&lt;0.001</w:t>
            </w:r>
            <w:r w:rsidRPr="004E63E9">
              <w:rPr>
                <w:sz w:val="20"/>
                <w:szCs w:val="24"/>
                <w:vertAlign w:val="superscript"/>
              </w:rPr>
              <w:t xml:space="preserve"> b</w:t>
            </w:r>
          </w:p>
        </w:tc>
      </w:tr>
      <w:tr w:rsidR="00557C61" w:rsidRPr="004E63E9" w14:paraId="00459F83" w14:textId="77777777" w:rsidTr="005362D8">
        <w:tc>
          <w:tcPr>
            <w:tcW w:w="2400" w:type="dxa"/>
            <w:tcBorders>
              <w:top w:val="nil"/>
              <w:bottom w:val="single" w:sz="4" w:space="0" w:color="auto"/>
            </w:tcBorders>
            <w:shd w:val="clear" w:color="auto" w:fill="auto"/>
          </w:tcPr>
          <w:p w14:paraId="7D017E50" w14:textId="77777777" w:rsidR="00557C61" w:rsidRPr="004E63E9" w:rsidRDefault="00557C61" w:rsidP="005362D8">
            <w:pPr>
              <w:spacing w:before="20" w:after="20"/>
              <w:ind w:left="360" w:hanging="360"/>
              <w:rPr>
                <w:sz w:val="20"/>
                <w:szCs w:val="24"/>
              </w:rPr>
            </w:pPr>
            <w:r w:rsidRPr="004E63E9">
              <w:rPr>
                <w:sz w:val="20"/>
                <w:szCs w:val="24"/>
              </w:rPr>
              <w:tab/>
            </w:r>
            <w:proofErr w:type="spellStart"/>
            <w:r w:rsidRPr="004E63E9">
              <w:rPr>
                <w:sz w:val="20"/>
                <w:szCs w:val="24"/>
              </w:rPr>
              <w:t>Sunitinib</w:t>
            </w:r>
            <w:proofErr w:type="spellEnd"/>
            <w:r w:rsidRPr="004E63E9">
              <w:rPr>
                <w:sz w:val="20"/>
                <w:szCs w:val="24"/>
              </w:rPr>
              <w:t xml:space="preserve"> and </w:t>
            </w:r>
            <w:proofErr w:type="spellStart"/>
            <w:r w:rsidRPr="004E63E9">
              <w:rPr>
                <w:sz w:val="20"/>
                <w:szCs w:val="24"/>
              </w:rPr>
              <w:t>sorafenib</w:t>
            </w:r>
            <w:proofErr w:type="spellEnd"/>
          </w:p>
        </w:tc>
        <w:tc>
          <w:tcPr>
            <w:tcW w:w="720" w:type="dxa"/>
            <w:tcBorders>
              <w:top w:val="nil"/>
              <w:bottom w:val="single" w:sz="4" w:space="0" w:color="auto"/>
            </w:tcBorders>
            <w:shd w:val="clear" w:color="auto" w:fill="auto"/>
          </w:tcPr>
          <w:p w14:paraId="3D57C0B8" w14:textId="77777777" w:rsidR="00557C61" w:rsidRPr="004E63E9" w:rsidRDefault="00557C61" w:rsidP="005362D8">
            <w:pPr>
              <w:spacing w:before="20" w:after="20"/>
              <w:rPr>
                <w:sz w:val="20"/>
                <w:szCs w:val="24"/>
              </w:rPr>
            </w:pPr>
            <w:r w:rsidRPr="004E63E9">
              <w:rPr>
                <w:sz w:val="20"/>
                <w:szCs w:val="24"/>
              </w:rPr>
              <w:t>108</w:t>
            </w:r>
          </w:p>
        </w:tc>
        <w:tc>
          <w:tcPr>
            <w:tcW w:w="1640" w:type="dxa"/>
            <w:tcBorders>
              <w:top w:val="nil"/>
              <w:bottom w:val="single" w:sz="4" w:space="0" w:color="auto"/>
            </w:tcBorders>
            <w:shd w:val="clear" w:color="auto" w:fill="auto"/>
          </w:tcPr>
          <w:p w14:paraId="6A891DD8" w14:textId="77777777" w:rsidR="00557C61" w:rsidRPr="004E63E9" w:rsidRDefault="00557C61" w:rsidP="005362D8">
            <w:pPr>
              <w:spacing w:before="20" w:after="20"/>
              <w:jc w:val="center"/>
              <w:rPr>
                <w:sz w:val="20"/>
                <w:szCs w:val="24"/>
              </w:rPr>
            </w:pPr>
            <w:r w:rsidRPr="004E63E9">
              <w:rPr>
                <w:sz w:val="20"/>
                <w:szCs w:val="24"/>
              </w:rPr>
              <w:t>4.0</w:t>
            </w:r>
            <w:r w:rsidRPr="004E63E9">
              <w:rPr>
                <w:sz w:val="20"/>
                <w:szCs w:val="24"/>
              </w:rPr>
              <w:br/>
              <w:t>(3.6 to 5.4)</w:t>
            </w:r>
          </w:p>
        </w:tc>
        <w:tc>
          <w:tcPr>
            <w:tcW w:w="1640" w:type="dxa"/>
            <w:tcBorders>
              <w:top w:val="nil"/>
              <w:bottom w:val="single" w:sz="4" w:space="0" w:color="auto"/>
            </w:tcBorders>
            <w:shd w:val="clear" w:color="auto" w:fill="auto"/>
          </w:tcPr>
          <w:p w14:paraId="294AE0DB" w14:textId="77777777" w:rsidR="00557C61" w:rsidRPr="004E63E9" w:rsidRDefault="00557C61" w:rsidP="005362D8">
            <w:pPr>
              <w:spacing w:before="20" w:after="20"/>
              <w:jc w:val="center"/>
              <w:rPr>
                <w:sz w:val="20"/>
                <w:szCs w:val="24"/>
              </w:rPr>
            </w:pPr>
            <w:r w:rsidRPr="004E63E9">
              <w:rPr>
                <w:sz w:val="20"/>
                <w:szCs w:val="24"/>
              </w:rPr>
              <w:t>1.8</w:t>
            </w:r>
            <w:r w:rsidRPr="004E63E9">
              <w:rPr>
                <w:sz w:val="20"/>
                <w:szCs w:val="24"/>
              </w:rPr>
              <w:br/>
              <w:t>(1.8 to 2.0)</w:t>
            </w:r>
          </w:p>
        </w:tc>
        <w:tc>
          <w:tcPr>
            <w:tcW w:w="1760" w:type="dxa"/>
            <w:tcBorders>
              <w:top w:val="nil"/>
              <w:bottom w:val="single" w:sz="4" w:space="0" w:color="auto"/>
            </w:tcBorders>
            <w:shd w:val="clear" w:color="auto" w:fill="auto"/>
          </w:tcPr>
          <w:p w14:paraId="38A0EEED" w14:textId="77777777" w:rsidR="00557C61" w:rsidRPr="004E63E9" w:rsidRDefault="00557C61" w:rsidP="005362D8">
            <w:pPr>
              <w:spacing w:before="20" w:after="20"/>
              <w:jc w:val="center"/>
              <w:rPr>
                <w:sz w:val="20"/>
                <w:szCs w:val="24"/>
              </w:rPr>
            </w:pPr>
            <w:r w:rsidRPr="004E63E9">
              <w:rPr>
                <w:sz w:val="20"/>
                <w:szCs w:val="24"/>
              </w:rPr>
              <w:t>0.32</w:t>
            </w:r>
            <w:r w:rsidRPr="004E63E9">
              <w:rPr>
                <w:sz w:val="20"/>
                <w:szCs w:val="24"/>
              </w:rPr>
              <w:br/>
              <w:t>(0.19 to 0.54)</w:t>
            </w:r>
          </w:p>
        </w:tc>
        <w:tc>
          <w:tcPr>
            <w:tcW w:w="1031" w:type="dxa"/>
            <w:tcBorders>
              <w:top w:val="nil"/>
              <w:bottom w:val="single" w:sz="4" w:space="0" w:color="auto"/>
            </w:tcBorders>
            <w:shd w:val="clear" w:color="auto" w:fill="auto"/>
          </w:tcPr>
          <w:p w14:paraId="10FACAE0" w14:textId="77777777" w:rsidR="00557C61" w:rsidRPr="004E63E9" w:rsidRDefault="00557C61" w:rsidP="005362D8">
            <w:pPr>
              <w:spacing w:before="20" w:after="20"/>
              <w:rPr>
                <w:sz w:val="20"/>
                <w:szCs w:val="24"/>
              </w:rPr>
            </w:pPr>
            <w:r w:rsidRPr="004E63E9">
              <w:rPr>
                <w:sz w:val="20"/>
                <w:szCs w:val="24"/>
              </w:rPr>
              <w:t>&lt;0.001</w:t>
            </w:r>
            <w:r w:rsidRPr="004E63E9">
              <w:rPr>
                <w:sz w:val="20"/>
                <w:szCs w:val="24"/>
                <w:vertAlign w:val="superscript"/>
              </w:rPr>
              <w:t xml:space="preserve"> b</w:t>
            </w:r>
          </w:p>
        </w:tc>
      </w:tr>
      <w:tr w:rsidR="00557C61" w:rsidRPr="004E63E9" w14:paraId="3C5B285D" w14:textId="77777777" w:rsidTr="005362D8">
        <w:trPr>
          <w:trHeight w:val="375"/>
        </w:trPr>
        <w:tc>
          <w:tcPr>
            <w:tcW w:w="9191" w:type="dxa"/>
            <w:gridSpan w:val="6"/>
            <w:tcBorders>
              <w:top w:val="single" w:sz="4" w:space="0" w:color="auto"/>
              <w:bottom w:val="single" w:sz="4" w:space="0" w:color="auto"/>
            </w:tcBorders>
            <w:shd w:val="clear" w:color="auto" w:fill="auto"/>
          </w:tcPr>
          <w:p w14:paraId="0A05178B" w14:textId="77777777" w:rsidR="00557C61" w:rsidRPr="004E63E9" w:rsidRDefault="00557C61" w:rsidP="005362D8">
            <w:pPr>
              <w:spacing w:before="20" w:after="20"/>
              <w:rPr>
                <w:sz w:val="20"/>
                <w:szCs w:val="24"/>
              </w:rPr>
            </w:pPr>
            <w:r w:rsidRPr="004E63E9">
              <w:rPr>
                <w:sz w:val="20"/>
                <w:szCs w:val="24"/>
                <w:vertAlign w:val="superscript"/>
              </w:rPr>
              <w:t>a</w:t>
            </w:r>
            <w:r w:rsidRPr="004E63E9">
              <w:rPr>
                <w:sz w:val="20"/>
                <w:szCs w:val="24"/>
              </w:rPr>
              <w:t xml:space="preserve"> Log-rank test stratified by prognostic score</w:t>
            </w:r>
          </w:p>
          <w:p w14:paraId="0064F6C2" w14:textId="77777777" w:rsidR="00557C61" w:rsidRPr="004E63E9" w:rsidRDefault="00557C61" w:rsidP="005362D8">
            <w:pPr>
              <w:spacing w:before="20" w:after="20"/>
              <w:rPr>
                <w:sz w:val="20"/>
                <w:szCs w:val="24"/>
              </w:rPr>
            </w:pPr>
            <w:r w:rsidRPr="004E63E9">
              <w:rPr>
                <w:sz w:val="20"/>
                <w:szCs w:val="24"/>
                <w:vertAlign w:val="superscript"/>
              </w:rPr>
              <w:t>b</w:t>
            </w:r>
            <w:r w:rsidRPr="004E63E9">
              <w:rPr>
                <w:sz w:val="20"/>
                <w:szCs w:val="24"/>
              </w:rPr>
              <w:t xml:space="preserve"> </w:t>
            </w:r>
            <w:proofErr w:type="spellStart"/>
            <w:r w:rsidRPr="004E63E9">
              <w:rPr>
                <w:sz w:val="20"/>
                <w:szCs w:val="24"/>
              </w:rPr>
              <w:t>Unstratified</w:t>
            </w:r>
            <w:proofErr w:type="spellEnd"/>
            <w:r w:rsidRPr="004E63E9">
              <w:rPr>
                <w:sz w:val="20"/>
                <w:szCs w:val="24"/>
              </w:rPr>
              <w:t xml:space="preserve"> one-sided log-rank test</w:t>
            </w:r>
          </w:p>
        </w:tc>
      </w:tr>
    </w:tbl>
    <w:p w14:paraId="102855B4" w14:textId="77777777" w:rsidR="00557C61" w:rsidRPr="0022140F" w:rsidRDefault="00557C61" w:rsidP="00557C61">
      <w:pPr>
        <w:spacing w:before="120" w:after="120"/>
        <w:rPr>
          <w:b/>
          <w:sz w:val="24"/>
          <w:szCs w:val="24"/>
        </w:rPr>
      </w:pPr>
    </w:p>
    <w:p w14:paraId="766C9428" w14:textId="77777777" w:rsidR="00557C61" w:rsidRPr="0022140F" w:rsidRDefault="00557C61" w:rsidP="00557C61">
      <w:pPr>
        <w:pStyle w:val="Caption"/>
        <w:keepNext/>
        <w:rPr>
          <w:rFonts w:asciiTheme="minorHAnsi" w:hAnsiTheme="minorHAnsi"/>
        </w:rPr>
      </w:pPr>
      <w:bookmarkStart w:id="36" w:name="_Ref491095559"/>
      <w:r w:rsidRPr="0022140F">
        <w:rPr>
          <w:rFonts w:asciiTheme="minorHAnsi" w:hAnsiTheme="minorHAnsi"/>
        </w:rPr>
        <w:t xml:space="preserve">Figure </w:t>
      </w:r>
      <w:r w:rsidRPr="0022140F">
        <w:rPr>
          <w:rFonts w:asciiTheme="minorHAnsi" w:hAnsiTheme="minorHAnsi"/>
        </w:rPr>
        <w:fldChar w:fldCharType="begin"/>
      </w:r>
      <w:r w:rsidRPr="0022140F">
        <w:rPr>
          <w:rFonts w:asciiTheme="minorHAnsi" w:hAnsiTheme="minorHAnsi"/>
        </w:rPr>
        <w:instrText xml:space="preserve"> SEQ Figure \* ARABIC </w:instrText>
      </w:r>
      <w:r w:rsidRPr="0022140F">
        <w:rPr>
          <w:rFonts w:asciiTheme="minorHAnsi" w:hAnsiTheme="minorHAnsi"/>
        </w:rPr>
        <w:fldChar w:fldCharType="separate"/>
      </w:r>
      <w:r w:rsidR="00D64407">
        <w:rPr>
          <w:rFonts w:asciiTheme="minorHAnsi" w:hAnsiTheme="minorHAnsi"/>
          <w:noProof/>
        </w:rPr>
        <w:t>9</w:t>
      </w:r>
      <w:r w:rsidRPr="0022140F">
        <w:rPr>
          <w:rFonts w:asciiTheme="minorHAnsi" w:hAnsiTheme="minorHAnsi"/>
        </w:rPr>
        <w:fldChar w:fldCharType="end"/>
      </w:r>
      <w:bookmarkEnd w:id="36"/>
      <w:r w:rsidRPr="0022140F">
        <w:rPr>
          <w:rFonts w:asciiTheme="minorHAnsi" w:hAnsiTheme="minorHAnsi"/>
        </w:rPr>
        <w:t xml:space="preserve"> </w:t>
      </w:r>
      <w:r w:rsidRPr="0022140F">
        <w:rPr>
          <w:rFonts w:asciiTheme="minorHAnsi" w:hAnsiTheme="minorHAnsi"/>
        </w:rPr>
        <w:tab/>
        <w:t>RECORD-1 - Kaplan-Meier progression-free survival curves</w:t>
      </w:r>
    </w:p>
    <w:p w14:paraId="3E7CC475" w14:textId="77777777" w:rsidR="00557C61" w:rsidRPr="0022140F" w:rsidRDefault="00557C61" w:rsidP="00557C61">
      <w:pPr>
        <w:spacing w:before="120" w:after="120"/>
        <w:rPr>
          <w:sz w:val="24"/>
          <w:szCs w:val="24"/>
        </w:rPr>
      </w:pPr>
      <w:r w:rsidRPr="0022140F">
        <w:rPr>
          <w:noProof/>
          <w:lang w:eastAsia="en-AU"/>
        </w:rPr>
        <w:drawing>
          <wp:inline distT="0" distB="0" distL="0" distR="0" wp14:anchorId="27013097" wp14:editId="73B1DBB5">
            <wp:extent cx="5762625" cy="3724275"/>
            <wp:effectExtent l="0" t="0" r="9525" b="9525"/>
            <wp:docPr id="10" name="Picture 4"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3724275"/>
                    </a:xfrm>
                    <a:prstGeom prst="rect">
                      <a:avLst/>
                    </a:prstGeom>
                    <a:noFill/>
                    <a:ln>
                      <a:noFill/>
                    </a:ln>
                  </pic:spPr>
                </pic:pic>
              </a:graphicData>
            </a:graphic>
          </wp:inline>
        </w:drawing>
      </w:r>
    </w:p>
    <w:p w14:paraId="53899525" w14:textId="77777777" w:rsidR="00557C61" w:rsidRPr="0022140F" w:rsidRDefault="00557C61" w:rsidP="00557C61">
      <w:pPr>
        <w:rPr>
          <w:lang w:val="en-GB"/>
        </w:rPr>
      </w:pPr>
      <w:r w:rsidRPr="0022140F">
        <w:rPr>
          <w:lang w:val="en-GB"/>
        </w:rPr>
        <w:t xml:space="preserve">Six-month PFS rates were 36% for </w:t>
      </w:r>
      <w:proofErr w:type="spellStart"/>
      <w:r w:rsidRPr="0022140F">
        <w:rPr>
          <w:lang w:val="en-GB"/>
        </w:rPr>
        <w:t>Afinitor</w:t>
      </w:r>
      <w:proofErr w:type="spellEnd"/>
      <w:r w:rsidRPr="0022140F">
        <w:rPr>
          <w:lang w:val="en-GB"/>
        </w:rPr>
        <w:t xml:space="preserve"> therapy compared with 9% for placebo.</w:t>
      </w:r>
    </w:p>
    <w:p w14:paraId="602B81B5" w14:textId="77777777" w:rsidR="00557C61" w:rsidRPr="0022140F" w:rsidRDefault="00557C61" w:rsidP="00557C61">
      <w:pPr>
        <w:rPr>
          <w:lang w:val="en-GB"/>
        </w:rPr>
      </w:pPr>
      <w:r w:rsidRPr="0022140F">
        <w:rPr>
          <w:lang w:val="en-GB"/>
        </w:rPr>
        <w:t xml:space="preserve">Confirmed objective tumour responses were observed in 5 patients (2%) receiving </w:t>
      </w:r>
      <w:proofErr w:type="spellStart"/>
      <w:r w:rsidRPr="0022140F">
        <w:rPr>
          <w:lang w:val="en-GB"/>
        </w:rPr>
        <w:t>Afinitor</w:t>
      </w:r>
      <w:proofErr w:type="spellEnd"/>
      <w:r w:rsidRPr="0022140F">
        <w:rPr>
          <w:lang w:val="en-GB"/>
        </w:rPr>
        <w:t xml:space="preserve"> while none were observed in patients receiving placebo. The progression-free survival advantage therefore primarily reflects the population with disease stabilisation (corresponding to 67% of the </w:t>
      </w:r>
      <w:proofErr w:type="spellStart"/>
      <w:r w:rsidRPr="0022140F">
        <w:rPr>
          <w:lang w:val="en-GB"/>
        </w:rPr>
        <w:t>Afinitor</w:t>
      </w:r>
      <w:proofErr w:type="spellEnd"/>
      <w:r w:rsidRPr="0022140F">
        <w:rPr>
          <w:lang w:val="en-GB"/>
        </w:rPr>
        <w:t xml:space="preserve"> treatment group).</w:t>
      </w:r>
    </w:p>
    <w:p w14:paraId="001BF1B9" w14:textId="77777777" w:rsidR="00557C61" w:rsidRPr="0022140F" w:rsidRDefault="00557C61" w:rsidP="00557C61">
      <w:pPr>
        <w:rPr>
          <w:lang w:val="en-GB"/>
        </w:rPr>
      </w:pPr>
      <w:r w:rsidRPr="0022140F">
        <w:rPr>
          <w:lang w:val="en-GB"/>
        </w:rPr>
        <w:t xml:space="preserve">No statistically significant treatment-related difference in overall survival was noted, although there was a trend in favour of </w:t>
      </w:r>
      <w:proofErr w:type="spellStart"/>
      <w:r w:rsidRPr="0022140F">
        <w:rPr>
          <w:lang w:val="en-GB"/>
        </w:rPr>
        <w:t>Afinitor</w:t>
      </w:r>
      <w:proofErr w:type="spellEnd"/>
      <w:r w:rsidRPr="0022140F">
        <w:rPr>
          <w:lang w:val="en-GB"/>
        </w:rPr>
        <w:t xml:space="preserve"> (HR 0.82; 95% CI: 0.57 to 1.17; p=0.137). Crossover to open-label </w:t>
      </w:r>
      <w:proofErr w:type="spellStart"/>
      <w:r w:rsidRPr="0022140F">
        <w:rPr>
          <w:lang w:val="en-GB"/>
        </w:rPr>
        <w:t>Afinitor</w:t>
      </w:r>
      <w:proofErr w:type="spellEnd"/>
      <w:r w:rsidRPr="0022140F">
        <w:rPr>
          <w:lang w:val="en-GB"/>
        </w:rPr>
        <w:t xml:space="preserve"> following disease progression for patients allocated to placebo confounded the detection of any treatment-related difference in overall survival.</w:t>
      </w:r>
    </w:p>
    <w:p w14:paraId="4B14E813" w14:textId="77777777" w:rsidR="00557C61" w:rsidRPr="0022140F" w:rsidRDefault="00557C61" w:rsidP="00557C61">
      <w:pPr>
        <w:rPr>
          <w:lang w:val="en-GB"/>
        </w:rPr>
      </w:pPr>
      <w:r w:rsidRPr="0022140F">
        <w:rPr>
          <w:lang w:val="en-GB"/>
        </w:rPr>
        <w:t xml:space="preserve">Subgroup analyses by age (&lt;65 years and ≥65 years) indicated that the </w:t>
      </w:r>
      <w:proofErr w:type="spellStart"/>
      <w:r w:rsidRPr="0022140F">
        <w:rPr>
          <w:lang w:val="en-GB"/>
        </w:rPr>
        <w:t>Afinitor</w:t>
      </w:r>
      <w:proofErr w:type="spellEnd"/>
      <w:r w:rsidRPr="0022140F">
        <w:rPr>
          <w:lang w:val="en-GB"/>
        </w:rPr>
        <w:t xml:space="preserve"> treatment effect was consistent.</w:t>
      </w:r>
    </w:p>
    <w:p w14:paraId="7C17FEA3" w14:textId="77777777" w:rsidR="00557C61" w:rsidRDefault="00557C61" w:rsidP="00557C61">
      <w:pPr>
        <w:rPr>
          <w:lang w:val="en-GB"/>
        </w:rPr>
      </w:pPr>
      <w:r w:rsidRPr="0022140F">
        <w:rPr>
          <w:lang w:val="en-GB"/>
        </w:rPr>
        <w:lastRenderedPageBreak/>
        <w:t xml:space="preserve">No difference in health-related quality of life was observed in patients receiving </w:t>
      </w:r>
      <w:proofErr w:type="spellStart"/>
      <w:r w:rsidRPr="0022140F">
        <w:rPr>
          <w:lang w:val="en-GB"/>
        </w:rPr>
        <w:t>Afinitor</w:t>
      </w:r>
      <w:proofErr w:type="spellEnd"/>
      <w:r w:rsidRPr="0022140F">
        <w:rPr>
          <w:lang w:val="en-GB"/>
        </w:rPr>
        <w:t xml:space="preserve"> compared to placebo patients. </w:t>
      </w:r>
    </w:p>
    <w:p w14:paraId="3F90A45B" w14:textId="77777777" w:rsidR="00557C61" w:rsidRPr="0022140F" w:rsidRDefault="00557C61" w:rsidP="00557C61">
      <w:pPr>
        <w:rPr>
          <w:lang w:val="en-GB"/>
        </w:rPr>
      </w:pPr>
    </w:p>
    <w:p w14:paraId="2AFE1BB0" w14:textId="77777777" w:rsidR="00557C61" w:rsidRPr="00E253EE" w:rsidRDefault="00557C61" w:rsidP="00557C61">
      <w:pPr>
        <w:pStyle w:val="Heading3"/>
        <w:tabs>
          <w:tab w:val="left" w:pos="567"/>
        </w:tabs>
        <w:spacing w:before="0" w:after="240" w:line="320" w:lineRule="atLeast"/>
        <w:ind w:left="0"/>
        <w:rPr>
          <w:rFonts w:asciiTheme="minorHAnsi" w:hAnsiTheme="minorHAnsi"/>
          <w:u w:val="single"/>
          <w:lang w:val="en-GB"/>
        </w:rPr>
      </w:pPr>
      <w:r w:rsidRPr="00E253EE">
        <w:rPr>
          <w:rFonts w:asciiTheme="minorHAnsi" w:hAnsiTheme="minorHAnsi"/>
          <w:u w:val="single"/>
          <w:lang w:val="en-GB"/>
        </w:rPr>
        <w:t>Tuberous sclerosis complex (TSC) with refractory seizures</w:t>
      </w:r>
    </w:p>
    <w:p w14:paraId="7179069A" w14:textId="77777777" w:rsidR="00557C61" w:rsidRPr="0022140F" w:rsidRDefault="00557C61" w:rsidP="00557C61">
      <w:r w:rsidRPr="0022140F">
        <w:t xml:space="preserve">EXIST-3 (Study CRAD001M2304), a randomized, double-blind, </w:t>
      </w:r>
      <w:proofErr w:type="spellStart"/>
      <w:r w:rsidRPr="0022140F">
        <w:t>multicenter</w:t>
      </w:r>
      <w:proofErr w:type="spellEnd"/>
      <w:r w:rsidRPr="0022140F">
        <w:t xml:space="preserve">, three-arm, parallel-group, phase-III study of </w:t>
      </w:r>
      <w:proofErr w:type="spellStart"/>
      <w:r w:rsidRPr="0022140F">
        <w:t>Afinitor</w:t>
      </w:r>
      <w:proofErr w:type="spellEnd"/>
      <w:r w:rsidRPr="0022140F">
        <w:t xml:space="preserve"> Dispersible Tablets versus placebo as adjunctive therapy was conducted in TSC patients with refractory seizures. Patients were treated with concomitant and stable dose of 1</w:t>
      </w:r>
      <w:r w:rsidRPr="0022140F">
        <w:noBreakHyphen/>
        <w:t xml:space="preserve">3 antiepileptic drug(s) (AEDs) prior to study entry. The study consisted of three phases: an 8-week baseline observation phase; an 18-week double-blind, placebo-controlled core treatment phase (composed of titration and maintenance periods) and an extension phase in which all patients received </w:t>
      </w:r>
      <w:proofErr w:type="spellStart"/>
      <w:r w:rsidRPr="0022140F">
        <w:t>everolimus</w:t>
      </w:r>
      <w:proofErr w:type="spellEnd"/>
      <w:r w:rsidRPr="0022140F">
        <w:t>.</w:t>
      </w:r>
    </w:p>
    <w:p w14:paraId="4AFF2FB7" w14:textId="77777777" w:rsidR="00557C61" w:rsidRPr="0022140F" w:rsidRDefault="00557C61" w:rsidP="00557C61">
      <w:r w:rsidRPr="0022140F">
        <w:t>The primary endpoint was the response rate defined as at least a 50% reduction from baseline in seizure frequency during the maintenance period of the core phase.</w:t>
      </w:r>
    </w:p>
    <w:p w14:paraId="3AD65D5E" w14:textId="77777777" w:rsidR="00557C61" w:rsidRPr="0022140F" w:rsidRDefault="00557C61" w:rsidP="00557C61">
      <w:r w:rsidRPr="0022140F">
        <w:t>The percentage reduction from baseline in seizure frequency during the maintenance period of the core phase was a supporting endpoint.</w:t>
      </w:r>
    </w:p>
    <w:p w14:paraId="4CC8A97A" w14:textId="77777777" w:rsidR="00557C61" w:rsidRPr="0022140F" w:rsidRDefault="00557C61" w:rsidP="00557C61">
      <w:r w:rsidRPr="0022140F">
        <w:t xml:space="preserve">Secondary endpoints included seizure freedom, proportion of patients with </w:t>
      </w:r>
      <w:r w:rsidRPr="0022140F">
        <w:rPr>
          <w:u w:val="single"/>
        </w:rPr>
        <w:t>&gt;</w:t>
      </w:r>
      <w:r w:rsidRPr="0022140F">
        <w:t>25% seizure frequency reduction from baseline, distribution of reduction from baseline in seizure frequency (≤</w:t>
      </w:r>
      <w:r w:rsidRPr="0022140F">
        <w:noBreakHyphen/>
        <w:t>25%, &gt;</w:t>
      </w:r>
      <w:r w:rsidRPr="0022140F">
        <w:noBreakHyphen/>
        <w:t>25% to &lt;25%; ≥25% to &lt;50%; ≥50% to &lt;75%; ≥75% to &lt;100%; 100%), long-term evaluation of seizure frequency and overall quality-of-</w:t>
      </w:r>
      <w:proofErr w:type="spellStart"/>
      <w:r w:rsidRPr="0022140F">
        <w:t>life.A</w:t>
      </w:r>
      <w:proofErr w:type="spellEnd"/>
      <w:r w:rsidRPr="0022140F">
        <w:t xml:space="preserve"> total of 366 TSC patients with refractory seizures were randomized in an 1:1.09:1 ratio to </w:t>
      </w:r>
      <w:proofErr w:type="spellStart"/>
      <w:r w:rsidRPr="0022140F">
        <w:t>Afinitor</w:t>
      </w:r>
      <w:proofErr w:type="spellEnd"/>
      <w:r w:rsidRPr="0022140F">
        <w:t xml:space="preserve"> (n=117) low trough (LT) range (3 to 7 ng/mL), </w:t>
      </w:r>
      <w:proofErr w:type="spellStart"/>
      <w:r w:rsidRPr="0022140F">
        <w:t>Afinitor</w:t>
      </w:r>
      <w:proofErr w:type="spellEnd"/>
      <w:r w:rsidRPr="0022140F">
        <w:t xml:space="preserve"> (n=130) high trough (HT) range (9 to 15 ng/mL) or placebo (n=119) added to each patient’s concomitant AED therapy. Median age was 10.1 years (range: 2.2</w:t>
      </w:r>
      <w:r w:rsidRPr="0022140F">
        <w:noBreakHyphen/>
        <w:t>56.3; 28.4% &lt;6 years, 30.9% 6 to &lt;12 years, 22.4% 12 to &lt;18 years and 18.3% &gt;18 years); 51.9% were male and 64.8% were Caucasian.  Median duration of treatment was 18 weeks for all three arms.</w:t>
      </w:r>
    </w:p>
    <w:p w14:paraId="491A8E5A" w14:textId="77777777" w:rsidR="00557C61" w:rsidRPr="0022140F" w:rsidRDefault="00557C61" w:rsidP="00557C61">
      <w:r w:rsidRPr="0022140F">
        <w:t xml:space="preserve">At baseline, 19.4% of patients had focal seizures with retained awareness (sensory with electroencephalogram (EEG) or motor), 45.1% had focal seizures with impaired awareness (predominantly non-motor), 69.1% had focal motor seizures, and 1.6% had generalized onset seizures (previously confirmed by EEG). The median baseline seizure frequency across the treatment arms was 35, 38, and 42 seizures per 28 days for the </w:t>
      </w:r>
      <w:proofErr w:type="spellStart"/>
      <w:r w:rsidRPr="0022140F">
        <w:t>Afinitor</w:t>
      </w:r>
      <w:proofErr w:type="spellEnd"/>
      <w:r w:rsidRPr="0022140F">
        <w:t xml:space="preserve"> LT, </w:t>
      </w:r>
      <w:proofErr w:type="spellStart"/>
      <w:r w:rsidRPr="0022140F">
        <w:t>Afinitor</w:t>
      </w:r>
      <w:proofErr w:type="spellEnd"/>
      <w:r w:rsidRPr="0022140F">
        <w:t xml:space="preserve"> HT, and placebo groups, respectively. The majority of patients (67%) failed 5 or more AEDs prior to the study and 41.0% and 47.8% of patients were taking 2 and ≥ 3 AEDs during the study. </w:t>
      </w:r>
    </w:p>
    <w:p w14:paraId="1AD3F527" w14:textId="7B9C53F5" w:rsidR="00557C61" w:rsidRPr="0022140F" w:rsidRDefault="00557C61" w:rsidP="00557C61">
      <w:r w:rsidRPr="0022140F">
        <w:t xml:space="preserve">The study met its primary objective for seizure frequency response rate, as per EMA recommendation, in the two </w:t>
      </w:r>
      <w:proofErr w:type="spellStart"/>
      <w:r w:rsidRPr="0022140F">
        <w:t>everolimus</w:t>
      </w:r>
      <w:proofErr w:type="spellEnd"/>
      <w:r w:rsidRPr="0022140F">
        <w:t xml:space="preserve"> trough + concomitant AEDs arms over the placebo + concomitant AEDs </w:t>
      </w:r>
      <w:proofErr w:type="spellStart"/>
      <w:r w:rsidRPr="0022140F">
        <w:t>arm.The</w:t>
      </w:r>
      <w:proofErr w:type="spellEnd"/>
      <w:r w:rsidRPr="0022140F">
        <w:t xml:space="preserve"> response rate, defined as at least 50% reduction from baseline in seizure frequency was 28.2% (95% CI: 20.3, 37.3) in the </w:t>
      </w:r>
      <w:proofErr w:type="spellStart"/>
      <w:r w:rsidRPr="0022140F">
        <w:t>Afinitor</w:t>
      </w:r>
      <w:proofErr w:type="spellEnd"/>
      <w:r w:rsidRPr="0022140F">
        <w:t xml:space="preserve"> LT arm (p=0.008), 40.0% (95% CI: 31.5, 49.0) in the </w:t>
      </w:r>
      <w:proofErr w:type="spellStart"/>
      <w:r w:rsidRPr="0022140F">
        <w:t>Afinitor</w:t>
      </w:r>
      <w:proofErr w:type="spellEnd"/>
      <w:r w:rsidRPr="0022140F">
        <w:t xml:space="preserve"> HT arm (p&lt;0.001) and 15.1% (95% CI: 9.2, 22.8) in the placebo arm (</w:t>
      </w:r>
      <w:r w:rsidRPr="0022140F">
        <w:fldChar w:fldCharType="begin"/>
      </w:r>
      <w:r w:rsidRPr="0022140F">
        <w:instrText xml:space="preserve"> REF _Ref491441124 \h </w:instrText>
      </w:r>
      <w:r>
        <w:instrText xml:space="preserve"> \* MERGEFORMAT </w:instrText>
      </w:r>
      <w:r w:rsidRPr="0022140F">
        <w:fldChar w:fldCharType="separate"/>
      </w:r>
      <w:r w:rsidR="00D64407" w:rsidRPr="0022140F">
        <w:t xml:space="preserve">Figure </w:t>
      </w:r>
      <w:r w:rsidR="00D64407">
        <w:rPr>
          <w:noProof/>
        </w:rPr>
        <w:t>10</w:t>
      </w:r>
      <w:r w:rsidRPr="0022140F">
        <w:fldChar w:fldCharType="end"/>
      </w:r>
      <w:r w:rsidRPr="0022140F">
        <w:t xml:space="preserve">). Odds Ratios vs placebo (95% CIs): </w:t>
      </w:r>
      <w:proofErr w:type="spellStart"/>
      <w:r w:rsidRPr="0022140F">
        <w:t>Afinitor</w:t>
      </w:r>
      <w:proofErr w:type="spellEnd"/>
      <w:r w:rsidRPr="0022140F">
        <w:t xml:space="preserve"> LT arm 2.21 (1.16, 4.20), </w:t>
      </w:r>
      <w:proofErr w:type="spellStart"/>
      <w:r w:rsidRPr="0022140F">
        <w:t>Afinitor</w:t>
      </w:r>
      <w:proofErr w:type="spellEnd"/>
      <w:r w:rsidRPr="0022140F">
        <w:t xml:space="preserve"> HT arm 3.93 (2.10, 7.32).</w:t>
      </w:r>
    </w:p>
    <w:p w14:paraId="5070A691" w14:textId="77777777" w:rsidR="00557C61" w:rsidRPr="0022140F" w:rsidRDefault="00557C61" w:rsidP="00557C61">
      <w:pPr>
        <w:pStyle w:val="Caption"/>
        <w:keepNext/>
        <w:rPr>
          <w:rFonts w:asciiTheme="minorHAnsi" w:hAnsiTheme="minorHAnsi"/>
        </w:rPr>
      </w:pPr>
    </w:p>
    <w:p w14:paraId="0CB2FADF" w14:textId="77777777" w:rsidR="00557C61" w:rsidRPr="0022140F" w:rsidRDefault="00557C61" w:rsidP="00557C61">
      <w:pPr>
        <w:pStyle w:val="Caption"/>
        <w:keepNext/>
        <w:rPr>
          <w:rFonts w:asciiTheme="minorHAnsi" w:hAnsiTheme="minorHAnsi"/>
        </w:rPr>
      </w:pPr>
      <w:bookmarkStart w:id="37" w:name="_Ref491441124"/>
      <w:r w:rsidRPr="0022140F">
        <w:rPr>
          <w:rFonts w:asciiTheme="minorHAnsi" w:hAnsiTheme="minorHAnsi"/>
        </w:rPr>
        <w:t xml:space="preserve">Figure </w:t>
      </w:r>
      <w:r w:rsidRPr="0022140F">
        <w:rPr>
          <w:rFonts w:asciiTheme="minorHAnsi" w:hAnsiTheme="minorHAnsi"/>
        </w:rPr>
        <w:fldChar w:fldCharType="begin"/>
      </w:r>
      <w:r w:rsidRPr="0022140F">
        <w:rPr>
          <w:rFonts w:asciiTheme="minorHAnsi" w:hAnsiTheme="minorHAnsi"/>
        </w:rPr>
        <w:instrText xml:space="preserve"> SEQ Figure \* ARABIC </w:instrText>
      </w:r>
      <w:r w:rsidRPr="0022140F">
        <w:rPr>
          <w:rFonts w:asciiTheme="minorHAnsi" w:hAnsiTheme="minorHAnsi"/>
        </w:rPr>
        <w:fldChar w:fldCharType="separate"/>
      </w:r>
      <w:r w:rsidR="00D64407">
        <w:rPr>
          <w:rFonts w:asciiTheme="minorHAnsi" w:hAnsiTheme="minorHAnsi"/>
          <w:noProof/>
        </w:rPr>
        <w:t>10</w:t>
      </w:r>
      <w:r w:rsidRPr="0022140F">
        <w:rPr>
          <w:rFonts w:asciiTheme="minorHAnsi" w:hAnsiTheme="minorHAnsi"/>
        </w:rPr>
        <w:fldChar w:fldCharType="end"/>
      </w:r>
      <w:bookmarkEnd w:id="37"/>
      <w:r w:rsidRPr="0022140F">
        <w:rPr>
          <w:rFonts w:asciiTheme="minorHAnsi" w:hAnsiTheme="minorHAnsi"/>
        </w:rPr>
        <w:t xml:space="preserve"> </w:t>
      </w:r>
      <w:r w:rsidRPr="0022140F">
        <w:rPr>
          <w:rFonts w:asciiTheme="minorHAnsi" w:hAnsiTheme="minorHAnsi"/>
        </w:rPr>
        <w:tab/>
        <w:t>EXIST-3 - Seizure frequency response rate (Full Analysis Set)</w:t>
      </w:r>
    </w:p>
    <w:p w14:paraId="494EE998" w14:textId="77777777" w:rsidR="00557C61" w:rsidRPr="0022140F" w:rsidRDefault="00557C61" w:rsidP="00557C61">
      <w:pPr>
        <w:pStyle w:val="Text"/>
        <w:jc w:val="center"/>
        <w:rPr>
          <w:rFonts w:asciiTheme="minorHAnsi" w:hAnsiTheme="minorHAnsi"/>
          <w:b/>
        </w:rPr>
      </w:pPr>
      <w:r w:rsidRPr="0022140F">
        <w:rPr>
          <w:rFonts w:asciiTheme="minorHAnsi" w:hAnsiTheme="minorHAnsi"/>
          <w:noProof/>
          <w:lang w:val="en-AU" w:eastAsia="en-AU"/>
        </w:rPr>
        <w:drawing>
          <wp:inline distT="0" distB="0" distL="0" distR="0" wp14:anchorId="09469A34" wp14:editId="749682A5">
            <wp:extent cx="5762625" cy="3676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676650"/>
                    </a:xfrm>
                    <a:prstGeom prst="rect">
                      <a:avLst/>
                    </a:prstGeom>
                    <a:noFill/>
                    <a:ln>
                      <a:noFill/>
                    </a:ln>
                  </pic:spPr>
                </pic:pic>
              </a:graphicData>
            </a:graphic>
          </wp:inline>
        </w:drawing>
      </w:r>
    </w:p>
    <w:p w14:paraId="736448FA" w14:textId="77777777" w:rsidR="00557C61" w:rsidRPr="0022140F" w:rsidRDefault="00557C61" w:rsidP="00557C61">
      <w:pPr>
        <w:pStyle w:val="Legend"/>
        <w:rPr>
          <w:rFonts w:asciiTheme="minorHAnsi" w:hAnsiTheme="minorHAnsi"/>
          <w:i/>
          <w:sz w:val="16"/>
          <w:szCs w:val="16"/>
        </w:rPr>
      </w:pPr>
      <w:r w:rsidRPr="0022140F">
        <w:rPr>
          <w:rFonts w:asciiTheme="minorHAnsi" w:hAnsiTheme="minorHAnsi"/>
          <w:i/>
          <w:sz w:val="16"/>
          <w:szCs w:val="16"/>
        </w:rPr>
        <w:t>* Statistically significant difference versus placebo, based on Cochran-Mantel-</w:t>
      </w:r>
      <w:proofErr w:type="spellStart"/>
      <w:r w:rsidRPr="0022140F">
        <w:rPr>
          <w:rFonts w:asciiTheme="minorHAnsi" w:hAnsiTheme="minorHAnsi"/>
          <w:i/>
          <w:sz w:val="16"/>
          <w:szCs w:val="16"/>
        </w:rPr>
        <w:t>Haenszel</w:t>
      </w:r>
      <w:proofErr w:type="spellEnd"/>
      <w:r w:rsidRPr="0022140F">
        <w:rPr>
          <w:rFonts w:asciiTheme="minorHAnsi" w:hAnsiTheme="minorHAnsi"/>
          <w:i/>
          <w:sz w:val="16"/>
          <w:szCs w:val="16"/>
        </w:rPr>
        <w:t xml:space="preserve"> tests stratified by age subgroup and a Bonferroni-Holm procedure to ensure a family-wise Type I error rate of 2.5% one-sided</w:t>
      </w:r>
    </w:p>
    <w:p w14:paraId="69509A13" w14:textId="77777777" w:rsidR="00557C61" w:rsidRPr="0022140F" w:rsidRDefault="00557C61" w:rsidP="00557C61">
      <w:pPr>
        <w:pStyle w:val="Legend"/>
        <w:rPr>
          <w:rFonts w:asciiTheme="minorHAnsi" w:hAnsiTheme="minorHAnsi"/>
          <w:i/>
          <w:sz w:val="16"/>
          <w:szCs w:val="16"/>
        </w:rPr>
      </w:pPr>
    </w:p>
    <w:p w14:paraId="5433C376" w14:textId="77777777" w:rsidR="00557C61" w:rsidRPr="0022140F" w:rsidRDefault="00557C61" w:rsidP="00557C61">
      <w:pPr>
        <w:pStyle w:val="Caption"/>
        <w:keepNext/>
        <w:spacing w:line="276" w:lineRule="auto"/>
        <w:rPr>
          <w:rFonts w:asciiTheme="minorHAnsi" w:hAnsiTheme="minorHAnsi"/>
        </w:rPr>
      </w:pPr>
      <w:r w:rsidRPr="0022140F">
        <w:rPr>
          <w:rFonts w:asciiTheme="minorHAnsi" w:hAnsiTheme="minorHAnsi"/>
        </w:rPr>
        <w:t xml:space="preserve"> Table </w:t>
      </w:r>
      <w:r w:rsidRPr="0022140F">
        <w:rPr>
          <w:rFonts w:asciiTheme="minorHAnsi" w:hAnsiTheme="minorHAnsi"/>
        </w:rPr>
        <w:fldChar w:fldCharType="begin"/>
      </w:r>
      <w:r w:rsidRPr="0022140F">
        <w:rPr>
          <w:rFonts w:asciiTheme="minorHAnsi" w:hAnsiTheme="minorHAnsi"/>
        </w:rPr>
        <w:instrText xml:space="preserve"> SEQ Table \* ARABIC </w:instrText>
      </w:r>
      <w:r w:rsidRPr="0022140F">
        <w:rPr>
          <w:rFonts w:asciiTheme="minorHAnsi" w:hAnsiTheme="minorHAnsi"/>
        </w:rPr>
        <w:fldChar w:fldCharType="separate"/>
      </w:r>
      <w:r w:rsidR="00D64407">
        <w:rPr>
          <w:rFonts w:asciiTheme="minorHAnsi" w:hAnsiTheme="minorHAnsi"/>
          <w:noProof/>
        </w:rPr>
        <w:t>11</w:t>
      </w:r>
      <w:r w:rsidRPr="0022140F">
        <w:rPr>
          <w:rFonts w:asciiTheme="minorHAnsi" w:hAnsiTheme="minorHAnsi"/>
        </w:rPr>
        <w:fldChar w:fldCharType="end"/>
      </w:r>
      <w:r w:rsidRPr="0022140F">
        <w:rPr>
          <w:rFonts w:asciiTheme="minorHAnsi" w:hAnsiTheme="minorHAnsi"/>
        </w:rPr>
        <w:t xml:space="preserve"> </w:t>
      </w:r>
      <w:r w:rsidRPr="0022140F">
        <w:rPr>
          <w:rFonts w:asciiTheme="minorHAnsi" w:hAnsiTheme="minorHAnsi"/>
        </w:rPr>
        <w:tab/>
      </w:r>
      <w:r w:rsidRPr="0022140F">
        <w:rPr>
          <w:rFonts w:asciiTheme="minorHAnsi" w:hAnsiTheme="minorHAnsi"/>
        </w:rPr>
        <w:tab/>
        <w:t>EXIST-3 - Seizure frequency response rate</w:t>
      </w:r>
    </w:p>
    <w:tbl>
      <w:tblPr>
        <w:tblW w:w="0" w:type="auto"/>
        <w:tblInd w:w="60" w:type="dxa"/>
        <w:tblLayout w:type="fixed"/>
        <w:tblCellMar>
          <w:left w:w="0" w:type="dxa"/>
          <w:right w:w="0" w:type="dxa"/>
        </w:tblCellMar>
        <w:tblLook w:val="0000" w:firstRow="0" w:lastRow="0" w:firstColumn="0" w:lastColumn="0" w:noHBand="0" w:noVBand="0"/>
      </w:tblPr>
      <w:tblGrid>
        <w:gridCol w:w="4410"/>
        <w:gridCol w:w="1560"/>
        <w:gridCol w:w="1560"/>
        <w:gridCol w:w="1560"/>
      </w:tblGrid>
      <w:tr w:rsidR="00557C61" w:rsidRPr="0022140F" w14:paraId="0A1F2D1B" w14:textId="77777777" w:rsidTr="005362D8">
        <w:trPr>
          <w:cantSplit/>
          <w:tblHeader/>
        </w:trPr>
        <w:tc>
          <w:tcPr>
            <w:tcW w:w="4410" w:type="dxa"/>
            <w:tcBorders>
              <w:top w:val="single" w:sz="6" w:space="0" w:color="000000"/>
              <w:left w:val="nil"/>
              <w:right w:val="nil"/>
            </w:tcBorders>
            <w:shd w:val="clear" w:color="auto" w:fill="FFFFFF"/>
            <w:tcMar>
              <w:left w:w="60" w:type="dxa"/>
              <w:right w:w="60" w:type="dxa"/>
            </w:tcMar>
            <w:vAlign w:val="bottom"/>
          </w:tcPr>
          <w:p w14:paraId="60DE69AC" w14:textId="77777777" w:rsidR="00557C61" w:rsidRPr="0022140F" w:rsidRDefault="00557C61" w:rsidP="005362D8">
            <w:pPr>
              <w:keepNext/>
              <w:tabs>
                <w:tab w:val="left" w:pos="284"/>
              </w:tabs>
              <w:spacing w:after="20"/>
              <w:rPr>
                <w:rFonts w:cs="Arial"/>
                <w:b/>
                <w:sz w:val="18"/>
                <w:szCs w:val="18"/>
              </w:rPr>
            </w:pPr>
          </w:p>
        </w:tc>
        <w:tc>
          <w:tcPr>
            <w:tcW w:w="3120" w:type="dxa"/>
            <w:gridSpan w:val="2"/>
            <w:tcBorders>
              <w:top w:val="single" w:sz="6" w:space="0" w:color="000000"/>
              <w:left w:val="nil"/>
              <w:right w:val="nil"/>
            </w:tcBorders>
            <w:shd w:val="clear" w:color="auto" w:fill="FFFFFF"/>
            <w:tcMar>
              <w:left w:w="60" w:type="dxa"/>
              <w:right w:w="60" w:type="dxa"/>
            </w:tcMar>
            <w:vAlign w:val="bottom"/>
          </w:tcPr>
          <w:p w14:paraId="4F88C33A" w14:textId="77777777" w:rsidR="00557C61" w:rsidRPr="0022140F" w:rsidRDefault="00557C61" w:rsidP="005362D8">
            <w:pPr>
              <w:tabs>
                <w:tab w:val="left" w:pos="284"/>
              </w:tabs>
              <w:spacing w:after="20"/>
              <w:rPr>
                <w:rFonts w:cs="Arial"/>
                <w:b/>
                <w:sz w:val="18"/>
                <w:szCs w:val="18"/>
              </w:rPr>
            </w:pPr>
            <w:proofErr w:type="spellStart"/>
            <w:r w:rsidRPr="0022140F">
              <w:rPr>
                <w:rFonts w:cs="Arial"/>
                <w:b/>
                <w:sz w:val="18"/>
                <w:szCs w:val="18"/>
              </w:rPr>
              <w:t>Everolimus</w:t>
            </w:r>
            <w:proofErr w:type="spellEnd"/>
          </w:p>
        </w:tc>
        <w:tc>
          <w:tcPr>
            <w:tcW w:w="1560" w:type="dxa"/>
            <w:tcBorders>
              <w:top w:val="single" w:sz="6" w:space="0" w:color="000000"/>
              <w:left w:val="nil"/>
              <w:right w:val="nil"/>
            </w:tcBorders>
            <w:shd w:val="clear" w:color="auto" w:fill="FFFFFF"/>
            <w:tcMar>
              <w:left w:w="60" w:type="dxa"/>
              <w:right w:w="60" w:type="dxa"/>
            </w:tcMar>
            <w:vAlign w:val="bottom"/>
          </w:tcPr>
          <w:p w14:paraId="4CB65672" w14:textId="77777777" w:rsidR="00557C61" w:rsidRPr="0022140F" w:rsidRDefault="00557C61" w:rsidP="005362D8">
            <w:pPr>
              <w:tabs>
                <w:tab w:val="left" w:pos="284"/>
              </w:tabs>
              <w:spacing w:after="20"/>
              <w:rPr>
                <w:rFonts w:cs="Arial"/>
                <w:b/>
                <w:sz w:val="18"/>
                <w:szCs w:val="18"/>
              </w:rPr>
            </w:pPr>
            <w:r w:rsidRPr="0022140F">
              <w:rPr>
                <w:rFonts w:cs="Arial"/>
                <w:b/>
                <w:sz w:val="18"/>
                <w:szCs w:val="18"/>
              </w:rPr>
              <w:t>Placebo</w:t>
            </w:r>
          </w:p>
        </w:tc>
      </w:tr>
      <w:tr w:rsidR="00557C61" w:rsidRPr="0022140F" w14:paraId="53DBD01C" w14:textId="77777777" w:rsidTr="005362D8">
        <w:trPr>
          <w:cantSplit/>
          <w:tblHeader/>
        </w:trPr>
        <w:tc>
          <w:tcPr>
            <w:tcW w:w="4410" w:type="dxa"/>
            <w:tcBorders>
              <w:left w:val="nil"/>
              <w:right w:val="nil"/>
            </w:tcBorders>
            <w:shd w:val="clear" w:color="auto" w:fill="FFFFFF"/>
            <w:tcMar>
              <w:left w:w="60" w:type="dxa"/>
              <w:right w:w="60" w:type="dxa"/>
            </w:tcMar>
            <w:vAlign w:val="bottom"/>
          </w:tcPr>
          <w:p w14:paraId="6912288B" w14:textId="77777777" w:rsidR="00557C61" w:rsidRPr="0022140F" w:rsidRDefault="00557C61" w:rsidP="005362D8">
            <w:pPr>
              <w:keepNext/>
              <w:tabs>
                <w:tab w:val="left" w:pos="284"/>
              </w:tabs>
              <w:spacing w:after="20"/>
              <w:rPr>
                <w:rFonts w:cs="Arial"/>
                <w:b/>
                <w:sz w:val="18"/>
                <w:szCs w:val="18"/>
              </w:rPr>
            </w:pPr>
          </w:p>
        </w:tc>
        <w:tc>
          <w:tcPr>
            <w:tcW w:w="1560" w:type="dxa"/>
            <w:tcBorders>
              <w:left w:val="nil"/>
              <w:right w:val="nil"/>
            </w:tcBorders>
            <w:shd w:val="clear" w:color="auto" w:fill="FFFFFF"/>
            <w:tcMar>
              <w:left w:w="60" w:type="dxa"/>
              <w:right w:w="60" w:type="dxa"/>
            </w:tcMar>
            <w:vAlign w:val="bottom"/>
          </w:tcPr>
          <w:p w14:paraId="78AA3E20" w14:textId="77777777" w:rsidR="00557C61" w:rsidRPr="0022140F" w:rsidRDefault="00557C61" w:rsidP="005362D8">
            <w:pPr>
              <w:tabs>
                <w:tab w:val="left" w:pos="284"/>
              </w:tabs>
              <w:spacing w:after="20"/>
              <w:rPr>
                <w:rFonts w:cs="Arial"/>
                <w:b/>
                <w:sz w:val="18"/>
                <w:szCs w:val="18"/>
              </w:rPr>
            </w:pPr>
            <w:r w:rsidRPr="0022140F">
              <w:rPr>
                <w:rFonts w:cs="Arial"/>
                <w:b/>
                <w:sz w:val="18"/>
                <w:szCs w:val="18"/>
              </w:rPr>
              <w:t>LT target of</w:t>
            </w:r>
            <w:r w:rsidRPr="0022140F">
              <w:rPr>
                <w:rFonts w:cs="Arial"/>
                <w:b/>
                <w:sz w:val="18"/>
                <w:szCs w:val="18"/>
              </w:rPr>
              <w:br/>
              <w:t>3-7 ng/mL</w:t>
            </w:r>
          </w:p>
        </w:tc>
        <w:tc>
          <w:tcPr>
            <w:tcW w:w="1560" w:type="dxa"/>
            <w:tcBorders>
              <w:left w:val="nil"/>
              <w:right w:val="nil"/>
            </w:tcBorders>
            <w:shd w:val="clear" w:color="auto" w:fill="FFFFFF"/>
            <w:tcMar>
              <w:left w:w="60" w:type="dxa"/>
              <w:right w:w="60" w:type="dxa"/>
            </w:tcMar>
            <w:vAlign w:val="bottom"/>
          </w:tcPr>
          <w:p w14:paraId="361E4577" w14:textId="77777777" w:rsidR="00557C61" w:rsidRPr="0022140F" w:rsidRDefault="00557C61" w:rsidP="005362D8">
            <w:pPr>
              <w:tabs>
                <w:tab w:val="left" w:pos="284"/>
              </w:tabs>
              <w:spacing w:after="20"/>
              <w:rPr>
                <w:rFonts w:cs="Arial"/>
                <w:b/>
                <w:sz w:val="18"/>
                <w:szCs w:val="18"/>
              </w:rPr>
            </w:pPr>
            <w:r w:rsidRPr="0022140F">
              <w:rPr>
                <w:rFonts w:cs="Arial"/>
                <w:b/>
                <w:sz w:val="18"/>
                <w:szCs w:val="18"/>
              </w:rPr>
              <w:t>HT target of</w:t>
            </w:r>
            <w:r w:rsidRPr="0022140F">
              <w:rPr>
                <w:rFonts w:cs="Arial"/>
                <w:b/>
                <w:sz w:val="18"/>
                <w:szCs w:val="18"/>
              </w:rPr>
              <w:br/>
              <w:t>9-15 ng/mL</w:t>
            </w:r>
          </w:p>
        </w:tc>
        <w:tc>
          <w:tcPr>
            <w:tcW w:w="1560" w:type="dxa"/>
            <w:tcBorders>
              <w:left w:val="nil"/>
              <w:right w:val="nil"/>
            </w:tcBorders>
            <w:shd w:val="clear" w:color="auto" w:fill="FFFFFF"/>
            <w:tcMar>
              <w:left w:w="60" w:type="dxa"/>
              <w:right w:w="60" w:type="dxa"/>
            </w:tcMar>
            <w:vAlign w:val="bottom"/>
          </w:tcPr>
          <w:p w14:paraId="425BB92D" w14:textId="77777777" w:rsidR="00557C61" w:rsidRPr="0022140F" w:rsidRDefault="00557C61" w:rsidP="005362D8">
            <w:pPr>
              <w:tabs>
                <w:tab w:val="left" w:pos="284"/>
              </w:tabs>
              <w:spacing w:after="20"/>
              <w:rPr>
                <w:rFonts w:cs="Arial"/>
                <w:b/>
                <w:sz w:val="18"/>
                <w:szCs w:val="18"/>
              </w:rPr>
            </w:pPr>
          </w:p>
        </w:tc>
      </w:tr>
      <w:tr w:rsidR="00557C61" w:rsidRPr="0022140F" w14:paraId="18BC5BCC" w14:textId="77777777" w:rsidTr="005362D8">
        <w:trPr>
          <w:cantSplit/>
          <w:tblHeader/>
        </w:trPr>
        <w:tc>
          <w:tcPr>
            <w:tcW w:w="4410" w:type="dxa"/>
            <w:tcBorders>
              <w:left w:val="nil"/>
              <w:bottom w:val="single" w:sz="6" w:space="0" w:color="000000"/>
              <w:right w:val="nil"/>
            </w:tcBorders>
            <w:shd w:val="clear" w:color="auto" w:fill="FFFFFF"/>
            <w:tcMar>
              <w:left w:w="60" w:type="dxa"/>
              <w:right w:w="60" w:type="dxa"/>
            </w:tcMar>
            <w:vAlign w:val="bottom"/>
          </w:tcPr>
          <w:p w14:paraId="32CB9711" w14:textId="77777777" w:rsidR="00557C61" w:rsidRPr="0022140F" w:rsidRDefault="00557C61" w:rsidP="005362D8">
            <w:pPr>
              <w:keepNext/>
              <w:tabs>
                <w:tab w:val="left" w:pos="284"/>
              </w:tabs>
              <w:spacing w:after="20"/>
              <w:rPr>
                <w:rFonts w:cs="Arial"/>
                <w:b/>
                <w:sz w:val="18"/>
                <w:szCs w:val="18"/>
              </w:rPr>
            </w:pPr>
            <w:r w:rsidRPr="0022140F">
              <w:rPr>
                <w:rFonts w:cs="Arial"/>
                <w:b/>
                <w:sz w:val="18"/>
                <w:szCs w:val="18"/>
              </w:rPr>
              <w:t>Statistic</w:t>
            </w:r>
          </w:p>
        </w:tc>
        <w:tc>
          <w:tcPr>
            <w:tcW w:w="1560" w:type="dxa"/>
            <w:tcBorders>
              <w:left w:val="nil"/>
              <w:bottom w:val="single" w:sz="6" w:space="0" w:color="000000"/>
              <w:right w:val="nil"/>
            </w:tcBorders>
            <w:shd w:val="clear" w:color="auto" w:fill="FFFFFF"/>
            <w:tcMar>
              <w:left w:w="60" w:type="dxa"/>
              <w:right w:w="60" w:type="dxa"/>
            </w:tcMar>
            <w:vAlign w:val="bottom"/>
          </w:tcPr>
          <w:p w14:paraId="476F394C" w14:textId="77777777" w:rsidR="00557C61" w:rsidRPr="0022140F" w:rsidRDefault="00557C61" w:rsidP="005362D8">
            <w:pPr>
              <w:tabs>
                <w:tab w:val="left" w:pos="284"/>
              </w:tabs>
              <w:spacing w:after="20"/>
              <w:rPr>
                <w:rFonts w:cs="Arial"/>
                <w:b/>
                <w:sz w:val="18"/>
                <w:szCs w:val="18"/>
              </w:rPr>
            </w:pPr>
            <w:r w:rsidRPr="0022140F">
              <w:rPr>
                <w:rFonts w:cs="Arial"/>
                <w:b/>
                <w:sz w:val="18"/>
                <w:szCs w:val="18"/>
              </w:rPr>
              <w:t>N=117</w:t>
            </w:r>
          </w:p>
        </w:tc>
        <w:tc>
          <w:tcPr>
            <w:tcW w:w="1560" w:type="dxa"/>
            <w:tcBorders>
              <w:left w:val="nil"/>
              <w:bottom w:val="single" w:sz="6" w:space="0" w:color="000000"/>
              <w:right w:val="nil"/>
            </w:tcBorders>
            <w:shd w:val="clear" w:color="auto" w:fill="FFFFFF"/>
            <w:tcMar>
              <w:left w:w="60" w:type="dxa"/>
              <w:right w:w="60" w:type="dxa"/>
            </w:tcMar>
            <w:vAlign w:val="bottom"/>
          </w:tcPr>
          <w:p w14:paraId="10F5F573" w14:textId="77777777" w:rsidR="00557C61" w:rsidRPr="0022140F" w:rsidRDefault="00557C61" w:rsidP="005362D8">
            <w:pPr>
              <w:tabs>
                <w:tab w:val="left" w:pos="284"/>
              </w:tabs>
              <w:spacing w:after="20"/>
              <w:rPr>
                <w:rFonts w:cs="Arial"/>
                <w:b/>
                <w:sz w:val="18"/>
                <w:szCs w:val="18"/>
              </w:rPr>
            </w:pPr>
            <w:r w:rsidRPr="0022140F">
              <w:rPr>
                <w:rFonts w:cs="Arial"/>
                <w:b/>
                <w:sz w:val="18"/>
                <w:szCs w:val="18"/>
              </w:rPr>
              <w:t>N=130</w:t>
            </w:r>
          </w:p>
        </w:tc>
        <w:tc>
          <w:tcPr>
            <w:tcW w:w="1560" w:type="dxa"/>
            <w:tcBorders>
              <w:left w:val="nil"/>
              <w:bottom w:val="single" w:sz="6" w:space="0" w:color="000000"/>
              <w:right w:val="nil"/>
            </w:tcBorders>
            <w:shd w:val="clear" w:color="auto" w:fill="FFFFFF"/>
            <w:tcMar>
              <w:left w:w="60" w:type="dxa"/>
              <w:right w:w="60" w:type="dxa"/>
            </w:tcMar>
            <w:vAlign w:val="bottom"/>
          </w:tcPr>
          <w:p w14:paraId="46D5F247" w14:textId="77777777" w:rsidR="00557C61" w:rsidRPr="0022140F" w:rsidRDefault="00557C61" w:rsidP="005362D8">
            <w:pPr>
              <w:tabs>
                <w:tab w:val="left" w:pos="284"/>
              </w:tabs>
              <w:spacing w:after="20"/>
              <w:rPr>
                <w:rFonts w:cs="Arial"/>
                <w:b/>
                <w:sz w:val="18"/>
                <w:szCs w:val="18"/>
              </w:rPr>
            </w:pPr>
            <w:r w:rsidRPr="0022140F">
              <w:rPr>
                <w:rFonts w:cs="Arial"/>
                <w:b/>
                <w:sz w:val="18"/>
                <w:szCs w:val="18"/>
              </w:rPr>
              <w:t>N=119</w:t>
            </w:r>
          </w:p>
        </w:tc>
      </w:tr>
      <w:tr w:rsidR="00557C61" w:rsidRPr="0022140F" w14:paraId="02E192D8" w14:textId="77777777" w:rsidTr="005362D8">
        <w:trPr>
          <w:cantSplit/>
        </w:trPr>
        <w:tc>
          <w:tcPr>
            <w:tcW w:w="4410" w:type="dxa"/>
            <w:tcBorders>
              <w:top w:val="nil"/>
              <w:left w:val="nil"/>
              <w:bottom w:val="nil"/>
              <w:right w:val="nil"/>
            </w:tcBorders>
            <w:shd w:val="clear" w:color="auto" w:fill="FFFFFF"/>
            <w:tcMar>
              <w:left w:w="60" w:type="dxa"/>
              <w:right w:w="60" w:type="dxa"/>
            </w:tcMar>
          </w:tcPr>
          <w:p w14:paraId="0D1A57F6" w14:textId="77777777" w:rsidR="00557C61" w:rsidRPr="0022140F" w:rsidRDefault="00557C61" w:rsidP="005362D8">
            <w:pPr>
              <w:keepNext/>
              <w:tabs>
                <w:tab w:val="left" w:pos="284"/>
              </w:tabs>
              <w:spacing w:after="20"/>
              <w:rPr>
                <w:rFonts w:cs="Arial"/>
                <w:sz w:val="18"/>
                <w:szCs w:val="18"/>
              </w:rPr>
            </w:pPr>
            <w:r w:rsidRPr="0022140F">
              <w:rPr>
                <w:rFonts w:cs="Arial"/>
                <w:sz w:val="18"/>
                <w:szCs w:val="18"/>
              </w:rPr>
              <w:t>Responders – n (%)</w:t>
            </w:r>
          </w:p>
        </w:tc>
        <w:tc>
          <w:tcPr>
            <w:tcW w:w="1560" w:type="dxa"/>
            <w:tcBorders>
              <w:top w:val="nil"/>
              <w:left w:val="nil"/>
              <w:bottom w:val="nil"/>
              <w:right w:val="nil"/>
            </w:tcBorders>
            <w:shd w:val="clear" w:color="auto" w:fill="FFFFFF"/>
            <w:tcMar>
              <w:left w:w="60" w:type="dxa"/>
              <w:right w:w="60" w:type="dxa"/>
            </w:tcMar>
          </w:tcPr>
          <w:p w14:paraId="46AD2A58" w14:textId="77777777" w:rsidR="00557C61" w:rsidRPr="0022140F" w:rsidRDefault="00557C61" w:rsidP="005362D8">
            <w:pPr>
              <w:tabs>
                <w:tab w:val="right" w:pos="570"/>
                <w:tab w:val="decimal" w:pos="930"/>
              </w:tabs>
              <w:spacing w:after="20"/>
              <w:rPr>
                <w:rFonts w:cs="Arial"/>
                <w:sz w:val="18"/>
                <w:szCs w:val="18"/>
              </w:rPr>
            </w:pPr>
            <w:r w:rsidRPr="0022140F">
              <w:rPr>
                <w:rFonts w:cs="Arial"/>
                <w:sz w:val="18"/>
                <w:szCs w:val="18"/>
              </w:rPr>
              <w:tab/>
              <w:t>33</w:t>
            </w:r>
            <w:r w:rsidRPr="0022140F">
              <w:rPr>
                <w:rFonts w:cs="Arial"/>
                <w:sz w:val="18"/>
                <w:szCs w:val="18"/>
              </w:rPr>
              <w:tab/>
              <w:t>(28.2)</w:t>
            </w:r>
          </w:p>
        </w:tc>
        <w:tc>
          <w:tcPr>
            <w:tcW w:w="1560" w:type="dxa"/>
            <w:tcBorders>
              <w:top w:val="nil"/>
              <w:left w:val="nil"/>
              <w:bottom w:val="nil"/>
              <w:right w:val="nil"/>
            </w:tcBorders>
            <w:shd w:val="clear" w:color="auto" w:fill="FFFFFF"/>
            <w:tcMar>
              <w:left w:w="60" w:type="dxa"/>
              <w:right w:w="60" w:type="dxa"/>
            </w:tcMar>
          </w:tcPr>
          <w:p w14:paraId="7C3E51B9" w14:textId="77777777" w:rsidR="00557C61" w:rsidRPr="0022140F" w:rsidRDefault="00557C61" w:rsidP="005362D8">
            <w:pPr>
              <w:tabs>
                <w:tab w:val="right" w:pos="570"/>
                <w:tab w:val="decimal" w:pos="930"/>
              </w:tabs>
              <w:spacing w:after="20"/>
              <w:rPr>
                <w:rFonts w:cs="Arial"/>
                <w:sz w:val="18"/>
                <w:szCs w:val="18"/>
              </w:rPr>
            </w:pPr>
            <w:r w:rsidRPr="0022140F">
              <w:rPr>
                <w:rFonts w:cs="Arial"/>
                <w:sz w:val="18"/>
                <w:szCs w:val="18"/>
              </w:rPr>
              <w:tab/>
              <w:t>52</w:t>
            </w:r>
            <w:r w:rsidRPr="0022140F">
              <w:rPr>
                <w:rFonts w:cs="Arial"/>
                <w:sz w:val="18"/>
                <w:szCs w:val="18"/>
              </w:rPr>
              <w:tab/>
              <w:t>(40.0)</w:t>
            </w:r>
          </w:p>
        </w:tc>
        <w:tc>
          <w:tcPr>
            <w:tcW w:w="1560" w:type="dxa"/>
            <w:tcBorders>
              <w:top w:val="nil"/>
              <w:left w:val="nil"/>
              <w:bottom w:val="nil"/>
              <w:right w:val="nil"/>
            </w:tcBorders>
            <w:shd w:val="clear" w:color="auto" w:fill="FFFFFF"/>
            <w:tcMar>
              <w:left w:w="60" w:type="dxa"/>
              <w:right w:w="60" w:type="dxa"/>
            </w:tcMar>
          </w:tcPr>
          <w:p w14:paraId="7DD22BA7" w14:textId="77777777" w:rsidR="00557C61" w:rsidRPr="0022140F" w:rsidRDefault="00557C61" w:rsidP="005362D8">
            <w:pPr>
              <w:tabs>
                <w:tab w:val="right" w:pos="570"/>
                <w:tab w:val="decimal" w:pos="930"/>
              </w:tabs>
              <w:spacing w:after="20"/>
              <w:rPr>
                <w:rFonts w:cs="Arial"/>
                <w:sz w:val="18"/>
                <w:szCs w:val="18"/>
              </w:rPr>
            </w:pPr>
            <w:r w:rsidRPr="0022140F">
              <w:rPr>
                <w:rFonts w:cs="Arial"/>
                <w:sz w:val="18"/>
                <w:szCs w:val="18"/>
              </w:rPr>
              <w:tab/>
              <w:t>18</w:t>
            </w:r>
            <w:r w:rsidRPr="0022140F">
              <w:rPr>
                <w:rFonts w:cs="Arial"/>
                <w:sz w:val="18"/>
                <w:szCs w:val="18"/>
              </w:rPr>
              <w:tab/>
              <w:t>(15.1)</w:t>
            </w:r>
          </w:p>
        </w:tc>
      </w:tr>
      <w:tr w:rsidR="00557C61" w:rsidRPr="0022140F" w14:paraId="0A3FBA06" w14:textId="77777777" w:rsidTr="005362D8">
        <w:trPr>
          <w:cantSplit/>
        </w:trPr>
        <w:tc>
          <w:tcPr>
            <w:tcW w:w="4410" w:type="dxa"/>
            <w:tcBorders>
              <w:top w:val="nil"/>
              <w:left w:val="nil"/>
              <w:bottom w:val="nil"/>
              <w:right w:val="nil"/>
            </w:tcBorders>
            <w:shd w:val="clear" w:color="auto" w:fill="FFFFFF"/>
            <w:tcMar>
              <w:left w:w="60" w:type="dxa"/>
              <w:right w:w="60" w:type="dxa"/>
            </w:tcMar>
          </w:tcPr>
          <w:p w14:paraId="22CB0E9C" w14:textId="77777777" w:rsidR="00557C61" w:rsidRPr="0022140F" w:rsidRDefault="00557C61" w:rsidP="005362D8">
            <w:pPr>
              <w:tabs>
                <w:tab w:val="left" w:pos="284"/>
              </w:tabs>
              <w:spacing w:after="20"/>
              <w:rPr>
                <w:rFonts w:cs="Arial"/>
                <w:sz w:val="18"/>
                <w:szCs w:val="18"/>
              </w:rPr>
            </w:pPr>
            <w:r w:rsidRPr="0022140F">
              <w:rPr>
                <w:rFonts w:cs="Arial"/>
                <w:sz w:val="18"/>
                <w:szCs w:val="18"/>
              </w:rPr>
              <w:tab/>
              <w:t>Response rate 95% CI</w:t>
            </w:r>
            <w:r w:rsidRPr="0022140F">
              <w:rPr>
                <w:rFonts w:cs="Arial"/>
                <w:sz w:val="18"/>
                <w:szCs w:val="18"/>
                <w:vertAlign w:val="superscript"/>
              </w:rPr>
              <w:t xml:space="preserve"> a</w:t>
            </w:r>
          </w:p>
        </w:tc>
        <w:tc>
          <w:tcPr>
            <w:tcW w:w="1560" w:type="dxa"/>
            <w:tcBorders>
              <w:top w:val="nil"/>
              <w:left w:val="nil"/>
              <w:bottom w:val="nil"/>
              <w:right w:val="nil"/>
            </w:tcBorders>
            <w:shd w:val="clear" w:color="auto" w:fill="FFFFFF"/>
            <w:tcMar>
              <w:left w:w="60" w:type="dxa"/>
              <w:right w:w="60" w:type="dxa"/>
            </w:tcMar>
          </w:tcPr>
          <w:p w14:paraId="62FC3B9B" w14:textId="77777777" w:rsidR="00557C61" w:rsidRPr="0022140F" w:rsidRDefault="00557C61" w:rsidP="005362D8">
            <w:pPr>
              <w:tabs>
                <w:tab w:val="left" w:pos="284"/>
              </w:tabs>
              <w:spacing w:after="20"/>
              <w:rPr>
                <w:rFonts w:cs="Arial"/>
                <w:sz w:val="18"/>
                <w:szCs w:val="18"/>
              </w:rPr>
            </w:pPr>
            <w:r w:rsidRPr="0022140F">
              <w:rPr>
                <w:rFonts w:cs="Arial"/>
                <w:sz w:val="18"/>
                <w:szCs w:val="18"/>
              </w:rPr>
              <w:t>20.3, 37.3</w:t>
            </w:r>
          </w:p>
        </w:tc>
        <w:tc>
          <w:tcPr>
            <w:tcW w:w="1560" w:type="dxa"/>
            <w:tcBorders>
              <w:top w:val="nil"/>
              <w:left w:val="nil"/>
              <w:bottom w:val="nil"/>
              <w:right w:val="nil"/>
            </w:tcBorders>
            <w:shd w:val="clear" w:color="auto" w:fill="FFFFFF"/>
            <w:tcMar>
              <w:left w:w="60" w:type="dxa"/>
              <w:right w:w="60" w:type="dxa"/>
            </w:tcMar>
          </w:tcPr>
          <w:p w14:paraId="01879E5A" w14:textId="77777777" w:rsidR="00557C61" w:rsidRPr="0022140F" w:rsidRDefault="00557C61" w:rsidP="005362D8">
            <w:pPr>
              <w:tabs>
                <w:tab w:val="left" w:pos="284"/>
              </w:tabs>
              <w:spacing w:after="20"/>
              <w:rPr>
                <w:rFonts w:cs="Arial"/>
                <w:sz w:val="18"/>
                <w:szCs w:val="18"/>
              </w:rPr>
            </w:pPr>
            <w:r w:rsidRPr="0022140F">
              <w:rPr>
                <w:rFonts w:cs="Arial"/>
                <w:sz w:val="18"/>
                <w:szCs w:val="18"/>
              </w:rPr>
              <w:t>31.5, 49.0</w:t>
            </w:r>
          </w:p>
        </w:tc>
        <w:tc>
          <w:tcPr>
            <w:tcW w:w="1560" w:type="dxa"/>
            <w:tcBorders>
              <w:top w:val="nil"/>
              <w:left w:val="nil"/>
              <w:bottom w:val="nil"/>
              <w:right w:val="nil"/>
            </w:tcBorders>
            <w:shd w:val="clear" w:color="auto" w:fill="FFFFFF"/>
            <w:tcMar>
              <w:left w:w="60" w:type="dxa"/>
              <w:right w:w="60" w:type="dxa"/>
            </w:tcMar>
          </w:tcPr>
          <w:p w14:paraId="4AD28B88" w14:textId="77777777" w:rsidR="00557C61" w:rsidRPr="0022140F" w:rsidRDefault="00557C61" w:rsidP="005362D8">
            <w:pPr>
              <w:tabs>
                <w:tab w:val="left" w:pos="284"/>
              </w:tabs>
              <w:spacing w:after="20"/>
              <w:rPr>
                <w:rFonts w:cs="Arial"/>
                <w:sz w:val="18"/>
                <w:szCs w:val="18"/>
              </w:rPr>
            </w:pPr>
            <w:r w:rsidRPr="0022140F">
              <w:rPr>
                <w:rFonts w:cs="Arial"/>
                <w:sz w:val="18"/>
                <w:szCs w:val="18"/>
              </w:rPr>
              <w:t>9.2, 22.8</w:t>
            </w:r>
          </w:p>
        </w:tc>
      </w:tr>
      <w:tr w:rsidR="00557C61" w:rsidRPr="0022140F" w14:paraId="59E19411" w14:textId="77777777" w:rsidTr="005362D8">
        <w:trPr>
          <w:cantSplit/>
        </w:trPr>
        <w:tc>
          <w:tcPr>
            <w:tcW w:w="4410" w:type="dxa"/>
            <w:tcBorders>
              <w:top w:val="nil"/>
              <w:left w:val="nil"/>
              <w:bottom w:val="nil"/>
              <w:right w:val="nil"/>
            </w:tcBorders>
            <w:shd w:val="clear" w:color="auto" w:fill="FFFFFF"/>
            <w:tcMar>
              <w:left w:w="60" w:type="dxa"/>
              <w:right w:w="60" w:type="dxa"/>
            </w:tcMar>
          </w:tcPr>
          <w:p w14:paraId="49D04069" w14:textId="77777777" w:rsidR="00557C61" w:rsidRPr="0022140F" w:rsidRDefault="00557C61" w:rsidP="005362D8">
            <w:pPr>
              <w:keepNext/>
              <w:tabs>
                <w:tab w:val="left" w:pos="284"/>
              </w:tabs>
              <w:spacing w:after="20"/>
              <w:rPr>
                <w:rFonts w:cs="Arial"/>
                <w:b/>
                <w:sz w:val="18"/>
                <w:szCs w:val="18"/>
              </w:rPr>
            </w:pPr>
            <w:r w:rsidRPr="0022140F">
              <w:rPr>
                <w:rFonts w:cs="Arial"/>
                <w:b/>
                <w:sz w:val="18"/>
                <w:szCs w:val="18"/>
              </w:rPr>
              <w:t>Odds ratio (versus placebo)</w:t>
            </w:r>
            <w:r w:rsidRPr="0022140F">
              <w:rPr>
                <w:rFonts w:cs="Arial"/>
                <w:b/>
                <w:sz w:val="18"/>
                <w:szCs w:val="18"/>
                <w:vertAlign w:val="superscript"/>
              </w:rPr>
              <w:t xml:space="preserve"> b</w:t>
            </w:r>
          </w:p>
        </w:tc>
        <w:tc>
          <w:tcPr>
            <w:tcW w:w="1560" w:type="dxa"/>
            <w:tcBorders>
              <w:top w:val="nil"/>
              <w:left w:val="nil"/>
              <w:bottom w:val="nil"/>
              <w:right w:val="nil"/>
            </w:tcBorders>
            <w:shd w:val="clear" w:color="auto" w:fill="FFFFFF"/>
            <w:tcMar>
              <w:left w:w="60" w:type="dxa"/>
              <w:right w:w="60" w:type="dxa"/>
            </w:tcMar>
          </w:tcPr>
          <w:p w14:paraId="5543D9E1" w14:textId="77777777" w:rsidR="00557C61" w:rsidRPr="0022140F" w:rsidRDefault="00557C61" w:rsidP="005362D8">
            <w:pPr>
              <w:tabs>
                <w:tab w:val="left" w:pos="284"/>
              </w:tabs>
              <w:spacing w:after="20"/>
              <w:rPr>
                <w:rFonts w:cs="Arial"/>
                <w:sz w:val="18"/>
                <w:szCs w:val="18"/>
              </w:rPr>
            </w:pPr>
            <w:r w:rsidRPr="0022140F">
              <w:rPr>
                <w:rFonts w:cs="Arial"/>
                <w:sz w:val="18"/>
                <w:szCs w:val="18"/>
              </w:rPr>
              <w:t>2.21</w:t>
            </w:r>
          </w:p>
        </w:tc>
        <w:tc>
          <w:tcPr>
            <w:tcW w:w="1560" w:type="dxa"/>
            <w:tcBorders>
              <w:top w:val="nil"/>
              <w:left w:val="nil"/>
              <w:bottom w:val="nil"/>
              <w:right w:val="nil"/>
            </w:tcBorders>
            <w:shd w:val="clear" w:color="auto" w:fill="FFFFFF"/>
            <w:tcMar>
              <w:left w:w="60" w:type="dxa"/>
              <w:right w:w="60" w:type="dxa"/>
            </w:tcMar>
          </w:tcPr>
          <w:p w14:paraId="270A6F7F" w14:textId="77777777" w:rsidR="00557C61" w:rsidRPr="0022140F" w:rsidRDefault="00557C61" w:rsidP="005362D8">
            <w:pPr>
              <w:tabs>
                <w:tab w:val="left" w:pos="284"/>
              </w:tabs>
              <w:spacing w:after="20"/>
              <w:rPr>
                <w:rFonts w:cs="Arial"/>
                <w:sz w:val="18"/>
                <w:szCs w:val="18"/>
              </w:rPr>
            </w:pPr>
            <w:r w:rsidRPr="0022140F">
              <w:rPr>
                <w:rFonts w:cs="Arial"/>
                <w:sz w:val="18"/>
                <w:szCs w:val="18"/>
              </w:rPr>
              <w:t>3.93</w:t>
            </w:r>
          </w:p>
        </w:tc>
        <w:tc>
          <w:tcPr>
            <w:tcW w:w="1560" w:type="dxa"/>
            <w:tcBorders>
              <w:top w:val="nil"/>
              <w:left w:val="nil"/>
              <w:bottom w:val="nil"/>
              <w:right w:val="nil"/>
            </w:tcBorders>
            <w:shd w:val="clear" w:color="auto" w:fill="FFFFFF"/>
            <w:tcMar>
              <w:left w:w="60" w:type="dxa"/>
              <w:right w:w="60" w:type="dxa"/>
            </w:tcMar>
          </w:tcPr>
          <w:p w14:paraId="56641E0C" w14:textId="77777777" w:rsidR="00557C61" w:rsidRPr="0022140F" w:rsidRDefault="00557C61" w:rsidP="005362D8">
            <w:pPr>
              <w:tabs>
                <w:tab w:val="left" w:pos="284"/>
              </w:tabs>
              <w:spacing w:after="20"/>
              <w:rPr>
                <w:rFonts w:cs="Arial"/>
                <w:sz w:val="18"/>
                <w:szCs w:val="18"/>
              </w:rPr>
            </w:pPr>
          </w:p>
        </w:tc>
      </w:tr>
      <w:tr w:rsidR="00557C61" w:rsidRPr="0022140F" w14:paraId="25BBA566" w14:textId="77777777" w:rsidTr="005362D8">
        <w:trPr>
          <w:cantSplit/>
        </w:trPr>
        <w:tc>
          <w:tcPr>
            <w:tcW w:w="4410" w:type="dxa"/>
            <w:tcBorders>
              <w:top w:val="nil"/>
              <w:left w:val="nil"/>
              <w:bottom w:val="nil"/>
              <w:right w:val="nil"/>
            </w:tcBorders>
            <w:shd w:val="clear" w:color="auto" w:fill="FFFFFF"/>
            <w:tcMar>
              <w:left w:w="60" w:type="dxa"/>
              <w:right w:w="60" w:type="dxa"/>
            </w:tcMar>
          </w:tcPr>
          <w:p w14:paraId="3DFA249F" w14:textId="77777777" w:rsidR="00557C61" w:rsidRPr="0022140F" w:rsidRDefault="00557C61" w:rsidP="005362D8">
            <w:pPr>
              <w:tabs>
                <w:tab w:val="left" w:pos="284"/>
              </w:tabs>
              <w:spacing w:after="20"/>
              <w:rPr>
                <w:rFonts w:cs="Arial"/>
                <w:sz w:val="18"/>
                <w:szCs w:val="18"/>
              </w:rPr>
            </w:pPr>
            <w:r w:rsidRPr="0022140F">
              <w:rPr>
                <w:rFonts w:cs="Arial"/>
                <w:sz w:val="18"/>
                <w:szCs w:val="18"/>
              </w:rPr>
              <w:tab/>
              <w:t>95% CI</w:t>
            </w:r>
          </w:p>
        </w:tc>
        <w:tc>
          <w:tcPr>
            <w:tcW w:w="1560" w:type="dxa"/>
            <w:tcBorders>
              <w:top w:val="nil"/>
              <w:left w:val="nil"/>
              <w:bottom w:val="nil"/>
              <w:right w:val="nil"/>
            </w:tcBorders>
            <w:shd w:val="clear" w:color="auto" w:fill="FFFFFF"/>
            <w:tcMar>
              <w:left w:w="60" w:type="dxa"/>
              <w:right w:w="60" w:type="dxa"/>
            </w:tcMar>
          </w:tcPr>
          <w:p w14:paraId="405BB670" w14:textId="77777777" w:rsidR="00557C61" w:rsidRPr="0022140F" w:rsidRDefault="00557C61" w:rsidP="005362D8">
            <w:pPr>
              <w:tabs>
                <w:tab w:val="left" w:pos="284"/>
              </w:tabs>
              <w:spacing w:after="20"/>
              <w:rPr>
                <w:rFonts w:cs="Arial"/>
                <w:sz w:val="18"/>
                <w:szCs w:val="18"/>
              </w:rPr>
            </w:pPr>
            <w:r w:rsidRPr="0022140F">
              <w:rPr>
                <w:rFonts w:cs="Arial"/>
                <w:sz w:val="18"/>
                <w:szCs w:val="18"/>
              </w:rPr>
              <w:t>1.16, 4.20</w:t>
            </w:r>
          </w:p>
        </w:tc>
        <w:tc>
          <w:tcPr>
            <w:tcW w:w="1560" w:type="dxa"/>
            <w:tcBorders>
              <w:top w:val="nil"/>
              <w:left w:val="nil"/>
              <w:bottom w:val="nil"/>
              <w:right w:val="nil"/>
            </w:tcBorders>
            <w:shd w:val="clear" w:color="auto" w:fill="FFFFFF"/>
            <w:tcMar>
              <w:left w:w="60" w:type="dxa"/>
              <w:right w:w="60" w:type="dxa"/>
            </w:tcMar>
          </w:tcPr>
          <w:p w14:paraId="1972B5E4" w14:textId="77777777" w:rsidR="00557C61" w:rsidRPr="0022140F" w:rsidRDefault="00557C61" w:rsidP="005362D8">
            <w:pPr>
              <w:tabs>
                <w:tab w:val="left" w:pos="284"/>
              </w:tabs>
              <w:spacing w:after="20"/>
              <w:rPr>
                <w:rFonts w:cs="Arial"/>
                <w:sz w:val="18"/>
                <w:szCs w:val="18"/>
              </w:rPr>
            </w:pPr>
            <w:r w:rsidRPr="0022140F">
              <w:rPr>
                <w:rFonts w:cs="Arial"/>
                <w:sz w:val="18"/>
                <w:szCs w:val="18"/>
              </w:rPr>
              <w:t>2.10, 7.32</w:t>
            </w:r>
          </w:p>
        </w:tc>
        <w:tc>
          <w:tcPr>
            <w:tcW w:w="1560" w:type="dxa"/>
            <w:tcBorders>
              <w:top w:val="nil"/>
              <w:left w:val="nil"/>
              <w:bottom w:val="nil"/>
              <w:right w:val="nil"/>
            </w:tcBorders>
            <w:shd w:val="clear" w:color="auto" w:fill="FFFFFF"/>
            <w:tcMar>
              <w:left w:w="60" w:type="dxa"/>
              <w:right w:w="60" w:type="dxa"/>
            </w:tcMar>
          </w:tcPr>
          <w:p w14:paraId="60B89F14" w14:textId="77777777" w:rsidR="00557C61" w:rsidRPr="0022140F" w:rsidRDefault="00557C61" w:rsidP="005362D8">
            <w:pPr>
              <w:tabs>
                <w:tab w:val="left" w:pos="284"/>
              </w:tabs>
              <w:spacing w:after="20"/>
              <w:rPr>
                <w:rFonts w:cs="Arial"/>
                <w:sz w:val="18"/>
                <w:szCs w:val="18"/>
              </w:rPr>
            </w:pPr>
          </w:p>
        </w:tc>
      </w:tr>
      <w:tr w:rsidR="00557C61" w:rsidRPr="0022140F" w14:paraId="1991B667" w14:textId="77777777" w:rsidTr="005362D8">
        <w:trPr>
          <w:cantSplit/>
        </w:trPr>
        <w:tc>
          <w:tcPr>
            <w:tcW w:w="4410" w:type="dxa"/>
            <w:tcBorders>
              <w:top w:val="nil"/>
              <w:left w:val="nil"/>
              <w:bottom w:val="nil"/>
              <w:right w:val="nil"/>
            </w:tcBorders>
            <w:shd w:val="clear" w:color="auto" w:fill="FFFFFF"/>
            <w:tcMar>
              <w:left w:w="60" w:type="dxa"/>
              <w:right w:w="60" w:type="dxa"/>
            </w:tcMar>
          </w:tcPr>
          <w:p w14:paraId="2AC4F972" w14:textId="77777777" w:rsidR="00557C61" w:rsidRPr="0022140F" w:rsidRDefault="00557C61" w:rsidP="005362D8">
            <w:pPr>
              <w:tabs>
                <w:tab w:val="left" w:pos="284"/>
              </w:tabs>
              <w:spacing w:after="20"/>
              <w:rPr>
                <w:rFonts w:cs="Arial"/>
                <w:sz w:val="18"/>
                <w:szCs w:val="18"/>
              </w:rPr>
            </w:pPr>
            <w:r w:rsidRPr="0022140F">
              <w:rPr>
                <w:rFonts w:cs="Arial"/>
                <w:sz w:val="18"/>
                <w:szCs w:val="18"/>
              </w:rPr>
              <w:tab/>
              <w:t>p-value (versus placebo)</w:t>
            </w:r>
            <w:r w:rsidRPr="0022140F">
              <w:rPr>
                <w:rFonts w:cs="Arial"/>
                <w:sz w:val="18"/>
                <w:szCs w:val="18"/>
                <w:vertAlign w:val="superscript"/>
              </w:rPr>
              <w:t xml:space="preserve"> c</w:t>
            </w:r>
          </w:p>
        </w:tc>
        <w:tc>
          <w:tcPr>
            <w:tcW w:w="1560" w:type="dxa"/>
            <w:tcBorders>
              <w:top w:val="nil"/>
              <w:left w:val="nil"/>
              <w:bottom w:val="nil"/>
              <w:right w:val="nil"/>
            </w:tcBorders>
            <w:shd w:val="clear" w:color="auto" w:fill="FFFFFF"/>
            <w:tcMar>
              <w:left w:w="60" w:type="dxa"/>
              <w:right w:w="60" w:type="dxa"/>
            </w:tcMar>
          </w:tcPr>
          <w:p w14:paraId="61A25783" w14:textId="77777777" w:rsidR="00557C61" w:rsidRPr="0022140F" w:rsidRDefault="00557C61" w:rsidP="005362D8">
            <w:pPr>
              <w:tabs>
                <w:tab w:val="left" w:pos="284"/>
              </w:tabs>
              <w:spacing w:after="20"/>
              <w:rPr>
                <w:rFonts w:cs="Arial"/>
                <w:sz w:val="18"/>
                <w:szCs w:val="18"/>
              </w:rPr>
            </w:pPr>
            <w:r w:rsidRPr="0022140F">
              <w:rPr>
                <w:rFonts w:cs="Arial"/>
                <w:sz w:val="18"/>
                <w:szCs w:val="18"/>
              </w:rPr>
              <w:t>0.008</w:t>
            </w:r>
          </w:p>
        </w:tc>
        <w:tc>
          <w:tcPr>
            <w:tcW w:w="1560" w:type="dxa"/>
            <w:tcBorders>
              <w:top w:val="nil"/>
              <w:left w:val="nil"/>
              <w:bottom w:val="nil"/>
              <w:right w:val="nil"/>
            </w:tcBorders>
            <w:shd w:val="clear" w:color="auto" w:fill="FFFFFF"/>
            <w:tcMar>
              <w:left w:w="60" w:type="dxa"/>
              <w:right w:w="60" w:type="dxa"/>
            </w:tcMar>
          </w:tcPr>
          <w:p w14:paraId="2C043946" w14:textId="77777777" w:rsidR="00557C61" w:rsidRPr="0022140F" w:rsidRDefault="00557C61" w:rsidP="005362D8">
            <w:pPr>
              <w:tabs>
                <w:tab w:val="left" w:pos="284"/>
              </w:tabs>
              <w:spacing w:after="20"/>
              <w:rPr>
                <w:rFonts w:cs="Arial"/>
                <w:sz w:val="18"/>
                <w:szCs w:val="18"/>
              </w:rPr>
            </w:pPr>
            <w:r w:rsidRPr="0022140F">
              <w:rPr>
                <w:rFonts w:cs="Arial"/>
                <w:sz w:val="18"/>
                <w:szCs w:val="18"/>
              </w:rPr>
              <w:t>&lt;0.001</w:t>
            </w:r>
          </w:p>
        </w:tc>
        <w:tc>
          <w:tcPr>
            <w:tcW w:w="1560" w:type="dxa"/>
            <w:tcBorders>
              <w:top w:val="nil"/>
              <w:left w:val="nil"/>
              <w:bottom w:val="nil"/>
              <w:right w:val="nil"/>
            </w:tcBorders>
            <w:shd w:val="clear" w:color="auto" w:fill="FFFFFF"/>
            <w:tcMar>
              <w:left w:w="60" w:type="dxa"/>
              <w:right w:w="60" w:type="dxa"/>
            </w:tcMar>
          </w:tcPr>
          <w:p w14:paraId="3915EF7F" w14:textId="77777777" w:rsidR="00557C61" w:rsidRPr="0022140F" w:rsidRDefault="00557C61" w:rsidP="005362D8">
            <w:pPr>
              <w:tabs>
                <w:tab w:val="left" w:pos="284"/>
              </w:tabs>
              <w:spacing w:after="20"/>
              <w:rPr>
                <w:rFonts w:cs="Arial"/>
                <w:sz w:val="18"/>
                <w:szCs w:val="18"/>
              </w:rPr>
            </w:pPr>
          </w:p>
        </w:tc>
      </w:tr>
      <w:tr w:rsidR="00557C61" w:rsidRPr="0022140F" w14:paraId="65AB0FAC" w14:textId="77777777" w:rsidTr="005362D8">
        <w:trPr>
          <w:cantSplit/>
        </w:trPr>
        <w:tc>
          <w:tcPr>
            <w:tcW w:w="4410" w:type="dxa"/>
            <w:tcBorders>
              <w:top w:val="nil"/>
              <w:left w:val="nil"/>
              <w:bottom w:val="nil"/>
              <w:right w:val="nil"/>
            </w:tcBorders>
            <w:shd w:val="clear" w:color="auto" w:fill="FFFFFF"/>
            <w:tcMar>
              <w:left w:w="60" w:type="dxa"/>
              <w:right w:w="60" w:type="dxa"/>
            </w:tcMar>
          </w:tcPr>
          <w:p w14:paraId="060F4A0A" w14:textId="77777777" w:rsidR="00557C61" w:rsidRPr="0022140F" w:rsidRDefault="00557C61" w:rsidP="005362D8">
            <w:pPr>
              <w:tabs>
                <w:tab w:val="left" w:pos="284"/>
              </w:tabs>
              <w:spacing w:after="20"/>
              <w:ind w:left="300" w:hanging="300"/>
              <w:rPr>
                <w:rFonts w:cs="Arial"/>
                <w:sz w:val="18"/>
                <w:szCs w:val="18"/>
              </w:rPr>
            </w:pPr>
            <w:r w:rsidRPr="0022140F">
              <w:rPr>
                <w:rFonts w:cs="Arial"/>
                <w:sz w:val="18"/>
                <w:szCs w:val="18"/>
              </w:rPr>
              <w:tab/>
              <w:t>Statistically significant per Bonferroni-Holm procedure</w:t>
            </w:r>
            <w:r w:rsidRPr="0022140F">
              <w:rPr>
                <w:rFonts w:cs="Arial"/>
                <w:sz w:val="18"/>
                <w:szCs w:val="18"/>
                <w:vertAlign w:val="superscript"/>
              </w:rPr>
              <w:t xml:space="preserve"> d</w:t>
            </w:r>
          </w:p>
        </w:tc>
        <w:tc>
          <w:tcPr>
            <w:tcW w:w="1560" w:type="dxa"/>
            <w:tcBorders>
              <w:top w:val="nil"/>
              <w:left w:val="nil"/>
              <w:bottom w:val="nil"/>
              <w:right w:val="nil"/>
            </w:tcBorders>
            <w:shd w:val="clear" w:color="auto" w:fill="FFFFFF"/>
            <w:tcMar>
              <w:left w:w="60" w:type="dxa"/>
              <w:right w:w="60" w:type="dxa"/>
            </w:tcMar>
          </w:tcPr>
          <w:p w14:paraId="13981317" w14:textId="77777777" w:rsidR="00557C61" w:rsidRPr="0022140F" w:rsidRDefault="00557C61" w:rsidP="005362D8">
            <w:pPr>
              <w:tabs>
                <w:tab w:val="left" w:pos="284"/>
              </w:tabs>
              <w:spacing w:after="20"/>
              <w:rPr>
                <w:rFonts w:cs="Arial"/>
                <w:sz w:val="18"/>
                <w:szCs w:val="18"/>
              </w:rPr>
            </w:pPr>
            <w:r w:rsidRPr="0022140F">
              <w:rPr>
                <w:rFonts w:cs="Arial"/>
                <w:sz w:val="18"/>
                <w:szCs w:val="18"/>
              </w:rPr>
              <w:t>Yes</w:t>
            </w:r>
          </w:p>
        </w:tc>
        <w:tc>
          <w:tcPr>
            <w:tcW w:w="1560" w:type="dxa"/>
            <w:tcBorders>
              <w:top w:val="nil"/>
              <w:left w:val="nil"/>
              <w:bottom w:val="nil"/>
              <w:right w:val="nil"/>
            </w:tcBorders>
            <w:shd w:val="clear" w:color="auto" w:fill="FFFFFF"/>
            <w:tcMar>
              <w:left w:w="60" w:type="dxa"/>
              <w:right w:w="60" w:type="dxa"/>
            </w:tcMar>
          </w:tcPr>
          <w:p w14:paraId="4C210856" w14:textId="77777777" w:rsidR="00557C61" w:rsidRPr="0022140F" w:rsidRDefault="00557C61" w:rsidP="005362D8">
            <w:pPr>
              <w:tabs>
                <w:tab w:val="left" w:pos="284"/>
              </w:tabs>
              <w:spacing w:after="20"/>
              <w:rPr>
                <w:rFonts w:cs="Arial"/>
                <w:sz w:val="18"/>
                <w:szCs w:val="18"/>
              </w:rPr>
            </w:pPr>
            <w:r w:rsidRPr="0022140F">
              <w:rPr>
                <w:rFonts w:cs="Arial"/>
                <w:sz w:val="18"/>
                <w:szCs w:val="18"/>
              </w:rPr>
              <w:t>Yes</w:t>
            </w:r>
          </w:p>
        </w:tc>
        <w:tc>
          <w:tcPr>
            <w:tcW w:w="1560" w:type="dxa"/>
            <w:tcBorders>
              <w:top w:val="nil"/>
              <w:left w:val="nil"/>
              <w:bottom w:val="nil"/>
              <w:right w:val="nil"/>
            </w:tcBorders>
            <w:shd w:val="clear" w:color="auto" w:fill="FFFFFF"/>
            <w:tcMar>
              <w:left w:w="60" w:type="dxa"/>
              <w:right w:w="60" w:type="dxa"/>
            </w:tcMar>
          </w:tcPr>
          <w:p w14:paraId="2A49A0D0" w14:textId="77777777" w:rsidR="00557C61" w:rsidRPr="0022140F" w:rsidRDefault="00557C61" w:rsidP="005362D8">
            <w:pPr>
              <w:tabs>
                <w:tab w:val="left" w:pos="284"/>
              </w:tabs>
              <w:spacing w:after="20"/>
              <w:rPr>
                <w:rFonts w:cs="Arial"/>
                <w:sz w:val="18"/>
                <w:szCs w:val="18"/>
              </w:rPr>
            </w:pPr>
          </w:p>
        </w:tc>
      </w:tr>
      <w:tr w:rsidR="00557C61" w:rsidRPr="0022140F" w14:paraId="29B5EF76" w14:textId="77777777" w:rsidTr="005362D8">
        <w:trPr>
          <w:cantSplit/>
        </w:trPr>
        <w:tc>
          <w:tcPr>
            <w:tcW w:w="4410" w:type="dxa"/>
            <w:tcBorders>
              <w:top w:val="nil"/>
              <w:left w:val="nil"/>
              <w:bottom w:val="nil"/>
              <w:right w:val="nil"/>
            </w:tcBorders>
            <w:shd w:val="clear" w:color="auto" w:fill="FFFFFF"/>
            <w:tcMar>
              <w:left w:w="60" w:type="dxa"/>
              <w:right w:w="60" w:type="dxa"/>
            </w:tcMar>
          </w:tcPr>
          <w:p w14:paraId="6E851797" w14:textId="77777777" w:rsidR="00557C61" w:rsidRPr="0022140F" w:rsidRDefault="00557C61" w:rsidP="005362D8">
            <w:pPr>
              <w:tabs>
                <w:tab w:val="left" w:pos="284"/>
              </w:tabs>
              <w:spacing w:after="20"/>
              <w:rPr>
                <w:rFonts w:cs="Arial"/>
                <w:sz w:val="18"/>
                <w:szCs w:val="18"/>
              </w:rPr>
            </w:pPr>
            <w:r w:rsidRPr="0022140F">
              <w:rPr>
                <w:rFonts w:cs="Arial"/>
                <w:sz w:val="18"/>
                <w:szCs w:val="18"/>
              </w:rPr>
              <w:t>Non-responders – n (%)</w:t>
            </w:r>
          </w:p>
        </w:tc>
        <w:tc>
          <w:tcPr>
            <w:tcW w:w="1560" w:type="dxa"/>
            <w:tcBorders>
              <w:top w:val="nil"/>
              <w:left w:val="nil"/>
              <w:bottom w:val="nil"/>
              <w:right w:val="nil"/>
            </w:tcBorders>
            <w:shd w:val="clear" w:color="auto" w:fill="FFFFFF"/>
            <w:tcMar>
              <w:left w:w="60" w:type="dxa"/>
              <w:right w:w="60" w:type="dxa"/>
            </w:tcMar>
          </w:tcPr>
          <w:p w14:paraId="02E70175" w14:textId="77777777" w:rsidR="00557C61" w:rsidRPr="0022140F" w:rsidRDefault="00557C61" w:rsidP="005362D8">
            <w:pPr>
              <w:tabs>
                <w:tab w:val="right" w:pos="570"/>
                <w:tab w:val="decimal" w:pos="930"/>
              </w:tabs>
              <w:spacing w:after="20"/>
              <w:rPr>
                <w:rFonts w:cs="Arial"/>
                <w:sz w:val="18"/>
                <w:szCs w:val="18"/>
              </w:rPr>
            </w:pPr>
            <w:r w:rsidRPr="0022140F">
              <w:rPr>
                <w:rFonts w:cs="Arial"/>
                <w:sz w:val="18"/>
                <w:szCs w:val="18"/>
              </w:rPr>
              <w:tab/>
              <w:t>84</w:t>
            </w:r>
            <w:r w:rsidRPr="0022140F">
              <w:rPr>
                <w:rFonts w:cs="Arial"/>
                <w:sz w:val="18"/>
                <w:szCs w:val="18"/>
              </w:rPr>
              <w:tab/>
              <w:t>(71.8)</w:t>
            </w:r>
          </w:p>
        </w:tc>
        <w:tc>
          <w:tcPr>
            <w:tcW w:w="1560" w:type="dxa"/>
            <w:tcBorders>
              <w:top w:val="nil"/>
              <w:left w:val="nil"/>
              <w:bottom w:val="nil"/>
              <w:right w:val="nil"/>
            </w:tcBorders>
            <w:shd w:val="clear" w:color="auto" w:fill="FFFFFF"/>
            <w:tcMar>
              <w:left w:w="60" w:type="dxa"/>
              <w:right w:w="60" w:type="dxa"/>
            </w:tcMar>
          </w:tcPr>
          <w:p w14:paraId="732F93E2" w14:textId="77777777" w:rsidR="00557C61" w:rsidRPr="0022140F" w:rsidRDefault="00557C61" w:rsidP="005362D8">
            <w:pPr>
              <w:tabs>
                <w:tab w:val="right" w:pos="570"/>
                <w:tab w:val="decimal" w:pos="930"/>
              </w:tabs>
              <w:spacing w:after="20"/>
              <w:rPr>
                <w:rFonts w:cs="Arial"/>
                <w:sz w:val="18"/>
                <w:szCs w:val="18"/>
              </w:rPr>
            </w:pPr>
            <w:r w:rsidRPr="0022140F">
              <w:rPr>
                <w:rFonts w:cs="Arial"/>
                <w:sz w:val="18"/>
                <w:szCs w:val="18"/>
              </w:rPr>
              <w:tab/>
              <w:t>78</w:t>
            </w:r>
            <w:r w:rsidRPr="0022140F">
              <w:rPr>
                <w:rFonts w:cs="Arial"/>
                <w:sz w:val="18"/>
                <w:szCs w:val="18"/>
              </w:rPr>
              <w:tab/>
              <w:t>(60.0)</w:t>
            </w:r>
          </w:p>
        </w:tc>
        <w:tc>
          <w:tcPr>
            <w:tcW w:w="1560" w:type="dxa"/>
            <w:tcBorders>
              <w:top w:val="nil"/>
              <w:left w:val="nil"/>
              <w:bottom w:val="nil"/>
              <w:right w:val="nil"/>
            </w:tcBorders>
            <w:shd w:val="clear" w:color="auto" w:fill="FFFFFF"/>
            <w:tcMar>
              <w:left w:w="60" w:type="dxa"/>
              <w:right w:w="60" w:type="dxa"/>
            </w:tcMar>
          </w:tcPr>
          <w:p w14:paraId="03492FA8" w14:textId="77777777" w:rsidR="00557C61" w:rsidRPr="0022140F" w:rsidRDefault="00557C61" w:rsidP="005362D8">
            <w:pPr>
              <w:tabs>
                <w:tab w:val="right" w:pos="570"/>
                <w:tab w:val="decimal" w:pos="930"/>
              </w:tabs>
              <w:spacing w:after="20"/>
              <w:rPr>
                <w:rFonts w:cs="Arial"/>
                <w:sz w:val="18"/>
                <w:szCs w:val="18"/>
              </w:rPr>
            </w:pPr>
            <w:r w:rsidRPr="0022140F">
              <w:rPr>
                <w:rFonts w:cs="Arial"/>
                <w:sz w:val="18"/>
                <w:szCs w:val="18"/>
              </w:rPr>
              <w:tab/>
              <w:t>101</w:t>
            </w:r>
            <w:r w:rsidRPr="0022140F">
              <w:rPr>
                <w:rFonts w:cs="Arial"/>
                <w:sz w:val="18"/>
                <w:szCs w:val="18"/>
              </w:rPr>
              <w:tab/>
              <w:t>(84.9)</w:t>
            </w:r>
          </w:p>
        </w:tc>
      </w:tr>
      <w:tr w:rsidR="00557C61" w:rsidRPr="0022140F" w14:paraId="5F9B78DA" w14:textId="77777777" w:rsidTr="005362D8">
        <w:trPr>
          <w:cantSplit/>
        </w:trPr>
        <w:tc>
          <w:tcPr>
            <w:tcW w:w="9090" w:type="dxa"/>
            <w:gridSpan w:val="4"/>
            <w:tcBorders>
              <w:top w:val="single" w:sz="4" w:space="0" w:color="auto"/>
              <w:left w:val="nil"/>
              <w:bottom w:val="single" w:sz="4" w:space="0" w:color="auto"/>
              <w:right w:val="nil"/>
            </w:tcBorders>
            <w:shd w:val="clear" w:color="auto" w:fill="FFFFFF"/>
            <w:tcMar>
              <w:left w:w="60" w:type="dxa"/>
              <w:right w:w="60" w:type="dxa"/>
            </w:tcMar>
          </w:tcPr>
          <w:p w14:paraId="43B05AE2" w14:textId="77777777" w:rsidR="00557C61" w:rsidRPr="0022140F" w:rsidRDefault="00557C61" w:rsidP="005362D8">
            <w:pPr>
              <w:tabs>
                <w:tab w:val="left" w:pos="284"/>
              </w:tabs>
              <w:spacing w:after="20"/>
              <w:rPr>
                <w:rFonts w:cs="Arial"/>
                <w:i/>
                <w:sz w:val="16"/>
                <w:szCs w:val="16"/>
              </w:rPr>
            </w:pPr>
            <w:proofErr w:type="spellStart"/>
            <w:r w:rsidRPr="0022140F">
              <w:rPr>
                <w:rFonts w:cs="Arial"/>
                <w:i/>
                <w:sz w:val="16"/>
                <w:szCs w:val="16"/>
                <w:vertAlign w:val="superscript"/>
              </w:rPr>
              <w:t>a</w:t>
            </w:r>
            <w:proofErr w:type="spellEnd"/>
            <w:r w:rsidRPr="0022140F">
              <w:rPr>
                <w:rFonts w:cs="Arial"/>
                <w:i/>
                <w:sz w:val="16"/>
                <w:szCs w:val="16"/>
              </w:rPr>
              <w:t xml:space="preserve"> Exact 95% CI obtained using </w:t>
            </w:r>
            <w:proofErr w:type="spellStart"/>
            <w:r w:rsidRPr="0022140F">
              <w:rPr>
                <w:rFonts w:cs="Arial"/>
                <w:i/>
                <w:sz w:val="16"/>
                <w:szCs w:val="16"/>
              </w:rPr>
              <w:t>Clopper</w:t>
            </w:r>
            <w:proofErr w:type="spellEnd"/>
            <w:r w:rsidRPr="0022140F">
              <w:rPr>
                <w:rFonts w:cs="Arial"/>
                <w:i/>
                <w:sz w:val="16"/>
                <w:szCs w:val="16"/>
              </w:rPr>
              <w:t>-Pearson method</w:t>
            </w:r>
            <w:r w:rsidRPr="0022140F">
              <w:rPr>
                <w:rFonts w:cs="Arial"/>
                <w:i/>
                <w:sz w:val="16"/>
                <w:szCs w:val="16"/>
              </w:rPr>
              <w:br/>
            </w:r>
            <w:r w:rsidRPr="0022140F">
              <w:rPr>
                <w:rFonts w:cs="Arial"/>
                <w:i/>
                <w:sz w:val="16"/>
                <w:szCs w:val="16"/>
                <w:vertAlign w:val="superscript"/>
              </w:rPr>
              <w:t>b</w:t>
            </w:r>
            <w:r w:rsidRPr="0022140F">
              <w:rPr>
                <w:rFonts w:cs="Arial"/>
                <w:i/>
                <w:sz w:val="16"/>
                <w:szCs w:val="16"/>
              </w:rPr>
              <w:t xml:space="preserve"> Odds ratio and its 95% CI obtained using logistic regression stratified by age subgroup. Odds ratio &gt;1 </w:t>
            </w:r>
            <w:proofErr w:type="spellStart"/>
            <w:r w:rsidRPr="0022140F">
              <w:rPr>
                <w:rFonts w:cs="Arial"/>
                <w:i/>
                <w:sz w:val="16"/>
                <w:szCs w:val="16"/>
              </w:rPr>
              <w:t>favors</w:t>
            </w:r>
            <w:proofErr w:type="spellEnd"/>
            <w:r w:rsidRPr="0022140F">
              <w:rPr>
                <w:rFonts w:cs="Arial"/>
                <w:i/>
                <w:sz w:val="16"/>
                <w:szCs w:val="16"/>
              </w:rPr>
              <w:t xml:space="preserve"> </w:t>
            </w:r>
            <w:proofErr w:type="spellStart"/>
            <w:r w:rsidRPr="0022140F">
              <w:rPr>
                <w:rFonts w:cs="Arial"/>
                <w:i/>
                <w:sz w:val="16"/>
                <w:szCs w:val="16"/>
              </w:rPr>
              <w:t>everolimus</w:t>
            </w:r>
            <w:proofErr w:type="spellEnd"/>
            <w:r w:rsidRPr="0022140F">
              <w:rPr>
                <w:rFonts w:cs="Arial"/>
                <w:i/>
                <w:sz w:val="16"/>
                <w:szCs w:val="16"/>
              </w:rPr>
              <w:t xml:space="preserve"> arm.</w:t>
            </w:r>
            <w:r w:rsidRPr="0022140F">
              <w:rPr>
                <w:rFonts w:cs="Arial"/>
                <w:i/>
                <w:sz w:val="16"/>
                <w:szCs w:val="16"/>
              </w:rPr>
              <w:br/>
            </w:r>
            <w:r w:rsidRPr="0022140F">
              <w:rPr>
                <w:rFonts w:cs="Arial"/>
                <w:i/>
                <w:sz w:val="16"/>
                <w:szCs w:val="16"/>
                <w:vertAlign w:val="superscript"/>
              </w:rPr>
              <w:t>c</w:t>
            </w:r>
            <w:r w:rsidRPr="0022140F">
              <w:rPr>
                <w:rFonts w:cs="Arial"/>
                <w:i/>
                <w:sz w:val="16"/>
                <w:szCs w:val="16"/>
              </w:rPr>
              <w:t xml:space="preserve"> p-values computed from the Cochran-Mantel-</w:t>
            </w:r>
            <w:proofErr w:type="spellStart"/>
            <w:r w:rsidRPr="0022140F">
              <w:rPr>
                <w:rFonts w:cs="Arial"/>
                <w:i/>
                <w:sz w:val="16"/>
                <w:szCs w:val="16"/>
              </w:rPr>
              <w:t>Haenszel</w:t>
            </w:r>
            <w:proofErr w:type="spellEnd"/>
            <w:r w:rsidRPr="0022140F">
              <w:rPr>
                <w:rFonts w:cs="Arial"/>
                <w:i/>
                <w:sz w:val="16"/>
                <w:szCs w:val="16"/>
              </w:rPr>
              <w:t xml:space="preserve"> test stratified by age subgroup</w:t>
            </w:r>
            <w:r w:rsidRPr="0022140F">
              <w:rPr>
                <w:rFonts w:cs="Arial"/>
                <w:i/>
                <w:sz w:val="16"/>
                <w:szCs w:val="16"/>
              </w:rPr>
              <w:br/>
            </w:r>
            <w:r w:rsidRPr="0022140F">
              <w:rPr>
                <w:rFonts w:cs="Arial"/>
                <w:i/>
                <w:sz w:val="16"/>
                <w:szCs w:val="16"/>
                <w:vertAlign w:val="superscript"/>
              </w:rPr>
              <w:t>d</w:t>
            </w:r>
            <w:r w:rsidRPr="0022140F">
              <w:rPr>
                <w:rFonts w:cs="Arial"/>
                <w:i/>
                <w:sz w:val="16"/>
                <w:szCs w:val="16"/>
              </w:rPr>
              <w:t xml:space="preserve"> Family-wise error rate of 2.5% one-sided</w:t>
            </w:r>
          </w:p>
        </w:tc>
      </w:tr>
    </w:tbl>
    <w:p w14:paraId="6A781A7C" w14:textId="77777777" w:rsidR="00557C61" w:rsidRDefault="00557C61" w:rsidP="00557C61"/>
    <w:p w14:paraId="1C9CF857" w14:textId="77777777" w:rsidR="00557C61" w:rsidRPr="0022140F" w:rsidRDefault="00557C61" w:rsidP="00557C61">
      <w:r w:rsidRPr="0022140F">
        <w:t>Percentage reduction from baseline in seizure frequency was a supporting analysis.</w:t>
      </w:r>
    </w:p>
    <w:p w14:paraId="4CEFEDA8" w14:textId="77777777" w:rsidR="00557C61" w:rsidRPr="0022140F" w:rsidRDefault="00557C61" w:rsidP="00557C61">
      <w:r w:rsidRPr="0022140F">
        <w:t xml:space="preserve">The median percentage reduction from baseline in seizure frequency was 29.3% (95% CI: 18.8, 41.9) in the </w:t>
      </w:r>
      <w:proofErr w:type="spellStart"/>
      <w:r w:rsidRPr="0022140F">
        <w:t>Afinitor</w:t>
      </w:r>
      <w:proofErr w:type="spellEnd"/>
      <w:r w:rsidRPr="0022140F">
        <w:t xml:space="preserve"> LT arm (p = 0.003), 39.6% (95% CI: 35.0, 48.7) in the </w:t>
      </w:r>
      <w:proofErr w:type="spellStart"/>
      <w:r w:rsidRPr="0022140F">
        <w:t>Afinitor</w:t>
      </w:r>
      <w:proofErr w:type="spellEnd"/>
      <w:r w:rsidRPr="0022140F">
        <w:t xml:space="preserve"> HT arm (p &lt; 0.001) and 14.9% (95% CI: 0.1, 21.7) in the placebo arm.</w:t>
      </w:r>
    </w:p>
    <w:p w14:paraId="2B7D2DE2" w14:textId="77777777" w:rsidR="00557C61" w:rsidRPr="0022140F" w:rsidRDefault="00557C61" w:rsidP="00557C61">
      <w:r w:rsidRPr="0022140F">
        <w:lastRenderedPageBreak/>
        <w:t xml:space="preserve">The seizure free rate (the frequency of seizure-free days per 28 days during the maintenance phase) was 5.1% (95% CI: 1.9, 10.8) and 3.8% (95% CI: 1.3, 8.7) in the </w:t>
      </w:r>
      <w:proofErr w:type="spellStart"/>
      <w:r w:rsidRPr="0022140F">
        <w:t>Afinitor</w:t>
      </w:r>
      <w:proofErr w:type="spellEnd"/>
      <w:r w:rsidRPr="0022140F">
        <w:t xml:space="preserve"> LT and HT arms, respectively, versus 0.8% (95% CI: 0.0, 4.6) in the placebo arm.</w:t>
      </w:r>
    </w:p>
    <w:p w14:paraId="7C56077F" w14:textId="77777777" w:rsidR="00557C61" w:rsidRPr="0022140F" w:rsidRDefault="00557C61" w:rsidP="00557C61">
      <w:r w:rsidRPr="0022140F">
        <w:t xml:space="preserve">The proportion of patients with at least 25% reduction in seizure frequency was 52.1% (95% CI: 42.7, 61.5) in the </w:t>
      </w:r>
      <w:proofErr w:type="spellStart"/>
      <w:r w:rsidRPr="0022140F">
        <w:t>Afinitor</w:t>
      </w:r>
      <w:proofErr w:type="spellEnd"/>
      <w:r w:rsidRPr="0022140F">
        <w:t xml:space="preserve"> LT and 70.0% (95% CI: 61.3, 77.7) in the </w:t>
      </w:r>
      <w:proofErr w:type="spellStart"/>
      <w:r w:rsidRPr="0022140F">
        <w:t>Afinitor</w:t>
      </w:r>
      <w:proofErr w:type="spellEnd"/>
      <w:r w:rsidRPr="0022140F">
        <w:t xml:space="preserve"> HT arms, respectively, versus 37.8% (95% CI: 29.1, 47.2) on placebo.</w:t>
      </w:r>
    </w:p>
    <w:p w14:paraId="0B6A8F85" w14:textId="77777777" w:rsidR="00557C61" w:rsidRPr="0022140F" w:rsidRDefault="00557C61" w:rsidP="00557C61">
      <w:r w:rsidRPr="0022140F">
        <w:t xml:space="preserve">Higher proportions of responders were evident for all response categories in the </w:t>
      </w:r>
      <w:proofErr w:type="spellStart"/>
      <w:r w:rsidRPr="0022140F">
        <w:t>everolimus</w:t>
      </w:r>
      <w:proofErr w:type="spellEnd"/>
      <w:r w:rsidRPr="0022140F">
        <w:t xml:space="preserve"> LT and HT arms relative to placebo. Furthermore, approximately twice as many patients in the placebo arm experienced seizure exacerbation relative to the </w:t>
      </w:r>
      <w:proofErr w:type="spellStart"/>
      <w:r w:rsidRPr="0022140F">
        <w:t>everolimus</w:t>
      </w:r>
      <w:proofErr w:type="spellEnd"/>
      <w:r w:rsidRPr="0022140F">
        <w:t xml:space="preserve"> LT and HT arms</w:t>
      </w:r>
      <w:bookmarkStart w:id="38" w:name="_hd6_Table_11_12_Distributi123601"/>
      <w:bookmarkEnd w:id="38"/>
      <w:r w:rsidRPr="0022140F">
        <w:t>.</w:t>
      </w:r>
      <w:bookmarkStart w:id="39" w:name="_hd7_Figure_11_3_Distributi124527"/>
      <w:bookmarkEnd w:id="39"/>
    </w:p>
    <w:p w14:paraId="1210A8E0" w14:textId="77777777" w:rsidR="00557C61" w:rsidRPr="0022140F" w:rsidRDefault="00557C61" w:rsidP="00557C61">
      <w:r w:rsidRPr="0022140F">
        <w:t xml:space="preserve">A homogeneous and consistent </w:t>
      </w:r>
      <w:proofErr w:type="spellStart"/>
      <w:r w:rsidRPr="0022140F">
        <w:t>everolimus</w:t>
      </w:r>
      <w:proofErr w:type="spellEnd"/>
      <w:r w:rsidRPr="0022140F">
        <w:t xml:space="preserve"> effect was observed across all subgroups evaluated for the primary efficacy endpoints by: age categories (</w:t>
      </w:r>
      <w:r w:rsidRPr="0022140F">
        <w:fldChar w:fldCharType="begin"/>
      </w:r>
      <w:r w:rsidRPr="0022140F">
        <w:instrText xml:space="preserve"> REF _Ref491440571 \h  \* MERGEFORMAT </w:instrText>
      </w:r>
      <w:r w:rsidRPr="0022140F">
        <w:fldChar w:fldCharType="separate"/>
      </w:r>
      <w:r w:rsidR="00D64407">
        <w:t>Table 12</w:t>
      </w:r>
      <w:r w:rsidRPr="0022140F">
        <w:fldChar w:fldCharType="end"/>
      </w:r>
      <w:r w:rsidRPr="0022140F">
        <w:t>), gender, race and ethnicity, seizure types, seizures frequency at Baseline, number and name of concomitant AEDs, and TSC features (</w:t>
      </w:r>
      <w:proofErr w:type="spellStart"/>
      <w:r w:rsidRPr="0022140F">
        <w:t>angiomyolipoma</w:t>
      </w:r>
      <w:proofErr w:type="spellEnd"/>
      <w:r w:rsidRPr="0022140F">
        <w:t xml:space="preserve">, SEGA, cortical tuber status). </w:t>
      </w:r>
    </w:p>
    <w:p w14:paraId="242B5EC3" w14:textId="77777777" w:rsidR="00557C61" w:rsidRDefault="00557C61" w:rsidP="00557C61">
      <w:pPr>
        <w:pStyle w:val="Caption"/>
        <w:keepNext/>
        <w:ind w:left="1440" w:hanging="1440"/>
      </w:pPr>
      <w:bookmarkStart w:id="40" w:name="_Ref491440571"/>
      <w:r>
        <w:t xml:space="preserve">Table </w:t>
      </w:r>
      <w:r w:rsidR="002F78A4">
        <w:rPr>
          <w:noProof/>
        </w:rPr>
        <w:fldChar w:fldCharType="begin"/>
      </w:r>
      <w:r w:rsidR="002F78A4">
        <w:rPr>
          <w:noProof/>
        </w:rPr>
        <w:instrText xml:space="preserve"> SEQ Table \* ARABIC </w:instrText>
      </w:r>
      <w:r w:rsidR="002F78A4">
        <w:rPr>
          <w:noProof/>
        </w:rPr>
        <w:fldChar w:fldCharType="separate"/>
      </w:r>
      <w:r w:rsidR="00D64407">
        <w:rPr>
          <w:noProof/>
        </w:rPr>
        <w:t>12</w:t>
      </w:r>
      <w:r w:rsidR="002F78A4">
        <w:rPr>
          <w:noProof/>
        </w:rPr>
        <w:fldChar w:fldCharType="end"/>
      </w:r>
      <w:bookmarkEnd w:id="40"/>
      <w:r>
        <w:t xml:space="preserve"> </w:t>
      </w:r>
      <w:r>
        <w:tab/>
      </w:r>
      <w:r w:rsidRPr="00552070">
        <w:t>EXIST-3 - Response rate by age</w:t>
      </w:r>
    </w:p>
    <w:tbl>
      <w:tblPr>
        <w:tblW w:w="9299" w:type="dxa"/>
        <w:tblBorders>
          <w:top w:val="single" w:sz="4" w:space="0" w:color="auto"/>
          <w:bottom w:val="single" w:sz="4" w:space="0" w:color="auto"/>
        </w:tblBorders>
        <w:tblLayout w:type="fixed"/>
        <w:tblLook w:val="0000" w:firstRow="0" w:lastRow="0" w:firstColumn="0" w:lastColumn="0" w:noHBand="0" w:noVBand="0"/>
      </w:tblPr>
      <w:tblGrid>
        <w:gridCol w:w="3708"/>
        <w:gridCol w:w="1863"/>
        <w:gridCol w:w="1864"/>
        <w:gridCol w:w="1864"/>
      </w:tblGrid>
      <w:tr w:rsidR="00557C61" w:rsidRPr="007F5FFC" w14:paraId="3C02D3DD" w14:textId="77777777" w:rsidTr="005362D8">
        <w:trPr>
          <w:tblHeader/>
        </w:trPr>
        <w:tc>
          <w:tcPr>
            <w:tcW w:w="3708" w:type="dxa"/>
            <w:tcBorders>
              <w:top w:val="single" w:sz="4" w:space="0" w:color="auto"/>
              <w:bottom w:val="nil"/>
            </w:tcBorders>
            <w:shd w:val="clear" w:color="auto" w:fill="auto"/>
          </w:tcPr>
          <w:p w14:paraId="2EDF19F6" w14:textId="77777777" w:rsidR="00557C61" w:rsidRPr="007F5FFC" w:rsidRDefault="00557C61" w:rsidP="005362D8">
            <w:pPr>
              <w:pStyle w:val="Table"/>
              <w:keepNext/>
              <w:rPr>
                <w:b/>
                <w:sz w:val="18"/>
                <w:szCs w:val="18"/>
              </w:rPr>
            </w:pPr>
          </w:p>
        </w:tc>
        <w:tc>
          <w:tcPr>
            <w:tcW w:w="3727" w:type="dxa"/>
            <w:gridSpan w:val="2"/>
            <w:tcBorders>
              <w:top w:val="single" w:sz="4" w:space="0" w:color="auto"/>
              <w:bottom w:val="nil"/>
            </w:tcBorders>
            <w:shd w:val="clear" w:color="auto" w:fill="auto"/>
          </w:tcPr>
          <w:p w14:paraId="3FF3B1E8" w14:textId="77777777" w:rsidR="00557C61" w:rsidRPr="007F5FFC" w:rsidRDefault="00557C61" w:rsidP="005362D8">
            <w:pPr>
              <w:pStyle w:val="Table"/>
              <w:jc w:val="center"/>
              <w:rPr>
                <w:b/>
                <w:sz w:val="18"/>
                <w:szCs w:val="18"/>
              </w:rPr>
            </w:pPr>
            <w:proofErr w:type="spellStart"/>
            <w:r w:rsidRPr="007F5FFC">
              <w:rPr>
                <w:b/>
                <w:sz w:val="18"/>
                <w:szCs w:val="18"/>
              </w:rPr>
              <w:t>Everolimus</w:t>
            </w:r>
            <w:proofErr w:type="spellEnd"/>
          </w:p>
        </w:tc>
        <w:tc>
          <w:tcPr>
            <w:tcW w:w="1864" w:type="dxa"/>
            <w:tcBorders>
              <w:top w:val="single" w:sz="4" w:space="0" w:color="auto"/>
              <w:bottom w:val="nil"/>
            </w:tcBorders>
            <w:shd w:val="clear" w:color="auto" w:fill="auto"/>
          </w:tcPr>
          <w:p w14:paraId="02FCEC53" w14:textId="77777777" w:rsidR="00557C61" w:rsidRPr="007F5FFC" w:rsidRDefault="00557C61" w:rsidP="005362D8">
            <w:pPr>
              <w:pStyle w:val="Table"/>
              <w:jc w:val="center"/>
              <w:rPr>
                <w:b/>
                <w:sz w:val="18"/>
                <w:szCs w:val="18"/>
              </w:rPr>
            </w:pPr>
            <w:r w:rsidRPr="007F5FFC">
              <w:rPr>
                <w:b/>
                <w:sz w:val="18"/>
                <w:szCs w:val="18"/>
              </w:rPr>
              <w:t>Placebo</w:t>
            </w:r>
          </w:p>
        </w:tc>
      </w:tr>
      <w:tr w:rsidR="00557C61" w:rsidRPr="007F5FFC" w14:paraId="76801EBB" w14:textId="77777777" w:rsidTr="005362D8">
        <w:trPr>
          <w:tblHeader/>
        </w:trPr>
        <w:tc>
          <w:tcPr>
            <w:tcW w:w="3708" w:type="dxa"/>
            <w:tcBorders>
              <w:top w:val="nil"/>
              <w:bottom w:val="nil"/>
            </w:tcBorders>
            <w:shd w:val="clear" w:color="auto" w:fill="auto"/>
          </w:tcPr>
          <w:p w14:paraId="5386A977" w14:textId="77777777" w:rsidR="00557C61" w:rsidRPr="007F5FFC" w:rsidRDefault="00557C61" w:rsidP="005362D8">
            <w:pPr>
              <w:pStyle w:val="Table"/>
              <w:keepNext/>
              <w:rPr>
                <w:b/>
                <w:sz w:val="18"/>
                <w:szCs w:val="18"/>
              </w:rPr>
            </w:pPr>
          </w:p>
        </w:tc>
        <w:tc>
          <w:tcPr>
            <w:tcW w:w="1863" w:type="dxa"/>
            <w:tcBorders>
              <w:top w:val="nil"/>
              <w:bottom w:val="nil"/>
            </w:tcBorders>
            <w:shd w:val="clear" w:color="auto" w:fill="auto"/>
          </w:tcPr>
          <w:p w14:paraId="70202573" w14:textId="77777777" w:rsidR="00557C61" w:rsidRPr="007F5FFC" w:rsidRDefault="00557C61" w:rsidP="005362D8">
            <w:pPr>
              <w:pStyle w:val="Table"/>
              <w:jc w:val="center"/>
              <w:rPr>
                <w:b/>
                <w:sz w:val="18"/>
                <w:szCs w:val="18"/>
              </w:rPr>
            </w:pPr>
            <w:r w:rsidRPr="007F5FFC">
              <w:rPr>
                <w:b/>
                <w:sz w:val="18"/>
                <w:szCs w:val="18"/>
              </w:rPr>
              <w:t>LT target of</w:t>
            </w:r>
            <w:r w:rsidRPr="007F5FFC">
              <w:rPr>
                <w:b/>
                <w:sz w:val="18"/>
                <w:szCs w:val="18"/>
              </w:rPr>
              <w:br/>
              <w:t>3-7 ng/mL</w:t>
            </w:r>
          </w:p>
        </w:tc>
        <w:tc>
          <w:tcPr>
            <w:tcW w:w="1864" w:type="dxa"/>
            <w:tcBorders>
              <w:top w:val="nil"/>
              <w:bottom w:val="nil"/>
            </w:tcBorders>
            <w:shd w:val="clear" w:color="auto" w:fill="auto"/>
          </w:tcPr>
          <w:p w14:paraId="1C49AA36" w14:textId="77777777" w:rsidR="00557C61" w:rsidRPr="007F5FFC" w:rsidRDefault="00557C61" w:rsidP="005362D8">
            <w:pPr>
              <w:pStyle w:val="Table"/>
              <w:jc w:val="center"/>
              <w:rPr>
                <w:b/>
                <w:sz w:val="18"/>
                <w:szCs w:val="18"/>
              </w:rPr>
            </w:pPr>
            <w:r w:rsidRPr="007F5FFC">
              <w:rPr>
                <w:b/>
                <w:sz w:val="18"/>
                <w:szCs w:val="18"/>
              </w:rPr>
              <w:t>HT target of</w:t>
            </w:r>
            <w:r w:rsidRPr="007F5FFC">
              <w:rPr>
                <w:b/>
                <w:sz w:val="18"/>
                <w:szCs w:val="18"/>
              </w:rPr>
              <w:br/>
              <w:t>9-15 ng/mL</w:t>
            </w:r>
          </w:p>
        </w:tc>
        <w:tc>
          <w:tcPr>
            <w:tcW w:w="1864" w:type="dxa"/>
            <w:tcBorders>
              <w:top w:val="nil"/>
              <w:bottom w:val="nil"/>
            </w:tcBorders>
            <w:shd w:val="clear" w:color="auto" w:fill="auto"/>
          </w:tcPr>
          <w:p w14:paraId="51138FCA" w14:textId="77777777" w:rsidR="00557C61" w:rsidRPr="007F5FFC" w:rsidRDefault="00557C61" w:rsidP="005362D8">
            <w:pPr>
              <w:pStyle w:val="Table"/>
              <w:jc w:val="center"/>
              <w:rPr>
                <w:b/>
                <w:sz w:val="18"/>
                <w:szCs w:val="18"/>
              </w:rPr>
            </w:pPr>
          </w:p>
        </w:tc>
      </w:tr>
      <w:tr w:rsidR="00557C61" w:rsidRPr="007F5FFC" w14:paraId="390EA55A" w14:textId="77777777" w:rsidTr="005362D8">
        <w:trPr>
          <w:tblHeader/>
        </w:trPr>
        <w:tc>
          <w:tcPr>
            <w:tcW w:w="3708" w:type="dxa"/>
            <w:tcBorders>
              <w:top w:val="nil"/>
              <w:bottom w:val="single" w:sz="4" w:space="0" w:color="auto"/>
            </w:tcBorders>
            <w:shd w:val="clear" w:color="auto" w:fill="auto"/>
          </w:tcPr>
          <w:p w14:paraId="2C27F0C8" w14:textId="77777777" w:rsidR="00557C61" w:rsidRPr="007F5FFC" w:rsidRDefault="00557C61" w:rsidP="005362D8">
            <w:pPr>
              <w:pStyle w:val="Table"/>
              <w:keepNext/>
              <w:rPr>
                <w:b/>
                <w:sz w:val="18"/>
                <w:szCs w:val="18"/>
              </w:rPr>
            </w:pPr>
            <w:r w:rsidRPr="007F5FFC">
              <w:rPr>
                <w:b/>
                <w:sz w:val="18"/>
                <w:szCs w:val="18"/>
              </w:rPr>
              <w:t>Age category</w:t>
            </w:r>
          </w:p>
        </w:tc>
        <w:tc>
          <w:tcPr>
            <w:tcW w:w="1863" w:type="dxa"/>
            <w:tcBorders>
              <w:top w:val="nil"/>
              <w:bottom w:val="single" w:sz="4" w:space="0" w:color="auto"/>
            </w:tcBorders>
            <w:shd w:val="clear" w:color="auto" w:fill="auto"/>
          </w:tcPr>
          <w:p w14:paraId="134D0472" w14:textId="77777777" w:rsidR="00557C61" w:rsidRPr="007F5FFC" w:rsidRDefault="00557C61" w:rsidP="005362D8">
            <w:pPr>
              <w:pStyle w:val="Table"/>
              <w:jc w:val="center"/>
              <w:rPr>
                <w:b/>
                <w:sz w:val="18"/>
                <w:szCs w:val="18"/>
              </w:rPr>
            </w:pPr>
            <w:r w:rsidRPr="007F5FFC">
              <w:rPr>
                <w:b/>
                <w:sz w:val="18"/>
                <w:szCs w:val="18"/>
              </w:rPr>
              <w:t>N=117</w:t>
            </w:r>
          </w:p>
        </w:tc>
        <w:tc>
          <w:tcPr>
            <w:tcW w:w="1864" w:type="dxa"/>
            <w:tcBorders>
              <w:top w:val="nil"/>
              <w:bottom w:val="single" w:sz="4" w:space="0" w:color="auto"/>
            </w:tcBorders>
            <w:shd w:val="clear" w:color="auto" w:fill="auto"/>
          </w:tcPr>
          <w:p w14:paraId="0CB05073" w14:textId="77777777" w:rsidR="00557C61" w:rsidRPr="007F5FFC" w:rsidRDefault="00557C61" w:rsidP="005362D8">
            <w:pPr>
              <w:pStyle w:val="Table"/>
              <w:jc w:val="center"/>
              <w:rPr>
                <w:b/>
                <w:sz w:val="18"/>
                <w:szCs w:val="18"/>
              </w:rPr>
            </w:pPr>
            <w:r w:rsidRPr="007F5FFC">
              <w:rPr>
                <w:b/>
                <w:sz w:val="18"/>
                <w:szCs w:val="18"/>
              </w:rPr>
              <w:t>N=130</w:t>
            </w:r>
          </w:p>
        </w:tc>
        <w:tc>
          <w:tcPr>
            <w:tcW w:w="1864" w:type="dxa"/>
            <w:tcBorders>
              <w:top w:val="nil"/>
              <w:bottom w:val="single" w:sz="4" w:space="0" w:color="auto"/>
            </w:tcBorders>
            <w:shd w:val="clear" w:color="auto" w:fill="auto"/>
          </w:tcPr>
          <w:p w14:paraId="630B06BE" w14:textId="77777777" w:rsidR="00557C61" w:rsidRPr="007F5FFC" w:rsidRDefault="00557C61" w:rsidP="005362D8">
            <w:pPr>
              <w:pStyle w:val="Table"/>
              <w:jc w:val="center"/>
              <w:rPr>
                <w:b/>
                <w:sz w:val="18"/>
                <w:szCs w:val="18"/>
              </w:rPr>
            </w:pPr>
            <w:r w:rsidRPr="007F5FFC">
              <w:rPr>
                <w:b/>
                <w:sz w:val="18"/>
                <w:szCs w:val="18"/>
              </w:rPr>
              <w:t>N=119</w:t>
            </w:r>
          </w:p>
        </w:tc>
      </w:tr>
      <w:tr w:rsidR="00557C61" w:rsidRPr="007F5FFC" w14:paraId="479D4D56" w14:textId="77777777" w:rsidTr="005362D8">
        <w:tc>
          <w:tcPr>
            <w:tcW w:w="3708" w:type="dxa"/>
            <w:tcBorders>
              <w:top w:val="single" w:sz="4" w:space="0" w:color="auto"/>
            </w:tcBorders>
            <w:shd w:val="clear" w:color="auto" w:fill="auto"/>
          </w:tcPr>
          <w:p w14:paraId="01EA50FB" w14:textId="77777777" w:rsidR="00557C61" w:rsidRPr="007F5FFC" w:rsidRDefault="00557C61" w:rsidP="005362D8">
            <w:pPr>
              <w:pStyle w:val="Table"/>
              <w:keepNext/>
              <w:rPr>
                <w:b/>
                <w:sz w:val="18"/>
                <w:szCs w:val="18"/>
              </w:rPr>
            </w:pPr>
            <w:r w:rsidRPr="007F5FFC">
              <w:rPr>
                <w:b/>
                <w:sz w:val="18"/>
                <w:szCs w:val="18"/>
              </w:rPr>
              <w:t>&lt;6 years</w:t>
            </w:r>
          </w:p>
        </w:tc>
        <w:tc>
          <w:tcPr>
            <w:tcW w:w="1863" w:type="dxa"/>
            <w:tcBorders>
              <w:top w:val="single" w:sz="4" w:space="0" w:color="auto"/>
            </w:tcBorders>
            <w:shd w:val="clear" w:color="auto" w:fill="auto"/>
          </w:tcPr>
          <w:p w14:paraId="15315426" w14:textId="77777777" w:rsidR="00557C61" w:rsidRPr="007F5FFC" w:rsidRDefault="00557C61" w:rsidP="005362D8">
            <w:pPr>
              <w:pStyle w:val="Table"/>
              <w:jc w:val="center"/>
              <w:rPr>
                <w:b/>
                <w:sz w:val="18"/>
                <w:szCs w:val="18"/>
              </w:rPr>
            </w:pPr>
            <w:r w:rsidRPr="007F5FFC">
              <w:rPr>
                <w:b/>
                <w:sz w:val="18"/>
                <w:szCs w:val="18"/>
              </w:rPr>
              <w:t>n=33</w:t>
            </w:r>
          </w:p>
        </w:tc>
        <w:tc>
          <w:tcPr>
            <w:tcW w:w="1864" w:type="dxa"/>
            <w:tcBorders>
              <w:top w:val="single" w:sz="4" w:space="0" w:color="auto"/>
            </w:tcBorders>
            <w:shd w:val="clear" w:color="auto" w:fill="auto"/>
          </w:tcPr>
          <w:p w14:paraId="2075FAAB" w14:textId="77777777" w:rsidR="00557C61" w:rsidRPr="007F5FFC" w:rsidRDefault="00557C61" w:rsidP="005362D8">
            <w:pPr>
              <w:pStyle w:val="Table"/>
              <w:jc w:val="center"/>
              <w:rPr>
                <w:b/>
                <w:sz w:val="18"/>
                <w:szCs w:val="18"/>
              </w:rPr>
            </w:pPr>
            <w:r w:rsidRPr="007F5FFC">
              <w:rPr>
                <w:b/>
                <w:sz w:val="18"/>
                <w:szCs w:val="18"/>
              </w:rPr>
              <w:t>n=37</w:t>
            </w:r>
          </w:p>
        </w:tc>
        <w:tc>
          <w:tcPr>
            <w:tcW w:w="1864" w:type="dxa"/>
            <w:tcBorders>
              <w:top w:val="single" w:sz="4" w:space="0" w:color="auto"/>
            </w:tcBorders>
            <w:shd w:val="clear" w:color="auto" w:fill="auto"/>
          </w:tcPr>
          <w:p w14:paraId="691E39D3" w14:textId="77777777" w:rsidR="00557C61" w:rsidRPr="007F5FFC" w:rsidRDefault="00557C61" w:rsidP="005362D8">
            <w:pPr>
              <w:pStyle w:val="Table"/>
              <w:jc w:val="center"/>
              <w:rPr>
                <w:b/>
                <w:sz w:val="18"/>
                <w:szCs w:val="18"/>
              </w:rPr>
            </w:pPr>
            <w:r w:rsidRPr="007F5FFC">
              <w:rPr>
                <w:b/>
                <w:sz w:val="18"/>
                <w:szCs w:val="18"/>
              </w:rPr>
              <w:t>n=34</w:t>
            </w:r>
          </w:p>
        </w:tc>
      </w:tr>
      <w:tr w:rsidR="00557C61" w:rsidRPr="007F5FFC" w14:paraId="0F3D81AD" w14:textId="77777777" w:rsidTr="005362D8">
        <w:tc>
          <w:tcPr>
            <w:tcW w:w="3708" w:type="dxa"/>
            <w:shd w:val="clear" w:color="auto" w:fill="auto"/>
          </w:tcPr>
          <w:p w14:paraId="78ACB57B" w14:textId="77777777" w:rsidR="00557C61" w:rsidRPr="007F5FFC" w:rsidRDefault="00557C61" w:rsidP="005362D8">
            <w:pPr>
              <w:pStyle w:val="Table"/>
              <w:rPr>
                <w:sz w:val="18"/>
                <w:szCs w:val="18"/>
              </w:rPr>
            </w:pPr>
            <w:r w:rsidRPr="007F5FFC">
              <w:rPr>
                <w:sz w:val="18"/>
                <w:szCs w:val="18"/>
              </w:rPr>
              <w:tab/>
              <w:t>Response rate (95% CI)</w:t>
            </w:r>
            <w:r w:rsidRPr="007F5FFC">
              <w:rPr>
                <w:sz w:val="18"/>
                <w:szCs w:val="18"/>
                <w:vertAlign w:val="superscript"/>
              </w:rPr>
              <w:t xml:space="preserve"> a</w:t>
            </w:r>
          </w:p>
        </w:tc>
        <w:tc>
          <w:tcPr>
            <w:tcW w:w="1863" w:type="dxa"/>
            <w:shd w:val="clear" w:color="auto" w:fill="auto"/>
          </w:tcPr>
          <w:p w14:paraId="14BB1657" w14:textId="77777777" w:rsidR="00557C61" w:rsidRPr="007F5FFC" w:rsidRDefault="00557C61" w:rsidP="005362D8">
            <w:pPr>
              <w:pStyle w:val="Table"/>
              <w:jc w:val="center"/>
              <w:rPr>
                <w:sz w:val="18"/>
                <w:szCs w:val="18"/>
              </w:rPr>
            </w:pPr>
            <w:r w:rsidRPr="007F5FFC">
              <w:rPr>
                <w:sz w:val="18"/>
                <w:szCs w:val="18"/>
              </w:rPr>
              <w:t>30.3 (15.6, 48.7)</w:t>
            </w:r>
          </w:p>
        </w:tc>
        <w:tc>
          <w:tcPr>
            <w:tcW w:w="1864" w:type="dxa"/>
            <w:shd w:val="clear" w:color="auto" w:fill="auto"/>
          </w:tcPr>
          <w:p w14:paraId="6854B562" w14:textId="77777777" w:rsidR="00557C61" w:rsidRPr="007F5FFC" w:rsidRDefault="00557C61" w:rsidP="005362D8">
            <w:pPr>
              <w:pStyle w:val="Table"/>
              <w:jc w:val="center"/>
              <w:rPr>
                <w:sz w:val="18"/>
                <w:szCs w:val="18"/>
              </w:rPr>
            </w:pPr>
            <w:r w:rsidRPr="007F5FFC">
              <w:rPr>
                <w:sz w:val="18"/>
                <w:szCs w:val="18"/>
              </w:rPr>
              <w:t>59.5 (42.1, 75.2)</w:t>
            </w:r>
          </w:p>
        </w:tc>
        <w:tc>
          <w:tcPr>
            <w:tcW w:w="1864" w:type="dxa"/>
            <w:shd w:val="clear" w:color="auto" w:fill="auto"/>
          </w:tcPr>
          <w:p w14:paraId="14BF7022" w14:textId="77777777" w:rsidR="00557C61" w:rsidRPr="007F5FFC" w:rsidRDefault="00557C61" w:rsidP="005362D8">
            <w:pPr>
              <w:pStyle w:val="Table"/>
              <w:jc w:val="center"/>
              <w:rPr>
                <w:sz w:val="18"/>
                <w:szCs w:val="18"/>
              </w:rPr>
            </w:pPr>
            <w:r w:rsidRPr="007F5FFC">
              <w:rPr>
                <w:sz w:val="18"/>
                <w:szCs w:val="18"/>
              </w:rPr>
              <w:t>17.6 (6.8, 34.5)</w:t>
            </w:r>
          </w:p>
        </w:tc>
      </w:tr>
      <w:tr w:rsidR="00557C61" w:rsidRPr="007F5FFC" w14:paraId="2D77AAF9" w14:textId="77777777" w:rsidTr="005362D8">
        <w:tc>
          <w:tcPr>
            <w:tcW w:w="3708" w:type="dxa"/>
            <w:shd w:val="clear" w:color="auto" w:fill="auto"/>
          </w:tcPr>
          <w:p w14:paraId="45A47B9A" w14:textId="77777777" w:rsidR="00557C61" w:rsidRPr="007F5FFC" w:rsidRDefault="00557C61" w:rsidP="005362D8">
            <w:pPr>
              <w:pStyle w:val="Table"/>
              <w:keepNext/>
              <w:rPr>
                <w:b/>
                <w:sz w:val="18"/>
                <w:szCs w:val="18"/>
              </w:rPr>
            </w:pPr>
            <w:r w:rsidRPr="007F5FFC">
              <w:rPr>
                <w:b/>
                <w:sz w:val="18"/>
                <w:szCs w:val="18"/>
              </w:rPr>
              <w:t>6 to &lt;12 years</w:t>
            </w:r>
          </w:p>
        </w:tc>
        <w:tc>
          <w:tcPr>
            <w:tcW w:w="1863" w:type="dxa"/>
            <w:shd w:val="clear" w:color="auto" w:fill="auto"/>
          </w:tcPr>
          <w:p w14:paraId="52268DCC" w14:textId="77777777" w:rsidR="00557C61" w:rsidRPr="007F5FFC" w:rsidRDefault="00557C61" w:rsidP="005362D8">
            <w:pPr>
              <w:pStyle w:val="Table"/>
              <w:jc w:val="center"/>
              <w:rPr>
                <w:b/>
                <w:sz w:val="18"/>
                <w:szCs w:val="18"/>
              </w:rPr>
            </w:pPr>
            <w:r w:rsidRPr="007F5FFC">
              <w:rPr>
                <w:b/>
                <w:sz w:val="18"/>
                <w:szCs w:val="18"/>
              </w:rPr>
              <w:t>n=37</w:t>
            </w:r>
          </w:p>
        </w:tc>
        <w:tc>
          <w:tcPr>
            <w:tcW w:w="1864" w:type="dxa"/>
            <w:shd w:val="clear" w:color="auto" w:fill="auto"/>
          </w:tcPr>
          <w:p w14:paraId="2C1AB68F" w14:textId="77777777" w:rsidR="00557C61" w:rsidRPr="007F5FFC" w:rsidRDefault="00557C61" w:rsidP="005362D8">
            <w:pPr>
              <w:pStyle w:val="Table"/>
              <w:jc w:val="center"/>
              <w:rPr>
                <w:b/>
                <w:sz w:val="18"/>
                <w:szCs w:val="18"/>
              </w:rPr>
            </w:pPr>
            <w:r w:rsidRPr="007F5FFC">
              <w:rPr>
                <w:b/>
                <w:sz w:val="18"/>
                <w:szCs w:val="18"/>
              </w:rPr>
              <w:t>n=39</w:t>
            </w:r>
          </w:p>
        </w:tc>
        <w:tc>
          <w:tcPr>
            <w:tcW w:w="1864" w:type="dxa"/>
            <w:shd w:val="clear" w:color="auto" w:fill="auto"/>
          </w:tcPr>
          <w:p w14:paraId="17DA518F" w14:textId="77777777" w:rsidR="00557C61" w:rsidRPr="007F5FFC" w:rsidRDefault="00557C61" w:rsidP="005362D8">
            <w:pPr>
              <w:pStyle w:val="Table"/>
              <w:jc w:val="center"/>
              <w:rPr>
                <w:b/>
                <w:sz w:val="18"/>
                <w:szCs w:val="18"/>
              </w:rPr>
            </w:pPr>
            <w:r w:rsidRPr="007F5FFC">
              <w:rPr>
                <w:b/>
                <w:sz w:val="18"/>
                <w:szCs w:val="18"/>
              </w:rPr>
              <w:t>n=37</w:t>
            </w:r>
          </w:p>
        </w:tc>
      </w:tr>
      <w:tr w:rsidR="00557C61" w:rsidRPr="007F5FFC" w14:paraId="7CEA6F44" w14:textId="77777777" w:rsidTr="005362D8">
        <w:tc>
          <w:tcPr>
            <w:tcW w:w="3708" w:type="dxa"/>
            <w:shd w:val="clear" w:color="auto" w:fill="auto"/>
          </w:tcPr>
          <w:p w14:paraId="62E6EBFF" w14:textId="77777777" w:rsidR="00557C61" w:rsidRPr="007F5FFC" w:rsidRDefault="00557C61" w:rsidP="005362D8">
            <w:pPr>
              <w:pStyle w:val="Table"/>
              <w:rPr>
                <w:sz w:val="18"/>
                <w:szCs w:val="18"/>
              </w:rPr>
            </w:pPr>
            <w:r w:rsidRPr="007F5FFC">
              <w:rPr>
                <w:sz w:val="18"/>
                <w:szCs w:val="18"/>
              </w:rPr>
              <w:tab/>
              <w:t>Response rate (95% CI)</w:t>
            </w:r>
            <w:r w:rsidRPr="007F5FFC">
              <w:rPr>
                <w:sz w:val="18"/>
                <w:szCs w:val="18"/>
                <w:vertAlign w:val="superscript"/>
              </w:rPr>
              <w:t xml:space="preserve"> a</w:t>
            </w:r>
          </w:p>
        </w:tc>
        <w:tc>
          <w:tcPr>
            <w:tcW w:w="1863" w:type="dxa"/>
            <w:shd w:val="clear" w:color="auto" w:fill="auto"/>
          </w:tcPr>
          <w:p w14:paraId="4FF871CC" w14:textId="77777777" w:rsidR="00557C61" w:rsidRPr="007F5FFC" w:rsidRDefault="00557C61" w:rsidP="005362D8">
            <w:pPr>
              <w:pStyle w:val="Table"/>
              <w:jc w:val="center"/>
              <w:rPr>
                <w:sz w:val="18"/>
                <w:szCs w:val="18"/>
              </w:rPr>
            </w:pPr>
            <w:r w:rsidRPr="007F5FFC">
              <w:rPr>
                <w:sz w:val="18"/>
                <w:szCs w:val="18"/>
              </w:rPr>
              <w:t>29.7 (15.9, 47.0)</w:t>
            </w:r>
          </w:p>
        </w:tc>
        <w:tc>
          <w:tcPr>
            <w:tcW w:w="1864" w:type="dxa"/>
            <w:shd w:val="clear" w:color="auto" w:fill="auto"/>
          </w:tcPr>
          <w:p w14:paraId="093288FD" w14:textId="77777777" w:rsidR="00557C61" w:rsidRPr="007F5FFC" w:rsidRDefault="00557C61" w:rsidP="005362D8">
            <w:pPr>
              <w:pStyle w:val="Table"/>
              <w:jc w:val="center"/>
              <w:rPr>
                <w:sz w:val="18"/>
                <w:szCs w:val="18"/>
              </w:rPr>
            </w:pPr>
            <w:r w:rsidRPr="007F5FFC">
              <w:rPr>
                <w:sz w:val="18"/>
                <w:szCs w:val="18"/>
              </w:rPr>
              <w:t>28.2 (15.0, 44.9)</w:t>
            </w:r>
          </w:p>
        </w:tc>
        <w:tc>
          <w:tcPr>
            <w:tcW w:w="1864" w:type="dxa"/>
            <w:shd w:val="clear" w:color="auto" w:fill="auto"/>
          </w:tcPr>
          <w:p w14:paraId="72BDF845" w14:textId="77777777" w:rsidR="00557C61" w:rsidRPr="007F5FFC" w:rsidRDefault="00557C61" w:rsidP="005362D8">
            <w:pPr>
              <w:pStyle w:val="Table"/>
              <w:jc w:val="center"/>
              <w:rPr>
                <w:sz w:val="18"/>
                <w:szCs w:val="18"/>
              </w:rPr>
            </w:pPr>
            <w:r w:rsidRPr="007F5FFC">
              <w:rPr>
                <w:sz w:val="18"/>
                <w:szCs w:val="18"/>
              </w:rPr>
              <w:t>10.8 (3.0, 25.4)</w:t>
            </w:r>
          </w:p>
        </w:tc>
      </w:tr>
      <w:tr w:rsidR="00557C61" w:rsidRPr="007F5FFC" w14:paraId="5BEECB74" w14:textId="77777777" w:rsidTr="005362D8">
        <w:tc>
          <w:tcPr>
            <w:tcW w:w="3708" w:type="dxa"/>
            <w:shd w:val="clear" w:color="auto" w:fill="auto"/>
          </w:tcPr>
          <w:p w14:paraId="48BB7BD0" w14:textId="77777777" w:rsidR="00557C61" w:rsidRPr="007F5FFC" w:rsidRDefault="00557C61" w:rsidP="005362D8">
            <w:pPr>
              <w:pStyle w:val="Table"/>
              <w:keepNext/>
              <w:rPr>
                <w:b/>
                <w:sz w:val="18"/>
                <w:szCs w:val="18"/>
              </w:rPr>
            </w:pPr>
            <w:r w:rsidRPr="007F5FFC">
              <w:rPr>
                <w:b/>
                <w:sz w:val="18"/>
                <w:szCs w:val="18"/>
              </w:rPr>
              <w:t>12 to &lt;18 years</w:t>
            </w:r>
          </w:p>
        </w:tc>
        <w:tc>
          <w:tcPr>
            <w:tcW w:w="1863" w:type="dxa"/>
            <w:shd w:val="clear" w:color="auto" w:fill="auto"/>
          </w:tcPr>
          <w:p w14:paraId="5B89BAFE" w14:textId="77777777" w:rsidR="00557C61" w:rsidRPr="007F5FFC" w:rsidRDefault="00557C61" w:rsidP="005362D8">
            <w:pPr>
              <w:pStyle w:val="Table"/>
              <w:jc w:val="center"/>
              <w:rPr>
                <w:b/>
                <w:sz w:val="18"/>
                <w:szCs w:val="18"/>
              </w:rPr>
            </w:pPr>
            <w:r w:rsidRPr="007F5FFC">
              <w:rPr>
                <w:b/>
                <w:sz w:val="18"/>
                <w:szCs w:val="18"/>
              </w:rPr>
              <w:t>n=26</w:t>
            </w:r>
          </w:p>
        </w:tc>
        <w:tc>
          <w:tcPr>
            <w:tcW w:w="1864" w:type="dxa"/>
            <w:shd w:val="clear" w:color="auto" w:fill="auto"/>
          </w:tcPr>
          <w:p w14:paraId="4DD799B5" w14:textId="77777777" w:rsidR="00557C61" w:rsidRPr="007F5FFC" w:rsidRDefault="00557C61" w:rsidP="005362D8">
            <w:pPr>
              <w:pStyle w:val="Table"/>
              <w:jc w:val="center"/>
              <w:rPr>
                <w:b/>
                <w:sz w:val="18"/>
                <w:szCs w:val="18"/>
              </w:rPr>
            </w:pPr>
            <w:r w:rsidRPr="007F5FFC">
              <w:rPr>
                <w:b/>
                <w:sz w:val="18"/>
                <w:szCs w:val="18"/>
              </w:rPr>
              <w:t>n=31</w:t>
            </w:r>
          </w:p>
        </w:tc>
        <w:tc>
          <w:tcPr>
            <w:tcW w:w="1864" w:type="dxa"/>
            <w:shd w:val="clear" w:color="auto" w:fill="auto"/>
          </w:tcPr>
          <w:p w14:paraId="6330A31F" w14:textId="77777777" w:rsidR="00557C61" w:rsidRPr="007F5FFC" w:rsidRDefault="00557C61" w:rsidP="005362D8">
            <w:pPr>
              <w:pStyle w:val="Table"/>
              <w:jc w:val="center"/>
              <w:rPr>
                <w:b/>
                <w:sz w:val="18"/>
                <w:szCs w:val="18"/>
              </w:rPr>
            </w:pPr>
            <w:r w:rsidRPr="007F5FFC">
              <w:rPr>
                <w:b/>
                <w:sz w:val="18"/>
                <w:szCs w:val="18"/>
              </w:rPr>
              <w:t>n=25</w:t>
            </w:r>
          </w:p>
        </w:tc>
      </w:tr>
      <w:tr w:rsidR="00557C61" w:rsidRPr="007F5FFC" w14:paraId="1D26F332" w14:textId="77777777" w:rsidTr="005362D8">
        <w:tc>
          <w:tcPr>
            <w:tcW w:w="3708" w:type="dxa"/>
            <w:shd w:val="clear" w:color="auto" w:fill="auto"/>
          </w:tcPr>
          <w:p w14:paraId="73001042" w14:textId="77777777" w:rsidR="00557C61" w:rsidRPr="007F5FFC" w:rsidRDefault="00557C61" w:rsidP="005362D8">
            <w:pPr>
              <w:pStyle w:val="Table"/>
              <w:rPr>
                <w:sz w:val="18"/>
                <w:szCs w:val="18"/>
              </w:rPr>
            </w:pPr>
            <w:r w:rsidRPr="007F5FFC">
              <w:rPr>
                <w:sz w:val="18"/>
                <w:szCs w:val="18"/>
              </w:rPr>
              <w:tab/>
              <w:t>Response rate (95% CI)</w:t>
            </w:r>
            <w:r w:rsidRPr="007F5FFC">
              <w:rPr>
                <w:sz w:val="18"/>
                <w:szCs w:val="18"/>
                <w:vertAlign w:val="superscript"/>
              </w:rPr>
              <w:t xml:space="preserve"> a</w:t>
            </w:r>
          </w:p>
        </w:tc>
        <w:tc>
          <w:tcPr>
            <w:tcW w:w="1863" w:type="dxa"/>
            <w:shd w:val="clear" w:color="auto" w:fill="auto"/>
          </w:tcPr>
          <w:p w14:paraId="647C9C20" w14:textId="77777777" w:rsidR="00557C61" w:rsidRPr="007F5FFC" w:rsidRDefault="00557C61" w:rsidP="005362D8">
            <w:pPr>
              <w:pStyle w:val="Table"/>
              <w:jc w:val="center"/>
              <w:rPr>
                <w:sz w:val="18"/>
                <w:szCs w:val="18"/>
              </w:rPr>
            </w:pPr>
            <w:r w:rsidRPr="007F5FFC">
              <w:rPr>
                <w:sz w:val="18"/>
                <w:szCs w:val="18"/>
              </w:rPr>
              <w:t>23.1 (9.0, 43.6)</w:t>
            </w:r>
          </w:p>
        </w:tc>
        <w:tc>
          <w:tcPr>
            <w:tcW w:w="1864" w:type="dxa"/>
            <w:shd w:val="clear" w:color="auto" w:fill="auto"/>
          </w:tcPr>
          <w:p w14:paraId="1B7E640C" w14:textId="77777777" w:rsidR="00557C61" w:rsidRPr="007F5FFC" w:rsidRDefault="00557C61" w:rsidP="005362D8">
            <w:pPr>
              <w:pStyle w:val="Table"/>
              <w:jc w:val="center"/>
              <w:rPr>
                <w:sz w:val="18"/>
                <w:szCs w:val="18"/>
              </w:rPr>
            </w:pPr>
            <w:r w:rsidRPr="007F5FFC">
              <w:rPr>
                <w:sz w:val="18"/>
                <w:szCs w:val="18"/>
              </w:rPr>
              <w:t>32.3 (16.7, 51.4)</w:t>
            </w:r>
          </w:p>
        </w:tc>
        <w:tc>
          <w:tcPr>
            <w:tcW w:w="1864" w:type="dxa"/>
            <w:shd w:val="clear" w:color="auto" w:fill="auto"/>
          </w:tcPr>
          <w:p w14:paraId="5AD0F3D4" w14:textId="77777777" w:rsidR="00557C61" w:rsidRPr="007F5FFC" w:rsidRDefault="00557C61" w:rsidP="005362D8">
            <w:pPr>
              <w:pStyle w:val="Table"/>
              <w:jc w:val="center"/>
              <w:rPr>
                <w:sz w:val="18"/>
                <w:szCs w:val="18"/>
              </w:rPr>
            </w:pPr>
            <w:r w:rsidRPr="007F5FFC">
              <w:rPr>
                <w:sz w:val="18"/>
                <w:szCs w:val="18"/>
              </w:rPr>
              <w:t>16.0 (4.5, 36.1)</w:t>
            </w:r>
          </w:p>
        </w:tc>
      </w:tr>
      <w:tr w:rsidR="00557C61" w:rsidRPr="007F5FFC" w14:paraId="066683FE" w14:textId="77777777" w:rsidTr="005362D8">
        <w:tc>
          <w:tcPr>
            <w:tcW w:w="3708" w:type="dxa"/>
            <w:shd w:val="clear" w:color="auto" w:fill="auto"/>
          </w:tcPr>
          <w:p w14:paraId="7A4C7D35" w14:textId="77777777" w:rsidR="00557C61" w:rsidRPr="007F5FFC" w:rsidRDefault="00557C61" w:rsidP="005362D8">
            <w:pPr>
              <w:pStyle w:val="Table"/>
              <w:keepNext/>
              <w:rPr>
                <w:b/>
                <w:sz w:val="18"/>
                <w:szCs w:val="18"/>
              </w:rPr>
            </w:pPr>
            <w:r w:rsidRPr="007F5FFC">
              <w:rPr>
                <w:b/>
                <w:sz w:val="18"/>
                <w:szCs w:val="18"/>
              </w:rPr>
              <w:t>≥ 18 years</w:t>
            </w:r>
          </w:p>
        </w:tc>
        <w:tc>
          <w:tcPr>
            <w:tcW w:w="1863" w:type="dxa"/>
            <w:shd w:val="clear" w:color="auto" w:fill="auto"/>
          </w:tcPr>
          <w:p w14:paraId="636C555C" w14:textId="77777777" w:rsidR="00557C61" w:rsidRPr="007F5FFC" w:rsidRDefault="00557C61" w:rsidP="005362D8">
            <w:pPr>
              <w:pStyle w:val="Table"/>
              <w:jc w:val="center"/>
              <w:rPr>
                <w:b/>
                <w:sz w:val="18"/>
                <w:szCs w:val="18"/>
              </w:rPr>
            </w:pPr>
            <w:r w:rsidRPr="007F5FFC">
              <w:rPr>
                <w:b/>
                <w:sz w:val="18"/>
                <w:szCs w:val="18"/>
              </w:rPr>
              <w:t>n=21</w:t>
            </w:r>
          </w:p>
        </w:tc>
        <w:tc>
          <w:tcPr>
            <w:tcW w:w="1864" w:type="dxa"/>
            <w:shd w:val="clear" w:color="auto" w:fill="auto"/>
          </w:tcPr>
          <w:p w14:paraId="4E13950B" w14:textId="77777777" w:rsidR="00557C61" w:rsidRPr="007F5FFC" w:rsidRDefault="00557C61" w:rsidP="005362D8">
            <w:pPr>
              <w:pStyle w:val="Table"/>
              <w:jc w:val="center"/>
              <w:rPr>
                <w:b/>
                <w:sz w:val="18"/>
                <w:szCs w:val="18"/>
              </w:rPr>
            </w:pPr>
            <w:r w:rsidRPr="007F5FFC">
              <w:rPr>
                <w:b/>
                <w:sz w:val="18"/>
                <w:szCs w:val="18"/>
              </w:rPr>
              <w:t>n=23</w:t>
            </w:r>
          </w:p>
        </w:tc>
        <w:tc>
          <w:tcPr>
            <w:tcW w:w="1864" w:type="dxa"/>
            <w:shd w:val="clear" w:color="auto" w:fill="auto"/>
          </w:tcPr>
          <w:p w14:paraId="6049B30B" w14:textId="77777777" w:rsidR="00557C61" w:rsidRPr="007F5FFC" w:rsidRDefault="00557C61" w:rsidP="005362D8">
            <w:pPr>
              <w:pStyle w:val="Table"/>
              <w:jc w:val="center"/>
              <w:rPr>
                <w:b/>
                <w:sz w:val="18"/>
                <w:szCs w:val="18"/>
              </w:rPr>
            </w:pPr>
            <w:r w:rsidRPr="007F5FFC">
              <w:rPr>
                <w:b/>
                <w:sz w:val="18"/>
                <w:szCs w:val="18"/>
              </w:rPr>
              <w:t>n=23</w:t>
            </w:r>
          </w:p>
        </w:tc>
      </w:tr>
      <w:tr w:rsidR="00557C61" w:rsidRPr="007F5FFC" w14:paraId="5197C26B" w14:textId="77777777" w:rsidTr="005362D8">
        <w:tc>
          <w:tcPr>
            <w:tcW w:w="3708" w:type="dxa"/>
            <w:shd w:val="clear" w:color="auto" w:fill="auto"/>
          </w:tcPr>
          <w:p w14:paraId="25E25655" w14:textId="77777777" w:rsidR="00557C61" w:rsidRPr="007F5FFC" w:rsidRDefault="00557C61" w:rsidP="005362D8">
            <w:pPr>
              <w:pStyle w:val="Table"/>
              <w:rPr>
                <w:sz w:val="18"/>
                <w:szCs w:val="18"/>
              </w:rPr>
            </w:pPr>
            <w:r w:rsidRPr="007F5FFC">
              <w:rPr>
                <w:sz w:val="18"/>
                <w:szCs w:val="18"/>
              </w:rPr>
              <w:tab/>
              <w:t>Response rate (95% CI)</w:t>
            </w:r>
            <w:r w:rsidRPr="007F5FFC">
              <w:rPr>
                <w:sz w:val="18"/>
                <w:szCs w:val="18"/>
                <w:vertAlign w:val="superscript"/>
              </w:rPr>
              <w:t xml:space="preserve"> a</w:t>
            </w:r>
          </w:p>
        </w:tc>
        <w:tc>
          <w:tcPr>
            <w:tcW w:w="1863" w:type="dxa"/>
            <w:shd w:val="clear" w:color="auto" w:fill="auto"/>
          </w:tcPr>
          <w:p w14:paraId="7716B10D" w14:textId="77777777" w:rsidR="00557C61" w:rsidRPr="007F5FFC" w:rsidRDefault="00557C61" w:rsidP="005362D8">
            <w:pPr>
              <w:pStyle w:val="Table"/>
              <w:jc w:val="center"/>
              <w:rPr>
                <w:sz w:val="18"/>
                <w:szCs w:val="18"/>
              </w:rPr>
            </w:pPr>
            <w:r w:rsidRPr="007F5FFC">
              <w:rPr>
                <w:sz w:val="18"/>
                <w:szCs w:val="18"/>
              </w:rPr>
              <w:t>28.6 (11.3, 52.2)</w:t>
            </w:r>
          </w:p>
        </w:tc>
        <w:tc>
          <w:tcPr>
            <w:tcW w:w="1864" w:type="dxa"/>
            <w:shd w:val="clear" w:color="auto" w:fill="auto"/>
          </w:tcPr>
          <w:p w14:paraId="3C932613" w14:textId="77777777" w:rsidR="00557C61" w:rsidRPr="007F5FFC" w:rsidRDefault="00557C61" w:rsidP="005362D8">
            <w:pPr>
              <w:pStyle w:val="Table"/>
              <w:jc w:val="center"/>
              <w:rPr>
                <w:sz w:val="18"/>
                <w:szCs w:val="18"/>
              </w:rPr>
            </w:pPr>
            <w:r w:rsidRPr="007F5FFC">
              <w:rPr>
                <w:sz w:val="18"/>
                <w:szCs w:val="18"/>
              </w:rPr>
              <w:t>39.1 (19.7, 61.5)</w:t>
            </w:r>
          </w:p>
        </w:tc>
        <w:tc>
          <w:tcPr>
            <w:tcW w:w="1864" w:type="dxa"/>
            <w:shd w:val="clear" w:color="auto" w:fill="auto"/>
          </w:tcPr>
          <w:p w14:paraId="74288589" w14:textId="77777777" w:rsidR="00557C61" w:rsidRPr="007F5FFC" w:rsidRDefault="00557C61" w:rsidP="005362D8">
            <w:pPr>
              <w:pStyle w:val="Table"/>
              <w:jc w:val="center"/>
              <w:rPr>
                <w:sz w:val="18"/>
                <w:szCs w:val="18"/>
              </w:rPr>
            </w:pPr>
            <w:r w:rsidRPr="007F5FFC">
              <w:rPr>
                <w:sz w:val="18"/>
                <w:szCs w:val="18"/>
              </w:rPr>
              <w:t>17.4 (5.0, 38.8)</w:t>
            </w:r>
          </w:p>
        </w:tc>
      </w:tr>
      <w:tr w:rsidR="00557C61" w:rsidRPr="007F5FFC" w14:paraId="173FFC08" w14:textId="77777777" w:rsidTr="005362D8">
        <w:tc>
          <w:tcPr>
            <w:tcW w:w="9299" w:type="dxa"/>
            <w:gridSpan w:val="4"/>
            <w:tcBorders>
              <w:top w:val="single" w:sz="4" w:space="0" w:color="auto"/>
            </w:tcBorders>
            <w:shd w:val="clear" w:color="auto" w:fill="auto"/>
          </w:tcPr>
          <w:p w14:paraId="460A6135" w14:textId="77777777" w:rsidR="00557C61" w:rsidRPr="00CD1858" w:rsidRDefault="00557C61" w:rsidP="005362D8">
            <w:pPr>
              <w:pStyle w:val="Table"/>
              <w:rPr>
                <w:i/>
                <w:sz w:val="16"/>
                <w:szCs w:val="16"/>
              </w:rPr>
            </w:pPr>
            <w:proofErr w:type="spellStart"/>
            <w:r w:rsidRPr="00CD1858">
              <w:rPr>
                <w:i/>
                <w:sz w:val="16"/>
                <w:szCs w:val="16"/>
                <w:vertAlign w:val="superscript"/>
              </w:rPr>
              <w:t>a</w:t>
            </w:r>
            <w:proofErr w:type="spellEnd"/>
            <w:r w:rsidRPr="00CD1858">
              <w:rPr>
                <w:i/>
                <w:sz w:val="16"/>
                <w:szCs w:val="16"/>
              </w:rPr>
              <w:t xml:space="preserve"> Exact 95% CI obtained using </w:t>
            </w:r>
            <w:proofErr w:type="spellStart"/>
            <w:r w:rsidRPr="00CD1858">
              <w:rPr>
                <w:i/>
                <w:sz w:val="16"/>
                <w:szCs w:val="16"/>
              </w:rPr>
              <w:t>Clopper</w:t>
            </w:r>
            <w:proofErr w:type="spellEnd"/>
            <w:r w:rsidRPr="00CD1858">
              <w:rPr>
                <w:i/>
                <w:sz w:val="16"/>
                <w:szCs w:val="16"/>
              </w:rPr>
              <w:t>-Pearson method</w:t>
            </w:r>
            <w:r w:rsidRPr="00CD1858">
              <w:rPr>
                <w:i/>
                <w:sz w:val="16"/>
                <w:szCs w:val="16"/>
              </w:rPr>
              <w:br/>
            </w:r>
            <w:r w:rsidRPr="00CD1858">
              <w:rPr>
                <w:i/>
                <w:sz w:val="16"/>
                <w:szCs w:val="16"/>
                <w:vertAlign w:val="superscript"/>
              </w:rPr>
              <w:t>b</w:t>
            </w:r>
            <w:r w:rsidRPr="00CD1858">
              <w:rPr>
                <w:i/>
                <w:sz w:val="16"/>
                <w:szCs w:val="16"/>
              </w:rPr>
              <w:t xml:space="preserve"> 95% CI of the median based on bootstrap percentiles</w:t>
            </w:r>
          </w:p>
        </w:tc>
      </w:tr>
    </w:tbl>
    <w:p w14:paraId="0CB48737" w14:textId="77777777" w:rsidR="00557C61" w:rsidRPr="002A1CBE" w:rsidRDefault="00557C61" w:rsidP="00557C61">
      <w:pPr>
        <w:tabs>
          <w:tab w:val="left" w:pos="567"/>
        </w:tabs>
        <w:spacing w:line="320" w:lineRule="atLeast"/>
        <w:rPr>
          <w:sz w:val="24"/>
          <w:lang w:val="en-GB"/>
        </w:rPr>
      </w:pPr>
    </w:p>
    <w:p w14:paraId="04B40753" w14:textId="77777777" w:rsidR="00557C61" w:rsidRPr="0022140F" w:rsidRDefault="00557C61" w:rsidP="00557C61">
      <w:pPr>
        <w:pStyle w:val="Heading3"/>
        <w:tabs>
          <w:tab w:val="left" w:pos="567"/>
        </w:tabs>
        <w:spacing w:before="0" w:after="240" w:line="320" w:lineRule="atLeast"/>
        <w:ind w:left="0"/>
        <w:rPr>
          <w:rFonts w:asciiTheme="minorHAnsi" w:hAnsiTheme="minorHAnsi"/>
          <w:u w:val="single"/>
          <w:lang w:val="en-GB"/>
        </w:rPr>
      </w:pPr>
      <w:r w:rsidRPr="0022140F">
        <w:rPr>
          <w:rFonts w:asciiTheme="minorHAnsi" w:hAnsiTheme="minorHAnsi"/>
          <w:u w:val="single"/>
          <w:lang w:val="en-GB"/>
        </w:rPr>
        <w:t xml:space="preserve">Tuberous sclerosis complex (TSC) with renal </w:t>
      </w:r>
      <w:proofErr w:type="spellStart"/>
      <w:r w:rsidRPr="0022140F">
        <w:rPr>
          <w:rFonts w:asciiTheme="minorHAnsi" w:hAnsiTheme="minorHAnsi"/>
          <w:u w:val="single"/>
          <w:lang w:val="en-GB"/>
        </w:rPr>
        <w:t>angiomyolipoma</w:t>
      </w:r>
      <w:bookmarkStart w:id="41" w:name="_5681717Tuberous_sclerosis_complex"/>
      <w:bookmarkEnd w:id="41"/>
      <w:proofErr w:type="spellEnd"/>
    </w:p>
    <w:p w14:paraId="0989B36D" w14:textId="77777777" w:rsidR="00557C61" w:rsidRPr="0022140F" w:rsidRDefault="00557C61" w:rsidP="00557C61">
      <w:pPr>
        <w:rPr>
          <w:lang w:val="en-GB"/>
        </w:rPr>
      </w:pPr>
      <w:r w:rsidRPr="0022140F">
        <w:rPr>
          <w:lang w:val="en-GB"/>
        </w:rPr>
        <w:t xml:space="preserve">EXIST-2 (Study CRAD001M2302), a randomized, double-blind, multicentre phase III study of a once daily oral dose of </w:t>
      </w:r>
      <w:proofErr w:type="spellStart"/>
      <w:r w:rsidRPr="0022140F">
        <w:rPr>
          <w:lang w:val="en-GB"/>
        </w:rPr>
        <w:t>Afinitor</w:t>
      </w:r>
      <w:proofErr w:type="spellEnd"/>
      <w:r w:rsidRPr="0022140F">
        <w:rPr>
          <w:lang w:val="en-GB"/>
        </w:rPr>
        <w:t xml:space="preserve"> 10 mg versus placebo was conducted in patients with TSC who have </w:t>
      </w:r>
      <w:proofErr w:type="spellStart"/>
      <w:r w:rsidRPr="0022140F">
        <w:rPr>
          <w:lang w:val="en-GB"/>
        </w:rPr>
        <w:t>angiomyolipoma</w:t>
      </w:r>
      <w:proofErr w:type="spellEnd"/>
      <w:r w:rsidRPr="0022140F">
        <w:rPr>
          <w:lang w:val="en-GB"/>
        </w:rPr>
        <w:t xml:space="preserve"> (n=113) or sporadic LAM who have </w:t>
      </w:r>
      <w:proofErr w:type="spellStart"/>
      <w:r w:rsidRPr="0022140F">
        <w:rPr>
          <w:lang w:val="en-GB"/>
        </w:rPr>
        <w:t>angiomyolipoma</w:t>
      </w:r>
      <w:proofErr w:type="spellEnd"/>
      <w:r w:rsidRPr="0022140F">
        <w:rPr>
          <w:lang w:val="en-GB"/>
        </w:rPr>
        <w:t xml:space="preserve"> (n=5). Patients were randomised in a 2:1 ratio to receive either </w:t>
      </w:r>
      <w:proofErr w:type="spellStart"/>
      <w:r w:rsidRPr="0022140F">
        <w:rPr>
          <w:lang w:val="en-GB"/>
        </w:rPr>
        <w:t>Afinitor</w:t>
      </w:r>
      <w:proofErr w:type="spellEnd"/>
      <w:r w:rsidRPr="0022140F">
        <w:rPr>
          <w:lang w:val="en-GB"/>
        </w:rPr>
        <w:t xml:space="preserve"> Tablets or matching placebo. Presence of at least one </w:t>
      </w:r>
      <w:proofErr w:type="spellStart"/>
      <w:r w:rsidRPr="0022140F">
        <w:rPr>
          <w:lang w:val="en-GB"/>
        </w:rPr>
        <w:t>angiomyolipoma</w:t>
      </w:r>
      <w:proofErr w:type="spellEnd"/>
      <w:r w:rsidRPr="0022140F">
        <w:rPr>
          <w:lang w:val="en-GB"/>
        </w:rPr>
        <w:t xml:space="preserve"> ≥ 3 cm in longest diameter using CT/MRI (based on local radiology assessment) was required for entry.</w:t>
      </w:r>
    </w:p>
    <w:p w14:paraId="02B51FE3" w14:textId="77777777" w:rsidR="00557C61" w:rsidRPr="0022140F" w:rsidRDefault="00557C61" w:rsidP="00557C61">
      <w:pPr>
        <w:rPr>
          <w:lang w:val="en-GB"/>
        </w:rPr>
      </w:pPr>
      <w:r w:rsidRPr="0022140F">
        <w:rPr>
          <w:lang w:val="en-GB"/>
        </w:rPr>
        <w:t xml:space="preserve">The primary efficacy endpoint was </w:t>
      </w:r>
      <w:proofErr w:type="spellStart"/>
      <w:r w:rsidRPr="0022140F">
        <w:rPr>
          <w:lang w:val="en-GB"/>
        </w:rPr>
        <w:t>angiomyolipoma</w:t>
      </w:r>
      <w:proofErr w:type="spellEnd"/>
      <w:r w:rsidRPr="0022140F">
        <w:rPr>
          <w:lang w:val="en-GB"/>
        </w:rPr>
        <w:t xml:space="preserve"> response rate based on independent central radiology review. The analysis was stratified by use of enzyme-inducing antiepileptic drugs (EIAEDs) at randomisation (yes/no). </w:t>
      </w:r>
    </w:p>
    <w:p w14:paraId="7994FF49" w14:textId="77777777" w:rsidR="00557C61" w:rsidRPr="0022140F" w:rsidRDefault="00557C61" w:rsidP="00557C61">
      <w:pPr>
        <w:rPr>
          <w:lang w:val="en-GB"/>
        </w:rPr>
      </w:pPr>
      <w:r w:rsidRPr="0022140F">
        <w:rPr>
          <w:lang w:val="en-GB"/>
        </w:rPr>
        <w:t xml:space="preserve">Key secondary endpoints included time to </w:t>
      </w:r>
      <w:proofErr w:type="spellStart"/>
      <w:r w:rsidRPr="0022140F">
        <w:rPr>
          <w:lang w:val="en-GB"/>
        </w:rPr>
        <w:t>angiomyolipoma</w:t>
      </w:r>
      <w:proofErr w:type="spellEnd"/>
      <w:r w:rsidRPr="0022140F">
        <w:rPr>
          <w:lang w:val="en-GB"/>
        </w:rPr>
        <w:t xml:space="preserve"> progression and skin lesion response rate.</w:t>
      </w:r>
    </w:p>
    <w:p w14:paraId="641279B9" w14:textId="77777777" w:rsidR="00557C61" w:rsidRPr="0022140F" w:rsidRDefault="00557C61" w:rsidP="00557C61">
      <w:pPr>
        <w:rPr>
          <w:lang w:val="en-US"/>
        </w:rPr>
      </w:pPr>
      <w:r w:rsidRPr="0022140F">
        <w:lastRenderedPageBreak/>
        <w:t xml:space="preserve">A total of 118 patients were randomised, 79 to </w:t>
      </w:r>
      <w:proofErr w:type="spellStart"/>
      <w:r w:rsidRPr="0022140F">
        <w:t>Afinitor</w:t>
      </w:r>
      <w:proofErr w:type="spellEnd"/>
      <w:r w:rsidRPr="0022140F">
        <w:t xml:space="preserve"> 10 mg daily and 39 to placebo. The two treatment arms were generally well balanced with respect to demographic and baseline disease characteristics and history of prior anti-</w:t>
      </w:r>
      <w:proofErr w:type="spellStart"/>
      <w:r w:rsidRPr="0022140F">
        <w:t>angiomyolipoma</w:t>
      </w:r>
      <w:proofErr w:type="spellEnd"/>
      <w:r w:rsidRPr="0022140F">
        <w:t xml:space="preserve"> therapies. Median age was 31 years (range: 18 to 61; 46.6% were &lt;30 years at enrolment), 33.9% were male, and 89.0% were Caucasian. Of the enrolled patients, 83.1% had </w:t>
      </w:r>
      <w:proofErr w:type="spellStart"/>
      <w:r w:rsidRPr="0022140F">
        <w:t>angiomyolipomas</w:t>
      </w:r>
      <w:proofErr w:type="spellEnd"/>
      <w:r w:rsidRPr="0022140F">
        <w:t xml:space="preserve"> ≥ 4 cm (with 28.8% with </w:t>
      </w:r>
      <w:proofErr w:type="spellStart"/>
      <w:r w:rsidRPr="0022140F">
        <w:t>angiomyolipomas</w:t>
      </w:r>
      <w:proofErr w:type="spellEnd"/>
      <w:r w:rsidRPr="0022140F">
        <w:t xml:space="preserve"> ≥ 8 cm), 78.0% had bilateral </w:t>
      </w:r>
      <w:proofErr w:type="spellStart"/>
      <w:r w:rsidRPr="0022140F">
        <w:t>angiomyolipomas</w:t>
      </w:r>
      <w:proofErr w:type="spellEnd"/>
      <w:r w:rsidRPr="0022140F">
        <w:t>, and 39.0% had undergone prior renal embolization/nephrectomy; 96.6% had skin lesions at baseline and 44.1% had target SEGAs (at least one SEGA ≥ 1 cm in longest diameter). The median duration of blinded study treatment was 48.1 weeks (range 2 to 115) for patients receiving</w:t>
      </w:r>
      <w:r w:rsidRPr="0022140F">
        <w:rPr>
          <w:lang w:val="en-US"/>
        </w:rPr>
        <w:t xml:space="preserve"> </w:t>
      </w:r>
      <w:proofErr w:type="spellStart"/>
      <w:r w:rsidRPr="0022140F">
        <w:rPr>
          <w:lang w:val="en-US"/>
        </w:rPr>
        <w:t>Afinitor</w:t>
      </w:r>
      <w:proofErr w:type="spellEnd"/>
      <w:r w:rsidRPr="0022140F">
        <w:t xml:space="preserve"> and 45.0 weeks (range 9 to 115) for those receiving placebo</w:t>
      </w:r>
      <w:r w:rsidRPr="0022140F">
        <w:rPr>
          <w:lang w:val="en-US"/>
        </w:rPr>
        <w:t>.</w:t>
      </w:r>
    </w:p>
    <w:p w14:paraId="33D495D5" w14:textId="3DA3936C" w:rsidR="00557C61" w:rsidRPr="0022140F" w:rsidRDefault="00557C61" w:rsidP="00557C61">
      <w:pPr>
        <w:rPr>
          <w:rFonts w:eastAsia="Calibri"/>
          <w:szCs w:val="24"/>
          <w:lang w:val="en-US"/>
        </w:rPr>
      </w:pPr>
      <w:r w:rsidRPr="0022140F">
        <w:rPr>
          <w:lang w:val="en-GB"/>
        </w:rPr>
        <w:t xml:space="preserve">Results showed that </w:t>
      </w:r>
      <w:proofErr w:type="spellStart"/>
      <w:r w:rsidRPr="0022140F">
        <w:rPr>
          <w:lang w:val="en-GB"/>
        </w:rPr>
        <w:t>Afinitor</w:t>
      </w:r>
      <w:proofErr w:type="spellEnd"/>
      <w:r w:rsidRPr="0022140F">
        <w:rPr>
          <w:lang w:val="en-GB"/>
        </w:rPr>
        <w:t xml:space="preserve"> was superior to placebo for the primary endpoint of best overall </w:t>
      </w:r>
      <w:proofErr w:type="spellStart"/>
      <w:r w:rsidRPr="0022140F">
        <w:rPr>
          <w:lang w:val="en-GB"/>
        </w:rPr>
        <w:t>angiomyolipoma</w:t>
      </w:r>
      <w:proofErr w:type="spellEnd"/>
      <w:r w:rsidRPr="0022140F">
        <w:rPr>
          <w:lang w:val="en-GB"/>
        </w:rPr>
        <w:t xml:space="preserve"> response (p&lt;0.0001); the difference observed was both clinically relevant and statistically significant (see footnote 2 in </w:t>
      </w:r>
      <w:r w:rsidRPr="0022140F">
        <w:rPr>
          <w:lang w:val="en-GB"/>
        </w:rPr>
        <w:fldChar w:fldCharType="begin"/>
      </w:r>
      <w:r w:rsidRPr="0022140F">
        <w:rPr>
          <w:lang w:val="en-GB"/>
        </w:rPr>
        <w:instrText xml:space="preserve"> REF _Ref491096319 \h  \* MERGEFORMAT </w:instrText>
      </w:r>
      <w:r w:rsidRPr="0022140F">
        <w:rPr>
          <w:lang w:val="en-GB"/>
        </w:rPr>
      </w:r>
      <w:r w:rsidRPr="0022140F">
        <w:rPr>
          <w:lang w:val="en-GB"/>
        </w:rPr>
        <w:fldChar w:fldCharType="separate"/>
      </w:r>
      <w:r w:rsidR="00D64407" w:rsidRPr="00D64407">
        <w:rPr>
          <w:lang w:val="en-GB"/>
        </w:rPr>
        <w:t>Table 13</w:t>
      </w:r>
      <w:r w:rsidRPr="0022140F">
        <w:rPr>
          <w:lang w:val="en-GB"/>
        </w:rPr>
        <w:fldChar w:fldCharType="end"/>
      </w:r>
      <w:r w:rsidRPr="0022140F">
        <w:rPr>
          <w:lang w:val="en-GB"/>
        </w:rPr>
        <w:t xml:space="preserve">). Best overall response rate was 41.8% (95% CI: 30.8, 53.4) for the </w:t>
      </w:r>
      <w:proofErr w:type="spellStart"/>
      <w:r w:rsidRPr="0022140F">
        <w:rPr>
          <w:lang w:val="en-GB"/>
        </w:rPr>
        <w:t>Afinitor</w:t>
      </w:r>
      <w:proofErr w:type="spellEnd"/>
      <w:r w:rsidRPr="0022140F">
        <w:rPr>
          <w:lang w:val="en-GB"/>
        </w:rPr>
        <w:t xml:space="preserve"> arm compared with 0% (95% CI: 0.0, 9.0) for the placebo arm (</w:t>
      </w:r>
      <w:r w:rsidRPr="0022140F">
        <w:rPr>
          <w:lang w:val="en-GB"/>
        </w:rPr>
        <w:fldChar w:fldCharType="begin"/>
      </w:r>
      <w:r w:rsidRPr="0022140F">
        <w:rPr>
          <w:lang w:val="en-GB"/>
        </w:rPr>
        <w:instrText xml:space="preserve"> REF _Ref491096319 \h  \* MERGEFORMAT </w:instrText>
      </w:r>
      <w:r w:rsidRPr="0022140F">
        <w:rPr>
          <w:lang w:val="en-GB"/>
        </w:rPr>
      </w:r>
      <w:r w:rsidRPr="0022140F">
        <w:rPr>
          <w:lang w:val="en-GB"/>
        </w:rPr>
        <w:fldChar w:fldCharType="separate"/>
      </w:r>
      <w:r w:rsidR="00D64407" w:rsidRPr="00D64407">
        <w:rPr>
          <w:lang w:val="en-GB"/>
        </w:rPr>
        <w:t>Table 13</w:t>
      </w:r>
      <w:r w:rsidRPr="0022140F">
        <w:rPr>
          <w:lang w:val="en-GB"/>
        </w:rPr>
        <w:fldChar w:fldCharType="end"/>
      </w:r>
      <w:r w:rsidRPr="0022140F">
        <w:rPr>
          <w:lang w:val="en-GB"/>
        </w:rPr>
        <w:t>).</w:t>
      </w:r>
    </w:p>
    <w:p w14:paraId="7D84EE3B" w14:textId="77777777" w:rsidR="00557C61" w:rsidRPr="000E6647" w:rsidRDefault="00557C61" w:rsidP="00557C61">
      <w:r w:rsidRPr="0022140F">
        <w:rPr>
          <w:szCs w:val="24"/>
        </w:rPr>
        <w:t xml:space="preserve">Patients initially treated with placebo were allowed to cross over to </w:t>
      </w:r>
      <w:proofErr w:type="spellStart"/>
      <w:r w:rsidRPr="0022140F">
        <w:rPr>
          <w:szCs w:val="24"/>
        </w:rPr>
        <w:t>everolimus</w:t>
      </w:r>
      <w:proofErr w:type="spellEnd"/>
      <w:r w:rsidRPr="0022140F">
        <w:rPr>
          <w:szCs w:val="24"/>
        </w:rPr>
        <w:t xml:space="preserve"> at the time of </w:t>
      </w:r>
      <w:proofErr w:type="spellStart"/>
      <w:r w:rsidRPr="0022140F">
        <w:rPr>
          <w:szCs w:val="24"/>
        </w:rPr>
        <w:t>angiomyolipoma</w:t>
      </w:r>
      <w:proofErr w:type="spellEnd"/>
      <w:r w:rsidRPr="0022140F">
        <w:rPr>
          <w:szCs w:val="24"/>
        </w:rPr>
        <w:t xml:space="preserve"> progression and upon recognition that treatment with </w:t>
      </w:r>
      <w:proofErr w:type="spellStart"/>
      <w:r w:rsidRPr="0022140F">
        <w:rPr>
          <w:szCs w:val="24"/>
        </w:rPr>
        <w:t>everolimus</w:t>
      </w:r>
      <w:proofErr w:type="spellEnd"/>
      <w:r w:rsidRPr="0022140F">
        <w:rPr>
          <w:szCs w:val="24"/>
        </w:rPr>
        <w:t xml:space="preserve"> was superior to treatment with placebo. At the time of the final analysis (4 years following the last patient randomization), </w:t>
      </w:r>
      <w:r w:rsidRPr="0022140F">
        <w:t xml:space="preserve">the median duration of exposure to </w:t>
      </w:r>
      <w:proofErr w:type="spellStart"/>
      <w:r w:rsidRPr="0022140F">
        <w:t>everolimus</w:t>
      </w:r>
      <w:proofErr w:type="spellEnd"/>
      <w:r w:rsidRPr="0022140F">
        <w:t xml:space="preserve"> was 204.1 weeks (range 2 to 278). The </w:t>
      </w:r>
      <w:proofErr w:type="spellStart"/>
      <w:r w:rsidRPr="0022140F">
        <w:t>angiomyolipoma</w:t>
      </w:r>
      <w:proofErr w:type="spellEnd"/>
      <w:r w:rsidRPr="0022140F">
        <w:t xml:space="preserve"> best overall response rate had increased to 58.0% (95% CI: 48.3, 67.3), with a rate of stable disease of 30.4%</w:t>
      </w:r>
      <w:r w:rsidRPr="0022140F">
        <w:rPr>
          <w:color w:val="0000FF"/>
        </w:rPr>
        <w:t>.</w:t>
      </w:r>
    </w:p>
    <w:p w14:paraId="6FB4562D" w14:textId="77777777" w:rsidR="00557C61" w:rsidRPr="0022140F" w:rsidRDefault="00557C61" w:rsidP="00557C61">
      <w:pPr>
        <w:rPr>
          <w:szCs w:val="24"/>
        </w:rPr>
      </w:pPr>
      <w:r w:rsidRPr="0022140F">
        <w:rPr>
          <w:szCs w:val="24"/>
        </w:rPr>
        <w:t xml:space="preserve">Among patients treated with </w:t>
      </w:r>
      <w:proofErr w:type="spellStart"/>
      <w:r w:rsidRPr="0022140F">
        <w:rPr>
          <w:szCs w:val="24"/>
        </w:rPr>
        <w:t>everolimus</w:t>
      </w:r>
      <w:proofErr w:type="spellEnd"/>
      <w:r w:rsidRPr="0022140F">
        <w:rPr>
          <w:szCs w:val="24"/>
        </w:rPr>
        <w:t xml:space="preserve"> during the study, no cases of </w:t>
      </w:r>
      <w:proofErr w:type="spellStart"/>
      <w:r w:rsidRPr="0022140F">
        <w:rPr>
          <w:szCs w:val="24"/>
        </w:rPr>
        <w:t>angiomyolipoma</w:t>
      </w:r>
      <w:proofErr w:type="spellEnd"/>
      <w:r w:rsidRPr="0022140F">
        <w:rPr>
          <w:szCs w:val="24"/>
        </w:rPr>
        <w:t>-related nephrectomy and only one case of renal embolization were reported.</w:t>
      </w:r>
    </w:p>
    <w:p w14:paraId="745AE937" w14:textId="77777777" w:rsidR="00557C61" w:rsidRPr="0022140F" w:rsidRDefault="00557C61" w:rsidP="00557C61">
      <w:pPr>
        <w:pStyle w:val="Caption"/>
        <w:keepNext/>
        <w:rPr>
          <w:rFonts w:asciiTheme="minorHAnsi" w:hAnsiTheme="minorHAnsi"/>
        </w:rPr>
      </w:pPr>
      <w:bookmarkStart w:id="42" w:name="_4926571Table_54519Best_overall_an"/>
      <w:bookmarkStart w:id="43" w:name="_Ref491096319"/>
      <w:bookmarkStart w:id="44" w:name="_Ref491096596"/>
      <w:bookmarkEnd w:id="42"/>
      <w:r w:rsidRPr="0022140F">
        <w:rPr>
          <w:rFonts w:asciiTheme="minorHAnsi" w:hAnsiTheme="minorHAnsi"/>
        </w:rPr>
        <w:t xml:space="preserve">Table </w:t>
      </w:r>
      <w:r w:rsidRPr="0022140F">
        <w:rPr>
          <w:rFonts w:asciiTheme="minorHAnsi" w:hAnsiTheme="minorHAnsi"/>
        </w:rPr>
        <w:fldChar w:fldCharType="begin"/>
      </w:r>
      <w:r w:rsidRPr="0022140F">
        <w:rPr>
          <w:rFonts w:asciiTheme="minorHAnsi" w:hAnsiTheme="minorHAnsi"/>
        </w:rPr>
        <w:instrText xml:space="preserve"> SEQ Table \* ARABIC </w:instrText>
      </w:r>
      <w:r w:rsidRPr="0022140F">
        <w:rPr>
          <w:rFonts w:asciiTheme="minorHAnsi" w:hAnsiTheme="minorHAnsi"/>
        </w:rPr>
        <w:fldChar w:fldCharType="separate"/>
      </w:r>
      <w:r w:rsidR="00D64407">
        <w:rPr>
          <w:rFonts w:asciiTheme="minorHAnsi" w:hAnsiTheme="minorHAnsi"/>
          <w:noProof/>
        </w:rPr>
        <w:t>13</w:t>
      </w:r>
      <w:r w:rsidRPr="0022140F">
        <w:rPr>
          <w:rFonts w:asciiTheme="minorHAnsi" w:hAnsiTheme="minorHAnsi"/>
        </w:rPr>
        <w:fldChar w:fldCharType="end"/>
      </w:r>
      <w:bookmarkEnd w:id="43"/>
      <w:r w:rsidRPr="0022140F">
        <w:rPr>
          <w:rFonts w:asciiTheme="minorHAnsi" w:hAnsiTheme="minorHAnsi"/>
        </w:rPr>
        <w:t xml:space="preserve"> </w:t>
      </w:r>
      <w:r w:rsidRPr="0022140F">
        <w:rPr>
          <w:rFonts w:asciiTheme="minorHAnsi" w:hAnsiTheme="minorHAnsi"/>
        </w:rPr>
        <w:tab/>
      </w:r>
      <w:r w:rsidRPr="0022140F">
        <w:rPr>
          <w:rFonts w:asciiTheme="minorHAnsi" w:hAnsiTheme="minorHAnsi"/>
        </w:rPr>
        <w:tab/>
        <w:t xml:space="preserve">EXIST-2 - </w:t>
      </w:r>
      <w:proofErr w:type="spellStart"/>
      <w:r w:rsidRPr="0022140F">
        <w:rPr>
          <w:rFonts w:asciiTheme="minorHAnsi" w:hAnsiTheme="minorHAnsi"/>
        </w:rPr>
        <w:t>Angiomyolipoma</w:t>
      </w:r>
      <w:proofErr w:type="spellEnd"/>
      <w:r w:rsidRPr="0022140F">
        <w:rPr>
          <w:rFonts w:asciiTheme="minorHAnsi" w:hAnsiTheme="minorHAnsi"/>
        </w:rPr>
        <w:t xml:space="preserve"> response</w:t>
      </w:r>
      <w:bookmarkEnd w:id="44"/>
    </w:p>
    <w:tbl>
      <w:tblPr>
        <w:tblW w:w="0" w:type="auto"/>
        <w:jc w:val="center"/>
        <w:tblBorders>
          <w:top w:val="single" w:sz="6" w:space="0" w:color="auto"/>
          <w:bottom w:val="single" w:sz="6" w:space="0" w:color="auto"/>
        </w:tblBorders>
        <w:tblLayout w:type="fixed"/>
        <w:tblLook w:val="0000" w:firstRow="0" w:lastRow="0" w:firstColumn="0" w:lastColumn="0" w:noHBand="0" w:noVBand="0"/>
      </w:tblPr>
      <w:tblGrid>
        <w:gridCol w:w="3354"/>
        <w:gridCol w:w="1227"/>
        <w:gridCol w:w="1027"/>
        <w:gridCol w:w="962"/>
        <w:gridCol w:w="1920"/>
      </w:tblGrid>
      <w:tr w:rsidR="00557C61" w:rsidRPr="0022140F" w14:paraId="0DD2E5B5" w14:textId="77777777" w:rsidTr="005362D8">
        <w:trPr>
          <w:cantSplit/>
          <w:trHeight w:val="287"/>
          <w:jc w:val="center"/>
        </w:trPr>
        <w:tc>
          <w:tcPr>
            <w:tcW w:w="3354" w:type="dxa"/>
            <w:tcBorders>
              <w:top w:val="single" w:sz="4" w:space="0" w:color="auto"/>
              <w:bottom w:val="nil"/>
            </w:tcBorders>
          </w:tcPr>
          <w:p w14:paraId="5EB1E055" w14:textId="77777777" w:rsidR="00557C61" w:rsidRPr="0022140F" w:rsidRDefault="00557C61" w:rsidP="005362D8">
            <w:pPr>
              <w:pStyle w:val="Text"/>
              <w:rPr>
                <w:rFonts w:asciiTheme="minorHAnsi" w:hAnsiTheme="minorHAnsi"/>
                <w:sz w:val="18"/>
                <w:szCs w:val="18"/>
              </w:rPr>
            </w:pPr>
          </w:p>
        </w:tc>
        <w:tc>
          <w:tcPr>
            <w:tcW w:w="3216" w:type="dxa"/>
            <w:gridSpan w:val="3"/>
            <w:tcBorders>
              <w:top w:val="single" w:sz="4" w:space="0" w:color="auto"/>
              <w:bottom w:val="nil"/>
              <w:right w:val="single" w:sz="4" w:space="0" w:color="auto"/>
            </w:tcBorders>
          </w:tcPr>
          <w:p w14:paraId="68F818BC" w14:textId="77777777" w:rsidR="00557C61" w:rsidRPr="0022140F" w:rsidRDefault="00557C61" w:rsidP="005362D8">
            <w:pPr>
              <w:pStyle w:val="Text"/>
              <w:jc w:val="center"/>
              <w:rPr>
                <w:rFonts w:asciiTheme="minorHAnsi" w:hAnsiTheme="minorHAnsi"/>
                <w:b/>
                <w:sz w:val="18"/>
                <w:szCs w:val="18"/>
              </w:rPr>
            </w:pPr>
            <w:r w:rsidRPr="0022140F">
              <w:rPr>
                <w:rFonts w:asciiTheme="minorHAnsi" w:hAnsiTheme="minorHAnsi"/>
                <w:b/>
                <w:sz w:val="18"/>
                <w:szCs w:val="18"/>
              </w:rPr>
              <w:t>Primary Analysis</w:t>
            </w:r>
            <w:r w:rsidRPr="0022140F">
              <w:rPr>
                <w:rFonts w:asciiTheme="minorHAnsi" w:hAnsiTheme="minorHAnsi"/>
                <w:b/>
                <w:sz w:val="18"/>
                <w:szCs w:val="18"/>
                <w:vertAlign w:val="superscript"/>
              </w:rPr>
              <w:t>3</w:t>
            </w:r>
          </w:p>
        </w:tc>
        <w:tc>
          <w:tcPr>
            <w:tcW w:w="1920" w:type="dxa"/>
            <w:tcBorders>
              <w:top w:val="single" w:sz="4" w:space="0" w:color="auto"/>
              <w:left w:val="single" w:sz="4" w:space="0" w:color="auto"/>
              <w:right w:val="nil"/>
            </w:tcBorders>
          </w:tcPr>
          <w:p w14:paraId="10D9C7CE" w14:textId="77777777" w:rsidR="00557C61" w:rsidRPr="0022140F" w:rsidRDefault="00557C61" w:rsidP="005362D8">
            <w:pPr>
              <w:pStyle w:val="Text"/>
              <w:jc w:val="center"/>
              <w:rPr>
                <w:rFonts w:asciiTheme="minorHAnsi" w:hAnsiTheme="minorHAnsi"/>
                <w:b/>
                <w:sz w:val="18"/>
                <w:szCs w:val="18"/>
              </w:rPr>
            </w:pPr>
            <w:r w:rsidRPr="0022140F">
              <w:rPr>
                <w:rFonts w:asciiTheme="minorHAnsi" w:hAnsiTheme="minorHAnsi"/>
                <w:b/>
                <w:sz w:val="18"/>
                <w:szCs w:val="18"/>
              </w:rPr>
              <w:t>Final analysis</w:t>
            </w:r>
            <w:r w:rsidRPr="0022140F">
              <w:rPr>
                <w:rFonts w:asciiTheme="minorHAnsi" w:hAnsiTheme="minorHAnsi"/>
                <w:b/>
                <w:sz w:val="18"/>
                <w:szCs w:val="18"/>
                <w:vertAlign w:val="superscript"/>
              </w:rPr>
              <w:t>4</w:t>
            </w:r>
          </w:p>
        </w:tc>
      </w:tr>
      <w:tr w:rsidR="00557C61" w:rsidRPr="0022140F" w14:paraId="702C06A2" w14:textId="77777777" w:rsidTr="005362D8">
        <w:trPr>
          <w:cantSplit/>
          <w:trHeight w:val="287"/>
          <w:jc w:val="center"/>
        </w:trPr>
        <w:tc>
          <w:tcPr>
            <w:tcW w:w="3354" w:type="dxa"/>
            <w:tcBorders>
              <w:top w:val="single" w:sz="4" w:space="0" w:color="auto"/>
              <w:bottom w:val="nil"/>
            </w:tcBorders>
          </w:tcPr>
          <w:p w14:paraId="6EC3093F" w14:textId="77777777" w:rsidR="00557C61" w:rsidRPr="0022140F" w:rsidRDefault="00557C61" w:rsidP="005362D8">
            <w:pPr>
              <w:pStyle w:val="Text"/>
              <w:rPr>
                <w:rFonts w:asciiTheme="minorHAnsi" w:hAnsiTheme="minorHAnsi"/>
                <w:sz w:val="18"/>
                <w:szCs w:val="18"/>
              </w:rPr>
            </w:pPr>
          </w:p>
        </w:tc>
        <w:tc>
          <w:tcPr>
            <w:tcW w:w="1227" w:type="dxa"/>
            <w:tcBorders>
              <w:top w:val="single" w:sz="4" w:space="0" w:color="auto"/>
              <w:bottom w:val="nil"/>
            </w:tcBorders>
          </w:tcPr>
          <w:p w14:paraId="4B46B471" w14:textId="77777777" w:rsidR="00557C61" w:rsidRPr="0022140F" w:rsidRDefault="00557C61" w:rsidP="005362D8">
            <w:pPr>
              <w:pStyle w:val="Text"/>
              <w:jc w:val="center"/>
              <w:rPr>
                <w:rFonts w:asciiTheme="minorHAnsi" w:hAnsiTheme="minorHAnsi"/>
                <w:sz w:val="18"/>
                <w:szCs w:val="18"/>
              </w:rPr>
            </w:pPr>
            <w:proofErr w:type="spellStart"/>
            <w:r w:rsidRPr="0022140F">
              <w:rPr>
                <w:rFonts w:asciiTheme="minorHAnsi" w:hAnsiTheme="minorHAnsi"/>
                <w:b/>
                <w:sz w:val="18"/>
                <w:szCs w:val="18"/>
              </w:rPr>
              <w:t>Afinitor</w:t>
            </w:r>
            <w:proofErr w:type="spellEnd"/>
          </w:p>
        </w:tc>
        <w:tc>
          <w:tcPr>
            <w:tcW w:w="1027" w:type="dxa"/>
            <w:tcBorders>
              <w:top w:val="single" w:sz="4" w:space="0" w:color="auto"/>
              <w:bottom w:val="nil"/>
              <w:right w:val="nil"/>
            </w:tcBorders>
          </w:tcPr>
          <w:p w14:paraId="728524F2"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b/>
                <w:sz w:val="18"/>
                <w:szCs w:val="18"/>
              </w:rPr>
              <w:t>Placebo</w:t>
            </w:r>
          </w:p>
        </w:tc>
        <w:tc>
          <w:tcPr>
            <w:tcW w:w="962" w:type="dxa"/>
            <w:tcBorders>
              <w:top w:val="single" w:sz="4" w:space="0" w:color="auto"/>
              <w:right w:val="single" w:sz="4" w:space="0" w:color="auto"/>
            </w:tcBorders>
          </w:tcPr>
          <w:p w14:paraId="78E74635"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b/>
                <w:sz w:val="18"/>
                <w:szCs w:val="18"/>
              </w:rPr>
              <w:t>p-value</w:t>
            </w:r>
          </w:p>
        </w:tc>
        <w:tc>
          <w:tcPr>
            <w:tcW w:w="1920" w:type="dxa"/>
            <w:tcBorders>
              <w:top w:val="single" w:sz="4" w:space="0" w:color="auto"/>
              <w:left w:val="single" w:sz="4" w:space="0" w:color="auto"/>
              <w:right w:val="nil"/>
            </w:tcBorders>
          </w:tcPr>
          <w:p w14:paraId="5B7D477A" w14:textId="77777777" w:rsidR="00557C61" w:rsidRPr="0022140F" w:rsidRDefault="00557C61" w:rsidP="005362D8">
            <w:pPr>
              <w:pStyle w:val="Text"/>
              <w:jc w:val="center"/>
              <w:rPr>
                <w:rFonts w:asciiTheme="minorHAnsi" w:hAnsiTheme="minorHAnsi"/>
                <w:b/>
                <w:sz w:val="18"/>
                <w:szCs w:val="18"/>
              </w:rPr>
            </w:pPr>
            <w:proofErr w:type="spellStart"/>
            <w:r w:rsidRPr="0022140F">
              <w:rPr>
                <w:rFonts w:asciiTheme="minorHAnsi" w:hAnsiTheme="minorHAnsi"/>
                <w:b/>
                <w:sz w:val="18"/>
                <w:szCs w:val="18"/>
              </w:rPr>
              <w:t>Afinitor</w:t>
            </w:r>
            <w:proofErr w:type="spellEnd"/>
          </w:p>
        </w:tc>
      </w:tr>
      <w:tr w:rsidR="00557C61" w:rsidRPr="0022140F" w14:paraId="37EC6481" w14:textId="77777777" w:rsidTr="005362D8">
        <w:trPr>
          <w:cantSplit/>
          <w:trHeight w:val="287"/>
          <w:jc w:val="center"/>
        </w:trPr>
        <w:tc>
          <w:tcPr>
            <w:tcW w:w="3354" w:type="dxa"/>
            <w:tcBorders>
              <w:top w:val="nil"/>
              <w:bottom w:val="single" w:sz="4" w:space="0" w:color="auto"/>
            </w:tcBorders>
          </w:tcPr>
          <w:p w14:paraId="64076398" w14:textId="77777777" w:rsidR="00557C61" w:rsidRPr="0022140F" w:rsidRDefault="00557C61" w:rsidP="005362D8">
            <w:pPr>
              <w:pStyle w:val="Text"/>
              <w:rPr>
                <w:rFonts w:asciiTheme="minorHAnsi" w:hAnsiTheme="minorHAnsi"/>
                <w:sz w:val="18"/>
                <w:szCs w:val="18"/>
              </w:rPr>
            </w:pPr>
          </w:p>
        </w:tc>
        <w:tc>
          <w:tcPr>
            <w:tcW w:w="1227" w:type="dxa"/>
            <w:tcBorders>
              <w:top w:val="nil"/>
              <w:bottom w:val="single" w:sz="4" w:space="0" w:color="auto"/>
            </w:tcBorders>
          </w:tcPr>
          <w:p w14:paraId="0A84AA0B"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b/>
                <w:sz w:val="18"/>
                <w:szCs w:val="18"/>
              </w:rPr>
              <w:t>N=79</w:t>
            </w:r>
          </w:p>
        </w:tc>
        <w:tc>
          <w:tcPr>
            <w:tcW w:w="1027" w:type="dxa"/>
            <w:tcBorders>
              <w:top w:val="nil"/>
              <w:bottom w:val="single" w:sz="4" w:space="0" w:color="auto"/>
              <w:right w:val="nil"/>
            </w:tcBorders>
          </w:tcPr>
          <w:p w14:paraId="1E7C2A16"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b/>
                <w:sz w:val="18"/>
                <w:szCs w:val="18"/>
              </w:rPr>
              <w:t>N=39</w:t>
            </w:r>
          </w:p>
        </w:tc>
        <w:tc>
          <w:tcPr>
            <w:tcW w:w="962" w:type="dxa"/>
            <w:tcBorders>
              <w:bottom w:val="single" w:sz="4" w:space="0" w:color="auto"/>
              <w:right w:val="single" w:sz="4" w:space="0" w:color="auto"/>
            </w:tcBorders>
          </w:tcPr>
          <w:p w14:paraId="1C67496A" w14:textId="77777777" w:rsidR="00557C61" w:rsidRPr="0022140F" w:rsidRDefault="00557C61" w:rsidP="005362D8">
            <w:pPr>
              <w:tabs>
                <w:tab w:val="left" w:pos="284"/>
              </w:tabs>
              <w:spacing w:after="20"/>
              <w:jc w:val="center"/>
              <w:rPr>
                <w:b/>
                <w:sz w:val="18"/>
                <w:szCs w:val="18"/>
              </w:rPr>
            </w:pPr>
          </w:p>
        </w:tc>
        <w:tc>
          <w:tcPr>
            <w:tcW w:w="1920" w:type="dxa"/>
            <w:tcBorders>
              <w:left w:val="single" w:sz="4" w:space="0" w:color="auto"/>
              <w:bottom w:val="single" w:sz="4" w:space="0" w:color="auto"/>
              <w:right w:val="nil"/>
            </w:tcBorders>
          </w:tcPr>
          <w:p w14:paraId="41781C8F" w14:textId="77777777" w:rsidR="00557C61" w:rsidRPr="0022140F" w:rsidRDefault="00557C61" w:rsidP="005362D8">
            <w:pPr>
              <w:pStyle w:val="Text"/>
              <w:jc w:val="center"/>
              <w:rPr>
                <w:rFonts w:asciiTheme="minorHAnsi" w:hAnsiTheme="minorHAnsi"/>
                <w:b/>
                <w:sz w:val="18"/>
                <w:szCs w:val="18"/>
              </w:rPr>
            </w:pPr>
            <w:r w:rsidRPr="0022140F">
              <w:rPr>
                <w:rFonts w:asciiTheme="minorHAnsi" w:hAnsiTheme="minorHAnsi"/>
                <w:b/>
                <w:sz w:val="18"/>
                <w:szCs w:val="18"/>
              </w:rPr>
              <w:t>N=112</w:t>
            </w:r>
          </w:p>
        </w:tc>
      </w:tr>
      <w:tr w:rsidR="00557C61" w:rsidRPr="0022140F" w14:paraId="09DE13B7" w14:textId="77777777" w:rsidTr="005362D8">
        <w:trPr>
          <w:cantSplit/>
          <w:trHeight w:val="287"/>
          <w:jc w:val="center"/>
        </w:trPr>
        <w:tc>
          <w:tcPr>
            <w:tcW w:w="3354" w:type="dxa"/>
            <w:tcBorders>
              <w:top w:val="nil"/>
              <w:bottom w:val="nil"/>
            </w:tcBorders>
          </w:tcPr>
          <w:p w14:paraId="02D87871" w14:textId="77777777" w:rsidR="00557C61" w:rsidRPr="0022140F" w:rsidRDefault="00557C61" w:rsidP="005362D8">
            <w:pPr>
              <w:pStyle w:val="Text"/>
              <w:rPr>
                <w:rFonts w:asciiTheme="minorHAnsi" w:hAnsiTheme="minorHAnsi"/>
                <w:sz w:val="18"/>
                <w:szCs w:val="18"/>
              </w:rPr>
            </w:pPr>
            <w:proofErr w:type="spellStart"/>
            <w:r w:rsidRPr="0022140F">
              <w:rPr>
                <w:rFonts w:asciiTheme="minorHAnsi" w:hAnsiTheme="minorHAnsi"/>
                <w:sz w:val="18"/>
                <w:szCs w:val="18"/>
              </w:rPr>
              <w:t>Angiomyolipoma</w:t>
            </w:r>
            <w:proofErr w:type="spellEnd"/>
            <w:r w:rsidRPr="0022140F">
              <w:rPr>
                <w:rFonts w:asciiTheme="minorHAnsi" w:hAnsiTheme="minorHAnsi"/>
                <w:sz w:val="18"/>
                <w:szCs w:val="18"/>
              </w:rPr>
              <w:t xml:space="preserve"> response rate</w:t>
            </w:r>
            <w:r w:rsidRPr="0022140F">
              <w:rPr>
                <w:rFonts w:asciiTheme="minorHAnsi" w:hAnsiTheme="minorHAnsi"/>
                <w:sz w:val="18"/>
                <w:szCs w:val="18"/>
                <w:vertAlign w:val="superscript"/>
              </w:rPr>
              <w:t>1,2</w:t>
            </w:r>
            <w:r w:rsidRPr="0022140F">
              <w:rPr>
                <w:rFonts w:asciiTheme="minorHAnsi" w:hAnsiTheme="minorHAnsi"/>
                <w:sz w:val="18"/>
                <w:szCs w:val="18"/>
              </w:rPr>
              <w:t xml:space="preserve"> - %</w:t>
            </w:r>
          </w:p>
        </w:tc>
        <w:tc>
          <w:tcPr>
            <w:tcW w:w="1227" w:type="dxa"/>
            <w:tcBorders>
              <w:top w:val="nil"/>
              <w:bottom w:val="nil"/>
            </w:tcBorders>
          </w:tcPr>
          <w:p w14:paraId="459136C8"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b/>
                <w:sz w:val="18"/>
                <w:szCs w:val="18"/>
              </w:rPr>
              <w:t>41.8</w:t>
            </w:r>
          </w:p>
        </w:tc>
        <w:tc>
          <w:tcPr>
            <w:tcW w:w="1027" w:type="dxa"/>
            <w:tcBorders>
              <w:top w:val="nil"/>
              <w:bottom w:val="nil"/>
              <w:right w:val="nil"/>
            </w:tcBorders>
          </w:tcPr>
          <w:p w14:paraId="6EEF652E"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b/>
                <w:sz w:val="18"/>
                <w:szCs w:val="18"/>
              </w:rPr>
              <w:t>0</w:t>
            </w:r>
          </w:p>
        </w:tc>
        <w:tc>
          <w:tcPr>
            <w:tcW w:w="962" w:type="dxa"/>
            <w:tcBorders>
              <w:top w:val="nil"/>
              <w:bottom w:val="nil"/>
              <w:right w:val="single" w:sz="4" w:space="0" w:color="auto"/>
            </w:tcBorders>
          </w:tcPr>
          <w:p w14:paraId="71099456"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b/>
                <w:sz w:val="18"/>
                <w:szCs w:val="18"/>
              </w:rPr>
              <w:t>&lt;0.0001</w:t>
            </w:r>
          </w:p>
        </w:tc>
        <w:tc>
          <w:tcPr>
            <w:tcW w:w="1920" w:type="dxa"/>
            <w:tcBorders>
              <w:top w:val="nil"/>
              <w:left w:val="single" w:sz="4" w:space="0" w:color="auto"/>
              <w:bottom w:val="nil"/>
              <w:right w:val="nil"/>
            </w:tcBorders>
          </w:tcPr>
          <w:p w14:paraId="178CA68C" w14:textId="77777777" w:rsidR="00557C61" w:rsidRPr="0022140F" w:rsidRDefault="00557C61" w:rsidP="005362D8">
            <w:pPr>
              <w:pStyle w:val="Text"/>
              <w:jc w:val="center"/>
              <w:rPr>
                <w:rFonts w:asciiTheme="minorHAnsi" w:hAnsiTheme="minorHAnsi"/>
                <w:b/>
                <w:sz w:val="18"/>
                <w:szCs w:val="18"/>
              </w:rPr>
            </w:pPr>
            <w:r w:rsidRPr="0022140F">
              <w:rPr>
                <w:rFonts w:asciiTheme="minorHAnsi" w:hAnsiTheme="minorHAnsi"/>
                <w:b/>
                <w:sz w:val="18"/>
                <w:szCs w:val="18"/>
              </w:rPr>
              <w:t>58.0</w:t>
            </w:r>
          </w:p>
        </w:tc>
      </w:tr>
      <w:tr w:rsidR="00557C61" w:rsidRPr="0022140F" w14:paraId="21819CB5" w14:textId="77777777" w:rsidTr="005362D8">
        <w:trPr>
          <w:cantSplit/>
          <w:trHeight w:val="287"/>
          <w:jc w:val="center"/>
        </w:trPr>
        <w:tc>
          <w:tcPr>
            <w:tcW w:w="3354" w:type="dxa"/>
            <w:tcBorders>
              <w:top w:val="nil"/>
              <w:bottom w:val="nil"/>
            </w:tcBorders>
          </w:tcPr>
          <w:p w14:paraId="27A71891"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 xml:space="preserve">95% CI </w:t>
            </w:r>
          </w:p>
        </w:tc>
        <w:tc>
          <w:tcPr>
            <w:tcW w:w="1227" w:type="dxa"/>
            <w:tcBorders>
              <w:top w:val="nil"/>
              <w:bottom w:val="nil"/>
            </w:tcBorders>
          </w:tcPr>
          <w:p w14:paraId="50663849"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(30.8, 53.4)</w:t>
            </w:r>
          </w:p>
        </w:tc>
        <w:tc>
          <w:tcPr>
            <w:tcW w:w="1027" w:type="dxa"/>
            <w:tcBorders>
              <w:top w:val="nil"/>
              <w:bottom w:val="nil"/>
              <w:right w:val="nil"/>
            </w:tcBorders>
          </w:tcPr>
          <w:p w14:paraId="7C8A188A"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(0.0, 9.0)</w:t>
            </w:r>
          </w:p>
        </w:tc>
        <w:tc>
          <w:tcPr>
            <w:tcW w:w="962" w:type="dxa"/>
            <w:tcBorders>
              <w:top w:val="nil"/>
              <w:bottom w:val="nil"/>
              <w:right w:val="single" w:sz="4" w:space="0" w:color="auto"/>
            </w:tcBorders>
          </w:tcPr>
          <w:p w14:paraId="58DC6609" w14:textId="77777777" w:rsidR="00557C61" w:rsidRPr="0022140F" w:rsidRDefault="00557C61" w:rsidP="005362D8">
            <w:pPr>
              <w:tabs>
                <w:tab w:val="left" w:pos="284"/>
              </w:tabs>
              <w:spacing w:after="20"/>
              <w:jc w:val="center"/>
              <w:rPr>
                <w:sz w:val="18"/>
                <w:szCs w:val="18"/>
              </w:rPr>
            </w:pPr>
          </w:p>
        </w:tc>
        <w:tc>
          <w:tcPr>
            <w:tcW w:w="1920" w:type="dxa"/>
            <w:tcBorders>
              <w:top w:val="nil"/>
              <w:left w:val="single" w:sz="4" w:space="0" w:color="auto"/>
              <w:bottom w:val="nil"/>
              <w:right w:val="nil"/>
            </w:tcBorders>
            <w:vAlign w:val="bottom"/>
          </w:tcPr>
          <w:p w14:paraId="1A434382" w14:textId="77777777" w:rsidR="00557C61" w:rsidRPr="0022140F" w:rsidRDefault="00557C61" w:rsidP="005362D8">
            <w:pPr>
              <w:tabs>
                <w:tab w:val="left" w:pos="284"/>
              </w:tabs>
              <w:spacing w:after="20"/>
              <w:jc w:val="center"/>
              <w:rPr>
                <w:sz w:val="18"/>
                <w:szCs w:val="18"/>
              </w:rPr>
            </w:pPr>
            <w:r w:rsidRPr="0022140F">
              <w:rPr>
                <w:sz w:val="18"/>
                <w:szCs w:val="18"/>
              </w:rPr>
              <w:t>(48.3, 67.3)</w:t>
            </w:r>
          </w:p>
        </w:tc>
      </w:tr>
      <w:tr w:rsidR="00557C61" w:rsidRPr="0022140F" w:rsidDel="003D0A8B" w14:paraId="4609A65D" w14:textId="77777777" w:rsidTr="005362D8">
        <w:trPr>
          <w:cantSplit/>
          <w:trHeight w:val="287"/>
          <w:jc w:val="center"/>
        </w:trPr>
        <w:tc>
          <w:tcPr>
            <w:tcW w:w="6570" w:type="dxa"/>
            <w:gridSpan w:val="4"/>
            <w:tcBorders>
              <w:top w:val="nil"/>
              <w:bottom w:val="nil"/>
              <w:right w:val="single" w:sz="4" w:space="0" w:color="auto"/>
            </w:tcBorders>
          </w:tcPr>
          <w:p w14:paraId="0465945D" w14:textId="77777777" w:rsidR="00557C61" w:rsidRPr="0022140F" w:rsidDel="003D0A8B" w:rsidRDefault="00557C61" w:rsidP="005362D8">
            <w:pPr>
              <w:pStyle w:val="Text"/>
              <w:rPr>
                <w:rFonts w:asciiTheme="minorHAnsi" w:hAnsiTheme="minorHAnsi"/>
                <w:sz w:val="18"/>
                <w:szCs w:val="18"/>
              </w:rPr>
            </w:pPr>
            <w:r w:rsidRPr="0022140F">
              <w:rPr>
                <w:rFonts w:asciiTheme="minorHAnsi" w:hAnsiTheme="minorHAnsi"/>
                <w:b/>
                <w:sz w:val="18"/>
                <w:szCs w:val="18"/>
              </w:rPr>
              <w:t xml:space="preserve">Best overall </w:t>
            </w:r>
            <w:proofErr w:type="spellStart"/>
            <w:r w:rsidRPr="0022140F">
              <w:rPr>
                <w:rFonts w:asciiTheme="minorHAnsi" w:hAnsiTheme="minorHAnsi"/>
                <w:b/>
                <w:sz w:val="18"/>
                <w:szCs w:val="18"/>
              </w:rPr>
              <w:t>angiomyolipoma</w:t>
            </w:r>
            <w:proofErr w:type="spellEnd"/>
            <w:r w:rsidRPr="0022140F">
              <w:rPr>
                <w:rFonts w:asciiTheme="minorHAnsi" w:hAnsiTheme="minorHAnsi"/>
                <w:b/>
                <w:sz w:val="18"/>
                <w:szCs w:val="18"/>
              </w:rPr>
              <w:t xml:space="preserve"> response - %</w:t>
            </w:r>
          </w:p>
        </w:tc>
        <w:tc>
          <w:tcPr>
            <w:tcW w:w="1920" w:type="dxa"/>
            <w:tcBorders>
              <w:top w:val="nil"/>
              <w:left w:val="single" w:sz="4" w:space="0" w:color="auto"/>
              <w:bottom w:val="nil"/>
            </w:tcBorders>
          </w:tcPr>
          <w:p w14:paraId="47F967A3" w14:textId="77777777" w:rsidR="00557C61" w:rsidRPr="0022140F" w:rsidRDefault="00557C61" w:rsidP="005362D8">
            <w:pPr>
              <w:pStyle w:val="Text"/>
              <w:rPr>
                <w:rFonts w:asciiTheme="minorHAnsi" w:hAnsiTheme="minorHAnsi"/>
                <w:b/>
                <w:sz w:val="18"/>
                <w:szCs w:val="18"/>
              </w:rPr>
            </w:pPr>
          </w:p>
        </w:tc>
      </w:tr>
      <w:tr w:rsidR="00557C61" w:rsidRPr="0022140F" w14:paraId="0F5E03B9" w14:textId="77777777" w:rsidTr="005362D8">
        <w:trPr>
          <w:cantSplit/>
          <w:trHeight w:val="287"/>
          <w:jc w:val="center"/>
        </w:trPr>
        <w:tc>
          <w:tcPr>
            <w:tcW w:w="3354" w:type="dxa"/>
            <w:tcBorders>
              <w:top w:val="nil"/>
            </w:tcBorders>
          </w:tcPr>
          <w:p w14:paraId="7B4028EE"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Response</w:t>
            </w:r>
          </w:p>
        </w:tc>
        <w:tc>
          <w:tcPr>
            <w:tcW w:w="1227" w:type="dxa"/>
            <w:tcBorders>
              <w:top w:val="nil"/>
            </w:tcBorders>
          </w:tcPr>
          <w:p w14:paraId="676F28EC"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41.8</w:t>
            </w:r>
          </w:p>
        </w:tc>
        <w:tc>
          <w:tcPr>
            <w:tcW w:w="1027" w:type="dxa"/>
            <w:tcBorders>
              <w:top w:val="nil"/>
              <w:right w:val="nil"/>
            </w:tcBorders>
          </w:tcPr>
          <w:p w14:paraId="2E81C651"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w:t>
            </w:r>
          </w:p>
        </w:tc>
        <w:tc>
          <w:tcPr>
            <w:tcW w:w="962" w:type="dxa"/>
            <w:tcBorders>
              <w:top w:val="nil"/>
              <w:right w:val="single" w:sz="4" w:space="0" w:color="auto"/>
            </w:tcBorders>
          </w:tcPr>
          <w:p w14:paraId="43A1F06F" w14:textId="77777777" w:rsidR="00557C61" w:rsidRPr="0022140F" w:rsidRDefault="00557C61" w:rsidP="005362D8">
            <w:pPr>
              <w:tabs>
                <w:tab w:val="left" w:pos="284"/>
              </w:tabs>
              <w:spacing w:after="20"/>
              <w:jc w:val="center"/>
              <w:rPr>
                <w:sz w:val="18"/>
                <w:szCs w:val="18"/>
              </w:rPr>
            </w:pPr>
          </w:p>
        </w:tc>
        <w:tc>
          <w:tcPr>
            <w:tcW w:w="1920" w:type="dxa"/>
            <w:tcBorders>
              <w:top w:val="nil"/>
              <w:left w:val="single" w:sz="4" w:space="0" w:color="auto"/>
              <w:right w:val="nil"/>
            </w:tcBorders>
            <w:vAlign w:val="bottom"/>
          </w:tcPr>
          <w:p w14:paraId="3691B874" w14:textId="77777777" w:rsidR="00557C61" w:rsidRPr="0022140F" w:rsidRDefault="00557C61" w:rsidP="005362D8">
            <w:pPr>
              <w:tabs>
                <w:tab w:val="left" w:pos="284"/>
              </w:tabs>
              <w:spacing w:after="20"/>
              <w:jc w:val="center"/>
              <w:rPr>
                <w:sz w:val="18"/>
                <w:szCs w:val="18"/>
              </w:rPr>
            </w:pPr>
            <w:r w:rsidRPr="0022140F">
              <w:rPr>
                <w:sz w:val="18"/>
                <w:szCs w:val="18"/>
              </w:rPr>
              <w:t>58.0</w:t>
            </w:r>
          </w:p>
        </w:tc>
      </w:tr>
      <w:tr w:rsidR="00557C61" w:rsidRPr="0022140F" w14:paraId="2D0F0A51" w14:textId="77777777" w:rsidTr="005362D8">
        <w:trPr>
          <w:cantSplit/>
          <w:trHeight w:val="220"/>
          <w:jc w:val="center"/>
        </w:trPr>
        <w:tc>
          <w:tcPr>
            <w:tcW w:w="3354" w:type="dxa"/>
            <w:tcBorders>
              <w:top w:val="nil"/>
              <w:bottom w:val="nil"/>
            </w:tcBorders>
          </w:tcPr>
          <w:p w14:paraId="24C191EC"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Stable disease</w:t>
            </w:r>
          </w:p>
        </w:tc>
        <w:tc>
          <w:tcPr>
            <w:tcW w:w="1227" w:type="dxa"/>
            <w:tcBorders>
              <w:top w:val="nil"/>
              <w:bottom w:val="nil"/>
            </w:tcBorders>
          </w:tcPr>
          <w:p w14:paraId="3107C9AD"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40.5</w:t>
            </w:r>
          </w:p>
        </w:tc>
        <w:tc>
          <w:tcPr>
            <w:tcW w:w="1027" w:type="dxa"/>
            <w:tcBorders>
              <w:top w:val="nil"/>
              <w:bottom w:val="nil"/>
            </w:tcBorders>
          </w:tcPr>
          <w:p w14:paraId="12D0BB81"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79.5</w:t>
            </w:r>
          </w:p>
        </w:tc>
        <w:tc>
          <w:tcPr>
            <w:tcW w:w="962" w:type="dxa"/>
            <w:tcBorders>
              <w:top w:val="nil"/>
              <w:bottom w:val="nil"/>
              <w:right w:val="single" w:sz="4" w:space="0" w:color="auto"/>
            </w:tcBorders>
          </w:tcPr>
          <w:p w14:paraId="6CB60C8B" w14:textId="77777777" w:rsidR="00557C61" w:rsidRPr="0022140F" w:rsidRDefault="00557C61" w:rsidP="005362D8">
            <w:pPr>
              <w:tabs>
                <w:tab w:val="left" w:pos="284"/>
              </w:tabs>
              <w:spacing w:after="20"/>
              <w:jc w:val="center"/>
              <w:rPr>
                <w:sz w:val="18"/>
                <w:szCs w:val="18"/>
              </w:rPr>
            </w:pPr>
          </w:p>
        </w:tc>
        <w:tc>
          <w:tcPr>
            <w:tcW w:w="1920" w:type="dxa"/>
            <w:tcBorders>
              <w:top w:val="nil"/>
              <w:left w:val="single" w:sz="4" w:space="0" w:color="auto"/>
              <w:bottom w:val="nil"/>
            </w:tcBorders>
            <w:vAlign w:val="bottom"/>
          </w:tcPr>
          <w:p w14:paraId="1F0C11AE" w14:textId="77777777" w:rsidR="00557C61" w:rsidRPr="0022140F" w:rsidRDefault="00557C61" w:rsidP="005362D8">
            <w:pPr>
              <w:tabs>
                <w:tab w:val="left" w:pos="284"/>
              </w:tabs>
              <w:spacing w:after="20"/>
              <w:jc w:val="center"/>
              <w:rPr>
                <w:sz w:val="18"/>
                <w:szCs w:val="18"/>
              </w:rPr>
            </w:pPr>
            <w:r w:rsidRPr="0022140F">
              <w:rPr>
                <w:sz w:val="18"/>
                <w:szCs w:val="18"/>
              </w:rPr>
              <w:t>30.4</w:t>
            </w:r>
          </w:p>
        </w:tc>
      </w:tr>
      <w:tr w:rsidR="00557C61" w:rsidRPr="0022140F" w14:paraId="45328314" w14:textId="77777777" w:rsidTr="005362D8">
        <w:trPr>
          <w:cantSplit/>
          <w:trHeight w:val="287"/>
          <w:jc w:val="center"/>
        </w:trPr>
        <w:tc>
          <w:tcPr>
            <w:tcW w:w="3354" w:type="dxa"/>
            <w:tcBorders>
              <w:top w:val="nil"/>
              <w:bottom w:val="nil"/>
            </w:tcBorders>
          </w:tcPr>
          <w:p w14:paraId="350B918E"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Progression</w:t>
            </w:r>
          </w:p>
        </w:tc>
        <w:tc>
          <w:tcPr>
            <w:tcW w:w="1227" w:type="dxa"/>
            <w:tcBorders>
              <w:bottom w:val="nil"/>
            </w:tcBorders>
          </w:tcPr>
          <w:p w14:paraId="17DBBD0B"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1.3</w:t>
            </w:r>
          </w:p>
        </w:tc>
        <w:tc>
          <w:tcPr>
            <w:tcW w:w="1027" w:type="dxa"/>
            <w:tcBorders>
              <w:bottom w:val="nil"/>
              <w:right w:val="nil"/>
            </w:tcBorders>
          </w:tcPr>
          <w:p w14:paraId="63F01B45"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5.1</w:t>
            </w:r>
          </w:p>
        </w:tc>
        <w:tc>
          <w:tcPr>
            <w:tcW w:w="962" w:type="dxa"/>
            <w:tcBorders>
              <w:bottom w:val="nil"/>
              <w:right w:val="single" w:sz="4" w:space="0" w:color="auto"/>
            </w:tcBorders>
          </w:tcPr>
          <w:p w14:paraId="0D5322D3" w14:textId="77777777" w:rsidR="00557C61" w:rsidRPr="0022140F" w:rsidRDefault="00557C61" w:rsidP="005362D8">
            <w:pPr>
              <w:tabs>
                <w:tab w:val="left" w:pos="284"/>
              </w:tabs>
              <w:spacing w:after="20"/>
              <w:jc w:val="center"/>
              <w:rPr>
                <w:sz w:val="18"/>
                <w:szCs w:val="18"/>
              </w:rPr>
            </w:pPr>
          </w:p>
        </w:tc>
        <w:tc>
          <w:tcPr>
            <w:tcW w:w="1920" w:type="dxa"/>
            <w:tcBorders>
              <w:left w:val="single" w:sz="4" w:space="0" w:color="auto"/>
              <w:bottom w:val="nil"/>
              <w:right w:val="nil"/>
            </w:tcBorders>
            <w:vAlign w:val="bottom"/>
          </w:tcPr>
          <w:p w14:paraId="496BBCB0" w14:textId="77777777" w:rsidR="00557C61" w:rsidRPr="0022140F" w:rsidRDefault="00557C61" w:rsidP="005362D8">
            <w:pPr>
              <w:tabs>
                <w:tab w:val="left" w:pos="284"/>
              </w:tabs>
              <w:spacing w:after="20"/>
              <w:jc w:val="center"/>
              <w:rPr>
                <w:sz w:val="18"/>
                <w:szCs w:val="18"/>
              </w:rPr>
            </w:pPr>
            <w:r w:rsidRPr="0022140F">
              <w:rPr>
                <w:sz w:val="18"/>
                <w:szCs w:val="18"/>
              </w:rPr>
              <w:t>0.9</w:t>
            </w:r>
          </w:p>
        </w:tc>
      </w:tr>
      <w:tr w:rsidR="00557C61" w:rsidRPr="0022140F" w14:paraId="3FEBC31E" w14:textId="77777777" w:rsidTr="005362D8">
        <w:trPr>
          <w:cantSplit/>
          <w:trHeight w:val="287"/>
          <w:jc w:val="center"/>
        </w:trPr>
        <w:tc>
          <w:tcPr>
            <w:tcW w:w="3354" w:type="dxa"/>
            <w:tcBorders>
              <w:top w:val="nil"/>
              <w:bottom w:val="single" w:sz="4" w:space="0" w:color="auto"/>
            </w:tcBorders>
          </w:tcPr>
          <w:p w14:paraId="3DDB799F"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Not evaluable</w:t>
            </w:r>
          </w:p>
        </w:tc>
        <w:tc>
          <w:tcPr>
            <w:tcW w:w="1227" w:type="dxa"/>
            <w:tcBorders>
              <w:top w:val="nil"/>
              <w:bottom w:val="single" w:sz="4" w:space="0" w:color="auto"/>
            </w:tcBorders>
          </w:tcPr>
          <w:p w14:paraId="27D59D0F"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16.5</w:t>
            </w:r>
          </w:p>
        </w:tc>
        <w:tc>
          <w:tcPr>
            <w:tcW w:w="1027" w:type="dxa"/>
            <w:tcBorders>
              <w:top w:val="nil"/>
              <w:bottom w:val="single" w:sz="4" w:space="0" w:color="auto"/>
              <w:right w:val="nil"/>
            </w:tcBorders>
          </w:tcPr>
          <w:p w14:paraId="48F70930"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15.4</w:t>
            </w:r>
          </w:p>
        </w:tc>
        <w:tc>
          <w:tcPr>
            <w:tcW w:w="962" w:type="dxa"/>
            <w:tcBorders>
              <w:top w:val="nil"/>
              <w:bottom w:val="single" w:sz="4" w:space="0" w:color="auto"/>
              <w:right w:val="single" w:sz="4" w:space="0" w:color="auto"/>
            </w:tcBorders>
          </w:tcPr>
          <w:p w14:paraId="48284DE1" w14:textId="77777777" w:rsidR="00557C61" w:rsidRPr="0022140F" w:rsidRDefault="00557C61" w:rsidP="005362D8">
            <w:pPr>
              <w:tabs>
                <w:tab w:val="left" w:pos="284"/>
              </w:tabs>
              <w:spacing w:after="20"/>
              <w:jc w:val="center"/>
              <w:rPr>
                <w:sz w:val="18"/>
                <w:szCs w:val="18"/>
              </w:rPr>
            </w:pPr>
          </w:p>
        </w:tc>
        <w:tc>
          <w:tcPr>
            <w:tcW w:w="1920" w:type="dxa"/>
            <w:tcBorders>
              <w:top w:val="nil"/>
              <w:left w:val="single" w:sz="4" w:space="0" w:color="auto"/>
              <w:bottom w:val="single" w:sz="4" w:space="0" w:color="auto"/>
              <w:right w:val="nil"/>
            </w:tcBorders>
            <w:vAlign w:val="bottom"/>
          </w:tcPr>
          <w:p w14:paraId="4D40899A" w14:textId="77777777" w:rsidR="00557C61" w:rsidRPr="0022140F" w:rsidRDefault="00557C61" w:rsidP="005362D8">
            <w:pPr>
              <w:tabs>
                <w:tab w:val="left" w:pos="284"/>
              </w:tabs>
              <w:spacing w:after="20"/>
              <w:jc w:val="center"/>
              <w:rPr>
                <w:sz w:val="18"/>
                <w:szCs w:val="18"/>
              </w:rPr>
            </w:pPr>
            <w:r w:rsidRPr="0022140F">
              <w:rPr>
                <w:sz w:val="18"/>
                <w:szCs w:val="18"/>
              </w:rPr>
              <w:t>10.7</w:t>
            </w:r>
          </w:p>
        </w:tc>
      </w:tr>
      <w:tr w:rsidR="00557C61" w:rsidRPr="0022140F" w14:paraId="568F0EB1" w14:textId="77777777" w:rsidTr="005362D8">
        <w:trPr>
          <w:cantSplit/>
          <w:trHeight w:val="1097"/>
          <w:jc w:val="center"/>
        </w:trPr>
        <w:tc>
          <w:tcPr>
            <w:tcW w:w="8490" w:type="dxa"/>
            <w:gridSpan w:val="5"/>
            <w:tcBorders>
              <w:top w:val="single" w:sz="4" w:space="0" w:color="auto"/>
              <w:bottom w:val="nil"/>
            </w:tcBorders>
          </w:tcPr>
          <w:p w14:paraId="52A93E7F" w14:textId="77777777" w:rsidR="00557C61" w:rsidRPr="0022140F" w:rsidRDefault="00557C61" w:rsidP="005362D8">
            <w:pPr>
              <w:pStyle w:val="Legend"/>
              <w:rPr>
                <w:rFonts w:asciiTheme="minorHAnsi" w:hAnsiTheme="minorHAnsi"/>
                <w:i/>
                <w:sz w:val="16"/>
                <w:szCs w:val="16"/>
              </w:rPr>
            </w:pPr>
            <w:r w:rsidRPr="0022140F">
              <w:rPr>
                <w:rFonts w:asciiTheme="minorHAnsi" w:hAnsiTheme="minorHAnsi"/>
                <w:i/>
                <w:sz w:val="16"/>
                <w:szCs w:val="16"/>
                <w:vertAlign w:val="superscript"/>
              </w:rPr>
              <w:t>1</w:t>
            </w:r>
            <w:r w:rsidRPr="0022140F">
              <w:rPr>
                <w:rFonts w:asciiTheme="minorHAnsi" w:hAnsiTheme="minorHAnsi"/>
                <w:i/>
                <w:sz w:val="16"/>
                <w:szCs w:val="16"/>
              </w:rPr>
              <w:t xml:space="preserve"> Per independent central radiology review </w:t>
            </w:r>
          </w:p>
          <w:p w14:paraId="41CF7DDB" w14:textId="77777777" w:rsidR="00557C61" w:rsidRPr="0022140F" w:rsidRDefault="00557C61" w:rsidP="005362D8">
            <w:pPr>
              <w:pStyle w:val="Legend"/>
              <w:rPr>
                <w:rFonts w:asciiTheme="minorHAnsi" w:hAnsiTheme="minorHAnsi"/>
                <w:i/>
                <w:sz w:val="16"/>
                <w:szCs w:val="16"/>
              </w:rPr>
            </w:pPr>
            <w:r w:rsidRPr="0022140F">
              <w:rPr>
                <w:rFonts w:asciiTheme="minorHAnsi" w:hAnsiTheme="minorHAnsi"/>
                <w:i/>
                <w:sz w:val="16"/>
                <w:szCs w:val="16"/>
                <w:vertAlign w:val="superscript"/>
              </w:rPr>
              <w:t>2</w:t>
            </w:r>
            <w:r w:rsidRPr="0022140F">
              <w:rPr>
                <w:rFonts w:asciiTheme="minorHAnsi" w:hAnsiTheme="minorHAnsi"/>
                <w:i/>
                <w:sz w:val="16"/>
                <w:szCs w:val="16"/>
              </w:rPr>
              <w:t xml:space="preserve"> </w:t>
            </w:r>
            <w:proofErr w:type="spellStart"/>
            <w:r w:rsidRPr="0022140F">
              <w:rPr>
                <w:rFonts w:asciiTheme="minorHAnsi" w:hAnsiTheme="minorHAnsi"/>
                <w:i/>
                <w:sz w:val="16"/>
                <w:szCs w:val="16"/>
              </w:rPr>
              <w:t>Angiomyolipoma</w:t>
            </w:r>
            <w:proofErr w:type="spellEnd"/>
            <w:r w:rsidRPr="0022140F">
              <w:rPr>
                <w:rFonts w:asciiTheme="minorHAnsi" w:hAnsiTheme="minorHAnsi"/>
                <w:i/>
                <w:sz w:val="16"/>
                <w:szCs w:val="16"/>
              </w:rPr>
              <w:t xml:space="preserve"> responses were confirmed with a repeat scan. Response was defined as: ≥ 50% reduction in the sum of </w:t>
            </w:r>
            <w:proofErr w:type="spellStart"/>
            <w:r w:rsidRPr="0022140F">
              <w:rPr>
                <w:rFonts w:asciiTheme="minorHAnsi" w:hAnsiTheme="minorHAnsi"/>
                <w:i/>
                <w:sz w:val="16"/>
                <w:szCs w:val="16"/>
              </w:rPr>
              <w:t>angiomyolipoma</w:t>
            </w:r>
            <w:proofErr w:type="spellEnd"/>
            <w:r w:rsidRPr="0022140F">
              <w:rPr>
                <w:rFonts w:asciiTheme="minorHAnsi" w:hAnsiTheme="minorHAnsi"/>
                <w:i/>
                <w:sz w:val="16"/>
                <w:szCs w:val="16"/>
              </w:rPr>
              <w:t xml:space="preserve"> volume relative to baseline, plus absence of new </w:t>
            </w:r>
            <w:proofErr w:type="spellStart"/>
            <w:r w:rsidRPr="0022140F">
              <w:rPr>
                <w:rFonts w:asciiTheme="minorHAnsi" w:hAnsiTheme="minorHAnsi"/>
                <w:i/>
                <w:sz w:val="16"/>
                <w:szCs w:val="16"/>
              </w:rPr>
              <w:t>angiomyolipoma</w:t>
            </w:r>
            <w:proofErr w:type="spellEnd"/>
            <w:r w:rsidRPr="0022140F">
              <w:rPr>
                <w:rFonts w:asciiTheme="minorHAnsi" w:hAnsiTheme="minorHAnsi"/>
                <w:i/>
                <w:sz w:val="16"/>
                <w:szCs w:val="16"/>
              </w:rPr>
              <w:t xml:space="preserve"> ≥ 1.0 cm in longest diameter, plus no increases in renal volume &gt; 20% from nadir, plus absence of Grade ≥ 2 </w:t>
            </w:r>
            <w:proofErr w:type="spellStart"/>
            <w:r w:rsidRPr="0022140F">
              <w:rPr>
                <w:rFonts w:asciiTheme="minorHAnsi" w:hAnsiTheme="minorHAnsi"/>
                <w:i/>
                <w:sz w:val="16"/>
                <w:szCs w:val="16"/>
              </w:rPr>
              <w:t>angiomyolipoma</w:t>
            </w:r>
            <w:proofErr w:type="spellEnd"/>
            <w:r w:rsidRPr="0022140F">
              <w:rPr>
                <w:rFonts w:asciiTheme="minorHAnsi" w:hAnsiTheme="minorHAnsi"/>
                <w:i/>
                <w:sz w:val="16"/>
                <w:szCs w:val="16"/>
              </w:rPr>
              <w:t>-related bleeding.</w:t>
            </w:r>
          </w:p>
          <w:p w14:paraId="501C0DBA" w14:textId="77777777" w:rsidR="00557C61" w:rsidRPr="0022140F" w:rsidRDefault="00557C61" w:rsidP="005362D8">
            <w:pPr>
              <w:pStyle w:val="Legend"/>
              <w:rPr>
                <w:rFonts w:asciiTheme="minorHAnsi" w:eastAsia="Times New Roman" w:hAnsiTheme="minorHAnsi"/>
                <w:i/>
                <w:sz w:val="16"/>
                <w:szCs w:val="16"/>
              </w:rPr>
            </w:pPr>
            <w:r w:rsidRPr="0022140F">
              <w:rPr>
                <w:rFonts w:asciiTheme="minorHAnsi" w:eastAsia="Times New Roman" w:hAnsiTheme="minorHAnsi"/>
                <w:i/>
                <w:sz w:val="16"/>
                <w:szCs w:val="16"/>
                <w:vertAlign w:val="superscript"/>
              </w:rPr>
              <w:t>3</w:t>
            </w:r>
            <w:r w:rsidRPr="0022140F">
              <w:rPr>
                <w:rFonts w:asciiTheme="minorHAnsi" w:eastAsia="Times New Roman" w:hAnsiTheme="minorHAnsi"/>
                <w:i/>
                <w:sz w:val="16"/>
                <w:szCs w:val="16"/>
              </w:rPr>
              <w:t>Primary analysis for double blind period</w:t>
            </w:r>
          </w:p>
          <w:p w14:paraId="5F478A3C" w14:textId="77777777" w:rsidR="00557C61" w:rsidRPr="0022140F" w:rsidRDefault="00557C61" w:rsidP="005362D8">
            <w:pPr>
              <w:pStyle w:val="Legend"/>
              <w:rPr>
                <w:rFonts w:asciiTheme="minorHAnsi" w:hAnsiTheme="minorHAnsi"/>
                <w:i/>
                <w:sz w:val="16"/>
                <w:szCs w:val="16"/>
                <w:vertAlign w:val="superscript"/>
              </w:rPr>
            </w:pPr>
            <w:r w:rsidRPr="0022140F">
              <w:rPr>
                <w:rFonts w:asciiTheme="minorHAnsi" w:eastAsia="Times New Roman" w:hAnsiTheme="minorHAnsi"/>
                <w:i/>
                <w:sz w:val="16"/>
                <w:szCs w:val="16"/>
                <w:vertAlign w:val="superscript"/>
              </w:rPr>
              <w:t>4</w:t>
            </w:r>
            <w:r w:rsidRPr="0022140F">
              <w:rPr>
                <w:rFonts w:asciiTheme="minorHAnsi" w:eastAsia="Times New Roman" w:hAnsiTheme="minorHAnsi"/>
                <w:i/>
                <w:sz w:val="16"/>
                <w:szCs w:val="16"/>
              </w:rPr>
              <w:t xml:space="preserve">Final analysis includes patients who crossed over from the placebo group; median duration of exposure to </w:t>
            </w:r>
            <w:proofErr w:type="spellStart"/>
            <w:r w:rsidRPr="0022140F">
              <w:rPr>
                <w:rFonts w:asciiTheme="minorHAnsi" w:eastAsia="Times New Roman" w:hAnsiTheme="minorHAnsi"/>
                <w:i/>
                <w:sz w:val="16"/>
                <w:szCs w:val="16"/>
              </w:rPr>
              <w:t>everolimus</w:t>
            </w:r>
            <w:proofErr w:type="spellEnd"/>
            <w:r w:rsidRPr="0022140F">
              <w:rPr>
                <w:rFonts w:asciiTheme="minorHAnsi" w:eastAsia="Times New Roman" w:hAnsiTheme="minorHAnsi"/>
                <w:i/>
                <w:sz w:val="16"/>
                <w:szCs w:val="16"/>
              </w:rPr>
              <w:t xml:space="preserve"> of 204.1 weeks</w:t>
            </w:r>
          </w:p>
        </w:tc>
      </w:tr>
    </w:tbl>
    <w:p w14:paraId="49336F8C" w14:textId="77777777" w:rsidR="00557C61" w:rsidRPr="0022140F" w:rsidRDefault="00557C61" w:rsidP="00557C61">
      <w:pPr>
        <w:tabs>
          <w:tab w:val="left" w:pos="567"/>
        </w:tabs>
        <w:spacing w:line="320" w:lineRule="atLeast"/>
        <w:rPr>
          <w:sz w:val="24"/>
        </w:rPr>
      </w:pPr>
    </w:p>
    <w:p w14:paraId="45A2D287" w14:textId="77777777" w:rsidR="00D64407" w:rsidRPr="0022140F" w:rsidRDefault="00557C61" w:rsidP="00D64407">
      <w:pPr>
        <w:rPr>
          <w:noProof/>
        </w:rPr>
      </w:pPr>
      <w:r w:rsidRPr="0022140F">
        <w:rPr>
          <w:lang w:val="en-GB"/>
        </w:rPr>
        <w:t>Consistent treatment effects were observed across all subgroups evaluated (i.e., EIAED use vs. EIAED non-use, sex, age, and race) at the primary efficacy analysis (</w:t>
      </w:r>
      <w:r w:rsidRPr="0022140F">
        <w:rPr>
          <w:lang w:val="en-GB"/>
        </w:rPr>
        <w:fldChar w:fldCharType="begin"/>
      </w:r>
      <w:r w:rsidRPr="0022140F">
        <w:rPr>
          <w:lang w:val="en-GB"/>
        </w:rPr>
        <w:instrText xml:space="preserve"> REF _Ref491096375 \h  \* MERGEFORMAT </w:instrText>
      </w:r>
      <w:r w:rsidRPr="0022140F">
        <w:rPr>
          <w:lang w:val="en-GB"/>
        </w:rPr>
      </w:r>
      <w:r w:rsidRPr="0022140F">
        <w:rPr>
          <w:lang w:val="en-GB"/>
        </w:rPr>
        <w:fldChar w:fldCharType="separate"/>
      </w:r>
    </w:p>
    <w:p w14:paraId="554B2021" w14:textId="253881C4" w:rsidR="00557C61" w:rsidRPr="00E253EE" w:rsidRDefault="00D64407" w:rsidP="00557C61">
      <w:pPr>
        <w:rPr>
          <w:noProof/>
        </w:rPr>
      </w:pPr>
      <w:r w:rsidRPr="0022140F">
        <w:rPr>
          <w:noProof/>
        </w:rPr>
        <w:lastRenderedPageBreak/>
        <w:t xml:space="preserve">Table </w:t>
      </w:r>
      <w:r>
        <w:rPr>
          <w:noProof/>
        </w:rPr>
        <w:t>14</w:t>
      </w:r>
      <w:r w:rsidR="00557C61" w:rsidRPr="0022140F">
        <w:rPr>
          <w:lang w:val="en-GB"/>
        </w:rPr>
        <w:fldChar w:fldCharType="end"/>
      </w:r>
      <w:r w:rsidR="00557C61" w:rsidRPr="0022140F">
        <w:rPr>
          <w:lang w:val="en-GB"/>
        </w:rPr>
        <w:t>).</w:t>
      </w:r>
    </w:p>
    <w:p w14:paraId="3E1C7CC3" w14:textId="77777777" w:rsidR="00557C61" w:rsidRPr="0022140F" w:rsidRDefault="00557C61" w:rsidP="00557C61">
      <w:pPr>
        <w:pStyle w:val="Caption"/>
        <w:keepNext/>
        <w:rPr>
          <w:rFonts w:asciiTheme="minorHAnsi" w:hAnsiTheme="minorHAnsi"/>
        </w:rPr>
      </w:pPr>
      <w:bookmarkStart w:id="45" w:name="_Ref491096375"/>
    </w:p>
    <w:p w14:paraId="65EB1875" w14:textId="77777777" w:rsidR="00557C61" w:rsidRPr="0022140F" w:rsidRDefault="00557C61" w:rsidP="00557C61">
      <w:pPr>
        <w:pStyle w:val="Caption"/>
        <w:keepNext/>
        <w:rPr>
          <w:rFonts w:asciiTheme="minorHAnsi" w:hAnsiTheme="minorHAnsi"/>
        </w:rPr>
      </w:pPr>
      <w:r w:rsidRPr="0022140F">
        <w:rPr>
          <w:rFonts w:asciiTheme="minorHAnsi" w:hAnsiTheme="minorHAnsi"/>
        </w:rPr>
        <w:t xml:space="preserve">Table </w:t>
      </w:r>
      <w:r w:rsidRPr="0022140F">
        <w:rPr>
          <w:rFonts w:asciiTheme="minorHAnsi" w:hAnsiTheme="minorHAnsi"/>
        </w:rPr>
        <w:fldChar w:fldCharType="begin"/>
      </w:r>
      <w:r w:rsidRPr="0022140F">
        <w:rPr>
          <w:rFonts w:asciiTheme="minorHAnsi" w:hAnsiTheme="minorHAnsi"/>
        </w:rPr>
        <w:instrText xml:space="preserve"> SEQ Table \* ARABIC </w:instrText>
      </w:r>
      <w:r w:rsidRPr="0022140F">
        <w:rPr>
          <w:rFonts w:asciiTheme="minorHAnsi" w:hAnsiTheme="minorHAnsi"/>
        </w:rPr>
        <w:fldChar w:fldCharType="separate"/>
      </w:r>
      <w:r w:rsidR="00D64407">
        <w:rPr>
          <w:rFonts w:asciiTheme="minorHAnsi" w:hAnsiTheme="minorHAnsi"/>
          <w:noProof/>
        </w:rPr>
        <w:t>14</w:t>
      </w:r>
      <w:r w:rsidRPr="0022140F">
        <w:rPr>
          <w:rFonts w:asciiTheme="minorHAnsi" w:hAnsiTheme="minorHAnsi"/>
        </w:rPr>
        <w:fldChar w:fldCharType="end"/>
      </w:r>
      <w:bookmarkEnd w:id="45"/>
      <w:r w:rsidRPr="0022140F">
        <w:rPr>
          <w:rFonts w:asciiTheme="minorHAnsi" w:hAnsiTheme="minorHAnsi"/>
        </w:rPr>
        <w:t xml:space="preserve"> </w:t>
      </w:r>
      <w:r w:rsidRPr="0022140F">
        <w:rPr>
          <w:rFonts w:asciiTheme="minorHAnsi" w:hAnsiTheme="minorHAnsi"/>
        </w:rPr>
        <w:tab/>
      </w:r>
      <w:r w:rsidRPr="0022140F">
        <w:rPr>
          <w:rFonts w:asciiTheme="minorHAnsi" w:hAnsiTheme="minorHAnsi"/>
        </w:rPr>
        <w:tab/>
        <w:t xml:space="preserve">EXIST-2 - </w:t>
      </w:r>
      <w:proofErr w:type="spellStart"/>
      <w:r w:rsidRPr="0022140F">
        <w:rPr>
          <w:rFonts w:asciiTheme="minorHAnsi" w:hAnsiTheme="minorHAnsi"/>
        </w:rPr>
        <w:t>Angiomyolipoma</w:t>
      </w:r>
      <w:proofErr w:type="spellEnd"/>
      <w:r w:rsidRPr="0022140F">
        <w:rPr>
          <w:rFonts w:asciiTheme="minorHAnsi" w:hAnsiTheme="minorHAnsi"/>
        </w:rPr>
        <w:t xml:space="preserve"> response by subgroup at primary analysis</w:t>
      </w:r>
    </w:p>
    <w:tbl>
      <w:tblPr>
        <w:tblW w:w="8610" w:type="dxa"/>
        <w:tblLayout w:type="fixed"/>
        <w:tblLook w:val="04A0" w:firstRow="1" w:lastRow="0" w:firstColumn="1" w:lastColumn="0" w:noHBand="0" w:noVBand="1"/>
      </w:tblPr>
      <w:tblGrid>
        <w:gridCol w:w="2225"/>
        <w:gridCol w:w="577"/>
        <w:gridCol w:w="1558"/>
        <w:gridCol w:w="567"/>
        <w:gridCol w:w="1558"/>
        <w:gridCol w:w="2125"/>
      </w:tblGrid>
      <w:tr w:rsidR="00557C61" w:rsidRPr="004E63E9" w14:paraId="71AE52B9" w14:textId="77777777" w:rsidTr="005362D8">
        <w:tc>
          <w:tcPr>
            <w:tcW w:w="2225" w:type="dxa"/>
            <w:vMerge w:val="restart"/>
            <w:tcBorders>
              <w:top w:val="nil"/>
              <w:left w:val="nil"/>
              <w:bottom w:val="single" w:sz="4" w:space="0" w:color="auto"/>
              <w:right w:val="nil"/>
            </w:tcBorders>
            <w:hideMark/>
          </w:tcPr>
          <w:p w14:paraId="0716359F" w14:textId="77777777" w:rsidR="00557C61" w:rsidRPr="004E63E9" w:rsidRDefault="00557C61" w:rsidP="005362D8">
            <w:pPr>
              <w:spacing w:before="20" w:after="20"/>
              <w:rPr>
                <w:b/>
                <w:sz w:val="18"/>
                <w:szCs w:val="18"/>
              </w:rPr>
            </w:pPr>
            <w:r w:rsidRPr="004E63E9">
              <w:rPr>
                <w:b/>
                <w:sz w:val="18"/>
                <w:szCs w:val="18"/>
              </w:rPr>
              <w:t>Subgroup</w:t>
            </w:r>
          </w:p>
        </w:tc>
        <w:tc>
          <w:tcPr>
            <w:tcW w:w="2135" w:type="dxa"/>
            <w:gridSpan w:val="2"/>
            <w:hideMark/>
          </w:tcPr>
          <w:p w14:paraId="7A13C490" w14:textId="77777777" w:rsidR="00557C61" w:rsidRPr="004E63E9" w:rsidRDefault="00557C61" w:rsidP="005362D8">
            <w:pPr>
              <w:spacing w:before="20" w:after="20"/>
              <w:jc w:val="center"/>
              <w:rPr>
                <w:b/>
                <w:sz w:val="18"/>
                <w:szCs w:val="18"/>
              </w:rPr>
            </w:pPr>
            <w:proofErr w:type="spellStart"/>
            <w:r w:rsidRPr="004E63E9">
              <w:rPr>
                <w:b/>
                <w:sz w:val="18"/>
                <w:szCs w:val="18"/>
              </w:rPr>
              <w:t>Afinitor</w:t>
            </w:r>
            <w:proofErr w:type="spellEnd"/>
          </w:p>
        </w:tc>
        <w:tc>
          <w:tcPr>
            <w:tcW w:w="2125" w:type="dxa"/>
            <w:gridSpan w:val="2"/>
            <w:hideMark/>
          </w:tcPr>
          <w:p w14:paraId="6368C42B" w14:textId="77777777" w:rsidR="00557C61" w:rsidRPr="004E63E9" w:rsidRDefault="00557C61" w:rsidP="005362D8">
            <w:pPr>
              <w:spacing w:before="20" w:after="20"/>
              <w:jc w:val="center"/>
              <w:rPr>
                <w:b/>
                <w:sz w:val="18"/>
                <w:szCs w:val="18"/>
              </w:rPr>
            </w:pPr>
            <w:r w:rsidRPr="004E63E9">
              <w:rPr>
                <w:b/>
                <w:sz w:val="18"/>
                <w:szCs w:val="18"/>
              </w:rPr>
              <w:t>Placebo</w:t>
            </w:r>
          </w:p>
        </w:tc>
        <w:tc>
          <w:tcPr>
            <w:tcW w:w="2125" w:type="dxa"/>
            <w:vMerge w:val="restart"/>
            <w:tcBorders>
              <w:top w:val="nil"/>
              <w:left w:val="nil"/>
              <w:bottom w:val="single" w:sz="4" w:space="0" w:color="auto"/>
              <w:right w:val="nil"/>
            </w:tcBorders>
            <w:hideMark/>
          </w:tcPr>
          <w:p w14:paraId="453A8933" w14:textId="77777777" w:rsidR="00557C61" w:rsidRPr="004E63E9" w:rsidRDefault="00557C61" w:rsidP="005362D8">
            <w:pPr>
              <w:pStyle w:val="Table"/>
              <w:keepNext/>
              <w:jc w:val="center"/>
              <w:rPr>
                <w:rFonts w:asciiTheme="minorHAnsi" w:hAnsiTheme="minorHAnsi"/>
                <w:b/>
                <w:sz w:val="18"/>
                <w:szCs w:val="18"/>
                <w:lang w:val="en-AU" w:eastAsia="en-US"/>
              </w:rPr>
            </w:pPr>
            <w:r w:rsidRPr="004E63E9">
              <w:rPr>
                <w:rFonts w:asciiTheme="minorHAnsi" w:hAnsiTheme="minorHAnsi"/>
                <w:b/>
                <w:sz w:val="18"/>
                <w:szCs w:val="18"/>
                <w:lang w:val="en-AU" w:eastAsia="en-US"/>
              </w:rPr>
              <w:t>Difference in response rates (95% CI)</w:t>
            </w:r>
          </w:p>
        </w:tc>
      </w:tr>
      <w:tr w:rsidR="00557C61" w:rsidRPr="004E63E9" w14:paraId="03D173F6" w14:textId="77777777" w:rsidTr="005362D8">
        <w:tc>
          <w:tcPr>
            <w:tcW w:w="2225" w:type="dxa"/>
            <w:vMerge/>
            <w:tcBorders>
              <w:top w:val="nil"/>
              <w:left w:val="nil"/>
              <w:bottom w:val="single" w:sz="4" w:space="0" w:color="auto"/>
              <w:right w:val="nil"/>
            </w:tcBorders>
            <w:vAlign w:val="center"/>
            <w:hideMark/>
          </w:tcPr>
          <w:p w14:paraId="47A8844F" w14:textId="77777777" w:rsidR="00557C61" w:rsidRPr="004E63E9" w:rsidRDefault="00557C61" w:rsidP="005362D8">
            <w:pPr>
              <w:rPr>
                <w:b/>
                <w:sz w:val="18"/>
                <w:szCs w:val="18"/>
              </w:rPr>
            </w:pPr>
          </w:p>
        </w:tc>
        <w:tc>
          <w:tcPr>
            <w:tcW w:w="577" w:type="dxa"/>
            <w:tcBorders>
              <w:top w:val="nil"/>
              <w:left w:val="nil"/>
              <w:bottom w:val="single" w:sz="4" w:space="0" w:color="auto"/>
              <w:right w:val="nil"/>
            </w:tcBorders>
            <w:hideMark/>
          </w:tcPr>
          <w:p w14:paraId="26E8A357" w14:textId="77777777" w:rsidR="00557C61" w:rsidRPr="004E63E9" w:rsidRDefault="00557C61" w:rsidP="005362D8">
            <w:pPr>
              <w:spacing w:before="20" w:after="20"/>
              <w:jc w:val="center"/>
              <w:rPr>
                <w:b/>
                <w:sz w:val="18"/>
                <w:szCs w:val="18"/>
              </w:rPr>
            </w:pPr>
            <w:r w:rsidRPr="004E63E9">
              <w:rPr>
                <w:b/>
                <w:sz w:val="18"/>
                <w:szCs w:val="18"/>
              </w:rPr>
              <w:t>N</w:t>
            </w:r>
          </w:p>
        </w:tc>
        <w:tc>
          <w:tcPr>
            <w:tcW w:w="1558" w:type="dxa"/>
            <w:tcBorders>
              <w:top w:val="nil"/>
              <w:left w:val="nil"/>
              <w:bottom w:val="single" w:sz="4" w:space="0" w:color="auto"/>
              <w:right w:val="nil"/>
            </w:tcBorders>
            <w:hideMark/>
          </w:tcPr>
          <w:p w14:paraId="45CF15E0" w14:textId="77777777" w:rsidR="00557C61" w:rsidRPr="004E63E9" w:rsidRDefault="00557C61" w:rsidP="005362D8">
            <w:pPr>
              <w:spacing w:before="20" w:after="20"/>
              <w:jc w:val="center"/>
              <w:rPr>
                <w:b/>
                <w:sz w:val="18"/>
                <w:szCs w:val="18"/>
              </w:rPr>
            </w:pPr>
            <w:r w:rsidRPr="004E63E9">
              <w:rPr>
                <w:b/>
                <w:sz w:val="18"/>
                <w:szCs w:val="18"/>
              </w:rPr>
              <w:t>Responders</w:t>
            </w:r>
          </w:p>
          <w:p w14:paraId="348700FA" w14:textId="77777777" w:rsidR="00557C61" w:rsidRPr="004E63E9" w:rsidRDefault="00557C61" w:rsidP="005362D8">
            <w:pPr>
              <w:spacing w:before="20" w:after="20"/>
              <w:jc w:val="center"/>
              <w:rPr>
                <w:b/>
                <w:sz w:val="18"/>
                <w:szCs w:val="18"/>
              </w:rPr>
            </w:pPr>
            <w:r w:rsidRPr="004E63E9">
              <w:rPr>
                <w:b/>
                <w:sz w:val="18"/>
                <w:szCs w:val="18"/>
              </w:rPr>
              <w:t>%</w:t>
            </w:r>
          </w:p>
        </w:tc>
        <w:tc>
          <w:tcPr>
            <w:tcW w:w="567" w:type="dxa"/>
            <w:tcBorders>
              <w:top w:val="nil"/>
              <w:left w:val="nil"/>
              <w:bottom w:val="single" w:sz="4" w:space="0" w:color="auto"/>
              <w:right w:val="nil"/>
            </w:tcBorders>
            <w:hideMark/>
          </w:tcPr>
          <w:p w14:paraId="3A3D3F0D" w14:textId="77777777" w:rsidR="00557C61" w:rsidRPr="004E63E9" w:rsidRDefault="00557C61" w:rsidP="005362D8">
            <w:pPr>
              <w:spacing w:before="20" w:after="20"/>
              <w:jc w:val="center"/>
              <w:rPr>
                <w:b/>
                <w:sz w:val="18"/>
                <w:szCs w:val="18"/>
              </w:rPr>
            </w:pPr>
            <w:r w:rsidRPr="004E63E9">
              <w:rPr>
                <w:b/>
                <w:sz w:val="18"/>
                <w:szCs w:val="18"/>
              </w:rPr>
              <w:t>N</w:t>
            </w:r>
          </w:p>
        </w:tc>
        <w:tc>
          <w:tcPr>
            <w:tcW w:w="1558" w:type="dxa"/>
            <w:tcBorders>
              <w:top w:val="nil"/>
              <w:left w:val="nil"/>
              <w:bottom w:val="single" w:sz="4" w:space="0" w:color="auto"/>
              <w:right w:val="nil"/>
            </w:tcBorders>
            <w:hideMark/>
          </w:tcPr>
          <w:p w14:paraId="5AA8B375" w14:textId="77777777" w:rsidR="00557C61" w:rsidRPr="004E63E9" w:rsidRDefault="00557C61" w:rsidP="005362D8">
            <w:pPr>
              <w:spacing w:before="20" w:after="20"/>
              <w:jc w:val="center"/>
              <w:rPr>
                <w:b/>
                <w:sz w:val="18"/>
                <w:szCs w:val="18"/>
              </w:rPr>
            </w:pPr>
            <w:r w:rsidRPr="004E63E9">
              <w:rPr>
                <w:b/>
                <w:sz w:val="18"/>
                <w:szCs w:val="18"/>
              </w:rPr>
              <w:t>Responders</w:t>
            </w:r>
          </w:p>
          <w:p w14:paraId="14F97243" w14:textId="77777777" w:rsidR="00557C61" w:rsidRPr="004E63E9" w:rsidRDefault="00557C61" w:rsidP="005362D8">
            <w:pPr>
              <w:spacing w:before="20" w:after="20"/>
              <w:jc w:val="center"/>
              <w:rPr>
                <w:b/>
                <w:sz w:val="18"/>
                <w:szCs w:val="18"/>
              </w:rPr>
            </w:pPr>
            <w:r w:rsidRPr="004E63E9">
              <w:rPr>
                <w:b/>
                <w:sz w:val="18"/>
                <w:szCs w:val="18"/>
              </w:rPr>
              <w:t>%</w:t>
            </w:r>
          </w:p>
        </w:tc>
        <w:tc>
          <w:tcPr>
            <w:tcW w:w="2125" w:type="dxa"/>
            <w:vMerge/>
            <w:tcBorders>
              <w:top w:val="nil"/>
              <w:left w:val="nil"/>
              <w:bottom w:val="single" w:sz="4" w:space="0" w:color="auto"/>
              <w:right w:val="nil"/>
            </w:tcBorders>
            <w:vAlign w:val="center"/>
            <w:hideMark/>
          </w:tcPr>
          <w:p w14:paraId="40A13740" w14:textId="77777777" w:rsidR="00557C61" w:rsidRPr="004E63E9" w:rsidRDefault="00557C61" w:rsidP="005362D8">
            <w:pPr>
              <w:jc w:val="center"/>
              <w:rPr>
                <w:b/>
                <w:sz w:val="18"/>
                <w:szCs w:val="18"/>
              </w:rPr>
            </w:pPr>
          </w:p>
        </w:tc>
      </w:tr>
      <w:tr w:rsidR="00557C61" w:rsidRPr="004E63E9" w14:paraId="4E69F117" w14:textId="77777777" w:rsidTr="005362D8">
        <w:tc>
          <w:tcPr>
            <w:tcW w:w="2225" w:type="dxa"/>
            <w:tcBorders>
              <w:top w:val="single" w:sz="4" w:space="0" w:color="auto"/>
              <w:left w:val="nil"/>
              <w:bottom w:val="nil"/>
              <w:right w:val="nil"/>
            </w:tcBorders>
            <w:hideMark/>
          </w:tcPr>
          <w:p w14:paraId="155A5273" w14:textId="77777777" w:rsidR="00557C61" w:rsidRPr="004E63E9" w:rsidRDefault="00557C61" w:rsidP="005362D8">
            <w:pPr>
              <w:spacing w:before="20" w:after="20"/>
              <w:rPr>
                <w:b/>
                <w:sz w:val="18"/>
                <w:szCs w:val="18"/>
              </w:rPr>
            </w:pPr>
            <w:r w:rsidRPr="004E63E9">
              <w:rPr>
                <w:b/>
                <w:sz w:val="18"/>
                <w:szCs w:val="18"/>
              </w:rPr>
              <w:t>All patients</w:t>
            </w:r>
          </w:p>
        </w:tc>
        <w:tc>
          <w:tcPr>
            <w:tcW w:w="577" w:type="dxa"/>
            <w:tcBorders>
              <w:top w:val="single" w:sz="4" w:space="0" w:color="auto"/>
              <w:left w:val="nil"/>
              <w:bottom w:val="nil"/>
              <w:right w:val="nil"/>
            </w:tcBorders>
            <w:hideMark/>
          </w:tcPr>
          <w:p w14:paraId="4519D474" w14:textId="77777777" w:rsidR="00557C61" w:rsidRPr="004E63E9" w:rsidRDefault="00557C61" w:rsidP="005362D8">
            <w:pPr>
              <w:pStyle w:val="Text"/>
              <w:jc w:val="center"/>
              <w:rPr>
                <w:rFonts w:asciiTheme="minorHAnsi" w:hAnsiTheme="minorHAnsi"/>
                <w:b/>
                <w:sz w:val="18"/>
                <w:szCs w:val="18"/>
                <w:lang w:val="en-AU"/>
              </w:rPr>
            </w:pPr>
            <w:r w:rsidRPr="004E63E9">
              <w:rPr>
                <w:rFonts w:asciiTheme="minorHAnsi" w:hAnsiTheme="minorHAnsi"/>
                <w:b/>
                <w:sz w:val="18"/>
                <w:szCs w:val="18"/>
                <w:lang w:val="en-AU"/>
              </w:rPr>
              <w:t>79</w:t>
            </w:r>
          </w:p>
        </w:tc>
        <w:tc>
          <w:tcPr>
            <w:tcW w:w="1558" w:type="dxa"/>
            <w:tcBorders>
              <w:top w:val="single" w:sz="4" w:space="0" w:color="auto"/>
              <w:left w:val="nil"/>
              <w:bottom w:val="nil"/>
              <w:right w:val="nil"/>
            </w:tcBorders>
            <w:hideMark/>
          </w:tcPr>
          <w:p w14:paraId="0AF83558" w14:textId="77777777" w:rsidR="00557C61" w:rsidRPr="004E63E9" w:rsidRDefault="00557C61" w:rsidP="005362D8">
            <w:pPr>
              <w:pStyle w:val="Text"/>
              <w:jc w:val="center"/>
              <w:rPr>
                <w:rFonts w:asciiTheme="minorHAnsi" w:hAnsiTheme="minorHAnsi"/>
                <w:b/>
                <w:sz w:val="18"/>
                <w:szCs w:val="18"/>
                <w:lang w:val="en-AU"/>
              </w:rPr>
            </w:pPr>
            <w:r w:rsidRPr="004E63E9">
              <w:rPr>
                <w:rFonts w:asciiTheme="minorHAnsi" w:hAnsiTheme="minorHAnsi"/>
                <w:b/>
                <w:sz w:val="18"/>
                <w:szCs w:val="18"/>
                <w:lang w:val="en-AU"/>
              </w:rPr>
              <w:t>41.8</w:t>
            </w:r>
          </w:p>
        </w:tc>
        <w:tc>
          <w:tcPr>
            <w:tcW w:w="567" w:type="dxa"/>
            <w:tcBorders>
              <w:top w:val="single" w:sz="4" w:space="0" w:color="auto"/>
              <w:left w:val="nil"/>
              <w:bottom w:val="nil"/>
              <w:right w:val="nil"/>
            </w:tcBorders>
            <w:hideMark/>
          </w:tcPr>
          <w:p w14:paraId="6F232438" w14:textId="77777777" w:rsidR="00557C61" w:rsidRPr="004E63E9" w:rsidRDefault="00557C61" w:rsidP="005362D8">
            <w:pPr>
              <w:pStyle w:val="Text"/>
              <w:jc w:val="center"/>
              <w:rPr>
                <w:rFonts w:asciiTheme="minorHAnsi" w:hAnsiTheme="minorHAnsi"/>
                <w:b/>
                <w:sz w:val="18"/>
                <w:szCs w:val="18"/>
                <w:lang w:val="en-AU"/>
              </w:rPr>
            </w:pPr>
            <w:r w:rsidRPr="004E63E9">
              <w:rPr>
                <w:rFonts w:asciiTheme="minorHAnsi" w:hAnsiTheme="minorHAnsi"/>
                <w:b/>
                <w:sz w:val="18"/>
                <w:szCs w:val="18"/>
                <w:lang w:val="en-AU"/>
              </w:rPr>
              <w:t>39</w:t>
            </w:r>
          </w:p>
        </w:tc>
        <w:tc>
          <w:tcPr>
            <w:tcW w:w="1558" w:type="dxa"/>
            <w:tcBorders>
              <w:top w:val="single" w:sz="4" w:space="0" w:color="auto"/>
              <w:left w:val="nil"/>
              <w:bottom w:val="nil"/>
              <w:right w:val="nil"/>
            </w:tcBorders>
            <w:hideMark/>
          </w:tcPr>
          <w:p w14:paraId="32315B7A" w14:textId="77777777" w:rsidR="00557C61" w:rsidRPr="004E63E9" w:rsidRDefault="00557C61" w:rsidP="005362D8">
            <w:pPr>
              <w:pStyle w:val="Text"/>
              <w:jc w:val="center"/>
              <w:rPr>
                <w:rFonts w:asciiTheme="minorHAnsi" w:hAnsiTheme="minorHAnsi"/>
                <w:b/>
                <w:sz w:val="18"/>
                <w:szCs w:val="18"/>
                <w:lang w:val="en-AU"/>
              </w:rPr>
            </w:pPr>
            <w:r w:rsidRPr="004E63E9">
              <w:rPr>
                <w:rFonts w:asciiTheme="minorHAnsi" w:hAnsiTheme="minorHAnsi"/>
                <w:b/>
                <w:sz w:val="18"/>
                <w:szCs w:val="18"/>
                <w:lang w:val="en-AU"/>
              </w:rPr>
              <w:t>0</w:t>
            </w:r>
          </w:p>
        </w:tc>
        <w:tc>
          <w:tcPr>
            <w:tcW w:w="2125" w:type="dxa"/>
            <w:tcBorders>
              <w:top w:val="single" w:sz="4" w:space="0" w:color="auto"/>
              <w:left w:val="nil"/>
              <w:bottom w:val="nil"/>
              <w:right w:val="nil"/>
            </w:tcBorders>
            <w:hideMark/>
          </w:tcPr>
          <w:p w14:paraId="2A8F16C9" w14:textId="77777777" w:rsidR="00557C61" w:rsidRPr="004E63E9" w:rsidRDefault="00557C61" w:rsidP="005362D8">
            <w:pPr>
              <w:pStyle w:val="Text"/>
              <w:jc w:val="center"/>
              <w:rPr>
                <w:rFonts w:asciiTheme="minorHAnsi" w:hAnsiTheme="minorHAnsi"/>
                <w:b/>
                <w:sz w:val="18"/>
                <w:szCs w:val="18"/>
              </w:rPr>
            </w:pPr>
            <w:r w:rsidRPr="004E63E9">
              <w:rPr>
                <w:rFonts w:asciiTheme="minorHAnsi" w:hAnsiTheme="minorHAnsi"/>
                <w:b/>
                <w:sz w:val="18"/>
                <w:szCs w:val="18"/>
                <w:lang w:val="en-AU"/>
              </w:rPr>
              <w:t>41.8 (23.5, 58.4)</w:t>
            </w:r>
          </w:p>
        </w:tc>
      </w:tr>
      <w:tr w:rsidR="00557C61" w:rsidRPr="004E63E9" w14:paraId="03AB0879" w14:textId="77777777" w:rsidTr="005362D8">
        <w:tc>
          <w:tcPr>
            <w:tcW w:w="2225" w:type="dxa"/>
            <w:hideMark/>
          </w:tcPr>
          <w:p w14:paraId="5152D18D" w14:textId="77777777" w:rsidR="00557C61" w:rsidRPr="004E63E9" w:rsidRDefault="00557C61" w:rsidP="005362D8">
            <w:pPr>
              <w:spacing w:before="20" w:after="20"/>
              <w:rPr>
                <w:b/>
                <w:sz w:val="18"/>
                <w:szCs w:val="18"/>
              </w:rPr>
            </w:pPr>
            <w:r w:rsidRPr="004E63E9">
              <w:rPr>
                <w:b/>
                <w:sz w:val="18"/>
                <w:szCs w:val="18"/>
              </w:rPr>
              <w:t>Modified strata</w:t>
            </w:r>
          </w:p>
        </w:tc>
        <w:tc>
          <w:tcPr>
            <w:tcW w:w="577" w:type="dxa"/>
          </w:tcPr>
          <w:p w14:paraId="713DF206" w14:textId="77777777" w:rsidR="00557C61" w:rsidRPr="004E63E9" w:rsidRDefault="00557C61" w:rsidP="005362D8">
            <w:pPr>
              <w:pStyle w:val="Text"/>
              <w:jc w:val="center"/>
              <w:rPr>
                <w:rFonts w:asciiTheme="minorHAnsi" w:hAnsiTheme="minorHAnsi"/>
                <w:sz w:val="18"/>
                <w:szCs w:val="18"/>
                <w:lang w:val="en-AU"/>
              </w:rPr>
            </w:pPr>
          </w:p>
        </w:tc>
        <w:tc>
          <w:tcPr>
            <w:tcW w:w="1558" w:type="dxa"/>
          </w:tcPr>
          <w:p w14:paraId="707ACE48" w14:textId="77777777" w:rsidR="00557C61" w:rsidRPr="004E63E9" w:rsidRDefault="00557C61" w:rsidP="005362D8">
            <w:pPr>
              <w:pStyle w:val="Text"/>
              <w:jc w:val="center"/>
              <w:rPr>
                <w:rFonts w:asciiTheme="minorHAnsi" w:hAnsiTheme="minorHAnsi"/>
                <w:sz w:val="18"/>
                <w:szCs w:val="18"/>
                <w:lang w:val="en-AU"/>
              </w:rPr>
            </w:pPr>
          </w:p>
        </w:tc>
        <w:tc>
          <w:tcPr>
            <w:tcW w:w="567" w:type="dxa"/>
          </w:tcPr>
          <w:p w14:paraId="324894F8" w14:textId="77777777" w:rsidR="00557C61" w:rsidRPr="004E63E9" w:rsidRDefault="00557C61" w:rsidP="005362D8">
            <w:pPr>
              <w:pStyle w:val="Text"/>
              <w:jc w:val="center"/>
              <w:rPr>
                <w:rFonts w:asciiTheme="minorHAnsi" w:hAnsiTheme="minorHAnsi"/>
                <w:sz w:val="18"/>
                <w:szCs w:val="18"/>
                <w:lang w:val="en-AU"/>
              </w:rPr>
            </w:pPr>
          </w:p>
        </w:tc>
        <w:tc>
          <w:tcPr>
            <w:tcW w:w="1558" w:type="dxa"/>
          </w:tcPr>
          <w:p w14:paraId="2587CED4" w14:textId="77777777" w:rsidR="00557C61" w:rsidRPr="004E63E9" w:rsidRDefault="00557C61" w:rsidP="005362D8">
            <w:pPr>
              <w:pStyle w:val="Text"/>
              <w:jc w:val="center"/>
              <w:rPr>
                <w:rFonts w:asciiTheme="minorHAnsi" w:hAnsiTheme="minorHAnsi"/>
                <w:sz w:val="18"/>
                <w:szCs w:val="18"/>
                <w:lang w:val="en-AU"/>
              </w:rPr>
            </w:pPr>
          </w:p>
        </w:tc>
        <w:tc>
          <w:tcPr>
            <w:tcW w:w="2125" w:type="dxa"/>
          </w:tcPr>
          <w:p w14:paraId="66166199" w14:textId="77777777" w:rsidR="00557C61" w:rsidRPr="004E63E9" w:rsidRDefault="00557C61" w:rsidP="005362D8">
            <w:pPr>
              <w:pStyle w:val="Table"/>
              <w:jc w:val="center"/>
              <w:rPr>
                <w:rFonts w:asciiTheme="minorHAnsi" w:hAnsiTheme="minorHAnsi"/>
                <w:b/>
                <w:sz w:val="18"/>
                <w:szCs w:val="18"/>
              </w:rPr>
            </w:pPr>
          </w:p>
        </w:tc>
      </w:tr>
      <w:tr w:rsidR="00557C61" w:rsidRPr="004E63E9" w14:paraId="32E9C201" w14:textId="77777777" w:rsidTr="005362D8">
        <w:tc>
          <w:tcPr>
            <w:tcW w:w="2225" w:type="dxa"/>
            <w:hideMark/>
          </w:tcPr>
          <w:p w14:paraId="5370ADEC" w14:textId="77777777" w:rsidR="00557C61" w:rsidRPr="004E63E9" w:rsidRDefault="00557C61" w:rsidP="005362D8">
            <w:pPr>
              <w:pStyle w:val="Text"/>
              <w:ind w:left="284"/>
              <w:rPr>
                <w:rFonts w:asciiTheme="minorHAnsi" w:hAnsiTheme="minorHAnsi"/>
                <w:sz w:val="18"/>
                <w:szCs w:val="18"/>
                <w:lang w:val="en-AU"/>
              </w:rPr>
            </w:pPr>
            <w:r w:rsidRPr="004E63E9">
              <w:rPr>
                <w:rFonts w:asciiTheme="minorHAnsi" w:hAnsiTheme="minorHAnsi"/>
                <w:sz w:val="18"/>
                <w:szCs w:val="18"/>
                <w:lang w:val="en-AU"/>
              </w:rPr>
              <w:t>EIAED use</w:t>
            </w:r>
          </w:p>
        </w:tc>
        <w:tc>
          <w:tcPr>
            <w:tcW w:w="577" w:type="dxa"/>
            <w:hideMark/>
          </w:tcPr>
          <w:p w14:paraId="24CD17C5"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13</w:t>
            </w:r>
          </w:p>
        </w:tc>
        <w:tc>
          <w:tcPr>
            <w:tcW w:w="1558" w:type="dxa"/>
            <w:hideMark/>
          </w:tcPr>
          <w:p w14:paraId="6B159CA8"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46.2</w:t>
            </w:r>
          </w:p>
        </w:tc>
        <w:tc>
          <w:tcPr>
            <w:tcW w:w="567" w:type="dxa"/>
            <w:hideMark/>
          </w:tcPr>
          <w:p w14:paraId="3727CCCC"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7</w:t>
            </w:r>
          </w:p>
        </w:tc>
        <w:tc>
          <w:tcPr>
            <w:tcW w:w="1558" w:type="dxa"/>
            <w:hideMark/>
          </w:tcPr>
          <w:p w14:paraId="0CE87A04"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0</w:t>
            </w:r>
          </w:p>
        </w:tc>
        <w:tc>
          <w:tcPr>
            <w:tcW w:w="2125" w:type="dxa"/>
            <w:hideMark/>
          </w:tcPr>
          <w:p w14:paraId="4D9D9F01"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46.2 (-1.7, 81.6)</w:t>
            </w:r>
          </w:p>
        </w:tc>
      </w:tr>
      <w:tr w:rsidR="00557C61" w:rsidRPr="004E63E9" w14:paraId="675F6DE6" w14:textId="77777777" w:rsidTr="005362D8">
        <w:tc>
          <w:tcPr>
            <w:tcW w:w="2225" w:type="dxa"/>
            <w:hideMark/>
          </w:tcPr>
          <w:p w14:paraId="4CC475A2" w14:textId="77777777" w:rsidR="00557C61" w:rsidRPr="004E63E9" w:rsidRDefault="00557C61" w:rsidP="005362D8">
            <w:pPr>
              <w:pStyle w:val="Text"/>
              <w:ind w:left="284"/>
              <w:rPr>
                <w:rFonts w:asciiTheme="minorHAnsi" w:hAnsiTheme="minorHAnsi"/>
                <w:sz w:val="18"/>
                <w:szCs w:val="18"/>
                <w:lang w:val="en-AU"/>
              </w:rPr>
            </w:pPr>
            <w:r w:rsidRPr="004E63E9">
              <w:rPr>
                <w:rFonts w:asciiTheme="minorHAnsi" w:hAnsiTheme="minorHAnsi"/>
                <w:sz w:val="18"/>
                <w:szCs w:val="18"/>
                <w:lang w:val="en-AU"/>
              </w:rPr>
              <w:t>No EIAED use</w:t>
            </w:r>
          </w:p>
        </w:tc>
        <w:tc>
          <w:tcPr>
            <w:tcW w:w="577" w:type="dxa"/>
            <w:hideMark/>
          </w:tcPr>
          <w:p w14:paraId="27E19674"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66</w:t>
            </w:r>
          </w:p>
        </w:tc>
        <w:tc>
          <w:tcPr>
            <w:tcW w:w="1558" w:type="dxa"/>
            <w:hideMark/>
          </w:tcPr>
          <w:p w14:paraId="1455A860"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40.9</w:t>
            </w:r>
          </w:p>
        </w:tc>
        <w:tc>
          <w:tcPr>
            <w:tcW w:w="567" w:type="dxa"/>
            <w:hideMark/>
          </w:tcPr>
          <w:p w14:paraId="3529223F"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32</w:t>
            </w:r>
          </w:p>
        </w:tc>
        <w:tc>
          <w:tcPr>
            <w:tcW w:w="1558" w:type="dxa"/>
            <w:hideMark/>
          </w:tcPr>
          <w:p w14:paraId="0613ADA5"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0</w:t>
            </w:r>
          </w:p>
        </w:tc>
        <w:tc>
          <w:tcPr>
            <w:tcW w:w="2125" w:type="dxa"/>
            <w:hideMark/>
          </w:tcPr>
          <w:p w14:paraId="3BF955DA"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40.9 (20.2, 59.4)</w:t>
            </w:r>
          </w:p>
        </w:tc>
      </w:tr>
      <w:tr w:rsidR="00557C61" w:rsidRPr="004E63E9" w14:paraId="077A905A" w14:textId="77777777" w:rsidTr="005362D8">
        <w:tc>
          <w:tcPr>
            <w:tcW w:w="2225" w:type="dxa"/>
            <w:hideMark/>
          </w:tcPr>
          <w:p w14:paraId="53080B5C" w14:textId="77777777" w:rsidR="00557C61" w:rsidRPr="004E63E9" w:rsidRDefault="00557C61" w:rsidP="005362D8">
            <w:pPr>
              <w:spacing w:before="20" w:after="20"/>
              <w:rPr>
                <w:b/>
                <w:sz w:val="18"/>
                <w:szCs w:val="18"/>
              </w:rPr>
            </w:pPr>
            <w:r w:rsidRPr="004E63E9">
              <w:rPr>
                <w:b/>
                <w:sz w:val="18"/>
                <w:szCs w:val="18"/>
              </w:rPr>
              <w:t>Sex</w:t>
            </w:r>
          </w:p>
        </w:tc>
        <w:tc>
          <w:tcPr>
            <w:tcW w:w="577" w:type="dxa"/>
          </w:tcPr>
          <w:p w14:paraId="76A8BD75" w14:textId="77777777" w:rsidR="00557C61" w:rsidRPr="004E63E9" w:rsidRDefault="00557C61" w:rsidP="005362D8">
            <w:pPr>
              <w:pStyle w:val="Text"/>
              <w:jc w:val="center"/>
              <w:rPr>
                <w:rFonts w:asciiTheme="minorHAnsi" w:hAnsiTheme="minorHAnsi"/>
                <w:sz w:val="18"/>
                <w:szCs w:val="18"/>
                <w:lang w:val="en-AU"/>
              </w:rPr>
            </w:pPr>
          </w:p>
        </w:tc>
        <w:tc>
          <w:tcPr>
            <w:tcW w:w="1558" w:type="dxa"/>
          </w:tcPr>
          <w:p w14:paraId="42792711" w14:textId="77777777" w:rsidR="00557C61" w:rsidRPr="004E63E9" w:rsidRDefault="00557C61" w:rsidP="005362D8">
            <w:pPr>
              <w:pStyle w:val="Text"/>
              <w:jc w:val="center"/>
              <w:rPr>
                <w:rFonts w:asciiTheme="minorHAnsi" w:hAnsiTheme="minorHAnsi"/>
                <w:sz w:val="18"/>
                <w:szCs w:val="18"/>
                <w:lang w:val="en-AU"/>
              </w:rPr>
            </w:pPr>
          </w:p>
        </w:tc>
        <w:tc>
          <w:tcPr>
            <w:tcW w:w="567" w:type="dxa"/>
          </w:tcPr>
          <w:p w14:paraId="3CDC90DE" w14:textId="77777777" w:rsidR="00557C61" w:rsidRPr="004E63E9" w:rsidRDefault="00557C61" w:rsidP="005362D8">
            <w:pPr>
              <w:pStyle w:val="Text"/>
              <w:jc w:val="center"/>
              <w:rPr>
                <w:rFonts w:asciiTheme="minorHAnsi" w:hAnsiTheme="minorHAnsi"/>
                <w:sz w:val="18"/>
                <w:szCs w:val="18"/>
                <w:lang w:val="en-AU"/>
              </w:rPr>
            </w:pPr>
          </w:p>
        </w:tc>
        <w:tc>
          <w:tcPr>
            <w:tcW w:w="1558" w:type="dxa"/>
          </w:tcPr>
          <w:p w14:paraId="74AE5861" w14:textId="77777777" w:rsidR="00557C61" w:rsidRPr="004E63E9" w:rsidRDefault="00557C61" w:rsidP="005362D8">
            <w:pPr>
              <w:pStyle w:val="Text"/>
              <w:jc w:val="center"/>
              <w:rPr>
                <w:rFonts w:asciiTheme="minorHAnsi" w:hAnsiTheme="minorHAnsi"/>
                <w:sz w:val="18"/>
                <w:szCs w:val="18"/>
                <w:lang w:val="en-AU"/>
              </w:rPr>
            </w:pPr>
          </w:p>
        </w:tc>
        <w:tc>
          <w:tcPr>
            <w:tcW w:w="2125" w:type="dxa"/>
          </w:tcPr>
          <w:p w14:paraId="5F81893B" w14:textId="77777777" w:rsidR="00557C61" w:rsidRPr="004E63E9" w:rsidRDefault="00557C61" w:rsidP="005362D8">
            <w:pPr>
              <w:pStyle w:val="Text"/>
              <w:jc w:val="center"/>
              <w:rPr>
                <w:rFonts w:asciiTheme="minorHAnsi" w:hAnsiTheme="minorHAnsi"/>
                <w:sz w:val="18"/>
                <w:szCs w:val="18"/>
                <w:lang w:val="en-AU"/>
              </w:rPr>
            </w:pPr>
          </w:p>
        </w:tc>
      </w:tr>
      <w:tr w:rsidR="00557C61" w:rsidRPr="004E63E9" w14:paraId="23D04C22" w14:textId="77777777" w:rsidTr="005362D8">
        <w:tc>
          <w:tcPr>
            <w:tcW w:w="2225" w:type="dxa"/>
            <w:hideMark/>
          </w:tcPr>
          <w:p w14:paraId="0400801A" w14:textId="77777777" w:rsidR="00557C61" w:rsidRPr="004E63E9" w:rsidRDefault="00557C61" w:rsidP="005362D8">
            <w:pPr>
              <w:pStyle w:val="Text"/>
              <w:ind w:left="284"/>
              <w:rPr>
                <w:rFonts w:asciiTheme="minorHAnsi" w:hAnsiTheme="minorHAnsi"/>
                <w:sz w:val="18"/>
                <w:szCs w:val="18"/>
                <w:lang w:val="en-AU"/>
              </w:rPr>
            </w:pPr>
            <w:r w:rsidRPr="004E63E9">
              <w:rPr>
                <w:rFonts w:asciiTheme="minorHAnsi" w:hAnsiTheme="minorHAnsi"/>
                <w:sz w:val="18"/>
                <w:szCs w:val="18"/>
                <w:lang w:val="en-AU"/>
              </w:rPr>
              <w:t>Male</w:t>
            </w:r>
          </w:p>
        </w:tc>
        <w:tc>
          <w:tcPr>
            <w:tcW w:w="577" w:type="dxa"/>
            <w:hideMark/>
          </w:tcPr>
          <w:p w14:paraId="223F09CA"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27</w:t>
            </w:r>
          </w:p>
        </w:tc>
        <w:tc>
          <w:tcPr>
            <w:tcW w:w="1558" w:type="dxa"/>
            <w:hideMark/>
          </w:tcPr>
          <w:p w14:paraId="67674187"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63.0</w:t>
            </w:r>
          </w:p>
        </w:tc>
        <w:tc>
          <w:tcPr>
            <w:tcW w:w="567" w:type="dxa"/>
            <w:hideMark/>
          </w:tcPr>
          <w:p w14:paraId="7F49CC41"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13</w:t>
            </w:r>
          </w:p>
        </w:tc>
        <w:tc>
          <w:tcPr>
            <w:tcW w:w="1558" w:type="dxa"/>
            <w:hideMark/>
          </w:tcPr>
          <w:p w14:paraId="4D2DCF40"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0</w:t>
            </w:r>
          </w:p>
        </w:tc>
        <w:tc>
          <w:tcPr>
            <w:tcW w:w="2125" w:type="dxa"/>
            <w:hideMark/>
          </w:tcPr>
          <w:p w14:paraId="7174AAFB"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63.0 (33.5, 86.1)</w:t>
            </w:r>
          </w:p>
        </w:tc>
      </w:tr>
      <w:tr w:rsidR="00557C61" w:rsidRPr="004E63E9" w14:paraId="3F675478" w14:textId="77777777" w:rsidTr="005362D8">
        <w:tc>
          <w:tcPr>
            <w:tcW w:w="2225" w:type="dxa"/>
            <w:hideMark/>
          </w:tcPr>
          <w:p w14:paraId="09056C07" w14:textId="77777777" w:rsidR="00557C61" w:rsidRPr="004E63E9" w:rsidRDefault="00557C61" w:rsidP="005362D8">
            <w:pPr>
              <w:pStyle w:val="Text"/>
              <w:ind w:left="284"/>
              <w:rPr>
                <w:rFonts w:asciiTheme="minorHAnsi" w:hAnsiTheme="minorHAnsi"/>
                <w:sz w:val="18"/>
                <w:szCs w:val="18"/>
                <w:lang w:val="en-AU"/>
              </w:rPr>
            </w:pPr>
            <w:r w:rsidRPr="004E63E9">
              <w:rPr>
                <w:rFonts w:asciiTheme="minorHAnsi" w:hAnsiTheme="minorHAnsi"/>
                <w:sz w:val="18"/>
                <w:szCs w:val="18"/>
                <w:lang w:val="en-AU"/>
              </w:rPr>
              <w:t>Female</w:t>
            </w:r>
          </w:p>
        </w:tc>
        <w:tc>
          <w:tcPr>
            <w:tcW w:w="577" w:type="dxa"/>
            <w:hideMark/>
          </w:tcPr>
          <w:p w14:paraId="300DFA72"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52</w:t>
            </w:r>
          </w:p>
        </w:tc>
        <w:tc>
          <w:tcPr>
            <w:tcW w:w="1558" w:type="dxa"/>
            <w:hideMark/>
          </w:tcPr>
          <w:p w14:paraId="234DC035"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30.8</w:t>
            </w:r>
          </w:p>
        </w:tc>
        <w:tc>
          <w:tcPr>
            <w:tcW w:w="567" w:type="dxa"/>
            <w:hideMark/>
          </w:tcPr>
          <w:p w14:paraId="78D36E18"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26</w:t>
            </w:r>
          </w:p>
        </w:tc>
        <w:tc>
          <w:tcPr>
            <w:tcW w:w="1558" w:type="dxa"/>
            <w:hideMark/>
          </w:tcPr>
          <w:p w14:paraId="62337B70"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0</w:t>
            </w:r>
          </w:p>
        </w:tc>
        <w:tc>
          <w:tcPr>
            <w:tcW w:w="2125" w:type="dxa"/>
            <w:hideMark/>
          </w:tcPr>
          <w:p w14:paraId="6C13671A"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30.8 (6.4, 52.7)</w:t>
            </w:r>
          </w:p>
        </w:tc>
      </w:tr>
      <w:tr w:rsidR="00557C61" w:rsidRPr="004E63E9" w14:paraId="4FD7A726" w14:textId="77777777" w:rsidTr="005362D8">
        <w:tc>
          <w:tcPr>
            <w:tcW w:w="2225" w:type="dxa"/>
            <w:hideMark/>
          </w:tcPr>
          <w:p w14:paraId="7A205B87" w14:textId="77777777" w:rsidR="00557C61" w:rsidRPr="004E63E9" w:rsidRDefault="00557C61" w:rsidP="005362D8">
            <w:pPr>
              <w:spacing w:before="20" w:after="20"/>
              <w:rPr>
                <w:b/>
                <w:sz w:val="18"/>
                <w:szCs w:val="18"/>
              </w:rPr>
            </w:pPr>
            <w:r w:rsidRPr="004E63E9">
              <w:rPr>
                <w:b/>
                <w:sz w:val="18"/>
                <w:szCs w:val="18"/>
              </w:rPr>
              <w:t>Age</w:t>
            </w:r>
          </w:p>
        </w:tc>
        <w:tc>
          <w:tcPr>
            <w:tcW w:w="577" w:type="dxa"/>
          </w:tcPr>
          <w:p w14:paraId="46644560" w14:textId="77777777" w:rsidR="00557C61" w:rsidRPr="004E63E9" w:rsidRDefault="00557C61" w:rsidP="005362D8">
            <w:pPr>
              <w:pStyle w:val="Text"/>
              <w:jc w:val="center"/>
              <w:rPr>
                <w:rFonts w:asciiTheme="minorHAnsi" w:hAnsiTheme="minorHAnsi"/>
                <w:sz w:val="18"/>
                <w:szCs w:val="18"/>
                <w:lang w:val="en-AU"/>
              </w:rPr>
            </w:pPr>
          </w:p>
        </w:tc>
        <w:tc>
          <w:tcPr>
            <w:tcW w:w="1558" w:type="dxa"/>
          </w:tcPr>
          <w:p w14:paraId="0FC64D1E" w14:textId="77777777" w:rsidR="00557C61" w:rsidRPr="004E63E9" w:rsidRDefault="00557C61" w:rsidP="005362D8">
            <w:pPr>
              <w:pStyle w:val="Text"/>
              <w:jc w:val="center"/>
              <w:rPr>
                <w:rFonts w:asciiTheme="minorHAnsi" w:hAnsiTheme="minorHAnsi"/>
                <w:sz w:val="18"/>
                <w:szCs w:val="18"/>
                <w:lang w:val="en-AU"/>
              </w:rPr>
            </w:pPr>
          </w:p>
        </w:tc>
        <w:tc>
          <w:tcPr>
            <w:tcW w:w="567" w:type="dxa"/>
          </w:tcPr>
          <w:p w14:paraId="45893830" w14:textId="77777777" w:rsidR="00557C61" w:rsidRPr="004E63E9" w:rsidRDefault="00557C61" w:rsidP="005362D8">
            <w:pPr>
              <w:pStyle w:val="Text"/>
              <w:jc w:val="center"/>
              <w:rPr>
                <w:rFonts w:asciiTheme="minorHAnsi" w:hAnsiTheme="minorHAnsi"/>
                <w:sz w:val="18"/>
                <w:szCs w:val="18"/>
                <w:lang w:val="en-AU"/>
              </w:rPr>
            </w:pPr>
          </w:p>
        </w:tc>
        <w:tc>
          <w:tcPr>
            <w:tcW w:w="1558" w:type="dxa"/>
          </w:tcPr>
          <w:p w14:paraId="3C3D5D6F" w14:textId="77777777" w:rsidR="00557C61" w:rsidRPr="004E63E9" w:rsidRDefault="00557C61" w:rsidP="005362D8">
            <w:pPr>
              <w:pStyle w:val="Text"/>
              <w:jc w:val="center"/>
              <w:rPr>
                <w:rFonts w:asciiTheme="minorHAnsi" w:hAnsiTheme="minorHAnsi"/>
                <w:sz w:val="18"/>
                <w:szCs w:val="18"/>
                <w:lang w:val="en-AU"/>
              </w:rPr>
            </w:pPr>
          </w:p>
        </w:tc>
        <w:tc>
          <w:tcPr>
            <w:tcW w:w="2125" w:type="dxa"/>
          </w:tcPr>
          <w:p w14:paraId="1936368E" w14:textId="77777777" w:rsidR="00557C61" w:rsidRPr="004E63E9" w:rsidRDefault="00557C61" w:rsidP="005362D8">
            <w:pPr>
              <w:pStyle w:val="Text"/>
              <w:jc w:val="center"/>
              <w:rPr>
                <w:rFonts w:asciiTheme="minorHAnsi" w:hAnsiTheme="minorHAnsi"/>
                <w:sz w:val="18"/>
                <w:szCs w:val="18"/>
                <w:lang w:val="en-AU"/>
              </w:rPr>
            </w:pPr>
          </w:p>
        </w:tc>
      </w:tr>
      <w:tr w:rsidR="00557C61" w:rsidRPr="004E63E9" w14:paraId="265EA943" w14:textId="77777777" w:rsidTr="005362D8">
        <w:tc>
          <w:tcPr>
            <w:tcW w:w="2225" w:type="dxa"/>
            <w:hideMark/>
          </w:tcPr>
          <w:p w14:paraId="1F34342C" w14:textId="77777777" w:rsidR="00557C61" w:rsidRPr="004E63E9" w:rsidRDefault="00557C61" w:rsidP="005362D8">
            <w:pPr>
              <w:pStyle w:val="Text"/>
              <w:ind w:left="284"/>
              <w:rPr>
                <w:rFonts w:asciiTheme="minorHAnsi" w:hAnsiTheme="minorHAnsi"/>
                <w:sz w:val="18"/>
                <w:szCs w:val="18"/>
                <w:lang w:val="en-AU"/>
              </w:rPr>
            </w:pPr>
            <w:r w:rsidRPr="004E63E9">
              <w:rPr>
                <w:rFonts w:asciiTheme="minorHAnsi" w:hAnsiTheme="minorHAnsi"/>
                <w:sz w:val="18"/>
                <w:szCs w:val="18"/>
                <w:lang w:val="en-AU"/>
              </w:rPr>
              <w:t>&lt;30 years</w:t>
            </w:r>
          </w:p>
        </w:tc>
        <w:tc>
          <w:tcPr>
            <w:tcW w:w="577" w:type="dxa"/>
            <w:hideMark/>
          </w:tcPr>
          <w:p w14:paraId="30C24DE2"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35</w:t>
            </w:r>
          </w:p>
        </w:tc>
        <w:tc>
          <w:tcPr>
            <w:tcW w:w="1558" w:type="dxa"/>
            <w:hideMark/>
          </w:tcPr>
          <w:p w14:paraId="29329F09"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45.7</w:t>
            </w:r>
          </w:p>
        </w:tc>
        <w:tc>
          <w:tcPr>
            <w:tcW w:w="567" w:type="dxa"/>
            <w:hideMark/>
          </w:tcPr>
          <w:p w14:paraId="160BDE22"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20</w:t>
            </w:r>
          </w:p>
        </w:tc>
        <w:tc>
          <w:tcPr>
            <w:tcW w:w="1558" w:type="dxa"/>
            <w:hideMark/>
          </w:tcPr>
          <w:p w14:paraId="60558B3A"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0</w:t>
            </w:r>
          </w:p>
        </w:tc>
        <w:tc>
          <w:tcPr>
            <w:tcW w:w="2125" w:type="dxa"/>
            <w:hideMark/>
          </w:tcPr>
          <w:p w14:paraId="4CCB17D8"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45.7 (18.7, 68.5)</w:t>
            </w:r>
          </w:p>
        </w:tc>
      </w:tr>
      <w:tr w:rsidR="00557C61" w:rsidRPr="004E63E9" w14:paraId="69E4DE8E" w14:textId="77777777" w:rsidTr="005362D8">
        <w:tc>
          <w:tcPr>
            <w:tcW w:w="2225" w:type="dxa"/>
            <w:hideMark/>
          </w:tcPr>
          <w:p w14:paraId="1890497B" w14:textId="77777777" w:rsidR="00557C61" w:rsidRPr="004E63E9" w:rsidRDefault="00557C61" w:rsidP="005362D8">
            <w:pPr>
              <w:pStyle w:val="Text"/>
              <w:ind w:left="284"/>
              <w:rPr>
                <w:rFonts w:asciiTheme="minorHAnsi" w:hAnsiTheme="minorHAnsi"/>
                <w:sz w:val="18"/>
                <w:szCs w:val="18"/>
                <w:lang w:val="en-AU"/>
              </w:rPr>
            </w:pPr>
            <w:r w:rsidRPr="004E63E9">
              <w:rPr>
                <w:rFonts w:asciiTheme="minorHAnsi" w:hAnsiTheme="minorHAnsi"/>
                <w:sz w:val="18"/>
                <w:szCs w:val="18"/>
                <w:lang w:val="en-AU"/>
              </w:rPr>
              <w:t>≥30 years</w:t>
            </w:r>
          </w:p>
        </w:tc>
        <w:tc>
          <w:tcPr>
            <w:tcW w:w="577" w:type="dxa"/>
            <w:hideMark/>
          </w:tcPr>
          <w:p w14:paraId="725FBADD"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44</w:t>
            </w:r>
          </w:p>
        </w:tc>
        <w:tc>
          <w:tcPr>
            <w:tcW w:w="1558" w:type="dxa"/>
            <w:hideMark/>
          </w:tcPr>
          <w:p w14:paraId="5D909F8D"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38.6</w:t>
            </w:r>
          </w:p>
        </w:tc>
        <w:tc>
          <w:tcPr>
            <w:tcW w:w="567" w:type="dxa"/>
            <w:hideMark/>
          </w:tcPr>
          <w:p w14:paraId="1045DA63"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19</w:t>
            </w:r>
          </w:p>
        </w:tc>
        <w:tc>
          <w:tcPr>
            <w:tcW w:w="1558" w:type="dxa"/>
            <w:hideMark/>
          </w:tcPr>
          <w:p w14:paraId="62D7CC99"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0</w:t>
            </w:r>
          </w:p>
        </w:tc>
        <w:tc>
          <w:tcPr>
            <w:tcW w:w="2125" w:type="dxa"/>
            <w:hideMark/>
          </w:tcPr>
          <w:p w14:paraId="0BD0F21C"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38.6 (11.9, 61.9)</w:t>
            </w:r>
          </w:p>
        </w:tc>
      </w:tr>
      <w:tr w:rsidR="00557C61" w:rsidRPr="004E63E9" w14:paraId="67F8DBB8" w14:textId="77777777" w:rsidTr="005362D8">
        <w:tc>
          <w:tcPr>
            <w:tcW w:w="2225" w:type="dxa"/>
            <w:hideMark/>
          </w:tcPr>
          <w:p w14:paraId="0C3AEB3F" w14:textId="77777777" w:rsidR="00557C61" w:rsidRPr="004E63E9" w:rsidRDefault="00557C61" w:rsidP="005362D8">
            <w:pPr>
              <w:spacing w:before="20" w:after="20"/>
              <w:rPr>
                <w:b/>
                <w:sz w:val="18"/>
                <w:szCs w:val="18"/>
              </w:rPr>
            </w:pPr>
            <w:r w:rsidRPr="004E63E9">
              <w:rPr>
                <w:b/>
                <w:sz w:val="18"/>
                <w:szCs w:val="18"/>
              </w:rPr>
              <w:t>Race</w:t>
            </w:r>
          </w:p>
        </w:tc>
        <w:tc>
          <w:tcPr>
            <w:tcW w:w="577" w:type="dxa"/>
          </w:tcPr>
          <w:p w14:paraId="4B5F7474" w14:textId="77777777" w:rsidR="00557C61" w:rsidRPr="004E63E9" w:rsidRDefault="00557C61" w:rsidP="005362D8">
            <w:pPr>
              <w:pStyle w:val="Text"/>
              <w:jc w:val="center"/>
              <w:rPr>
                <w:rFonts w:asciiTheme="minorHAnsi" w:hAnsiTheme="minorHAnsi"/>
                <w:sz w:val="18"/>
                <w:szCs w:val="18"/>
                <w:lang w:val="en-AU"/>
              </w:rPr>
            </w:pPr>
          </w:p>
        </w:tc>
        <w:tc>
          <w:tcPr>
            <w:tcW w:w="1558" w:type="dxa"/>
          </w:tcPr>
          <w:p w14:paraId="28035232" w14:textId="77777777" w:rsidR="00557C61" w:rsidRPr="004E63E9" w:rsidRDefault="00557C61" w:rsidP="005362D8">
            <w:pPr>
              <w:pStyle w:val="Text"/>
              <w:jc w:val="center"/>
              <w:rPr>
                <w:rFonts w:asciiTheme="minorHAnsi" w:hAnsiTheme="minorHAnsi"/>
                <w:sz w:val="18"/>
                <w:szCs w:val="18"/>
                <w:lang w:val="en-AU"/>
              </w:rPr>
            </w:pPr>
          </w:p>
        </w:tc>
        <w:tc>
          <w:tcPr>
            <w:tcW w:w="567" w:type="dxa"/>
          </w:tcPr>
          <w:p w14:paraId="227509A7" w14:textId="77777777" w:rsidR="00557C61" w:rsidRPr="004E63E9" w:rsidRDefault="00557C61" w:rsidP="005362D8">
            <w:pPr>
              <w:pStyle w:val="Text"/>
              <w:jc w:val="center"/>
              <w:rPr>
                <w:rFonts w:asciiTheme="minorHAnsi" w:hAnsiTheme="minorHAnsi"/>
                <w:sz w:val="18"/>
                <w:szCs w:val="18"/>
                <w:lang w:val="en-AU"/>
              </w:rPr>
            </w:pPr>
          </w:p>
        </w:tc>
        <w:tc>
          <w:tcPr>
            <w:tcW w:w="1558" w:type="dxa"/>
          </w:tcPr>
          <w:p w14:paraId="7F001C10" w14:textId="77777777" w:rsidR="00557C61" w:rsidRPr="004E63E9" w:rsidRDefault="00557C61" w:rsidP="005362D8">
            <w:pPr>
              <w:pStyle w:val="Text"/>
              <w:jc w:val="center"/>
              <w:rPr>
                <w:rFonts w:asciiTheme="minorHAnsi" w:hAnsiTheme="minorHAnsi"/>
                <w:sz w:val="18"/>
                <w:szCs w:val="18"/>
                <w:lang w:val="en-AU"/>
              </w:rPr>
            </w:pPr>
          </w:p>
        </w:tc>
        <w:tc>
          <w:tcPr>
            <w:tcW w:w="2125" w:type="dxa"/>
          </w:tcPr>
          <w:p w14:paraId="42418E32" w14:textId="77777777" w:rsidR="00557C61" w:rsidRPr="004E63E9" w:rsidRDefault="00557C61" w:rsidP="005362D8">
            <w:pPr>
              <w:pStyle w:val="Text"/>
              <w:jc w:val="center"/>
              <w:rPr>
                <w:rFonts w:asciiTheme="minorHAnsi" w:hAnsiTheme="minorHAnsi"/>
                <w:sz w:val="18"/>
                <w:szCs w:val="18"/>
                <w:lang w:val="en-AU"/>
              </w:rPr>
            </w:pPr>
          </w:p>
        </w:tc>
      </w:tr>
      <w:tr w:rsidR="00557C61" w:rsidRPr="004E63E9" w14:paraId="515D3153" w14:textId="77777777" w:rsidTr="005362D8">
        <w:tc>
          <w:tcPr>
            <w:tcW w:w="2225" w:type="dxa"/>
            <w:hideMark/>
          </w:tcPr>
          <w:p w14:paraId="51120D97" w14:textId="77777777" w:rsidR="00557C61" w:rsidRPr="004E63E9" w:rsidRDefault="00557C61" w:rsidP="005362D8">
            <w:pPr>
              <w:pStyle w:val="Text"/>
              <w:ind w:left="284"/>
              <w:rPr>
                <w:rFonts w:asciiTheme="minorHAnsi" w:hAnsiTheme="minorHAnsi"/>
                <w:sz w:val="18"/>
                <w:szCs w:val="18"/>
                <w:lang w:val="en-AU"/>
              </w:rPr>
            </w:pPr>
            <w:r w:rsidRPr="004E63E9">
              <w:rPr>
                <w:rFonts w:asciiTheme="minorHAnsi" w:hAnsiTheme="minorHAnsi"/>
                <w:sz w:val="18"/>
                <w:szCs w:val="18"/>
                <w:lang w:val="en-AU"/>
              </w:rPr>
              <w:t>Caucasian</w:t>
            </w:r>
          </w:p>
        </w:tc>
        <w:tc>
          <w:tcPr>
            <w:tcW w:w="577" w:type="dxa"/>
            <w:hideMark/>
          </w:tcPr>
          <w:p w14:paraId="3CA03B56"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71</w:t>
            </w:r>
          </w:p>
        </w:tc>
        <w:tc>
          <w:tcPr>
            <w:tcW w:w="1558" w:type="dxa"/>
            <w:hideMark/>
          </w:tcPr>
          <w:p w14:paraId="6A113824"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42.3</w:t>
            </w:r>
          </w:p>
        </w:tc>
        <w:tc>
          <w:tcPr>
            <w:tcW w:w="567" w:type="dxa"/>
            <w:hideMark/>
          </w:tcPr>
          <w:p w14:paraId="31A3BE7B"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34</w:t>
            </w:r>
          </w:p>
        </w:tc>
        <w:tc>
          <w:tcPr>
            <w:tcW w:w="1558" w:type="dxa"/>
            <w:hideMark/>
          </w:tcPr>
          <w:p w14:paraId="71CF42C2"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0</w:t>
            </w:r>
          </w:p>
        </w:tc>
        <w:tc>
          <w:tcPr>
            <w:tcW w:w="2125" w:type="dxa"/>
            <w:hideMark/>
          </w:tcPr>
          <w:p w14:paraId="3740F0A8"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42.3 (22.1, 60.0)</w:t>
            </w:r>
          </w:p>
        </w:tc>
      </w:tr>
      <w:tr w:rsidR="00557C61" w:rsidRPr="004E63E9" w14:paraId="36B013DA" w14:textId="77777777" w:rsidTr="005362D8">
        <w:tc>
          <w:tcPr>
            <w:tcW w:w="2225" w:type="dxa"/>
            <w:tcBorders>
              <w:top w:val="nil"/>
              <w:left w:val="nil"/>
              <w:bottom w:val="single" w:sz="4" w:space="0" w:color="auto"/>
              <w:right w:val="nil"/>
            </w:tcBorders>
            <w:hideMark/>
          </w:tcPr>
          <w:p w14:paraId="7F3A2440" w14:textId="77777777" w:rsidR="00557C61" w:rsidRPr="004E63E9" w:rsidRDefault="00557C61" w:rsidP="005362D8">
            <w:pPr>
              <w:pStyle w:val="Text"/>
              <w:ind w:left="284"/>
              <w:rPr>
                <w:rFonts w:asciiTheme="minorHAnsi" w:hAnsiTheme="minorHAnsi"/>
                <w:sz w:val="18"/>
                <w:szCs w:val="18"/>
                <w:lang w:val="en-AU"/>
              </w:rPr>
            </w:pPr>
            <w:r w:rsidRPr="004E63E9">
              <w:rPr>
                <w:rFonts w:asciiTheme="minorHAnsi" w:hAnsiTheme="minorHAnsi"/>
                <w:sz w:val="18"/>
                <w:szCs w:val="18"/>
                <w:lang w:val="en-AU"/>
              </w:rPr>
              <w:t>Non-Caucasian</w:t>
            </w:r>
          </w:p>
        </w:tc>
        <w:tc>
          <w:tcPr>
            <w:tcW w:w="577" w:type="dxa"/>
            <w:tcBorders>
              <w:top w:val="nil"/>
              <w:left w:val="nil"/>
              <w:bottom w:val="single" w:sz="4" w:space="0" w:color="auto"/>
              <w:right w:val="nil"/>
            </w:tcBorders>
            <w:hideMark/>
          </w:tcPr>
          <w:p w14:paraId="748DA90D"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8</w:t>
            </w:r>
          </w:p>
        </w:tc>
        <w:tc>
          <w:tcPr>
            <w:tcW w:w="1558" w:type="dxa"/>
            <w:tcBorders>
              <w:top w:val="nil"/>
              <w:left w:val="nil"/>
              <w:bottom w:val="single" w:sz="4" w:space="0" w:color="auto"/>
              <w:right w:val="nil"/>
            </w:tcBorders>
            <w:hideMark/>
          </w:tcPr>
          <w:p w14:paraId="799B5706"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37.5</w:t>
            </w:r>
          </w:p>
        </w:tc>
        <w:tc>
          <w:tcPr>
            <w:tcW w:w="567" w:type="dxa"/>
            <w:tcBorders>
              <w:top w:val="nil"/>
              <w:left w:val="nil"/>
              <w:bottom w:val="single" w:sz="4" w:space="0" w:color="auto"/>
              <w:right w:val="nil"/>
            </w:tcBorders>
            <w:hideMark/>
          </w:tcPr>
          <w:p w14:paraId="57667265"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5</w:t>
            </w:r>
          </w:p>
        </w:tc>
        <w:tc>
          <w:tcPr>
            <w:tcW w:w="1558" w:type="dxa"/>
            <w:tcBorders>
              <w:top w:val="nil"/>
              <w:left w:val="nil"/>
              <w:bottom w:val="single" w:sz="4" w:space="0" w:color="auto"/>
              <w:right w:val="nil"/>
            </w:tcBorders>
            <w:hideMark/>
          </w:tcPr>
          <w:p w14:paraId="103F7837"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0</w:t>
            </w:r>
          </w:p>
        </w:tc>
        <w:tc>
          <w:tcPr>
            <w:tcW w:w="2125" w:type="dxa"/>
            <w:tcBorders>
              <w:top w:val="nil"/>
              <w:left w:val="nil"/>
              <w:bottom w:val="single" w:sz="4" w:space="0" w:color="auto"/>
              <w:right w:val="nil"/>
            </w:tcBorders>
            <w:hideMark/>
          </w:tcPr>
          <w:p w14:paraId="6DF3A28E" w14:textId="77777777" w:rsidR="00557C61" w:rsidRPr="004E63E9" w:rsidRDefault="00557C61" w:rsidP="005362D8">
            <w:pPr>
              <w:pStyle w:val="Text"/>
              <w:jc w:val="center"/>
              <w:rPr>
                <w:rFonts w:asciiTheme="minorHAnsi" w:hAnsiTheme="minorHAnsi"/>
                <w:sz w:val="18"/>
                <w:szCs w:val="18"/>
                <w:lang w:val="en-AU"/>
              </w:rPr>
            </w:pPr>
            <w:r w:rsidRPr="004E63E9">
              <w:rPr>
                <w:rFonts w:asciiTheme="minorHAnsi" w:hAnsiTheme="minorHAnsi"/>
                <w:sz w:val="18"/>
                <w:szCs w:val="18"/>
                <w:lang w:val="en-AU"/>
              </w:rPr>
              <w:t>37.5 (-19.4, 79.0)</w:t>
            </w:r>
          </w:p>
        </w:tc>
      </w:tr>
    </w:tbl>
    <w:p w14:paraId="1BF66C30" w14:textId="77777777" w:rsidR="00557C61" w:rsidRDefault="00557C61" w:rsidP="00557C61">
      <w:pPr>
        <w:rPr>
          <w:lang w:val="en-GB"/>
        </w:rPr>
      </w:pPr>
    </w:p>
    <w:p w14:paraId="57A126AE" w14:textId="03D71419" w:rsidR="00557C61" w:rsidRPr="0022140F" w:rsidRDefault="00557C61" w:rsidP="00557C61">
      <w:pPr>
        <w:rPr>
          <w:lang w:val="en-GB"/>
        </w:rPr>
      </w:pPr>
      <w:r w:rsidRPr="0022140F">
        <w:rPr>
          <w:lang w:val="en-GB"/>
        </w:rPr>
        <w:t xml:space="preserve">The waterfall plots provide a graphical representation of the reduction in </w:t>
      </w:r>
      <w:proofErr w:type="spellStart"/>
      <w:r w:rsidRPr="0022140F">
        <w:rPr>
          <w:lang w:val="en-GB"/>
        </w:rPr>
        <w:t>angiomyolipoma</w:t>
      </w:r>
      <w:proofErr w:type="spellEnd"/>
      <w:r w:rsidRPr="0022140F">
        <w:rPr>
          <w:lang w:val="en-GB"/>
        </w:rPr>
        <w:t xml:space="preserve"> volume (</w:t>
      </w:r>
      <w:r w:rsidRPr="0022140F">
        <w:rPr>
          <w:lang w:val="en-GB"/>
        </w:rPr>
        <w:fldChar w:fldCharType="begin"/>
      </w:r>
      <w:r w:rsidRPr="0022140F">
        <w:rPr>
          <w:lang w:val="en-GB"/>
        </w:rPr>
        <w:instrText xml:space="preserve"> REF _Ref491096441 \h  \* MERGEFORMAT </w:instrText>
      </w:r>
      <w:r w:rsidRPr="0022140F">
        <w:rPr>
          <w:lang w:val="en-GB"/>
        </w:rPr>
      </w:r>
      <w:r w:rsidRPr="0022140F">
        <w:rPr>
          <w:lang w:val="en-GB"/>
        </w:rPr>
        <w:fldChar w:fldCharType="separate"/>
      </w:r>
      <w:r w:rsidR="00D64407" w:rsidRPr="00D64407">
        <w:rPr>
          <w:lang w:val="en-GB"/>
        </w:rPr>
        <w:t>Figure 11</w:t>
      </w:r>
      <w:r w:rsidRPr="0022140F">
        <w:rPr>
          <w:lang w:val="en-GB"/>
        </w:rPr>
        <w:fldChar w:fldCharType="end"/>
      </w:r>
      <w:r w:rsidRPr="0022140F">
        <w:rPr>
          <w:lang w:val="en-GB"/>
        </w:rPr>
        <w:t xml:space="preserve">) at primary analysis; 95.5% of patients in the </w:t>
      </w:r>
      <w:proofErr w:type="spellStart"/>
      <w:r w:rsidRPr="0022140F">
        <w:rPr>
          <w:lang w:val="en-GB"/>
        </w:rPr>
        <w:t>Afinitor</w:t>
      </w:r>
      <w:proofErr w:type="spellEnd"/>
      <w:r w:rsidRPr="0022140F">
        <w:rPr>
          <w:lang w:val="en-GB"/>
        </w:rPr>
        <w:t xml:space="preserve"> arm experienced </w:t>
      </w:r>
      <w:proofErr w:type="spellStart"/>
      <w:r w:rsidRPr="0022140F">
        <w:rPr>
          <w:lang w:val="en-GB"/>
        </w:rPr>
        <w:t>angiomyolipoma</w:t>
      </w:r>
      <w:proofErr w:type="spellEnd"/>
      <w:r w:rsidRPr="0022140F">
        <w:rPr>
          <w:lang w:val="en-GB"/>
        </w:rPr>
        <w:t xml:space="preserve"> shrinkage versus 59.4% in the placebo arm.</w:t>
      </w:r>
    </w:p>
    <w:p w14:paraId="5C55D8B8" w14:textId="77777777" w:rsidR="00557C61" w:rsidRPr="0022140F" w:rsidRDefault="00557C61" w:rsidP="00557C61">
      <w:pPr>
        <w:pStyle w:val="Caption"/>
        <w:keepNext/>
        <w:ind w:left="1440" w:hanging="1440"/>
        <w:rPr>
          <w:rFonts w:asciiTheme="minorHAnsi" w:hAnsiTheme="minorHAnsi"/>
        </w:rPr>
      </w:pPr>
      <w:bookmarkStart w:id="46" w:name="_316155941Figure_114529Waterfall_p"/>
      <w:bookmarkStart w:id="47" w:name="_315155941Figure_114529Waterfall_p"/>
      <w:bookmarkStart w:id="48" w:name="_314155941Figure_114529Waterfall_p"/>
      <w:bookmarkStart w:id="49" w:name="_319155941Figure_114529Waterfall_p"/>
      <w:bookmarkStart w:id="50" w:name="_320155941Figure_114529Waterfall_p"/>
      <w:bookmarkStart w:id="51" w:name="_Ref491096441"/>
      <w:bookmarkEnd w:id="46"/>
      <w:bookmarkEnd w:id="47"/>
      <w:bookmarkEnd w:id="48"/>
      <w:bookmarkEnd w:id="49"/>
      <w:bookmarkEnd w:id="50"/>
      <w:r w:rsidRPr="0022140F">
        <w:rPr>
          <w:rFonts w:asciiTheme="minorHAnsi" w:hAnsiTheme="minorHAnsi"/>
        </w:rPr>
        <w:t xml:space="preserve">Figure </w:t>
      </w:r>
      <w:r w:rsidRPr="0022140F">
        <w:rPr>
          <w:rFonts w:asciiTheme="minorHAnsi" w:hAnsiTheme="minorHAnsi"/>
        </w:rPr>
        <w:fldChar w:fldCharType="begin"/>
      </w:r>
      <w:r w:rsidRPr="0022140F">
        <w:rPr>
          <w:rFonts w:asciiTheme="minorHAnsi" w:hAnsiTheme="minorHAnsi"/>
        </w:rPr>
        <w:instrText xml:space="preserve"> SEQ Figure \* ARABIC </w:instrText>
      </w:r>
      <w:r w:rsidRPr="0022140F">
        <w:rPr>
          <w:rFonts w:asciiTheme="minorHAnsi" w:hAnsiTheme="minorHAnsi"/>
        </w:rPr>
        <w:fldChar w:fldCharType="separate"/>
      </w:r>
      <w:r w:rsidR="00D64407">
        <w:rPr>
          <w:rFonts w:asciiTheme="minorHAnsi" w:hAnsiTheme="minorHAnsi"/>
          <w:noProof/>
        </w:rPr>
        <w:t>11</w:t>
      </w:r>
      <w:r w:rsidRPr="0022140F">
        <w:rPr>
          <w:rFonts w:asciiTheme="minorHAnsi" w:hAnsiTheme="minorHAnsi"/>
        </w:rPr>
        <w:fldChar w:fldCharType="end"/>
      </w:r>
      <w:bookmarkEnd w:id="51"/>
      <w:r w:rsidRPr="0022140F">
        <w:rPr>
          <w:rFonts w:asciiTheme="minorHAnsi" w:hAnsiTheme="minorHAnsi"/>
        </w:rPr>
        <w:t xml:space="preserve"> </w:t>
      </w:r>
      <w:r w:rsidRPr="0022140F">
        <w:rPr>
          <w:rFonts w:asciiTheme="minorHAnsi" w:hAnsiTheme="minorHAnsi"/>
        </w:rPr>
        <w:tab/>
        <w:t xml:space="preserve">EXIST-2 - </w:t>
      </w:r>
      <w:proofErr w:type="spellStart"/>
      <w:r w:rsidRPr="0022140F">
        <w:rPr>
          <w:rFonts w:asciiTheme="minorHAnsi" w:hAnsiTheme="minorHAnsi"/>
        </w:rPr>
        <w:t>Angiomyolipoma</w:t>
      </w:r>
      <w:proofErr w:type="spellEnd"/>
      <w:r w:rsidRPr="0022140F">
        <w:rPr>
          <w:rFonts w:asciiTheme="minorHAnsi" w:hAnsiTheme="minorHAnsi"/>
        </w:rPr>
        <w:t xml:space="preserve"> shrinkage: best percentage change from baseline at primary analysis</w:t>
      </w:r>
      <w:r w:rsidRPr="0022140F">
        <w:rPr>
          <w:rFonts w:asciiTheme="minorHAnsi" w:hAnsiTheme="minorHAnsi"/>
          <w:vertAlign w:val="superscript"/>
        </w:rPr>
        <w:t>1,2</w:t>
      </w:r>
    </w:p>
    <w:p w14:paraId="6468002E" w14:textId="77777777" w:rsidR="00557C61" w:rsidRPr="0022140F" w:rsidRDefault="00557C61" w:rsidP="00557C61">
      <w:pPr>
        <w:pStyle w:val="Text"/>
        <w:rPr>
          <w:rFonts w:asciiTheme="minorHAnsi" w:hAnsiTheme="minorHAnsi"/>
        </w:rPr>
      </w:pPr>
      <w:r w:rsidRPr="0022140F">
        <w:rPr>
          <w:rFonts w:asciiTheme="minorHAnsi" w:hAnsiTheme="minorHAnsi"/>
          <w:noProof/>
          <w:lang w:val="en-AU" w:eastAsia="en-AU"/>
        </w:rPr>
        <w:drawing>
          <wp:inline distT="0" distB="0" distL="0" distR="0" wp14:anchorId="4D1EF844" wp14:editId="38271A27">
            <wp:extent cx="5762625" cy="2238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238375"/>
                    </a:xfrm>
                    <a:prstGeom prst="rect">
                      <a:avLst/>
                    </a:prstGeom>
                    <a:noFill/>
                    <a:ln>
                      <a:noFill/>
                    </a:ln>
                  </pic:spPr>
                </pic:pic>
              </a:graphicData>
            </a:graphic>
          </wp:inline>
        </w:drawing>
      </w:r>
    </w:p>
    <w:p w14:paraId="04DBCFCA" w14:textId="77777777" w:rsidR="00557C61" w:rsidRPr="0022140F" w:rsidRDefault="00557C61" w:rsidP="00557C61">
      <w:pPr>
        <w:pStyle w:val="Legend"/>
        <w:rPr>
          <w:rFonts w:asciiTheme="minorHAnsi" w:eastAsia="Times New Roman" w:hAnsiTheme="minorHAnsi"/>
          <w:sz w:val="22"/>
          <w:szCs w:val="22"/>
        </w:rPr>
      </w:pPr>
      <w:r w:rsidRPr="0022140F">
        <w:rPr>
          <w:rFonts w:asciiTheme="minorHAnsi" w:eastAsia="Times New Roman" w:hAnsiTheme="minorHAnsi"/>
          <w:sz w:val="22"/>
          <w:szCs w:val="22"/>
          <w:vertAlign w:val="superscript"/>
        </w:rPr>
        <w:t>1</w:t>
      </w:r>
      <w:r w:rsidRPr="0022140F">
        <w:rPr>
          <w:rFonts w:asciiTheme="minorHAnsi" w:eastAsia="Times New Roman" w:hAnsiTheme="minorHAnsi"/>
          <w:sz w:val="22"/>
          <w:szCs w:val="22"/>
        </w:rPr>
        <w:t xml:space="preserve"> Per independent central radiology review</w:t>
      </w:r>
    </w:p>
    <w:p w14:paraId="7FBF1B25" w14:textId="77777777" w:rsidR="00557C61" w:rsidRPr="0022140F" w:rsidRDefault="00557C61" w:rsidP="00557C61">
      <w:pPr>
        <w:pStyle w:val="Legend"/>
        <w:rPr>
          <w:rFonts w:asciiTheme="minorHAnsi" w:eastAsia="Times New Roman" w:hAnsiTheme="minorHAnsi"/>
          <w:sz w:val="22"/>
          <w:szCs w:val="22"/>
        </w:rPr>
      </w:pPr>
      <w:r w:rsidRPr="0022140F">
        <w:rPr>
          <w:rFonts w:asciiTheme="minorHAnsi" w:eastAsia="Times New Roman" w:hAnsiTheme="minorHAnsi"/>
          <w:sz w:val="22"/>
          <w:szCs w:val="22"/>
          <w:vertAlign w:val="superscript"/>
        </w:rPr>
        <w:t>2</w:t>
      </w:r>
      <w:r w:rsidRPr="0022140F">
        <w:rPr>
          <w:rFonts w:asciiTheme="minorHAnsi" w:eastAsia="Times New Roman" w:hAnsiTheme="minorHAnsi"/>
          <w:sz w:val="22"/>
          <w:szCs w:val="22"/>
        </w:rPr>
        <w:t xml:space="preserve"> Patients for whom the best % change in sum of volumes of target </w:t>
      </w:r>
      <w:proofErr w:type="spellStart"/>
      <w:r w:rsidRPr="0022140F">
        <w:rPr>
          <w:rFonts w:asciiTheme="minorHAnsi" w:eastAsia="Times New Roman" w:hAnsiTheme="minorHAnsi"/>
          <w:sz w:val="22"/>
          <w:szCs w:val="22"/>
        </w:rPr>
        <w:t>angiomyolipoma</w:t>
      </w:r>
      <w:proofErr w:type="spellEnd"/>
      <w:r w:rsidRPr="0022140F">
        <w:rPr>
          <w:rFonts w:asciiTheme="minorHAnsi" w:eastAsia="Times New Roman" w:hAnsiTheme="minorHAnsi"/>
          <w:sz w:val="22"/>
          <w:szCs w:val="22"/>
        </w:rPr>
        <w:t xml:space="preserve"> lesions was not available and patients with overall </w:t>
      </w:r>
      <w:proofErr w:type="spellStart"/>
      <w:r w:rsidRPr="0022140F">
        <w:rPr>
          <w:rFonts w:asciiTheme="minorHAnsi" w:eastAsia="Times New Roman" w:hAnsiTheme="minorHAnsi"/>
          <w:sz w:val="22"/>
          <w:szCs w:val="22"/>
        </w:rPr>
        <w:t>angiomyolipoma</w:t>
      </w:r>
      <w:proofErr w:type="spellEnd"/>
      <w:r w:rsidRPr="0022140F">
        <w:rPr>
          <w:rFonts w:asciiTheme="minorHAnsi" w:eastAsia="Times New Roman" w:hAnsiTheme="minorHAnsi"/>
          <w:sz w:val="22"/>
          <w:szCs w:val="22"/>
        </w:rPr>
        <w:t xml:space="preserve"> response = Not evaluable were excluded from the graph.</w:t>
      </w:r>
    </w:p>
    <w:p w14:paraId="6181656F" w14:textId="77777777" w:rsidR="00557C61" w:rsidRPr="0022140F" w:rsidRDefault="00557C61" w:rsidP="00557C61">
      <w:pPr>
        <w:tabs>
          <w:tab w:val="left" w:pos="567"/>
        </w:tabs>
        <w:spacing w:line="320" w:lineRule="atLeast"/>
        <w:rPr>
          <w:sz w:val="24"/>
          <w:lang w:val="en-GB"/>
        </w:rPr>
      </w:pPr>
    </w:p>
    <w:p w14:paraId="3C1D2B11" w14:textId="77777777" w:rsidR="00557C61" w:rsidRPr="0022140F" w:rsidRDefault="00557C61" w:rsidP="00557C61">
      <w:pPr>
        <w:rPr>
          <w:lang w:val="en-GB"/>
        </w:rPr>
      </w:pPr>
      <w:r w:rsidRPr="0022140F">
        <w:rPr>
          <w:lang w:val="en-GB"/>
        </w:rPr>
        <w:lastRenderedPageBreak/>
        <w:t xml:space="preserve">In the final analysis, reduction in </w:t>
      </w:r>
      <w:proofErr w:type="spellStart"/>
      <w:r w:rsidRPr="0022140F">
        <w:rPr>
          <w:lang w:val="en-GB"/>
        </w:rPr>
        <w:t>angiomyolipoma</w:t>
      </w:r>
      <w:proofErr w:type="spellEnd"/>
      <w:r w:rsidRPr="0022140F">
        <w:rPr>
          <w:lang w:val="en-GB"/>
        </w:rPr>
        <w:t xml:space="preserve"> volume improved with longer term treatment with </w:t>
      </w:r>
      <w:proofErr w:type="spellStart"/>
      <w:r w:rsidRPr="0022140F">
        <w:rPr>
          <w:lang w:val="en-GB"/>
        </w:rPr>
        <w:t>Afinitor</w:t>
      </w:r>
      <w:proofErr w:type="spellEnd"/>
      <w:r w:rsidRPr="0022140F">
        <w:rPr>
          <w:lang w:val="en-GB"/>
        </w:rPr>
        <w:t xml:space="preserve">. </w:t>
      </w:r>
      <w:r w:rsidRPr="0022140F">
        <w:t xml:space="preserve">At weeks 12, 96 and 192, ≥30% reductions in volume were observed in 75.0% (78/104), 80.6% (79/98) and 85.2% (52/61) of the treated patients, respectively. Similarly, at the same </w:t>
      </w:r>
      <w:proofErr w:type="spellStart"/>
      <w:r w:rsidRPr="0022140F">
        <w:t>timepoints</w:t>
      </w:r>
      <w:proofErr w:type="spellEnd"/>
      <w:r w:rsidRPr="0022140F">
        <w:t>, ≥50% reductions in volume were observed in 44.2% (46/104), 63.3% (62/98) and 68.9% (42/61) of the treated patients, respectively.</w:t>
      </w:r>
    </w:p>
    <w:p w14:paraId="4609F98D" w14:textId="4BEA1C9E" w:rsidR="00557C61" w:rsidRPr="0022140F" w:rsidRDefault="00557C61" w:rsidP="00557C61">
      <w:pPr>
        <w:rPr>
          <w:lang w:val="en-GB"/>
        </w:rPr>
      </w:pPr>
      <w:proofErr w:type="spellStart"/>
      <w:r w:rsidRPr="0022140F">
        <w:rPr>
          <w:lang w:val="en-GB"/>
        </w:rPr>
        <w:t>Afinitor</w:t>
      </w:r>
      <w:proofErr w:type="spellEnd"/>
      <w:r w:rsidRPr="0022140F">
        <w:rPr>
          <w:lang w:val="en-GB"/>
        </w:rPr>
        <w:t xml:space="preserve"> was associated with a clinically relevant and statistically significant prolongation in time to </w:t>
      </w:r>
      <w:proofErr w:type="spellStart"/>
      <w:r w:rsidRPr="0022140F">
        <w:rPr>
          <w:lang w:val="en-GB"/>
        </w:rPr>
        <w:t>angiomyolipoma</w:t>
      </w:r>
      <w:proofErr w:type="spellEnd"/>
      <w:r w:rsidRPr="0022140F">
        <w:rPr>
          <w:lang w:val="en-GB"/>
        </w:rPr>
        <w:t xml:space="preserve"> progression (HR 0.08; 95% CI: 0.02, 0.37; p&lt;0.0001) (</w:t>
      </w:r>
      <w:r w:rsidRPr="0022140F">
        <w:rPr>
          <w:lang w:val="en-GB"/>
        </w:rPr>
        <w:fldChar w:fldCharType="begin"/>
      </w:r>
      <w:r w:rsidRPr="0022140F">
        <w:rPr>
          <w:lang w:val="en-GB"/>
        </w:rPr>
        <w:instrText xml:space="preserve"> REF _Ref491096487 \h  \* MERGEFORMAT </w:instrText>
      </w:r>
      <w:r w:rsidRPr="0022140F">
        <w:rPr>
          <w:lang w:val="en-GB"/>
        </w:rPr>
      </w:r>
      <w:r w:rsidRPr="0022140F">
        <w:rPr>
          <w:lang w:val="en-GB"/>
        </w:rPr>
        <w:fldChar w:fldCharType="separate"/>
      </w:r>
      <w:r w:rsidR="00D64407" w:rsidRPr="00D64407">
        <w:rPr>
          <w:lang w:val="en-GB"/>
        </w:rPr>
        <w:t>Figure 12</w:t>
      </w:r>
      <w:r w:rsidRPr="0022140F">
        <w:rPr>
          <w:lang w:val="en-GB"/>
        </w:rPr>
        <w:fldChar w:fldCharType="end"/>
      </w:r>
      <w:r w:rsidRPr="0022140F">
        <w:rPr>
          <w:lang w:val="en-GB"/>
        </w:rPr>
        <w:t xml:space="preserve">) at the primary analysis. Median time to </w:t>
      </w:r>
      <w:proofErr w:type="spellStart"/>
      <w:r w:rsidRPr="0022140F">
        <w:rPr>
          <w:lang w:val="en-GB"/>
        </w:rPr>
        <w:t>angiomyolipoma</w:t>
      </w:r>
      <w:proofErr w:type="spellEnd"/>
      <w:r w:rsidRPr="0022140F">
        <w:rPr>
          <w:lang w:val="en-GB"/>
        </w:rPr>
        <w:t xml:space="preserve"> progression was 11.4 months in the placebo arm and was not reached in the </w:t>
      </w:r>
      <w:proofErr w:type="spellStart"/>
      <w:r w:rsidRPr="0022140F">
        <w:rPr>
          <w:lang w:val="en-GB"/>
        </w:rPr>
        <w:t>Afinitor</w:t>
      </w:r>
      <w:proofErr w:type="spellEnd"/>
      <w:r w:rsidRPr="0022140F">
        <w:rPr>
          <w:lang w:val="en-GB"/>
        </w:rPr>
        <w:t xml:space="preserve"> arm. Progressions were observed in 3.8% (3/79) of patients in the </w:t>
      </w:r>
      <w:proofErr w:type="spellStart"/>
      <w:r w:rsidRPr="0022140F">
        <w:rPr>
          <w:lang w:val="en-GB"/>
        </w:rPr>
        <w:t>Afinitor</w:t>
      </w:r>
      <w:proofErr w:type="spellEnd"/>
      <w:r w:rsidRPr="0022140F">
        <w:rPr>
          <w:lang w:val="en-GB"/>
        </w:rPr>
        <w:t xml:space="preserve"> arm compared with 20.5% (8/39) in the placebo arm. Estimated progression-free rates at 6 months were 98.4% for the </w:t>
      </w:r>
      <w:proofErr w:type="spellStart"/>
      <w:r w:rsidRPr="0022140F">
        <w:rPr>
          <w:lang w:val="en-GB"/>
        </w:rPr>
        <w:t>Afinitor</w:t>
      </w:r>
      <w:proofErr w:type="spellEnd"/>
      <w:r w:rsidRPr="0022140F">
        <w:rPr>
          <w:lang w:val="en-GB"/>
        </w:rPr>
        <w:t xml:space="preserve"> arm and 83.4% for the placebo arm. </w:t>
      </w:r>
      <w:r w:rsidRPr="0022140F">
        <w:t xml:space="preserve">At the final analysis, median time to </w:t>
      </w:r>
      <w:proofErr w:type="spellStart"/>
      <w:r w:rsidRPr="0022140F">
        <w:t>angiomyolipoma</w:t>
      </w:r>
      <w:proofErr w:type="spellEnd"/>
      <w:r w:rsidRPr="0022140F">
        <w:t xml:space="preserve"> progression was not reached. </w:t>
      </w:r>
      <w:proofErr w:type="spellStart"/>
      <w:r w:rsidRPr="0022140F">
        <w:t>Angiomyolipoma</w:t>
      </w:r>
      <w:proofErr w:type="spellEnd"/>
      <w:r w:rsidRPr="0022140F">
        <w:t xml:space="preserve"> progressions were observed in 14.3% of the patients (16/112). The estimated </w:t>
      </w:r>
      <w:proofErr w:type="spellStart"/>
      <w:r w:rsidRPr="0022140F">
        <w:t>angiomyolipoma</w:t>
      </w:r>
      <w:proofErr w:type="spellEnd"/>
      <w:r w:rsidRPr="0022140F">
        <w:t xml:space="preserve"> progression-free rates at 24 months and 48 months were 91.6% (95% CI: 84.0%, 95.7%) and 83.1% (95% CI: 73.4%, 89.5%) respectively (</w:t>
      </w:r>
      <w:r w:rsidRPr="0022140F">
        <w:fldChar w:fldCharType="begin"/>
      </w:r>
      <w:r w:rsidRPr="0022140F">
        <w:instrText xml:space="preserve"> REF _Ref491096539 \h  \* MERGEFORMAT </w:instrText>
      </w:r>
      <w:r w:rsidRPr="0022140F">
        <w:fldChar w:fldCharType="separate"/>
      </w:r>
      <w:r w:rsidR="00D64407" w:rsidRPr="0022140F">
        <w:t xml:space="preserve">Figure </w:t>
      </w:r>
      <w:r w:rsidR="00D64407">
        <w:t>13</w:t>
      </w:r>
      <w:r w:rsidRPr="0022140F">
        <w:fldChar w:fldCharType="end"/>
      </w:r>
      <w:r w:rsidRPr="0022140F">
        <w:t>).</w:t>
      </w:r>
    </w:p>
    <w:p w14:paraId="07B76FEA" w14:textId="77777777" w:rsidR="00557C61" w:rsidRPr="0022140F" w:rsidRDefault="00557C61" w:rsidP="00557C61">
      <w:pPr>
        <w:pStyle w:val="Caption"/>
        <w:keepNext/>
        <w:ind w:left="1440" w:hanging="1440"/>
        <w:rPr>
          <w:rFonts w:asciiTheme="minorHAnsi" w:hAnsiTheme="minorHAnsi"/>
        </w:rPr>
      </w:pPr>
      <w:bookmarkStart w:id="52" w:name="_Ref491096487"/>
      <w:r w:rsidRPr="0022140F">
        <w:rPr>
          <w:rFonts w:asciiTheme="minorHAnsi" w:hAnsiTheme="minorHAnsi"/>
        </w:rPr>
        <w:t xml:space="preserve">Figure </w:t>
      </w:r>
      <w:r w:rsidRPr="0022140F">
        <w:rPr>
          <w:rFonts w:asciiTheme="minorHAnsi" w:hAnsiTheme="minorHAnsi"/>
        </w:rPr>
        <w:fldChar w:fldCharType="begin"/>
      </w:r>
      <w:r w:rsidRPr="0022140F">
        <w:rPr>
          <w:rFonts w:asciiTheme="minorHAnsi" w:hAnsiTheme="minorHAnsi"/>
        </w:rPr>
        <w:instrText xml:space="preserve"> SEQ Figure \* ARABIC </w:instrText>
      </w:r>
      <w:r w:rsidRPr="0022140F">
        <w:rPr>
          <w:rFonts w:asciiTheme="minorHAnsi" w:hAnsiTheme="minorHAnsi"/>
        </w:rPr>
        <w:fldChar w:fldCharType="separate"/>
      </w:r>
      <w:r w:rsidR="00D64407">
        <w:rPr>
          <w:rFonts w:asciiTheme="minorHAnsi" w:hAnsiTheme="minorHAnsi"/>
          <w:noProof/>
        </w:rPr>
        <w:t>12</w:t>
      </w:r>
      <w:r w:rsidRPr="0022140F">
        <w:rPr>
          <w:rFonts w:asciiTheme="minorHAnsi" w:hAnsiTheme="minorHAnsi"/>
        </w:rPr>
        <w:fldChar w:fldCharType="end"/>
      </w:r>
      <w:bookmarkEnd w:id="52"/>
      <w:r w:rsidRPr="0022140F">
        <w:rPr>
          <w:rFonts w:asciiTheme="minorHAnsi" w:hAnsiTheme="minorHAnsi"/>
        </w:rPr>
        <w:t xml:space="preserve"> </w:t>
      </w:r>
      <w:r w:rsidRPr="0022140F">
        <w:rPr>
          <w:rFonts w:asciiTheme="minorHAnsi" w:hAnsiTheme="minorHAnsi"/>
        </w:rPr>
        <w:tab/>
        <w:t xml:space="preserve">EXIST-2 Kaplan-Meier plot of time to </w:t>
      </w:r>
      <w:proofErr w:type="spellStart"/>
      <w:r w:rsidRPr="0022140F">
        <w:rPr>
          <w:rFonts w:asciiTheme="minorHAnsi" w:hAnsiTheme="minorHAnsi"/>
        </w:rPr>
        <w:t>angiomyolipoma</w:t>
      </w:r>
      <w:proofErr w:type="spellEnd"/>
      <w:r w:rsidRPr="0022140F">
        <w:rPr>
          <w:rFonts w:asciiTheme="minorHAnsi" w:hAnsiTheme="minorHAnsi"/>
        </w:rPr>
        <w:t xml:space="preserve"> progression at primary analysis</w:t>
      </w:r>
      <w:r w:rsidRPr="0022140F">
        <w:rPr>
          <w:rFonts w:asciiTheme="minorHAnsi" w:hAnsiTheme="minorHAnsi"/>
          <w:vertAlign w:val="superscript"/>
        </w:rPr>
        <w:t>1,2</w:t>
      </w:r>
    </w:p>
    <w:p w14:paraId="234D27BF" w14:textId="77777777" w:rsidR="00557C61" w:rsidRPr="0022140F" w:rsidRDefault="00557C61" w:rsidP="00557C61">
      <w:pPr>
        <w:pStyle w:val="Text"/>
        <w:rPr>
          <w:rFonts w:asciiTheme="minorHAnsi" w:hAnsiTheme="minorHAnsi"/>
        </w:rPr>
      </w:pPr>
      <w:r w:rsidRPr="0022140F">
        <w:rPr>
          <w:rFonts w:asciiTheme="minorHAnsi" w:hAnsiTheme="minorHAnsi"/>
          <w:noProof/>
          <w:lang w:val="en-AU" w:eastAsia="en-AU"/>
        </w:rPr>
        <w:drawing>
          <wp:inline distT="0" distB="0" distL="0" distR="0" wp14:anchorId="4F230EA7" wp14:editId="0EF5F742">
            <wp:extent cx="5753100" cy="3076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076575"/>
                    </a:xfrm>
                    <a:prstGeom prst="rect">
                      <a:avLst/>
                    </a:prstGeom>
                    <a:noFill/>
                    <a:ln>
                      <a:noFill/>
                    </a:ln>
                  </pic:spPr>
                </pic:pic>
              </a:graphicData>
            </a:graphic>
          </wp:inline>
        </w:drawing>
      </w:r>
    </w:p>
    <w:p w14:paraId="61FA85A7" w14:textId="77777777" w:rsidR="00557C61" w:rsidRDefault="00557C61" w:rsidP="00557C61">
      <w:pPr>
        <w:rPr>
          <w:sz w:val="18"/>
        </w:rPr>
      </w:pPr>
      <w:r w:rsidRPr="004E63E9">
        <w:rPr>
          <w:sz w:val="18"/>
          <w:vertAlign w:val="superscript"/>
        </w:rPr>
        <w:t xml:space="preserve">1 </w:t>
      </w:r>
      <w:r w:rsidRPr="004E63E9">
        <w:rPr>
          <w:sz w:val="18"/>
        </w:rPr>
        <w:t xml:space="preserve">Per independent central radiology review </w:t>
      </w:r>
    </w:p>
    <w:p w14:paraId="62E64B81" w14:textId="77777777" w:rsidR="00557C61" w:rsidRPr="004E63E9" w:rsidRDefault="00557C61" w:rsidP="00557C61">
      <w:pPr>
        <w:rPr>
          <w:sz w:val="18"/>
        </w:rPr>
      </w:pPr>
      <w:r w:rsidRPr="004E63E9">
        <w:rPr>
          <w:sz w:val="18"/>
          <w:vertAlign w:val="superscript"/>
        </w:rPr>
        <w:t>2</w:t>
      </w:r>
      <w:r w:rsidRPr="004E63E9">
        <w:rPr>
          <w:sz w:val="18"/>
        </w:rPr>
        <w:t xml:space="preserve"> </w:t>
      </w:r>
      <w:proofErr w:type="spellStart"/>
      <w:r w:rsidRPr="004E63E9">
        <w:rPr>
          <w:sz w:val="18"/>
        </w:rPr>
        <w:t>Angiomyolipoma</w:t>
      </w:r>
      <w:proofErr w:type="spellEnd"/>
      <w:r w:rsidRPr="004E63E9">
        <w:rPr>
          <w:sz w:val="18"/>
        </w:rPr>
        <w:t xml:space="preserve"> progression was defined as: ≥ 25% increase in the sum of </w:t>
      </w:r>
      <w:proofErr w:type="spellStart"/>
      <w:r w:rsidRPr="004E63E9">
        <w:rPr>
          <w:sz w:val="18"/>
        </w:rPr>
        <w:t>angiomyolipoma</w:t>
      </w:r>
      <w:proofErr w:type="spellEnd"/>
      <w:r w:rsidRPr="004E63E9">
        <w:rPr>
          <w:sz w:val="18"/>
        </w:rPr>
        <w:t xml:space="preserve"> volume  relative to baseline, or appearance of new </w:t>
      </w:r>
      <w:proofErr w:type="spellStart"/>
      <w:r w:rsidRPr="004E63E9">
        <w:rPr>
          <w:sz w:val="18"/>
        </w:rPr>
        <w:t>angiomyolipoma</w:t>
      </w:r>
      <w:proofErr w:type="spellEnd"/>
      <w:r w:rsidRPr="004E63E9">
        <w:rPr>
          <w:sz w:val="18"/>
        </w:rPr>
        <w:t xml:space="preserve"> ≥ 1.0 cm in longest diameter, or an increase in renal volume &gt; 20% from nadir, or grade ≥ 2 </w:t>
      </w:r>
      <w:proofErr w:type="spellStart"/>
      <w:r w:rsidRPr="004E63E9">
        <w:rPr>
          <w:sz w:val="18"/>
        </w:rPr>
        <w:t>angiomyolipoma</w:t>
      </w:r>
      <w:proofErr w:type="spellEnd"/>
      <w:r w:rsidRPr="004E63E9">
        <w:rPr>
          <w:sz w:val="18"/>
        </w:rPr>
        <w:t>-related bleeding.</w:t>
      </w:r>
    </w:p>
    <w:p w14:paraId="37EB8D06" w14:textId="77777777" w:rsidR="00557C61" w:rsidRPr="0022140F" w:rsidRDefault="00557C61" w:rsidP="00557C61">
      <w:pPr>
        <w:tabs>
          <w:tab w:val="left" w:pos="567"/>
        </w:tabs>
        <w:spacing w:line="320" w:lineRule="atLeast"/>
        <w:rPr>
          <w:sz w:val="24"/>
          <w:lang w:val="en-GB"/>
        </w:rPr>
      </w:pPr>
    </w:p>
    <w:p w14:paraId="628DEE01" w14:textId="77777777" w:rsidR="00557C61" w:rsidRPr="0022140F" w:rsidRDefault="00557C61" w:rsidP="00557C61">
      <w:pPr>
        <w:pStyle w:val="Caption"/>
        <w:keepNext/>
        <w:rPr>
          <w:rFonts w:asciiTheme="minorHAnsi" w:hAnsiTheme="minorHAnsi"/>
        </w:rPr>
      </w:pPr>
      <w:bookmarkStart w:id="53" w:name="_Ref491096539"/>
      <w:r w:rsidRPr="0022140F">
        <w:rPr>
          <w:rFonts w:asciiTheme="minorHAnsi" w:hAnsiTheme="minorHAnsi"/>
        </w:rPr>
        <w:lastRenderedPageBreak/>
        <w:t xml:space="preserve">Figure </w:t>
      </w:r>
      <w:r w:rsidRPr="0022140F">
        <w:rPr>
          <w:rFonts w:asciiTheme="minorHAnsi" w:hAnsiTheme="minorHAnsi"/>
        </w:rPr>
        <w:fldChar w:fldCharType="begin"/>
      </w:r>
      <w:r w:rsidRPr="0022140F">
        <w:rPr>
          <w:rFonts w:asciiTheme="minorHAnsi" w:hAnsiTheme="minorHAnsi"/>
        </w:rPr>
        <w:instrText xml:space="preserve"> SEQ Figure \* ARABIC </w:instrText>
      </w:r>
      <w:r w:rsidRPr="0022140F">
        <w:rPr>
          <w:rFonts w:asciiTheme="minorHAnsi" w:hAnsiTheme="minorHAnsi"/>
        </w:rPr>
        <w:fldChar w:fldCharType="separate"/>
      </w:r>
      <w:r w:rsidR="00D64407">
        <w:rPr>
          <w:rFonts w:asciiTheme="minorHAnsi" w:hAnsiTheme="minorHAnsi"/>
          <w:noProof/>
        </w:rPr>
        <w:t>13</w:t>
      </w:r>
      <w:r w:rsidRPr="0022140F">
        <w:rPr>
          <w:rFonts w:asciiTheme="minorHAnsi" w:hAnsiTheme="minorHAnsi"/>
        </w:rPr>
        <w:fldChar w:fldCharType="end"/>
      </w:r>
      <w:bookmarkEnd w:id="53"/>
      <w:r w:rsidRPr="0022140F">
        <w:rPr>
          <w:rFonts w:asciiTheme="minorHAnsi" w:hAnsiTheme="minorHAnsi"/>
        </w:rPr>
        <w:t xml:space="preserve"> </w:t>
      </w:r>
      <w:r w:rsidRPr="0022140F">
        <w:rPr>
          <w:rFonts w:asciiTheme="minorHAnsi" w:hAnsiTheme="minorHAnsi"/>
        </w:rPr>
        <w:tab/>
        <w:t>EXIST-2 Kaplan-Meier plot of time to AML progression</w:t>
      </w:r>
      <w:r w:rsidRPr="0022140F">
        <w:rPr>
          <w:rFonts w:asciiTheme="minorHAnsi" w:hAnsiTheme="minorHAnsi"/>
          <w:vertAlign w:val="superscript"/>
        </w:rPr>
        <w:t xml:space="preserve">1,2 </w:t>
      </w:r>
      <w:r w:rsidRPr="0022140F">
        <w:rPr>
          <w:rFonts w:asciiTheme="minorHAnsi" w:hAnsiTheme="minorHAnsi"/>
        </w:rPr>
        <w:t>at final analysis</w:t>
      </w:r>
    </w:p>
    <w:p w14:paraId="79F0797F" w14:textId="77777777" w:rsidR="00557C61" w:rsidRPr="0022140F" w:rsidRDefault="00557C61" w:rsidP="00557C61">
      <w:pPr>
        <w:pStyle w:val="Text"/>
        <w:rPr>
          <w:rFonts w:asciiTheme="minorHAnsi" w:hAnsiTheme="minorHAnsi"/>
        </w:rPr>
      </w:pPr>
      <w:r w:rsidRPr="0022140F">
        <w:rPr>
          <w:rFonts w:asciiTheme="minorHAnsi" w:hAnsiTheme="minorHAnsi"/>
          <w:noProof/>
          <w:lang w:val="en-AU" w:eastAsia="en-AU"/>
        </w:rPr>
        <w:drawing>
          <wp:inline distT="0" distB="0" distL="0" distR="0" wp14:anchorId="0D1B699C" wp14:editId="6FAF35D9">
            <wp:extent cx="5762625" cy="3124200"/>
            <wp:effectExtent l="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p>
    <w:p w14:paraId="1971F4E0" w14:textId="77777777" w:rsidR="00557C61" w:rsidRPr="0022140F" w:rsidRDefault="00557C61" w:rsidP="00557C61">
      <w:pPr>
        <w:pStyle w:val="Legend"/>
        <w:rPr>
          <w:rFonts w:asciiTheme="minorHAnsi" w:hAnsiTheme="minorHAnsi"/>
        </w:rPr>
      </w:pPr>
      <w:r w:rsidRPr="0022140F">
        <w:rPr>
          <w:rFonts w:asciiTheme="minorHAnsi" w:hAnsiTheme="minorHAnsi"/>
          <w:i/>
          <w:sz w:val="16"/>
          <w:szCs w:val="16"/>
          <w:vertAlign w:val="superscript"/>
        </w:rPr>
        <w:t>1</w:t>
      </w:r>
      <w:r w:rsidRPr="0022140F">
        <w:rPr>
          <w:rFonts w:asciiTheme="minorHAnsi" w:hAnsiTheme="minorHAnsi"/>
          <w:i/>
          <w:sz w:val="16"/>
          <w:szCs w:val="16"/>
        </w:rPr>
        <w:t xml:space="preserve"> Per independent central radiology review </w:t>
      </w:r>
      <w:r w:rsidRPr="0022140F">
        <w:rPr>
          <w:rFonts w:asciiTheme="minorHAnsi" w:hAnsiTheme="minorHAnsi"/>
          <w:i/>
          <w:sz w:val="16"/>
          <w:szCs w:val="16"/>
        </w:rPr>
        <w:br/>
      </w:r>
      <w:r w:rsidRPr="0022140F">
        <w:rPr>
          <w:rFonts w:asciiTheme="minorHAnsi" w:hAnsiTheme="minorHAnsi"/>
          <w:i/>
          <w:sz w:val="16"/>
          <w:szCs w:val="16"/>
          <w:vertAlign w:val="superscript"/>
        </w:rPr>
        <w:t>2</w:t>
      </w:r>
      <w:r w:rsidRPr="0022140F">
        <w:rPr>
          <w:rFonts w:asciiTheme="minorHAnsi" w:hAnsiTheme="minorHAnsi"/>
          <w:i/>
          <w:sz w:val="16"/>
          <w:szCs w:val="16"/>
        </w:rPr>
        <w:t xml:space="preserve"> </w:t>
      </w:r>
      <w:proofErr w:type="spellStart"/>
      <w:r w:rsidRPr="0022140F">
        <w:rPr>
          <w:rFonts w:asciiTheme="minorHAnsi" w:hAnsiTheme="minorHAnsi"/>
          <w:i/>
          <w:sz w:val="16"/>
          <w:szCs w:val="16"/>
        </w:rPr>
        <w:t>Angiomyolipoma</w:t>
      </w:r>
      <w:proofErr w:type="spellEnd"/>
      <w:r w:rsidRPr="0022140F">
        <w:rPr>
          <w:rFonts w:asciiTheme="minorHAnsi" w:hAnsiTheme="minorHAnsi"/>
          <w:i/>
          <w:sz w:val="16"/>
          <w:szCs w:val="16"/>
        </w:rPr>
        <w:t xml:space="preserve"> progression was defined as: ≥ 25% increase in the sum of </w:t>
      </w:r>
      <w:proofErr w:type="spellStart"/>
      <w:r w:rsidRPr="0022140F">
        <w:rPr>
          <w:rFonts w:asciiTheme="minorHAnsi" w:hAnsiTheme="minorHAnsi"/>
          <w:i/>
          <w:sz w:val="16"/>
          <w:szCs w:val="16"/>
        </w:rPr>
        <w:t>angiomyolipoma</w:t>
      </w:r>
      <w:proofErr w:type="spellEnd"/>
      <w:r w:rsidRPr="0022140F">
        <w:rPr>
          <w:rFonts w:asciiTheme="minorHAnsi" w:hAnsiTheme="minorHAnsi"/>
          <w:i/>
          <w:sz w:val="16"/>
          <w:szCs w:val="16"/>
        </w:rPr>
        <w:t xml:space="preserve"> volume relative to baseline with a value greater than baseline, or appearance of new </w:t>
      </w:r>
      <w:proofErr w:type="spellStart"/>
      <w:r w:rsidRPr="0022140F">
        <w:rPr>
          <w:rFonts w:asciiTheme="minorHAnsi" w:hAnsiTheme="minorHAnsi"/>
          <w:i/>
          <w:sz w:val="16"/>
          <w:szCs w:val="16"/>
        </w:rPr>
        <w:t>angiomyolipoma</w:t>
      </w:r>
      <w:proofErr w:type="spellEnd"/>
      <w:r w:rsidRPr="0022140F">
        <w:rPr>
          <w:rFonts w:asciiTheme="minorHAnsi" w:hAnsiTheme="minorHAnsi"/>
          <w:i/>
          <w:sz w:val="16"/>
          <w:szCs w:val="16"/>
        </w:rPr>
        <w:t xml:space="preserve"> ≥ 1.0 cm in longest diameter, or an increase in renal volume &gt; 20% from nadir with a value greater than baseline, or Grade ≥ 2 </w:t>
      </w:r>
      <w:proofErr w:type="spellStart"/>
      <w:r w:rsidRPr="0022140F">
        <w:rPr>
          <w:rFonts w:asciiTheme="minorHAnsi" w:hAnsiTheme="minorHAnsi"/>
          <w:i/>
          <w:sz w:val="16"/>
          <w:szCs w:val="16"/>
        </w:rPr>
        <w:t>angiomyolipoma</w:t>
      </w:r>
      <w:proofErr w:type="spellEnd"/>
      <w:r w:rsidRPr="0022140F">
        <w:rPr>
          <w:rFonts w:asciiTheme="minorHAnsi" w:hAnsiTheme="minorHAnsi"/>
          <w:i/>
          <w:sz w:val="16"/>
          <w:szCs w:val="16"/>
        </w:rPr>
        <w:t>-related bleeding</w:t>
      </w:r>
    </w:p>
    <w:p w14:paraId="43CBF30B" w14:textId="77777777" w:rsidR="00557C61" w:rsidRPr="0022140F" w:rsidRDefault="00557C61" w:rsidP="00557C61">
      <w:pPr>
        <w:tabs>
          <w:tab w:val="left" w:pos="567"/>
        </w:tabs>
        <w:spacing w:line="320" w:lineRule="atLeast"/>
        <w:rPr>
          <w:sz w:val="24"/>
        </w:rPr>
      </w:pPr>
    </w:p>
    <w:p w14:paraId="0237B348" w14:textId="08A4EB96" w:rsidR="00557C61" w:rsidRPr="0022140F" w:rsidRDefault="00557C61" w:rsidP="00557C61">
      <w:pPr>
        <w:rPr>
          <w:szCs w:val="24"/>
        </w:rPr>
      </w:pPr>
      <w:r w:rsidRPr="0022140F">
        <w:rPr>
          <w:lang w:val="en-GB"/>
        </w:rPr>
        <w:t xml:space="preserve">At the primary analysis, </w:t>
      </w:r>
      <w:proofErr w:type="spellStart"/>
      <w:r w:rsidRPr="0022140F">
        <w:rPr>
          <w:lang w:val="en-GB"/>
        </w:rPr>
        <w:t>Afinitor</w:t>
      </w:r>
      <w:proofErr w:type="spellEnd"/>
      <w:r w:rsidRPr="0022140F">
        <w:rPr>
          <w:lang w:val="en-GB"/>
        </w:rPr>
        <w:t xml:space="preserve"> demonstrated clinically meaningful and statistically significant improvements in skin lesion response (p=0.0002), with response rates of 26.0% (20/77) (95% CI: 16.6, 37.2) for the </w:t>
      </w:r>
      <w:proofErr w:type="spellStart"/>
      <w:r w:rsidRPr="0022140F">
        <w:rPr>
          <w:lang w:val="en-GB"/>
        </w:rPr>
        <w:t>Afinitor</w:t>
      </w:r>
      <w:proofErr w:type="spellEnd"/>
      <w:r w:rsidRPr="0022140F">
        <w:rPr>
          <w:lang w:val="en-GB"/>
        </w:rPr>
        <w:t xml:space="preserve"> arm and 0% (0/37) (95% CI: 0.0, 9.5) for the placebo arm (</w:t>
      </w:r>
      <w:r>
        <w:rPr>
          <w:lang w:val="en-GB"/>
        </w:rPr>
        <w:fldChar w:fldCharType="begin"/>
      </w:r>
      <w:r>
        <w:rPr>
          <w:lang w:val="en-GB"/>
        </w:rPr>
        <w:instrText xml:space="preserve"> REF _Ref491096622 \h </w:instrText>
      </w:r>
      <w:r>
        <w:rPr>
          <w:lang w:val="en-GB"/>
        </w:rPr>
      </w:r>
      <w:r>
        <w:rPr>
          <w:lang w:val="en-GB"/>
        </w:rPr>
        <w:fldChar w:fldCharType="separate"/>
      </w:r>
      <w:r w:rsidR="00D64407" w:rsidRPr="0022140F">
        <w:t xml:space="preserve">Table </w:t>
      </w:r>
      <w:r w:rsidR="00D64407">
        <w:rPr>
          <w:noProof/>
        </w:rPr>
        <w:t>15</w:t>
      </w:r>
      <w:r>
        <w:rPr>
          <w:lang w:val="en-GB"/>
        </w:rPr>
        <w:fldChar w:fldCharType="end"/>
      </w:r>
      <w:r w:rsidRPr="0022140F">
        <w:rPr>
          <w:szCs w:val="24"/>
          <w:lang w:val="en-GB"/>
        </w:rPr>
        <w:t xml:space="preserve">). </w:t>
      </w:r>
      <w:r w:rsidRPr="0022140F">
        <w:rPr>
          <w:szCs w:val="24"/>
        </w:rPr>
        <w:t>At the final analysis, the skin lesion response rate had increased to 68.2% (73/107) (95% CI: 58.5%, 76.9%) (</w:t>
      </w:r>
      <w:r w:rsidRPr="0022140F">
        <w:rPr>
          <w:szCs w:val="24"/>
        </w:rPr>
        <w:fldChar w:fldCharType="begin"/>
      </w:r>
      <w:r w:rsidRPr="0022140F">
        <w:rPr>
          <w:szCs w:val="24"/>
        </w:rPr>
        <w:instrText xml:space="preserve"> REF _Ref491096622 \h  \* MERGEFORMAT </w:instrText>
      </w:r>
      <w:r w:rsidRPr="0022140F">
        <w:rPr>
          <w:szCs w:val="24"/>
        </w:rPr>
      </w:r>
      <w:r w:rsidRPr="0022140F">
        <w:rPr>
          <w:szCs w:val="24"/>
        </w:rPr>
        <w:fldChar w:fldCharType="separate"/>
      </w:r>
      <w:r w:rsidR="00D64407" w:rsidRPr="00D64407">
        <w:rPr>
          <w:szCs w:val="24"/>
        </w:rPr>
        <w:t>Table 15</w:t>
      </w:r>
      <w:r w:rsidRPr="0022140F">
        <w:rPr>
          <w:szCs w:val="24"/>
        </w:rPr>
        <w:fldChar w:fldCharType="end"/>
      </w:r>
      <w:r w:rsidRPr="0022140F">
        <w:rPr>
          <w:szCs w:val="24"/>
        </w:rPr>
        <w:t>), with one patient reporting a confirmed complete clinical skin lesion response and no patients experiencing progressive disease as their best response.</w:t>
      </w:r>
      <w:bookmarkStart w:id="54" w:name="_Ref315360459"/>
      <w:bookmarkStart w:id="55" w:name="_Toc424821217"/>
    </w:p>
    <w:p w14:paraId="2DE5932B" w14:textId="77777777" w:rsidR="00557C61" w:rsidRPr="0022140F" w:rsidRDefault="00557C61" w:rsidP="00557C61">
      <w:pPr>
        <w:pStyle w:val="Caption"/>
        <w:keepNext/>
        <w:rPr>
          <w:rFonts w:asciiTheme="minorHAnsi" w:hAnsiTheme="minorHAnsi"/>
        </w:rPr>
      </w:pPr>
      <w:bookmarkStart w:id="56" w:name="_Ref491096622"/>
      <w:bookmarkEnd w:id="54"/>
      <w:bookmarkEnd w:id="55"/>
      <w:r w:rsidRPr="0022140F">
        <w:rPr>
          <w:rFonts w:asciiTheme="minorHAnsi" w:hAnsiTheme="minorHAnsi"/>
        </w:rPr>
        <w:t xml:space="preserve">Table </w:t>
      </w:r>
      <w:r w:rsidRPr="0022140F">
        <w:rPr>
          <w:rFonts w:asciiTheme="minorHAnsi" w:hAnsiTheme="minorHAnsi"/>
        </w:rPr>
        <w:fldChar w:fldCharType="begin"/>
      </w:r>
      <w:r w:rsidRPr="0022140F">
        <w:rPr>
          <w:rFonts w:asciiTheme="minorHAnsi" w:hAnsiTheme="minorHAnsi"/>
        </w:rPr>
        <w:instrText xml:space="preserve"> SEQ Table \* ARABIC </w:instrText>
      </w:r>
      <w:r w:rsidRPr="0022140F">
        <w:rPr>
          <w:rFonts w:asciiTheme="minorHAnsi" w:hAnsiTheme="minorHAnsi"/>
        </w:rPr>
        <w:fldChar w:fldCharType="separate"/>
      </w:r>
      <w:r w:rsidR="00D64407">
        <w:rPr>
          <w:rFonts w:asciiTheme="minorHAnsi" w:hAnsiTheme="minorHAnsi"/>
          <w:noProof/>
        </w:rPr>
        <w:t>15</w:t>
      </w:r>
      <w:r w:rsidRPr="0022140F">
        <w:rPr>
          <w:rFonts w:asciiTheme="minorHAnsi" w:hAnsiTheme="minorHAnsi"/>
        </w:rPr>
        <w:fldChar w:fldCharType="end"/>
      </w:r>
      <w:bookmarkEnd w:id="56"/>
      <w:r w:rsidRPr="0022140F">
        <w:rPr>
          <w:rFonts w:asciiTheme="minorHAnsi" w:hAnsiTheme="minorHAnsi"/>
        </w:rPr>
        <w:t xml:space="preserve"> </w:t>
      </w:r>
      <w:r w:rsidRPr="0022140F">
        <w:rPr>
          <w:rFonts w:asciiTheme="minorHAnsi" w:hAnsiTheme="minorHAnsi"/>
        </w:rPr>
        <w:tab/>
      </w:r>
      <w:r w:rsidRPr="0022140F">
        <w:rPr>
          <w:rFonts w:asciiTheme="minorHAnsi" w:hAnsiTheme="minorHAnsi"/>
        </w:rPr>
        <w:tab/>
        <w:t>EXIST-2 - Best overall skin lesion response</w:t>
      </w:r>
    </w:p>
    <w:tbl>
      <w:tblPr>
        <w:tblW w:w="0" w:type="auto"/>
        <w:jc w:val="center"/>
        <w:tblBorders>
          <w:top w:val="single" w:sz="6" w:space="0" w:color="auto"/>
          <w:bottom w:val="single" w:sz="6" w:space="0" w:color="auto"/>
        </w:tblBorders>
        <w:tblLayout w:type="fixed"/>
        <w:tblLook w:val="0000" w:firstRow="0" w:lastRow="0" w:firstColumn="0" w:lastColumn="0" w:noHBand="0" w:noVBand="0"/>
      </w:tblPr>
      <w:tblGrid>
        <w:gridCol w:w="3119"/>
        <w:gridCol w:w="1843"/>
        <w:gridCol w:w="1606"/>
        <w:gridCol w:w="1028"/>
        <w:gridCol w:w="1932"/>
      </w:tblGrid>
      <w:tr w:rsidR="00557C61" w:rsidRPr="0022140F" w14:paraId="025DB029" w14:textId="77777777" w:rsidTr="005362D8">
        <w:trPr>
          <w:cantSplit/>
          <w:trHeight w:val="119"/>
          <w:jc w:val="center"/>
        </w:trPr>
        <w:tc>
          <w:tcPr>
            <w:tcW w:w="3119" w:type="dxa"/>
            <w:tcBorders>
              <w:top w:val="single" w:sz="4" w:space="0" w:color="auto"/>
              <w:bottom w:val="nil"/>
            </w:tcBorders>
          </w:tcPr>
          <w:p w14:paraId="5B4BB36F" w14:textId="77777777" w:rsidR="00557C61" w:rsidRPr="0022140F" w:rsidRDefault="00557C61" w:rsidP="005362D8">
            <w:pPr>
              <w:pStyle w:val="Text"/>
              <w:rPr>
                <w:rFonts w:asciiTheme="minorHAnsi" w:hAnsiTheme="minorHAnsi"/>
                <w:sz w:val="18"/>
                <w:szCs w:val="18"/>
              </w:rPr>
            </w:pPr>
          </w:p>
        </w:tc>
        <w:tc>
          <w:tcPr>
            <w:tcW w:w="3449" w:type="dxa"/>
            <w:gridSpan w:val="2"/>
            <w:tcBorders>
              <w:top w:val="single" w:sz="4" w:space="0" w:color="auto"/>
              <w:bottom w:val="nil"/>
            </w:tcBorders>
          </w:tcPr>
          <w:p w14:paraId="022F9FDD" w14:textId="77777777" w:rsidR="00557C61" w:rsidRPr="0022140F" w:rsidRDefault="00557C61" w:rsidP="005362D8">
            <w:pPr>
              <w:pStyle w:val="Text"/>
              <w:keepNext/>
              <w:jc w:val="center"/>
              <w:rPr>
                <w:rFonts w:asciiTheme="minorHAnsi" w:hAnsiTheme="minorHAnsi"/>
                <w:b/>
                <w:sz w:val="18"/>
                <w:szCs w:val="18"/>
              </w:rPr>
            </w:pPr>
            <w:r w:rsidRPr="0022140F">
              <w:rPr>
                <w:rFonts w:asciiTheme="minorHAnsi" w:hAnsiTheme="minorHAnsi"/>
                <w:b/>
                <w:sz w:val="18"/>
                <w:szCs w:val="18"/>
              </w:rPr>
              <w:t>Primary analysis</w:t>
            </w:r>
            <w:r w:rsidRPr="0022140F">
              <w:rPr>
                <w:rFonts w:asciiTheme="minorHAnsi" w:hAnsiTheme="minorHAnsi"/>
                <w:b/>
                <w:sz w:val="18"/>
                <w:szCs w:val="18"/>
                <w:vertAlign w:val="superscript"/>
              </w:rPr>
              <w:t>5</w:t>
            </w:r>
          </w:p>
        </w:tc>
        <w:tc>
          <w:tcPr>
            <w:tcW w:w="1028" w:type="dxa"/>
            <w:tcBorders>
              <w:top w:val="single" w:sz="4" w:space="0" w:color="auto"/>
              <w:right w:val="nil"/>
            </w:tcBorders>
          </w:tcPr>
          <w:p w14:paraId="7814A265" w14:textId="77777777" w:rsidR="00557C61" w:rsidRPr="0022140F" w:rsidRDefault="00557C61" w:rsidP="005362D8">
            <w:pPr>
              <w:pStyle w:val="Text"/>
              <w:keepNext/>
              <w:jc w:val="center"/>
              <w:rPr>
                <w:rFonts w:asciiTheme="minorHAnsi" w:hAnsiTheme="minorHAnsi"/>
                <w:b/>
                <w:sz w:val="18"/>
                <w:szCs w:val="18"/>
              </w:rPr>
            </w:pPr>
          </w:p>
        </w:tc>
        <w:tc>
          <w:tcPr>
            <w:tcW w:w="1932" w:type="dxa"/>
            <w:tcBorders>
              <w:top w:val="single" w:sz="4" w:space="0" w:color="auto"/>
              <w:right w:val="nil"/>
            </w:tcBorders>
          </w:tcPr>
          <w:p w14:paraId="4AA6F6FA" w14:textId="77777777" w:rsidR="00557C61" w:rsidRPr="0022140F" w:rsidRDefault="00557C61" w:rsidP="005362D8">
            <w:pPr>
              <w:pStyle w:val="Text"/>
              <w:keepNext/>
              <w:jc w:val="center"/>
              <w:rPr>
                <w:rFonts w:asciiTheme="minorHAnsi" w:hAnsiTheme="minorHAnsi"/>
                <w:b/>
                <w:sz w:val="18"/>
                <w:szCs w:val="18"/>
              </w:rPr>
            </w:pPr>
            <w:r w:rsidRPr="0022140F">
              <w:rPr>
                <w:rFonts w:asciiTheme="minorHAnsi" w:hAnsiTheme="minorHAnsi"/>
                <w:b/>
                <w:sz w:val="18"/>
                <w:szCs w:val="18"/>
              </w:rPr>
              <w:t>Final analysis</w:t>
            </w:r>
            <w:r w:rsidRPr="0022140F">
              <w:rPr>
                <w:rFonts w:asciiTheme="minorHAnsi" w:hAnsiTheme="minorHAnsi"/>
                <w:b/>
                <w:sz w:val="18"/>
                <w:szCs w:val="18"/>
                <w:vertAlign w:val="superscript"/>
              </w:rPr>
              <w:t>6</w:t>
            </w:r>
          </w:p>
        </w:tc>
      </w:tr>
      <w:tr w:rsidR="00557C61" w:rsidRPr="0022140F" w14:paraId="00D29818" w14:textId="77777777" w:rsidTr="005362D8">
        <w:trPr>
          <w:cantSplit/>
          <w:trHeight w:val="119"/>
          <w:jc w:val="center"/>
        </w:trPr>
        <w:tc>
          <w:tcPr>
            <w:tcW w:w="3119" w:type="dxa"/>
            <w:tcBorders>
              <w:top w:val="single" w:sz="4" w:space="0" w:color="auto"/>
              <w:bottom w:val="nil"/>
            </w:tcBorders>
          </w:tcPr>
          <w:p w14:paraId="5F3BD87A" w14:textId="77777777" w:rsidR="00557C61" w:rsidRPr="0022140F" w:rsidRDefault="00557C61" w:rsidP="005362D8">
            <w:pPr>
              <w:pStyle w:val="Text"/>
              <w:rPr>
                <w:rFonts w:asciiTheme="minorHAnsi" w:hAnsiTheme="minorHAnsi"/>
                <w:sz w:val="18"/>
                <w:szCs w:val="18"/>
              </w:rPr>
            </w:pPr>
          </w:p>
        </w:tc>
        <w:tc>
          <w:tcPr>
            <w:tcW w:w="1843" w:type="dxa"/>
            <w:tcBorders>
              <w:top w:val="single" w:sz="4" w:space="0" w:color="auto"/>
              <w:bottom w:val="nil"/>
            </w:tcBorders>
          </w:tcPr>
          <w:p w14:paraId="15ECBA62" w14:textId="77777777" w:rsidR="00557C61" w:rsidRPr="0022140F" w:rsidRDefault="00557C61" w:rsidP="005362D8">
            <w:pPr>
              <w:pStyle w:val="Text"/>
              <w:keepNext/>
              <w:jc w:val="center"/>
              <w:rPr>
                <w:rFonts w:asciiTheme="minorHAnsi" w:hAnsiTheme="minorHAnsi"/>
                <w:sz w:val="18"/>
                <w:szCs w:val="18"/>
              </w:rPr>
            </w:pPr>
            <w:proofErr w:type="spellStart"/>
            <w:r w:rsidRPr="0022140F">
              <w:rPr>
                <w:rFonts w:asciiTheme="minorHAnsi" w:hAnsiTheme="minorHAnsi"/>
                <w:b/>
                <w:sz w:val="18"/>
                <w:szCs w:val="18"/>
              </w:rPr>
              <w:t>Afinitor</w:t>
            </w:r>
            <w:proofErr w:type="spellEnd"/>
          </w:p>
        </w:tc>
        <w:tc>
          <w:tcPr>
            <w:tcW w:w="1606" w:type="dxa"/>
            <w:tcBorders>
              <w:top w:val="single" w:sz="4" w:space="0" w:color="auto"/>
              <w:bottom w:val="nil"/>
              <w:right w:val="nil"/>
            </w:tcBorders>
          </w:tcPr>
          <w:p w14:paraId="35B707F6"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b/>
                <w:sz w:val="18"/>
                <w:szCs w:val="18"/>
              </w:rPr>
              <w:t>Placebo</w:t>
            </w:r>
          </w:p>
        </w:tc>
        <w:tc>
          <w:tcPr>
            <w:tcW w:w="1028" w:type="dxa"/>
            <w:vMerge w:val="restart"/>
            <w:tcBorders>
              <w:top w:val="single" w:sz="4" w:space="0" w:color="auto"/>
              <w:right w:val="nil"/>
            </w:tcBorders>
          </w:tcPr>
          <w:p w14:paraId="49B93159"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b/>
                <w:sz w:val="18"/>
                <w:szCs w:val="18"/>
              </w:rPr>
              <w:t>p-value</w:t>
            </w:r>
            <w:r w:rsidRPr="0022140F">
              <w:rPr>
                <w:rFonts w:asciiTheme="minorHAnsi" w:hAnsiTheme="minorHAnsi"/>
                <w:b/>
                <w:sz w:val="18"/>
                <w:szCs w:val="18"/>
                <w:vertAlign w:val="superscript"/>
              </w:rPr>
              <w:t>1</w:t>
            </w:r>
            <w:r w:rsidRPr="0022140F">
              <w:rPr>
                <w:rFonts w:asciiTheme="minorHAnsi" w:hAnsiTheme="minorHAnsi"/>
                <w:b/>
                <w:sz w:val="18"/>
                <w:szCs w:val="18"/>
              </w:rPr>
              <w:br/>
            </w:r>
          </w:p>
        </w:tc>
        <w:tc>
          <w:tcPr>
            <w:tcW w:w="1932" w:type="dxa"/>
            <w:tcBorders>
              <w:top w:val="single" w:sz="4" w:space="0" w:color="auto"/>
              <w:right w:val="nil"/>
            </w:tcBorders>
          </w:tcPr>
          <w:p w14:paraId="60A6FA06" w14:textId="77777777" w:rsidR="00557C61" w:rsidRPr="0022140F" w:rsidRDefault="00557C61" w:rsidP="005362D8">
            <w:pPr>
              <w:pStyle w:val="Text"/>
              <w:keepNext/>
              <w:jc w:val="center"/>
              <w:rPr>
                <w:rFonts w:asciiTheme="minorHAnsi" w:hAnsiTheme="minorHAnsi"/>
                <w:b/>
                <w:sz w:val="18"/>
                <w:szCs w:val="18"/>
              </w:rPr>
            </w:pPr>
            <w:proofErr w:type="spellStart"/>
            <w:r w:rsidRPr="0022140F">
              <w:rPr>
                <w:rFonts w:asciiTheme="minorHAnsi" w:hAnsiTheme="minorHAnsi"/>
                <w:b/>
                <w:sz w:val="18"/>
                <w:szCs w:val="18"/>
              </w:rPr>
              <w:t>Afinitor</w:t>
            </w:r>
            <w:proofErr w:type="spellEnd"/>
          </w:p>
        </w:tc>
      </w:tr>
      <w:tr w:rsidR="00557C61" w:rsidRPr="0022140F" w14:paraId="12967351" w14:textId="77777777" w:rsidTr="005362D8">
        <w:trPr>
          <w:cantSplit/>
          <w:trHeight w:val="111"/>
          <w:jc w:val="center"/>
        </w:trPr>
        <w:tc>
          <w:tcPr>
            <w:tcW w:w="3119" w:type="dxa"/>
            <w:tcBorders>
              <w:top w:val="nil"/>
              <w:bottom w:val="single" w:sz="4" w:space="0" w:color="auto"/>
            </w:tcBorders>
          </w:tcPr>
          <w:p w14:paraId="2A217104" w14:textId="77777777" w:rsidR="00557C61" w:rsidRPr="0022140F" w:rsidRDefault="00557C61" w:rsidP="005362D8">
            <w:pPr>
              <w:pStyle w:val="Text"/>
              <w:rPr>
                <w:rFonts w:asciiTheme="minorHAnsi" w:hAnsiTheme="minorHAnsi"/>
                <w:sz w:val="18"/>
                <w:szCs w:val="18"/>
              </w:rPr>
            </w:pPr>
          </w:p>
        </w:tc>
        <w:tc>
          <w:tcPr>
            <w:tcW w:w="1843" w:type="dxa"/>
            <w:tcBorders>
              <w:top w:val="nil"/>
              <w:bottom w:val="single" w:sz="4" w:space="0" w:color="auto"/>
            </w:tcBorders>
          </w:tcPr>
          <w:p w14:paraId="5FF964F1"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b/>
                <w:sz w:val="18"/>
                <w:szCs w:val="18"/>
              </w:rPr>
              <w:t>N=77</w:t>
            </w:r>
          </w:p>
        </w:tc>
        <w:tc>
          <w:tcPr>
            <w:tcW w:w="1606" w:type="dxa"/>
            <w:tcBorders>
              <w:top w:val="nil"/>
              <w:bottom w:val="single" w:sz="4" w:space="0" w:color="auto"/>
              <w:right w:val="nil"/>
            </w:tcBorders>
          </w:tcPr>
          <w:p w14:paraId="7DA2699F"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b/>
                <w:sz w:val="18"/>
                <w:szCs w:val="18"/>
              </w:rPr>
              <w:t>N=37</w:t>
            </w:r>
          </w:p>
        </w:tc>
        <w:tc>
          <w:tcPr>
            <w:tcW w:w="1028" w:type="dxa"/>
            <w:vMerge/>
            <w:tcBorders>
              <w:bottom w:val="single" w:sz="4" w:space="0" w:color="auto"/>
              <w:right w:val="nil"/>
            </w:tcBorders>
          </w:tcPr>
          <w:p w14:paraId="5ABAE8DA" w14:textId="77777777" w:rsidR="00557C61" w:rsidRPr="0022140F" w:rsidRDefault="00557C61" w:rsidP="005362D8">
            <w:pPr>
              <w:keepNext/>
              <w:tabs>
                <w:tab w:val="left" w:pos="284"/>
              </w:tabs>
              <w:spacing w:after="20"/>
              <w:jc w:val="center"/>
              <w:rPr>
                <w:b/>
                <w:sz w:val="18"/>
                <w:szCs w:val="18"/>
              </w:rPr>
            </w:pPr>
          </w:p>
        </w:tc>
        <w:tc>
          <w:tcPr>
            <w:tcW w:w="1932" w:type="dxa"/>
            <w:tcBorders>
              <w:bottom w:val="single" w:sz="4" w:space="0" w:color="auto"/>
              <w:right w:val="nil"/>
            </w:tcBorders>
            <w:vAlign w:val="bottom"/>
          </w:tcPr>
          <w:p w14:paraId="4F83E935" w14:textId="77777777" w:rsidR="00557C61" w:rsidRPr="0022140F" w:rsidRDefault="00557C61" w:rsidP="005362D8">
            <w:pPr>
              <w:keepNext/>
              <w:tabs>
                <w:tab w:val="left" w:pos="284"/>
              </w:tabs>
              <w:spacing w:after="20"/>
              <w:jc w:val="center"/>
              <w:rPr>
                <w:b/>
                <w:sz w:val="18"/>
                <w:szCs w:val="18"/>
              </w:rPr>
            </w:pPr>
            <w:r w:rsidRPr="0022140F">
              <w:rPr>
                <w:b/>
                <w:sz w:val="18"/>
                <w:szCs w:val="18"/>
              </w:rPr>
              <w:t>N=107</w:t>
            </w:r>
          </w:p>
        </w:tc>
      </w:tr>
      <w:tr w:rsidR="00557C61" w:rsidRPr="0022140F" w14:paraId="408BC13B" w14:textId="77777777" w:rsidTr="005362D8">
        <w:trPr>
          <w:cantSplit/>
          <w:trHeight w:val="288"/>
          <w:jc w:val="center"/>
        </w:trPr>
        <w:tc>
          <w:tcPr>
            <w:tcW w:w="3119" w:type="dxa"/>
            <w:tcBorders>
              <w:top w:val="nil"/>
              <w:bottom w:val="nil"/>
            </w:tcBorders>
          </w:tcPr>
          <w:p w14:paraId="30D2B4D5" w14:textId="77777777" w:rsidR="00557C61" w:rsidRPr="0022140F" w:rsidRDefault="00557C61" w:rsidP="005362D8">
            <w:pPr>
              <w:pStyle w:val="Text"/>
              <w:rPr>
                <w:rFonts w:asciiTheme="minorHAnsi" w:hAnsiTheme="minorHAnsi"/>
                <w:sz w:val="18"/>
                <w:szCs w:val="18"/>
              </w:rPr>
            </w:pPr>
            <w:r w:rsidRPr="0022140F">
              <w:rPr>
                <w:rFonts w:asciiTheme="minorHAnsi" w:hAnsiTheme="minorHAnsi"/>
                <w:b/>
                <w:sz w:val="18"/>
                <w:szCs w:val="18"/>
              </w:rPr>
              <w:t xml:space="preserve">Skin lesion response rate </w:t>
            </w:r>
            <w:r w:rsidRPr="0022140F">
              <w:rPr>
                <w:rFonts w:asciiTheme="minorHAnsi" w:hAnsiTheme="minorHAnsi"/>
                <w:b/>
                <w:sz w:val="18"/>
                <w:szCs w:val="18"/>
                <w:vertAlign w:val="superscript"/>
              </w:rPr>
              <w:t>1,2,3,4</w:t>
            </w:r>
            <w:r w:rsidRPr="0022140F">
              <w:rPr>
                <w:rFonts w:asciiTheme="minorHAnsi" w:hAnsiTheme="minorHAnsi"/>
                <w:b/>
                <w:sz w:val="18"/>
                <w:szCs w:val="18"/>
              </w:rPr>
              <w:t xml:space="preserve"> - %</w:t>
            </w:r>
          </w:p>
        </w:tc>
        <w:tc>
          <w:tcPr>
            <w:tcW w:w="1843" w:type="dxa"/>
            <w:tcBorders>
              <w:top w:val="nil"/>
              <w:bottom w:val="nil"/>
            </w:tcBorders>
          </w:tcPr>
          <w:p w14:paraId="1E701105"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b/>
                <w:sz w:val="18"/>
                <w:szCs w:val="18"/>
              </w:rPr>
              <w:t>26.0</w:t>
            </w:r>
          </w:p>
        </w:tc>
        <w:tc>
          <w:tcPr>
            <w:tcW w:w="1606" w:type="dxa"/>
            <w:tcBorders>
              <w:top w:val="nil"/>
              <w:bottom w:val="nil"/>
              <w:right w:val="nil"/>
            </w:tcBorders>
          </w:tcPr>
          <w:p w14:paraId="4C49A4CA"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b/>
                <w:sz w:val="18"/>
                <w:szCs w:val="18"/>
              </w:rPr>
              <w:t>0</w:t>
            </w:r>
          </w:p>
        </w:tc>
        <w:tc>
          <w:tcPr>
            <w:tcW w:w="1028" w:type="dxa"/>
            <w:tcBorders>
              <w:top w:val="nil"/>
              <w:bottom w:val="nil"/>
              <w:right w:val="nil"/>
            </w:tcBorders>
          </w:tcPr>
          <w:p w14:paraId="4043A729"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b/>
                <w:sz w:val="18"/>
                <w:szCs w:val="18"/>
              </w:rPr>
              <w:t>0.0002</w:t>
            </w:r>
          </w:p>
        </w:tc>
        <w:tc>
          <w:tcPr>
            <w:tcW w:w="1932" w:type="dxa"/>
            <w:tcBorders>
              <w:top w:val="nil"/>
              <w:bottom w:val="nil"/>
              <w:right w:val="nil"/>
            </w:tcBorders>
          </w:tcPr>
          <w:p w14:paraId="7E709832" w14:textId="77777777" w:rsidR="00557C61" w:rsidRPr="0022140F" w:rsidRDefault="00557C61" w:rsidP="005362D8">
            <w:pPr>
              <w:pStyle w:val="Text"/>
              <w:jc w:val="center"/>
              <w:rPr>
                <w:rFonts w:asciiTheme="minorHAnsi" w:hAnsiTheme="minorHAnsi"/>
                <w:b/>
                <w:sz w:val="18"/>
                <w:szCs w:val="18"/>
              </w:rPr>
            </w:pPr>
            <w:r w:rsidRPr="0022140F">
              <w:rPr>
                <w:rFonts w:asciiTheme="minorHAnsi" w:hAnsiTheme="minorHAnsi"/>
                <w:b/>
                <w:sz w:val="18"/>
                <w:szCs w:val="18"/>
              </w:rPr>
              <w:t>68.2</w:t>
            </w:r>
          </w:p>
        </w:tc>
      </w:tr>
      <w:tr w:rsidR="00557C61" w:rsidRPr="0022140F" w14:paraId="5B3B0DD2" w14:textId="77777777" w:rsidTr="005362D8">
        <w:trPr>
          <w:cantSplit/>
          <w:trHeight w:val="288"/>
          <w:jc w:val="center"/>
        </w:trPr>
        <w:tc>
          <w:tcPr>
            <w:tcW w:w="3119" w:type="dxa"/>
            <w:tcBorders>
              <w:top w:val="nil"/>
              <w:bottom w:val="nil"/>
            </w:tcBorders>
          </w:tcPr>
          <w:p w14:paraId="4C80D311"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95% CI</w:t>
            </w:r>
          </w:p>
        </w:tc>
        <w:tc>
          <w:tcPr>
            <w:tcW w:w="1843" w:type="dxa"/>
            <w:tcBorders>
              <w:top w:val="nil"/>
              <w:bottom w:val="nil"/>
            </w:tcBorders>
          </w:tcPr>
          <w:p w14:paraId="052E1CD4"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(16.6, 37.2)</w:t>
            </w:r>
          </w:p>
        </w:tc>
        <w:tc>
          <w:tcPr>
            <w:tcW w:w="1606" w:type="dxa"/>
            <w:tcBorders>
              <w:top w:val="nil"/>
              <w:bottom w:val="nil"/>
              <w:right w:val="nil"/>
            </w:tcBorders>
          </w:tcPr>
          <w:p w14:paraId="5514A8D6"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(0.0, 9.5)</w:t>
            </w:r>
          </w:p>
        </w:tc>
        <w:tc>
          <w:tcPr>
            <w:tcW w:w="1028" w:type="dxa"/>
            <w:tcBorders>
              <w:top w:val="nil"/>
              <w:bottom w:val="nil"/>
              <w:right w:val="nil"/>
            </w:tcBorders>
          </w:tcPr>
          <w:p w14:paraId="149DFFF3" w14:textId="77777777" w:rsidR="00557C61" w:rsidRPr="0022140F" w:rsidRDefault="00557C61" w:rsidP="005362D8">
            <w:pPr>
              <w:tabs>
                <w:tab w:val="left" w:pos="284"/>
              </w:tabs>
              <w:spacing w:after="20"/>
              <w:jc w:val="center"/>
              <w:rPr>
                <w:sz w:val="18"/>
                <w:szCs w:val="18"/>
              </w:rPr>
            </w:pPr>
          </w:p>
        </w:tc>
        <w:tc>
          <w:tcPr>
            <w:tcW w:w="1932" w:type="dxa"/>
            <w:tcBorders>
              <w:top w:val="nil"/>
              <w:bottom w:val="nil"/>
              <w:right w:val="nil"/>
            </w:tcBorders>
            <w:vAlign w:val="bottom"/>
          </w:tcPr>
          <w:p w14:paraId="0C70B777" w14:textId="77777777" w:rsidR="00557C61" w:rsidRPr="0022140F" w:rsidRDefault="00557C61" w:rsidP="005362D8">
            <w:pPr>
              <w:tabs>
                <w:tab w:val="left" w:pos="284"/>
              </w:tabs>
              <w:spacing w:after="20"/>
              <w:jc w:val="center"/>
              <w:rPr>
                <w:sz w:val="18"/>
                <w:szCs w:val="18"/>
              </w:rPr>
            </w:pPr>
            <w:r w:rsidRPr="0022140F">
              <w:rPr>
                <w:sz w:val="18"/>
                <w:szCs w:val="18"/>
              </w:rPr>
              <w:t>(58.5, 76.9)</w:t>
            </w:r>
          </w:p>
        </w:tc>
      </w:tr>
      <w:tr w:rsidR="00557C61" w:rsidRPr="0022140F" w14:paraId="00A70183" w14:textId="77777777" w:rsidTr="005362D8">
        <w:trPr>
          <w:cantSplit/>
          <w:trHeight w:val="110"/>
          <w:jc w:val="center"/>
        </w:trPr>
        <w:tc>
          <w:tcPr>
            <w:tcW w:w="7596" w:type="dxa"/>
            <w:gridSpan w:val="4"/>
            <w:tcBorders>
              <w:top w:val="nil"/>
              <w:bottom w:val="nil"/>
            </w:tcBorders>
          </w:tcPr>
          <w:p w14:paraId="038E16F9" w14:textId="77777777" w:rsidR="00557C61" w:rsidRPr="0022140F" w:rsidRDefault="00557C61" w:rsidP="005362D8">
            <w:pPr>
              <w:pStyle w:val="Text"/>
              <w:rPr>
                <w:rFonts w:asciiTheme="minorHAnsi" w:hAnsiTheme="minorHAnsi"/>
                <w:sz w:val="18"/>
                <w:szCs w:val="18"/>
              </w:rPr>
            </w:pPr>
            <w:r w:rsidRPr="0022140F">
              <w:rPr>
                <w:rFonts w:asciiTheme="minorHAnsi" w:hAnsiTheme="minorHAnsi"/>
                <w:b/>
                <w:sz w:val="18"/>
                <w:szCs w:val="18"/>
              </w:rPr>
              <w:t>Best overall skin lesion response – %</w:t>
            </w:r>
          </w:p>
        </w:tc>
        <w:tc>
          <w:tcPr>
            <w:tcW w:w="1932" w:type="dxa"/>
            <w:tcBorders>
              <w:top w:val="nil"/>
              <w:bottom w:val="nil"/>
            </w:tcBorders>
          </w:tcPr>
          <w:p w14:paraId="7D13EE39" w14:textId="77777777" w:rsidR="00557C61" w:rsidRPr="0022140F" w:rsidRDefault="00557C61" w:rsidP="005362D8">
            <w:pPr>
              <w:pStyle w:val="Text"/>
              <w:rPr>
                <w:rFonts w:asciiTheme="minorHAnsi" w:hAnsiTheme="minorHAnsi"/>
                <w:b/>
                <w:sz w:val="18"/>
                <w:szCs w:val="18"/>
              </w:rPr>
            </w:pPr>
          </w:p>
        </w:tc>
      </w:tr>
      <w:tr w:rsidR="00557C61" w:rsidRPr="0022140F" w14:paraId="245DFF4A" w14:textId="77777777" w:rsidTr="005362D8">
        <w:trPr>
          <w:cantSplit/>
          <w:trHeight w:val="71"/>
          <w:jc w:val="center"/>
        </w:trPr>
        <w:tc>
          <w:tcPr>
            <w:tcW w:w="3119" w:type="dxa"/>
            <w:tcBorders>
              <w:top w:val="nil"/>
              <w:bottom w:val="nil"/>
            </w:tcBorders>
          </w:tcPr>
          <w:p w14:paraId="21F1BB5C"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Complete clinical response</w:t>
            </w:r>
          </w:p>
        </w:tc>
        <w:tc>
          <w:tcPr>
            <w:tcW w:w="1843" w:type="dxa"/>
            <w:tcBorders>
              <w:top w:val="nil"/>
              <w:bottom w:val="nil"/>
            </w:tcBorders>
          </w:tcPr>
          <w:p w14:paraId="51AD77D0"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w:t>
            </w:r>
          </w:p>
        </w:tc>
        <w:tc>
          <w:tcPr>
            <w:tcW w:w="1606" w:type="dxa"/>
            <w:tcBorders>
              <w:top w:val="nil"/>
              <w:bottom w:val="nil"/>
              <w:right w:val="nil"/>
            </w:tcBorders>
          </w:tcPr>
          <w:p w14:paraId="06DA3F2B"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w:t>
            </w:r>
          </w:p>
        </w:tc>
        <w:tc>
          <w:tcPr>
            <w:tcW w:w="1028" w:type="dxa"/>
            <w:tcBorders>
              <w:top w:val="nil"/>
              <w:bottom w:val="nil"/>
              <w:right w:val="nil"/>
            </w:tcBorders>
          </w:tcPr>
          <w:p w14:paraId="7DB61342" w14:textId="77777777" w:rsidR="00557C61" w:rsidRPr="0022140F" w:rsidRDefault="00557C61" w:rsidP="005362D8">
            <w:pPr>
              <w:tabs>
                <w:tab w:val="left" w:pos="284"/>
              </w:tabs>
              <w:spacing w:after="20"/>
              <w:jc w:val="center"/>
              <w:rPr>
                <w:sz w:val="18"/>
                <w:szCs w:val="18"/>
              </w:rPr>
            </w:pPr>
          </w:p>
        </w:tc>
        <w:tc>
          <w:tcPr>
            <w:tcW w:w="1932" w:type="dxa"/>
            <w:tcBorders>
              <w:top w:val="nil"/>
              <w:bottom w:val="nil"/>
              <w:right w:val="nil"/>
            </w:tcBorders>
            <w:vAlign w:val="bottom"/>
          </w:tcPr>
          <w:p w14:paraId="4D0DC57C" w14:textId="77777777" w:rsidR="00557C61" w:rsidRPr="0022140F" w:rsidRDefault="00557C61" w:rsidP="005362D8">
            <w:pPr>
              <w:tabs>
                <w:tab w:val="left" w:pos="284"/>
              </w:tabs>
              <w:spacing w:after="20"/>
              <w:jc w:val="center"/>
              <w:rPr>
                <w:sz w:val="18"/>
                <w:szCs w:val="18"/>
              </w:rPr>
            </w:pPr>
            <w:r w:rsidRPr="0022140F">
              <w:rPr>
                <w:sz w:val="18"/>
                <w:szCs w:val="18"/>
              </w:rPr>
              <w:t>0.9</w:t>
            </w:r>
          </w:p>
        </w:tc>
      </w:tr>
      <w:tr w:rsidR="00557C61" w:rsidRPr="0022140F" w14:paraId="1535540D" w14:textId="77777777" w:rsidTr="005362D8">
        <w:trPr>
          <w:cantSplit/>
          <w:trHeight w:val="111"/>
          <w:jc w:val="center"/>
        </w:trPr>
        <w:tc>
          <w:tcPr>
            <w:tcW w:w="3119" w:type="dxa"/>
            <w:tcBorders>
              <w:top w:val="nil"/>
              <w:bottom w:val="nil"/>
            </w:tcBorders>
          </w:tcPr>
          <w:p w14:paraId="45177A2C"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Partial response</w:t>
            </w:r>
          </w:p>
        </w:tc>
        <w:tc>
          <w:tcPr>
            <w:tcW w:w="1843" w:type="dxa"/>
            <w:tcBorders>
              <w:top w:val="nil"/>
              <w:bottom w:val="nil"/>
            </w:tcBorders>
          </w:tcPr>
          <w:p w14:paraId="30B6BDFB"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26.0</w:t>
            </w:r>
          </w:p>
        </w:tc>
        <w:tc>
          <w:tcPr>
            <w:tcW w:w="1606" w:type="dxa"/>
            <w:tcBorders>
              <w:top w:val="nil"/>
              <w:bottom w:val="nil"/>
            </w:tcBorders>
          </w:tcPr>
          <w:p w14:paraId="6DA31169"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w:t>
            </w:r>
          </w:p>
        </w:tc>
        <w:tc>
          <w:tcPr>
            <w:tcW w:w="1028" w:type="dxa"/>
            <w:tcBorders>
              <w:top w:val="nil"/>
              <w:bottom w:val="nil"/>
            </w:tcBorders>
          </w:tcPr>
          <w:p w14:paraId="23DFD112" w14:textId="77777777" w:rsidR="00557C61" w:rsidRPr="0022140F" w:rsidRDefault="00557C61" w:rsidP="005362D8">
            <w:pPr>
              <w:tabs>
                <w:tab w:val="left" w:pos="284"/>
              </w:tabs>
              <w:spacing w:after="20"/>
              <w:jc w:val="center"/>
              <w:rPr>
                <w:sz w:val="18"/>
                <w:szCs w:val="18"/>
              </w:rPr>
            </w:pPr>
          </w:p>
        </w:tc>
        <w:tc>
          <w:tcPr>
            <w:tcW w:w="1932" w:type="dxa"/>
            <w:tcBorders>
              <w:top w:val="nil"/>
              <w:bottom w:val="nil"/>
            </w:tcBorders>
            <w:vAlign w:val="bottom"/>
          </w:tcPr>
          <w:p w14:paraId="5C6476FB" w14:textId="77777777" w:rsidR="00557C61" w:rsidRPr="0022140F" w:rsidRDefault="00557C61" w:rsidP="005362D8">
            <w:pPr>
              <w:tabs>
                <w:tab w:val="left" w:pos="284"/>
              </w:tabs>
              <w:spacing w:after="20"/>
              <w:jc w:val="center"/>
              <w:rPr>
                <w:sz w:val="18"/>
                <w:szCs w:val="18"/>
              </w:rPr>
            </w:pPr>
            <w:r w:rsidRPr="0022140F">
              <w:rPr>
                <w:sz w:val="18"/>
                <w:szCs w:val="18"/>
              </w:rPr>
              <w:t>67.3</w:t>
            </w:r>
          </w:p>
        </w:tc>
      </w:tr>
      <w:tr w:rsidR="00557C61" w:rsidRPr="0022140F" w14:paraId="472D73D3" w14:textId="77777777" w:rsidTr="005362D8">
        <w:trPr>
          <w:cantSplit/>
          <w:trHeight w:val="111"/>
          <w:jc w:val="center"/>
        </w:trPr>
        <w:tc>
          <w:tcPr>
            <w:tcW w:w="3119" w:type="dxa"/>
            <w:tcBorders>
              <w:top w:val="nil"/>
              <w:bottom w:val="nil"/>
            </w:tcBorders>
          </w:tcPr>
          <w:p w14:paraId="39E63A89"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Stable disease</w:t>
            </w:r>
          </w:p>
        </w:tc>
        <w:tc>
          <w:tcPr>
            <w:tcW w:w="1843" w:type="dxa"/>
            <w:tcBorders>
              <w:top w:val="nil"/>
              <w:bottom w:val="nil"/>
            </w:tcBorders>
          </w:tcPr>
          <w:p w14:paraId="50605C01"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71.4</w:t>
            </w:r>
          </w:p>
        </w:tc>
        <w:tc>
          <w:tcPr>
            <w:tcW w:w="1606" w:type="dxa"/>
            <w:tcBorders>
              <w:top w:val="nil"/>
              <w:bottom w:val="nil"/>
            </w:tcBorders>
          </w:tcPr>
          <w:p w14:paraId="1BB68215"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97.3</w:t>
            </w:r>
          </w:p>
        </w:tc>
        <w:tc>
          <w:tcPr>
            <w:tcW w:w="1028" w:type="dxa"/>
            <w:tcBorders>
              <w:top w:val="nil"/>
              <w:bottom w:val="nil"/>
            </w:tcBorders>
          </w:tcPr>
          <w:p w14:paraId="43A932CD" w14:textId="77777777" w:rsidR="00557C61" w:rsidRPr="0022140F" w:rsidRDefault="00557C61" w:rsidP="005362D8">
            <w:pPr>
              <w:tabs>
                <w:tab w:val="left" w:pos="284"/>
              </w:tabs>
              <w:spacing w:after="20"/>
              <w:jc w:val="center"/>
              <w:rPr>
                <w:sz w:val="18"/>
                <w:szCs w:val="18"/>
              </w:rPr>
            </w:pPr>
          </w:p>
        </w:tc>
        <w:tc>
          <w:tcPr>
            <w:tcW w:w="1932" w:type="dxa"/>
            <w:tcBorders>
              <w:top w:val="nil"/>
              <w:bottom w:val="nil"/>
            </w:tcBorders>
            <w:vAlign w:val="bottom"/>
          </w:tcPr>
          <w:p w14:paraId="4D0EADC6" w14:textId="77777777" w:rsidR="00557C61" w:rsidRPr="0022140F" w:rsidRDefault="00557C61" w:rsidP="005362D8">
            <w:pPr>
              <w:tabs>
                <w:tab w:val="left" w:pos="284"/>
              </w:tabs>
              <w:spacing w:after="20"/>
              <w:jc w:val="center"/>
              <w:rPr>
                <w:sz w:val="18"/>
                <w:szCs w:val="18"/>
              </w:rPr>
            </w:pPr>
            <w:r w:rsidRPr="0022140F">
              <w:rPr>
                <w:sz w:val="18"/>
                <w:szCs w:val="18"/>
              </w:rPr>
              <w:t>27.1</w:t>
            </w:r>
          </w:p>
        </w:tc>
      </w:tr>
      <w:tr w:rsidR="00557C61" w:rsidRPr="0022140F" w14:paraId="4E6144F6" w14:textId="77777777" w:rsidTr="005362D8">
        <w:trPr>
          <w:cantSplit/>
          <w:trHeight w:val="120"/>
          <w:jc w:val="center"/>
        </w:trPr>
        <w:tc>
          <w:tcPr>
            <w:tcW w:w="3119" w:type="dxa"/>
            <w:tcBorders>
              <w:top w:val="nil"/>
              <w:bottom w:val="nil"/>
            </w:tcBorders>
          </w:tcPr>
          <w:p w14:paraId="35C138E6"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Progressive disease</w:t>
            </w:r>
          </w:p>
        </w:tc>
        <w:tc>
          <w:tcPr>
            <w:tcW w:w="1843" w:type="dxa"/>
            <w:tcBorders>
              <w:bottom w:val="nil"/>
            </w:tcBorders>
          </w:tcPr>
          <w:p w14:paraId="50B0A1D3"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w:t>
            </w:r>
          </w:p>
        </w:tc>
        <w:tc>
          <w:tcPr>
            <w:tcW w:w="1606" w:type="dxa"/>
            <w:tcBorders>
              <w:bottom w:val="nil"/>
              <w:right w:val="nil"/>
            </w:tcBorders>
          </w:tcPr>
          <w:p w14:paraId="233D066D"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w:t>
            </w:r>
          </w:p>
        </w:tc>
        <w:tc>
          <w:tcPr>
            <w:tcW w:w="1028" w:type="dxa"/>
            <w:tcBorders>
              <w:bottom w:val="nil"/>
              <w:right w:val="nil"/>
            </w:tcBorders>
          </w:tcPr>
          <w:p w14:paraId="772C5737" w14:textId="77777777" w:rsidR="00557C61" w:rsidRPr="0022140F" w:rsidRDefault="00557C61" w:rsidP="005362D8">
            <w:pPr>
              <w:tabs>
                <w:tab w:val="left" w:pos="284"/>
              </w:tabs>
              <w:spacing w:after="20"/>
              <w:jc w:val="center"/>
              <w:rPr>
                <w:sz w:val="18"/>
                <w:szCs w:val="18"/>
              </w:rPr>
            </w:pPr>
          </w:p>
        </w:tc>
        <w:tc>
          <w:tcPr>
            <w:tcW w:w="1932" w:type="dxa"/>
            <w:tcBorders>
              <w:bottom w:val="nil"/>
              <w:right w:val="nil"/>
            </w:tcBorders>
            <w:vAlign w:val="bottom"/>
          </w:tcPr>
          <w:p w14:paraId="7B1ACE17" w14:textId="77777777" w:rsidR="00557C61" w:rsidRPr="0022140F" w:rsidRDefault="00557C61" w:rsidP="005362D8">
            <w:pPr>
              <w:tabs>
                <w:tab w:val="left" w:pos="284"/>
              </w:tabs>
              <w:spacing w:after="20"/>
              <w:jc w:val="center"/>
              <w:rPr>
                <w:sz w:val="18"/>
                <w:szCs w:val="18"/>
              </w:rPr>
            </w:pPr>
            <w:r w:rsidRPr="0022140F">
              <w:rPr>
                <w:sz w:val="18"/>
                <w:szCs w:val="18"/>
              </w:rPr>
              <w:t>0</w:t>
            </w:r>
          </w:p>
        </w:tc>
      </w:tr>
      <w:tr w:rsidR="00557C61" w:rsidRPr="0022140F" w14:paraId="275AF398" w14:textId="77777777" w:rsidTr="005362D8">
        <w:trPr>
          <w:cantSplit/>
          <w:trHeight w:val="120"/>
          <w:jc w:val="center"/>
        </w:trPr>
        <w:tc>
          <w:tcPr>
            <w:tcW w:w="3119" w:type="dxa"/>
            <w:tcBorders>
              <w:top w:val="nil"/>
              <w:bottom w:val="single" w:sz="4" w:space="0" w:color="auto"/>
            </w:tcBorders>
          </w:tcPr>
          <w:p w14:paraId="049F6DE8"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Not evaluable</w:t>
            </w:r>
          </w:p>
        </w:tc>
        <w:tc>
          <w:tcPr>
            <w:tcW w:w="1843" w:type="dxa"/>
            <w:tcBorders>
              <w:top w:val="nil"/>
              <w:bottom w:val="single" w:sz="4" w:space="0" w:color="auto"/>
            </w:tcBorders>
          </w:tcPr>
          <w:p w14:paraId="73481D44"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2.6</w:t>
            </w:r>
          </w:p>
        </w:tc>
        <w:tc>
          <w:tcPr>
            <w:tcW w:w="1606" w:type="dxa"/>
            <w:tcBorders>
              <w:top w:val="nil"/>
              <w:bottom w:val="single" w:sz="4" w:space="0" w:color="auto"/>
              <w:right w:val="nil"/>
            </w:tcBorders>
          </w:tcPr>
          <w:p w14:paraId="3097BE8D"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2.7</w:t>
            </w:r>
          </w:p>
        </w:tc>
        <w:tc>
          <w:tcPr>
            <w:tcW w:w="1028" w:type="dxa"/>
            <w:tcBorders>
              <w:top w:val="nil"/>
              <w:bottom w:val="single" w:sz="4" w:space="0" w:color="auto"/>
              <w:right w:val="nil"/>
            </w:tcBorders>
          </w:tcPr>
          <w:p w14:paraId="48760302" w14:textId="77777777" w:rsidR="00557C61" w:rsidRPr="0022140F" w:rsidRDefault="00557C61" w:rsidP="005362D8">
            <w:pPr>
              <w:tabs>
                <w:tab w:val="left" w:pos="284"/>
              </w:tabs>
              <w:spacing w:after="20"/>
              <w:jc w:val="center"/>
              <w:rPr>
                <w:sz w:val="18"/>
                <w:szCs w:val="18"/>
              </w:rPr>
            </w:pPr>
          </w:p>
        </w:tc>
        <w:tc>
          <w:tcPr>
            <w:tcW w:w="1932" w:type="dxa"/>
            <w:tcBorders>
              <w:top w:val="nil"/>
              <w:bottom w:val="single" w:sz="4" w:space="0" w:color="auto"/>
              <w:right w:val="nil"/>
            </w:tcBorders>
            <w:vAlign w:val="bottom"/>
          </w:tcPr>
          <w:p w14:paraId="725E511E" w14:textId="77777777" w:rsidR="00557C61" w:rsidRPr="0022140F" w:rsidRDefault="00557C61" w:rsidP="005362D8">
            <w:pPr>
              <w:tabs>
                <w:tab w:val="left" w:pos="284"/>
              </w:tabs>
              <w:spacing w:after="20"/>
              <w:jc w:val="center"/>
              <w:rPr>
                <w:sz w:val="18"/>
                <w:szCs w:val="18"/>
              </w:rPr>
            </w:pPr>
            <w:r w:rsidRPr="0022140F">
              <w:rPr>
                <w:sz w:val="18"/>
                <w:szCs w:val="18"/>
              </w:rPr>
              <w:t>4.7</w:t>
            </w:r>
          </w:p>
        </w:tc>
      </w:tr>
      <w:tr w:rsidR="00557C61" w:rsidRPr="0022140F" w14:paraId="2778BDF3" w14:textId="77777777" w:rsidTr="005362D8">
        <w:trPr>
          <w:cantSplit/>
          <w:trHeight w:val="288"/>
          <w:jc w:val="center"/>
        </w:trPr>
        <w:tc>
          <w:tcPr>
            <w:tcW w:w="9528" w:type="dxa"/>
            <w:gridSpan w:val="5"/>
            <w:tcBorders>
              <w:top w:val="single" w:sz="4" w:space="0" w:color="auto"/>
              <w:bottom w:val="nil"/>
            </w:tcBorders>
          </w:tcPr>
          <w:p w14:paraId="673FE642" w14:textId="77777777" w:rsidR="00557C61" w:rsidRPr="0022140F" w:rsidRDefault="00557C61" w:rsidP="005362D8">
            <w:pPr>
              <w:pStyle w:val="Legend"/>
              <w:keepLines w:val="0"/>
              <w:rPr>
                <w:rFonts w:asciiTheme="minorHAnsi" w:hAnsiTheme="minorHAnsi"/>
                <w:i/>
                <w:sz w:val="16"/>
                <w:szCs w:val="16"/>
              </w:rPr>
            </w:pPr>
            <w:r w:rsidRPr="0022140F">
              <w:rPr>
                <w:rFonts w:asciiTheme="minorHAnsi" w:hAnsiTheme="minorHAnsi"/>
                <w:i/>
                <w:sz w:val="16"/>
                <w:szCs w:val="16"/>
                <w:vertAlign w:val="superscript"/>
              </w:rPr>
              <w:lastRenderedPageBreak/>
              <w:t>1</w:t>
            </w:r>
            <w:r w:rsidRPr="0022140F">
              <w:rPr>
                <w:rFonts w:asciiTheme="minorHAnsi" w:hAnsiTheme="minorHAnsi"/>
                <w:i/>
                <w:sz w:val="16"/>
                <w:szCs w:val="16"/>
              </w:rPr>
              <w:t xml:space="preserve"> Complete clinical response or partial response</w:t>
            </w:r>
          </w:p>
          <w:p w14:paraId="19715C3A" w14:textId="77777777" w:rsidR="00557C61" w:rsidRPr="0022140F" w:rsidRDefault="00557C61" w:rsidP="005362D8">
            <w:pPr>
              <w:pStyle w:val="Legend"/>
              <w:keepLines w:val="0"/>
              <w:rPr>
                <w:rFonts w:asciiTheme="minorHAnsi" w:hAnsiTheme="minorHAnsi"/>
                <w:i/>
                <w:sz w:val="16"/>
                <w:szCs w:val="16"/>
              </w:rPr>
            </w:pPr>
            <w:r w:rsidRPr="0022140F">
              <w:rPr>
                <w:rFonts w:asciiTheme="minorHAnsi" w:hAnsiTheme="minorHAnsi"/>
                <w:i/>
                <w:sz w:val="16"/>
                <w:szCs w:val="16"/>
                <w:vertAlign w:val="superscript"/>
              </w:rPr>
              <w:t>2</w:t>
            </w:r>
            <w:r w:rsidRPr="0022140F">
              <w:rPr>
                <w:rFonts w:asciiTheme="minorHAnsi" w:hAnsiTheme="minorHAnsi"/>
                <w:i/>
                <w:sz w:val="16"/>
                <w:szCs w:val="16"/>
              </w:rPr>
              <w:t xml:space="preserve"> Per investigator</w:t>
            </w:r>
          </w:p>
          <w:p w14:paraId="2CEBE647" w14:textId="77777777" w:rsidR="00557C61" w:rsidRPr="0022140F" w:rsidRDefault="00557C61" w:rsidP="005362D8">
            <w:pPr>
              <w:pStyle w:val="Legend"/>
              <w:keepLines w:val="0"/>
              <w:rPr>
                <w:rFonts w:asciiTheme="minorHAnsi" w:hAnsiTheme="minorHAnsi"/>
                <w:i/>
                <w:sz w:val="16"/>
                <w:szCs w:val="16"/>
              </w:rPr>
            </w:pPr>
            <w:r w:rsidRPr="0022140F">
              <w:rPr>
                <w:rFonts w:asciiTheme="minorHAnsi" w:hAnsiTheme="minorHAnsi"/>
                <w:i/>
                <w:sz w:val="16"/>
                <w:szCs w:val="16"/>
                <w:vertAlign w:val="superscript"/>
              </w:rPr>
              <w:t>3</w:t>
            </w:r>
            <w:r w:rsidRPr="0022140F">
              <w:rPr>
                <w:rFonts w:asciiTheme="minorHAnsi" w:hAnsiTheme="minorHAnsi"/>
                <w:i/>
                <w:sz w:val="16"/>
                <w:szCs w:val="16"/>
              </w:rPr>
              <w:t xml:space="preserve"> Skin lesion response was determined for the 114 patients with ≥ 1 skin lesion at baseline.</w:t>
            </w:r>
          </w:p>
          <w:p w14:paraId="70EDF706" w14:textId="77777777" w:rsidR="00557C61" w:rsidRPr="0022140F" w:rsidRDefault="00557C61" w:rsidP="005362D8">
            <w:pPr>
              <w:pStyle w:val="Legend"/>
              <w:keepLines w:val="0"/>
              <w:rPr>
                <w:rFonts w:asciiTheme="minorHAnsi" w:hAnsiTheme="minorHAnsi"/>
                <w:i/>
                <w:sz w:val="16"/>
                <w:szCs w:val="16"/>
              </w:rPr>
            </w:pPr>
            <w:r w:rsidRPr="0022140F">
              <w:rPr>
                <w:rFonts w:asciiTheme="minorHAnsi" w:hAnsiTheme="minorHAnsi"/>
                <w:i/>
                <w:sz w:val="16"/>
                <w:szCs w:val="16"/>
                <w:vertAlign w:val="superscript"/>
              </w:rPr>
              <w:t>4</w:t>
            </w:r>
            <w:r w:rsidRPr="0022140F">
              <w:rPr>
                <w:rFonts w:asciiTheme="minorHAnsi" w:hAnsiTheme="minorHAnsi"/>
                <w:i/>
                <w:sz w:val="16"/>
                <w:szCs w:val="16"/>
              </w:rPr>
              <w:t xml:space="preserve"> Skin lesion response was defined as ≥ 50% improvement in appearance of skin lesions by Physician’s Global Assessment of Clinical Condition.</w:t>
            </w:r>
          </w:p>
          <w:p w14:paraId="742A9B16" w14:textId="77777777" w:rsidR="00557C61" w:rsidRPr="0022140F" w:rsidRDefault="00557C61" w:rsidP="005362D8">
            <w:pPr>
              <w:pStyle w:val="Legend"/>
              <w:rPr>
                <w:rFonts w:asciiTheme="minorHAnsi" w:hAnsiTheme="minorHAnsi"/>
                <w:i/>
                <w:sz w:val="16"/>
                <w:szCs w:val="16"/>
              </w:rPr>
            </w:pPr>
            <w:r w:rsidRPr="0022140F">
              <w:rPr>
                <w:rFonts w:asciiTheme="minorHAnsi" w:hAnsiTheme="minorHAnsi"/>
                <w:i/>
                <w:sz w:val="16"/>
                <w:szCs w:val="16"/>
                <w:vertAlign w:val="superscript"/>
              </w:rPr>
              <w:t>5</w:t>
            </w:r>
            <w:r w:rsidRPr="0022140F">
              <w:rPr>
                <w:rFonts w:asciiTheme="minorHAnsi" w:hAnsiTheme="minorHAnsi"/>
                <w:i/>
                <w:sz w:val="16"/>
                <w:szCs w:val="16"/>
              </w:rPr>
              <w:t xml:space="preserve"> Primary analysis for double blind period</w:t>
            </w:r>
          </w:p>
          <w:p w14:paraId="218C8937" w14:textId="77777777" w:rsidR="00557C61" w:rsidRPr="0022140F" w:rsidRDefault="00557C61" w:rsidP="005362D8">
            <w:pPr>
              <w:pStyle w:val="Legend"/>
              <w:keepLines w:val="0"/>
              <w:rPr>
                <w:rFonts w:asciiTheme="minorHAnsi" w:hAnsiTheme="minorHAnsi"/>
                <w:i/>
                <w:sz w:val="16"/>
                <w:szCs w:val="16"/>
                <w:vertAlign w:val="superscript"/>
              </w:rPr>
            </w:pPr>
            <w:r w:rsidRPr="0022140F">
              <w:rPr>
                <w:rFonts w:asciiTheme="minorHAnsi" w:hAnsiTheme="minorHAnsi"/>
                <w:i/>
                <w:sz w:val="16"/>
                <w:szCs w:val="16"/>
                <w:vertAlign w:val="superscript"/>
              </w:rPr>
              <w:t>6</w:t>
            </w:r>
            <w:r w:rsidRPr="0022140F">
              <w:rPr>
                <w:rFonts w:asciiTheme="minorHAnsi" w:hAnsiTheme="minorHAnsi"/>
                <w:i/>
                <w:sz w:val="16"/>
                <w:szCs w:val="16"/>
              </w:rPr>
              <w:t xml:space="preserve"> Final analysis includes patients who crossed over from the placebo group; median duration of exposure to </w:t>
            </w:r>
            <w:proofErr w:type="spellStart"/>
            <w:r w:rsidRPr="0022140F">
              <w:rPr>
                <w:rFonts w:asciiTheme="minorHAnsi" w:hAnsiTheme="minorHAnsi"/>
                <w:i/>
                <w:sz w:val="16"/>
                <w:szCs w:val="16"/>
              </w:rPr>
              <w:t>everolimus</w:t>
            </w:r>
            <w:proofErr w:type="spellEnd"/>
            <w:r w:rsidRPr="0022140F">
              <w:rPr>
                <w:rFonts w:asciiTheme="minorHAnsi" w:hAnsiTheme="minorHAnsi"/>
                <w:i/>
                <w:sz w:val="16"/>
                <w:szCs w:val="16"/>
              </w:rPr>
              <w:t xml:space="preserve"> of 204.1 weeks</w:t>
            </w:r>
          </w:p>
        </w:tc>
      </w:tr>
    </w:tbl>
    <w:p w14:paraId="5E1BEB3E" w14:textId="77777777" w:rsidR="00557C61" w:rsidRPr="0022140F" w:rsidRDefault="00557C61" w:rsidP="00557C61"/>
    <w:p w14:paraId="701C8CCD" w14:textId="77777777" w:rsidR="00557C61" w:rsidRDefault="00557C61" w:rsidP="00557C61">
      <w:r w:rsidRPr="0022140F">
        <w:t xml:space="preserve">In an exploratory analysis of patients with TSC with </w:t>
      </w:r>
      <w:proofErr w:type="spellStart"/>
      <w:r w:rsidRPr="0022140F">
        <w:t>angiomyolipoma</w:t>
      </w:r>
      <w:proofErr w:type="spellEnd"/>
      <w:r w:rsidRPr="0022140F">
        <w:t xml:space="preserve"> who also had SEGA, the SEGA response rate (proportion of patients with ≥50% reduction from baseline in target lesion volumes in the absence of progression) was 10.3% (4/39) in the </w:t>
      </w:r>
      <w:proofErr w:type="spellStart"/>
      <w:r w:rsidRPr="0022140F">
        <w:t>everolimus</w:t>
      </w:r>
      <w:proofErr w:type="spellEnd"/>
      <w:r w:rsidRPr="0022140F">
        <w:t xml:space="preserve"> arm at the primary analysis (versus no responses reported in the 13 patients randomized to placebo with a SEGA lesion at baseline) and increased to 48.0% (24/50) at the final analysis.</w:t>
      </w:r>
    </w:p>
    <w:p w14:paraId="1252882A" w14:textId="77777777" w:rsidR="00557C61" w:rsidRPr="0022140F" w:rsidRDefault="00557C61" w:rsidP="00557C61">
      <w:pPr>
        <w:rPr>
          <w:lang w:val="en-US"/>
        </w:rPr>
      </w:pPr>
    </w:p>
    <w:p w14:paraId="033E781F" w14:textId="77777777" w:rsidR="00557C61" w:rsidRPr="00E253EE" w:rsidRDefault="00557C61" w:rsidP="00557C61">
      <w:pPr>
        <w:rPr>
          <w:b/>
          <w:u w:val="single"/>
          <w:lang w:val="en-GB"/>
        </w:rPr>
      </w:pPr>
      <w:r w:rsidRPr="00E253EE">
        <w:rPr>
          <w:b/>
          <w:u w:val="single"/>
          <w:lang w:val="en-GB"/>
        </w:rPr>
        <w:t xml:space="preserve">Tuberous sclerosis complex (TSC) with </w:t>
      </w:r>
      <w:proofErr w:type="spellStart"/>
      <w:r w:rsidRPr="00E253EE">
        <w:rPr>
          <w:b/>
          <w:u w:val="single"/>
          <w:lang w:val="en-GB"/>
        </w:rPr>
        <w:t>Subependymal</w:t>
      </w:r>
      <w:proofErr w:type="spellEnd"/>
      <w:r w:rsidRPr="00E253EE">
        <w:rPr>
          <w:b/>
          <w:u w:val="single"/>
          <w:lang w:val="en-GB"/>
        </w:rPr>
        <w:t xml:space="preserve"> giant cell astrocytoma (SEGA)</w:t>
      </w:r>
    </w:p>
    <w:p w14:paraId="0E92EDF8" w14:textId="77777777" w:rsidR="00557C61" w:rsidRPr="0022140F" w:rsidRDefault="00557C61" w:rsidP="00557C61">
      <w:pPr>
        <w:rPr>
          <w:b/>
        </w:rPr>
      </w:pPr>
      <w:r w:rsidRPr="0022140F">
        <w:rPr>
          <w:b/>
        </w:rPr>
        <w:t>Phase III trial in patients with TSC who have SEGA</w:t>
      </w:r>
    </w:p>
    <w:p w14:paraId="35BFF91F" w14:textId="77777777" w:rsidR="00557C61" w:rsidRPr="0022140F" w:rsidRDefault="00557C61" w:rsidP="00557C61">
      <w:pPr>
        <w:rPr>
          <w:lang w:val="en-GB"/>
        </w:rPr>
      </w:pPr>
      <w:r w:rsidRPr="0022140F">
        <w:rPr>
          <w:lang w:val="en-GB"/>
        </w:rPr>
        <w:t xml:space="preserve">EXIST-1 (Study CRAD001M2301), a randomised, double-blind, multicentre phase III study of </w:t>
      </w:r>
      <w:proofErr w:type="spellStart"/>
      <w:r w:rsidRPr="0022140F">
        <w:rPr>
          <w:lang w:val="en-GB"/>
        </w:rPr>
        <w:t>Afinitor</w:t>
      </w:r>
      <w:proofErr w:type="spellEnd"/>
      <w:r w:rsidRPr="0022140F">
        <w:rPr>
          <w:lang w:val="en-GB"/>
        </w:rPr>
        <w:t xml:space="preserve"> versus placebo was conducted in patients with TSC who have SEGA, irrespective of age. </w:t>
      </w:r>
      <w:r w:rsidRPr="0022140F">
        <w:rPr>
          <w:rFonts w:eastAsia="Calibri"/>
          <w:lang w:val="en-US"/>
        </w:rPr>
        <w:t xml:space="preserve">The study required the titration of </w:t>
      </w:r>
      <w:proofErr w:type="spellStart"/>
      <w:r w:rsidRPr="0022140F">
        <w:rPr>
          <w:rFonts w:eastAsia="Calibri"/>
          <w:lang w:val="en-US"/>
        </w:rPr>
        <w:t>Afinitor</w:t>
      </w:r>
      <w:proofErr w:type="spellEnd"/>
      <w:r w:rsidRPr="0022140F">
        <w:rPr>
          <w:rFonts w:eastAsia="Calibri"/>
          <w:lang w:val="en-US"/>
        </w:rPr>
        <w:t xml:space="preserve"> from an initial starting dose of 4.5 mg/m</w:t>
      </w:r>
      <w:r w:rsidRPr="0022140F">
        <w:rPr>
          <w:rFonts w:eastAsia="Calibri"/>
          <w:vertAlign w:val="superscript"/>
          <w:lang w:val="en-US"/>
        </w:rPr>
        <w:t>2</w:t>
      </w:r>
      <w:r w:rsidRPr="0022140F">
        <w:rPr>
          <w:rFonts w:eastAsia="Calibri"/>
          <w:lang w:val="en-US"/>
        </w:rPr>
        <w:t xml:space="preserve">/day, subject to tolerability, with the objective of attaining trough concentrations consistent with the revised 5 to 15 ng/mL range. </w:t>
      </w:r>
      <w:r w:rsidRPr="0022140F">
        <w:rPr>
          <w:lang w:val="en-GB"/>
        </w:rPr>
        <w:t xml:space="preserve">Patients were randomised in a 2:1 ratio to receive either </w:t>
      </w:r>
      <w:proofErr w:type="spellStart"/>
      <w:r w:rsidRPr="0022140F">
        <w:rPr>
          <w:lang w:val="en-GB"/>
        </w:rPr>
        <w:t>Afinitor</w:t>
      </w:r>
      <w:proofErr w:type="spellEnd"/>
      <w:r w:rsidRPr="0022140F">
        <w:rPr>
          <w:lang w:val="en-GB"/>
        </w:rPr>
        <w:t xml:space="preserve"> or matching placebo. Presence of at least one SEGA lesion ≥ 1.0 cm in longest diameter using MRI (based on local radiology assessment) was required for entry. In addition, serial radiological evidence of SEGA growth, presence of a new SEGA lesion ≥ 1 cm in longest diameter, or new or worsening hydrocephalus was required for entry.</w:t>
      </w:r>
    </w:p>
    <w:p w14:paraId="20C4E352" w14:textId="77777777" w:rsidR="00557C61" w:rsidRPr="0022140F" w:rsidRDefault="00557C61" w:rsidP="00557C61">
      <w:pPr>
        <w:rPr>
          <w:lang w:val="en-GB"/>
        </w:rPr>
      </w:pPr>
      <w:r w:rsidRPr="0022140F">
        <w:rPr>
          <w:lang w:val="en-GB"/>
        </w:rPr>
        <w:t>The primary efficacy endpoint was SEGA response rate based on independent central radiology review. The analysis was stratified by use of enzyme-inducing antiepileptic drugs (EIAEDs) at randomisation (yes/no).</w:t>
      </w:r>
    </w:p>
    <w:p w14:paraId="3C517816" w14:textId="77777777" w:rsidR="00557C61" w:rsidRPr="0022140F" w:rsidRDefault="00557C61" w:rsidP="00557C61">
      <w:pPr>
        <w:rPr>
          <w:lang w:val="en-GB"/>
        </w:rPr>
      </w:pPr>
      <w:r w:rsidRPr="0022140F">
        <w:rPr>
          <w:lang w:val="en-GB"/>
        </w:rPr>
        <w:t>Key secondary endpoints in hierarchal order of testing included the absolute change in frequency of total seizure events per 24-hour EEG from baseline to Week 24, time to SEGA progression, and skin lesion response rate.</w:t>
      </w:r>
    </w:p>
    <w:p w14:paraId="1C78BFC8" w14:textId="77777777" w:rsidR="00557C61" w:rsidRPr="0022140F" w:rsidRDefault="00557C61" w:rsidP="00557C61">
      <w:pPr>
        <w:rPr>
          <w:lang w:val="en-GB"/>
        </w:rPr>
      </w:pPr>
      <w:r w:rsidRPr="0022140F">
        <w:rPr>
          <w:lang w:val="en-GB"/>
        </w:rPr>
        <w:t xml:space="preserve">A total of 117 patients were randomised, 78 to </w:t>
      </w:r>
      <w:proofErr w:type="spellStart"/>
      <w:r w:rsidRPr="0022140F">
        <w:rPr>
          <w:lang w:val="en-GB"/>
        </w:rPr>
        <w:t>Afinitor</w:t>
      </w:r>
      <w:proofErr w:type="spellEnd"/>
      <w:r w:rsidRPr="0022140F">
        <w:rPr>
          <w:lang w:val="en-GB"/>
        </w:rPr>
        <w:t xml:space="preserve"> and 39 to placebo. The two treatment arms were generally well balanced with respect to demographic and baseline disease characteristics and history of prior anti-SEGA therapies. Median age was 9.5 years (range: 0.8 to 26.6; 69.2% were 3 to &lt; 18 years at enrolment; 17.1% were &lt; 3 years at enrolment), 57.3% were male, and 93.2% were Caucasian. Of the enrolled patients, 79.5% had bilateral SEGAs, 42.7% had ≥ 2 target SEGA lesions, 25.6% had inferior growth, 9.4% had evidence of deep parenchymal invasion, 6.8% had radiographic evidence of hydrocephalus, and 6.8% had undergone prior SEGA-related surgery; 94.0% had skin lesions at baseline and 37.6% had target renal </w:t>
      </w:r>
      <w:proofErr w:type="spellStart"/>
      <w:r w:rsidRPr="0022140F">
        <w:rPr>
          <w:lang w:val="en-GB"/>
        </w:rPr>
        <w:t>angiomyolipoma</w:t>
      </w:r>
      <w:proofErr w:type="spellEnd"/>
      <w:r w:rsidRPr="0022140F">
        <w:rPr>
          <w:lang w:val="en-GB"/>
        </w:rPr>
        <w:t xml:space="preserve"> lesions (at least one </w:t>
      </w:r>
      <w:proofErr w:type="spellStart"/>
      <w:r w:rsidRPr="0022140F">
        <w:rPr>
          <w:lang w:val="en-GB"/>
        </w:rPr>
        <w:t>angiomyolipoma</w:t>
      </w:r>
      <w:proofErr w:type="spellEnd"/>
      <w:r w:rsidRPr="0022140F">
        <w:rPr>
          <w:lang w:val="en-GB"/>
        </w:rPr>
        <w:t xml:space="preserve"> ≥ 1 cm in longest diameter). The median duration of blinded study treatment was 52.2 weeks (range 24 to 89) for patients receiving </w:t>
      </w:r>
      <w:proofErr w:type="spellStart"/>
      <w:r w:rsidRPr="0022140F">
        <w:rPr>
          <w:lang w:val="en-GB"/>
        </w:rPr>
        <w:t>Afinitor</w:t>
      </w:r>
      <w:proofErr w:type="spellEnd"/>
      <w:r w:rsidRPr="0022140F">
        <w:rPr>
          <w:lang w:val="en-GB"/>
        </w:rPr>
        <w:t xml:space="preserve"> and 46.6 weeks (range 14 to 88) for those receiving placebo.</w:t>
      </w:r>
    </w:p>
    <w:p w14:paraId="5F6222B0" w14:textId="0EF93F66" w:rsidR="00557C61" w:rsidRPr="0022140F" w:rsidRDefault="00557C61" w:rsidP="00557C61">
      <w:pPr>
        <w:rPr>
          <w:lang w:val="en-GB"/>
        </w:rPr>
      </w:pPr>
      <w:r w:rsidRPr="0022140F">
        <w:rPr>
          <w:lang w:val="en-GB"/>
        </w:rPr>
        <w:lastRenderedPageBreak/>
        <w:t xml:space="preserve">Results showed that </w:t>
      </w:r>
      <w:proofErr w:type="spellStart"/>
      <w:r w:rsidRPr="0022140F">
        <w:rPr>
          <w:lang w:val="en-GB"/>
        </w:rPr>
        <w:t>Afinitor</w:t>
      </w:r>
      <w:proofErr w:type="spellEnd"/>
      <w:r w:rsidRPr="0022140F">
        <w:rPr>
          <w:lang w:val="en-GB"/>
        </w:rPr>
        <w:t xml:space="preserve"> was superior to placebo for the primary endpoint of best overall SEGA response (p&lt;0.0001) (see footnote 2 in </w:t>
      </w:r>
      <w:r w:rsidRPr="0022140F">
        <w:rPr>
          <w:lang w:val="en-GB"/>
        </w:rPr>
        <w:fldChar w:fldCharType="begin"/>
      </w:r>
      <w:r w:rsidRPr="0022140F">
        <w:rPr>
          <w:lang w:val="en-GB"/>
        </w:rPr>
        <w:instrText xml:space="preserve"> REF _Ref491096661 \h  \* MERGEFORMAT </w:instrText>
      </w:r>
      <w:r w:rsidRPr="0022140F">
        <w:rPr>
          <w:lang w:val="en-GB"/>
        </w:rPr>
      </w:r>
      <w:r w:rsidRPr="0022140F">
        <w:rPr>
          <w:lang w:val="en-GB"/>
        </w:rPr>
        <w:fldChar w:fldCharType="separate"/>
      </w:r>
      <w:r w:rsidR="00D64407" w:rsidRPr="00D64407">
        <w:rPr>
          <w:lang w:val="en-GB"/>
        </w:rPr>
        <w:t>Table 16</w:t>
      </w:r>
      <w:r w:rsidRPr="0022140F">
        <w:rPr>
          <w:lang w:val="en-GB"/>
        </w:rPr>
        <w:fldChar w:fldCharType="end"/>
      </w:r>
      <w:r w:rsidRPr="0022140F">
        <w:rPr>
          <w:lang w:val="en-GB"/>
        </w:rPr>
        <w:t xml:space="preserve">).  Response rates were 34.6% (95% CI: 24.2, 46.2) for the </w:t>
      </w:r>
      <w:proofErr w:type="spellStart"/>
      <w:r w:rsidRPr="0022140F">
        <w:rPr>
          <w:lang w:val="en-GB"/>
        </w:rPr>
        <w:t>Afinitor</w:t>
      </w:r>
      <w:proofErr w:type="spellEnd"/>
      <w:r w:rsidRPr="0022140F">
        <w:rPr>
          <w:lang w:val="en-GB"/>
        </w:rPr>
        <w:t xml:space="preserve"> arm compared with 0% (95% CI: 0.0, 9.0) for the placebo arm (</w:t>
      </w:r>
      <w:r w:rsidRPr="0022140F">
        <w:rPr>
          <w:lang w:val="en-GB"/>
        </w:rPr>
        <w:fldChar w:fldCharType="begin"/>
      </w:r>
      <w:r w:rsidRPr="0022140F">
        <w:rPr>
          <w:lang w:val="en-GB"/>
        </w:rPr>
        <w:instrText xml:space="preserve"> REF _Ref491096661 \h  \* MERGEFORMAT </w:instrText>
      </w:r>
      <w:r w:rsidRPr="0022140F">
        <w:rPr>
          <w:lang w:val="en-GB"/>
        </w:rPr>
      </w:r>
      <w:r w:rsidRPr="0022140F">
        <w:rPr>
          <w:lang w:val="en-GB"/>
        </w:rPr>
        <w:fldChar w:fldCharType="separate"/>
      </w:r>
      <w:r w:rsidR="00D64407" w:rsidRPr="00D64407">
        <w:rPr>
          <w:lang w:val="en-GB"/>
        </w:rPr>
        <w:t>Table 16</w:t>
      </w:r>
      <w:r w:rsidRPr="0022140F">
        <w:rPr>
          <w:lang w:val="en-GB"/>
        </w:rPr>
        <w:fldChar w:fldCharType="end"/>
      </w:r>
      <w:r w:rsidRPr="0022140F">
        <w:rPr>
          <w:lang w:val="en-GB"/>
        </w:rPr>
        <w:t xml:space="preserve">). In addition, all 8 patients on the </w:t>
      </w:r>
      <w:proofErr w:type="spellStart"/>
      <w:r w:rsidRPr="0022140F">
        <w:rPr>
          <w:lang w:val="en-GB"/>
        </w:rPr>
        <w:t>Afinitor</w:t>
      </w:r>
      <w:proofErr w:type="spellEnd"/>
      <w:r w:rsidRPr="0022140F">
        <w:rPr>
          <w:lang w:val="en-GB"/>
        </w:rPr>
        <w:t xml:space="preserve"> arm who had radiographic evidence of hydrocephalus at baseline had a decrease in ventricular volume.</w:t>
      </w:r>
    </w:p>
    <w:p w14:paraId="52D99B45" w14:textId="77777777" w:rsidR="00557C61" w:rsidRPr="0022140F" w:rsidRDefault="00557C61" w:rsidP="00557C61">
      <w:r w:rsidRPr="0022140F">
        <w:t xml:space="preserve">Patients initially treated with placebo were allowed to cross over to </w:t>
      </w:r>
      <w:proofErr w:type="spellStart"/>
      <w:r w:rsidRPr="0022140F">
        <w:t>everolimus</w:t>
      </w:r>
      <w:proofErr w:type="spellEnd"/>
      <w:r w:rsidRPr="0022140F">
        <w:t xml:space="preserve"> at the time of SEGA progression and upon recognition that treatment with </w:t>
      </w:r>
      <w:proofErr w:type="spellStart"/>
      <w:r w:rsidRPr="0022140F">
        <w:t>everolimus</w:t>
      </w:r>
      <w:proofErr w:type="spellEnd"/>
      <w:r w:rsidRPr="0022140F">
        <w:t xml:space="preserve"> was superior to treatment with placebo. All patients receiving at least one dose of </w:t>
      </w:r>
      <w:proofErr w:type="spellStart"/>
      <w:r w:rsidRPr="0022140F">
        <w:t>everolimus</w:t>
      </w:r>
      <w:proofErr w:type="spellEnd"/>
      <w:r w:rsidRPr="0022140F">
        <w:t xml:space="preserve"> were followed until drug discontinuation or study completion. At the time of final analysis, the median duration of exposure to </w:t>
      </w:r>
      <w:proofErr w:type="spellStart"/>
      <w:r w:rsidRPr="0022140F">
        <w:t>everolimus</w:t>
      </w:r>
      <w:proofErr w:type="spellEnd"/>
      <w:r w:rsidRPr="0022140F">
        <w:t xml:space="preserve"> among all such patients was 204.9 weeks (range 8.1 to 253.7). The best overall SEGA response rate had increased to 57.7% (95% CI: 47.9, 67.0) at the final analysis.</w:t>
      </w:r>
    </w:p>
    <w:p w14:paraId="01267E09" w14:textId="77777777" w:rsidR="00557C61" w:rsidRPr="0022140F" w:rsidRDefault="00557C61" w:rsidP="00557C61">
      <w:r w:rsidRPr="0022140F">
        <w:t>No patient required surgical intervention for SEGA during the entire course of the study.</w:t>
      </w:r>
      <w:bookmarkStart w:id="57" w:name="_Toc315235650"/>
    </w:p>
    <w:p w14:paraId="3CBDDC30" w14:textId="77777777" w:rsidR="00557C61" w:rsidRPr="0022140F" w:rsidRDefault="00557C61" w:rsidP="00557C61">
      <w:pPr>
        <w:pStyle w:val="Caption"/>
        <w:keepNext/>
        <w:rPr>
          <w:rFonts w:asciiTheme="minorHAnsi" w:hAnsiTheme="minorHAnsi"/>
        </w:rPr>
      </w:pPr>
      <w:bookmarkStart w:id="58" w:name="_Ref491096661"/>
      <w:bookmarkStart w:id="59" w:name="_Ref491096873"/>
      <w:r w:rsidRPr="0022140F">
        <w:rPr>
          <w:rFonts w:asciiTheme="minorHAnsi" w:hAnsiTheme="minorHAnsi"/>
        </w:rPr>
        <w:t xml:space="preserve">Table </w:t>
      </w:r>
      <w:r w:rsidRPr="0022140F">
        <w:rPr>
          <w:rFonts w:asciiTheme="minorHAnsi" w:hAnsiTheme="minorHAnsi"/>
        </w:rPr>
        <w:fldChar w:fldCharType="begin"/>
      </w:r>
      <w:r w:rsidRPr="0022140F">
        <w:rPr>
          <w:rFonts w:asciiTheme="minorHAnsi" w:hAnsiTheme="minorHAnsi"/>
        </w:rPr>
        <w:instrText xml:space="preserve"> SEQ Table \* ARABIC </w:instrText>
      </w:r>
      <w:r w:rsidRPr="0022140F">
        <w:rPr>
          <w:rFonts w:asciiTheme="minorHAnsi" w:hAnsiTheme="minorHAnsi"/>
        </w:rPr>
        <w:fldChar w:fldCharType="separate"/>
      </w:r>
      <w:r w:rsidR="00D64407">
        <w:rPr>
          <w:rFonts w:asciiTheme="minorHAnsi" w:hAnsiTheme="minorHAnsi"/>
          <w:noProof/>
        </w:rPr>
        <w:t>16</w:t>
      </w:r>
      <w:r w:rsidRPr="0022140F">
        <w:rPr>
          <w:rFonts w:asciiTheme="minorHAnsi" w:hAnsiTheme="minorHAnsi"/>
        </w:rPr>
        <w:fldChar w:fldCharType="end"/>
      </w:r>
      <w:bookmarkEnd w:id="58"/>
      <w:r w:rsidRPr="0022140F">
        <w:rPr>
          <w:rFonts w:asciiTheme="minorHAnsi" w:hAnsiTheme="minorHAnsi"/>
        </w:rPr>
        <w:t xml:space="preserve"> </w:t>
      </w:r>
      <w:r w:rsidRPr="0022140F">
        <w:rPr>
          <w:rFonts w:asciiTheme="minorHAnsi" w:hAnsiTheme="minorHAnsi"/>
        </w:rPr>
        <w:tab/>
        <w:t>EXIST-1 – SEGA response</w:t>
      </w:r>
      <w:bookmarkEnd w:id="59"/>
    </w:p>
    <w:tbl>
      <w:tblPr>
        <w:tblW w:w="0" w:type="auto"/>
        <w:tblLayout w:type="fixed"/>
        <w:tblCellMar>
          <w:left w:w="60" w:type="dxa"/>
          <w:right w:w="60" w:type="dxa"/>
        </w:tblCellMar>
        <w:tblLook w:val="0000" w:firstRow="0" w:lastRow="0" w:firstColumn="0" w:lastColumn="0" w:noHBand="0" w:noVBand="0"/>
      </w:tblPr>
      <w:tblGrid>
        <w:gridCol w:w="3190"/>
        <w:gridCol w:w="1100"/>
        <w:gridCol w:w="1080"/>
        <w:gridCol w:w="1080"/>
        <w:gridCol w:w="2160"/>
      </w:tblGrid>
      <w:tr w:rsidR="00557C61" w:rsidRPr="0022140F" w14:paraId="61B77F65" w14:textId="77777777" w:rsidTr="005362D8">
        <w:trPr>
          <w:cantSplit/>
          <w:trHeight w:val="230"/>
          <w:tblHeader/>
        </w:trPr>
        <w:tc>
          <w:tcPr>
            <w:tcW w:w="3190" w:type="dxa"/>
            <w:tcBorders>
              <w:top w:val="single" w:sz="6" w:space="0" w:color="000000"/>
              <w:left w:val="nil"/>
              <w:right w:val="nil"/>
            </w:tcBorders>
            <w:shd w:val="clear" w:color="auto" w:fill="FFFFFF"/>
          </w:tcPr>
          <w:p w14:paraId="5AB4EAC3" w14:textId="77777777" w:rsidR="00557C61" w:rsidRPr="0022140F" w:rsidRDefault="00557C61" w:rsidP="005362D8">
            <w:pPr>
              <w:pStyle w:val="Text"/>
              <w:keepNext/>
              <w:rPr>
                <w:rFonts w:asciiTheme="minorHAnsi" w:hAnsiTheme="minorHAnsi"/>
                <w:b/>
                <w:sz w:val="18"/>
                <w:szCs w:val="18"/>
              </w:rPr>
            </w:pPr>
          </w:p>
        </w:tc>
        <w:tc>
          <w:tcPr>
            <w:tcW w:w="3260" w:type="dxa"/>
            <w:gridSpan w:val="3"/>
            <w:tcBorders>
              <w:top w:val="single" w:sz="6" w:space="0" w:color="000000"/>
              <w:left w:val="nil"/>
              <w:right w:val="single" w:sz="4" w:space="0" w:color="auto"/>
            </w:tcBorders>
            <w:shd w:val="clear" w:color="auto" w:fill="FFFFFF"/>
          </w:tcPr>
          <w:p w14:paraId="699F3186" w14:textId="77777777" w:rsidR="00557C61" w:rsidRPr="0022140F" w:rsidRDefault="00557C61" w:rsidP="005362D8">
            <w:pPr>
              <w:pStyle w:val="Text"/>
              <w:keepNext/>
              <w:jc w:val="center"/>
              <w:rPr>
                <w:rFonts w:asciiTheme="minorHAnsi" w:hAnsiTheme="minorHAnsi"/>
                <w:b/>
                <w:sz w:val="18"/>
                <w:szCs w:val="18"/>
              </w:rPr>
            </w:pPr>
            <w:r w:rsidRPr="0022140F">
              <w:rPr>
                <w:rFonts w:asciiTheme="minorHAnsi" w:hAnsiTheme="minorHAnsi"/>
                <w:b/>
                <w:sz w:val="18"/>
                <w:szCs w:val="18"/>
              </w:rPr>
              <w:t>Primary analysis</w:t>
            </w:r>
            <w:r w:rsidRPr="0022140F">
              <w:rPr>
                <w:rFonts w:asciiTheme="minorHAnsi" w:hAnsiTheme="minorHAnsi"/>
                <w:b/>
                <w:sz w:val="18"/>
                <w:szCs w:val="18"/>
                <w:vertAlign w:val="superscript"/>
              </w:rPr>
              <w:t>3</w:t>
            </w:r>
          </w:p>
        </w:tc>
        <w:tc>
          <w:tcPr>
            <w:tcW w:w="2160" w:type="dxa"/>
            <w:tcBorders>
              <w:top w:val="single" w:sz="6" w:space="0" w:color="000000"/>
              <w:left w:val="single" w:sz="4" w:space="0" w:color="auto"/>
              <w:right w:val="nil"/>
            </w:tcBorders>
            <w:shd w:val="clear" w:color="auto" w:fill="FFFFFF"/>
          </w:tcPr>
          <w:p w14:paraId="1B3BD718" w14:textId="77777777" w:rsidR="00557C61" w:rsidRPr="0022140F" w:rsidRDefault="00557C61" w:rsidP="005362D8">
            <w:pPr>
              <w:pStyle w:val="Text"/>
              <w:keepNext/>
              <w:jc w:val="center"/>
              <w:rPr>
                <w:rFonts w:asciiTheme="minorHAnsi" w:hAnsiTheme="minorHAnsi"/>
                <w:b/>
                <w:sz w:val="18"/>
                <w:szCs w:val="18"/>
              </w:rPr>
            </w:pPr>
            <w:r w:rsidRPr="0022140F">
              <w:rPr>
                <w:rFonts w:asciiTheme="minorHAnsi" w:hAnsiTheme="minorHAnsi"/>
                <w:b/>
                <w:sz w:val="18"/>
                <w:szCs w:val="18"/>
              </w:rPr>
              <w:t>Final analysis</w:t>
            </w:r>
            <w:r w:rsidRPr="0022140F">
              <w:rPr>
                <w:rFonts w:asciiTheme="minorHAnsi" w:hAnsiTheme="minorHAnsi"/>
                <w:b/>
                <w:sz w:val="18"/>
                <w:szCs w:val="18"/>
                <w:vertAlign w:val="superscript"/>
              </w:rPr>
              <w:t>4</w:t>
            </w:r>
          </w:p>
        </w:tc>
      </w:tr>
      <w:tr w:rsidR="00557C61" w:rsidRPr="0022140F" w14:paraId="7ABD2E04" w14:textId="77777777" w:rsidTr="005362D8">
        <w:trPr>
          <w:cantSplit/>
          <w:trHeight w:val="230"/>
          <w:tblHeader/>
        </w:trPr>
        <w:tc>
          <w:tcPr>
            <w:tcW w:w="3190" w:type="dxa"/>
            <w:tcBorders>
              <w:top w:val="single" w:sz="6" w:space="0" w:color="000000"/>
              <w:left w:val="nil"/>
              <w:right w:val="nil"/>
            </w:tcBorders>
            <w:shd w:val="clear" w:color="auto" w:fill="FFFFFF"/>
          </w:tcPr>
          <w:p w14:paraId="579F3110" w14:textId="77777777" w:rsidR="00557C61" w:rsidRPr="0022140F" w:rsidRDefault="00557C61" w:rsidP="005362D8">
            <w:pPr>
              <w:pStyle w:val="Text"/>
              <w:keepNext/>
              <w:rPr>
                <w:rFonts w:asciiTheme="minorHAnsi" w:hAnsiTheme="minorHAnsi"/>
                <w:b/>
                <w:sz w:val="18"/>
                <w:szCs w:val="18"/>
              </w:rPr>
            </w:pPr>
          </w:p>
        </w:tc>
        <w:tc>
          <w:tcPr>
            <w:tcW w:w="1100" w:type="dxa"/>
            <w:tcBorders>
              <w:top w:val="single" w:sz="6" w:space="0" w:color="000000"/>
              <w:left w:val="nil"/>
              <w:right w:val="nil"/>
            </w:tcBorders>
            <w:shd w:val="clear" w:color="auto" w:fill="FFFFFF"/>
          </w:tcPr>
          <w:p w14:paraId="112A17D2" w14:textId="77777777" w:rsidR="00557C61" w:rsidRPr="0022140F" w:rsidRDefault="00557C61" w:rsidP="005362D8">
            <w:pPr>
              <w:pStyle w:val="Text"/>
              <w:keepNext/>
              <w:jc w:val="center"/>
              <w:rPr>
                <w:rFonts w:asciiTheme="minorHAnsi" w:hAnsiTheme="minorHAnsi"/>
                <w:b/>
                <w:sz w:val="18"/>
                <w:szCs w:val="18"/>
              </w:rPr>
            </w:pPr>
            <w:proofErr w:type="spellStart"/>
            <w:r w:rsidRPr="0022140F">
              <w:rPr>
                <w:rFonts w:asciiTheme="minorHAnsi" w:hAnsiTheme="minorHAnsi"/>
                <w:b/>
                <w:sz w:val="18"/>
                <w:szCs w:val="18"/>
              </w:rPr>
              <w:t>Afinitor</w:t>
            </w:r>
            <w:proofErr w:type="spellEnd"/>
          </w:p>
        </w:tc>
        <w:tc>
          <w:tcPr>
            <w:tcW w:w="1080" w:type="dxa"/>
            <w:tcBorders>
              <w:top w:val="single" w:sz="6" w:space="0" w:color="000000"/>
              <w:left w:val="nil"/>
              <w:right w:val="nil"/>
            </w:tcBorders>
            <w:shd w:val="clear" w:color="auto" w:fill="FFFFFF"/>
          </w:tcPr>
          <w:p w14:paraId="16E08113" w14:textId="77777777" w:rsidR="00557C61" w:rsidRPr="0022140F" w:rsidRDefault="00557C61" w:rsidP="005362D8">
            <w:pPr>
              <w:pStyle w:val="Text"/>
              <w:keepNext/>
              <w:jc w:val="center"/>
              <w:rPr>
                <w:rFonts w:asciiTheme="minorHAnsi" w:hAnsiTheme="minorHAnsi"/>
                <w:b/>
                <w:sz w:val="18"/>
                <w:szCs w:val="18"/>
              </w:rPr>
            </w:pPr>
            <w:r w:rsidRPr="0022140F">
              <w:rPr>
                <w:rFonts w:asciiTheme="minorHAnsi" w:hAnsiTheme="minorHAnsi"/>
                <w:b/>
                <w:sz w:val="18"/>
                <w:szCs w:val="18"/>
              </w:rPr>
              <w:t>Placebo</w:t>
            </w:r>
          </w:p>
        </w:tc>
        <w:tc>
          <w:tcPr>
            <w:tcW w:w="1080" w:type="dxa"/>
            <w:tcBorders>
              <w:top w:val="single" w:sz="6" w:space="0" w:color="000000"/>
              <w:left w:val="nil"/>
              <w:right w:val="single" w:sz="4" w:space="0" w:color="auto"/>
            </w:tcBorders>
            <w:shd w:val="clear" w:color="auto" w:fill="FFFFFF"/>
          </w:tcPr>
          <w:p w14:paraId="3DC468B4" w14:textId="77777777" w:rsidR="00557C61" w:rsidRPr="0022140F" w:rsidRDefault="00557C61" w:rsidP="005362D8">
            <w:pPr>
              <w:pStyle w:val="Text"/>
              <w:keepNext/>
              <w:jc w:val="center"/>
              <w:rPr>
                <w:rFonts w:asciiTheme="minorHAnsi" w:hAnsiTheme="minorHAnsi"/>
                <w:b/>
                <w:sz w:val="18"/>
                <w:szCs w:val="18"/>
              </w:rPr>
            </w:pPr>
            <w:r w:rsidRPr="0022140F">
              <w:rPr>
                <w:rFonts w:asciiTheme="minorHAnsi" w:hAnsiTheme="minorHAnsi"/>
                <w:b/>
                <w:sz w:val="18"/>
                <w:szCs w:val="18"/>
              </w:rPr>
              <w:t>p-value</w:t>
            </w:r>
          </w:p>
        </w:tc>
        <w:tc>
          <w:tcPr>
            <w:tcW w:w="2160" w:type="dxa"/>
            <w:tcBorders>
              <w:top w:val="single" w:sz="6" w:space="0" w:color="000000"/>
              <w:left w:val="single" w:sz="4" w:space="0" w:color="auto"/>
              <w:right w:val="nil"/>
            </w:tcBorders>
            <w:shd w:val="clear" w:color="auto" w:fill="FFFFFF"/>
          </w:tcPr>
          <w:p w14:paraId="32F1A113" w14:textId="77777777" w:rsidR="00557C61" w:rsidRPr="0022140F" w:rsidRDefault="00557C61" w:rsidP="005362D8">
            <w:pPr>
              <w:pStyle w:val="Text"/>
              <w:keepNext/>
              <w:jc w:val="center"/>
              <w:rPr>
                <w:rFonts w:asciiTheme="minorHAnsi" w:hAnsiTheme="minorHAnsi"/>
                <w:b/>
                <w:sz w:val="18"/>
                <w:szCs w:val="18"/>
              </w:rPr>
            </w:pPr>
            <w:proofErr w:type="spellStart"/>
            <w:r w:rsidRPr="0022140F">
              <w:rPr>
                <w:rFonts w:asciiTheme="minorHAnsi" w:hAnsiTheme="minorHAnsi"/>
                <w:b/>
                <w:sz w:val="18"/>
                <w:szCs w:val="18"/>
              </w:rPr>
              <w:t>Afinitor</w:t>
            </w:r>
            <w:proofErr w:type="spellEnd"/>
          </w:p>
        </w:tc>
      </w:tr>
      <w:tr w:rsidR="00557C61" w:rsidRPr="0022140F" w14:paraId="0C938591" w14:textId="77777777" w:rsidTr="005362D8">
        <w:trPr>
          <w:cantSplit/>
          <w:tblHeader/>
        </w:trPr>
        <w:tc>
          <w:tcPr>
            <w:tcW w:w="3190" w:type="dxa"/>
            <w:tcBorders>
              <w:left w:val="nil"/>
              <w:bottom w:val="single" w:sz="4" w:space="0" w:color="000000"/>
              <w:right w:val="nil"/>
            </w:tcBorders>
            <w:shd w:val="clear" w:color="auto" w:fill="FFFFFF"/>
            <w:vAlign w:val="bottom"/>
          </w:tcPr>
          <w:p w14:paraId="469B40AB" w14:textId="77777777" w:rsidR="00557C61" w:rsidRPr="0022140F" w:rsidRDefault="00557C61" w:rsidP="005362D8">
            <w:pPr>
              <w:pStyle w:val="Text"/>
              <w:keepNext/>
              <w:rPr>
                <w:rFonts w:asciiTheme="minorHAnsi" w:hAnsiTheme="minorHAnsi"/>
                <w:b/>
                <w:sz w:val="18"/>
                <w:szCs w:val="18"/>
              </w:rPr>
            </w:pPr>
          </w:p>
        </w:tc>
        <w:tc>
          <w:tcPr>
            <w:tcW w:w="1100" w:type="dxa"/>
            <w:tcBorders>
              <w:left w:val="nil"/>
              <w:bottom w:val="single" w:sz="4" w:space="0" w:color="000000"/>
              <w:right w:val="nil"/>
            </w:tcBorders>
            <w:shd w:val="clear" w:color="auto" w:fill="FFFFFF"/>
            <w:vAlign w:val="bottom"/>
          </w:tcPr>
          <w:p w14:paraId="4D0CCBA5" w14:textId="77777777" w:rsidR="00557C61" w:rsidRPr="0022140F" w:rsidRDefault="00557C61" w:rsidP="005362D8">
            <w:pPr>
              <w:pStyle w:val="Text"/>
              <w:keepNext/>
              <w:jc w:val="center"/>
              <w:rPr>
                <w:rFonts w:asciiTheme="minorHAnsi" w:hAnsiTheme="minorHAnsi"/>
                <w:b/>
                <w:sz w:val="18"/>
                <w:szCs w:val="18"/>
              </w:rPr>
            </w:pPr>
            <w:r w:rsidRPr="0022140F">
              <w:rPr>
                <w:rFonts w:asciiTheme="minorHAnsi" w:hAnsiTheme="minorHAnsi"/>
                <w:b/>
                <w:sz w:val="18"/>
                <w:szCs w:val="18"/>
              </w:rPr>
              <w:t>N=78</w:t>
            </w:r>
          </w:p>
        </w:tc>
        <w:tc>
          <w:tcPr>
            <w:tcW w:w="1080" w:type="dxa"/>
            <w:tcBorders>
              <w:left w:val="nil"/>
              <w:bottom w:val="single" w:sz="4" w:space="0" w:color="000000"/>
              <w:right w:val="nil"/>
            </w:tcBorders>
            <w:shd w:val="clear" w:color="auto" w:fill="FFFFFF"/>
            <w:vAlign w:val="bottom"/>
          </w:tcPr>
          <w:p w14:paraId="7EED4584" w14:textId="77777777" w:rsidR="00557C61" w:rsidRPr="0022140F" w:rsidRDefault="00557C61" w:rsidP="005362D8">
            <w:pPr>
              <w:pStyle w:val="Text"/>
              <w:keepNext/>
              <w:jc w:val="center"/>
              <w:rPr>
                <w:rFonts w:asciiTheme="minorHAnsi" w:hAnsiTheme="minorHAnsi"/>
                <w:b/>
                <w:sz w:val="18"/>
                <w:szCs w:val="18"/>
              </w:rPr>
            </w:pPr>
            <w:r w:rsidRPr="0022140F">
              <w:rPr>
                <w:rFonts w:asciiTheme="minorHAnsi" w:hAnsiTheme="minorHAnsi"/>
                <w:b/>
                <w:sz w:val="18"/>
                <w:szCs w:val="18"/>
              </w:rPr>
              <w:t>N=39</w:t>
            </w:r>
          </w:p>
        </w:tc>
        <w:tc>
          <w:tcPr>
            <w:tcW w:w="1080" w:type="dxa"/>
            <w:tcBorders>
              <w:left w:val="nil"/>
              <w:bottom w:val="single" w:sz="4" w:space="0" w:color="000000"/>
              <w:right w:val="single" w:sz="4" w:space="0" w:color="auto"/>
            </w:tcBorders>
            <w:shd w:val="clear" w:color="auto" w:fill="FFFFFF"/>
            <w:vAlign w:val="bottom"/>
          </w:tcPr>
          <w:p w14:paraId="6F90CB37" w14:textId="77777777" w:rsidR="00557C61" w:rsidRPr="0022140F" w:rsidRDefault="00557C61" w:rsidP="005362D8">
            <w:pPr>
              <w:pStyle w:val="Text"/>
              <w:keepNext/>
              <w:jc w:val="center"/>
              <w:rPr>
                <w:rFonts w:asciiTheme="minorHAnsi" w:hAnsiTheme="minorHAnsi"/>
                <w:b/>
                <w:sz w:val="18"/>
                <w:szCs w:val="18"/>
              </w:rPr>
            </w:pPr>
          </w:p>
        </w:tc>
        <w:tc>
          <w:tcPr>
            <w:tcW w:w="2160" w:type="dxa"/>
            <w:tcBorders>
              <w:left w:val="single" w:sz="4" w:space="0" w:color="auto"/>
              <w:bottom w:val="single" w:sz="4" w:space="0" w:color="000000"/>
              <w:right w:val="nil"/>
            </w:tcBorders>
            <w:shd w:val="clear" w:color="auto" w:fill="FFFFFF"/>
          </w:tcPr>
          <w:p w14:paraId="20D0FD56" w14:textId="77777777" w:rsidR="00557C61" w:rsidRPr="0022140F" w:rsidRDefault="00557C61" w:rsidP="005362D8">
            <w:pPr>
              <w:pStyle w:val="Text"/>
              <w:keepNext/>
              <w:jc w:val="center"/>
              <w:rPr>
                <w:rFonts w:asciiTheme="minorHAnsi" w:hAnsiTheme="minorHAnsi"/>
                <w:b/>
                <w:sz w:val="18"/>
                <w:szCs w:val="18"/>
              </w:rPr>
            </w:pPr>
            <w:r w:rsidRPr="0022140F">
              <w:rPr>
                <w:rFonts w:asciiTheme="minorHAnsi" w:hAnsiTheme="minorHAnsi"/>
                <w:b/>
                <w:sz w:val="18"/>
                <w:szCs w:val="18"/>
              </w:rPr>
              <w:t>N=111</w:t>
            </w:r>
          </w:p>
        </w:tc>
      </w:tr>
      <w:tr w:rsidR="00557C61" w:rsidRPr="0022140F" w14:paraId="38EA8D43" w14:textId="77777777" w:rsidTr="005362D8">
        <w:trPr>
          <w:cantSplit/>
        </w:trPr>
        <w:tc>
          <w:tcPr>
            <w:tcW w:w="3190" w:type="dxa"/>
            <w:tcBorders>
              <w:top w:val="nil"/>
              <w:left w:val="nil"/>
              <w:right w:val="nil"/>
            </w:tcBorders>
            <w:shd w:val="clear" w:color="auto" w:fill="FFFFFF"/>
          </w:tcPr>
          <w:p w14:paraId="1277BD6E" w14:textId="77777777" w:rsidR="00557C61" w:rsidRPr="0022140F" w:rsidRDefault="00557C61" w:rsidP="005362D8">
            <w:pPr>
              <w:pStyle w:val="Text"/>
              <w:keepNext/>
              <w:rPr>
                <w:rFonts w:asciiTheme="minorHAnsi" w:hAnsiTheme="minorHAnsi"/>
                <w:b/>
                <w:sz w:val="18"/>
                <w:szCs w:val="18"/>
              </w:rPr>
            </w:pPr>
            <w:r w:rsidRPr="0022140F">
              <w:rPr>
                <w:rFonts w:asciiTheme="minorHAnsi" w:hAnsiTheme="minorHAnsi"/>
                <w:b/>
                <w:sz w:val="18"/>
                <w:szCs w:val="18"/>
              </w:rPr>
              <w:t>SEGA response rate</w:t>
            </w:r>
            <w:r w:rsidRPr="0022140F">
              <w:rPr>
                <w:rFonts w:asciiTheme="minorHAnsi" w:hAnsiTheme="minorHAnsi"/>
                <w:b/>
                <w:sz w:val="18"/>
                <w:szCs w:val="18"/>
                <w:vertAlign w:val="superscript"/>
              </w:rPr>
              <w:t xml:space="preserve">1,2 </w:t>
            </w:r>
            <w:r w:rsidRPr="0022140F">
              <w:rPr>
                <w:rFonts w:asciiTheme="minorHAnsi" w:hAnsiTheme="minorHAnsi"/>
                <w:b/>
                <w:sz w:val="18"/>
                <w:szCs w:val="18"/>
              </w:rPr>
              <w:t>- (%)</w:t>
            </w:r>
          </w:p>
        </w:tc>
        <w:tc>
          <w:tcPr>
            <w:tcW w:w="1100" w:type="dxa"/>
            <w:tcBorders>
              <w:top w:val="nil"/>
              <w:left w:val="nil"/>
              <w:right w:val="nil"/>
            </w:tcBorders>
            <w:shd w:val="clear" w:color="auto" w:fill="FFFFFF"/>
          </w:tcPr>
          <w:p w14:paraId="16AAEFD1"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34.6</w:t>
            </w:r>
          </w:p>
        </w:tc>
        <w:tc>
          <w:tcPr>
            <w:tcW w:w="1080" w:type="dxa"/>
            <w:tcBorders>
              <w:top w:val="nil"/>
              <w:left w:val="nil"/>
              <w:right w:val="nil"/>
            </w:tcBorders>
            <w:shd w:val="clear" w:color="auto" w:fill="FFFFFF"/>
          </w:tcPr>
          <w:p w14:paraId="36BEEA03"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0</w:t>
            </w:r>
          </w:p>
        </w:tc>
        <w:tc>
          <w:tcPr>
            <w:tcW w:w="1080" w:type="dxa"/>
            <w:tcBorders>
              <w:top w:val="nil"/>
              <w:left w:val="nil"/>
              <w:right w:val="single" w:sz="4" w:space="0" w:color="auto"/>
            </w:tcBorders>
            <w:shd w:val="clear" w:color="auto" w:fill="FFFFFF"/>
          </w:tcPr>
          <w:p w14:paraId="55243AB2"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&lt;0.0001</w:t>
            </w:r>
          </w:p>
        </w:tc>
        <w:tc>
          <w:tcPr>
            <w:tcW w:w="2160" w:type="dxa"/>
            <w:tcBorders>
              <w:top w:val="nil"/>
              <w:left w:val="single" w:sz="4" w:space="0" w:color="auto"/>
              <w:right w:val="nil"/>
            </w:tcBorders>
            <w:shd w:val="clear" w:color="auto" w:fill="FFFFFF"/>
          </w:tcPr>
          <w:p w14:paraId="69ECB50C"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57.7</w:t>
            </w:r>
          </w:p>
        </w:tc>
      </w:tr>
      <w:tr w:rsidR="00557C61" w:rsidRPr="0022140F" w14:paraId="2D3CDAB1" w14:textId="77777777" w:rsidTr="005362D8">
        <w:trPr>
          <w:cantSplit/>
        </w:trPr>
        <w:tc>
          <w:tcPr>
            <w:tcW w:w="3190" w:type="dxa"/>
            <w:tcBorders>
              <w:top w:val="nil"/>
              <w:left w:val="nil"/>
              <w:right w:val="nil"/>
            </w:tcBorders>
            <w:shd w:val="clear" w:color="auto" w:fill="FFFFFF"/>
          </w:tcPr>
          <w:p w14:paraId="193A1F81" w14:textId="77777777" w:rsidR="00557C61" w:rsidRPr="0022140F" w:rsidRDefault="00557C61" w:rsidP="005362D8">
            <w:pPr>
              <w:pStyle w:val="Text"/>
              <w:keepNext/>
              <w:rPr>
                <w:rFonts w:asciiTheme="minorHAnsi" w:hAnsiTheme="minorHAnsi"/>
                <w:sz w:val="18"/>
                <w:szCs w:val="18"/>
              </w:rPr>
            </w:pPr>
            <w:r w:rsidRPr="0022140F">
              <w:rPr>
                <w:rFonts w:asciiTheme="minorHAnsi" w:hAnsiTheme="minorHAnsi"/>
                <w:sz w:val="18"/>
                <w:szCs w:val="18"/>
              </w:rPr>
              <w:tab/>
              <w:t>95% CI</w:t>
            </w:r>
          </w:p>
        </w:tc>
        <w:tc>
          <w:tcPr>
            <w:tcW w:w="1100" w:type="dxa"/>
            <w:tcBorders>
              <w:top w:val="nil"/>
              <w:left w:val="nil"/>
              <w:right w:val="nil"/>
            </w:tcBorders>
            <w:shd w:val="clear" w:color="auto" w:fill="FFFFFF"/>
          </w:tcPr>
          <w:p w14:paraId="65D75B5F"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24.2, 46.2</w:t>
            </w:r>
          </w:p>
        </w:tc>
        <w:tc>
          <w:tcPr>
            <w:tcW w:w="1080" w:type="dxa"/>
            <w:tcBorders>
              <w:top w:val="nil"/>
              <w:left w:val="nil"/>
              <w:right w:val="nil"/>
            </w:tcBorders>
            <w:shd w:val="clear" w:color="auto" w:fill="FFFFFF"/>
          </w:tcPr>
          <w:p w14:paraId="11D93E9B"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0.0, 9.0</w:t>
            </w:r>
          </w:p>
        </w:tc>
        <w:tc>
          <w:tcPr>
            <w:tcW w:w="1080" w:type="dxa"/>
            <w:tcBorders>
              <w:top w:val="nil"/>
              <w:left w:val="nil"/>
              <w:right w:val="single" w:sz="4" w:space="0" w:color="auto"/>
            </w:tcBorders>
            <w:shd w:val="clear" w:color="auto" w:fill="FFFFFF"/>
          </w:tcPr>
          <w:p w14:paraId="564373C9" w14:textId="77777777" w:rsidR="00557C61" w:rsidRPr="0022140F" w:rsidRDefault="00557C61" w:rsidP="005362D8">
            <w:pPr>
              <w:pStyle w:val="Text"/>
              <w:keepNext/>
              <w:jc w:val="center"/>
              <w:rPr>
                <w:rFonts w:asciiTheme="minorHAnsi" w:hAnsiTheme="minorHAnsi"/>
                <w:sz w:val="18"/>
                <w:szCs w:val="18"/>
              </w:rPr>
            </w:pPr>
          </w:p>
        </w:tc>
        <w:tc>
          <w:tcPr>
            <w:tcW w:w="2160" w:type="dxa"/>
            <w:tcBorders>
              <w:top w:val="nil"/>
              <w:left w:val="single" w:sz="4" w:space="0" w:color="auto"/>
              <w:right w:val="nil"/>
            </w:tcBorders>
            <w:shd w:val="clear" w:color="auto" w:fill="FFFFFF"/>
          </w:tcPr>
          <w:p w14:paraId="74BDB7B0"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47.9, 67.0</w:t>
            </w:r>
          </w:p>
        </w:tc>
      </w:tr>
      <w:tr w:rsidR="00557C61" w:rsidRPr="0022140F" w14:paraId="7875307B" w14:textId="77777777" w:rsidTr="005362D8">
        <w:trPr>
          <w:cantSplit/>
        </w:trPr>
        <w:tc>
          <w:tcPr>
            <w:tcW w:w="3190" w:type="dxa"/>
            <w:tcBorders>
              <w:left w:val="nil"/>
              <w:bottom w:val="nil"/>
              <w:right w:val="nil"/>
            </w:tcBorders>
            <w:shd w:val="clear" w:color="auto" w:fill="FFFFFF"/>
          </w:tcPr>
          <w:p w14:paraId="129E869B" w14:textId="77777777" w:rsidR="00557C61" w:rsidRPr="0022140F" w:rsidRDefault="00557C61" w:rsidP="005362D8">
            <w:pPr>
              <w:pStyle w:val="Text"/>
              <w:keepNext/>
              <w:rPr>
                <w:rFonts w:asciiTheme="minorHAnsi" w:hAnsiTheme="minorHAnsi"/>
                <w:b/>
                <w:sz w:val="18"/>
                <w:szCs w:val="18"/>
              </w:rPr>
            </w:pPr>
            <w:r w:rsidRPr="0022140F">
              <w:rPr>
                <w:rFonts w:asciiTheme="minorHAnsi" w:hAnsiTheme="minorHAnsi"/>
                <w:b/>
                <w:sz w:val="18"/>
                <w:szCs w:val="18"/>
              </w:rPr>
              <w:t>Best overall SEGA response - (%)</w:t>
            </w:r>
          </w:p>
        </w:tc>
        <w:tc>
          <w:tcPr>
            <w:tcW w:w="1100" w:type="dxa"/>
            <w:tcBorders>
              <w:left w:val="nil"/>
              <w:bottom w:val="nil"/>
              <w:right w:val="nil"/>
            </w:tcBorders>
            <w:shd w:val="clear" w:color="auto" w:fill="FFFFFF"/>
          </w:tcPr>
          <w:p w14:paraId="669E94AA" w14:textId="77777777" w:rsidR="00557C61" w:rsidRPr="0022140F" w:rsidRDefault="00557C61" w:rsidP="005362D8">
            <w:pPr>
              <w:pStyle w:val="Text"/>
              <w:keepNext/>
              <w:jc w:val="center"/>
              <w:rPr>
                <w:rFonts w:asciiTheme="minorHAnsi" w:hAnsiTheme="minorHAnsi"/>
                <w:b/>
                <w:sz w:val="18"/>
                <w:szCs w:val="18"/>
              </w:rPr>
            </w:pPr>
          </w:p>
        </w:tc>
        <w:tc>
          <w:tcPr>
            <w:tcW w:w="1080" w:type="dxa"/>
            <w:tcBorders>
              <w:left w:val="nil"/>
              <w:bottom w:val="nil"/>
              <w:right w:val="nil"/>
            </w:tcBorders>
            <w:shd w:val="clear" w:color="auto" w:fill="FFFFFF"/>
          </w:tcPr>
          <w:p w14:paraId="6CBA2BFA" w14:textId="77777777" w:rsidR="00557C61" w:rsidRPr="0022140F" w:rsidRDefault="00557C61" w:rsidP="005362D8">
            <w:pPr>
              <w:pStyle w:val="Text"/>
              <w:keepNext/>
              <w:jc w:val="center"/>
              <w:rPr>
                <w:rFonts w:asciiTheme="minorHAnsi" w:hAnsiTheme="minorHAnsi"/>
                <w:b/>
                <w:sz w:val="18"/>
                <w:szCs w:val="18"/>
              </w:rPr>
            </w:pPr>
          </w:p>
        </w:tc>
        <w:tc>
          <w:tcPr>
            <w:tcW w:w="1080" w:type="dxa"/>
            <w:tcBorders>
              <w:left w:val="nil"/>
              <w:bottom w:val="nil"/>
              <w:right w:val="single" w:sz="4" w:space="0" w:color="auto"/>
            </w:tcBorders>
            <w:shd w:val="clear" w:color="auto" w:fill="FFFFFF"/>
          </w:tcPr>
          <w:p w14:paraId="3D35F714" w14:textId="77777777" w:rsidR="00557C61" w:rsidRPr="0022140F" w:rsidRDefault="00557C61" w:rsidP="005362D8">
            <w:pPr>
              <w:pStyle w:val="Text"/>
              <w:keepNext/>
              <w:jc w:val="center"/>
              <w:rPr>
                <w:rFonts w:asciiTheme="minorHAnsi" w:hAnsiTheme="minorHAnsi"/>
                <w:b/>
                <w:sz w:val="18"/>
                <w:szCs w:val="18"/>
              </w:rPr>
            </w:pPr>
          </w:p>
        </w:tc>
        <w:tc>
          <w:tcPr>
            <w:tcW w:w="2160" w:type="dxa"/>
            <w:tcBorders>
              <w:left w:val="single" w:sz="4" w:space="0" w:color="auto"/>
              <w:bottom w:val="nil"/>
              <w:right w:val="nil"/>
            </w:tcBorders>
            <w:shd w:val="clear" w:color="auto" w:fill="FFFFFF"/>
          </w:tcPr>
          <w:p w14:paraId="5A548B69" w14:textId="77777777" w:rsidR="00557C61" w:rsidRPr="0022140F" w:rsidRDefault="00557C61" w:rsidP="005362D8">
            <w:pPr>
              <w:pStyle w:val="Text"/>
              <w:keepNext/>
              <w:jc w:val="center"/>
              <w:rPr>
                <w:rFonts w:asciiTheme="minorHAnsi" w:hAnsiTheme="minorHAnsi"/>
                <w:b/>
                <w:sz w:val="18"/>
                <w:szCs w:val="18"/>
              </w:rPr>
            </w:pPr>
          </w:p>
        </w:tc>
      </w:tr>
      <w:tr w:rsidR="00557C61" w:rsidRPr="0022140F" w14:paraId="409E04C8" w14:textId="77777777" w:rsidTr="005362D8">
        <w:trPr>
          <w:cantSplit/>
        </w:trPr>
        <w:tc>
          <w:tcPr>
            <w:tcW w:w="3190" w:type="dxa"/>
            <w:tcBorders>
              <w:top w:val="nil"/>
              <w:left w:val="nil"/>
              <w:bottom w:val="nil"/>
              <w:right w:val="nil"/>
            </w:tcBorders>
            <w:shd w:val="clear" w:color="auto" w:fill="FFFFFF"/>
          </w:tcPr>
          <w:p w14:paraId="42D1C9C2" w14:textId="77777777" w:rsidR="00557C61" w:rsidRPr="0022140F" w:rsidRDefault="00557C61" w:rsidP="005362D8">
            <w:pPr>
              <w:pStyle w:val="Text"/>
              <w:keepNext/>
              <w:rPr>
                <w:rFonts w:asciiTheme="minorHAnsi" w:hAnsiTheme="minorHAnsi"/>
                <w:sz w:val="18"/>
                <w:szCs w:val="18"/>
              </w:rPr>
            </w:pPr>
            <w:r w:rsidRPr="0022140F">
              <w:rPr>
                <w:rFonts w:asciiTheme="minorHAnsi" w:hAnsiTheme="minorHAnsi"/>
                <w:sz w:val="18"/>
                <w:szCs w:val="18"/>
              </w:rPr>
              <w:tab/>
              <w:t>Response</w:t>
            </w:r>
          </w:p>
        </w:tc>
        <w:tc>
          <w:tcPr>
            <w:tcW w:w="1100" w:type="dxa"/>
            <w:tcBorders>
              <w:top w:val="nil"/>
              <w:left w:val="nil"/>
              <w:bottom w:val="nil"/>
              <w:right w:val="nil"/>
            </w:tcBorders>
            <w:shd w:val="clear" w:color="auto" w:fill="FFFFFF"/>
          </w:tcPr>
          <w:p w14:paraId="0535E0AF"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34.6</w:t>
            </w:r>
          </w:p>
        </w:tc>
        <w:tc>
          <w:tcPr>
            <w:tcW w:w="1080" w:type="dxa"/>
            <w:tcBorders>
              <w:top w:val="nil"/>
              <w:left w:val="nil"/>
              <w:bottom w:val="nil"/>
              <w:right w:val="nil"/>
            </w:tcBorders>
            <w:shd w:val="clear" w:color="auto" w:fill="FFFFFF"/>
          </w:tcPr>
          <w:p w14:paraId="7EF95ECE"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0</w:t>
            </w:r>
          </w:p>
        </w:tc>
        <w:tc>
          <w:tcPr>
            <w:tcW w:w="1080" w:type="dxa"/>
            <w:tcBorders>
              <w:top w:val="nil"/>
              <w:left w:val="nil"/>
              <w:bottom w:val="nil"/>
              <w:right w:val="single" w:sz="4" w:space="0" w:color="auto"/>
            </w:tcBorders>
            <w:shd w:val="clear" w:color="auto" w:fill="FFFFFF"/>
          </w:tcPr>
          <w:p w14:paraId="3FB6FEBF" w14:textId="77777777" w:rsidR="00557C61" w:rsidRPr="0022140F" w:rsidRDefault="00557C61" w:rsidP="005362D8">
            <w:pPr>
              <w:pStyle w:val="Text"/>
              <w:keepNext/>
              <w:jc w:val="center"/>
              <w:rPr>
                <w:rFonts w:asciiTheme="minorHAnsi" w:hAnsiTheme="minorHAnsi"/>
                <w:sz w:val="18"/>
                <w:szCs w:val="18"/>
              </w:rPr>
            </w:pPr>
          </w:p>
        </w:tc>
        <w:tc>
          <w:tcPr>
            <w:tcW w:w="2160" w:type="dxa"/>
            <w:tcBorders>
              <w:top w:val="nil"/>
              <w:left w:val="single" w:sz="4" w:space="0" w:color="auto"/>
              <w:bottom w:val="nil"/>
              <w:right w:val="nil"/>
            </w:tcBorders>
            <w:shd w:val="clear" w:color="auto" w:fill="FFFFFF"/>
          </w:tcPr>
          <w:p w14:paraId="6A57AD3E"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57.7</w:t>
            </w:r>
          </w:p>
        </w:tc>
      </w:tr>
      <w:tr w:rsidR="00557C61" w:rsidRPr="0022140F" w14:paraId="2F79655D" w14:textId="77777777" w:rsidTr="005362D8">
        <w:trPr>
          <w:cantSplit/>
        </w:trPr>
        <w:tc>
          <w:tcPr>
            <w:tcW w:w="3190" w:type="dxa"/>
            <w:tcBorders>
              <w:top w:val="nil"/>
              <w:left w:val="nil"/>
              <w:bottom w:val="nil"/>
              <w:right w:val="nil"/>
            </w:tcBorders>
            <w:shd w:val="clear" w:color="auto" w:fill="FFFFFF"/>
          </w:tcPr>
          <w:p w14:paraId="092A3DA8" w14:textId="77777777" w:rsidR="00557C61" w:rsidRPr="0022140F" w:rsidRDefault="00557C61" w:rsidP="005362D8">
            <w:pPr>
              <w:pStyle w:val="Text"/>
              <w:keepNext/>
              <w:rPr>
                <w:rFonts w:asciiTheme="minorHAnsi" w:hAnsiTheme="minorHAnsi"/>
                <w:sz w:val="18"/>
                <w:szCs w:val="18"/>
              </w:rPr>
            </w:pPr>
            <w:r w:rsidRPr="0022140F">
              <w:rPr>
                <w:rFonts w:asciiTheme="minorHAnsi" w:hAnsiTheme="minorHAnsi"/>
                <w:sz w:val="18"/>
                <w:szCs w:val="18"/>
              </w:rPr>
              <w:tab/>
              <w:t>Stable disease</w:t>
            </w:r>
          </w:p>
        </w:tc>
        <w:tc>
          <w:tcPr>
            <w:tcW w:w="1100" w:type="dxa"/>
            <w:tcBorders>
              <w:top w:val="nil"/>
              <w:left w:val="nil"/>
              <w:bottom w:val="nil"/>
              <w:right w:val="nil"/>
            </w:tcBorders>
            <w:shd w:val="clear" w:color="auto" w:fill="FFFFFF"/>
          </w:tcPr>
          <w:p w14:paraId="348C1712"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62.8</w:t>
            </w:r>
          </w:p>
        </w:tc>
        <w:tc>
          <w:tcPr>
            <w:tcW w:w="1080" w:type="dxa"/>
            <w:tcBorders>
              <w:top w:val="nil"/>
              <w:left w:val="nil"/>
              <w:bottom w:val="nil"/>
              <w:right w:val="nil"/>
            </w:tcBorders>
            <w:shd w:val="clear" w:color="auto" w:fill="FFFFFF"/>
          </w:tcPr>
          <w:p w14:paraId="7D5DDA7D"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92.3</w:t>
            </w:r>
          </w:p>
        </w:tc>
        <w:tc>
          <w:tcPr>
            <w:tcW w:w="1080" w:type="dxa"/>
            <w:tcBorders>
              <w:top w:val="nil"/>
              <w:left w:val="nil"/>
              <w:bottom w:val="nil"/>
              <w:right w:val="single" w:sz="4" w:space="0" w:color="auto"/>
            </w:tcBorders>
            <w:shd w:val="clear" w:color="auto" w:fill="FFFFFF"/>
          </w:tcPr>
          <w:p w14:paraId="1493DC28" w14:textId="77777777" w:rsidR="00557C61" w:rsidRPr="0022140F" w:rsidRDefault="00557C61" w:rsidP="005362D8">
            <w:pPr>
              <w:pStyle w:val="Text"/>
              <w:keepNext/>
              <w:jc w:val="center"/>
              <w:rPr>
                <w:rFonts w:asciiTheme="minorHAnsi" w:hAnsiTheme="minorHAnsi"/>
                <w:sz w:val="18"/>
                <w:szCs w:val="18"/>
              </w:rPr>
            </w:pPr>
          </w:p>
        </w:tc>
        <w:tc>
          <w:tcPr>
            <w:tcW w:w="2160" w:type="dxa"/>
            <w:tcBorders>
              <w:top w:val="nil"/>
              <w:left w:val="single" w:sz="4" w:space="0" w:color="auto"/>
              <w:bottom w:val="nil"/>
              <w:right w:val="nil"/>
            </w:tcBorders>
            <w:shd w:val="clear" w:color="auto" w:fill="FFFFFF"/>
          </w:tcPr>
          <w:p w14:paraId="0771AFFE"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39.6</w:t>
            </w:r>
          </w:p>
        </w:tc>
      </w:tr>
      <w:tr w:rsidR="00557C61" w:rsidRPr="0022140F" w14:paraId="37B6DF31" w14:textId="77777777" w:rsidTr="005362D8">
        <w:trPr>
          <w:cantSplit/>
        </w:trPr>
        <w:tc>
          <w:tcPr>
            <w:tcW w:w="3190" w:type="dxa"/>
            <w:tcBorders>
              <w:top w:val="nil"/>
              <w:left w:val="nil"/>
              <w:bottom w:val="nil"/>
              <w:right w:val="nil"/>
            </w:tcBorders>
            <w:shd w:val="clear" w:color="auto" w:fill="FFFFFF"/>
          </w:tcPr>
          <w:p w14:paraId="5F325C34" w14:textId="77777777" w:rsidR="00557C61" w:rsidRPr="0022140F" w:rsidRDefault="00557C61" w:rsidP="005362D8">
            <w:pPr>
              <w:pStyle w:val="Text"/>
              <w:keepNext/>
              <w:rPr>
                <w:rFonts w:asciiTheme="minorHAnsi" w:hAnsiTheme="minorHAnsi"/>
                <w:sz w:val="18"/>
                <w:szCs w:val="18"/>
              </w:rPr>
            </w:pPr>
            <w:r w:rsidRPr="0022140F">
              <w:rPr>
                <w:rFonts w:asciiTheme="minorHAnsi" w:hAnsiTheme="minorHAnsi"/>
                <w:sz w:val="18"/>
                <w:szCs w:val="18"/>
              </w:rPr>
              <w:tab/>
              <w:t>Progression</w:t>
            </w:r>
          </w:p>
        </w:tc>
        <w:tc>
          <w:tcPr>
            <w:tcW w:w="1100" w:type="dxa"/>
            <w:tcBorders>
              <w:top w:val="nil"/>
              <w:left w:val="nil"/>
              <w:bottom w:val="nil"/>
              <w:right w:val="nil"/>
            </w:tcBorders>
            <w:shd w:val="clear" w:color="auto" w:fill="FFFFFF"/>
          </w:tcPr>
          <w:p w14:paraId="2A08124E"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0</w:t>
            </w:r>
          </w:p>
        </w:tc>
        <w:tc>
          <w:tcPr>
            <w:tcW w:w="1080" w:type="dxa"/>
            <w:tcBorders>
              <w:top w:val="nil"/>
              <w:left w:val="nil"/>
              <w:bottom w:val="nil"/>
              <w:right w:val="nil"/>
            </w:tcBorders>
            <w:shd w:val="clear" w:color="auto" w:fill="FFFFFF"/>
          </w:tcPr>
          <w:p w14:paraId="12B304E5"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7.7</w:t>
            </w:r>
          </w:p>
        </w:tc>
        <w:tc>
          <w:tcPr>
            <w:tcW w:w="1080" w:type="dxa"/>
            <w:tcBorders>
              <w:top w:val="nil"/>
              <w:left w:val="nil"/>
              <w:bottom w:val="nil"/>
              <w:right w:val="single" w:sz="4" w:space="0" w:color="auto"/>
            </w:tcBorders>
            <w:shd w:val="clear" w:color="auto" w:fill="FFFFFF"/>
          </w:tcPr>
          <w:p w14:paraId="78CF6E66" w14:textId="77777777" w:rsidR="00557C61" w:rsidRPr="0022140F" w:rsidRDefault="00557C61" w:rsidP="005362D8">
            <w:pPr>
              <w:pStyle w:val="Text"/>
              <w:keepNext/>
              <w:jc w:val="center"/>
              <w:rPr>
                <w:rFonts w:asciiTheme="minorHAnsi" w:hAnsiTheme="minorHAnsi"/>
                <w:sz w:val="18"/>
                <w:szCs w:val="18"/>
              </w:rPr>
            </w:pPr>
          </w:p>
        </w:tc>
        <w:tc>
          <w:tcPr>
            <w:tcW w:w="2160" w:type="dxa"/>
            <w:tcBorders>
              <w:top w:val="nil"/>
              <w:left w:val="single" w:sz="4" w:space="0" w:color="auto"/>
              <w:bottom w:val="nil"/>
              <w:right w:val="nil"/>
            </w:tcBorders>
            <w:shd w:val="clear" w:color="auto" w:fill="FFFFFF"/>
          </w:tcPr>
          <w:p w14:paraId="48CB3B83"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0</w:t>
            </w:r>
          </w:p>
        </w:tc>
      </w:tr>
      <w:tr w:rsidR="00557C61" w:rsidRPr="0022140F" w14:paraId="13730606" w14:textId="77777777" w:rsidTr="005362D8">
        <w:trPr>
          <w:cantSplit/>
        </w:trPr>
        <w:tc>
          <w:tcPr>
            <w:tcW w:w="3190" w:type="dxa"/>
            <w:tcBorders>
              <w:top w:val="nil"/>
              <w:left w:val="nil"/>
              <w:bottom w:val="single" w:sz="4" w:space="0" w:color="auto"/>
              <w:right w:val="nil"/>
            </w:tcBorders>
            <w:shd w:val="clear" w:color="auto" w:fill="FFFFFF"/>
          </w:tcPr>
          <w:p w14:paraId="7D9D2307" w14:textId="77777777" w:rsidR="00557C61" w:rsidRPr="0022140F" w:rsidRDefault="00557C61" w:rsidP="005362D8">
            <w:pPr>
              <w:pStyle w:val="Text"/>
              <w:keepNext/>
              <w:rPr>
                <w:rFonts w:asciiTheme="minorHAnsi" w:hAnsiTheme="minorHAnsi"/>
                <w:sz w:val="18"/>
                <w:szCs w:val="18"/>
              </w:rPr>
            </w:pPr>
            <w:r w:rsidRPr="0022140F">
              <w:rPr>
                <w:rFonts w:asciiTheme="minorHAnsi" w:hAnsiTheme="minorHAnsi"/>
                <w:sz w:val="18"/>
                <w:szCs w:val="18"/>
              </w:rPr>
              <w:tab/>
              <w:t>Not evaluable</w:t>
            </w:r>
          </w:p>
        </w:tc>
        <w:tc>
          <w:tcPr>
            <w:tcW w:w="1100" w:type="dxa"/>
            <w:tcBorders>
              <w:top w:val="nil"/>
              <w:left w:val="nil"/>
              <w:bottom w:val="single" w:sz="4" w:space="0" w:color="auto"/>
              <w:right w:val="nil"/>
            </w:tcBorders>
            <w:shd w:val="clear" w:color="auto" w:fill="FFFFFF"/>
          </w:tcPr>
          <w:p w14:paraId="1055C7A5"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2.6</w:t>
            </w:r>
          </w:p>
        </w:tc>
        <w:tc>
          <w:tcPr>
            <w:tcW w:w="1080" w:type="dxa"/>
            <w:tcBorders>
              <w:top w:val="nil"/>
              <w:left w:val="nil"/>
              <w:bottom w:val="single" w:sz="4" w:space="0" w:color="auto"/>
              <w:right w:val="nil"/>
            </w:tcBorders>
            <w:shd w:val="clear" w:color="auto" w:fill="FFFFFF"/>
          </w:tcPr>
          <w:p w14:paraId="45D8C169"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0</w:t>
            </w:r>
          </w:p>
        </w:tc>
        <w:tc>
          <w:tcPr>
            <w:tcW w:w="1080" w:type="dxa"/>
            <w:tcBorders>
              <w:top w:val="nil"/>
              <w:left w:val="nil"/>
              <w:bottom w:val="single" w:sz="4" w:space="0" w:color="auto"/>
              <w:right w:val="single" w:sz="4" w:space="0" w:color="auto"/>
            </w:tcBorders>
            <w:shd w:val="clear" w:color="auto" w:fill="FFFFFF"/>
          </w:tcPr>
          <w:p w14:paraId="2780A307" w14:textId="77777777" w:rsidR="00557C61" w:rsidRPr="0022140F" w:rsidRDefault="00557C61" w:rsidP="005362D8">
            <w:pPr>
              <w:pStyle w:val="Text"/>
              <w:keepNext/>
              <w:jc w:val="center"/>
              <w:rPr>
                <w:rFonts w:asciiTheme="minorHAnsi" w:hAnsiTheme="minorHAnsi"/>
                <w:sz w:val="18"/>
                <w:szCs w:val="18"/>
              </w:rPr>
            </w:pPr>
          </w:p>
        </w:tc>
        <w:tc>
          <w:tcPr>
            <w:tcW w:w="2160" w:type="dxa"/>
            <w:tcBorders>
              <w:top w:val="nil"/>
              <w:left w:val="single" w:sz="4" w:space="0" w:color="auto"/>
              <w:bottom w:val="single" w:sz="4" w:space="0" w:color="auto"/>
              <w:right w:val="nil"/>
            </w:tcBorders>
            <w:shd w:val="clear" w:color="auto" w:fill="FFFFFF"/>
          </w:tcPr>
          <w:p w14:paraId="0CFAFAC5" w14:textId="77777777" w:rsidR="00557C61" w:rsidRPr="0022140F" w:rsidRDefault="00557C61" w:rsidP="005362D8">
            <w:pPr>
              <w:pStyle w:val="Text"/>
              <w:keepNext/>
              <w:jc w:val="center"/>
              <w:rPr>
                <w:rFonts w:asciiTheme="minorHAnsi" w:hAnsiTheme="minorHAnsi"/>
                <w:sz w:val="18"/>
                <w:szCs w:val="18"/>
              </w:rPr>
            </w:pPr>
            <w:r w:rsidRPr="0022140F">
              <w:rPr>
                <w:rFonts w:asciiTheme="minorHAnsi" w:hAnsiTheme="minorHAnsi"/>
                <w:sz w:val="18"/>
                <w:szCs w:val="18"/>
              </w:rPr>
              <w:t>2.7</w:t>
            </w:r>
          </w:p>
        </w:tc>
      </w:tr>
      <w:tr w:rsidR="00557C61" w:rsidRPr="0022140F" w14:paraId="34AFBF75" w14:textId="77777777" w:rsidTr="005362D8">
        <w:trPr>
          <w:cantSplit/>
        </w:trPr>
        <w:tc>
          <w:tcPr>
            <w:tcW w:w="8610" w:type="dxa"/>
            <w:gridSpan w:val="5"/>
            <w:tcBorders>
              <w:top w:val="single" w:sz="4" w:space="0" w:color="auto"/>
              <w:left w:val="nil"/>
              <w:bottom w:val="nil"/>
              <w:right w:val="nil"/>
            </w:tcBorders>
            <w:shd w:val="clear" w:color="auto" w:fill="FFFFFF"/>
          </w:tcPr>
          <w:p w14:paraId="3EBADF55" w14:textId="77777777" w:rsidR="00557C61" w:rsidRPr="0022140F" w:rsidRDefault="00557C61" w:rsidP="005362D8">
            <w:pPr>
              <w:pStyle w:val="Text"/>
              <w:keepNext/>
              <w:rPr>
                <w:rFonts w:asciiTheme="minorHAnsi" w:hAnsiTheme="minorHAnsi"/>
                <w:i/>
                <w:sz w:val="16"/>
                <w:szCs w:val="16"/>
              </w:rPr>
            </w:pPr>
            <w:r w:rsidRPr="0022140F">
              <w:rPr>
                <w:rFonts w:asciiTheme="minorHAnsi" w:hAnsiTheme="minorHAnsi"/>
                <w:i/>
                <w:sz w:val="16"/>
                <w:szCs w:val="16"/>
                <w:vertAlign w:val="superscript"/>
              </w:rPr>
              <w:t>1</w:t>
            </w:r>
            <w:r w:rsidRPr="0022140F">
              <w:rPr>
                <w:rFonts w:asciiTheme="minorHAnsi" w:hAnsiTheme="minorHAnsi"/>
                <w:i/>
                <w:sz w:val="16"/>
                <w:szCs w:val="16"/>
              </w:rPr>
              <w:t xml:space="preserve"> Per independent central radiology review</w:t>
            </w:r>
          </w:p>
          <w:p w14:paraId="2216A0D7" w14:textId="77777777" w:rsidR="00557C61" w:rsidRPr="0022140F" w:rsidRDefault="00557C61" w:rsidP="005362D8">
            <w:pPr>
              <w:pStyle w:val="Text"/>
              <w:keepNext/>
              <w:rPr>
                <w:rFonts w:asciiTheme="minorHAnsi" w:hAnsiTheme="minorHAnsi"/>
                <w:i/>
                <w:sz w:val="16"/>
                <w:szCs w:val="16"/>
              </w:rPr>
            </w:pPr>
            <w:r w:rsidRPr="0022140F">
              <w:rPr>
                <w:rFonts w:asciiTheme="minorHAnsi" w:hAnsiTheme="minorHAnsi"/>
                <w:i/>
                <w:sz w:val="16"/>
                <w:szCs w:val="16"/>
                <w:vertAlign w:val="superscript"/>
              </w:rPr>
              <w:t>2</w:t>
            </w:r>
            <w:r w:rsidRPr="0022140F">
              <w:rPr>
                <w:rFonts w:asciiTheme="minorHAnsi" w:hAnsiTheme="minorHAnsi"/>
                <w:i/>
                <w:sz w:val="16"/>
                <w:szCs w:val="16"/>
              </w:rPr>
              <w:t xml:space="preserve"> SEGA responses were confirmed with a repeat scan. Response was defined as: ≥ 50% reduction in the sum of SEGA volume relative to baseline, plus no unequivocal worsening of non-target SEGA lesions, plus absence of new SEGA ≥ 1 cm in longest diameter, plus no new or worsening hydrocephalus</w:t>
            </w:r>
          </w:p>
          <w:p w14:paraId="59250D3A" w14:textId="77777777" w:rsidR="00557C61" w:rsidRPr="0022140F" w:rsidRDefault="00557C61" w:rsidP="005362D8">
            <w:pPr>
              <w:pStyle w:val="Text"/>
              <w:keepNext/>
              <w:rPr>
                <w:rFonts w:asciiTheme="minorHAnsi" w:hAnsiTheme="minorHAnsi"/>
                <w:i/>
                <w:sz w:val="16"/>
                <w:szCs w:val="16"/>
              </w:rPr>
            </w:pPr>
            <w:r w:rsidRPr="0022140F">
              <w:rPr>
                <w:rFonts w:asciiTheme="minorHAnsi" w:hAnsiTheme="minorHAnsi"/>
                <w:i/>
                <w:sz w:val="16"/>
                <w:szCs w:val="16"/>
                <w:vertAlign w:val="superscript"/>
              </w:rPr>
              <w:t>3</w:t>
            </w:r>
            <w:r w:rsidRPr="0022140F">
              <w:rPr>
                <w:rFonts w:asciiTheme="minorHAnsi" w:hAnsiTheme="minorHAnsi"/>
                <w:i/>
                <w:sz w:val="16"/>
                <w:szCs w:val="16"/>
              </w:rPr>
              <w:t>Primary analysis for double blind period</w:t>
            </w:r>
          </w:p>
          <w:p w14:paraId="7D7961F4" w14:textId="77777777" w:rsidR="00557C61" w:rsidRPr="0022140F" w:rsidRDefault="00557C61" w:rsidP="005362D8">
            <w:pPr>
              <w:pStyle w:val="Text"/>
              <w:keepNext/>
              <w:rPr>
                <w:rFonts w:asciiTheme="minorHAnsi" w:hAnsiTheme="minorHAnsi"/>
                <w:i/>
                <w:sz w:val="16"/>
                <w:szCs w:val="16"/>
                <w:vertAlign w:val="superscript"/>
              </w:rPr>
            </w:pPr>
            <w:r w:rsidRPr="0022140F">
              <w:rPr>
                <w:rFonts w:asciiTheme="minorHAnsi" w:hAnsiTheme="minorHAnsi"/>
                <w:i/>
                <w:sz w:val="16"/>
                <w:szCs w:val="16"/>
                <w:vertAlign w:val="superscript"/>
              </w:rPr>
              <w:t>4</w:t>
            </w:r>
            <w:r w:rsidRPr="0022140F">
              <w:rPr>
                <w:rFonts w:asciiTheme="minorHAnsi" w:hAnsiTheme="minorHAnsi"/>
                <w:i/>
                <w:sz w:val="16"/>
                <w:szCs w:val="16"/>
              </w:rPr>
              <w:t xml:space="preserve">Final analysis includes patients who crossed over from the placebo group; median duration of exposure to </w:t>
            </w:r>
            <w:proofErr w:type="spellStart"/>
            <w:r w:rsidRPr="0022140F">
              <w:rPr>
                <w:rFonts w:asciiTheme="minorHAnsi" w:hAnsiTheme="minorHAnsi"/>
                <w:i/>
                <w:sz w:val="16"/>
                <w:szCs w:val="16"/>
              </w:rPr>
              <w:t>everolimus</w:t>
            </w:r>
            <w:proofErr w:type="spellEnd"/>
            <w:r w:rsidRPr="0022140F">
              <w:rPr>
                <w:rFonts w:asciiTheme="minorHAnsi" w:hAnsiTheme="minorHAnsi"/>
                <w:i/>
                <w:sz w:val="16"/>
                <w:szCs w:val="16"/>
              </w:rPr>
              <w:t xml:space="preserve"> of 204.9 weeks</w:t>
            </w:r>
          </w:p>
        </w:tc>
      </w:tr>
    </w:tbl>
    <w:p w14:paraId="5550C20C" w14:textId="77777777" w:rsidR="00557C61" w:rsidRPr="0022140F" w:rsidRDefault="00557C61" w:rsidP="00557C61">
      <w:pPr>
        <w:spacing w:before="120" w:after="120"/>
        <w:rPr>
          <w:sz w:val="24"/>
        </w:rPr>
      </w:pPr>
    </w:p>
    <w:p w14:paraId="16311855" w14:textId="0B01EC0C" w:rsidR="00557C61" w:rsidRPr="0022140F" w:rsidRDefault="00557C61" w:rsidP="00557C61">
      <w:pPr>
        <w:rPr>
          <w:lang w:val="en-GB"/>
        </w:rPr>
      </w:pPr>
      <w:r w:rsidRPr="0022140F">
        <w:rPr>
          <w:lang w:val="en-GB"/>
        </w:rPr>
        <w:t>Consistent treatment effects were observed across all subgroups evaluated (i.e., EIAED use vs. EIAED non-use, sex, and age) at the primary analysis (</w:t>
      </w:r>
      <w:r w:rsidRPr="0022140F">
        <w:rPr>
          <w:lang w:val="en-GB"/>
        </w:rPr>
        <w:fldChar w:fldCharType="begin"/>
      </w:r>
      <w:r w:rsidRPr="0022140F">
        <w:rPr>
          <w:lang w:val="en-GB"/>
        </w:rPr>
        <w:instrText xml:space="preserve"> REF _Ref491096708 \h  \* MERGEFORMAT </w:instrText>
      </w:r>
      <w:r w:rsidRPr="0022140F">
        <w:rPr>
          <w:lang w:val="en-GB"/>
        </w:rPr>
      </w:r>
      <w:r w:rsidRPr="0022140F">
        <w:rPr>
          <w:lang w:val="en-GB"/>
        </w:rPr>
        <w:fldChar w:fldCharType="separate"/>
      </w:r>
      <w:r w:rsidR="00D64407" w:rsidRPr="00D64407">
        <w:rPr>
          <w:lang w:val="en-GB"/>
        </w:rPr>
        <w:t>Table 17</w:t>
      </w:r>
      <w:r w:rsidRPr="0022140F">
        <w:rPr>
          <w:lang w:val="en-GB"/>
        </w:rPr>
        <w:fldChar w:fldCharType="end"/>
      </w:r>
      <w:r w:rsidRPr="0022140F">
        <w:rPr>
          <w:lang w:val="en-GB"/>
        </w:rPr>
        <w:t>).</w:t>
      </w:r>
    </w:p>
    <w:p w14:paraId="747F43C7" w14:textId="77777777" w:rsidR="00557C61" w:rsidRPr="0022140F" w:rsidRDefault="00557C61" w:rsidP="00557C61">
      <w:r w:rsidRPr="0022140F">
        <w:tab/>
      </w:r>
      <w:bookmarkStart w:id="60" w:name="_Ref315359770"/>
      <w:bookmarkStart w:id="61" w:name="_Toc315235664"/>
      <w:bookmarkEnd w:id="57"/>
    </w:p>
    <w:p w14:paraId="51580D65" w14:textId="77777777" w:rsidR="00557C61" w:rsidRPr="0022140F" w:rsidRDefault="00557C61" w:rsidP="00557C61">
      <w:pPr>
        <w:pStyle w:val="Caption"/>
        <w:keepNext/>
        <w:rPr>
          <w:rFonts w:asciiTheme="minorHAnsi" w:hAnsiTheme="minorHAnsi"/>
        </w:rPr>
      </w:pPr>
      <w:bookmarkStart w:id="62" w:name="_Ref491096708"/>
      <w:r w:rsidRPr="0022140F">
        <w:rPr>
          <w:rFonts w:asciiTheme="minorHAnsi" w:hAnsiTheme="minorHAnsi"/>
        </w:rPr>
        <w:t xml:space="preserve">Table </w:t>
      </w:r>
      <w:r w:rsidRPr="0022140F">
        <w:rPr>
          <w:rFonts w:asciiTheme="minorHAnsi" w:hAnsiTheme="minorHAnsi"/>
        </w:rPr>
        <w:fldChar w:fldCharType="begin"/>
      </w:r>
      <w:r w:rsidRPr="0022140F">
        <w:rPr>
          <w:rFonts w:asciiTheme="minorHAnsi" w:hAnsiTheme="minorHAnsi"/>
        </w:rPr>
        <w:instrText xml:space="preserve"> SEQ Table \* ARABIC </w:instrText>
      </w:r>
      <w:r w:rsidRPr="0022140F">
        <w:rPr>
          <w:rFonts w:asciiTheme="minorHAnsi" w:hAnsiTheme="minorHAnsi"/>
        </w:rPr>
        <w:fldChar w:fldCharType="separate"/>
      </w:r>
      <w:r w:rsidR="00D64407">
        <w:rPr>
          <w:rFonts w:asciiTheme="minorHAnsi" w:hAnsiTheme="minorHAnsi"/>
          <w:noProof/>
        </w:rPr>
        <w:t>17</w:t>
      </w:r>
      <w:r w:rsidRPr="0022140F">
        <w:rPr>
          <w:rFonts w:asciiTheme="minorHAnsi" w:hAnsiTheme="minorHAnsi"/>
        </w:rPr>
        <w:fldChar w:fldCharType="end"/>
      </w:r>
      <w:bookmarkEnd w:id="62"/>
      <w:r w:rsidRPr="0022140F">
        <w:rPr>
          <w:rFonts w:asciiTheme="minorHAnsi" w:hAnsiTheme="minorHAnsi"/>
        </w:rPr>
        <w:t xml:space="preserve"> </w:t>
      </w:r>
      <w:r w:rsidRPr="0022140F">
        <w:rPr>
          <w:rFonts w:asciiTheme="minorHAnsi" w:hAnsiTheme="minorHAnsi"/>
        </w:rPr>
        <w:tab/>
        <w:t>EXIST-1 - SEGA response by subgroup at primary analysis</w:t>
      </w:r>
    </w:p>
    <w:tbl>
      <w:tblPr>
        <w:tblW w:w="10243" w:type="dxa"/>
        <w:tblLayout w:type="fixed"/>
        <w:tblLook w:val="04A0" w:firstRow="1" w:lastRow="0" w:firstColumn="1" w:lastColumn="0" w:noHBand="0" w:noVBand="1"/>
      </w:tblPr>
      <w:tblGrid>
        <w:gridCol w:w="2376"/>
        <w:gridCol w:w="612"/>
        <w:gridCol w:w="1440"/>
        <w:gridCol w:w="630"/>
        <w:gridCol w:w="1429"/>
        <w:gridCol w:w="3756"/>
      </w:tblGrid>
      <w:tr w:rsidR="00557C61" w:rsidRPr="0022140F" w14:paraId="4FF9A1AA" w14:textId="77777777" w:rsidTr="0082582C">
        <w:tc>
          <w:tcPr>
            <w:tcW w:w="2376" w:type="dxa"/>
            <w:vMerge w:val="restart"/>
            <w:tcBorders>
              <w:top w:val="single" w:sz="4" w:space="0" w:color="auto"/>
            </w:tcBorders>
            <w:shd w:val="clear" w:color="auto" w:fill="auto"/>
          </w:tcPr>
          <w:p w14:paraId="3A06CF4E" w14:textId="77777777" w:rsidR="00557C61" w:rsidRPr="0022140F" w:rsidRDefault="00557C61" w:rsidP="005362D8">
            <w:pPr>
              <w:pStyle w:val="Table"/>
              <w:keepNext/>
              <w:jc w:val="center"/>
              <w:rPr>
                <w:rFonts w:asciiTheme="minorHAnsi" w:hAnsiTheme="minorHAnsi"/>
                <w:b/>
                <w:sz w:val="22"/>
                <w:szCs w:val="22"/>
                <w:lang w:val="en-US"/>
              </w:rPr>
            </w:pPr>
            <w:r w:rsidRPr="0022140F">
              <w:rPr>
                <w:rFonts w:asciiTheme="minorHAnsi" w:hAnsiTheme="minorHAnsi"/>
                <w:b/>
                <w:sz w:val="22"/>
                <w:szCs w:val="22"/>
                <w:lang w:val="en-US"/>
              </w:rPr>
              <w:t>Subgroup</w:t>
            </w:r>
          </w:p>
        </w:tc>
        <w:tc>
          <w:tcPr>
            <w:tcW w:w="2052" w:type="dxa"/>
            <w:gridSpan w:val="2"/>
            <w:tcBorders>
              <w:top w:val="single" w:sz="4" w:space="0" w:color="auto"/>
            </w:tcBorders>
            <w:shd w:val="clear" w:color="auto" w:fill="auto"/>
          </w:tcPr>
          <w:p w14:paraId="324BC797" w14:textId="77777777" w:rsidR="00557C61" w:rsidRPr="0022140F" w:rsidRDefault="00557C61" w:rsidP="005362D8">
            <w:pPr>
              <w:pStyle w:val="Table"/>
              <w:keepNext/>
              <w:jc w:val="center"/>
              <w:rPr>
                <w:rFonts w:asciiTheme="minorHAnsi" w:hAnsiTheme="minorHAnsi"/>
                <w:b/>
                <w:sz w:val="22"/>
                <w:szCs w:val="22"/>
                <w:lang w:val="en-US"/>
              </w:rPr>
            </w:pPr>
            <w:r w:rsidRPr="0022140F">
              <w:rPr>
                <w:rFonts w:asciiTheme="minorHAnsi" w:hAnsiTheme="minorHAnsi"/>
                <w:b/>
                <w:sz w:val="22"/>
                <w:szCs w:val="22"/>
                <w:lang w:val="en-US"/>
              </w:rPr>
              <w:t xml:space="preserve">     </w:t>
            </w:r>
            <w:proofErr w:type="spellStart"/>
            <w:r w:rsidRPr="0022140F">
              <w:rPr>
                <w:rFonts w:asciiTheme="minorHAnsi" w:hAnsiTheme="minorHAnsi"/>
                <w:b/>
                <w:sz w:val="22"/>
                <w:szCs w:val="22"/>
                <w:lang w:val="en-US"/>
              </w:rPr>
              <w:t>Afinitor</w:t>
            </w:r>
            <w:proofErr w:type="spellEnd"/>
          </w:p>
        </w:tc>
        <w:tc>
          <w:tcPr>
            <w:tcW w:w="2059" w:type="dxa"/>
            <w:gridSpan w:val="2"/>
            <w:tcBorders>
              <w:top w:val="single" w:sz="4" w:space="0" w:color="auto"/>
            </w:tcBorders>
            <w:shd w:val="clear" w:color="auto" w:fill="auto"/>
          </w:tcPr>
          <w:p w14:paraId="2034C70C" w14:textId="77777777" w:rsidR="00557C61" w:rsidRPr="0022140F" w:rsidRDefault="00557C61" w:rsidP="005362D8">
            <w:pPr>
              <w:pStyle w:val="Table"/>
              <w:keepNext/>
              <w:jc w:val="center"/>
              <w:rPr>
                <w:rFonts w:asciiTheme="minorHAnsi" w:hAnsiTheme="minorHAnsi"/>
                <w:b/>
                <w:sz w:val="22"/>
                <w:szCs w:val="22"/>
                <w:lang w:val="en-US"/>
              </w:rPr>
            </w:pPr>
            <w:r w:rsidRPr="0022140F">
              <w:rPr>
                <w:rFonts w:asciiTheme="minorHAnsi" w:hAnsiTheme="minorHAnsi"/>
                <w:b/>
                <w:sz w:val="22"/>
                <w:szCs w:val="22"/>
                <w:lang w:val="en-US"/>
              </w:rPr>
              <w:t xml:space="preserve">       Placebo</w:t>
            </w:r>
          </w:p>
        </w:tc>
        <w:tc>
          <w:tcPr>
            <w:tcW w:w="3756" w:type="dxa"/>
            <w:vMerge w:val="restart"/>
            <w:tcBorders>
              <w:top w:val="single" w:sz="4" w:space="0" w:color="auto"/>
            </w:tcBorders>
            <w:shd w:val="clear" w:color="auto" w:fill="auto"/>
          </w:tcPr>
          <w:p w14:paraId="23C4CD03" w14:textId="77777777" w:rsidR="00557C61" w:rsidRPr="0022140F" w:rsidRDefault="00557C61" w:rsidP="005362D8">
            <w:pPr>
              <w:pStyle w:val="Table"/>
              <w:keepNext/>
              <w:jc w:val="center"/>
              <w:rPr>
                <w:rFonts w:asciiTheme="minorHAnsi" w:hAnsiTheme="minorHAnsi"/>
                <w:b/>
                <w:sz w:val="22"/>
                <w:szCs w:val="22"/>
                <w:lang w:val="en-US"/>
              </w:rPr>
            </w:pPr>
            <w:r w:rsidRPr="0022140F">
              <w:rPr>
                <w:rFonts w:asciiTheme="minorHAnsi" w:hAnsiTheme="minorHAnsi"/>
                <w:b/>
                <w:sz w:val="22"/>
                <w:szCs w:val="22"/>
                <w:lang w:val="en-US"/>
              </w:rPr>
              <w:t>Difference in response rates (95% CI)</w:t>
            </w:r>
          </w:p>
        </w:tc>
      </w:tr>
      <w:tr w:rsidR="00557C61" w:rsidRPr="0022140F" w14:paraId="2EC4B3CA" w14:textId="77777777" w:rsidTr="0082582C">
        <w:tc>
          <w:tcPr>
            <w:tcW w:w="2376" w:type="dxa"/>
            <w:vMerge/>
            <w:tcBorders>
              <w:bottom w:val="single" w:sz="4" w:space="0" w:color="auto"/>
            </w:tcBorders>
            <w:shd w:val="clear" w:color="auto" w:fill="auto"/>
          </w:tcPr>
          <w:p w14:paraId="36BBCBBA" w14:textId="77777777" w:rsidR="00557C61" w:rsidRPr="0022140F" w:rsidRDefault="00557C61" w:rsidP="005362D8">
            <w:pPr>
              <w:pStyle w:val="Table"/>
              <w:jc w:val="center"/>
              <w:rPr>
                <w:rFonts w:asciiTheme="minorHAnsi" w:hAnsiTheme="minorHAnsi"/>
                <w:b/>
                <w:sz w:val="22"/>
                <w:szCs w:val="22"/>
                <w:lang w:val="en-US"/>
              </w:rPr>
            </w:pPr>
          </w:p>
        </w:tc>
        <w:tc>
          <w:tcPr>
            <w:tcW w:w="612" w:type="dxa"/>
            <w:tcBorders>
              <w:bottom w:val="single" w:sz="4" w:space="0" w:color="auto"/>
            </w:tcBorders>
            <w:shd w:val="clear" w:color="auto" w:fill="auto"/>
          </w:tcPr>
          <w:p w14:paraId="5D8377A9" w14:textId="77777777" w:rsidR="00557C61" w:rsidRPr="0022140F" w:rsidRDefault="00557C61" w:rsidP="005362D8">
            <w:pPr>
              <w:pStyle w:val="Table"/>
              <w:jc w:val="center"/>
              <w:rPr>
                <w:rFonts w:asciiTheme="minorHAnsi" w:hAnsiTheme="minorHAnsi"/>
                <w:b/>
                <w:sz w:val="22"/>
                <w:szCs w:val="22"/>
                <w:lang w:val="en-US"/>
              </w:rPr>
            </w:pPr>
            <w:r w:rsidRPr="0022140F">
              <w:rPr>
                <w:rFonts w:asciiTheme="minorHAnsi" w:hAnsiTheme="minorHAnsi"/>
                <w:b/>
                <w:sz w:val="22"/>
                <w:szCs w:val="22"/>
                <w:lang w:val="en-US"/>
              </w:rPr>
              <w:t>N</w:t>
            </w:r>
          </w:p>
        </w:tc>
        <w:tc>
          <w:tcPr>
            <w:tcW w:w="1440" w:type="dxa"/>
            <w:tcBorders>
              <w:bottom w:val="single" w:sz="4" w:space="0" w:color="auto"/>
            </w:tcBorders>
            <w:shd w:val="clear" w:color="auto" w:fill="auto"/>
          </w:tcPr>
          <w:p w14:paraId="1792671D" w14:textId="77777777" w:rsidR="00557C61" w:rsidRPr="0022140F" w:rsidRDefault="00557C61" w:rsidP="005362D8">
            <w:pPr>
              <w:pStyle w:val="Table"/>
              <w:jc w:val="center"/>
              <w:rPr>
                <w:rFonts w:asciiTheme="minorHAnsi" w:hAnsiTheme="minorHAnsi"/>
                <w:b/>
                <w:sz w:val="22"/>
                <w:szCs w:val="22"/>
                <w:lang w:val="en-US"/>
              </w:rPr>
            </w:pPr>
            <w:r w:rsidRPr="0022140F">
              <w:rPr>
                <w:rFonts w:asciiTheme="minorHAnsi" w:hAnsiTheme="minorHAnsi"/>
                <w:b/>
                <w:sz w:val="22"/>
                <w:szCs w:val="22"/>
                <w:lang w:val="en-US"/>
              </w:rPr>
              <w:t>Responders</w:t>
            </w:r>
          </w:p>
          <w:p w14:paraId="668A7968" w14:textId="77777777" w:rsidR="00557C61" w:rsidRPr="0022140F" w:rsidRDefault="00557C61" w:rsidP="005362D8">
            <w:pPr>
              <w:pStyle w:val="Table"/>
              <w:jc w:val="center"/>
              <w:rPr>
                <w:rFonts w:asciiTheme="minorHAnsi" w:hAnsiTheme="minorHAnsi"/>
                <w:b/>
                <w:sz w:val="22"/>
                <w:szCs w:val="22"/>
                <w:lang w:val="en-US"/>
              </w:rPr>
            </w:pPr>
            <w:r w:rsidRPr="0022140F">
              <w:rPr>
                <w:rFonts w:asciiTheme="minorHAnsi" w:hAnsiTheme="minorHAnsi"/>
                <w:b/>
                <w:sz w:val="22"/>
                <w:szCs w:val="22"/>
                <w:lang w:val="en-US"/>
              </w:rPr>
              <w:t>%</w:t>
            </w:r>
          </w:p>
        </w:tc>
        <w:tc>
          <w:tcPr>
            <w:tcW w:w="630" w:type="dxa"/>
            <w:tcBorders>
              <w:bottom w:val="single" w:sz="4" w:space="0" w:color="auto"/>
            </w:tcBorders>
            <w:shd w:val="clear" w:color="auto" w:fill="auto"/>
          </w:tcPr>
          <w:p w14:paraId="69607B9F" w14:textId="77777777" w:rsidR="00557C61" w:rsidRPr="0022140F" w:rsidRDefault="00557C61" w:rsidP="005362D8">
            <w:pPr>
              <w:pStyle w:val="Table"/>
              <w:jc w:val="center"/>
              <w:rPr>
                <w:rFonts w:asciiTheme="minorHAnsi" w:hAnsiTheme="minorHAnsi"/>
                <w:b/>
                <w:sz w:val="22"/>
                <w:szCs w:val="22"/>
                <w:lang w:val="en-US"/>
              </w:rPr>
            </w:pPr>
            <w:r w:rsidRPr="0022140F">
              <w:rPr>
                <w:rFonts w:asciiTheme="minorHAnsi" w:hAnsiTheme="minorHAnsi"/>
                <w:b/>
                <w:sz w:val="22"/>
                <w:szCs w:val="22"/>
                <w:lang w:val="en-US"/>
              </w:rPr>
              <w:t>N</w:t>
            </w:r>
          </w:p>
        </w:tc>
        <w:tc>
          <w:tcPr>
            <w:tcW w:w="1429" w:type="dxa"/>
            <w:tcBorders>
              <w:bottom w:val="single" w:sz="4" w:space="0" w:color="auto"/>
            </w:tcBorders>
            <w:shd w:val="clear" w:color="auto" w:fill="auto"/>
          </w:tcPr>
          <w:p w14:paraId="357371BB" w14:textId="77777777" w:rsidR="00557C61" w:rsidRPr="0022140F" w:rsidRDefault="00557C61" w:rsidP="005362D8">
            <w:pPr>
              <w:pStyle w:val="Table"/>
              <w:jc w:val="center"/>
              <w:rPr>
                <w:rFonts w:asciiTheme="minorHAnsi" w:hAnsiTheme="minorHAnsi"/>
                <w:b/>
                <w:sz w:val="22"/>
                <w:szCs w:val="22"/>
                <w:lang w:val="en-US"/>
              </w:rPr>
            </w:pPr>
            <w:r w:rsidRPr="0022140F">
              <w:rPr>
                <w:rFonts w:asciiTheme="minorHAnsi" w:hAnsiTheme="minorHAnsi"/>
                <w:b/>
                <w:sz w:val="22"/>
                <w:szCs w:val="22"/>
                <w:lang w:val="en-US"/>
              </w:rPr>
              <w:t>Responders</w:t>
            </w:r>
          </w:p>
          <w:p w14:paraId="28DEED26" w14:textId="77777777" w:rsidR="00557C61" w:rsidRPr="0022140F" w:rsidRDefault="00557C61" w:rsidP="005362D8">
            <w:pPr>
              <w:pStyle w:val="Table"/>
              <w:jc w:val="center"/>
              <w:rPr>
                <w:rFonts w:asciiTheme="minorHAnsi" w:hAnsiTheme="minorHAnsi"/>
                <w:b/>
                <w:sz w:val="22"/>
                <w:szCs w:val="22"/>
                <w:lang w:val="en-US"/>
              </w:rPr>
            </w:pPr>
            <w:r w:rsidRPr="0022140F">
              <w:rPr>
                <w:rFonts w:asciiTheme="minorHAnsi" w:hAnsiTheme="minorHAnsi"/>
                <w:b/>
                <w:sz w:val="22"/>
                <w:szCs w:val="22"/>
                <w:lang w:val="en-US"/>
              </w:rPr>
              <w:t>%</w:t>
            </w:r>
          </w:p>
        </w:tc>
        <w:tc>
          <w:tcPr>
            <w:tcW w:w="3756" w:type="dxa"/>
            <w:vMerge/>
            <w:tcBorders>
              <w:bottom w:val="single" w:sz="4" w:space="0" w:color="auto"/>
            </w:tcBorders>
            <w:shd w:val="clear" w:color="auto" w:fill="auto"/>
          </w:tcPr>
          <w:p w14:paraId="0B3C98F5" w14:textId="77777777" w:rsidR="00557C61" w:rsidRPr="0022140F" w:rsidRDefault="00557C61" w:rsidP="005362D8">
            <w:pPr>
              <w:pStyle w:val="Table"/>
              <w:jc w:val="center"/>
              <w:rPr>
                <w:rFonts w:asciiTheme="minorHAnsi" w:hAnsiTheme="minorHAnsi"/>
                <w:b/>
                <w:sz w:val="22"/>
                <w:szCs w:val="22"/>
                <w:lang w:val="en-US"/>
              </w:rPr>
            </w:pPr>
          </w:p>
        </w:tc>
      </w:tr>
      <w:tr w:rsidR="00557C61" w:rsidRPr="0022140F" w14:paraId="09DD5F9B" w14:textId="77777777" w:rsidTr="0082582C">
        <w:tc>
          <w:tcPr>
            <w:tcW w:w="2376" w:type="dxa"/>
            <w:tcBorders>
              <w:top w:val="single" w:sz="4" w:space="0" w:color="auto"/>
            </w:tcBorders>
            <w:shd w:val="clear" w:color="auto" w:fill="auto"/>
          </w:tcPr>
          <w:p w14:paraId="4B321C7B"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All patients</w:t>
            </w:r>
          </w:p>
        </w:tc>
        <w:tc>
          <w:tcPr>
            <w:tcW w:w="612" w:type="dxa"/>
            <w:tcBorders>
              <w:top w:val="single" w:sz="4" w:space="0" w:color="auto"/>
            </w:tcBorders>
            <w:shd w:val="clear" w:color="auto" w:fill="auto"/>
          </w:tcPr>
          <w:p w14:paraId="5C7B7B31"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78</w:t>
            </w:r>
          </w:p>
        </w:tc>
        <w:tc>
          <w:tcPr>
            <w:tcW w:w="1440" w:type="dxa"/>
            <w:tcBorders>
              <w:top w:val="single" w:sz="4" w:space="0" w:color="auto"/>
            </w:tcBorders>
            <w:shd w:val="clear" w:color="auto" w:fill="auto"/>
          </w:tcPr>
          <w:p w14:paraId="0831DED8"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34.6</w:t>
            </w:r>
          </w:p>
        </w:tc>
        <w:tc>
          <w:tcPr>
            <w:tcW w:w="630" w:type="dxa"/>
            <w:tcBorders>
              <w:top w:val="single" w:sz="4" w:space="0" w:color="auto"/>
            </w:tcBorders>
            <w:shd w:val="clear" w:color="auto" w:fill="auto"/>
          </w:tcPr>
          <w:p w14:paraId="7C3EC85A"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39</w:t>
            </w:r>
          </w:p>
        </w:tc>
        <w:tc>
          <w:tcPr>
            <w:tcW w:w="1429" w:type="dxa"/>
            <w:tcBorders>
              <w:top w:val="single" w:sz="4" w:space="0" w:color="auto"/>
            </w:tcBorders>
            <w:shd w:val="clear" w:color="auto" w:fill="auto"/>
          </w:tcPr>
          <w:p w14:paraId="0F991444"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0</w:t>
            </w:r>
          </w:p>
        </w:tc>
        <w:tc>
          <w:tcPr>
            <w:tcW w:w="3756" w:type="dxa"/>
            <w:tcBorders>
              <w:top w:val="single" w:sz="4" w:space="0" w:color="auto"/>
            </w:tcBorders>
            <w:shd w:val="clear" w:color="auto" w:fill="auto"/>
          </w:tcPr>
          <w:p w14:paraId="7EAB3A02"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34.6 (15.1, 52.4)</w:t>
            </w:r>
          </w:p>
        </w:tc>
      </w:tr>
      <w:tr w:rsidR="00557C61" w:rsidRPr="0022140F" w14:paraId="31F17D3D" w14:textId="77777777" w:rsidTr="0082582C">
        <w:tc>
          <w:tcPr>
            <w:tcW w:w="2376" w:type="dxa"/>
            <w:shd w:val="clear" w:color="auto" w:fill="auto"/>
          </w:tcPr>
          <w:p w14:paraId="0CA980F9"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Modified strata</w:t>
            </w:r>
          </w:p>
        </w:tc>
        <w:tc>
          <w:tcPr>
            <w:tcW w:w="612" w:type="dxa"/>
            <w:shd w:val="clear" w:color="auto" w:fill="auto"/>
          </w:tcPr>
          <w:p w14:paraId="5DC584C1" w14:textId="77777777" w:rsidR="00557C61" w:rsidRPr="0022140F" w:rsidRDefault="00557C61" w:rsidP="005362D8">
            <w:pPr>
              <w:pStyle w:val="Text"/>
              <w:jc w:val="center"/>
              <w:rPr>
                <w:rFonts w:asciiTheme="minorHAnsi" w:hAnsiTheme="minorHAnsi"/>
                <w:sz w:val="22"/>
                <w:szCs w:val="22"/>
                <w:lang w:val="en-US"/>
              </w:rPr>
            </w:pPr>
          </w:p>
        </w:tc>
        <w:tc>
          <w:tcPr>
            <w:tcW w:w="1440" w:type="dxa"/>
            <w:shd w:val="clear" w:color="auto" w:fill="auto"/>
          </w:tcPr>
          <w:p w14:paraId="7D82D812" w14:textId="77777777" w:rsidR="00557C61" w:rsidRPr="0022140F" w:rsidRDefault="00557C61" w:rsidP="005362D8">
            <w:pPr>
              <w:pStyle w:val="Text"/>
              <w:jc w:val="center"/>
              <w:rPr>
                <w:rFonts w:asciiTheme="minorHAnsi" w:hAnsiTheme="minorHAnsi"/>
                <w:sz w:val="22"/>
                <w:szCs w:val="22"/>
                <w:lang w:val="en-US"/>
              </w:rPr>
            </w:pPr>
          </w:p>
        </w:tc>
        <w:tc>
          <w:tcPr>
            <w:tcW w:w="630" w:type="dxa"/>
            <w:shd w:val="clear" w:color="auto" w:fill="auto"/>
          </w:tcPr>
          <w:p w14:paraId="1FA82353" w14:textId="77777777" w:rsidR="00557C61" w:rsidRPr="0022140F" w:rsidRDefault="00557C61" w:rsidP="005362D8">
            <w:pPr>
              <w:pStyle w:val="Text"/>
              <w:jc w:val="center"/>
              <w:rPr>
                <w:rFonts w:asciiTheme="minorHAnsi" w:hAnsiTheme="minorHAnsi"/>
                <w:sz w:val="22"/>
                <w:szCs w:val="22"/>
                <w:lang w:val="en-US"/>
              </w:rPr>
            </w:pPr>
          </w:p>
        </w:tc>
        <w:tc>
          <w:tcPr>
            <w:tcW w:w="1429" w:type="dxa"/>
            <w:shd w:val="clear" w:color="auto" w:fill="auto"/>
          </w:tcPr>
          <w:p w14:paraId="105FF980" w14:textId="77777777" w:rsidR="00557C61" w:rsidRPr="0022140F" w:rsidRDefault="00557C61" w:rsidP="005362D8">
            <w:pPr>
              <w:pStyle w:val="Text"/>
              <w:jc w:val="center"/>
              <w:rPr>
                <w:rFonts w:asciiTheme="minorHAnsi" w:hAnsiTheme="minorHAnsi"/>
                <w:sz w:val="22"/>
                <w:szCs w:val="22"/>
                <w:lang w:val="en-US"/>
              </w:rPr>
            </w:pPr>
          </w:p>
        </w:tc>
        <w:tc>
          <w:tcPr>
            <w:tcW w:w="3756" w:type="dxa"/>
            <w:shd w:val="clear" w:color="auto" w:fill="auto"/>
          </w:tcPr>
          <w:p w14:paraId="4CF36EE1" w14:textId="77777777" w:rsidR="00557C61" w:rsidRPr="0022140F" w:rsidRDefault="00557C61" w:rsidP="005362D8">
            <w:pPr>
              <w:pStyle w:val="Text"/>
              <w:rPr>
                <w:rFonts w:asciiTheme="minorHAnsi" w:hAnsiTheme="minorHAnsi"/>
                <w:sz w:val="22"/>
                <w:szCs w:val="22"/>
                <w:lang w:val="en-US"/>
              </w:rPr>
            </w:pPr>
          </w:p>
        </w:tc>
      </w:tr>
      <w:tr w:rsidR="00557C61" w:rsidRPr="0022140F" w14:paraId="09BC6191" w14:textId="77777777" w:rsidTr="0082582C">
        <w:tc>
          <w:tcPr>
            <w:tcW w:w="2376" w:type="dxa"/>
            <w:shd w:val="clear" w:color="auto" w:fill="auto"/>
          </w:tcPr>
          <w:p w14:paraId="185E5C4A"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lastRenderedPageBreak/>
              <w:tab/>
              <w:t>EIAED use</w:t>
            </w:r>
          </w:p>
        </w:tc>
        <w:tc>
          <w:tcPr>
            <w:tcW w:w="612" w:type="dxa"/>
            <w:shd w:val="clear" w:color="auto" w:fill="auto"/>
          </w:tcPr>
          <w:p w14:paraId="77072F2A"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15</w:t>
            </w:r>
          </w:p>
        </w:tc>
        <w:tc>
          <w:tcPr>
            <w:tcW w:w="1440" w:type="dxa"/>
            <w:shd w:val="clear" w:color="auto" w:fill="auto"/>
          </w:tcPr>
          <w:p w14:paraId="69A94582"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26.7</w:t>
            </w:r>
          </w:p>
        </w:tc>
        <w:tc>
          <w:tcPr>
            <w:tcW w:w="630" w:type="dxa"/>
            <w:shd w:val="clear" w:color="auto" w:fill="auto"/>
          </w:tcPr>
          <w:p w14:paraId="1DDC71C2"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7</w:t>
            </w:r>
          </w:p>
        </w:tc>
        <w:tc>
          <w:tcPr>
            <w:tcW w:w="1429" w:type="dxa"/>
            <w:shd w:val="clear" w:color="auto" w:fill="auto"/>
          </w:tcPr>
          <w:p w14:paraId="2D04D7AD"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0</w:t>
            </w:r>
          </w:p>
        </w:tc>
        <w:tc>
          <w:tcPr>
            <w:tcW w:w="3756" w:type="dxa"/>
            <w:shd w:val="clear" w:color="auto" w:fill="auto"/>
          </w:tcPr>
          <w:p w14:paraId="2DD2C42B"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26.7 (-16.9, 64.7)</w:t>
            </w:r>
          </w:p>
        </w:tc>
      </w:tr>
      <w:tr w:rsidR="00557C61" w:rsidRPr="0022140F" w14:paraId="754D87C4" w14:textId="77777777" w:rsidTr="0082582C">
        <w:tc>
          <w:tcPr>
            <w:tcW w:w="2376" w:type="dxa"/>
            <w:shd w:val="clear" w:color="auto" w:fill="auto"/>
          </w:tcPr>
          <w:p w14:paraId="1AF7B725"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ab/>
              <w:t>No EIAED use</w:t>
            </w:r>
          </w:p>
        </w:tc>
        <w:tc>
          <w:tcPr>
            <w:tcW w:w="612" w:type="dxa"/>
            <w:shd w:val="clear" w:color="auto" w:fill="auto"/>
          </w:tcPr>
          <w:p w14:paraId="2C39B426"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63</w:t>
            </w:r>
          </w:p>
        </w:tc>
        <w:tc>
          <w:tcPr>
            <w:tcW w:w="1440" w:type="dxa"/>
            <w:shd w:val="clear" w:color="auto" w:fill="auto"/>
          </w:tcPr>
          <w:p w14:paraId="3CC0E800"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36.5</w:t>
            </w:r>
          </w:p>
        </w:tc>
        <w:tc>
          <w:tcPr>
            <w:tcW w:w="630" w:type="dxa"/>
            <w:shd w:val="clear" w:color="auto" w:fill="auto"/>
          </w:tcPr>
          <w:p w14:paraId="4F912BCE"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32</w:t>
            </w:r>
          </w:p>
        </w:tc>
        <w:tc>
          <w:tcPr>
            <w:tcW w:w="1429" w:type="dxa"/>
            <w:shd w:val="clear" w:color="auto" w:fill="auto"/>
          </w:tcPr>
          <w:p w14:paraId="0F4A5595"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0</w:t>
            </w:r>
          </w:p>
        </w:tc>
        <w:tc>
          <w:tcPr>
            <w:tcW w:w="3756" w:type="dxa"/>
            <w:shd w:val="clear" w:color="auto" w:fill="auto"/>
          </w:tcPr>
          <w:p w14:paraId="31C1DD24"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36.5 (15.4, 55.1)</w:t>
            </w:r>
          </w:p>
        </w:tc>
      </w:tr>
      <w:tr w:rsidR="00557C61" w:rsidRPr="0022140F" w14:paraId="689E7ED6" w14:textId="77777777" w:rsidTr="0082582C">
        <w:tc>
          <w:tcPr>
            <w:tcW w:w="2376" w:type="dxa"/>
            <w:shd w:val="clear" w:color="auto" w:fill="auto"/>
          </w:tcPr>
          <w:p w14:paraId="3A5E544D"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Sex</w:t>
            </w:r>
          </w:p>
        </w:tc>
        <w:tc>
          <w:tcPr>
            <w:tcW w:w="612" w:type="dxa"/>
            <w:shd w:val="clear" w:color="auto" w:fill="auto"/>
          </w:tcPr>
          <w:p w14:paraId="4FD4EF9B" w14:textId="77777777" w:rsidR="00557C61" w:rsidRPr="0022140F" w:rsidRDefault="00557C61" w:rsidP="005362D8">
            <w:pPr>
              <w:pStyle w:val="Text"/>
              <w:jc w:val="center"/>
              <w:rPr>
                <w:rFonts w:asciiTheme="minorHAnsi" w:hAnsiTheme="minorHAnsi"/>
                <w:sz w:val="22"/>
                <w:szCs w:val="22"/>
                <w:lang w:val="en-US"/>
              </w:rPr>
            </w:pPr>
          </w:p>
        </w:tc>
        <w:tc>
          <w:tcPr>
            <w:tcW w:w="1440" w:type="dxa"/>
            <w:shd w:val="clear" w:color="auto" w:fill="auto"/>
          </w:tcPr>
          <w:p w14:paraId="36F8DAC9" w14:textId="77777777" w:rsidR="00557C61" w:rsidRPr="0022140F" w:rsidRDefault="00557C61" w:rsidP="005362D8">
            <w:pPr>
              <w:pStyle w:val="Text"/>
              <w:jc w:val="center"/>
              <w:rPr>
                <w:rFonts w:asciiTheme="minorHAnsi" w:hAnsiTheme="minorHAnsi"/>
                <w:sz w:val="22"/>
                <w:szCs w:val="22"/>
                <w:lang w:val="en-US"/>
              </w:rPr>
            </w:pPr>
          </w:p>
        </w:tc>
        <w:tc>
          <w:tcPr>
            <w:tcW w:w="630" w:type="dxa"/>
            <w:shd w:val="clear" w:color="auto" w:fill="auto"/>
          </w:tcPr>
          <w:p w14:paraId="03EE23D2" w14:textId="77777777" w:rsidR="00557C61" w:rsidRPr="0022140F" w:rsidRDefault="00557C61" w:rsidP="005362D8">
            <w:pPr>
              <w:pStyle w:val="Text"/>
              <w:jc w:val="center"/>
              <w:rPr>
                <w:rFonts w:asciiTheme="minorHAnsi" w:hAnsiTheme="minorHAnsi"/>
                <w:sz w:val="22"/>
                <w:szCs w:val="22"/>
                <w:lang w:val="en-US"/>
              </w:rPr>
            </w:pPr>
          </w:p>
        </w:tc>
        <w:tc>
          <w:tcPr>
            <w:tcW w:w="1429" w:type="dxa"/>
            <w:shd w:val="clear" w:color="auto" w:fill="auto"/>
          </w:tcPr>
          <w:p w14:paraId="61E0D7C0" w14:textId="77777777" w:rsidR="00557C61" w:rsidRPr="0022140F" w:rsidRDefault="00557C61" w:rsidP="005362D8">
            <w:pPr>
              <w:pStyle w:val="Text"/>
              <w:jc w:val="center"/>
              <w:rPr>
                <w:rFonts w:asciiTheme="minorHAnsi" w:hAnsiTheme="minorHAnsi"/>
                <w:sz w:val="22"/>
                <w:szCs w:val="22"/>
                <w:lang w:val="en-US"/>
              </w:rPr>
            </w:pPr>
          </w:p>
        </w:tc>
        <w:tc>
          <w:tcPr>
            <w:tcW w:w="3756" w:type="dxa"/>
            <w:shd w:val="clear" w:color="auto" w:fill="auto"/>
          </w:tcPr>
          <w:p w14:paraId="09C1BDE4" w14:textId="77777777" w:rsidR="00557C61" w:rsidRPr="0022140F" w:rsidRDefault="00557C61" w:rsidP="005362D8">
            <w:pPr>
              <w:pStyle w:val="Text"/>
              <w:rPr>
                <w:rFonts w:asciiTheme="minorHAnsi" w:hAnsiTheme="minorHAnsi"/>
                <w:sz w:val="22"/>
                <w:szCs w:val="22"/>
                <w:lang w:val="en-US"/>
              </w:rPr>
            </w:pPr>
          </w:p>
        </w:tc>
      </w:tr>
      <w:tr w:rsidR="00557C61" w:rsidRPr="0022140F" w14:paraId="3A53D86D" w14:textId="77777777" w:rsidTr="0082582C">
        <w:tc>
          <w:tcPr>
            <w:tcW w:w="2376" w:type="dxa"/>
            <w:shd w:val="clear" w:color="auto" w:fill="auto"/>
          </w:tcPr>
          <w:p w14:paraId="2374BBA0"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ab/>
              <w:t>Male</w:t>
            </w:r>
          </w:p>
        </w:tc>
        <w:tc>
          <w:tcPr>
            <w:tcW w:w="612" w:type="dxa"/>
            <w:shd w:val="clear" w:color="auto" w:fill="auto"/>
          </w:tcPr>
          <w:p w14:paraId="504EA178"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49</w:t>
            </w:r>
          </w:p>
        </w:tc>
        <w:tc>
          <w:tcPr>
            <w:tcW w:w="1440" w:type="dxa"/>
            <w:shd w:val="clear" w:color="auto" w:fill="auto"/>
          </w:tcPr>
          <w:p w14:paraId="73956935"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24.5</w:t>
            </w:r>
          </w:p>
        </w:tc>
        <w:tc>
          <w:tcPr>
            <w:tcW w:w="630" w:type="dxa"/>
            <w:shd w:val="clear" w:color="auto" w:fill="auto"/>
          </w:tcPr>
          <w:p w14:paraId="45F216AE"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18</w:t>
            </w:r>
          </w:p>
        </w:tc>
        <w:tc>
          <w:tcPr>
            <w:tcW w:w="1429" w:type="dxa"/>
            <w:shd w:val="clear" w:color="auto" w:fill="auto"/>
          </w:tcPr>
          <w:p w14:paraId="735CF7EF"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0</w:t>
            </w:r>
          </w:p>
        </w:tc>
        <w:tc>
          <w:tcPr>
            <w:tcW w:w="3756" w:type="dxa"/>
            <w:shd w:val="clear" w:color="auto" w:fill="auto"/>
          </w:tcPr>
          <w:p w14:paraId="50A08D26"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24.5 (-2.4, 49.5)</w:t>
            </w:r>
          </w:p>
        </w:tc>
      </w:tr>
      <w:tr w:rsidR="00557C61" w:rsidRPr="0022140F" w14:paraId="24288DA4" w14:textId="77777777" w:rsidTr="0082582C">
        <w:tc>
          <w:tcPr>
            <w:tcW w:w="2376" w:type="dxa"/>
            <w:shd w:val="clear" w:color="auto" w:fill="auto"/>
          </w:tcPr>
          <w:p w14:paraId="3DA29D79"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ab/>
              <w:t>Female</w:t>
            </w:r>
          </w:p>
        </w:tc>
        <w:tc>
          <w:tcPr>
            <w:tcW w:w="612" w:type="dxa"/>
            <w:shd w:val="clear" w:color="auto" w:fill="auto"/>
          </w:tcPr>
          <w:p w14:paraId="227FF690"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29</w:t>
            </w:r>
          </w:p>
        </w:tc>
        <w:tc>
          <w:tcPr>
            <w:tcW w:w="1440" w:type="dxa"/>
            <w:shd w:val="clear" w:color="auto" w:fill="auto"/>
          </w:tcPr>
          <w:p w14:paraId="2222B05B"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51.7</w:t>
            </w:r>
          </w:p>
        </w:tc>
        <w:tc>
          <w:tcPr>
            <w:tcW w:w="630" w:type="dxa"/>
            <w:shd w:val="clear" w:color="auto" w:fill="auto"/>
          </w:tcPr>
          <w:p w14:paraId="27D455D2"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21</w:t>
            </w:r>
          </w:p>
        </w:tc>
        <w:tc>
          <w:tcPr>
            <w:tcW w:w="1429" w:type="dxa"/>
            <w:shd w:val="clear" w:color="auto" w:fill="auto"/>
          </w:tcPr>
          <w:p w14:paraId="17ED2D10"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0</w:t>
            </w:r>
          </w:p>
        </w:tc>
        <w:tc>
          <w:tcPr>
            <w:tcW w:w="3756" w:type="dxa"/>
            <w:shd w:val="clear" w:color="auto" w:fill="auto"/>
          </w:tcPr>
          <w:p w14:paraId="00E67524"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51.7 (24.8, 72.9)</w:t>
            </w:r>
          </w:p>
        </w:tc>
      </w:tr>
      <w:tr w:rsidR="00557C61" w:rsidRPr="0022140F" w14:paraId="13324DA1" w14:textId="77777777" w:rsidTr="0082582C">
        <w:tc>
          <w:tcPr>
            <w:tcW w:w="2376" w:type="dxa"/>
            <w:shd w:val="clear" w:color="auto" w:fill="auto"/>
          </w:tcPr>
          <w:p w14:paraId="42CEA2D2"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Age</w:t>
            </w:r>
          </w:p>
        </w:tc>
        <w:tc>
          <w:tcPr>
            <w:tcW w:w="612" w:type="dxa"/>
            <w:shd w:val="clear" w:color="auto" w:fill="auto"/>
          </w:tcPr>
          <w:p w14:paraId="0C493A41" w14:textId="77777777" w:rsidR="00557C61" w:rsidRPr="0022140F" w:rsidRDefault="00557C61" w:rsidP="005362D8">
            <w:pPr>
              <w:pStyle w:val="Text"/>
              <w:jc w:val="center"/>
              <w:rPr>
                <w:rFonts w:asciiTheme="minorHAnsi" w:hAnsiTheme="minorHAnsi"/>
                <w:sz w:val="22"/>
                <w:szCs w:val="22"/>
                <w:lang w:val="en-US"/>
              </w:rPr>
            </w:pPr>
          </w:p>
        </w:tc>
        <w:tc>
          <w:tcPr>
            <w:tcW w:w="1440" w:type="dxa"/>
            <w:shd w:val="clear" w:color="auto" w:fill="auto"/>
          </w:tcPr>
          <w:p w14:paraId="704C973E" w14:textId="77777777" w:rsidR="00557C61" w:rsidRPr="0022140F" w:rsidRDefault="00557C61" w:rsidP="005362D8">
            <w:pPr>
              <w:pStyle w:val="Text"/>
              <w:jc w:val="center"/>
              <w:rPr>
                <w:rFonts w:asciiTheme="minorHAnsi" w:hAnsiTheme="minorHAnsi"/>
                <w:sz w:val="22"/>
                <w:szCs w:val="22"/>
                <w:lang w:val="en-US"/>
              </w:rPr>
            </w:pPr>
          </w:p>
        </w:tc>
        <w:tc>
          <w:tcPr>
            <w:tcW w:w="630" w:type="dxa"/>
            <w:shd w:val="clear" w:color="auto" w:fill="auto"/>
          </w:tcPr>
          <w:p w14:paraId="4553183D" w14:textId="77777777" w:rsidR="00557C61" w:rsidRPr="0022140F" w:rsidRDefault="00557C61" w:rsidP="005362D8">
            <w:pPr>
              <w:pStyle w:val="Text"/>
              <w:jc w:val="center"/>
              <w:rPr>
                <w:rFonts w:asciiTheme="minorHAnsi" w:hAnsiTheme="minorHAnsi"/>
                <w:sz w:val="22"/>
                <w:szCs w:val="22"/>
                <w:lang w:val="en-US"/>
              </w:rPr>
            </w:pPr>
          </w:p>
        </w:tc>
        <w:tc>
          <w:tcPr>
            <w:tcW w:w="1429" w:type="dxa"/>
            <w:shd w:val="clear" w:color="auto" w:fill="auto"/>
          </w:tcPr>
          <w:p w14:paraId="1FD5B999" w14:textId="77777777" w:rsidR="00557C61" w:rsidRPr="0022140F" w:rsidRDefault="00557C61" w:rsidP="005362D8">
            <w:pPr>
              <w:pStyle w:val="Text"/>
              <w:jc w:val="center"/>
              <w:rPr>
                <w:rFonts w:asciiTheme="minorHAnsi" w:hAnsiTheme="minorHAnsi"/>
                <w:sz w:val="22"/>
                <w:szCs w:val="22"/>
                <w:lang w:val="en-US"/>
              </w:rPr>
            </w:pPr>
          </w:p>
        </w:tc>
        <w:tc>
          <w:tcPr>
            <w:tcW w:w="3756" w:type="dxa"/>
            <w:shd w:val="clear" w:color="auto" w:fill="auto"/>
          </w:tcPr>
          <w:p w14:paraId="653DE976" w14:textId="77777777" w:rsidR="00557C61" w:rsidRPr="0022140F" w:rsidRDefault="00557C61" w:rsidP="005362D8">
            <w:pPr>
              <w:pStyle w:val="Text"/>
              <w:rPr>
                <w:rFonts w:asciiTheme="minorHAnsi" w:hAnsiTheme="minorHAnsi"/>
                <w:sz w:val="22"/>
                <w:szCs w:val="22"/>
                <w:lang w:val="en-US"/>
              </w:rPr>
            </w:pPr>
          </w:p>
        </w:tc>
      </w:tr>
      <w:tr w:rsidR="00557C61" w:rsidRPr="0022140F" w14:paraId="28BE8992" w14:textId="77777777" w:rsidTr="0082582C">
        <w:tc>
          <w:tcPr>
            <w:tcW w:w="2376" w:type="dxa"/>
            <w:shd w:val="clear" w:color="auto" w:fill="auto"/>
          </w:tcPr>
          <w:p w14:paraId="0BD8D356"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ab/>
              <w:t>&lt;3 years</w:t>
            </w:r>
          </w:p>
        </w:tc>
        <w:tc>
          <w:tcPr>
            <w:tcW w:w="612" w:type="dxa"/>
            <w:shd w:val="clear" w:color="auto" w:fill="auto"/>
          </w:tcPr>
          <w:p w14:paraId="1830466A"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13</w:t>
            </w:r>
          </w:p>
        </w:tc>
        <w:tc>
          <w:tcPr>
            <w:tcW w:w="1440" w:type="dxa"/>
            <w:shd w:val="clear" w:color="auto" w:fill="auto"/>
          </w:tcPr>
          <w:p w14:paraId="0F09FE84"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23.1</w:t>
            </w:r>
          </w:p>
        </w:tc>
        <w:tc>
          <w:tcPr>
            <w:tcW w:w="630" w:type="dxa"/>
            <w:shd w:val="clear" w:color="auto" w:fill="auto"/>
          </w:tcPr>
          <w:p w14:paraId="0D75D5AA"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7</w:t>
            </w:r>
          </w:p>
        </w:tc>
        <w:tc>
          <w:tcPr>
            <w:tcW w:w="1429" w:type="dxa"/>
            <w:shd w:val="clear" w:color="auto" w:fill="auto"/>
          </w:tcPr>
          <w:p w14:paraId="7C9287B6"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0</w:t>
            </w:r>
          </w:p>
        </w:tc>
        <w:tc>
          <w:tcPr>
            <w:tcW w:w="3756" w:type="dxa"/>
            <w:shd w:val="clear" w:color="auto" w:fill="auto"/>
          </w:tcPr>
          <w:p w14:paraId="1C6D50B9"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23.1 (-24.1, 63.0)</w:t>
            </w:r>
          </w:p>
        </w:tc>
      </w:tr>
      <w:tr w:rsidR="00557C61" w:rsidRPr="0022140F" w14:paraId="47129789" w14:textId="77777777" w:rsidTr="0082582C">
        <w:tc>
          <w:tcPr>
            <w:tcW w:w="2376" w:type="dxa"/>
            <w:shd w:val="clear" w:color="auto" w:fill="auto"/>
          </w:tcPr>
          <w:p w14:paraId="30B08101"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ab/>
              <w:t>3-&lt;18 years</w:t>
            </w:r>
          </w:p>
        </w:tc>
        <w:tc>
          <w:tcPr>
            <w:tcW w:w="612" w:type="dxa"/>
            <w:shd w:val="clear" w:color="auto" w:fill="auto"/>
          </w:tcPr>
          <w:p w14:paraId="7E51CA77"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55</w:t>
            </w:r>
          </w:p>
        </w:tc>
        <w:tc>
          <w:tcPr>
            <w:tcW w:w="1440" w:type="dxa"/>
            <w:shd w:val="clear" w:color="auto" w:fill="auto"/>
          </w:tcPr>
          <w:p w14:paraId="22D145E5"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38.2</w:t>
            </w:r>
          </w:p>
        </w:tc>
        <w:tc>
          <w:tcPr>
            <w:tcW w:w="630" w:type="dxa"/>
            <w:shd w:val="clear" w:color="auto" w:fill="auto"/>
          </w:tcPr>
          <w:p w14:paraId="51733609"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26</w:t>
            </w:r>
          </w:p>
        </w:tc>
        <w:tc>
          <w:tcPr>
            <w:tcW w:w="1429" w:type="dxa"/>
            <w:shd w:val="clear" w:color="auto" w:fill="auto"/>
          </w:tcPr>
          <w:p w14:paraId="4BECDAEC"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0</w:t>
            </w:r>
          </w:p>
        </w:tc>
        <w:tc>
          <w:tcPr>
            <w:tcW w:w="3756" w:type="dxa"/>
            <w:shd w:val="clear" w:color="auto" w:fill="auto"/>
          </w:tcPr>
          <w:p w14:paraId="58977FE7"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38.2 (15.0, 58.7)</w:t>
            </w:r>
          </w:p>
        </w:tc>
      </w:tr>
      <w:tr w:rsidR="00557C61" w:rsidRPr="0022140F" w14:paraId="4399917F" w14:textId="77777777" w:rsidTr="0082582C">
        <w:tc>
          <w:tcPr>
            <w:tcW w:w="2376" w:type="dxa"/>
            <w:tcBorders>
              <w:bottom w:val="single" w:sz="4" w:space="0" w:color="auto"/>
            </w:tcBorders>
            <w:shd w:val="clear" w:color="auto" w:fill="auto"/>
          </w:tcPr>
          <w:p w14:paraId="2F4C3BB6"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ab/>
              <w:t>≥18 years</w:t>
            </w:r>
          </w:p>
        </w:tc>
        <w:tc>
          <w:tcPr>
            <w:tcW w:w="612" w:type="dxa"/>
            <w:tcBorders>
              <w:bottom w:val="single" w:sz="4" w:space="0" w:color="auto"/>
            </w:tcBorders>
            <w:shd w:val="clear" w:color="auto" w:fill="auto"/>
          </w:tcPr>
          <w:p w14:paraId="1A9B7FE6"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10</w:t>
            </w:r>
          </w:p>
        </w:tc>
        <w:tc>
          <w:tcPr>
            <w:tcW w:w="1440" w:type="dxa"/>
            <w:tcBorders>
              <w:bottom w:val="single" w:sz="4" w:space="0" w:color="auto"/>
            </w:tcBorders>
            <w:shd w:val="clear" w:color="auto" w:fill="auto"/>
          </w:tcPr>
          <w:p w14:paraId="5A8658AB"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30.0</w:t>
            </w:r>
          </w:p>
        </w:tc>
        <w:tc>
          <w:tcPr>
            <w:tcW w:w="630" w:type="dxa"/>
            <w:tcBorders>
              <w:bottom w:val="single" w:sz="4" w:space="0" w:color="auto"/>
            </w:tcBorders>
            <w:shd w:val="clear" w:color="auto" w:fill="auto"/>
          </w:tcPr>
          <w:p w14:paraId="6F048836"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6</w:t>
            </w:r>
          </w:p>
        </w:tc>
        <w:tc>
          <w:tcPr>
            <w:tcW w:w="1429" w:type="dxa"/>
            <w:tcBorders>
              <w:bottom w:val="single" w:sz="4" w:space="0" w:color="auto"/>
            </w:tcBorders>
            <w:shd w:val="clear" w:color="auto" w:fill="auto"/>
          </w:tcPr>
          <w:p w14:paraId="1BEA75A2" w14:textId="77777777" w:rsidR="00557C61" w:rsidRPr="0022140F" w:rsidRDefault="00557C61" w:rsidP="005362D8">
            <w:pPr>
              <w:pStyle w:val="Text"/>
              <w:jc w:val="center"/>
              <w:rPr>
                <w:rFonts w:asciiTheme="minorHAnsi" w:hAnsiTheme="minorHAnsi"/>
                <w:sz w:val="22"/>
                <w:szCs w:val="22"/>
                <w:lang w:val="en-US"/>
              </w:rPr>
            </w:pPr>
            <w:r w:rsidRPr="0022140F">
              <w:rPr>
                <w:rFonts w:asciiTheme="minorHAnsi" w:hAnsiTheme="minorHAnsi"/>
                <w:sz w:val="22"/>
                <w:szCs w:val="22"/>
                <w:lang w:val="en-US"/>
              </w:rPr>
              <w:t>0</w:t>
            </w:r>
          </w:p>
        </w:tc>
        <w:tc>
          <w:tcPr>
            <w:tcW w:w="3756" w:type="dxa"/>
            <w:tcBorders>
              <w:bottom w:val="single" w:sz="4" w:space="0" w:color="auto"/>
            </w:tcBorders>
            <w:shd w:val="clear" w:color="auto" w:fill="auto"/>
          </w:tcPr>
          <w:p w14:paraId="0CAF7EA1" w14:textId="77777777" w:rsidR="00557C61" w:rsidRPr="0022140F" w:rsidRDefault="00557C61" w:rsidP="005362D8">
            <w:pPr>
              <w:pStyle w:val="Text"/>
              <w:rPr>
                <w:rFonts w:asciiTheme="minorHAnsi" w:hAnsiTheme="minorHAnsi"/>
                <w:sz w:val="22"/>
                <w:szCs w:val="22"/>
                <w:lang w:val="en-US"/>
              </w:rPr>
            </w:pPr>
            <w:r w:rsidRPr="0022140F">
              <w:rPr>
                <w:rFonts w:asciiTheme="minorHAnsi" w:hAnsiTheme="minorHAnsi"/>
                <w:sz w:val="22"/>
                <w:szCs w:val="22"/>
                <w:lang w:val="en-US"/>
              </w:rPr>
              <w:t>30.0 (-21.2, 72.7)</w:t>
            </w:r>
          </w:p>
        </w:tc>
      </w:tr>
    </w:tbl>
    <w:p w14:paraId="756F9903" w14:textId="77777777" w:rsidR="00557C61" w:rsidRPr="0022140F" w:rsidRDefault="00557C61" w:rsidP="00557C61">
      <w:pPr>
        <w:spacing w:before="120" w:after="120"/>
        <w:rPr>
          <w:b/>
        </w:rPr>
      </w:pPr>
    </w:p>
    <w:bookmarkEnd w:id="60"/>
    <w:bookmarkEnd w:id="61"/>
    <w:p w14:paraId="554E0D29" w14:textId="77777777" w:rsidR="00557C61" w:rsidRPr="0022140F" w:rsidRDefault="00557C61" w:rsidP="00557C61">
      <w:pPr>
        <w:rPr>
          <w:lang w:val="en-GB"/>
        </w:rPr>
      </w:pPr>
      <w:r w:rsidRPr="0022140F">
        <w:rPr>
          <w:lang w:val="en-GB"/>
        </w:rPr>
        <w:t xml:space="preserve">During the double-blind period, reduction of SEGA volume was evident within the initial 12 weeks of treatment with </w:t>
      </w:r>
      <w:proofErr w:type="spellStart"/>
      <w:r w:rsidRPr="0022140F">
        <w:rPr>
          <w:lang w:val="en-GB"/>
        </w:rPr>
        <w:t>Afinitor</w:t>
      </w:r>
      <w:proofErr w:type="spellEnd"/>
      <w:r w:rsidRPr="0022140F">
        <w:rPr>
          <w:szCs w:val="24"/>
          <w:lang w:val="en-GB"/>
        </w:rPr>
        <w:t xml:space="preserve">: </w:t>
      </w:r>
      <w:r w:rsidRPr="0022140F">
        <w:rPr>
          <w:szCs w:val="24"/>
        </w:rPr>
        <w:t>29.7% (22/74) of patients had ≥50% reductions in volume and</w:t>
      </w:r>
      <w:r w:rsidRPr="0022140F">
        <w:t xml:space="preserve"> </w:t>
      </w:r>
      <w:r w:rsidRPr="0022140F">
        <w:rPr>
          <w:lang w:val="en-GB"/>
        </w:rPr>
        <w:t xml:space="preserve">73.0% (54/74) of patients had ≥ 30% reductions in volume. Sustained reductions were evident at Week 24, </w:t>
      </w:r>
      <w:r w:rsidRPr="0022140F">
        <w:rPr>
          <w:szCs w:val="24"/>
        </w:rPr>
        <w:t xml:space="preserve">41.9% (31/74) of patients had ≥50% reductions and </w:t>
      </w:r>
      <w:r w:rsidRPr="0022140F">
        <w:rPr>
          <w:szCs w:val="24"/>
          <w:lang w:val="en-GB"/>
        </w:rPr>
        <w:t>7</w:t>
      </w:r>
      <w:r w:rsidRPr="0022140F">
        <w:rPr>
          <w:lang w:val="en-GB"/>
        </w:rPr>
        <w:t>8.4% (58/74) of patients had ≥ 30% reductions in SEGA volume.</w:t>
      </w:r>
    </w:p>
    <w:p w14:paraId="2E5BCE83" w14:textId="77777777" w:rsidR="00557C61" w:rsidRPr="0022140F" w:rsidRDefault="00557C61" w:rsidP="00557C61">
      <w:pPr>
        <w:rPr>
          <w:szCs w:val="24"/>
        </w:rPr>
      </w:pPr>
      <w:r w:rsidRPr="0022140F">
        <w:rPr>
          <w:szCs w:val="24"/>
        </w:rPr>
        <w:t xml:space="preserve">In the </w:t>
      </w:r>
      <w:proofErr w:type="spellStart"/>
      <w:r w:rsidRPr="0022140F">
        <w:rPr>
          <w:szCs w:val="24"/>
        </w:rPr>
        <w:t>everolimus</w:t>
      </w:r>
      <w:proofErr w:type="spellEnd"/>
      <w:r w:rsidRPr="0022140F">
        <w:rPr>
          <w:szCs w:val="24"/>
        </w:rPr>
        <w:t xml:space="preserve"> treated population (N=111) of the study, including patients who crossed over from the placebo group, tumour response, starting as early as after 12 weeks on </w:t>
      </w:r>
      <w:proofErr w:type="spellStart"/>
      <w:r w:rsidRPr="0022140F">
        <w:rPr>
          <w:szCs w:val="24"/>
        </w:rPr>
        <w:t>everolimus</w:t>
      </w:r>
      <w:proofErr w:type="spellEnd"/>
      <w:r w:rsidRPr="0022140F">
        <w:rPr>
          <w:szCs w:val="24"/>
        </w:rPr>
        <w:t xml:space="preserve">, was sustained at later time points.  The proportion of patients achieving at least 50% reductions in SEGA volume was 45.9% (45/98) and 62.1% (41/66) at Weeks 96 and 192 after start of </w:t>
      </w:r>
      <w:proofErr w:type="spellStart"/>
      <w:r w:rsidRPr="0022140F">
        <w:rPr>
          <w:szCs w:val="24"/>
        </w:rPr>
        <w:t>everolimus</w:t>
      </w:r>
      <w:proofErr w:type="spellEnd"/>
      <w:r w:rsidRPr="0022140F">
        <w:rPr>
          <w:szCs w:val="24"/>
        </w:rPr>
        <w:t xml:space="preserve"> treatment.  Similarly, the proportion of patients achieving at least 30% reductions in SEGA volume was 71.4% (70/98) and 77.3% (51/66) at Weeks 96 and 192 after start of </w:t>
      </w:r>
      <w:proofErr w:type="spellStart"/>
      <w:r w:rsidRPr="0022140F">
        <w:rPr>
          <w:szCs w:val="24"/>
        </w:rPr>
        <w:t>everolimus</w:t>
      </w:r>
      <w:proofErr w:type="spellEnd"/>
      <w:r w:rsidRPr="0022140F">
        <w:rPr>
          <w:szCs w:val="24"/>
        </w:rPr>
        <w:t xml:space="preserve"> treatment.</w:t>
      </w:r>
    </w:p>
    <w:p w14:paraId="130E51A8" w14:textId="77777777" w:rsidR="00557C61" w:rsidRPr="0022140F" w:rsidRDefault="00557C61" w:rsidP="00557C61">
      <w:pPr>
        <w:rPr>
          <w:lang w:val="en-GB"/>
        </w:rPr>
      </w:pPr>
      <w:r w:rsidRPr="0022140F">
        <w:rPr>
          <w:lang w:val="en-GB"/>
        </w:rPr>
        <w:t xml:space="preserve">Analysis of the first key secondary endpoint, change in seizure frequency, was inconclusive. </w:t>
      </w:r>
    </w:p>
    <w:p w14:paraId="275F5A3F" w14:textId="793ECBA6" w:rsidR="00557C61" w:rsidRPr="0022140F" w:rsidRDefault="00557C61" w:rsidP="00557C61">
      <w:pPr>
        <w:rPr>
          <w:szCs w:val="24"/>
          <w:lang w:val="en-GB"/>
        </w:rPr>
      </w:pPr>
      <w:r w:rsidRPr="0022140F">
        <w:rPr>
          <w:lang w:val="en-GB"/>
        </w:rPr>
        <w:t>Median time to SEGA progression based on central radiology review was not reached in either treatment arm. Progressions were only observed in the placebo arm (15.4%; unadjusted p=0.0002) (</w:t>
      </w:r>
      <w:r w:rsidRPr="0022140F">
        <w:rPr>
          <w:lang w:val="en-GB"/>
        </w:rPr>
        <w:fldChar w:fldCharType="begin"/>
      </w:r>
      <w:r w:rsidRPr="0022140F">
        <w:rPr>
          <w:lang w:val="en-GB"/>
        </w:rPr>
        <w:instrText xml:space="preserve"> REF _Ref491096765 \h  \* MERGEFORMAT </w:instrText>
      </w:r>
      <w:r w:rsidRPr="0022140F">
        <w:rPr>
          <w:lang w:val="en-GB"/>
        </w:rPr>
      </w:r>
      <w:r w:rsidRPr="0022140F">
        <w:rPr>
          <w:lang w:val="en-GB"/>
        </w:rPr>
        <w:fldChar w:fldCharType="separate"/>
      </w:r>
      <w:r w:rsidR="00D64407" w:rsidRPr="00D64407">
        <w:rPr>
          <w:lang w:val="en-GB"/>
        </w:rPr>
        <w:t>Figure 14</w:t>
      </w:r>
      <w:r w:rsidRPr="0022140F">
        <w:rPr>
          <w:lang w:val="en-GB"/>
        </w:rPr>
        <w:fldChar w:fldCharType="end"/>
      </w:r>
      <w:r w:rsidRPr="0022140F">
        <w:rPr>
          <w:lang w:val="en-GB"/>
        </w:rPr>
        <w:t xml:space="preserve">). Estimated progression-free rates at 6 months were 100% for the </w:t>
      </w:r>
      <w:proofErr w:type="spellStart"/>
      <w:r w:rsidRPr="0022140F">
        <w:rPr>
          <w:lang w:val="en-GB"/>
        </w:rPr>
        <w:t>Afinitor</w:t>
      </w:r>
      <w:proofErr w:type="spellEnd"/>
      <w:r w:rsidRPr="0022140F">
        <w:rPr>
          <w:lang w:val="en-GB"/>
        </w:rPr>
        <w:t xml:space="preserve"> arm and 85.7% for the placebo arm. </w:t>
      </w:r>
      <w:r w:rsidRPr="0022140F">
        <w:rPr>
          <w:szCs w:val="24"/>
        </w:rPr>
        <w:t xml:space="preserve">The long-term follow up of patients randomized to </w:t>
      </w:r>
      <w:proofErr w:type="spellStart"/>
      <w:r w:rsidRPr="0022140F">
        <w:rPr>
          <w:szCs w:val="24"/>
        </w:rPr>
        <w:t>everolimus</w:t>
      </w:r>
      <w:proofErr w:type="spellEnd"/>
      <w:r w:rsidRPr="0022140F">
        <w:rPr>
          <w:szCs w:val="24"/>
        </w:rPr>
        <w:t xml:space="preserve"> and patients randomized to placebo who thereafter crossed over to </w:t>
      </w:r>
      <w:proofErr w:type="spellStart"/>
      <w:r w:rsidRPr="0022140F">
        <w:rPr>
          <w:szCs w:val="24"/>
        </w:rPr>
        <w:t>everolimus</w:t>
      </w:r>
      <w:proofErr w:type="spellEnd"/>
      <w:r w:rsidRPr="0022140F">
        <w:rPr>
          <w:szCs w:val="24"/>
        </w:rPr>
        <w:t xml:space="preserve"> demonstrated durable responses (</w:t>
      </w:r>
      <w:r w:rsidRPr="0022140F">
        <w:rPr>
          <w:szCs w:val="24"/>
        </w:rPr>
        <w:fldChar w:fldCharType="begin"/>
      </w:r>
      <w:r w:rsidRPr="0022140F">
        <w:rPr>
          <w:szCs w:val="24"/>
        </w:rPr>
        <w:instrText xml:space="preserve"> REF _Ref491096800 \h  \* MERGEFORMAT </w:instrText>
      </w:r>
      <w:r w:rsidRPr="0022140F">
        <w:rPr>
          <w:szCs w:val="24"/>
        </w:rPr>
      </w:r>
      <w:r w:rsidRPr="0022140F">
        <w:rPr>
          <w:szCs w:val="24"/>
        </w:rPr>
        <w:fldChar w:fldCharType="separate"/>
      </w:r>
      <w:r w:rsidR="00D64407" w:rsidRPr="00D64407">
        <w:rPr>
          <w:szCs w:val="24"/>
        </w:rPr>
        <w:t>Figure 15</w:t>
      </w:r>
      <w:r w:rsidRPr="0022140F">
        <w:rPr>
          <w:szCs w:val="24"/>
        </w:rPr>
        <w:fldChar w:fldCharType="end"/>
      </w:r>
      <w:r w:rsidRPr="0022140F">
        <w:rPr>
          <w:szCs w:val="24"/>
        </w:rPr>
        <w:t>).</w:t>
      </w:r>
    </w:p>
    <w:p w14:paraId="1015EFEB" w14:textId="77777777" w:rsidR="00557C61" w:rsidRPr="0022140F" w:rsidRDefault="00557C61" w:rsidP="00557C61">
      <w:pPr>
        <w:pStyle w:val="Caption"/>
        <w:keepNext/>
        <w:rPr>
          <w:rFonts w:asciiTheme="minorHAnsi" w:hAnsiTheme="minorHAnsi"/>
        </w:rPr>
      </w:pPr>
      <w:bookmarkStart w:id="63" w:name="_Ref491096765"/>
      <w:bookmarkStart w:id="64" w:name="_Ref491096761"/>
      <w:r w:rsidRPr="0022140F">
        <w:rPr>
          <w:rFonts w:asciiTheme="minorHAnsi" w:hAnsiTheme="minorHAnsi"/>
        </w:rPr>
        <w:lastRenderedPageBreak/>
        <w:t xml:space="preserve">Figure </w:t>
      </w:r>
      <w:r w:rsidRPr="0022140F">
        <w:rPr>
          <w:rFonts w:asciiTheme="minorHAnsi" w:hAnsiTheme="minorHAnsi"/>
        </w:rPr>
        <w:fldChar w:fldCharType="begin"/>
      </w:r>
      <w:r w:rsidRPr="0022140F">
        <w:rPr>
          <w:rFonts w:asciiTheme="minorHAnsi" w:hAnsiTheme="minorHAnsi"/>
        </w:rPr>
        <w:instrText xml:space="preserve"> SEQ Figure \* ARABIC </w:instrText>
      </w:r>
      <w:r w:rsidRPr="0022140F">
        <w:rPr>
          <w:rFonts w:asciiTheme="minorHAnsi" w:hAnsiTheme="minorHAnsi"/>
        </w:rPr>
        <w:fldChar w:fldCharType="separate"/>
      </w:r>
      <w:r w:rsidR="00D64407">
        <w:rPr>
          <w:rFonts w:asciiTheme="minorHAnsi" w:hAnsiTheme="minorHAnsi"/>
          <w:noProof/>
        </w:rPr>
        <w:t>14</w:t>
      </w:r>
      <w:r w:rsidRPr="0022140F">
        <w:rPr>
          <w:rFonts w:asciiTheme="minorHAnsi" w:hAnsiTheme="minorHAnsi"/>
        </w:rPr>
        <w:fldChar w:fldCharType="end"/>
      </w:r>
      <w:bookmarkEnd w:id="63"/>
      <w:r w:rsidRPr="0022140F">
        <w:rPr>
          <w:rFonts w:asciiTheme="minorHAnsi" w:hAnsiTheme="minorHAnsi"/>
        </w:rPr>
        <w:t xml:space="preserve"> </w:t>
      </w:r>
      <w:r w:rsidRPr="0022140F">
        <w:rPr>
          <w:rFonts w:asciiTheme="minorHAnsi" w:hAnsiTheme="minorHAnsi"/>
        </w:rPr>
        <w:tab/>
        <w:t>EXIST-1 - Kaplan-Meier plot of time to SEGA progression</w:t>
      </w:r>
      <w:r w:rsidRPr="0022140F">
        <w:rPr>
          <w:rFonts w:asciiTheme="minorHAnsi" w:hAnsiTheme="minorHAnsi"/>
          <w:vertAlign w:val="superscript"/>
        </w:rPr>
        <w:t xml:space="preserve">1,2 </w:t>
      </w:r>
      <w:r w:rsidRPr="0022140F">
        <w:rPr>
          <w:rFonts w:asciiTheme="minorHAnsi" w:hAnsiTheme="minorHAnsi"/>
        </w:rPr>
        <w:t>at primary analysis</w:t>
      </w:r>
      <w:bookmarkEnd w:id="64"/>
    </w:p>
    <w:p w14:paraId="34A1B35C" w14:textId="77777777" w:rsidR="00557C61" w:rsidRPr="0022140F" w:rsidRDefault="00557C61" w:rsidP="00557C61">
      <w:pPr>
        <w:pStyle w:val="Text"/>
        <w:rPr>
          <w:rFonts w:asciiTheme="minorHAnsi" w:hAnsiTheme="minorHAnsi"/>
        </w:rPr>
      </w:pPr>
      <w:r w:rsidRPr="0022140F">
        <w:rPr>
          <w:rFonts w:asciiTheme="minorHAnsi" w:hAnsiTheme="minorHAnsi"/>
          <w:noProof/>
          <w:lang w:val="en-AU" w:eastAsia="en-AU"/>
        </w:rPr>
        <w:drawing>
          <wp:inline distT="0" distB="0" distL="0" distR="0" wp14:anchorId="2FB1BE2B" wp14:editId="50D946AB">
            <wp:extent cx="5762625" cy="3028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028950"/>
                    </a:xfrm>
                    <a:prstGeom prst="rect">
                      <a:avLst/>
                    </a:prstGeom>
                    <a:noFill/>
                    <a:ln>
                      <a:noFill/>
                    </a:ln>
                  </pic:spPr>
                </pic:pic>
              </a:graphicData>
            </a:graphic>
          </wp:inline>
        </w:drawing>
      </w:r>
    </w:p>
    <w:p w14:paraId="3A6A919C" w14:textId="77777777" w:rsidR="00557C61" w:rsidRPr="0022140F" w:rsidRDefault="00557C61" w:rsidP="00557C61">
      <w:pPr>
        <w:pStyle w:val="Legend"/>
        <w:rPr>
          <w:rFonts w:asciiTheme="minorHAnsi" w:eastAsia="Times New Roman" w:hAnsiTheme="minorHAnsi"/>
          <w:sz w:val="22"/>
          <w:szCs w:val="22"/>
        </w:rPr>
      </w:pPr>
      <w:r w:rsidRPr="0022140F">
        <w:rPr>
          <w:rFonts w:asciiTheme="minorHAnsi" w:eastAsia="Times New Roman" w:hAnsiTheme="minorHAnsi"/>
          <w:sz w:val="22"/>
          <w:szCs w:val="22"/>
          <w:vertAlign w:val="superscript"/>
        </w:rPr>
        <w:t>1</w:t>
      </w:r>
      <w:r w:rsidRPr="0022140F">
        <w:rPr>
          <w:rFonts w:asciiTheme="minorHAnsi" w:eastAsia="Times New Roman" w:hAnsiTheme="minorHAnsi"/>
          <w:sz w:val="22"/>
          <w:szCs w:val="22"/>
        </w:rPr>
        <w:t xml:space="preserve"> Per independent central radiology review </w:t>
      </w:r>
    </w:p>
    <w:p w14:paraId="2560E890" w14:textId="77777777" w:rsidR="00557C61" w:rsidRPr="0022140F" w:rsidRDefault="00557C61" w:rsidP="00557C61">
      <w:pPr>
        <w:pStyle w:val="Legend"/>
        <w:rPr>
          <w:rFonts w:asciiTheme="minorHAnsi" w:eastAsia="Times New Roman" w:hAnsiTheme="minorHAnsi"/>
          <w:sz w:val="22"/>
          <w:szCs w:val="22"/>
        </w:rPr>
      </w:pPr>
      <w:r w:rsidRPr="0022140F">
        <w:rPr>
          <w:rFonts w:asciiTheme="minorHAnsi" w:eastAsia="Times New Roman" w:hAnsiTheme="minorHAnsi"/>
          <w:sz w:val="22"/>
          <w:szCs w:val="22"/>
          <w:vertAlign w:val="superscript"/>
        </w:rPr>
        <w:t>2</w:t>
      </w:r>
      <w:r w:rsidRPr="0022140F">
        <w:rPr>
          <w:rFonts w:asciiTheme="minorHAnsi" w:eastAsia="Times New Roman" w:hAnsiTheme="minorHAnsi"/>
          <w:sz w:val="22"/>
          <w:szCs w:val="22"/>
        </w:rPr>
        <w:t xml:space="preserve"> SEGA progression was defined as: ≥ 25% increase in the sum of SEGA volume relative to baseline, or unequivocal worsening of non-target SEGA lesions, or appearance of new SEGA ≥ 1.0 cm in longest diameter, or new or worsening hydrocephalus </w:t>
      </w:r>
    </w:p>
    <w:p w14:paraId="11C69C74" w14:textId="77777777" w:rsidR="00557C61" w:rsidRPr="0022140F" w:rsidRDefault="00557C61" w:rsidP="00557C61">
      <w:pPr>
        <w:tabs>
          <w:tab w:val="left" w:pos="567"/>
        </w:tabs>
        <w:spacing w:line="320" w:lineRule="atLeast"/>
        <w:rPr>
          <w:sz w:val="24"/>
          <w:lang w:val="en-GB"/>
        </w:rPr>
      </w:pPr>
    </w:p>
    <w:p w14:paraId="0B6CD434" w14:textId="77777777" w:rsidR="00557C61" w:rsidRPr="0022140F" w:rsidRDefault="00557C61" w:rsidP="00557C61">
      <w:pPr>
        <w:pStyle w:val="Caption"/>
        <w:keepNext/>
        <w:rPr>
          <w:rFonts w:asciiTheme="minorHAnsi" w:hAnsiTheme="minorHAnsi"/>
        </w:rPr>
      </w:pPr>
      <w:bookmarkStart w:id="65" w:name="_Ref491096800"/>
      <w:r w:rsidRPr="0022140F">
        <w:rPr>
          <w:rFonts w:asciiTheme="minorHAnsi" w:hAnsiTheme="minorHAnsi"/>
        </w:rPr>
        <w:t xml:space="preserve">Figure </w:t>
      </w:r>
      <w:r w:rsidRPr="0022140F">
        <w:rPr>
          <w:rFonts w:asciiTheme="minorHAnsi" w:hAnsiTheme="minorHAnsi"/>
        </w:rPr>
        <w:fldChar w:fldCharType="begin"/>
      </w:r>
      <w:r w:rsidRPr="0022140F">
        <w:rPr>
          <w:rFonts w:asciiTheme="minorHAnsi" w:hAnsiTheme="minorHAnsi"/>
        </w:rPr>
        <w:instrText xml:space="preserve"> SEQ Figure \* ARABIC </w:instrText>
      </w:r>
      <w:r w:rsidRPr="0022140F">
        <w:rPr>
          <w:rFonts w:asciiTheme="minorHAnsi" w:hAnsiTheme="minorHAnsi"/>
        </w:rPr>
        <w:fldChar w:fldCharType="separate"/>
      </w:r>
      <w:r w:rsidR="00D64407">
        <w:rPr>
          <w:rFonts w:asciiTheme="minorHAnsi" w:hAnsiTheme="minorHAnsi"/>
          <w:noProof/>
        </w:rPr>
        <w:t>15</w:t>
      </w:r>
      <w:r w:rsidRPr="0022140F">
        <w:rPr>
          <w:rFonts w:asciiTheme="minorHAnsi" w:hAnsiTheme="minorHAnsi"/>
        </w:rPr>
        <w:fldChar w:fldCharType="end"/>
      </w:r>
      <w:bookmarkEnd w:id="65"/>
      <w:r w:rsidRPr="0022140F">
        <w:rPr>
          <w:rFonts w:asciiTheme="minorHAnsi" w:hAnsiTheme="minorHAnsi"/>
        </w:rPr>
        <w:t xml:space="preserve"> </w:t>
      </w:r>
      <w:r w:rsidRPr="0022140F">
        <w:rPr>
          <w:rFonts w:asciiTheme="minorHAnsi" w:hAnsiTheme="minorHAnsi"/>
        </w:rPr>
        <w:tab/>
        <w:t>EXIST-1 Kaplan-Meier plot of time to SEGA progression</w:t>
      </w:r>
      <w:r w:rsidRPr="0022140F">
        <w:rPr>
          <w:rFonts w:asciiTheme="minorHAnsi" w:hAnsiTheme="minorHAnsi"/>
          <w:vertAlign w:val="superscript"/>
        </w:rPr>
        <w:t xml:space="preserve">1,2 </w:t>
      </w:r>
      <w:r w:rsidRPr="0022140F">
        <w:rPr>
          <w:rFonts w:asciiTheme="minorHAnsi" w:hAnsiTheme="minorHAnsi"/>
        </w:rPr>
        <w:t>at final analysis</w:t>
      </w:r>
    </w:p>
    <w:p w14:paraId="69157BFF" w14:textId="77777777" w:rsidR="00557C61" w:rsidRPr="0022140F" w:rsidRDefault="00557C61" w:rsidP="00557C61">
      <w:pPr>
        <w:pStyle w:val="Text"/>
        <w:rPr>
          <w:rFonts w:asciiTheme="minorHAnsi" w:hAnsiTheme="minorHAnsi"/>
        </w:rPr>
      </w:pPr>
      <w:r w:rsidRPr="0022140F">
        <w:rPr>
          <w:rFonts w:asciiTheme="minorHAnsi" w:hAnsiTheme="minorHAnsi"/>
          <w:noProof/>
          <w:lang w:val="en-AU" w:eastAsia="en-AU"/>
        </w:rPr>
        <w:drawing>
          <wp:inline distT="0" distB="0" distL="0" distR="0" wp14:anchorId="3A79002A" wp14:editId="4F081044">
            <wp:extent cx="5762625" cy="2743200"/>
            <wp:effectExtent l="0" t="0" r="952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743200"/>
                    </a:xfrm>
                    <a:prstGeom prst="rect">
                      <a:avLst/>
                    </a:prstGeom>
                    <a:noFill/>
                    <a:ln>
                      <a:noFill/>
                    </a:ln>
                  </pic:spPr>
                </pic:pic>
              </a:graphicData>
            </a:graphic>
          </wp:inline>
        </w:drawing>
      </w:r>
    </w:p>
    <w:p w14:paraId="7842CCCF" w14:textId="77777777" w:rsidR="00557C61" w:rsidRPr="0022140F" w:rsidRDefault="00557C61" w:rsidP="00557C61">
      <w:pPr>
        <w:pStyle w:val="Legend"/>
        <w:rPr>
          <w:rFonts w:asciiTheme="minorHAnsi" w:hAnsiTheme="minorHAnsi"/>
          <w:i/>
          <w:sz w:val="18"/>
          <w:szCs w:val="18"/>
        </w:rPr>
      </w:pPr>
      <w:r w:rsidRPr="0022140F">
        <w:rPr>
          <w:rFonts w:asciiTheme="minorHAnsi" w:hAnsiTheme="minorHAnsi"/>
          <w:i/>
          <w:sz w:val="18"/>
          <w:szCs w:val="18"/>
          <w:vertAlign w:val="superscript"/>
        </w:rPr>
        <w:t>1</w:t>
      </w:r>
      <w:r w:rsidRPr="0022140F">
        <w:rPr>
          <w:rFonts w:asciiTheme="minorHAnsi" w:hAnsiTheme="minorHAnsi"/>
          <w:i/>
          <w:sz w:val="18"/>
          <w:szCs w:val="18"/>
        </w:rPr>
        <w:t xml:space="preserve"> Per independent central radiology review </w:t>
      </w:r>
    </w:p>
    <w:p w14:paraId="35B825F9" w14:textId="77777777" w:rsidR="00557C61" w:rsidRPr="0022140F" w:rsidRDefault="00557C61" w:rsidP="00557C61">
      <w:pPr>
        <w:pStyle w:val="Legend"/>
        <w:rPr>
          <w:rFonts w:asciiTheme="minorHAnsi" w:hAnsiTheme="minorHAnsi"/>
          <w:i/>
          <w:sz w:val="18"/>
          <w:szCs w:val="18"/>
        </w:rPr>
      </w:pPr>
      <w:r w:rsidRPr="0022140F">
        <w:rPr>
          <w:rFonts w:asciiTheme="minorHAnsi" w:hAnsiTheme="minorHAnsi"/>
          <w:i/>
          <w:sz w:val="18"/>
          <w:szCs w:val="18"/>
          <w:vertAlign w:val="superscript"/>
        </w:rPr>
        <w:t>2</w:t>
      </w:r>
      <w:r w:rsidRPr="0022140F">
        <w:rPr>
          <w:rFonts w:asciiTheme="minorHAnsi" w:hAnsiTheme="minorHAnsi"/>
          <w:i/>
          <w:sz w:val="18"/>
          <w:szCs w:val="18"/>
        </w:rPr>
        <w:t xml:space="preserve"> SEGA progression was defined as: ≥ 25% increase in the sum of SEGA volume relative to baseline, or unequivocal worsening of non-target SEGA lesions, or appearance of new SEGA ≥ 1.0 cm in longest diameter, or new or worsening hydrocephalus </w:t>
      </w:r>
    </w:p>
    <w:p w14:paraId="29B00D14" w14:textId="77777777" w:rsidR="00557C61" w:rsidRPr="0022140F" w:rsidRDefault="00557C61" w:rsidP="000E6647">
      <w:pPr>
        <w:spacing w:before="240"/>
        <w:rPr>
          <w:lang w:val="en-GB"/>
        </w:rPr>
      </w:pPr>
      <w:r w:rsidRPr="0022140F">
        <w:t xml:space="preserve">Additional clinical benefits of </w:t>
      </w:r>
      <w:proofErr w:type="spellStart"/>
      <w:r w:rsidRPr="0022140F">
        <w:t>Afinitor</w:t>
      </w:r>
      <w:proofErr w:type="spellEnd"/>
      <w:r w:rsidRPr="0022140F">
        <w:t xml:space="preserve"> were observed such as reductions in severity of skin lesions and size of renal </w:t>
      </w:r>
      <w:proofErr w:type="spellStart"/>
      <w:r w:rsidRPr="0022140F">
        <w:t>angiomyolipoma</w:t>
      </w:r>
      <w:proofErr w:type="spellEnd"/>
      <w:r w:rsidRPr="0022140F">
        <w:rPr>
          <w:lang w:val="en-GB"/>
        </w:rPr>
        <w:t>.</w:t>
      </w:r>
    </w:p>
    <w:p w14:paraId="2DD1160A" w14:textId="1F656B4A" w:rsidR="00557C61" w:rsidRPr="0022140F" w:rsidRDefault="00557C61" w:rsidP="00557C61">
      <w:r w:rsidRPr="0022140F">
        <w:rPr>
          <w:lang w:val="en-GB"/>
        </w:rPr>
        <w:lastRenderedPageBreak/>
        <w:t xml:space="preserve">At the time of the primary analysis, </w:t>
      </w:r>
      <w:proofErr w:type="spellStart"/>
      <w:r w:rsidRPr="0022140F">
        <w:rPr>
          <w:lang w:val="en-GB"/>
        </w:rPr>
        <w:t>Afinitor</w:t>
      </w:r>
      <w:proofErr w:type="spellEnd"/>
      <w:r w:rsidRPr="0022140F">
        <w:rPr>
          <w:lang w:val="en-GB"/>
        </w:rPr>
        <w:t xml:space="preserve"> demonstrated clinically meaningful improvements in skin lesion response (unadjusted p=0.0004), with response rates of 41.7% (95% CI: 30.2, 53.9) for the </w:t>
      </w:r>
      <w:proofErr w:type="spellStart"/>
      <w:r w:rsidRPr="0022140F">
        <w:rPr>
          <w:lang w:val="en-GB"/>
        </w:rPr>
        <w:t>Afinitor</w:t>
      </w:r>
      <w:proofErr w:type="spellEnd"/>
      <w:r w:rsidRPr="0022140F">
        <w:rPr>
          <w:lang w:val="en-GB"/>
        </w:rPr>
        <w:t xml:space="preserve"> arm and 10.5% (95% CI: 2.9, 24.8) for the placebo arm (</w:t>
      </w:r>
      <w:r w:rsidRPr="0022140F">
        <w:rPr>
          <w:lang w:val="en-GB"/>
        </w:rPr>
        <w:fldChar w:fldCharType="begin"/>
      </w:r>
      <w:r w:rsidRPr="0022140F">
        <w:rPr>
          <w:lang w:val="en-GB"/>
        </w:rPr>
        <w:instrText xml:space="preserve"> REF _Ref491096910 \h  \* MERGEFORMAT </w:instrText>
      </w:r>
      <w:r w:rsidRPr="0022140F">
        <w:rPr>
          <w:lang w:val="en-GB"/>
        </w:rPr>
      </w:r>
      <w:r w:rsidRPr="0022140F">
        <w:rPr>
          <w:lang w:val="en-GB"/>
        </w:rPr>
        <w:fldChar w:fldCharType="separate"/>
      </w:r>
      <w:r w:rsidR="00D64407" w:rsidRPr="00D64407">
        <w:rPr>
          <w:lang w:val="en-GB"/>
        </w:rPr>
        <w:t>Table 18</w:t>
      </w:r>
      <w:r w:rsidRPr="0022140F">
        <w:rPr>
          <w:lang w:val="en-GB"/>
        </w:rPr>
        <w:fldChar w:fldCharType="end"/>
      </w:r>
      <w:r w:rsidRPr="0022140F">
        <w:rPr>
          <w:lang w:val="en-GB"/>
        </w:rPr>
        <w:t>). At the f</w:t>
      </w:r>
      <w:proofErr w:type="spellStart"/>
      <w:r w:rsidRPr="0022140F">
        <w:t>inal</w:t>
      </w:r>
      <w:proofErr w:type="spellEnd"/>
      <w:r w:rsidRPr="0022140F">
        <w:t xml:space="preserve"> analysis, the skin lesion response rate increased to 58.1% (95% CI: 48.1, 67.7) </w:t>
      </w:r>
      <w:r w:rsidRPr="0022140F">
        <w:rPr>
          <w:lang w:val="en-GB"/>
        </w:rPr>
        <w:t>(</w:t>
      </w:r>
      <w:r w:rsidRPr="0022140F">
        <w:fldChar w:fldCharType="begin"/>
      </w:r>
      <w:r w:rsidRPr="0022140F">
        <w:instrText xml:space="preserve"> REF _Ref491096910 \h  \* MERGEFORMAT </w:instrText>
      </w:r>
      <w:r w:rsidRPr="0022140F">
        <w:fldChar w:fldCharType="separate"/>
      </w:r>
      <w:r w:rsidR="00D64407" w:rsidRPr="0022140F">
        <w:t xml:space="preserve">Table </w:t>
      </w:r>
      <w:r w:rsidR="00D64407">
        <w:t>18</w:t>
      </w:r>
      <w:r w:rsidRPr="0022140F">
        <w:fldChar w:fldCharType="end"/>
      </w:r>
      <w:r w:rsidRPr="0022140F">
        <w:t>).</w:t>
      </w:r>
      <w:bookmarkStart w:id="66" w:name="_Toc391457621"/>
    </w:p>
    <w:p w14:paraId="49474A6F" w14:textId="77777777" w:rsidR="00557C61" w:rsidRPr="0022140F" w:rsidRDefault="00557C61" w:rsidP="00557C61">
      <w:pPr>
        <w:pStyle w:val="Caption"/>
        <w:keepNext/>
        <w:rPr>
          <w:rFonts w:asciiTheme="minorHAnsi" w:hAnsiTheme="minorHAnsi"/>
        </w:rPr>
      </w:pPr>
      <w:bookmarkStart w:id="67" w:name="_Ref491096910"/>
      <w:bookmarkEnd w:id="66"/>
      <w:r w:rsidRPr="0022140F">
        <w:rPr>
          <w:rFonts w:asciiTheme="minorHAnsi" w:hAnsiTheme="minorHAnsi"/>
        </w:rPr>
        <w:t xml:space="preserve">Table </w:t>
      </w:r>
      <w:r w:rsidRPr="0022140F">
        <w:rPr>
          <w:rFonts w:asciiTheme="minorHAnsi" w:hAnsiTheme="minorHAnsi"/>
        </w:rPr>
        <w:fldChar w:fldCharType="begin"/>
      </w:r>
      <w:r w:rsidRPr="0022140F">
        <w:rPr>
          <w:rFonts w:asciiTheme="minorHAnsi" w:hAnsiTheme="minorHAnsi"/>
        </w:rPr>
        <w:instrText xml:space="preserve"> SEQ Table \* ARABIC </w:instrText>
      </w:r>
      <w:r w:rsidRPr="0022140F">
        <w:rPr>
          <w:rFonts w:asciiTheme="minorHAnsi" w:hAnsiTheme="minorHAnsi"/>
        </w:rPr>
        <w:fldChar w:fldCharType="separate"/>
      </w:r>
      <w:r w:rsidR="00D64407">
        <w:rPr>
          <w:rFonts w:asciiTheme="minorHAnsi" w:hAnsiTheme="minorHAnsi"/>
          <w:noProof/>
        </w:rPr>
        <w:t>18</w:t>
      </w:r>
      <w:r w:rsidRPr="0022140F">
        <w:rPr>
          <w:rFonts w:asciiTheme="minorHAnsi" w:hAnsiTheme="minorHAnsi"/>
        </w:rPr>
        <w:fldChar w:fldCharType="end"/>
      </w:r>
      <w:bookmarkEnd w:id="67"/>
      <w:r w:rsidRPr="0022140F">
        <w:rPr>
          <w:rFonts w:asciiTheme="minorHAnsi" w:hAnsiTheme="minorHAnsi"/>
        </w:rPr>
        <w:t xml:space="preserve"> </w:t>
      </w:r>
      <w:r w:rsidRPr="0022140F">
        <w:rPr>
          <w:rFonts w:asciiTheme="minorHAnsi" w:hAnsiTheme="minorHAnsi"/>
        </w:rPr>
        <w:tab/>
        <w:t>EXIST-1 - best overall skin lesion response</w:t>
      </w:r>
    </w:p>
    <w:tbl>
      <w:tblPr>
        <w:tblW w:w="5000" w:type="pct"/>
        <w:jc w:val="center"/>
        <w:tblCellMar>
          <w:left w:w="60" w:type="dxa"/>
          <w:right w:w="60" w:type="dxa"/>
        </w:tblCellMar>
        <w:tblLook w:val="0000" w:firstRow="0" w:lastRow="0" w:firstColumn="0" w:lastColumn="0" w:noHBand="0" w:noVBand="0"/>
      </w:tblPr>
      <w:tblGrid>
        <w:gridCol w:w="3473"/>
        <w:gridCol w:w="1376"/>
        <w:gridCol w:w="1408"/>
        <w:gridCol w:w="1127"/>
        <w:gridCol w:w="1762"/>
      </w:tblGrid>
      <w:tr w:rsidR="00557C61" w:rsidRPr="0022140F" w14:paraId="2A120548" w14:textId="77777777" w:rsidTr="005362D8">
        <w:trPr>
          <w:cantSplit/>
          <w:tblHeader/>
          <w:jc w:val="center"/>
        </w:trPr>
        <w:tc>
          <w:tcPr>
            <w:tcW w:w="1899" w:type="pct"/>
            <w:tcBorders>
              <w:top w:val="single" w:sz="6" w:space="0" w:color="000000"/>
              <w:left w:val="nil"/>
              <w:right w:val="nil"/>
            </w:tcBorders>
            <w:shd w:val="clear" w:color="auto" w:fill="FFFFFF"/>
            <w:vAlign w:val="bottom"/>
          </w:tcPr>
          <w:p w14:paraId="4EFF6522" w14:textId="77777777" w:rsidR="00557C61" w:rsidRPr="0022140F" w:rsidRDefault="00557C61" w:rsidP="005362D8">
            <w:pPr>
              <w:pStyle w:val="Text"/>
              <w:jc w:val="center"/>
              <w:rPr>
                <w:rFonts w:asciiTheme="minorHAnsi" w:hAnsiTheme="minorHAnsi"/>
                <w:b/>
                <w:sz w:val="18"/>
                <w:szCs w:val="18"/>
              </w:rPr>
            </w:pPr>
          </w:p>
        </w:tc>
        <w:tc>
          <w:tcPr>
            <w:tcW w:w="2138" w:type="pct"/>
            <w:gridSpan w:val="3"/>
            <w:tcBorders>
              <w:top w:val="single" w:sz="6" w:space="0" w:color="000000"/>
              <w:left w:val="nil"/>
              <w:right w:val="nil"/>
            </w:tcBorders>
            <w:shd w:val="clear" w:color="auto" w:fill="FFFFFF"/>
          </w:tcPr>
          <w:p w14:paraId="36D796E7" w14:textId="77777777" w:rsidR="00557C61" w:rsidRPr="0022140F" w:rsidRDefault="00557C61" w:rsidP="005362D8">
            <w:pPr>
              <w:pStyle w:val="Text"/>
              <w:jc w:val="center"/>
              <w:rPr>
                <w:rFonts w:asciiTheme="minorHAnsi" w:hAnsiTheme="minorHAnsi"/>
                <w:b/>
                <w:sz w:val="18"/>
                <w:szCs w:val="18"/>
              </w:rPr>
            </w:pPr>
            <w:r w:rsidRPr="0022140F">
              <w:rPr>
                <w:rFonts w:asciiTheme="minorHAnsi" w:hAnsiTheme="minorHAnsi"/>
                <w:b/>
                <w:sz w:val="18"/>
                <w:szCs w:val="18"/>
              </w:rPr>
              <w:t>Primary analysis</w:t>
            </w:r>
            <w:r w:rsidRPr="0022140F">
              <w:rPr>
                <w:rFonts w:asciiTheme="minorHAnsi" w:hAnsiTheme="minorHAnsi"/>
                <w:b/>
                <w:sz w:val="18"/>
                <w:szCs w:val="18"/>
                <w:vertAlign w:val="superscript"/>
              </w:rPr>
              <w:t>5</w:t>
            </w:r>
          </w:p>
        </w:tc>
        <w:tc>
          <w:tcPr>
            <w:tcW w:w="963" w:type="pct"/>
            <w:tcBorders>
              <w:top w:val="single" w:sz="6" w:space="0" w:color="000000"/>
              <w:left w:val="nil"/>
              <w:right w:val="nil"/>
            </w:tcBorders>
            <w:shd w:val="clear" w:color="auto" w:fill="FFFFFF"/>
          </w:tcPr>
          <w:p w14:paraId="07C4F5B0" w14:textId="77777777" w:rsidR="00557C61" w:rsidRPr="0022140F" w:rsidRDefault="00557C61" w:rsidP="005362D8">
            <w:pPr>
              <w:pStyle w:val="Text"/>
              <w:jc w:val="center"/>
              <w:rPr>
                <w:rFonts w:asciiTheme="minorHAnsi" w:hAnsiTheme="minorHAnsi"/>
                <w:b/>
                <w:sz w:val="18"/>
                <w:szCs w:val="18"/>
              </w:rPr>
            </w:pPr>
            <w:r w:rsidRPr="0022140F">
              <w:rPr>
                <w:rFonts w:asciiTheme="minorHAnsi" w:hAnsiTheme="minorHAnsi"/>
                <w:b/>
                <w:sz w:val="18"/>
                <w:szCs w:val="18"/>
              </w:rPr>
              <w:t>Final analysis</w:t>
            </w:r>
            <w:r w:rsidRPr="0022140F">
              <w:rPr>
                <w:rFonts w:asciiTheme="minorHAnsi" w:hAnsiTheme="minorHAnsi"/>
                <w:b/>
                <w:sz w:val="18"/>
                <w:szCs w:val="18"/>
                <w:vertAlign w:val="superscript"/>
              </w:rPr>
              <w:t>6</w:t>
            </w:r>
          </w:p>
        </w:tc>
      </w:tr>
      <w:tr w:rsidR="00557C61" w:rsidRPr="0022140F" w14:paraId="6E9D1359" w14:textId="77777777" w:rsidTr="005362D8">
        <w:trPr>
          <w:cantSplit/>
          <w:tblHeader/>
          <w:jc w:val="center"/>
        </w:trPr>
        <w:tc>
          <w:tcPr>
            <w:tcW w:w="1899" w:type="pct"/>
            <w:tcBorders>
              <w:top w:val="single" w:sz="6" w:space="0" w:color="000000"/>
              <w:left w:val="nil"/>
              <w:right w:val="nil"/>
            </w:tcBorders>
            <w:shd w:val="clear" w:color="auto" w:fill="FFFFFF"/>
            <w:vAlign w:val="bottom"/>
          </w:tcPr>
          <w:p w14:paraId="1061524F" w14:textId="77777777" w:rsidR="00557C61" w:rsidRPr="0022140F" w:rsidRDefault="00557C61" w:rsidP="005362D8">
            <w:pPr>
              <w:pStyle w:val="Text"/>
              <w:jc w:val="center"/>
              <w:rPr>
                <w:rFonts w:asciiTheme="minorHAnsi" w:hAnsiTheme="minorHAnsi"/>
                <w:b/>
                <w:sz w:val="18"/>
                <w:szCs w:val="18"/>
              </w:rPr>
            </w:pPr>
          </w:p>
        </w:tc>
        <w:tc>
          <w:tcPr>
            <w:tcW w:w="752" w:type="pct"/>
            <w:tcBorders>
              <w:top w:val="single" w:sz="6" w:space="0" w:color="000000"/>
              <w:left w:val="nil"/>
              <w:right w:val="nil"/>
            </w:tcBorders>
            <w:shd w:val="clear" w:color="auto" w:fill="FFFFFF"/>
            <w:vAlign w:val="bottom"/>
          </w:tcPr>
          <w:p w14:paraId="009F4831" w14:textId="77777777" w:rsidR="00557C61" w:rsidRPr="0022140F" w:rsidRDefault="00557C61" w:rsidP="005362D8">
            <w:pPr>
              <w:pStyle w:val="Text"/>
              <w:jc w:val="center"/>
              <w:rPr>
                <w:rFonts w:asciiTheme="minorHAnsi" w:hAnsiTheme="minorHAnsi"/>
                <w:b/>
                <w:sz w:val="18"/>
                <w:szCs w:val="18"/>
              </w:rPr>
            </w:pPr>
            <w:proofErr w:type="spellStart"/>
            <w:r w:rsidRPr="0022140F">
              <w:rPr>
                <w:rFonts w:asciiTheme="minorHAnsi" w:hAnsiTheme="minorHAnsi"/>
                <w:b/>
                <w:sz w:val="18"/>
                <w:szCs w:val="18"/>
              </w:rPr>
              <w:t>Afinitor</w:t>
            </w:r>
            <w:proofErr w:type="spellEnd"/>
          </w:p>
        </w:tc>
        <w:tc>
          <w:tcPr>
            <w:tcW w:w="770" w:type="pct"/>
            <w:tcBorders>
              <w:top w:val="single" w:sz="6" w:space="0" w:color="000000"/>
              <w:left w:val="nil"/>
              <w:right w:val="nil"/>
            </w:tcBorders>
            <w:shd w:val="clear" w:color="auto" w:fill="FFFFFF"/>
            <w:vAlign w:val="bottom"/>
          </w:tcPr>
          <w:p w14:paraId="79A128B5" w14:textId="77777777" w:rsidR="00557C61" w:rsidRPr="0022140F" w:rsidRDefault="00557C61" w:rsidP="005362D8">
            <w:pPr>
              <w:pStyle w:val="Text"/>
              <w:jc w:val="center"/>
              <w:rPr>
                <w:rFonts w:asciiTheme="minorHAnsi" w:hAnsiTheme="minorHAnsi"/>
                <w:b/>
                <w:sz w:val="18"/>
                <w:szCs w:val="18"/>
              </w:rPr>
            </w:pPr>
            <w:r w:rsidRPr="0022140F">
              <w:rPr>
                <w:rFonts w:asciiTheme="minorHAnsi" w:hAnsiTheme="minorHAnsi"/>
                <w:b/>
                <w:sz w:val="18"/>
                <w:szCs w:val="18"/>
              </w:rPr>
              <w:t>Placebo</w:t>
            </w:r>
          </w:p>
        </w:tc>
        <w:tc>
          <w:tcPr>
            <w:tcW w:w="616" w:type="pct"/>
            <w:tcBorders>
              <w:top w:val="single" w:sz="6" w:space="0" w:color="000000"/>
              <w:left w:val="nil"/>
              <w:right w:val="nil"/>
            </w:tcBorders>
            <w:shd w:val="clear" w:color="auto" w:fill="FFFFFF"/>
            <w:vAlign w:val="bottom"/>
          </w:tcPr>
          <w:p w14:paraId="36A3AEB4" w14:textId="77777777" w:rsidR="00557C61" w:rsidRPr="0022140F" w:rsidRDefault="00557C61" w:rsidP="005362D8">
            <w:pPr>
              <w:pStyle w:val="Text"/>
              <w:jc w:val="center"/>
              <w:rPr>
                <w:rFonts w:asciiTheme="minorHAnsi" w:hAnsiTheme="minorHAnsi"/>
                <w:b/>
                <w:sz w:val="18"/>
                <w:szCs w:val="18"/>
              </w:rPr>
            </w:pPr>
            <w:r w:rsidRPr="0022140F">
              <w:rPr>
                <w:rFonts w:asciiTheme="minorHAnsi" w:hAnsiTheme="minorHAnsi"/>
                <w:b/>
                <w:sz w:val="18"/>
                <w:szCs w:val="18"/>
              </w:rPr>
              <w:t>p-value</w:t>
            </w:r>
          </w:p>
        </w:tc>
        <w:tc>
          <w:tcPr>
            <w:tcW w:w="963" w:type="pct"/>
            <w:tcBorders>
              <w:top w:val="single" w:sz="6" w:space="0" w:color="000000"/>
              <w:left w:val="nil"/>
              <w:right w:val="nil"/>
            </w:tcBorders>
            <w:shd w:val="clear" w:color="auto" w:fill="FFFFFF"/>
          </w:tcPr>
          <w:p w14:paraId="4071F3A7" w14:textId="77777777" w:rsidR="00557C61" w:rsidRPr="0022140F" w:rsidRDefault="00557C61" w:rsidP="005362D8">
            <w:pPr>
              <w:pStyle w:val="Text"/>
              <w:jc w:val="center"/>
              <w:rPr>
                <w:rFonts w:asciiTheme="minorHAnsi" w:hAnsiTheme="minorHAnsi"/>
                <w:b/>
                <w:sz w:val="18"/>
                <w:szCs w:val="18"/>
              </w:rPr>
            </w:pPr>
            <w:proofErr w:type="spellStart"/>
            <w:r w:rsidRPr="0022140F">
              <w:rPr>
                <w:rFonts w:asciiTheme="minorHAnsi" w:hAnsiTheme="minorHAnsi"/>
                <w:b/>
                <w:sz w:val="18"/>
                <w:szCs w:val="18"/>
              </w:rPr>
              <w:t>Afinitor</w:t>
            </w:r>
            <w:proofErr w:type="spellEnd"/>
          </w:p>
        </w:tc>
      </w:tr>
      <w:tr w:rsidR="00557C61" w:rsidRPr="0022140F" w14:paraId="79A551A1" w14:textId="77777777" w:rsidTr="005362D8">
        <w:trPr>
          <w:cantSplit/>
          <w:tblHeader/>
          <w:jc w:val="center"/>
        </w:trPr>
        <w:tc>
          <w:tcPr>
            <w:tcW w:w="1899" w:type="pct"/>
            <w:tcBorders>
              <w:left w:val="nil"/>
              <w:bottom w:val="single" w:sz="4" w:space="0" w:color="000000"/>
              <w:right w:val="nil"/>
            </w:tcBorders>
            <w:shd w:val="clear" w:color="auto" w:fill="FFFFFF"/>
            <w:vAlign w:val="bottom"/>
          </w:tcPr>
          <w:p w14:paraId="1AFC3AB1" w14:textId="77777777" w:rsidR="00557C61" w:rsidRPr="0022140F" w:rsidRDefault="00557C61" w:rsidP="005362D8">
            <w:pPr>
              <w:pStyle w:val="Text"/>
              <w:jc w:val="center"/>
              <w:rPr>
                <w:rFonts w:asciiTheme="minorHAnsi" w:hAnsiTheme="minorHAnsi"/>
                <w:b/>
                <w:sz w:val="18"/>
                <w:szCs w:val="18"/>
              </w:rPr>
            </w:pPr>
          </w:p>
        </w:tc>
        <w:tc>
          <w:tcPr>
            <w:tcW w:w="752" w:type="pct"/>
            <w:tcBorders>
              <w:left w:val="nil"/>
              <w:bottom w:val="single" w:sz="4" w:space="0" w:color="000000"/>
              <w:right w:val="nil"/>
            </w:tcBorders>
            <w:shd w:val="clear" w:color="auto" w:fill="FFFFFF"/>
            <w:vAlign w:val="bottom"/>
          </w:tcPr>
          <w:p w14:paraId="5964476E" w14:textId="77777777" w:rsidR="00557C61" w:rsidRPr="0022140F" w:rsidRDefault="00557C61" w:rsidP="005362D8">
            <w:pPr>
              <w:pStyle w:val="Text"/>
              <w:jc w:val="center"/>
              <w:rPr>
                <w:rFonts w:asciiTheme="minorHAnsi" w:hAnsiTheme="minorHAnsi"/>
                <w:b/>
                <w:sz w:val="18"/>
                <w:szCs w:val="18"/>
              </w:rPr>
            </w:pPr>
            <w:r w:rsidRPr="0022140F">
              <w:rPr>
                <w:rFonts w:asciiTheme="minorHAnsi" w:hAnsiTheme="minorHAnsi"/>
                <w:b/>
                <w:sz w:val="18"/>
                <w:szCs w:val="18"/>
              </w:rPr>
              <w:t>N=72</w:t>
            </w:r>
          </w:p>
        </w:tc>
        <w:tc>
          <w:tcPr>
            <w:tcW w:w="770" w:type="pct"/>
            <w:tcBorders>
              <w:left w:val="nil"/>
              <w:bottom w:val="single" w:sz="4" w:space="0" w:color="000000"/>
              <w:right w:val="nil"/>
            </w:tcBorders>
            <w:shd w:val="clear" w:color="auto" w:fill="FFFFFF"/>
            <w:vAlign w:val="bottom"/>
          </w:tcPr>
          <w:p w14:paraId="77152A76" w14:textId="77777777" w:rsidR="00557C61" w:rsidRPr="0022140F" w:rsidRDefault="00557C61" w:rsidP="005362D8">
            <w:pPr>
              <w:pStyle w:val="Text"/>
              <w:jc w:val="center"/>
              <w:rPr>
                <w:rFonts w:asciiTheme="minorHAnsi" w:hAnsiTheme="minorHAnsi"/>
                <w:b/>
                <w:sz w:val="18"/>
                <w:szCs w:val="18"/>
              </w:rPr>
            </w:pPr>
            <w:r w:rsidRPr="0022140F">
              <w:rPr>
                <w:rFonts w:asciiTheme="minorHAnsi" w:hAnsiTheme="minorHAnsi"/>
                <w:b/>
                <w:sz w:val="18"/>
                <w:szCs w:val="18"/>
              </w:rPr>
              <w:t>N=38</w:t>
            </w:r>
          </w:p>
        </w:tc>
        <w:tc>
          <w:tcPr>
            <w:tcW w:w="616" w:type="pct"/>
            <w:tcBorders>
              <w:left w:val="nil"/>
              <w:bottom w:val="single" w:sz="4" w:space="0" w:color="000000"/>
              <w:right w:val="nil"/>
            </w:tcBorders>
            <w:shd w:val="clear" w:color="auto" w:fill="FFFFFF"/>
            <w:vAlign w:val="bottom"/>
          </w:tcPr>
          <w:p w14:paraId="020AF977" w14:textId="77777777" w:rsidR="00557C61" w:rsidRPr="0022140F" w:rsidRDefault="00557C61" w:rsidP="005362D8">
            <w:pPr>
              <w:pStyle w:val="Text"/>
              <w:jc w:val="center"/>
              <w:rPr>
                <w:rFonts w:asciiTheme="minorHAnsi" w:hAnsiTheme="minorHAnsi"/>
                <w:b/>
                <w:sz w:val="18"/>
                <w:szCs w:val="18"/>
              </w:rPr>
            </w:pPr>
          </w:p>
        </w:tc>
        <w:tc>
          <w:tcPr>
            <w:tcW w:w="963" w:type="pct"/>
            <w:tcBorders>
              <w:left w:val="nil"/>
              <w:bottom w:val="single" w:sz="4" w:space="0" w:color="000000"/>
              <w:right w:val="nil"/>
            </w:tcBorders>
            <w:shd w:val="clear" w:color="auto" w:fill="FFFFFF"/>
          </w:tcPr>
          <w:p w14:paraId="7A1102CC" w14:textId="77777777" w:rsidR="00557C61" w:rsidRPr="0022140F" w:rsidRDefault="00557C61" w:rsidP="005362D8">
            <w:pPr>
              <w:pStyle w:val="Text"/>
              <w:jc w:val="center"/>
              <w:rPr>
                <w:rFonts w:asciiTheme="minorHAnsi" w:hAnsiTheme="minorHAnsi"/>
                <w:b/>
                <w:sz w:val="18"/>
                <w:szCs w:val="18"/>
              </w:rPr>
            </w:pPr>
            <w:r w:rsidRPr="0022140F">
              <w:rPr>
                <w:rFonts w:asciiTheme="minorHAnsi" w:hAnsiTheme="minorHAnsi"/>
                <w:b/>
                <w:sz w:val="18"/>
                <w:szCs w:val="18"/>
              </w:rPr>
              <w:t>N=105</w:t>
            </w:r>
          </w:p>
        </w:tc>
      </w:tr>
      <w:tr w:rsidR="00557C61" w:rsidRPr="0022140F" w14:paraId="04F31D95" w14:textId="77777777" w:rsidTr="005362D8">
        <w:trPr>
          <w:cantSplit/>
          <w:jc w:val="center"/>
        </w:trPr>
        <w:tc>
          <w:tcPr>
            <w:tcW w:w="1899" w:type="pct"/>
            <w:tcBorders>
              <w:top w:val="nil"/>
              <w:left w:val="nil"/>
              <w:right w:val="nil"/>
            </w:tcBorders>
            <w:shd w:val="clear" w:color="auto" w:fill="FFFFFF"/>
          </w:tcPr>
          <w:p w14:paraId="563998A1" w14:textId="77777777" w:rsidR="00557C61" w:rsidRPr="0022140F" w:rsidRDefault="00557C61" w:rsidP="005362D8">
            <w:pPr>
              <w:pStyle w:val="Text"/>
              <w:rPr>
                <w:rFonts w:asciiTheme="minorHAnsi" w:hAnsiTheme="minorHAnsi"/>
                <w:b/>
                <w:sz w:val="18"/>
                <w:szCs w:val="18"/>
              </w:rPr>
            </w:pPr>
            <w:r w:rsidRPr="0022140F">
              <w:rPr>
                <w:rFonts w:asciiTheme="minorHAnsi" w:hAnsiTheme="minorHAnsi"/>
                <w:b/>
                <w:sz w:val="18"/>
                <w:szCs w:val="18"/>
              </w:rPr>
              <w:t>Skin lesion response rate</w:t>
            </w:r>
            <w:r w:rsidRPr="0022140F">
              <w:rPr>
                <w:rFonts w:asciiTheme="minorHAnsi" w:hAnsiTheme="minorHAnsi"/>
                <w:b/>
                <w:sz w:val="18"/>
                <w:szCs w:val="18"/>
                <w:vertAlign w:val="superscript"/>
              </w:rPr>
              <w:t>1,2,3,4</w:t>
            </w:r>
            <w:r w:rsidRPr="0022140F">
              <w:rPr>
                <w:rFonts w:asciiTheme="minorHAnsi" w:hAnsiTheme="minorHAnsi"/>
                <w:b/>
                <w:sz w:val="18"/>
                <w:szCs w:val="18"/>
              </w:rPr>
              <w:t xml:space="preserve"> - %</w:t>
            </w:r>
          </w:p>
        </w:tc>
        <w:tc>
          <w:tcPr>
            <w:tcW w:w="752" w:type="pct"/>
            <w:tcBorders>
              <w:top w:val="nil"/>
              <w:left w:val="nil"/>
              <w:right w:val="nil"/>
            </w:tcBorders>
            <w:shd w:val="clear" w:color="auto" w:fill="FFFFFF"/>
          </w:tcPr>
          <w:p w14:paraId="7AA13E2A"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41.7</w:t>
            </w:r>
          </w:p>
        </w:tc>
        <w:tc>
          <w:tcPr>
            <w:tcW w:w="770" w:type="pct"/>
            <w:tcBorders>
              <w:top w:val="nil"/>
              <w:left w:val="nil"/>
              <w:right w:val="nil"/>
            </w:tcBorders>
            <w:shd w:val="clear" w:color="auto" w:fill="FFFFFF"/>
          </w:tcPr>
          <w:p w14:paraId="16DABDC2"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10.5</w:t>
            </w:r>
          </w:p>
        </w:tc>
        <w:tc>
          <w:tcPr>
            <w:tcW w:w="616" w:type="pct"/>
            <w:tcBorders>
              <w:top w:val="nil"/>
              <w:left w:val="nil"/>
              <w:right w:val="nil"/>
            </w:tcBorders>
            <w:shd w:val="clear" w:color="auto" w:fill="FFFFFF"/>
          </w:tcPr>
          <w:p w14:paraId="60AE6F8D"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0.0004</w:t>
            </w:r>
          </w:p>
        </w:tc>
        <w:tc>
          <w:tcPr>
            <w:tcW w:w="963" w:type="pct"/>
            <w:tcBorders>
              <w:top w:val="nil"/>
              <w:left w:val="nil"/>
              <w:right w:val="nil"/>
            </w:tcBorders>
            <w:shd w:val="clear" w:color="auto" w:fill="FFFFFF"/>
          </w:tcPr>
          <w:p w14:paraId="1EFA5748"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58.1</w:t>
            </w:r>
          </w:p>
        </w:tc>
      </w:tr>
      <w:tr w:rsidR="00557C61" w:rsidRPr="0022140F" w14:paraId="4E63EA76" w14:textId="77777777" w:rsidTr="005362D8">
        <w:trPr>
          <w:cantSplit/>
          <w:jc w:val="center"/>
        </w:trPr>
        <w:tc>
          <w:tcPr>
            <w:tcW w:w="1899" w:type="pct"/>
            <w:tcBorders>
              <w:top w:val="nil"/>
              <w:left w:val="nil"/>
              <w:right w:val="nil"/>
            </w:tcBorders>
            <w:shd w:val="clear" w:color="auto" w:fill="FFFFFF"/>
          </w:tcPr>
          <w:p w14:paraId="7DC287FC"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 xml:space="preserve">95% CI </w:t>
            </w:r>
          </w:p>
        </w:tc>
        <w:tc>
          <w:tcPr>
            <w:tcW w:w="752" w:type="pct"/>
            <w:tcBorders>
              <w:top w:val="nil"/>
              <w:left w:val="nil"/>
              <w:right w:val="nil"/>
            </w:tcBorders>
            <w:shd w:val="clear" w:color="auto" w:fill="FFFFFF"/>
          </w:tcPr>
          <w:p w14:paraId="2AE7CADB"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(30.2, 53.9)</w:t>
            </w:r>
          </w:p>
        </w:tc>
        <w:tc>
          <w:tcPr>
            <w:tcW w:w="770" w:type="pct"/>
            <w:tcBorders>
              <w:top w:val="nil"/>
              <w:left w:val="nil"/>
              <w:right w:val="nil"/>
            </w:tcBorders>
            <w:shd w:val="clear" w:color="auto" w:fill="FFFFFF"/>
          </w:tcPr>
          <w:p w14:paraId="195DF439"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(2.9, 24.8)</w:t>
            </w:r>
          </w:p>
        </w:tc>
        <w:tc>
          <w:tcPr>
            <w:tcW w:w="616" w:type="pct"/>
            <w:tcBorders>
              <w:top w:val="nil"/>
              <w:left w:val="nil"/>
              <w:right w:val="nil"/>
            </w:tcBorders>
            <w:shd w:val="clear" w:color="auto" w:fill="FFFFFF"/>
          </w:tcPr>
          <w:p w14:paraId="446EFF2E" w14:textId="77777777" w:rsidR="00557C61" w:rsidRPr="0022140F" w:rsidRDefault="00557C61" w:rsidP="005362D8">
            <w:pPr>
              <w:pStyle w:val="Text"/>
              <w:jc w:val="center"/>
              <w:rPr>
                <w:rFonts w:asciiTheme="minorHAnsi" w:hAnsiTheme="minorHAnsi"/>
                <w:sz w:val="18"/>
                <w:szCs w:val="18"/>
              </w:rPr>
            </w:pPr>
          </w:p>
        </w:tc>
        <w:tc>
          <w:tcPr>
            <w:tcW w:w="963" w:type="pct"/>
            <w:tcBorders>
              <w:top w:val="nil"/>
              <w:left w:val="nil"/>
              <w:right w:val="nil"/>
            </w:tcBorders>
            <w:shd w:val="clear" w:color="auto" w:fill="FFFFFF"/>
          </w:tcPr>
          <w:p w14:paraId="714064B2"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(48.1, 67.7)</w:t>
            </w:r>
          </w:p>
        </w:tc>
      </w:tr>
      <w:tr w:rsidR="00557C61" w:rsidRPr="0022140F" w14:paraId="2E650FD2" w14:textId="77777777" w:rsidTr="005362D8">
        <w:trPr>
          <w:cantSplit/>
          <w:jc w:val="center"/>
        </w:trPr>
        <w:tc>
          <w:tcPr>
            <w:tcW w:w="1899" w:type="pct"/>
            <w:tcBorders>
              <w:left w:val="nil"/>
              <w:bottom w:val="nil"/>
              <w:right w:val="nil"/>
            </w:tcBorders>
            <w:shd w:val="clear" w:color="auto" w:fill="FFFFFF"/>
          </w:tcPr>
          <w:p w14:paraId="6A269CFD" w14:textId="77777777" w:rsidR="00557C61" w:rsidRPr="0022140F" w:rsidRDefault="00557C61" w:rsidP="005362D8">
            <w:pPr>
              <w:pStyle w:val="Text"/>
              <w:rPr>
                <w:rFonts w:asciiTheme="minorHAnsi" w:hAnsiTheme="minorHAnsi"/>
                <w:b/>
                <w:sz w:val="18"/>
                <w:szCs w:val="18"/>
              </w:rPr>
            </w:pPr>
            <w:r w:rsidRPr="0022140F">
              <w:rPr>
                <w:rFonts w:asciiTheme="minorHAnsi" w:hAnsiTheme="minorHAnsi"/>
                <w:b/>
                <w:sz w:val="18"/>
                <w:szCs w:val="18"/>
              </w:rPr>
              <w:t>Best overall skin lesion response - %</w:t>
            </w:r>
          </w:p>
        </w:tc>
        <w:tc>
          <w:tcPr>
            <w:tcW w:w="752" w:type="pct"/>
            <w:tcBorders>
              <w:left w:val="nil"/>
              <w:bottom w:val="nil"/>
              <w:right w:val="nil"/>
            </w:tcBorders>
            <w:shd w:val="clear" w:color="auto" w:fill="FFFFFF"/>
          </w:tcPr>
          <w:p w14:paraId="666173DE" w14:textId="77777777" w:rsidR="00557C61" w:rsidRPr="0022140F" w:rsidRDefault="00557C61" w:rsidP="005362D8">
            <w:pPr>
              <w:pStyle w:val="Text"/>
              <w:jc w:val="center"/>
              <w:rPr>
                <w:rFonts w:asciiTheme="minorHAnsi" w:hAnsiTheme="minorHAnsi"/>
                <w:sz w:val="18"/>
                <w:szCs w:val="18"/>
              </w:rPr>
            </w:pPr>
          </w:p>
        </w:tc>
        <w:tc>
          <w:tcPr>
            <w:tcW w:w="770" w:type="pct"/>
            <w:tcBorders>
              <w:left w:val="nil"/>
              <w:bottom w:val="nil"/>
              <w:right w:val="nil"/>
            </w:tcBorders>
            <w:shd w:val="clear" w:color="auto" w:fill="FFFFFF"/>
          </w:tcPr>
          <w:p w14:paraId="43A7034F" w14:textId="77777777" w:rsidR="00557C61" w:rsidRPr="0022140F" w:rsidRDefault="00557C61" w:rsidP="005362D8">
            <w:pPr>
              <w:pStyle w:val="Text"/>
              <w:jc w:val="center"/>
              <w:rPr>
                <w:rFonts w:asciiTheme="minorHAnsi" w:hAnsiTheme="minorHAnsi"/>
                <w:sz w:val="18"/>
                <w:szCs w:val="18"/>
              </w:rPr>
            </w:pPr>
          </w:p>
        </w:tc>
        <w:tc>
          <w:tcPr>
            <w:tcW w:w="616" w:type="pct"/>
            <w:tcBorders>
              <w:left w:val="nil"/>
              <w:bottom w:val="nil"/>
              <w:right w:val="nil"/>
            </w:tcBorders>
            <w:shd w:val="clear" w:color="auto" w:fill="FFFFFF"/>
          </w:tcPr>
          <w:p w14:paraId="7936CA9B" w14:textId="77777777" w:rsidR="00557C61" w:rsidRPr="0022140F" w:rsidRDefault="00557C61" w:rsidP="005362D8">
            <w:pPr>
              <w:pStyle w:val="Text"/>
              <w:jc w:val="center"/>
              <w:rPr>
                <w:rFonts w:asciiTheme="minorHAnsi" w:hAnsiTheme="minorHAnsi"/>
                <w:sz w:val="18"/>
                <w:szCs w:val="18"/>
              </w:rPr>
            </w:pPr>
          </w:p>
        </w:tc>
        <w:tc>
          <w:tcPr>
            <w:tcW w:w="963" w:type="pct"/>
            <w:tcBorders>
              <w:left w:val="nil"/>
              <w:bottom w:val="nil"/>
              <w:right w:val="nil"/>
            </w:tcBorders>
            <w:shd w:val="clear" w:color="auto" w:fill="FFFFFF"/>
          </w:tcPr>
          <w:p w14:paraId="4607A581" w14:textId="77777777" w:rsidR="00557C61" w:rsidRPr="0022140F" w:rsidRDefault="00557C61" w:rsidP="005362D8">
            <w:pPr>
              <w:pStyle w:val="Text"/>
              <w:jc w:val="center"/>
              <w:rPr>
                <w:rFonts w:asciiTheme="minorHAnsi" w:hAnsiTheme="minorHAnsi"/>
                <w:sz w:val="18"/>
                <w:szCs w:val="18"/>
              </w:rPr>
            </w:pPr>
          </w:p>
        </w:tc>
      </w:tr>
      <w:tr w:rsidR="00557C61" w:rsidRPr="0022140F" w14:paraId="5C169048" w14:textId="77777777" w:rsidTr="005362D8">
        <w:trPr>
          <w:cantSplit/>
          <w:jc w:val="center"/>
        </w:trPr>
        <w:tc>
          <w:tcPr>
            <w:tcW w:w="1899" w:type="pct"/>
            <w:tcBorders>
              <w:top w:val="nil"/>
              <w:left w:val="nil"/>
              <w:bottom w:val="nil"/>
              <w:right w:val="nil"/>
            </w:tcBorders>
            <w:shd w:val="clear" w:color="auto" w:fill="FFFFFF"/>
          </w:tcPr>
          <w:p w14:paraId="761CA97A"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Complete clinical response</w:t>
            </w:r>
          </w:p>
        </w:tc>
        <w:tc>
          <w:tcPr>
            <w:tcW w:w="752" w:type="pct"/>
            <w:tcBorders>
              <w:top w:val="nil"/>
              <w:left w:val="nil"/>
              <w:bottom w:val="nil"/>
              <w:right w:val="nil"/>
            </w:tcBorders>
            <w:shd w:val="clear" w:color="auto" w:fill="FFFFFF"/>
          </w:tcPr>
          <w:p w14:paraId="449EA462"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w:t>
            </w:r>
          </w:p>
        </w:tc>
        <w:tc>
          <w:tcPr>
            <w:tcW w:w="770" w:type="pct"/>
            <w:tcBorders>
              <w:top w:val="nil"/>
              <w:left w:val="nil"/>
              <w:bottom w:val="nil"/>
              <w:right w:val="nil"/>
            </w:tcBorders>
            <w:shd w:val="clear" w:color="auto" w:fill="FFFFFF"/>
          </w:tcPr>
          <w:p w14:paraId="15150F35"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w:t>
            </w:r>
          </w:p>
        </w:tc>
        <w:tc>
          <w:tcPr>
            <w:tcW w:w="616" w:type="pct"/>
            <w:tcBorders>
              <w:top w:val="nil"/>
              <w:left w:val="nil"/>
              <w:bottom w:val="nil"/>
              <w:right w:val="nil"/>
            </w:tcBorders>
            <w:shd w:val="clear" w:color="auto" w:fill="FFFFFF"/>
          </w:tcPr>
          <w:p w14:paraId="63F5224B" w14:textId="77777777" w:rsidR="00557C61" w:rsidRPr="0022140F" w:rsidRDefault="00557C61" w:rsidP="005362D8">
            <w:pPr>
              <w:pStyle w:val="Text"/>
              <w:jc w:val="center"/>
              <w:rPr>
                <w:rFonts w:asciiTheme="minorHAnsi" w:hAnsiTheme="minorHAnsi"/>
                <w:sz w:val="18"/>
                <w:szCs w:val="18"/>
              </w:rPr>
            </w:pPr>
          </w:p>
        </w:tc>
        <w:tc>
          <w:tcPr>
            <w:tcW w:w="963" w:type="pct"/>
            <w:tcBorders>
              <w:top w:val="nil"/>
              <w:left w:val="nil"/>
              <w:bottom w:val="nil"/>
              <w:right w:val="nil"/>
            </w:tcBorders>
            <w:shd w:val="clear" w:color="auto" w:fill="FFFFFF"/>
          </w:tcPr>
          <w:p w14:paraId="4E31805F"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8.6</w:t>
            </w:r>
          </w:p>
        </w:tc>
      </w:tr>
      <w:tr w:rsidR="00557C61" w:rsidRPr="0022140F" w14:paraId="67620A86" w14:textId="77777777" w:rsidTr="005362D8">
        <w:trPr>
          <w:cantSplit/>
          <w:jc w:val="center"/>
        </w:trPr>
        <w:tc>
          <w:tcPr>
            <w:tcW w:w="1899" w:type="pct"/>
            <w:tcBorders>
              <w:top w:val="nil"/>
              <w:left w:val="nil"/>
              <w:bottom w:val="nil"/>
              <w:right w:val="nil"/>
            </w:tcBorders>
            <w:shd w:val="clear" w:color="auto" w:fill="FFFFFF"/>
          </w:tcPr>
          <w:p w14:paraId="68A9F6D7"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Partial response</w:t>
            </w:r>
          </w:p>
        </w:tc>
        <w:tc>
          <w:tcPr>
            <w:tcW w:w="752" w:type="pct"/>
            <w:tcBorders>
              <w:top w:val="nil"/>
              <w:left w:val="nil"/>
              <w:bottom w:val="nil"/>
              <w:right w:val="nil"/>
            </w:tcBorders>
            <w:shd w:val="clear" w:color="auto" w:fill="FFFFFF"/>
          </w:tcPr>
          <w:p w14:paraId="5B6F8A65"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41.7</w:t>
            </w:r>
          </w:p>
        </w:tc>
        <w:tc>
          <w:tcPr>
            <w:tcW w:w="770" w:type="pct"/>
            <w:tcBorders>
              <w:top w:val="nil"/>
              <w:left w:val="nil"/>
              <w:bottom w:val="nil"/>
              <w:right w:val="nil"/>
            </w:tcBorders>
            <w:shd w:val="clear" w:color="auto" w:fill="FFFFFF"/>
          </w:tcPr>
          <w:p w14:paraId="611D1AEF"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10.5</w:t>
            </w:r>
          </w:p>
        </w:tc>
        <w:tc>
          <w:tcPr>
            <w:tcW w:w="616" w:type="pct"/>
            <w:tcBorders>
              <w:top w:val="nil"/>
              <w:left w:val="nil"/>
              <w:bottom w:val="nil"/>
              <w:right w:val="nil"/>
            </w:tcBorders>
            <w:shd w:val="clear" w:color="auto" w:fill="FFFFFF"/>
          </w:tcPr>
          <w:p w14:paraId="349F1F49" w14:textId="77777777" w:rsidR="00557C61" w:rsidRPr="0022140F" w:rsidRDefault="00557C61" w:rsidP="005362D8">
            <w:pPr>
              <w:pStyle w:val="Text"/>
              <w:jc w:val="center"/>
              <w:rPr>
                <w:rFonts w:asciiTheme="minorHAnsi" w:hAnsiTheme="minorHAnsi"/>
                <w:sz w:val="18"/>
                <w:szCs w:val="18"/>
              </w:rPr>
            </w:pPr>
          </w:p>
        </w:tc>
        <w:tc>
          <w:tcPr>
            <w:tcW w:w="963" w:type="pct"/>
            <w:tcBorders>
              <w:top w:val="nil"/>
              <w:left w:val="nil"/>
              <w:bottom w:val="nil"/>
              <w:right w:val="nil"/>
            </w:tcBorders>
            <w:shd w:val="clear" w:color="auto" w:fill="FFFFFF"/>
          </w:tcPr>
          <w:p w14:paraId="578012E7"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49.5</w:t>
            </w:r>
          </w:p>
        </w:tc>
      </w:tr>
      <w:tr w:rsidR="00557C61" w:rsidRPr="0022140F" w14:paraId="2818A644" w14:textId="77777777" w:rsidTr="005362D8">
        <w:trPr>
          <w:cantSplit/>
          <w:jc w:val="center"/>
        </w:trPr>
        <w:tc>
          <w:tcPr>
            <w:tcW w:w="1899" w:type="pct"/>
            <w:tcBorders>
              <w:top w:val="nil"/>
              <w:left w:val="nil"/>
              <w:bottom w:val="nil"/>
              <w:right w:val="nil"/>
            </w:tcBorders>
            <w:shd w:val="clear" w:color="auto" w:fill="FFFFFF"/>
          </w:tcPr>
          <w:p w14:paraId="373A9205"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Stable disease</w:t>
            </w:r>
          </w:p>
        </w:tc>
        <w:tc>
          <w:tcPr>
            <w:tcW w:w="752" w:type="pct"/>
            <w:tcBorders>
              <w:top w:val="nil"/>
              <w:left w:val="nil"/>
              <w:bottom w:val="nil"/>
              <w:right w:val="nil"/>
            </w:tcBorders>
            <w:shd w:val="clear" w:color="auto" w:fill="FFFFFF"/>
          </w:tcPr>
          <w:p w14:paraId="5D008D66"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58.3</w:t>
            </w:r>
          </w:p>
        </w:tc>
        <w:tc>
          <w:tcPr>
            <w:tcW w:w="770" w:type="pct"/>
            <w:tcBorders>
              <w:top w:val="nil"/>
              <w:left w:val="nil"/>
              <w:bottom w:val="nil"/>
              <w:right w:val="nil"/>
            </w:tcBorders>
            <w:shd w:val="clear" w:color="auto" w:fill="FFFFFF"/>
          </w:tcPr>
          <w:p w14:paraId="793D7C1C"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86.8</w:t>
            </w:r>
          </w:p>
        </w:tc>
        <w:tc>
          <w:tcPr>
            <w:tcW w:w="616" w:type="pct"/>
            <w:tcBorders>
              <w:top w:val="nil"/>
              <w:left w:val="nil"/>
              <w:bottom w:val="nil"/>
              <w:right w:val="nil"/>
            </w:tcBorders>
            <w:shd w:val="clear" w:color="auto" w:fill="FFFFFF"/>
          </w:tcPr>
          <w:p w14:paraId="46CF3A41" w14:textId="77777777" w:rsidR="00557C61" w:rsidRPr="0022140F" w:rsidRDefault="00557C61" w:rsidP="005362D8">
            <w:pPr>
              <w:pStyle w:val="Text"/>
              <w:jc w:val="center"/>
              <w:rPr>
                <w:rFonts w:asciiTheme="minorHAnsi" w:hAnsiTheme="minorHAnsi"/>
                <w:sz w:val="18"/>
                <w:szCs w:val="18"/>
              </w:rPr>
            </w:pPr>
          </w:p>
        </w:tc>
        <w:tc>
          <w:tcPr>
            <w:tcW w:w="963" w:type="pct"/>
            <w:tcBorders>
              <w:top w:val="nil"/>
              <w:left w:val="nil"/>
              <w:bottom w:val="nil"/>
              <w:right w:val="nil"/>
            </w:tcBorders>
            <w:shd w:val="clear" w:color="auto" w:fill="FFFFFF"/>
          </w:tcPr>
          <w:p w14:paraId="16FAA1AA"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40.0</w:t>
            </w:r>
          </w:p>
        </w:tc>
      </w:tr>
      <w:tr w:rsidR="00557C61" w:rsidRPr="0022140F" w14:paraId="666C9FFE" w14:textId="77777777" w:rsidTr="005362D8">
        <w:trPr>
          <w:cantSplit/>
          <w:jc w:val="center"/>
        </w:trPr>
        <w:tc>
          <w:tcPr>
            <w:tcW w:w="1899" w:type="pct"/>
            <w:tcBorders>
              <w:top w:val="nil"/>
              <w:left w:val="nil"/>
              <w:bottom w:val="nil"/>
              <w:right w:val="nil"/>
            </w:tcBorders>
            <w:shd w:val="clear" w:color="auto" w:fill="FFFFFF"/>
          </w:tcPr>
          <w:p w14:paraId="54AF3852"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Progression</w:t>
            </w:r>
          </w:p>
        </w:tc>
        <w:tc>
          <w:tcPr>
            <w:tcW w:w="752" w:type="pct"/>
            <w:tcBorders>
              <w:top w:val="nil"/>
              <w:left w:val="nil"/>
              <w:bottom w:val="nil"/>
              <w:right w:val="nil"/>
            </w:tcBorders>
            <w:shd w:val="clear" w:color="auto" w:fill="FFFFFF"/>
          </w:tcPr>
          <w:p w14:paraId="611095C7"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w:t>
            </w:r>
          </w:p>
        </w:tc>
        <w:tc>
          <w:tcPr>
            <w:tcW w:w="770" w:type="pct"/>
            <w:tcBorders>
              <w:top w:val="nil"/>
              <w:left w:val="nil"/>
              <w:bottom w:val="nil"/>
              <w:right w:val="nil"/>
            </w:tcBorders>
            <w:shd w:val="clear" w:color="auto" w:fill="FFFFFF"/>
          </w:tcPr>
          <w:p w14:paraId="544ED406"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w:t>
            </w:r>
          </w:p>
        </w:tc>
        <w:tc>
          <w:tcPr>
            <w:tcW w:w="616" w:type="pct"/>
            <w:tcBorders>
              <w:top w:val="nil"/>
              <w:left w:val="nil"/>
              <w:bottom w:val="nil"/>
              <w:right w:val="nil"/>
            </w:tcBorders>
            <w:shd w:val="clear" w:color="auto" w:fill="FFFFFF"/>
          </w:tcPr>
          <w:p w14:paraId="6F28D71F" w14:textId="77777777" w:rsidR="00557C61" w:rsidRPr="0022140F" w:rsidRDefault="00557C61" w:rsidP="005362D8">
            <w:pPr>
              <w:pStyle w:val="Text"/>
              <w:jc w:val="center"/>
              <w:rPr>
                <w:rFonts w:asciiTheme="minorHAnsi" w:hAnsiTheme="minorHAnsi"/>
                <w:sz w:val="18"/>
                <w:szCs w:val="18"/>
              </w:rPr>
            </w:pPr>
          </w:p>
        </w:tc>
        <w:tc>
          <w:tcPr>
            <w:tcW w:w="963" w:type="pct"/>
            <w:tcBorders>
              <w:top w:val="nil"/>
              <w:left w:val="nil"/>
              <w:bottom w:val="nil"/>
              <w:right w:val="nil"/>
            </w:tcBorders>
            <w:shd w:val="clear" w:color="auto" w:fill="FFFFFF"/>
          </w:tcPr>
          <w:p w14:paraId="0CD1C483"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w:t>
            </w:r>
          </w:p>
        </w:tc>
      </w:tr>
      <w:tr w:rsidR="00557C61" w:rsidRPr="0022140F" w14:paraId="3FB93A5F" w14:textId="77777777" w:rsidTr="005362D8">
        <w:trPr>
          <w:cantSplit/>
          <w:jc w:val="center"/>
        </w:trPr>
        <w:tc>
          <w:tcPr>
            <w:tcW w:w="1899" w:type="pct"/>
            <w:tcBorders>
              <w:top w:val="nil"/>
              <w:left w:val="nil"/>
              <w:bottom w:val="single" w:sz="4" w:space="0" w:color="auto"/>
              <w:right w:val="nil"/>
            </w:tcBorders>
            <w:shd w:val="clear" w:color="auto" w:fill="FFFFFF"/>
          </w:tcPr>
          <w:p w14:paraId="7042BB45" w14:textId="77777777" w:rsidR="00557C61" w:rsidRPr="0022140F" w:rsidRDefault="00557C61" w:rsidP="005362D8">
            <w:pPr>
              <w:pStyle w:val="Text"/>
              <w:rPr>
                <w:rFonts w:asciiTheme="minorHAnsi" w:hAnsiTheme="minorHAnsi"/>
                <w:sz w:val="18"/>
                <w:szCs w:val="18"/>
              </w:rPr>
            </w:pPr>
            <w:r w:rsidRPr="0022140F">
              <w:rPr>
                <w:rFonts w:asciiTheme="minorHAnsi" w:hAnsiTheme="minorHAnsi"/>
                <w:sz w:val="18"/>
                <w:szCs w:val="18"/>
              </w:rPr>
              <w:tab/>
              <w:t>Not evaluable</w:t>
            </w:r>
          </w:p>
        </w:tc>
        <w:tc>
          <w:tcPr>
            <w:tcW w:w="752" w:type="pct"/>
            <w:tcBorders>
              <w:top w:val="nil"/>
              <w:left w:val="nil"/>
              <w:bottom w:val="single" w:sz="4" w:space="0" w:color="auto"/>
              <w:right w:val="nil"/>
            </w:tcBorders>
            <w:shd w:val="clear" w:color="auto" w:fill="FFFFFF"/>
          </w:tcPr>
          <w:p w14:paraId="4B174AC4"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0</w:t>
            </w:r>
          </w:p>
        </w:tc>
        <w:tc>
          <w:tcPr>
            <w:tcW w:w="770" w:type="pct"/>
            <w:tcBorders>
              <w:top w:val="nil"/>
              <w:left w:val="nil"/>
              <w:bottom w:val="single" w:sz="4" w:space="0" w:color="auto"/>
              <w:right w:val="nil"/>
            </w:tcBorders>
            <w:shd w:val="clear" w:color="auto" w:fill="FFFFFF"/>
          </w:tcPr>
          <w:p w14:paraId="579C0F0D"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2.6</w:t>
            </w:r>
          </w:p>
        </w:tc>
        <w:tc>
          <w:tcPr>
            <w:tcW w:w="616" w:type="pct"/>
            <w:tcBorders>
              <w:top w:val="nil"/>
              <w:left w:val="nil"/>
              <w:bottom w:val="single" w:sz="4" w:space="0" w:color="auto"/>
              <w:right w:val="nil"/>
            </w:tcBorders>
            <w:shd w:val="clear" w:color="auto" w:fill="FFFFFF"/>
          </w:tcPr>
          <w:p w14:paraId="18FA5B5D" w14:textId="77777777" w:rsidR="00557C61" w:rsidRPr="0022140F" w:rsidRDefault="00557C61" w:rsidP="005362D8">
            <w:pPr>
              <w:pStyle w:val="Text"/>
              <w:jc w:val="center"/>
              <w:rPr>
                <w:rFonts w:asciiTheme="minorHAnsi" w:hAnsiTheme="minorHAnsi"/>
                <w:sz w:val="18"/>
                <w:szCs w:val="18"/>
              </w:rPr>
            </w:pPr>
          </w:p>
        </w:tc>
        <w:tc>
          <w:tcPr>
            <w:tcW w:w="963" w:type="pct"/>
            <w:tcBorders>
              <w:top w:val="nil"/>
              <w:left w:val="nil"/>
              <w:bottom w:val="single" w:sz="4" w:space="0" w:color="auto"/>
              <w:right w:val="nil"/>
            </w:tcBorders>
            <w:shd w:val="clear" w:color="auto" w:fill="FFFFFF"/>
          </w:tcPr>
          <w:p w14:paraId="578FB901" w14:textId="77777777" w:rsidR="00557C61" w:rsidRPr="0022140F" w:rsidRDefault="00557C61" w:rsidP="005362D8">
            <w:pPr>
              <w:pStyle w:val="Text"/>
              <w:jc w:val="center"/>
              <w:rPr>
                <w:rFonts w:asciiTheme="minorHAnsi" w:hAnsiTheme="minorHAnsi"/>
                <w:sz w:val="18"/>
                <w:szCs w:val="18"/>
              </w:rPr>
            </w:pPr>
            <w:r w:rsidRPr="0022140F">
              <w:rPr>
                <w:rFonts w:asciiTheme="minorHAnsi" w:hAnsiTheme="minorHAnsi"/>
                <w:sz w:val="18"/>
                <w:szCs w:val="18"/>
              </w:rPr>
              <w:t>1.9</w:t>
            </w:r>
          </w:p>
        </w:tc>
      </w:tr>
      <w:tr w:rsidR="00557C61" w:rsidRPr="0022140F" w14:paraId="64C6325D" w14:textId="77777777" w:rsidTr="005362D8">
        <w:trPr>
          <w:cantSplit/>
          <w:jc w:val="center"/>
        </w:trPr>
        <w:tc>
          <w:tcPr>
            <w:tcW w:w="5000" w:type="pct"/>
            <w:gridSpan w:val="5"/>
            <w:tcBorders>
              <w:top w:val="single" w:sz="4" w:space="0" w:color="auto"/>
              <w:left w:val="nil"/>
              <w:bottom w:val="nil"/>
              <w:right w:val="nil"/>
            </w:tcBorders>
            <w:shd w:val="clear" w:color="auto" w:fill="FFFFFF"/>
          </w:tcPr>
          <w:p w14:paraId="400134A4" w14:textId="77777777" w:rsidR="00557C61" w:rsidRPr="0022140F" w:rsidRDefault="00557C61" w:rsidP="005362D8">
            <w:pPr>
              <w:pStyle w:val="Legend"/>
              <w:keepLines w:val="0"/>
              <w:rPr>
                <w:rFonts w:asciiTheme="minorHAnsi" w:hAnsiTheme="minorHAnsi"/>
                <w:i/>
                <w:sz w:val="16"/>
                <w:szCs w:val="16"/>
              </w:rPr>
            </w:pPr>
            <w:r w:rsidRPr="0022140F">
              <w:rPr>
                <w:rFonts w:asciiTheme="minorHAnsi" w:hAnsiTheme="minorHAnsi"/>
                <w:i/>
                <w:sz w:val="16"/>
                <w:szCs w:val="16"/>
                <w:vertAlign w:val="superscript"/>
              </w:rPr>
              <w:t>1</w:t>
            </w:r>
            <w:r w:rsidRPr="0022140F">
              <w:rPr>
                <w:rFonts w:asciiTheme="minorHAnsi" w:hAnsiTheme="minorHAnsi"/>
                <w:i/>
                <w:sz w:val="16"/>
                <w:szCs w:val="16"/>
              </w:rPr>
              <w:t xml:space="preserve"> Complete clinical response or partial response</w:t>
            </w:r>
          </w:p>
          <w:p w14:paraId="094D4129" w14:textId="77777777" w:rsidR="00557C61" w:rsidRPr="0022140F" w:rsidRDefault="00557C61" w:rsidP="005362D8">
            <w:pPr>
              <w:pStyle w:val="Legend"/>
              <w:keepLines w:val="0"/>
              <w:rPr>
                <w:rFonts w:asciiTheme="minorHAnsi" w:hAnsiTheme="minorHAnsi"/>
                <w:i/>
                <w:sz w:val="16"/>
                <w:szCs w:val="16"/>
              </w:rPr>
            </w:pPr>
            <w:r w:rsidRPr="0022140F">
              <w:rPr>
                <w:rFonts w:asciiTheme="minorHAnsi" w:hAnsiTheme="minorHAnsi"/>
                <w:i/>
                <w:sz w:val="16"/>
                <w:szCs w:val="16"/>
                <w:vertAlign w:val="superscript"/>
              </w:rPr>
              <w:t>2</w:t>
            </w:r>
            <w:r w:rsidRPr="0022140F">
              <w:rPr>
                <w:rFonts w:asciiTheme="minorHAnsi" w:hAnsiTheme="minorHAnsi"/>
                <w:i/>
                <w:sz w:val="16"/>
                <w:szCs w:val="16"/>
              </w:rPr>
              <w:t xml:space="preserve"> Per investigator</w:t>
            </w:r>
          </w:p>
          <w:p w14:paraId="73C9839B" w14:textId="77777777" w:rsidR="00557C61" w:rsidRPr="0022140F" w:rsidRDefault="00557C61" w:rsidP="005362D8">
            <w:pPr>
              <w:pStyle w:val="Legend"/>
              <w:keepLines w:val="0"/>
              <w:rPr>
                <w:rFonts w:asciiTheme="minorHAnsi" w:hAnsiTheme="minorHAnsi"/>
                <w:i/>
                <w:sz w:val="16"/>
                <w:szCs w:val="16"/>
              </w:rPr>
            </w:pPr>
            <w:r w:rsidRPr="0022140F">
              <w:rPr>
                <w:rFonts w:asciiTheme="minorHAnsi" w:hAnsiTheme="minorHAnsi"/>
                <w:i/>
                <w:sz w:val="16"/>
                <w:szCs w:val="16"/>
                <w:vertAlign w:val="superscript"/>
              </w:rPr>
              <w:t>3</w:t>
            </w:r>
            <w:r w:rsidRPr="0022140F">
              <w:rPr>
                <w:rFonts w:asciiTheme="minorHAnsi" w:hAnsiTheme="minorHAnsi"/>
                <w:i/>
                <w:sz w:val="16"/>
                <w:szCs w:val="16"/>
              </w:rPr>
              <w:t xml:space="preserve"> Skin lesion response was determined for patients with ≥ 1 skin lesion at baseline.</w:t>
            </w:r>
          </w:p>
          <w:p w14:paraId="14CAB69D" w14:textId="77777777" w:rsidR="00557C61" w:rsidRPr="0022140F" w:rsidRDefault="00557C61" w:rsidP="005362D8">
            <w:pPr>
              <w:pStyle w:val="Legend"/>
              <w:keepLines w:val="0"/>
              <w:rPr>
                <w:rFonts w:asciiTheme="minorHAnsi" w:hAnsiTheme="minorHAnsi"/>
                <w:i/>
                <w:sz w:val="16"/>
                <w:szCs w:val="16"/>
              </w:rPr>
            </w:pPr>
            <w:r w:rsidRPr="0022140F">
              <w:rPr>
                <w:rFonts w:asciiTheme="minorHAnsi" w:hAnsiTheme="minorHAnsi"/>
                <w:i/>
                <w:sz w:val="16"/>
                <w:szCs w:val="16"/>
                <w:vertAlign w:val="superscript"/>
              </w:rPr>
              <w:t>4</w:t>
            </w:r>
            <w:r w:rsidRPr="0022140F">
              <w:rPr>
                <w:rFonts w:asciiTheme="minorHAnsi" w:hAnsiTheme="minorHAnsi"/>
                <w:i/>
                <w:sz w:val="16"/>
                <w:szCs w:val="16"/>
              </w:rPr>
              <w:t xml:space="preserve"> Skin lesion response was defined as ≥ 50% improvement in appearance of skin lesions by Physician’s Global Assessment of Clinical Condition.</w:t>
            </w:r>
          </w:p>
          <w:p w14:paraId="3FCC6EB1" w14:textId="77777777" w:rsidR="00557C61" w:rsidRPr="0022140F" w:rsidRDefault="00557C61" w:rsidP="005362D8">
            <w:pPr>
              <w:pStyle w:val="Legend"/>
              <w:keepLines w:val="0"/>
              <w:rPr>
                <w:rFonts w:asciiTheme="minorHAnsi" w:hAnsiTheme="minorHAnsi"/>
                <w:i/>
                <w:sz w:val="16"/>
                <w:szCs w:val="16"/>
              </w:rPr>
            </w:pPr>
            <w:r w:rsidRPr="0022140F">
              <w:rPr>
                <w:rFonts w:asciiTheme="minorHAnsi" w:hAnsiTheme="minorHAnsi"/>
                <w:i/>
                <w:sz w:val="16"/>
                <w:szCs w:val="16"/>
                <w:vertAlign w:val="superscript"/>
              </w:rPr>
              <w:t>5</w:t>
            </w:r>
            <w:r w:rsidRPr="0022140F">
              <w:rPr>
                <w:rFonts w:asciiTheme="minorHAnsi" w:hAnsiTheme="minorHAnsi"/>
                <w:i/>
                <w:sz w:val="16"/>
                <w:szCs w:val="16"/>
              </w:rPr>
              <w:t xml:space="preserve"> Primary analysis for double blind period</w:t>
            </w:r>
          </w:p>
          <w:p w14:paraId="20BF44FC" w14:textId="77777777" w:rsidR="00557C61" w:rsidRPr="0022140F" w:rsidRDefault="00557C61" w:rsidP="005362D8">
            <w:pPr>
              <w:pStyle w:val="Legend"/>
              <w:keepLines w:val="0"/>
              <w:rPr>
                <w:rFonts w:asciiTheme="minorHAnsi" w:hAnsiTheme="minorHAnsi"/>
                <w:i/>
                <w:sz w:val="16"/>
                <w:szCs w:val="16"/>
                <w:vertAlign w:val="superscript"/>
              </w:rPr>
            </w:pPr>
            <w:r w:rsidRPr="0022140F">
              <w:rPr>
                <w:rFonts w:asciiTheme="minorHAnsi" w:hAnsiTheme="minorHAnsi"/>
                <w:i/>
                <w:sz w:val="16"/>
                <w:szCs w:val="16"/>
                <w:vertAlign w:val="superscript"/>
              </w:rPr>
              <w:t>6</w:t>
            </w:r>
            <w:r w:rsidRPr="0022140F">
              <w:rPr>
                <w:rFonts w:asciiTheme="minorHAnsi" w:hAnsiTheme="minorHAnsi"/>
                <w:i/>
                <w:sz w:val="16"/>
                <w:szCs w:val="16"/>
              </w:rPr>
              <w:t xml:space="preserve"> Final analysis includes patients who crossed over from the placebo group; median duration of exposure to </w:t>
            </w:r>
            <w:proofErr w:type="spellStart"/>
            <w:r w:rsidRPr="0022140F">
              <w:rPr>
                <w:rFonts w:asciiTheme="minorHAnsi" w:hAnsiTheme="minorHAnsi"/>
                <w:i/>
                <w:sz w:val="16"/>
                <w:szCs w:val="16"/>
              </w:rPr>
              <w:t>everolimus</w:t>
            </w:r>
            <w:proofErr w:type="spellEnd"/>
            <w:r w:rsidRPr="0022140F">
              <w:rPr>
                <w:rFonts w:asciiTheme="minorHAnsi" w:hAnsiTheme="minorHAnsi"/>
                <w:i/>
                <w:sz w:val="16"/>
                <w:szCs w:val="16"/>
              </w:rPr>
              <w:t xml:space="preserve"> of 204.9 weeks</w:t>
            </w:r>
          </w:p>
        </w:tc>
      </w:tr>
    </w:tbl>
    <w:p w14:paraId="22870A2E" w14:textId="77777777" w:rsidR="00557C61" w:rsidRPr="0022140F" w:rsidRDefault="00557C61" w:rsidP="00557C61">
      <w:pPr>
        <w:pStyle w:val="paragraph"/>
        <w:rPr>
          <w:rFonts w:asciiTheme="minorHAnsi" w:hAnsiTheme="minorHAnsi"/>
        </w:rPr>
      </w:pPr>
    </w:p>
    <w:p w14:paraId="319E4BDF" w14:textId="77777777" w:rsidR="00557C61" w:rsidRDefault="00557C61" w:rsidP="00557C61">
      <w:r w:rsidRPr="0022140F">
        <w:t xml:space="preserve">At the time of the primary analysis, </w:t>
      </w:r>
      <w:proofErr w:type="spellStart"/>
      <w:r w:rsidRPr="0022140F">
        <w:t>angiomyolipoma</w:t>
      </w:r>
      <w:proofErr w:type="spellEnd"/>
      <w:r w:rsidRPr="0022140F">
        <w:t xml:space="preserve"> responses were only observed in the </w:t>
      </w:r>
      <w:proofErr w:type="spellStart"/>
      <w:r w:rsidRPr="0022140F">
        <w:t>everolimus</w:t>
      </w:r>
      <w:proofErr w:type="spellEnd"/>
      <w:r w:rsidRPr="0022140F">
        <w:t xml:space="preserve"> arm (n/N:16/30; 53.3%; 95% CI: 34.3, 71.7). At the time of final analysis, a</w:t>
      </w:r>
      <w:r w:rsidRPr="0022140F">
        <w:rPr>
          <w:bCs/>
          <w:szCs w:val="24"/>
        </w:rPr>
        <w:t xml:space="preserve">mong the 41 TSC-SEGA patients with an </w:t>
      </w:r>
      <w:proofErr w:type="spellStart"/>
      <w:r w:rsidRPr="0022140F">
        <w:rPr>
          <w:bCs/>
          <w:szCs w:val="24"/>
        </w:rPr>
        <w:t>angiomyolipoma</w:t>
      </w:r>
      <w:proofErr w:type="spellEnd"/>
      <w:r w:rsidRPr="0022140F">
        <w:rPr>
          <w:bCs/>
          <w:szCs w:val="24"/>
        </w:rPr>
        <w:t xml:space="preserve"> lesion(s) present at start</w:t>
      </w:r>
      <w:r w:rsidRPr="0022140F">
        <w:t xml:space="preserve"> </w:t>
      </w:r>
      <w:r w:rsidRPr="0022140F">
        <w:rPr>
          <w:bCs/>
          <w:szCs w:val="24"/>
        </w:rPr>
        <w:t xml:space="preserve">of treatment with </w:t>
      </w:r>
      <w:proofErr w:type="spellStart"/>
      <w:r w:rsidRPr="0022140F">
        <w:rPr>
          <w:bCs/>
          <w:szCs w:val="24"/>
        </w:rPr>
        <w:t>everolimus</w:t>
      </w:r>
      <w:proofErr w:type="spellEnd"/>
      <w:r w:rsidRPr="0022140F">
        <w:rPr>
          <w:bCs/>
          <w:szCs w:val="24"/>
        </w:rPr>
        <w:t xml:space="preserve">, </w:t>
      </w:r>
      <w:r w:rsidRPr="0022140F">
        <w:t xml:space="preserve">30 patients (73.2%; 95% CI: 57.1, 85.8) achieved, as their best overall response, at least a 50% reduction in sum of </w:t>
      </w:r>
      <w:proofErr w:type="spellStart"/>
      <w:r w:rsidRPr="0022140F">
        <w:t>angiomyolipoma</w:t>
      </w:r>
      <w:proofErr w:type="spellEnd"/>
      <w:r w:rsidRPr="0022140F">
        <w:t xml:space="preserve"> volumes. Among the 37 patients with evaluable </w:t>
      </w:r>
      <w:proofErr w:type="spellStart"/>
      <w:r w:rsidRPr="0022140F">
        <w:t>angiomyolipoma</w:t>
      </w:r>
      <w:proofErr w:type="spellEnd"/>
      <w:r w:rsidRPr="0022140F">
        <w:t xml:space="preserve"> tumour assessments, 35 patients (94.6%) experienced a reduction in the sum of target </w:t>
      </w:r>
      <w:proofErr w:type="spellStart"/>
      <w:r w:rsidRPr="0022140F">
        <w:t>angiomyolipoma</w:t>
      </w:r>
      <w:proofErr w:type="spellEnd"/>
      <w:r w:rsidRPr="0022140F">
        <w:t xml:space="preserve"> volumes relative to baseline as their best percentage change. </w:t>
      </w:r>
      <w:r w:rsidRPr="0022140F">
        <w:rPr>
          <w:bCs/>
          <w:szCs w:val="24"/>
        </w:rPr>
        <w:t>Over the entire duration of the study, n</w:t>
      </w:r>
      <w:r w:rsidRPr="0022140F">
        <w:t xml:space="preserve">o new </w:t>
      </w:r>
      <w:proofErr w:type="spellStart"/>
      <w:r w:rsidRPr="0022140F">
        <w:t>angiomyolipoma</w:t>
      </w:r>
      <w:proofErr w:type="spellEnd"/>
      <w:r w:rsidRPr="0022140F">
        <w:t xml:space="preserve"> lesions were observed, nor were instances of grade 2 or worse bleeding episodes reported.</w:t>
      </w:r>
    </w:p>
    <w:p w14:paraId="20D17697" w14:textId="77777777" w:rsidR="00557C61" w:rsidRPr="0022140F" w:rsidRDefault="00557C61" w:rsidP="00557C61">
      <w:pPr>
        <w:tabs>
          <w:tab w:val="left" w:pos="567"/>
        </w:tabs>
        <w:rPr>
          <w:sz w:val="24"/>
          <w:szCs w:val="24"/>
          <w:lang w:val="en-GB"/>
        </w:rPr>
      </w:pPr>
      <w:r w:rsidRPr="0022140F">
        <w:rPr>
          <w:b/>
          <w:sz w:val="24"/>
          <w:szCs w:val="24"/>
        </w:rPr>
        <w:t>Phase II trial in patients with TSC who have SEGA</w:t>
      </w:r>
    </w:p>
    <w:p w14:paraId="1EBF4AC3" w14:textId="77777777" w:rsidR="00557C61" w:rsidRPr="0022140F" w:rsidRDefault="00557C61" w:rsidP="00557C61">
      <w:pPr>
        <w:rPr>
          <w:lang w:val="en-GB"/>
        </w:rPr>
      </w:pPr>
      <w:r w:rsidRPr="0022140F">
        <w:rPr>
          <w:lang w:val="en-GB"/>
        </w:rPr>
        <w:t xml:space="preserve">Study CRAD001C2485, a prospective, open-label, single-arm trial was conducted to evaluate the safety and efficacy of </w:t>
      </w:r>
      <w:proofErr w:type="spellStart"/>
      <w:r w:rsidRPr="0022140F">
        <w:rPr>
          <w:lang w:val="en-GB"/>
        </w:rPr>
        <w:t>Afinitor</w:t>
      </w:r>
      <w:proofErr w:type="spellEnd"/>
      <w:r w:rsidRPr="0022140F">
        <w:rPr>
          <w:lang w:val="en-GB"/>
        </w:rPr>
        <w:t xml:space="preserve"> in patients with SEGA associated with TSC. Serial radiological evidence of SEGA growth was required for entry. </w:t>
      </w:r>
    </w:p>
    <w:p w14:paraId="2BA3CE64" w14:textId="77777777" w:rsidR="00557C61" w:rsidRPr="0022140F" w:rsidRDefault="00557C61" w:rsidP="00557C61">
      <w:pPr>
        <w:rPr>
          <w:lang w:val="en-GB"/>
        </w:rPr>
      </w:pPr>
      <w:r w:rsidRPr="0022140F">
        <w:rPr>
          <w:lang w:val="en-GB"/>
        </w:rPr>
        <w:t xml:space="preserve">Change in SEGA volume at the end of the core 6-month treatment phase was assessed via an independent central radiology review, was the primary efficacy endpoint. After the core treatment </w:t>
      </w:r>
      <w:r w:rsidRPr="0022140F">
        <w:rPr>
          <w:lang w:val="en-GB"/>
        </w:rPr>
        <w:lastRenderedPageBreak/>
        <w:t xml:space="preserve">phase, patients could continue to receive </w:t>
      </w:r>
      <w:proofErr w:type="spellStart"/>
      <w:r w:rsidRPr="0022140F">
        <w:rPr>
          <w:lang w:val="en-GB"/>
        </w:rPr>
        <w:t>Afinitor</w:t>
      </w:r>
      <w:proofErr w:type="spellEnd"/>
      <w:r w:rsidRPr="0022140F">
        <w:rPr>
          <w:lang w:val="en-GB"/>
        </w:rPr>
        <w:t xml:space="preserve"> treatment as part of an extension treatment phase where SEGA volume was assessed every 6 months. </w:t>
      </w:r>
    </w:p>
    <w:p w14:paraId="4631AAF8" w14:textId="77777777" w:rsidR="00557C61" w:rsidRPr="0022140F" w:rsidRDefault="00557C61" w:rsidP="00557C61">
      <w:pPr>
        <w:rPr>
          <w:szCs w:val="24"/>
          <w:lang w:val="en-GB"/>
        </w:rPr>
      </w:pPr>
      <w:r w:rsidRPr="0022140F">
        <w:rPr>
          <w:lang w:val="en-GB"/>
        </w:rPr>
        <w:t xml:space="preserve">In total, 28 patients received treatment with </w:t>
      </w:r>
      <w:proofErr w:type="spellStart"/>
      <w:r w:rsidRPr="0022140F">
        <w:rPr>
          <w:lang w:val="en-GB"/>
        </w:rPr>
        <w:t>Afinitor</w:t>
      </w:r>
      <w:proofErr w:type="spellEnd"/>
      <w:r w:rsidRPr="0022140F">
        <w:rPr>
          <w:lang w:val="en-GB"/>
        </w:rPr>
        <w:t xml:space="preserve">; median age was 11 years (range 3 to 34), 61% male, 86% Caucasian. Thirteen patients (46%) had a secondary smaller SEGA including 12 patients with SEGA in the contralateral ventricle. </w:t>
      </w:r>
      <w:r w:rsidRPr="0022140F">
        <w:rPr>
          <w:szCs w:val="24"/>
        </w:rPr>
        <w:t>Median duration of 67.8 months (range: 4.7 to 83.2 months).</w:t>
      </w:r>
    </w:p>
    <w:p w14:paraId="7A78C15C" w14:textId="584C49B8" w:rsidR="00557C61" w:rsidRPr="0022140F" w:rsidRDefault="00557C61" w:rsidP="00557C61">
      <w:pPr>
        <w:rPr>
          <w:lang w:val="en-GB"/>
        </w:rPr>
      </w:pPr>
      <w:proofErr w:type="spellStart"/>
      <w:r w:rsidRPr="0022140F">
        <w:rPr>
          <w:lang w:val="en-GB"/>
        </w:rPr>
        <w:t>Afinitor</w:t>
      </w:r>
      <w:proofErr w:type="spellEnd"/>
      <w:r w:rsidRPr="0022140F">
        <w:rPr>
          <w:lang w:val="en-GB"/>
        </w:rPr>
        <w:t xml:space="preserve"> was associated with a clinically relevant and statistically significant reduction in primary SEGA volume at 6 months relative to baseline (</w:t>
      </w:r>
      <w:r w:rsidRPr="0022140F">
        <w:rPr>
          <w:szCs w:val="24"/>
          <w:lang w:val="en-GB"/>
        </w:rPr>
        <w:t>median reduction of 0.80 cm</w:t>
      </w:r>
      <w:r w:rsidRPr="0022140F">
        <w:rPr>
          <w:szCs w:val="24"/>
          <w:vertAlign w:val="superscript"/>
          <w:lang w:val="en-GB"/>
        </w:rPr>
        <w:t>3</w:t>
      </w:r>
      <w:r w:rsidRPr="0022140F">
        <w:rPr>
          <w:szCs w:val="24"/>
          <w:lang w:val="en-GB"/>
        </w:rPr>
        <w:t xml:space="preserve">; </w:t>
      </w:r>
      <w:r w:rsidRPr="0022140F">
        <w:rPr>
          <w:szCs w:val="24"/>
        </w:rPr>
        <w:t>95% CI: 0.4, 1.2</w:t>
      </w:r>
      <w:r w:rsidRPr="0022140F">
        <w:rPr>
          <w:szCs w:val="24"/>
          <w:lang w:val="en-GB"/>
        </w:rPr>
        <w:t xml:space="preserve">; n=28; </w:t>
      </w:r>
      <w:r w:rsidRPr="0022140F">
        <w:rPr>
          <w:lang w:val="en-GB"/>
        </w:rPr>
        <w:t>p&lt;0.001</w:t>
      </w:r>
      <w:r w:rsidRPr="0022140F">
        <w:rPr>
          <w:szCs w:val="24"/>
          <w:lang w:val="en-GB"/>
        </w:rPr>
        <w:t xml:space="preserve">). Tumour shrinkage was most </w:t>
      </w:r>
      <w:r w:rsidRPr="0022140F">
        <w:rPr>
          <w:color w:val="000000"/>
          <w:szCs w:val="24"/>
          <w:lang w:val="en-GB"/>
        </w:rPr>
        <w:t xml:space="preserve">rapid during the initial 3 months of treatment with evidence of a sustained response at subsequent time </w:t>
      </w:r>
      <w:r w:rsidRPr="0022140F">
        <w:rPr>
          <w:szCs w:val="24"/>
          <w:lang w:val="en-GB"/>
        </w:rPr>
        <w:t>points (</w:t>
      </w:r>
      <w:r w:rsidRPr="0022140F">
        <w:rPr>
          <w:szCs w:val="24"/>
          <w:lang w:val="en-GB"/>
        </w:rPr>
        <w:fldChar w:fldCharType="begin"/>
      </w:r>
      <w:r w:rsidRPr="0022140F">
        <w:rPr>
          <w:szCs w:val="24"/>
          <w:lang w:val="en-GB"/>
        </w:rPr>
        <w:instrText xml:space="preserve"> REF _Ref491097012 \h  \* MERGEFORMAT </w:instrText>
      </w:r>
      <w:r w:rsidRPr="0022140F">
        <w:rPr>
          <w:szCs w:val="24"/>
          <w:lang w:val="en-GB"/>
        </w:rPr>
      </w:r>
      <w:r w:rsidRPr="0022140F">
        <w:rPr>
          <w:szCs w:val="24"/>
          <w:lang w:val="en-GB"/>
        </w:rPr>
        <w:fldChar w:fldCharType="separate"/>
      </w:r>
      <w:r w:rsidR="00D64407" w:rsidRPr="00D64407">
        <w:rPr>
          <w:szCs w:val="24"/>
          <w:lang w:val="en-GB"/>
        </w:rPr>
        <w:t>Table 19</w:t>
      </w:r>
      <w:r w:rsidRPr="0022140F">
        <w:rPr>
          <w:szCs w:val="24"/>
          <w:lang w:val="en-GB"/>
        </w:rPr>
        <w:fldChar w:fldCharType="end"/>
      </w:r>
      <w:r w:rsidRPr="0022140F">
        <w:rPr>
          <w:color w:val="000000"/>
          <w:szCs w:val="24"/>
          <w:lang w:val="en-GB"/>
        </w:rPr>
        <w:t>).</w:t>
      </w:r>
      <w:r w:rsidRPr="0022140F">
        <w:rPr>
          <w:color w:val="000000"/>
          <w:lang w:val="en-GB"/>
        </w:rPr>
        <w:t xml:space="preserve"> </w:t>
      </w:r>
      <w:r w:rsidRPr="0022140F">
        <w:rPr>
          <w:lang w:val="en-GB"/>
        </w:rPr>
        <w:t>At 6 months, 9 out of 28 patients (32%, 95% CI: 16% to 52%) had a ≥ 50% reduction in the tumour volume of their largest SEGA lesion (</w:t>
      </w:r>
      <w:r w:rsidRPr="0022140F">
        <w:rPr>
          <w:lang w:val="en-GB"/>
        </w:rPr>
        <w:fldChar w:fldCharType="begin"/>
      </w:r>
      <w:r w:rsidRPr="0022140F">
        <w:rPr>
          <w:lang w:val="en-GB"/>
        </w:rPr>
        <w:instrText xml:space="preserve"> REF _Ref491097012 \h  \* MERGEFORMAT </w:instrText>
      </w:r>
      <w:r w:rsidRPr="0022140F">
        <w:rPr>
          <w:lang w:val="en-GB"/>
        </w:rPr>
      </w:r>
      <w:r w:rsidRPr="0022140F">
        <w:rPr>
          <w:lang w:val="en-GB"/>
        </w:rPr>
        <w:fldChar w:fldCharType="separate"/>
      </w:r>
      <w:r w:rsidR="00D64407" w:rsidRPr="00D64407">
        <w:rPr>
          <w:lang w:val="en-GB"/>
        </w:rPr>
        <w:t>Table 19</w:t>
      </w:r>
      <w:r w:rsidRPr="0022140F">
        <w:rPr>
          <w:lang w:val="en-GB"/>
        </w:rPr>
        <w:fldChar w:fldCharType="end"/>
      </w:r>
      <w:r w:rsidRPr="0022140F">
        <w:rPr>
          <w:lang w:val="en-GB"/>
        </w:rPr>
        <w:t xml:space="preserve">). </w:t>
      </w:r>
    </w:p>
    <w:p w14:paraId="059EDB64" w14:textId="77777777" w:rsidR="00557C61" w:rsidRDefault="00557C61" w:rsidP="00557C61">
      <w:pPr>
        <w:rPr>
          <w:lang w:val="en-GB"/>
        </w:rPr>
      </w:pPr>
      <w:r w:rsidRPr="0022140F">
        <w:rPr>
          <w:lang w:val="en-GB"/>
        </w:rPr>
        <w:t>Three of 4 patients who had prior surgery experienced a ≥ 50% reduction in the tumour volume of their largest SEGA lesion. One of these three patients responded by month 6. No patient developed new lesions,</w:t>
      </w:r>
      <w:r w:rsidRPr="0022140F">
        <w:rPr>
          <w:color w:val="000000"/>
          <w:szCs w:val="24"/>
          <w:lang w:val="en-GB"/>
        </w:rPr>
        <w:t xml:space="preserve"> worsening</w:t>
      </w:r>
      <w:r w:rsidRPr="0022140F">
        <w:rPr>
          <w:szCs w:val="24"/>
          <w:lang w:val="en-GB"/>
        </w:rPr>
        <w:t xml:space="preserve"> hydrocephalus, increased intracranial pressure, and none required surgical resection or other therapy for SEGA</w:t>
      </w:r>
      <w:r w:rsidRPr="0022140F">
        <w:rPr>
          <w:lang w:val="en-GB"/>
        </w:rPr>
        <w:t xml:space="preserve">. </w:t>
      </w:r>
    </w:p>
    <w:p w14:paraId="3A532D45" w14:textId="77777777" w:rsidR="00557C61" w:rsidRDefault="00557C61" w:rsidP="00557C61">
      <w:pPr>
        <w:pStyle w:val="Caption"/>
        <w:keepNext/>
      </w:pPr>
      <w:bookmarkStart w:id="68" w:name="_Ref491097012"/>
      <w:r>
        <w:lastRenderedPageBreak/>
        <w:t xml:space="preserve">Table </w:t>
      </w:r>
      <w:r w:rsidR="002F78A4">
        <w:rPr>
          <w:noProof/>
        </w:rPr>
        <w:fldChar w:fldCharType="begin"/>
      </w:r>
      <w:r w:rsidR="002F78A4">
        <w:rPr>
          <w:noProof/>
        </w:rPr>
        <w:instrText xml:space="preserve"> SEQ Table \* ARABIC </w:instrText>
      </w:r>
      <w:r w:rsidR="002F78A4">
        <w:rPr>
          <w:noProof/>
        </w:rPr>
        <w:fldChar w:fldCharType="separate"/>
      </w:r>
      <w:r w:rsidR="00D64407">
        <w:rPr>
          <w:noProof/>
        </w:rPr>
        <w:t>19</w:t>
      </w:r>
      <w:r w:rsidR="002F78A4">
        <w:rPr>
          <w:noProof/>
        </w:rPr>
        <w:fldChar w:fldCharType="end"/>
      </w:r>
      <w:bookmarkEnd w:id="68"/>
      <w:r>
        <w:t xml:space="preserve"> </w:t>
      </w:r>
      <w:r>
        <w:tab/>
      </w:r>
      <w:r w:rsidRPr="00710539">
        <w:t xml:space="preserve">C2485 - Response of primary SEGA lesion to </w:t>
      </w:r>
      <w:proofErr w:type="spellStart"/>
      <w:r w:rsidRPr="00710539">
        <w:t>Afinitor</w:t>
      </w:r>
      <w:proofErr w:type="spellEnd"/>
      <w:r w:rsidRPr="00710539">
        <w:t xml:space="preserve"> therapy</w:t>
      </w:r>
    </w:p>
    <w:tbl>
      <w:tblPr>
        <w:tblW w:w="5000" w:type="pct"/>
        <w:tblBorders>
          <w:top w:val="single" w:sz="4" w:space="0" w:color="auto"/>
          <w:bottom w:val="single" w:sz="4" w:space="0" w:color="auto"/>
        </w:tblBorders>
        <w:tblLook w:val="0000" w:firstRow="0" w:lastRow="0" w:firstColumn="0" w:lastColumn="0" w:noHBand="0" w:noVBand="0"/>
      </w:tblPr>
      <w:tblGrid>
        <w:gridCol w:w="1770"/>
        <w:gridCol w:w="957"/>
        <w:gridCol w:w="787"/>
        <w:gridCol w:w="787"/>
        <w:gridCol w:w="787"/>
        <w:gridCol w:w="787"/>
        <w:gridCol w:w="787"/>
        <w:gridCol w:w="787"/>
        <w:gridCol w:w="1006"/>
        <w:gridCol w:w="787"/>
      </w:tblGrid>
      <w:tr w:rsidR="00557C61" w:rsidRPr="00F75BBF" w14:paraId="6AE7162D" w14:textId="77777777" w:rsidTr="006B2337">
        <w:trPr>
          <w:trHeight w:val="208"/>
          <w:tblHeader/>
        </w:trPr>
        <w:tc>
          <w:tcPr>
            <w:tcW w:w="962" w:type="pct"/>
            <w:tcBorders>
              <w:top w:val="single" w:sz="4" w:space="0" w:color="auto"/>
              <w:bottom w:val="nil"/>
            </w:tcBorders>
            <w:shd w:val="clear" w:color="auto" w:fill="auto"/>
          </w:tcPr>
          <w:p w14:paraId="23FC94C6" w14:textId="77777777" w:rsidR="00557C61" w:rsidRPr="00F75BBF" w:rsidRDefault="00557C61" w:rsidP="005362D8">
            <w:pPr>
              <w:pStyle w:val="Text"/>
              <w:keepNext/>
              <w:jc w:val="left"/>
              <w:rPr>
                <w:rFonts w:ascii="Arial" w:hAnsi="Arial"/>
                <w:b/>
                <w:sz w:val="18"/>
                <w:szCs w:val="18"/>
              </w:rPr>
            </w:pPr>
            <w:r w:rsidRPr="00F75BBF">
              <w:rPr>
                <w:rFonts w:ascii="Arial" w:hAnsi="Arial"/>
                <w:b/>
                <w:sz w:val="18"/>
                <w:szCs w:val="18"/>
              </w:rPr>
              <w:t>SEGA volume (cm3)</w:t>
            </w:r>
          </w:p>
        </w:tc>
        <w:tc>
          <w:tcPr>
            <w:tcW w:w="4038" w:type="pct"/>
            <w:gridSpan w:val="9"/>
            <w:tcBorders>
              <w:top w:val="single" w:sz="4" w:space="0" w:color="auto"/>
              <w:bottom w:val="nil"/>
            </w:tcBorders>
            <w:shd w:val="clear" w:color="auto" w:fill="auto"/>
          </w:tcPr>
          <w:p w14:paraId="2BE42834" w14:textId="77777777" w:rsidR="00557C61" w:rsidRPr="00F75BBF" w:rsidRDefault="00557C61" w:rsidP="005362D8">
            <w:pPr>
              <w:pStyle w:val="Text"/>
              <w:keepNext/>
              <w:jc w:val="center"/>
              <w:rPr>
                <w:rFonts w:ascii="Arial" w:hAnsi="Arial"/>
                <w:b/>
                <w:sz w:val="18"/>
                <w:szCs w:val="18"/>
              </w:rPr>
            </w:pPr>
            <w:r w:rsidRPr="00F75BBF">
              <w:rPr>
                <w:rFonts w:ascii="Arial" w:hAnsi="Arial"/>
                <w:b/>
                <w:sz w:val="18"/>
                <w:szCs w:val="18"/>
              </w:rPr>
              <w:t>Independent central review</w:t>
            </w:r>
          </w:p>
        </w:tc>
      </w:tr>
      <w:tr w:rsidR="00AB7C3A" w:rsidRPr="00F75BBF" w14:paraId="1FDDB4A1" w14:textId="77777777" w:rsidTr="005362D8">
        <w:trPr>
          <w:trHeight w:val="472"/>
          <w:tblHeader/>
        </w:trPr>
        <w:tc>
          <w:tcPr>
            <w:tcW w:w="962" w:type="pct"/>
            <w:tcBorders>
              <w:top w:val="nil"/>
              <w:bottom w:val="single" w:sz="4" w:space="0" w:color="auto"/>
            </w:tcBorders>
            <w:shd w:val="clear" w:color="auto" w:fill="auto"/>
          </w:tcPr>
          <w:p w14:paraId="3E4A9A88" w14:textId="77777777" w:rsidR="00557C61" w:rsidRPr="00F75BBF" w:rsidRDefault="00557C61" w:rsidP="005362D8">
            <w:pPr>
              <w:pStyle w:val="Text"/>
              <w:keepNext/>
              <w:jc w:val="left"/>
              <w:rPr>
                <w:rFonts w:ascii="Arial" w:hAnsi="Arial"/>
                <w:b/>
                <w:sz w:val="18"/>
                <w:szCs w:val="18"/>
              </w:rPr>
            </w:pPr>
          </w:p>
        </w:tc>
        <w:tc>
          <w:tcPr>
            <w:tcW w:w="515" w:type="pct"/>
            <w:tcBorders>
              <w:top w:val="nil"/>
              <w:bottom w:val="single" w:sz="4" w:space="0" w:color="auto"/>
            </w:tcBorders>
            <w:shd w:val="clear" w:color="auto" w:fill="auto"/>
          </w:tcPr>
          <w:p w14:paraId="4F1739AF" w14:textId="77777777" w:rsidR="00557C61" w:rsidRPr="00F75BBF" w:rsidRDefault="00557C61" w:rsidP="005362D8">
            <w:pPr>
              <w:pStyle w:val="Text"/>
              <w:keepNext/>
              <w:jc w:val="center"/>
              <w:rPr>
                <w:rFonts w:ascii="Arial" w:hAnsi="Arial"/>
                <w:b/>
                <w:sz w:val="18"/>
                <w:szCs w:val="18"/>
              </w:rPr>
            </w:pPr>
            <w:r w:rsidRPr="00F75BBF">
              <w:rPr>
                <w:rFonts w:ascii="Arial" w:hAnsi="Arial"/>
                <w:b/>
                <w:sz w:val="18"/>
                <w:szCs w:val="18"/>
              </w:rPr>
              <w:t>Baseline</w:t>
            </w:r>
            <w:r w:rsidRPr="00F75BBF">
              <w:rPr>
                <w:rFonts w:ascii="Arial" w:hAnsi="Arial"/>
                <w:b/>
                <w:sz w:val="18"/>
                <w:szCs w:val="18"/>
              </w:rPr>
              <w:br/>
              <w:t>N=28</w:t>
            </w:r>
          </w:p>
        </w:tc>
        <w:tc>
          <w:tcPr>
            <w:tcW w:w="426" w:type="pct"/>
            <w:tcBorders>
              <w:top w:val="nil"/>
              <w:bottom w:val="single" w:sz="4" w:space="0" w:color="auto"/>
            </w:tcBorders>
            <w:shd w:val="clear" w:color="auto" w:fill="auto"/>
          </w:tcPr>
          <w:p w14:paraId="490CC617" w14:textId="77777777" w:rsidR="00557C61" w:rsidRPr="00F75BBF" w:rsidRDefault="00557C61" w:rsidP="005362D8">
            <w:pPr>
              <w:pStyle w:val="Text"/>
              <w:keepNext/>
              <w:jc w:val="center"/>
              <w:rPr>
                <w:rFonts w:ascii="Arial" w:hAnsi="Arial"/>
                <w:b/>
                <w:sz w:val="18"/>
                <w:szCs w:val="18"/>
              </w:rPr>
            </w:pPr>
            <w:r w:rsidRPr="00F75BBF">
              <w:rPr>
                <w:rFonts w:ascii="Arial" w:hAnsi="Arial"/>
                <w:b/>
                <w:sz w:val="18"/>
                <w:szCs w:val="18"/>
              </w:rPr>
              <w:t>Month 3</w:t>
            </w:r>
            <w:r w:rsidRPr="00F75BBF">
              <w:rPr>
                <w:rFonts w:ascii="Arial" w:hAnsi="Arial"/>
                <w:b/>
                <w:sz w:val="18"/>
                <w:szCs w:val="18"/>
              </w:rPr>
              <w:br/>
              <w:t>N=26</w:t>
            </w:r>
          </w:p>
        </w:tc>
        <w:tc>
          <w:tcPr>
            <w:tcW w:w="426" w:type="pct"/>
            <w:tcBorders>
              <w:top w:val="nil"/>
              <w:bottom w:val="single" w:sz="4" w:space="0" w:color="auto"/>
            </w:tcBorders>
            <w:shd w:val="clear" w:color="auto" w:fill="auto"/>
          </w:tcPr>
          <w:p w14:paraId="0A184031" w14:textId="77777777" w:rsidR="00557C61" w:rsidRPr="00F75BBF" w:rsidRDefault="00557C61" w:rsidP="005362D8">
            <w:pPr>
              <w:pStyle w:val="Text"/>
              <w:keepNext/>
              <w:jc w:val="center"/>
              <w:rPr>
                <w:rFonts w:ascii="Arial" w:hAnsi="Arial"/>
                <w:b/>
                <w:sz w:val="18"/>
                <w:szCs w:val="18"/>
              </w:rPr>
            </w:pPr>
            <w:r w:rsidRPr="00F75BBF">
              <w:rPr>
                <w:rFonts w:ascii="Arial" w:hAnsi="Arial"/>
                <w:b/>
                <w:sz w:val="18"/>
                <w:szCs w:val="18"/>
              </w:rPr>
              <w:t>Month 6</w:t>
            </w:r>
            <w:r w:rsidRPr="00F75BBF">
              <w:rPr>
                <w:rFonts w:ascii="Arial" w:hAnsi="Arial"/>
                <w:b/>
                <w:sz w:val="18"/>
                <w:szCs w:val="18"/>
              </w:rPr>
              <w:br/>
              <w:t>N=27</w:t>
            </w:r>
          </w:p>
        </w:tc>
        <w:tc>
          <w:tcPr>
            <w:tcW w:w="427" w:type="pct"/>
            <w:tcBorders>
              <w:top w:val="nil"/>
              <w:bottom w:val="single" w:sz="4" w:space="0" w:color="auto"/>
            </w:tcBorders>
            <w:shd w:val="clear" w:color="auto" w:fill="auto"/>
          </w:tcPr>
          <w:p w14:paraId="5F63577D" w14:textId="77777777" w:rsidR="00557C61" w:rsidRPr="00F75BBF" w:rsidRDefault="00557C61" w:rsidP="005362D8">
            <w:pPr>
              <w:pStyle w:val="Text"/>
              <w:keepNext/>
              <w:jc w:val="center"/>
              <w:rPr>
                <w:rFonts w:ascii="Arial" w:hAnsi="Arial"/>
                <w:b/>
                <w:sz w:val="18"/>
                <w:szCs w:val="18"/>
              </w:rPr>
            </w:pPr>
            <w:r w:rsidRPr="00F75BBF">
              <w:rPr>
                <w:rFonts w:ascii="Arial" w:hAnsi="Arial"/>
                <w:b/>
                <w:sz w:val="18"/>
                <w:szCs w:val="18"/>
              </w:rPr>
              <w:t>Month 12</w:t>
            </w:r>
            <w:r w:rsidRPr="00F75BBF">
              <w:rPr>
                <w:rFonts w:ascii="Arial" w:hAnsi="Arial"/>
                <w:b/>
                <w:sz w:val="18"/>
                <w:szCs w:val="18"/>
              </w:rPr>
              <w:br/>
              <w:t>N=26</w:t>
            </w:r>
          </w:p>
        </w:tc>
        <w:tc>
          <w:tcPr>
            <w:tcW w:w="427" w:type="pct"/>
            <w:tcBorders>
              <w:top w:val="nil"/>
              <w:bottom w:val="single" w:sz="4" w:space="0" w:color="auto"/>
            </w:tcBorders>
            <w:shd w:val="clear" w:color="auto" w:fill="auto"/>
          </w:tcPr>
          <w:p w14:paraId="01203F64" w14:textId="77777777" w:rsidR="00557C61" w:rsidRPr="00F75BBF" w:rsidRDefault="00557C61" w:rsidP="005362D8">
            <w:pPr>
              <w:pStyle w:val="Text"/>
              <w:keepNext/>
              <w:jc w:val="center"/>
              <w:rPr>
                <w:rFonts w:ascii="Arial" w:hAnsi="Arial"/>
                <w:b/>
                <w:sz w:val="18"/>
                <w:szCs w:val="18"/>
              </w:rPr>
            </w:pPr>
            <w:r w:rsidRPr="00F75BBF">
              <w:rPr>
                <w:rFonts w:ascii="Arial" w:hAnsi="Arial"/>
                <w:b/>
                <w:sz w:val="18"/>
                <w:szCs w:val="18"/>
              </w:rPr>
              <w:t>Month 24</w:t>
            </w:r>
            <w:r w:rsidRPr="00F75BBF">
              <w:rPr>
                <w:rFonts w:ascii="Arial" w:hAnsi="Arial"/>
                <w:b/>
                <w:sz w:val="18"/>
                <w:szCs w:val="18"/>
              </w:rPr>
              <w:br/>
              <w:t>N=24</w:t>
            </w:r>
          </w:p>
        </w:tc>
        <w:tc>
          <w:tcPr>
            <w:tcW w:w="427" w:type="pct"/>
            <w:tcBorders>
              <w:top w:val="nil"/>
              <w:bottom w:val="single" w:sz="4" w:space="0" w:color="auto"/>
            </w:tcBorders>
            <w:shd w:val="clear" w:color="auto" w:fill="auto"/>
          </w:tcPr>
          <w:p w14:paraId="4D2C7ECC" w14:textId="77777777" w:rsidR="00557C61" w:rsidRPr="00F75BBF" w:rsidRDefault="00557C61" w:rsidP="005362D8">
            <w:pPr>
              <w:pStyle w:val="Text"/>
              <w:keepNext/>
              <w:jc w:val="center"/>
              <w:rPr>
                <w:rFonts w:ascii="Arial" w:hAnsi="Arial"/>
                <w:b/>
                <w:sz w:val="18"/>
                <w:szCs w:val="18"/>
              </w:rPr>
            </w:pPr>
            <w:r w:rsidRPr="00F75BBF">
              <w:rPr>
                <w:rFonts w:ascii="Arial" w:hAnsi="Arial"/>
                <w:b/>
                <w:sz w:val="18"/>
                <w:szCs w:val="18"/>
              </w:rPr>
              <w:t>Month 36</w:t>
            </w:r>
            <w:r w:rsidRPr="00F75BBF">
              <w:rPr>
                <w:rFonts w:ascii="Arial" w:hAnsi="Arial"/>
                <w:b/>
                <w:sz w:val="18"/>
                <w:szCs w:val="18"/>
              </w:rPr>
              <w:br/>
              <w:t>N=23</w:t>
            </w:r>
          </w:p>
        </w:tc>
        <w:tc>
          <w:tcPr>
            <w:tcW w:w="425" w:type="pct"/>
            <w:tcBorders>
              <w:top w:val="nil"/>
              <w:bottom w:val="single" w:sz="4" w:space="0" w:color="auto"/>
            </w:tcBorders>
            <w:vAlign w:val="bottom"/>
          </w:tcPr>
          <w:p w14:paraId="3F093D0A" w14:textId="77777777" w:rsidR="00557C61" w:rsidRPr="00F75BBF" w:rsidRDefault="00557C61" w:rsidP="005362D8">
            <w:pPr>
              <w:pStyle w:val="Text"/>
              <w:keepNext/>
              <w:jc w:val="center"/>
              <w:rPr>
                <w:rFonts w:ascii="Arial" w:hAnsi="Arial"/>
                <w:b/>
                <w:sz w:val="18"/>
                <w:szCs w:val="18"/>
              </w:rPr>
            </w:pPr>
            <w:r w:rsidRPr="00F75BBF">
              <w:rPr>
                <w:rFonts w:ascii="Arial" w:hAnsi="Arial"/>
                <w:b/>
                <w:sz w:val="18"/>
                <w:szCs w:val="18"/>
              </w:rPr>
              <w:t>Month 48 N=24</w:t>
            </w:r>
          </w:p>
        </w:tc>
        <w:tc>
          <w:tcPr>
            <w:tcW w:w="541" w:type="pct"/>
            <w:tcBorders>
              <w:top w:val="nil"/>
              <w:bottom w:val="single" w:sz="4" w:space="0" w:color="auto"/>
            </w:tcBorders>
          </w:tcPr>
          <w:p w14:paraId="60778145" w14:textId="77777777" w:rsidR="00557C61" w:rsidRPr="00F75BBF" w:rsidRDefault="00557C61" w:rsidP="005362D8">
            <w:pPr>
              <w:pStyle w:val="Text"/>
              <w:keepNext/>
              <w:jc w:val="center"/>
              <w:rPr>
                <w:rFonts w:ascii="Arial" w:hAnsi="Arial"/>
                <w:b/>
                <w:sz w:val="18"/>
                <w:szCs w:val="18"/>
              </w:rPr>
            </w:pPr>
            <w:r w:rsidRPr="00F75BBF">
              <w:rPr>
                <w:rFonts w:ascii="Arial" w:hAnsi="Arial"/>
                <w:b/>
                <w:sz w:val="18"/>
                <w:szCs w:val="18"/>
              </w:rPr>
              <w:t>Month 60 N=</w:t>
            </w:r>
            <w:r>
              <w:rPr>
                <w:rFonts w:ascii="Arial" w:hAnsi="Arial"/>
                <w:b/>
                <w:sz w:val="18"/>
                <w:szCs w:val="18"/>
              </w:rPr>
              <w:t>23</w:t>
            </w:r>
          </w:p>
        </w:tc>
        <w:tc>
          <w:tcPr>
            <w:tcW w:w="424" w:type="pct"/>
            <w:tcBorders>
              <w:top w:val="nil"/>
              <w:bottom w:val="single" w:sz="4" w:space="0" w:color="auto"/>
            </w:tcBorders>
          </w:tcPr>
          <w:p w14:paraId="63A72FB2" w14:textId="77777777" w:rsidR="00557C61" w:rsidRPr="00F75BBF" w:rsidRDefault="00557C61" w:rsidP="005362D8">
            <w:pPr>
              <w:pStyle w:val="Text"/>
              <w:keepNext/>
              <w:jc w:val="center"/>
              <w:rPr>
                <w:rFonts w:ascii="Arial" w:hAnsi="Arial"/>
                <w:b/>
                <w:sz w:val="18"/>
                <w:szCs w:val="18"/>
              </w:rPr>
            </w:pPr>
            <w:r>
              <w:rPr>
                <w:rFonts w:ascii="Arial" w:hAnsi="Arial"/>
                <w:b/>
                <w:sz w:val="18"/>
                <w:szCs w:val="18"/>
              </w:rPr>
              <w:t>Month 72 N=8</w:t>
            </w:r>
          </w:p>
        </w:tc>
      </w:tr>
      <w:tr w:rsidR="00AB7C3A" w:rsidRPr="00F75BBF" w14:paraId="2AB8A675" w14:textId="77777777" w:rsidTr="005362D8">
        <w:trPr>
          <w:trHeight w:val="304"/>
        </w:trPr>
        <w:tc>
          <w:tcPr>
            <w:tcW w:w="962" w:type="pct"/>
            <w:shd w:val="clear" w:color="auto" w:fill="auto"/>
          </w:tcPr>
          <w:p w14:paraId="17674CB9" w14:textId="77777777" w:rsidR="00557C61" w:rsidRPr="00F75BBF" w:rsidRDefault="00557C61" w:rsidP="005362D8">
            <w:pPr>
              <w:pStyle w:val="Text"/>
              <w:keepNext/>
              <w:jc w:val="left"/>
              <w:rPr>
                <w:rFonts w:ascii="Arial" w:hAnsi="Arial"/>
                <w:sz w:val="18"/>
                <w:szCs w:val="18"/>
              </w:rPr>
            </w:pPr>
            <w:r w:rsidRPr="00F75BBF">
              <w:rPr>
                <w:rFonts w:ascii="Arial" w:hAnsi="Arial"/>
                <w:b/>
                <w:sz w:val="18"/>
                <w:szCs w:val="18"/>
              </w:rPr>
              <w:t xml:space="preserve">Primary </w:t>
            </w:r>
            <w:r>
              <w:rPr>
                <w:rFonts w:ascii="Arial" w:hAnsi="Arial"/>
                <w:b/>
                <w:sz w:val="18"/>
                <w:szCs w:val="18"/>
              </w:rPr>
              <w:t>tumour</w:t>
            </w:r>
            <w:r w:rsidRPr="00F75BBF">
              <w:rPr>
                <w:rFonts w:ascii="Arial" w:hAnsi="Arial"/>
                <w:b/>
                <w:sz w:val="18"/>
                <w:szCs w:val="18"/>
              </w:rPr>
              <w:t xml:space="preserve"> volume</w:t>
            </w:r>
          </w:p>
        </w:tc>
        <w:tc>
          <w:tcPr>
            <w:tcW w:w="515" w:type="pct"/>
            <w:shd w:val="clear" w:color="auto" w:fill="auto"/>
          </w:tcPr>
          <w:p w14:paraId="70F70C94" w14:textId="77777777" w:rsidR="00557C61" w:rsidRPr="00F75BBF" w:rsidRDefault="00557C61" w:rsidP="005362D8">
            <w:pPr>
              <w:pStyle w:val="Text"/>
              <w:keepNext/>
              <w:jc w:val="center"/>
              <w:rPr>
                <w:rFonts w:ascii="Arial" w:hAnsi="Arial"/>
                <w:sz w:val="18"/>
                <w:szCs w:val="18"/>
              </w:rPr>
            </w:pPr>
          </w:p>
        </w:tc>
        <w:tc>
          <w:tcPr>
            <w:tcW w:w="426" w:type="pct"/>
            <w:shd w:val="clear" w:color="auto" w:fill="auto"/>
          </w:tcPr>
          <w:p w14:paraId="50AA6C85" w14:textId="77777777" w:rsidR="00557C61" w:rsidRPr="00F75BBF" w:rsidRDefault="00557C61" w:rsidP="005362D8">
            <w:pPr>
              <w:pStyle w:val="Text"/>
              <w:keepNext/>
              <w:jc w:val="center"/>
              <w:rPr>
                <w:rFonts w:ascii="Arial" w:hAnsi="Arial"/>
                <w:sz w:val="18"/>
                <w:szCs w:val="18"/>
              </w:rPr>
            </w:pPr>
          </w:p>
        </w:tc>
        <w:tc>
          <w:tcPr>
            <w:tcW w:w="426" w:type="pct"/>
            <w:shd w:val="clear" w:color="auto" w:fill="auto"/>
          </w:tcPr>
          <w:p w14:paraId="351213BE" w14:textId="77777777" w:rsidR="00557C61" w:rsidRPr="00F75BBF" w:rsidRDefault="00557C61" w:rsidP="005362D8">
            <w:pPr>
              <w:pStyle w:val="Text"/>
              <w:keepNext/>
              <w:jc w:val="center"/>
              <w:rPr>
                <w:rFonts w:ascii="Arial" w:hAnsi="Arial"/>
                <w:sz w:val="18"/>
                <w:szCs w:val="18"/>
              </w:rPr>
            </w:pPr>
          </w:p>
        </w:tc>
        <w:tc>
          <w:tcPr>
            <w:tcW w:w="427" w:type="pct"/>
            <w:shd w:val="clear" w:color="auto" w:fill="auto"/>
          </w:tcPr>
          <w:p w14:paraId="118C294E" w14:textId="77777777" w:rsidR="00557C61" w:rsidRPr="00F75BBF" w:rsidRDefault="00557C61" w:rsidP="005362D8">
            <w:pPr>
              <w:pStyle w:val="Text"/>
              <w:keepNext/>
              <w:jc w:val="center"/>
              <w:rPr>
                <w:rFonts w:ascii="Arial" w:hAnsi="Arial"/>
                <w:sz w:val="18"/>
                <w:szCs w:val="18"/>
              </w:rPr>
            </w:pPr>
          </w:p>
        </w:tc>
        <w:tc>
          <w:tcPr>
            <w:tcW w:w="427" w:type="pct"/>
            <w:shd w:val="clear" w:color="auto" w:fill="auto"/>
          </w:tcPr>
          <w:p w14:paraId="4919618A" w14:textId="77777777" w:rsidR="00557C61" w:rsidRPr="00F75BBF" w:rsidRDefault="00557C61" w:rsidP="005362D8">
            <w:pPr>
              <w:pStyle w:val="Text"/>
              <w:keepNext/>
              <w:jc w:val="center"/>
              <w:rPr>
                <w:rFonts w:ascii="Arial" w:hAnsi="Arial"/>
                <w:sz w:val="18"/>
                <w:szCs w:val="18"/>
              </w:rPr>
            </w:pPr>
          </w:p>
        </w:tc>
        <w:tc>
          <w:tcPr>
            <w:tcW w:w="427" w:type="pct"/>
            <w:shd w:val="clear" w:color="auto" w:fill="auto"/>
          </w:tcPr>
          <w:p w14:paraId="6DBFBA8E" w14:textId="77777777" w:rsidR="00557C61" w:rsidRPr="00F75BBF" w:rsidRDefault="00557C61" w:rsidP="005362D8">
            <w:pPr>
              <w:pStyle w:val="Text"/>
              <w:keepNext/>
              <w:jc w:val="center"/>
              <w:rPr>
                <w:rFonts w:ascii="Arial" w:hAnsi="Arial"/>
                <w:sz w:val="18"/>
                <w:szCs w:val="18"/>
              </w:rPr>
            </w:pPr>
          </w:p>
        </w:tc>
        <w:tc>
          <w:tcPr>
            <w:tcW w:w="425" w:type="pct"/>
            <w:vAlign w:val="bottom"/>
          </w:tcPr>
          <w:p w14:paraId="6F64C81A" w14:textId="77777777" w:rsidR="00557C61" w:rsidRPr="00F75BBF" w:rsidRDefault="00557C61" w:rsidP="005362D8">
            <w:pPr>
              <w:pStyle w:val="Text"/>
              <w:keepNext/>
              <w:jc w:val="center"/>
              <w:rPr>
                <w:rFonts w:ascii="Arial" w:hAnsi="Arial"/>
                <w:sz w:val="18"/>
                <w:szCs w:val="18"/>
              </w:rPr>
            </w:pPr>
          </w:p>
        </w:tc>
        <w:tc>
          <w:tcPr>
            <w:tcW w:w="541" w:type="pct"/>
          </w:tcPr>
          <w:p w14:paraId="085D8AA7" w14:textId="77777777" w:rsidR="00557C61" w:rsidRPr="00F75BBF" w:rsidRDefault="00557C61" w:rsidP="005362D8">
            <w:pPr>
              <w:pStyle w:val="Text"/>
              <w:keepNext/>
              <w:jc w:val="center"/>
              <w:rPr>
                <w:rFonts w:ascii="Arial" w:hAnsi="Arial"/>
                <w:sz w:val="18"/>
                <w:szCs w:val="18"/>
              </w:rPr>
            </w:pPr>
          </w:p>
        </w:tc>
        <w:tc>
          <w:tcPr>
            <w:tcW w:w="424" w:type="pct"/>
          </w:tcPr>
          <w:p w14:paraId="079CF03A" w14:textId="77777777" w:rsidR="00557C61" w:rsidRPr="00F75BBF" w:rsidRDefault="00557C61" w:rsidP="005362D8">
            <w:pPr>
              <w:pStyle w:val="Text"/>
              <w:keepNext/>
              <w:jc w:val="center"/>
              <w:rPr>
                <w:rFonts w:ascii="Arial" w:hAnsi="Arial"/>
                <w:sz w:val="18"/>
                <w:szCs w:val="18"/>
              </w:rPr>
            </w:pPr>
          </w:p>
        </w:tc>
      </w:tr>
      <w:tr w:rsidR="00AB7C3A" w:rsidRPr="00F75BBF" w14:paraId="4D8767EC" w14:textId="77777777" w:rsidTr="005362D8">
        <w:trPr>
          <w:trHeight w:val="304"/>
        </w:trPr>
        <w:tc>
          <w:tcPr>
            <w:tcW w:w="962" w:type="pct"/>
            <w:shd w:val="clear" w:color="auto" w:fill="auto"/>
          </w:tcPr>
          <w:p w14:paraId="08D691A0" w14:textId="77777777" w:rsidR="00557C61" w:rsidRPr="00F75BBF" w:rsidRDefault="00557C61" w:rsidP="005362D8">
            <w:pPr>
              <w:pStyle w:val="Text"/>
              <w:keepNext/>
              <w:jc w:val="left"/>
              <w:rPr>
                <w:rFonts w:ascii="Arial" w:hAnsi="Arial"/>
                <w:sz w:val="18"/>
                <w:szCs w:val="18"/>
              </w:rPr>
            </w:pPr>
            <w:r w:rsidRPr="00F75BBF">
              <w:rPr>
                <w:rFonts w:ascii="Arial" w:hAnsi="Arial"/>
                <w:sz w:val="18"/>
                <w:szCs w:val="18"/>
              </w:rPr>
              <w:t>Mean (standard deviation)</w:t>
            </w:r>
          </w:p>
        </w:tc>
        <w:tc>
          <w:tcPr>
            <w:tcW w:w="515" w:type="pct"/>
            <w:shd w:val="clear" w:color="auto" w:fill="auto"/>
          </w:tcPr>
          <w:p w14:paraId="2A9D66AA"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2.45 (2.813)</w:t>
            </w:r>
          </w:p>
        </w:tc>
        <w:tc>
          <w:tcPr>
            <w:tcW w:w="426" w:type="pct"/>
            <w:shd w:val="clear" w:color="auto" w:fill="auto"/>
          </w:tcPr>
          <w:p w14:paraId="737862CB"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1.47 (1.646)</w:t>
            </w:r>
          </w:p>
        </w:tc>
        <w:tc>
          <w:tcPr>
            <w:tcW w:w="426" w:type="pct"/>
            <w:shd w:val="clear" w:color="auto" w:fill="auto"/>
          </w:tcPr>
          <w:p w14:paraId="6C72FA2F"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1.33 (1.497)</w:t>
            </w:r>
          </w:p>
        </w:tc>
        <w:tc>
          <w:tcPr>
            <w:tcW w:w="427" w:type="pct"/>
            <w:shd w:val="clear" w:color="auto" w:fill="auto"/>
          </w:tcPr>
          <w:p w14:paraId="11F4C168"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1.26 (1.526)</w:t>
            </w:r>
          </w:p>
        </w:tc>
        <w:tc>
          <w:tcPr>
            <w:tcW w:w="427" w:type="pct"/>
            <w:shd w:val="clear" w:color="auto" w:fill="auto"/>
          </w:tcPr>
          <w:p w14:paraId="75AC6EA5"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1.19 (1.042)</w:t>
            </w:r>
          </w:p>
        </w:tc>
        <w:tc>
          <w:tcPr>
            <w:tcW w:w="427" w:type="pct"/>
            <w:shd w:val="clear" w:color="auto" w:fill="auto"/>
          </w:tcPr>
          <w:p w14:paraId="731DB529"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1.26 (1.298)</w:t>
            </w:r>
          </w:p>
        </w:tc>
        <w:tc>
          <w:tcPr>
            <w:tcW w:w="425" w:type="pct"/>
          </w:tcPr>
          <w:p w14:paraId="55BBE499"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1.16 (0.961)</w:t>
            </w:r>
          </w:p>
        </w:tc>
        <w:tc>
          <w:tcPr>
            <w:tcW w:w="541" w:type="pct"/>
          </w:tcPr>
          <w:p w14:paraId="243DA16B"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w:t>
            </w:r>
            <w:r>
              <w:rPr>
                <w:rFonts w:ascii="Arial" w:hAnsi="Arial"/>
                <w:sz w:val="18"/>
                <w:szCs w:val="18"/>
              </w:rPr>
              <w:t>24</w:t>
            </w:r>
            <w:r w:rsidRPr="00F75BBF">
              <w:rPr>
                <w:rFonts w:ascii="Arial" w:hAnsi="Arial"/>
                <w:sz w:val="18"/>
                <w:szCs w:val="18"/>
              </w:rPr>
              <w:t xml:space="preserve"> (0.</w:t>
            </w:r>
            <w:r>
              <w:rPr>
                <w:rFonts w:ascii="Arial" w:hAnsi="Arial"/>
                <w:sz w:val="18"/>
                <w:szCs w:val="18"/>
              </w:rPr>
              <w:t>959</w:t>
            </w:r>
            <w:r w:rsidRPr="00F75BBF">
              <w:rPr>
                <w:rFonts w:ascii="Arial" w:hAnsi="Arial"/>
                <w:sz w:val="18"/>
                <w:szCs w:val="18"/>
              </w:rPr>
              <w:t>)</w:t>
            </w:r>
          </w:p>
        </w:tc>
        <w:tc>
          <w:tcPr>
            <w:tcW w:w="424" w:type="pct"/>
          </w:tcPr>
          <w:p w14:paraId="6B66458F" w14:textId="77777777" w:rsidR="00557C61" w:rsidRPr="00F75BBF" w:rsidRDefault="00557C61" w:rsidP="005362D8">
            <w:pPr>
              <w:pStyle w:val="Text"/>
              <w:keepNext/>
              <w:jc w:val="center"/>
              <w:rPr>
                <w:rFonts w:ascii="Arial" w:hAnsi="Arial"/>
                <w:sz w:val="18"/>
                <w:szCs w:val="18"/>
              </w:rPr>
            </w:pPr>
            <w:r>
              <w:rPr>
                <w:rFonts w:ascii="Arial" w:hAnsi="Arial"/>
                <w:sz w:val="18"/>
                <w:szCs w:val="18"/>
              </w:rPr>
              <w:t>1.24 (1.004)</w:t>
            </w:r>
          </w:p>
        </w:tc>
      </w:tr>
      <w:tr w:rsidR="00AB7C3A" w:rsidRPr="00F75BBF" w14:paraId="0DC4500E" w14:textId="77777777" w:rsidTr="005362D8">
        <w:trPr>
          <w:trHeight w:val="304"/>
        </w:trPr>
        <w:tc>
          <w:tcPr>
            <w:tcW w:w="962" w:type="pct"/>
            <w:shd w:val="clear" w:color="auto" w:fill="auto"/>
          </w:tcPr>
          <w:p w14:paraId="5EAAB501" w14:textId="77777777" w:rsidR="00557C61" w:rsidRPr="00F75BBF" w:rsidRDefault="00557C61" w:rsidP="005362D8">
            <w:pPr>
              <w:pStyle w:val="Text"/>
              <w:keepNext/>
              <w:jc w:val="left"/>
              <w:rPr>
                <w:rFonts w:ascii="Arial" w:hAnsi="Arial"/>
                <w:sz w:val="18"/>
                <w:szCs w:val="18"/>
              </w:rPr>
            </w:pPr>
            <w:r w:rsidRPr="00F75BBF">
              <w:rPr>
                <w:rFonts w:ascii="Arial" w:hAnsi="Arial"/>
                <w:sz w:val="18"/>
                <w:szCs w:val="18"/>
              </w:rPr>
              <w:t>Median</w:t>
            </w:r>
          </w:p>
        </w:tc>
        <w:tc>
          <w:tcPr>
            <w:tcW w:w="515" w:type="pct"/>
            <w:shd w:val="clear" w:color="auto" w:fill="auto"/>
          </w:tcPr>
          <w:p w14:paraId="55EED342"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1.74</w:t>
            </w:r>
          </w:p>
        </w:tc>
        <w:tc>
          <w:tcPr>
            <w:tcW w:w="426" w:type="pct"/>
            <w:shd w:val="clear" w:color="auto" w:fill="auto"/>
          </w:tcPr>
          <w:p w14:paraId="462B7A65"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0.84</w:t>
            </w:r>
          </w:p>
        </w:tc>
        <w:tc>
          <w:tcPr>
            <w:tcW w:w="426" w:type="pct"/>
            <w:shd w:val="clear" w:color="auto" w:fill="auto"/>
          </w:tcPr>
          <w:p w14:paraId="0D03525B"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0.93</w:t>
            </w:r>
          </w:p>
        </w:tc>
        <w:tc>
          <w:tcPr>
            <w:tcW w:w="427" w:type="pct"/>
            <w:shd w:val="clear" w:color="auto" w:fill="auto"/>
          </w:tcPr>
          <w:p w14:paraId="537B227B"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0.84</w:t>
            </w:r>
          </w:p>
        </w:tc>
        <w:tc>
          <w:tcPr>
            <w:tcW w:w="427" w:type="pct"/>
            <w:shd w:val="clear" w:color="auto" w:fill="auto"/>
          </w:tcPr>
          <w:p w14:paraId="35E6B614"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0.94</w:t>
            </w:r>
          </w:p>
        </w:tc>
        <w:tc>
          <w:tcPr>
            <w:tcW w:w="427" w:type="pct"/>
            <w:shd w:val="clear" w:color="auto" w:fill="auto"/>
          </w:tcPr>
          <w:p w14:paraId="6EE3FE98"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1.12</w:t>
            </w:r>
          </w:p>
        </w:tc>
        <w:tc>
          <w:tcPr>
            <w:tcW w:w="425" w:type="pct"/>
          </w:tcPr>
          <w:p w14:paraId="3BAB0B8C"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1.02</w:t>
            </w:r>
          </w:p>
          <w:p w14:paraId="2BE6DD4A" w14:textId="77777777" w:rsidR="00557C61" w:rsidRPr="00F75BBF" w:rsidRDefault="00557C61" w:rsidP="005362D8">
            <w:pPr>
              <w:pStyle w:val="Text"/>
              <w:keepNext/>
              <w:jc w:val="center"/>
              <w:rPr>
                <w:rFonts w:ascii="Arial" w:hAnsi="Arial"/>
                <w:sz w:val="18"/>
                <w:szCs w:val="18"/>
              </w:rPr>
            </w:pPr>
          </w:p>
        </w:tc>
        <w:tc>
          <w:tcPr>
            <w:tcW w:w="541" w:type="pct"/>
          </w:tcPr>
          <w:p w14:paraId="52C43B25"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1.17</w:t>
            </w:r>
          </w:p>
        </w:tc>
        <w:tc>
          <w:tcPr>
            <w:tcW w:w="424" w:type="pct"/>
          </w:tcPr>
          <w:p w14:paraId="4D1DDD6C" w14:textId="77777777" w:rsidR="00557C61" w:rsidRPr="00F75BBF" w:rsidRDefault="00557C61" w:rsidP="005362D8">
            <w:pPr>
              <w:pStyle w:val="Text"/>
              <w:keepNext/>
              <w:jc w:val="center"/>
              <w:rPr>
                <w:rFonts w:ascii="Arial" w:hAnsi="Arial"/>
                <w:sz w:val="18"/>
                <w:szCs w:val="18"/>
              </w:rPr>
            </w:pPr>
            <w:r>
              <w:rPr>
                <w:rFonts w:ascii="Arial" w:hAnsi="Arial"/>
                <w:sz w:val="18"/>
                <w:szCs w:val="18"/>
              </w:rPr>
              <w:t>0.81</w:t>
            </w:r>
          </w:p>
        </w:tc>
      </w:tr>
      <w:tr w:rsidR="00AB7C3A" w:rsidRPr="00F75BBF" w14:paraId="21AB757A" w14:textId="77777777" w:rsidTr="005362D8">
        <w:trPr>
          <w:trHeight w:val="304"/>
        </w:trPr>
        <w:tc>
          <w:tcPr>
            <w:tcW w:w="962" w:type="pct"/>
            <w:shd w:val="clear" w:color="auto" w:fill="auto"/>
          </w:tcPr>
          <w:p w14:paraId="3F3FD811" w14:textId="77777777" w:rsidR="00557C61" w:rsidRPr="00F75BBF" w:rsidRDefault="00557C61" w:rsidP="005362D8">
            <w:pPr>
              <w:pStyle w:val="Text"/>
              <w:keepNext/>
              <w:jc w:val="left"/>
              <w:rPr>
                <w:rFonts w:ascii="Arial" w:hAnsi="Arial"/>
                <w:sz w:val="18"/>
                <w:szCs w:val="18"/>
              </w:rPr>
            </w:pPr>
            <w:r w:rsidRPr="00F75BBF">
              <w:rPr>
                <w:rFonts w:ascii="Arial" w:hAnsi="Arial"/>
                <w:sz w:val="18"/>
                <w:szCs w:val="18"/>
              </w:rPr>
              <w:tab/>
              <w:t>Range</w:t>
            </w:r>
          </w:p>
        </w:tc>
        <w:tc>
          <w:tcPr>
            <w:tcW w:w="515" w:type="pct"/>
            <w:shd w:val="clear" w:color="auto" w:fill="auto"/>
          </w:tcPr>
          <w:p w14:paraId="0F50D9BF"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0.49 - 14.23</w:t>
            </w:r>
          </w:p>
        </w:tc>
        <w:tc>
          <w:tcPr>
            <w:tcW w:w="426" w:type="pct"/>
            <w:shd w:val="clear" w:color="auto" w:fill="auto"/>
          </w:tcPr>
          <w:p w14:paraId="2BBE3880"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0.25 - 8.32</w:t>
            </w:r>
          </w:p>
        </w:tc>
        <w:tc>
          <w:tcPr>
            <w:tcW w:w="426" w:type="pct"/>
            <w:shd w:val="clear" w:color="auto" w:fill="auto"/>
          </w:tcPr>
          <w:p w14:paraId="3B8A3E3F"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0.31 - 7.98</w:t>
            </w:r>
          </w:p>
        </w:tc>
        <w:tc>
          <w:tcPr>
            <w:tcW w:w="427" w:type="pct"/>
            <w:shd w:val="clear" w:color="auto" w:fill="auto"/>
          </w:tcPr>
          <w:p w14:paraId="4182D61F"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0.29 - 8.18</w:t>
            </w:r>
          </w:p>
        </w:tc>
        <w:tc>
          <w:tcPr>
            <w:tcW w:w="427" w:type="pct"/>
            <w:shd w:val="clear" w:color="auto" w:fill="auto"/>
          </w:tcPr>
          <w:p w14:paraId="535D37EE"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0.20 - 4.63</w:t>
            </w:r>
          </w:p>
        </w:tc>
        <w:tc>
          <w:tcPr>
            <w:tcW w:w="427" w:type="pct"/>
            <w:shd w:val="clear" w:color="auto" w:fill="auto"/>
          </w:tcPr>
          <w:p w14:paraId="3A37890B"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0.22 - 6.52</w:t>
            </w:r>
          </w:p>
        </w:tc>
        <w:tc>
          <w:tcPr>
            <w:tcW w:w="425" w:type="pct"/>
          </w:tcPr>
          <w:p w14:paraId="7F912DD4"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0.18 - 4.19</w:t>
            </w:r>
          </w:p>
        </w:tc>
        <w:tc>
          <w:tcPr>
            <w:tcW w:w="541" w:type="pct"/>
          </w:tcPr>
          <w:p w14:paraId="7F981F1D"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 xml:space="preserve">0.21 </w:t>
            </w:r>
            <w:r>
              <w:rPr>
                <w:rFonts w:ascii="Arial" w:hAnsi="Arial"/>
                <w:sz w:val="18"/>
                <w:szCs w:val="18"/>
              </w:rPr>
              <w:t>–</w:t>
            </w:r>
            <w:r w:rsidRPr="00F75BBF">
              <w:rPr>
                <w:rFonts w:ascii="Arial" w:hAnsi="Arial"/>
                <w:sz w:val="18"/>
                <w:szCs w:val="18"/>
              </w:rPr>
              <w:t xml:space="preserve"> </w:t>
            </w:r>
            <w:r>
              <w:rPr>
                <w:rFonts w:ascii="Arial" w:hAnsi="Arial"/>
                <w:sz w:val="18"/>
                <w:szCs w:val="18"/>
              </w:rPr>
              <w:t>4.39</w:t>
            </w:r>
          </w:p>
        </w:tc>
        <w:tc>
          <w:tcPr>
            <w:tcW w:w="424" w:type="pct"/>
          </w:tcPr>
          <w:p w14:paraId="09EE9A8B" w14:textId="77777777" w:rsidR="00557C61" w:rsidRPr="00F75BBF" w:rsidRDefault="00557C61" w:rsidP="005362D8">
            <w:pPr>
              <w:pStyle w:val="Text"/>
              <w:keepNext/>
              <w:jc w:val="center"/>
              <w:rPr>
                <w:rFonts w:ascii="Arial" w:hAnsi="Arial"/>
                <w:sz w:val="18"/>
                <w:szCs w:val="18"/>
              </w:rPr>
            </w:pPr>
            <w:r>
              <w:rPr>
                <w:rFonts w:ascii="Arial" w:hAnsi="Arial"/>
                <w:sz w:val="18"/>
                <w:szCs w:val="18"/>
              </w:rPr>
              <w:t>0.35 – 2.94</w:t>
            </w:r>
          </w:p>
        </w:tc>
      </w:tr>
      <w:tr w:rsidR="00AB7C3A" w:rsidRPr="00F75BBF" w14:paraId="20E5504E" w14:textId="77777777" w:rsidTr="005362D8">
        <w:trPr>
          <w:trHeight w:val="304"/>
        </w:trPr>
        <w:tc>
          <w:tcPr>
            <w:tcW w:w="962" w:type="pct"/>
            <w:shd w:val="clear" w:color="auto" w:fill="auto"/>
          </w:tcPr>
          <w:p w14:paraId="49C69EE3" w14:textId="77777777" w:rsidR="00557C61" w:rsidRPr="00F75BBF" w:rsidRDefault="00557C61" w:rsidP="005362D8">
            <w:pPr>
              <w:pStyle w:val="Text"/>
              <w:keepNext/>
              <w:jc w:val="left"/>
              <w:rPr>
                <w:rFonts w:ascii="Arial" w:hAnsi="Arial"/>
                <w:sz w:val="18"/>
                <w:szCs w:val="18"/>
              </w:rPr>
            </w:pPr>
            <w:r w:rsidRPr="00F75BBF">
              <w:rPr>
                <w:rFonts w:ascii="Arial" w:hAnsi="Arial"/>
                <w:b/>
                <w:sz w:val="18"/>
                <w:szCs w:val="18"/>
              </w:rPr>
              <w:t>Reduction from baseline</w:t>
            </w:r>
          </w:p>
        </w:tc>
        <w:tc>
          <w:tcPr>
            <w:tcW w:w="515" w:type="pct"/>
            <w:shd w:val="clear" w:color="auto" w:fill="auto"/>
          </w:tcPr>
          <w:p w14:paraId="63CA54F0" w14:textId="77777777" w:rsidR="00557C61" w:rsidRPr="00F75BBF" w:rsidRDefault="00557C61" w:rsidP="005362D8">
            <w:pPr>
              <w:pStyle w:val="Text"/>
              <w:keepNext/>
              <w:rPr>
                <w:rFonts w:ascii="Arial" w:hAnsi="Arial"/>
                <w:sz w:val="18"/>
                <w:szCs w:val="18"/>
              </w:rPr>
            </w:pPr>
          </w:p>
        </w:tc>
        <w:tc>
          <w:tcPr>
            <w:tcW w:w="426" w:type="pct"/>
            <w:shd w:val="clear" w:color="auto" w:fill="auto"/>
          </w:tcPr>
          <w:p w14:paraId="6429594C" w14:textId="77777777" w:rsidR="00557C61" w:rsidRPr="00F75BBF" w:rsidRDefault="00557C61" w:rsidP="005362D8">
            <w:pPr>
              <w:pStyle w:val="Text"/>
              <w:keepNext/>
              <w:jc w:val="center"/>
              <w:rPr>
                <w:rFonts w:ascii="Arial" w:hAnsi="Arial"/>
                <w:sz w:val="18"/>
                <w:szCs w:val="18"/>
              </w:rPr>
            </w:pPr>
          </w:p>
        </w:tc>
        <w:tc>
          <w:tcPr>
            <w:tcW w:w="426" w:type="pct"/>
            <w:shd w:val="clear" w:color="auto" w:fill="auto"/>
          </w:tcPr>
          <w:p w14:paraId="215397D8" w14:textId="77777777" w:rsidR="00557C61" w:rsidRPr="00F75BBF" w:rsidRDefault="00557C61" w:rsidP="005362D8">
            <w:pPr>
              <w:pStyle w:val="Text"/>
              <w:keepNext/>
              <w:jc w:val="center"/>
              <w:rPr>
                <w:rFonts w:ascii="Arial" w:hAnsi="Arial"/>
                <w:sz w:val="18"/>
                <w:szCs w:val="18"/>
              </w:rPr>
            </w:pPr>
          </w:p>
        </w:tc>
        <w:tc>
          <w:tcPr>
            <w:tcW w:w="427" w:type="pct"/>
            <w:shd w:val="clear" w:color="auto" w:fill="auto"/>
          </w:tcPr>
          <w:p w14:paraId="1EF50E24" w14:textId="77777777" w:rsidR="00557C61" w:rsidRPr="00F75BBF" w:rsidRDefault="00557C61" w:rsidP="005362D8">
            <w:pPr>
              <w:pStyle w:val="Text"/>
              <w:keepNext/>
              <w:jc w:val="center"/>
              <w:rPr>
                <w:rFonts w:ascii="Arial" w:hAnsi="Arial"/>
                <w:sz w:val="18"/>
                <w:szCs w:val="18"/>
              </w:rPr>
            </w:pPr>
          </w:p>
        </w:tc>
        <w:tc>
          <w:tcPr>
            <w:tcW w:w="427" w:type="pct"/>
            <w:shd w:val="clear" w:color="auto" w:fill="auto"/>
          </w:tcPr>
          <w:p w14:paraId="3A2C384C" w14:textId="77777777" w:rsidR="00557C61" w:rsidRPr="00F75BBF" w:rsidRDefault="00557C61" w:rsidP="005362D8">
            <w:pPr>
              <w:pStyle w:val="Text"/>
              <w:keepNext/>
              <w:jc w:val="center"/>
              <w:rPr>
                <w:rFonts w:ascii="Arial" w:hAnsi="Arial"/>
                <w:sz w:val="18"/>
                <w:szCs w:val="18"/>
              </w:rPr>
            </w:pPr>
          </w:p>
        </w:tc>
        <w:tc>
          <w:tcPr>
            <w:tcW w:w="427" w:type="pct"/>
            <w:shd w:val="clear" w:color="auto" w:fill="auto"/>
          </w:tcPr>
          <w:p w14:paraId="4D787E72" w14:textId="77777777" w:rsidR="00557C61" w:rsidRPr="00F75BBF" w:rsidRDefault="00557C61" w:rsidP="005362D8">
            <w:pPr>
              <w:pStyle w:val="Text"/>
              <w:keepNext/>
              <w:jc w:val="center"/>
              <w:rPr>
                <w:rFonts w:ascii="Arial" w:hAnsi="Arial"/>
                <w:sz w:val="18"/>
                <w:szCs w:val="18"/>
              </w:rPr>
            </w:pPr>
          </w:p>
        </w:tc>
        <w:tc>
          <w:tcPr>
            <w:tcW w:w="425" w:type="pct"/>
          </w:tcPr>
          <w:p w14:paraId="2297B628" w14:textId="77777777" w:rsidR="00557C61" w:rsidRPr="00F75BBF" w:rsidRDefault="00557C61" w:rsidP="005362D8">
            <w:pPr>
              <w:pStyle w:val="Text"/>
              <w:keepNext/>
              <w:jc w:val="center"/>
              <w:rPr>
                <w:rFonts w:ascii="Arial" w:hAnsi="Arial"/>
                <w:sz w:val="18"/>
                <w:szCs w:val="18"/>
              </w:rPr>
            </w:pPr>
          </w:p>
        </w:tc>
        <w:tc>
          <w:tcPr>
            <w:tcW w:w="541" w:type="pct"/>
          </w:tcPr>
          <w:p w14:paraId="3133CEBC" w14:textId="77777777" w:rsidR="00557C61" w:rsidRPr="00F75BBF" w:rsidRDefault="00557C61" w:rsidP="005362D8">
            <w:pPr>
              <w:pStyle w:val="Text"/>
              <w:keepNext/>
              <w:jc w:val="center"/>
              <w:rPr>
                <w:rFonts w:ascii="Arial" w:hAnsi="Arial"/>
                <w:sz w:val="18"/>
                <w:szCs w:val="18"/>
              </w:rPr>
            </w:pPr>
          </w:p>
        </w:tc>
        <w:tc>
          <w:tcPr>
            <w:tcW w:w="424" w:type="pct"/>
          </w:tcPr>
          <w:p w14:paraId="2B8ED099" w14:textId="77777777" w:rsidR="00557C61" w:rsidRPr="00F75BBF" w:rsidRDefault="00557C61" w:rsidP="005362D8">
            <w:pPr>
              <w:pStyle w:val="Text"/>
              <w:keepNext/>
              <w:jc w:val="center"/>
              <w:rPr>
                <w:rFonts w:ascii="Arial" w:hAnsi="Arial"/>
                <w:sz w:val="18"/>
                <w:szCs w:val="18"/>
              </w:rPr>
            </w:pPr>
          </w:p>
        </w:tc>
      </w:tr>
      <w:tr w:rsidR="00AB7C3A" w:rsidRPr="00F75BBF" w14:paraId="4B85CCF8" w14:textId="77777777" w:rsidTr="005362D8">
        <w:trPr>
          <w:trHeight w:val="304"/>
        </w:trPr>
        <w:tc>
          <w:tcPr>
            <w:tcW w:w="962" w:type="pct"/>
            <w:shd w:val="clear" w:color="auto" w:fill="auto"/>
          </w:tcPr>
          <w:p w14:paraId="18468832" w14:textId="77777777" w:rsidR="00557C61" w:rsidRPr="00F75BBF" w:rsidRDefault="00557C61" w:rsidP="005362D8">
            <w:pPr>
              <w:pStyle w:val="Text"/>
              <w:keepNext/>
              <w:jc w:val="left"/>
              <w:rPr>
                <w:rFonts w:ascii="Arial" w:hAnsi="Arial"/>
                <w:sz w:val="18"/>
                <w:szCs w:val="18"/>
              </w:rPr>
            </w:pPr>
            <w:r w:rsidRPr="00F75BBF">
              <w:rPr>
                <w:rFonts w:ascii="Arial" w:hAnsi="Arial"/>
                <w:sz w:val="18"/>
                <w:szCs w:val="18"/>
              </w:rPr>
              <w:t>Mean (standard deviation)</w:t>
            </w:r>
          </w:p>
        </w:tc>
        <w:tc>
          <w:tcPr>
            <w:tcW w:w="515" w:type="pct"/>
            <w:shd w:val="clear" w:color="auto" w:fill="auto"/>
          </w:tcPr>
          <w:p w14:paraId="64E3A10E" w14:textId="77777777" w:rsidR="00557C61" w:rsidRPr="00F75BBF" w:rsidRDefault="00557C61" w:rsidP="005362D8">
            <w:pPr>
              <w:pStyle w:val="Text"/>
              <w:keepNext/>
              <w:rPr>
                <w:rFonts w:ascii="Arial" w:hAnsi="Arial"/>
                <w:sz w:val="18"/>
                <w:szCs w:val="18"/>
              </w:rPr>
            </w:pPr>
          </w:p>
        </w:tc>
        <w:tc>
          <w:tcPr>
            <w:tcW w:w="426" w:type="pct"/>
            <w:shd w:val="clear" w:color="auto" w:fill="auto"/>
          </w:tcPr>
          <w:p w14:paraId="0BA68D73"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1.08 (1.338)</w:t>
            </w:r>
          </w:p>
        </w:tc>
        <w:tc>
          <w:tcPr>
            <w:tcW w:w="426" w:type="pct"/>
            <w:shd w:val="clear" w:color="auto" w:fill="auto"/>
          </w:tcPr>
          <w:p w14:paraId="0F8D35D2"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1.19 (1.433)</w:t>
            </w:r>
          </w:p>
        </w:tc>
        <w:tc>
          <w:tcPr>
            <w:tcW w:w="427" w:type="pct"/>
            <w:shd w:val="clear" w:color="auto" w:fill="auto"/>
          </w:tcPr>
          <w:p w14:paraId="37565FE1"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1.07 (1.276)</w:t>
            </w:r>
          </w:p>
        </w:tc>
        <w:tc>
          <w:tcPr>
            <w:tcW w:w="427" w:type="pct"/>
            <w:shd w:val="clear" w:color="auto" w:fill="auto"/>
          </w:tcPr>
          <w:p w14:paraId="07A9031F"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1.25 (1.994)</w:t>
            </w:r>
          </w:p>
        </w:tc>
        <w:tc>
          <w:tcPr>
            <w:tcW w:w="427" w:type="pct"/>
            <w:shd w:val="clear" w:color="auto" w:fill="auto"/>
          </w:tcPr>
          <w:p w14:paraId="79E98191"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1.41 (1.814)</w:t>
            </w:r>
          </w:p>
        </w:tc>
        <w:tc>
          <w:tcPr>
            <w:tcW w:w="425" w:type="pct"/>
          </w:tcPr>
          <w:p w14:paraId="0E1C988E"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1.43 (2.267)</w:t>
            </w:r>
          </w:p>
        </w:tc>
        <w:tc>
          <w:tcPr>
            <w:tcW w:w="541" w:type="pct"/>
          </w:tcPr>
          <w:p w14:paraId="7A15433E"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w:t>
            </w:r>
            <w:r>
              <w:rPr>
                <w:rFonts w:ascii="Arial" w:hAnsi="Arial"/>
                <w:sz w:val="18"/>
                <w:szCs w:val="18"/>
              </w:rPr>
              <w:t>44</w:t>
            </w:r>
            <w:r w:rsidRPr="00F75BBF">
              <w:rPr>
                <w:rFonts w:ascii="Arial" w:hAnsi="Arial"/>
                <w:sz w:val="18"/>
                <w:szCs w:val="18"/>
              </w:rPr>
              <w:t xml:space="preserve"> (</w:t>
            </w:r>
            <w:r>
              <w:rPr>
                <w:rFonts w:ascii="Arial" w:hAnsi="Arial"/>
                <w:sz w:val="18"/>
                <w:szCs w:val="18"/>
              </w:rPr>
              <w:t>2</w:t>
            </w:r>
            <w:r w:rsidRPr="00F75BBF">
              <w:rPr>
                <w:rFonts w:ascii="Arial" w:hAnsi="Arial"/>
                <w:sz w:val="18"/>
                <w:szCs w:val="18"/>
              </w:rPr>
              <w:t>.</w:t>
            </w:r>
            <w:r>
              <w:rPr>
                <w:rFonts w:ascii="Arial" w:hAnsi="Arial"/>
                <w:sz w:val="18"/>
                <w:szCs w:val="18"/>
              </w:rPr>
              <w:t>230</w:t>
            </w:r>
            <w:r w:rsidRPr="00F75BBF">
              <w:rPr>
                <w:rFonts w:ascii="Arial" w:hAnsi="Arial"/>
                <w:sz w:val="18"/>
                <w:szCs w:val="18"/>
              </w:rPr>
              <w:t>)</w:t>
            </w:r>
          </w:p>
        </w:tc>
        <w:tc>
          <w:tcPr>
            <w:tcW w:w="424" w:type="pct"/>
          </w:tcPr>
          <w:p w14:paraId="1CC1A28D" w14:textId="77777777" w:rsidR="00557C61" w:rsidRPr="00F75BBF" w:rsidRDefault="00557C61" w:rsidP="005362D8">
            <w:pPr>
              <w:pStyle w:val="Text"/>
              <w:keepNext/>
              <w:jc w:val="center"/>
              <w:rPr>
                <w:rFonts w:ascii="Arial" w:hAnsi="Arial"/>
                <w:sz w:val="18"/>
                <w:szCs w:val="18"/>
              </w:rPr>
            </w:pPr>
            <w:r>
              <w:rPr>
                <w:rFonts w:ascii="Arial" w:hAnsi="Arial"/>
                <w:sz w:val="18"/>
                <w:szCs w:val="18"/>
              </w:rPr>
              <w:t>1.80 (1.816)</w:t>
            </w:r>
          </w:p>
        </w:tc>
      </w:tr>
      <w:tr w:rsidR="00AB7C3A" w:rsidRPr="00F75BBF" w14:paraId="63C50649" w14:textId="77777777" w:rsidTr="005362D8">
        <w:trPr>
          <w:trHeight w:val="304"/>
        </w:trPr>
        <w:tc>
          <w:tcPr>
            <w:tcW w:w="962" w:type="pct"/>
            <w:tcBorders>
              <w:bottom w:val="nil"/>
            </w:tcBorders>
            <w:shd w:val="clear" w:color="auto" w:fill="auto"/>
          </w:tcPr>
          <w:p w14:paraId="67152673" w14:textId="77777777" w:rsidR="00557C61" w:rsidRPr="00F75BBF" w:rsidRDefault="00557C61" w:rsidP="005362D8">
            <w:pPr>
              <w:pStyle w:val="Text"/>
              <w:keepNext/>
              <w:jc w:val="left"/>
              <w:rPr>
                <w:rFonts w:ascii="Arial" w:hAnsi="Arial"/>
                <w:sz w:val="18"/>
                <w:szCs w:val="18"/>
              </w:rPr>
            </w:pPr>
            <w:r w:rsidRPr="00F75BBF">
              <w:rPr>
                <w:rFonts w:ascii="Arial" w:hAnsi="Arial"/>
                <w:sz w:val="18"/>
                <w:szCs w:val="18"/>
              </w:rPr>
              <w:t>Median</w:t>
            </w:r>
          </w:p>
        </w:tc>
        <w:tc>
          <w:tcPr>
            <w:tcW w:w="515" w:type="pct"/>
            <w:tcBorders>
              <w:bottom w:val="nil"/>
            </w:tcBorders>
            <w:shd w:val="clear" w:color="auto" w:fill="auto"/>
          </w:tcPr>
          <w:p w14:paraId="3170FA3F" w14:textId="77777777" w:rsidR="00557C61" w:rsidRPr="00F75BBF" w:rsidRDefault="00557C61" w:rsidP="005362D8">
            <w:pPr>
              <w:pStyle w:val="Text"/>
              <w:keepNext/>
              <w:rPr>
                <w:rFonts w:ascii="Arial" w:hAnsi="Arial"/>
                <w:sz w:val="18"/>
                <w:szCs w:val="18"/>
              </w:rPr>
            </w:pPr>
          </w:p>
        </w:tc>
        <w:tc>
          <w:tcPr>
            <w:tcW w:w="426" w:type="pct"/>
            <w:tcBorders>
              <w:bottom w:val="nil"/>
            </w:tcBorders>
            <w:shd w:val="clear" w:color="auto" w:fill="auto"/>
          </w:tcPr>
          <w:p w14:paraId="563D0F03"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0.63</w:t>
            </w:r>
          </w:p>
        </w:tc>
        <w:tc>
          <w:tcPr>
            <w:tcW w:w="426" w:type="pct"/>
            <w:tcBorders>
              <w:bottom w:val="nil"/>
            </w:tcBorders>
            <w:shd w:val="clear" w:color="auto" w:fill="auto"/>
          </w:tcPr>
          <w:p w14:paraId="7F75D4E8"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0.83</w:t>
            </w:r>
          </w:p>
        </w:tc>
        <w:tc>
          <w:tcPr>
            <w:tcW w:w="427" w:type="pct"/>
            <w:tcBorders>
              <w:bottom w:val="nil"/>
            </w:tcBorders>
            <w:shd w:val="clear" w:color="auto" w:fill="auto"/>
          </w:tcPr>
          <w:p w14:paraId="6675BAEB"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0.85</w:t>
            </w:r>
          </w:p>
        </w:tc>
        <w:tc>
          <w:tcPr>
            <w:tcW w:w="427" w:type="pct"/>
            <w:tcBorders>
              <w:bottom w:val="nil"/>
            </w:tcBorders>
            <w:shd w:val="clear" w:color="auto" w:fill="auto"/>
          </w:tcPr>
          <w:p w14:paraId="4D90C647"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0.71</w:t>
            </w:r>
          </w:p>
        </w:tc>
        <w:tc>
          <w:tcPr>
            <w:tcW w:w="427" w:type="pct"/>
            <w:tcBorders>
              <w:bottom w:val="nil"/>
            </w:tcBorders>
            <w:shd w:val="clear" w:color="auto" w:fill="auto"/>
          </w:tcPr>
          <w:p w14:paraId="461363C4"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0.71</w:t>
            </w:r>
          </w:p>
        </w:tc>
        <w:tc>
          <w:tcPr>
            <w:tcW w:w="425" w:type="pct"/>
            <w:tcBorders>
              <w:bottom w:val="nil"/>
            </w:tcBorders>
          </w:tcPr>
          <w:p w14:paraId="70E7251A"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0.83</w:t>
            </w:r>
          </w:p>
        </w:tc>
        <w:tc>
          <w:tcPr>
            <w:tcW w:w="541" w:type="pct"/>
            <w:tcBorders>
              <w:bottom w:val="nil"/>
            </w:tcBorders>
          </w:tcPr>
          <w:p w14:paraId="6E873A8C" w14:textId="77777777" w:rsidR="00557C61" w:rsidRPr="00F75BBF" w:rsidRDefault="00557C61" w:rsidP="005362D8">
            <w:pPr>
              <w:pStyle w:val="Text"/>
              <w:keepNext/>
              <w:jc w:val="center"/>
              <w:rPr>
                <w:rFonts w:ascii="Arial" w:hAnsi="Arial"/>
                <w:sz w:val="18"/>
                <w:szCs w:val="18"/>
              </w:rPr>
            </w:pPr>
            <w:r>
              <w:rPr>
                <w:rFonts w:ascii="Arial" w:hAnsi="Arial"/>
                <w:sz w:val="18"/>
                <w:szCs w:val="18"/>
              </w:rPr>
              <w:t>0.50</w:t>
            </w:r>
          </w:p>
        </w:tc>
        <w:tc>
          <w:tcPr>
            <w:tcW w:w="424" w:type="pct"/>
            <w:tcBorders>
              <w:bottom w:val="nil"/>
            </w:tcBorders>
          </w:tcPr>
          <w:p w14:paraId="54DE0079" w14:textId="77777777" w:rsidR="00557C61" w:rsidRPr="00F75BBF" w:rsidRDefault="00557C61" w:rsidP="005362D8">
            <w:pPr>
              <w:pStyle w:val="Text"/>
              <w:keepNext/>
              <w:jc w:val="center"/>
              <w:rPr>
                <w:rFonts w:ascii="Arial" w:hAnsi="Arial"/>
                <w:sz w:val="18"/>
                <w:szCs w:val="18"/>
              </w:rPr>
            </w:pPr>
            <w:r>
              <w:rPr>
                <w:rFonts w:ascii="Arial" w:hAnsi="Arial"/>
                <w:sz w:val="18"/>
                <w:szCs w:val="18"/>
              </w:rPr>
              <w:t>1.32</w:t>
            </w:r>
          </w:p>
        </w:tc>
      </w:tr>
      <w:tr w:rsidR="00AB7C3A" w:rsidRPr="00F75BBF" w14:paraId="52E44538" w14:textId="77777777" w:rsidTr="005362D8">
        <w:trPr>
          <w:trHeight w:val="304"/>
        </w:trPr>
        <w:tc>
          <w:tcPr>
            <w:tcW w:w="962" w:type="pct"/>
            <w:tcBorders>
              <w:top w:val="nil"/>
              <w:bottom w:val="single" w:sz="4" w:space="0" w:color="auto"/>
            </w:tcBorders>
            <w:shd w:val="clear" w:color="auto" w:fill="auto"/>
          </w:tcPr>
          <w:p w14:paraId="188F00AE" w14:textId="77777777" w:rsidR="00557C61" w:rsidRPr="00F75BBF" w:rsidRDefault="00557C61" w:rsidP="005362D8">
            <w:pPr>
              <w:pStyle w:val="Text"/>
              <w:keepNext/>
              <w:jc w:val="left"/>
              <w:rPr>
                <w:rFonts w:ascii="Arial" w:hAnsi="Arial"/>
                <w:sz w:val="18"/>
                <w:szCs w:val="18"/>
              </w:rPr>
            </w:pPr>
            <w:r w:rsidRPr="00F75BBF">
              <w:rPr>
                <w:rFonts w:ascii="Arial" w:hAnsi="Arial"/>
                <w:sz w:val="18"/>
                <w:szCs w:val="18"/>
              </w:rPr>
              <w:tab/>
              <w:t>Range</w:t>
            </w:r>
          </w:p>
        </w:tc>
        <w:tc>
          <w:tcPr>
            <w:tcW w:w="515" w:type="pct"/>
            <w:tcBorders>
              <w:top w:val="nil"/>
              <w:bottom w:val="single" w:sz="4" w:space="0" w:color="auto"/>
            </w:tcBorders>
            <w:shd w:val="clear" w:color="auto" w:fill="auto"/>
          </w:tcPr>
          <w:p w14:paraId="4119C4BD" w14:textId="77777777" w:rsidR="00557C61" w:rsidRPr="00F75BBF" w:rsidRDefault="00557C61" w:rsidP="005362D8">
            <w:pPr>
              <w:pStyle w:val="Text"/>
              <w:keepNext/>
              <w:rPr>
                <w:rFonts w:ascii="Arial" w:hAnsi="Arial"/>
                <w:sz w:val="18"/>
                <w:szCs w:val="18"/>
              </w:rPr>
            </w:pPr>
          </w:p>
        </w:tc>
        <w:tc>
          <w:tcPr>
            <w:tcW w:w="426" w:type="pct"/>
            <w:tcBorders>
              <w:top w:val="nil"/>
              <w:bottom w:val="single" w:sz="4" w:space="0" w:color="auto"/>
            </w:tcBorders>
            <w:shd w:val="clear" w:color="auto" w:fill="auto"/>
          </w:tcPr>
          <w:p w14:paraId="149D62FA"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-0.12 - 5.91</w:t>
            </w:r>
          </w:p>
        </w:tc>
        <w:tc>
          <w:tcPr>
            <w:tcW w:w="426" w:type="pct"/>
            <w:tcBorders>
              <w:top w:val="nil"/>
              <w:bottom w:val="single" w:sz="4" w:space="0" w:color="auto"/>
            </w:tcBorders>
            <w:shd w:val="clear" w:color="auto" w:fill="auto"/>
          </w:tcPr>
          <w:p w14:paraId="74EABBE7"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0.06 - 6.25</w:t>
            </w:r>
          </w:p>
        </w:tc>
        <w:tc>
          <w:tcPr>
            <w:tcW w:w="427" w:type="pct"/>
            <w:tcBorders>
              <w:top w:val="nil"/>
              <w:bottom w:val="single" w:sz="4" w:space="0" w:color="auto"/>
            </w:tcBorders>
            <w:shd w:val="clear" w:color="auto" w:fill="auto"/>
          </w:tcPr>
          <w:p w14:paraId="6C3777C3"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0.02 - 6.05</w:t>
            </w:r>
          </w:p>
        </w:tc>
        <w:tc>
          <w:tcPr>
            <w:tcW w:w="427" w:type="pct"/>
            <w:tcBorders>
              <w:top w:val="nil"/>
              <w:bottom w:val="single" w:sz="4" w:space="0" w:color="auto"/>
            </w:tcBorders>
            <w:shd w:val="clear" w:color="auto" w:fill="auto"/>
          </w:tcPr>
          <w:p w14:paraId="26FA74F1"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-0.55 - 9.60</w:t>
            </w:r>
          </w:p>
        </w:tc>
        <w:tc>
          <w:tcPr>
            <w:tcW w:w="427" w:type="pct"/>
            <w:tcBorders>
              <w:top w:val="nil"/>
              <w:bottom w:val="single" w:sz="4" w:space="0" w:color="auto"/>
            </w:tcBorders>
            <w:shd w:val="clear" w:color="auto" w:fill="auto"/>
          </w:tcPr>
          <w:p w14:paraId="71651A30"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0.15 - 7.71</w:t>
            </w:r>
          </w:p>
        </w:tc>
        <w:tc>
          <w:tcPr>
            <w:tcW w:w="425" w:type="pct"/>
            <w:tcBorders>
              <w:top w:val="nil"/>
              <w:bottom w:val="single" w:sz="4" w:space="0" w:color="auto"/>
            </w:tcBorders>
          </w:tcPr>
          <w:p w14:paraId="4EAA9F12"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0.00 - 10.96</w:t>
            </w:r>
          </w:p>
        </w:tc>
        <w:tc>
          <w:tcPr>
            <w:tcW w:w="541" w:type="pct"/>
            <w:tcBorders>
              <w:top w:val="nil"/>
              <w:bottom w:val="single" w:sz="4" w:space="0" w:color="auto"/>
            </w:tcBorders>
          </w:tcPr>
          <w:p w14:paraId="02A5444B"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w:t>
            </w:r>
            <w:r>
              <w:rPr>
                <w:rFonts w:ascii="Arial" w:hAnsi="Arial"/>
                <w:sz w:val="18"/>
                <w:szCs w:val="18"/>
              </w:rPr>
              <w:t>74</w:t>
            </w:r>
            <w:r w:rsidRPr="00F75BBF">
              <w:rPr>
                <w:rFonts w:ascii="Arial" w:hAnsi="Arial"/>
                <w:sz w:val="18"/>
                <w:szCs w:val="18"/>
              </w:rPr>
              <w:t xml:space="preserve"> - </w:t>
            </w:r>
            <w:r>
              <w:rPr>
                <w:rFonts w:ascii="Arial" w:hAnsi="Arial"/>
                <w:sz w:val="18"/>
                <w:szCs w:val="18"/>
              </w:rPr>
              <w:t>9</w:t>
            </w:r>
            <w:r w:rsidRPr="00F75BBF">
              <w:rPr>
                <w:rFonts w:ascii="Arial" w:hAnsi="Arial"/>
                <w:sz w:val="18"/>
                <w:szCs w:val="18"/>
              </w:rPr>
              <w:t>.</w:t>
            </w:r>
            <w:r>
              <w:rPr>
                <w:rFonts w:ascii="Arial" w:hAnsi="Arial"/>
                <w:sz w:val="18"/>
                <w:szCs w:val="18"/>
              </w:rPr>
              <w:t>8</w:t>
            </w:r>
            <w:r w:rsidRPr="00F75BBF">
              <w:rPr>
                <w:rFonts w:ascii="Arial" w:hAnsi="Arial"/>
                <w:sz w:val="18"/>
                <w:szCs w:val="18"/>
              </w:rPr>
              <w:t>4</w:t>
            </w:r>
          </w:p>
        </w:tc>
        <w:tc>
          <w:tcPr>
            <w:tcW w:w="424" w:type="pct"/>
            <w:tcBorders>
              <w:top w:val="nil"/>
              <w:bottom w:val="single" w:sz="4" w:space="0" w:color="auto"/>
            </w:tcBorders>
          </w:tcPr>
          <w:p w14:paraId="1939A10E" w14:textId="77777777" w:rsidR="00557C61" w:rsidRPr="00F75BBF" w:rsidRDefault="00557C61" w:rsidP="005362D8">
            <w:pPr>
              <w:pStyle w:val="Text"/>
              <w:keepNext/>
              <w:jc w:val="center"/>
              <w:rPr>
                <w:rFonts w:ascii="Arial" w:hAnsi="Arial"/>
                <w:sz w:val="18"/>
                <w:szCs w:val="18"/>
              </w:rPr>
            </w:pPr>
            <w:r>
              <w:rPr>
                <w:rFonts w:ascii="Arial" w:hAnsi="Arial"/>
                <w:sz w:val="18"/>
                <w:szCs w:val="18"/>
              </w:rPr>
              <w:t>0.09 – 4.51</w:t>
            </w:r>
          </w:p>
        </w:tc>
      </w:tr>
      <w:tr w:rsidR="00AB7C3A" w:rsidRPr="00F75BBF" w14:paraId="25D6F5A6" w14:textId="77777777" w:rsidTr="005362D8">
        <w:trPr>
          <w:trHeight w:val="304"/>
        </w:trPr>
        <w:tc>
          <w:tcPr>
            <w:tcW w:w="962" w:type="pct"/>
            <w:tcBorders>
              <w:top w:val="single" w:sz="4" w:space="0" w:color="auto"/>
              <w:bottom w:val="nil"/>
            </w:tcBorders>
            <w:shd w:val="clear" w:color="auto" w:fill="auto"/>
          </w:tcPr>
          <w:p w14:paraId="1A40497E" w14:textId="77777777" w:rsidR="00557C61" w:rsidRPr="00F75BBF" w:rsidRDefault="00557C61" w:rsidP="005362D8">
            <w:pPr>
              <w:pStyle w:val="Text"/>
              <w:keepNext/>
              <w:jc w:val="left"/>
              <w:rPr>
                <w:rFonts w:ascii="Arial" w:hAnsi="Arial"/>
                <w:sz w:val="18"/>
                <w:szCs w:val="18"/>
              </w:rPr>
            </w:pPr>
            <w:r w:rsidRPr="00F75BBF">
              <w:rPr>
                <w:rFonts w:ascii="Arial" w:hAnsi="Arial"/>
                <w:b/>
                <w:sz w:val="18"/>
                <w:szCs w:val="18"/>
              </w:rPr>
              <w:t>Percentage reduction from baseline, n (%)</w:t>
            </w:r>
          </w:p>
        </w:tc>
        <w:tc>
          <w:tcPr>
            <w:tcW w:w="515" w:type="pct"/>
            <w:tcBorders>
              <w:top w:val="single" w:sz="4" w:space="0" w:color="auto"/>
              <w:bottom w:val="nil"/>
            </w:tcBorders>
            <w:shd w:val="clear" w:color="auto" w:fill="auto"/>
          </w:tcPr>
          <w:p w14:paraId="2F501993" w14:textId="77777777" w:rsidR="00557C61" w:rsidRPr="00F75BBF" w:rsidRDefault="00557C61" w:rsidP="005362D8">
            <w:pPr>
              <w:pStyle w:val="Text"/>
              <w:keepNext/>
              <w:rPr>
                <w:rFonts w:ascii="Arial" w:hAnsi="Arial"/>
                <w:sz w:val="18"/>
                <w:szCs w:val="18"/>
              </w:rPr>
            </w:pPr>
          </w:p>
        </w:tc>
        <w:tc>
          <w:tcPr>
            <w:tcW w:w="426" w:type="pct"/>
            <w:tcBorders>
              <w:top w:val="single" w:sz="4" w:space="0" w:color="auto"/>
              <w:bottom w:val="nil"/>
            </w:tcBorders>
            <w:shd w:val="clear" w:color="auto" w:fill="auto"/>
          </w:tcPr>
          <w:p w14:paraId="2EF1FC16" w14:textId="77777777" w:rsidR="00557C61" w:rsidRPr="00F75BBF" w:rsidRDefault="00557C61" w:rsidP="005362D8">
            <w:pPr>
              <w:pStyle w:val="Text"/>
              <w:keepNext/>
              <w:jc w:val="center"/>
              <w:rPr>
                <w:rFonts w:ascii="Arial" w:hAnsi="Arial"/>
                <w:sz w:val="18"/>
                <w:szCs w:val="18"/>
              </w:rPr>
            </w:pPr>
          </w:p>
        </w:tc>
        <w:tc>
          <w:tcPr>
            <w:tcW w:w="426" w:type="pct"/>
            <w:tcBorders>
              <w:top w:val="single" w:sz="4" w:space="0" w:color="auto"/>
              <w:bottom w:val="nil"/>
            </w:tcBorders>
            <w:shd w:val="clear" w:color="auto" w:fill="auto"/>
          </w:tcPr>
          <w:p w14:paraId="1460B01C" w14:textId="77777777" w:rsidR="00557C61" w:rsidRPr="00F75BBF" w:rsidRDefault="00557C61" w:rsidP="005362D8">
            <w:pPr>
              <w:pStyle w:val="Text"/>
              <w:keepNext/>
              <w:jc w:val="center"/>
              <w:rPr>
                <w:rFonts w:ascii="Arial" w:hAnsi="Arial"/>
                <w:sz w:val="18"/>
                <w:szCs w:val="18"/>
              </w:rPr>
            </w:pPr>
          </w:p>
        </w:tc>
        <w:tc>
          <w:tcPr>
            <w:tcW w:w="427" w:type="pct"/>
            <w:tcBorders>
              <w:top w:val="single" w:sz="4" w:space="0" w:color="auto"/>
              <w:bottom w:val="nil"/>
            </w:tcBorders>
            <w:shd w:val="clear" w:color="auto" w:fill="auto"/>
          </w:tcPr>
          <w:p w14:paraId="5C50ED06" w14:textId="77777777" w:rsidR="00557C61" w:rsidRPr="00F75BBF" w:rsidRDefault="00557C61" w:rsidP="005362D8">
            <w:pPr>
              <w:pStyle w:val="Text"/>
              <w:keepNext/>
              <w:jc w:val="center"/>
              <w:rPr>
                <w:rFonts w:ascii="Arial" w:hAnsi="Arial"/>
                <w:sz w:val="18"/>
                <w:szCs w:val="18"/>
              </w:rPr>
            </w:pPr>
          </w:p>
        </w:tc>
        <w:tc>
          <w:tcPr>
            <w:tcW w:w="427" w:type="pct"/>
            <w:tcBorders>
              <w:top w:val="single" w:sz="4" w:space="0" w:color="auto"/>
              <w:bottom w:val="nil"/>
            </w:tcBorders>
            <w:shd w:val="clear" w:color="auto" w:fill="auto"/>
          </w:tcPr>
          <w:p w14:paraId="27A1EAA1" w14:textId="77777777" w:rsidR="00557C61" w:rsidRPr="00F75BBF" w:rsidRDefault="00557C61" w:rsidP="005362D8">
            <w:pPr>
              <w:pStyle w:val="Text"/>
              <w:keepNext/>
              <w:jc w:val="center"/>
              <w:rPr>
                <w:rFonts w:ascii="Arial" w:hAnsi="Arial"/>
                <w:sz w:val="18"/>
                <w:szCs w:val="18"/>
              </w:rPr>
            </w:pPr>
          </w:p>
        </w:tc>
        <w:tc>
          <w:tcPr>
            <w:tcW w:w="427" w:type="pct"/>
            <w:tcBorders>
              <w:top w:val="single" w:sz="4" w:space="0" w:color="auto"/>
              <w:bottom w:val="nil"/>
            </w:tcBorders>
            <w:shd w:val="clear" w:color="auto" w:fill="auto"/>
          </w:tcPr>
          <w:p w14:paraId="09B2E81A" w14:textId="77777777" w:rsidR="00557C61" w:rsidRPr="00F75BBF" w:rsidRDefault="00557C61" w:rsidP="005362D8">
            <w:pPr>
              <w:pStyle w:val="Text"/>
              <w:keepNext/>
              <w:jc w:val="center"/>
              <w:rPr>
                <w:rFonts w:ascii="Arial" w:hAnsi="Arial"/>
                <w:sz w:val="18"/>
                <w:szCs w:val="18"/>
              </w:rPr>
            </w:pPr>
          </w:p>
        </w:tc>
        <w:tc>
          <w:tcPr>
            <w:tcW w:w="425" w:type="pct"/>
            <w:tcBorders>
              <w:top w:val="single" w:sz="4" w:space="0" w:color="auto"/>
              <w:bottom w:val="nil"/>
            </w:tcBorders>
          </w:tcPr>
          <w:p w14:paraId="2F7ED71B" w14:textId="77777777" w:rsidR="00557C61" w:rsidRPr="00F75BBF" w:rsidRDefault="00557C61" w:rsidP="005362D8">
            <w:pPr>
              <w:pStyle w:val="Text"/>
              <w:keepNext/>
              <w:jc w:val="center"/>
              <w:rPr>
                <w:rFonts w:ascii="Arial" w:hAnsi="Arial"/>
                <w:sz w:val="18"/>
                <w:szCs w:val="18"/>
              </w:rPr>
            </w:pPr>
          </w:p>
        </w:tc>
        <w:tc>
          <w:tcPr>
            <w:tcW w:w="541" w:type="pct"/>
            <w:tcBorders>
              <w:top w:val="single" w:sz="4" w:space="0" w:color="auto"/>
              <w:bottom w:val="nil"/>
            </w:tcBorders>
          </w:tcPr>
          <w:p w14:paraId="300F0059" w14:textId="77777777" w:rsidR="00557C61" w:rsidRPr="00F75BBF" w:rsidRDefault="00557C61" w:rsidP="005362D8">
            <w:pPr>
              <w:pStyle w:val="Text"/>
              <w:keepNext/>
              <w:jc w:val="center"/>
              <w:rPr>
                <w:rFonts w:ascii="Arial" w:hAnsi="Arial"/>
                <w:sz w:val="18"/>
                <w:szCs w:val="18"/>
              </w:rPr>
            </w:pPr>
          </w:p>
        </w:tc>
        <w:tc>
          <w:tcPr>
            <w:tcW w:w="424" w:type="pct"/>
            <w:tcBorders>
              <w:top w:val="single" w:sz="4" w:space="0" w:color="auto"/>
              <w:bottom w:val="nil"/>
            </w:tcBorders>
          </w:tcPr>
          <w:p w14:paraId="4A8D327E" w14:textId="77777777" w:rsidR="00557C61" w:rsidRPr="00F75BBF" w:rsidRDefault="00557C61" w:rsidP="005362D8">
            <w:pPr>
              <w:pStyle w:val="Text"/>
              <w:keepNext/>
              <w:jc w:val="center"/>
              <w:rPr>
                <w:rFonts w:ascii="Arial" w:hAnsi="Arial"/>
                <w:sz w:val="18"/>
                <w:szCs w:val="18"/>
              </w:rPr>
            </w:pPr>
          </w:p>
        </w:tc>
      </w:tr>
      <w:tr w:rsidR="00AB7C3A" w:rsidRPr="00F75BBF" w14:paraId="40E2BDD4" w14:textId="77777777" w:rsidTr="005362D8">
        <w:trPr>
          <w:trHeight w:val="304"/>
        </w:trPr>
        <w:tc>
          <w:tcPr>
            <w:tcW w:w="962" w:type="pct"/>
            <w:tcBorders>
              <w:top w:val="nil"/>
            </w:tcBorders>
            <w:shd w:val="clear" w:color="auto" w:fill="auto"/>
          </w:tcPr>
          <w:p w14:paraId="429AAE08" w14:textId="77777777" w:rsidR="00557C61" w:rsidRPr="00F75BBF" w:rsidRDefault="00557C61" w:rsidP="005362D8">
            <w:pPr>
              <w:pStyle w:val="Text"/>
              <w:keepNext/>
              <w:jc w:val="left"/>
              <w:rPr>
                <w:rFonts w:ascii="Arial" w:hAnsi="Arial"/>
                <w:sz w:val="18"/>
                <w:szCs w:val="18"/>
              </w:rPr>
            </w:pPr>
            <w:r w:rsidRPr="00F75BBF">
              <w:rPr>
                <w:rFonts w:ascii="Arial" w:hAnsi="Arial"/>
                <w:sz w:val="18"/>
                <w:szCs w:val="18"/>
              </w:rPr>
              <w:tab/>
              <w:t>≥ 50%</w:t>
            </w:r>
          </w:p>
        </w:tc>
        <w:tc>
          <w:tcPr>
            <w:tcW w:w="515" w:type="pct"/>
            <w:tcBorders>
              <w:top w:val="nil"/>
            </w:tcBorders>
            <w:shd w:val="clear" w:color="auto" w:fill="auto"/>
          </w:tcPr>
          <w:p w14:paraId="431342BF" w14:textId="77777777" w:rsidR="00557C61" w:rsidRPr="00F75BBF" w:rsidRDefault="00557C61" w:rsidP="005362D8">
            <w:pPr>
              <w:pStyle w:val="Text"/>
              <w:keepNext/>
              <w:rPr>
                <w:rFonts w:ascii="Arial" w:hAnsi="Arial"/>
                <w:sz w:val="18"/>
                <w:szCs w:val="18"/>
              </w:rPr>
            </w:pPr>
          </w:p>
        </w:tc>
        <w:tc>
          <w:tcPr>
            <w:tcW w:w="426" w:type="pct"/>
            <w:tcBorders>
              <w:top w:val="nil"/>
            </w:tcBorders>
            <w:shd w:val="clear" w:color="auto" w:fill="auto"/>
          </w:tcPr>
          <w:p w14:paraId="54F46B0F"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10 (38.5)</w:t>
            </w:r>
          </w:p>
        </w:tc>
        <w:tc>
          <w:tcPr>
            <w:tcW w:w="426" w:type="pct"/>
            <w:tcBorders>
              <w:top w:val="nil"/>
            </w:tcBorders>
            <w:shd w:val="clear" w:color="auto" w:fill="auto"/>
          </w:tcPr>
          <w:p w14:paraId="3FBBF7D7"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9 (33.3)</w:t>
            </w:r>
          </w:p>
        </w:tc>
        <w:tc>
          <w:tcPr>
            <w:tcW w:w="427" w:type="pct"/>
            <w:tcBorders>
              <w:top w:val="nil"/>
            </w:tcBorders>
            <w:shd w:val="clear" w:color="auto" w:fill="auto"/>
          </w:tcPr>
          <w:p w14:paraId="291FC155"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9 (34.6)</w:t>
            </w:r>
          </w:p>
        </w:tc>
        <w:tc>
          <w:tcPr>
            <w:tcW w:w="427" w:type="pct"/>
            <w:tcBorders>
              <w:top w:val="nil"/>
            </w:tcBorders>
            <w:shd w:val="clear" w:color="auto" w:fill="auto"/>
          </w:tcPr>
          <w:p w14:paraId="4248A5A2"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12 (50.0)</w:t>
            </w:r>
          </w:p>
        </w:tc>
        <w:tc>
          <w:tcPr>
            <w:tcW w:w="427" w:type="pct"/>
            <w:tcBorders>
              <w:top w:val="nil"/>
            </w:tcBorders>
            <w:shd w:val="clear" w:color="auto" w:fill="auto"/>
          </w:tcPr>
          <w:p w14:paraId="780703D3"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10 (43.5)</w:t>
            </w:r>
          </w:p>
        </w:tc>
        <w:tc>
          <w:tcPr>
            <w:tcW w:w="425" w:type="pct"/>
            <w:tcBorders>
              <w:top w:val="nil"/>
            </w:tcBorders>
          </w:tcPr>
          <w:p w14:paraId="402ABCE6"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14 (58.3)</w:t>
            </w:r>
          </w:p>
        </w:tc>
        <w:tc>
          <w:tcPr>
            <w:tcW w:w="541" w:type="pct"/>
            <w:tcBorders>
              <w:top w:val="nil"/>
            </w:tcBorders>
          </w:tcPr>
          <w:p w14:paraId="429D9826" w14:textId="77777777" w:rsidR="00557C61" w:rsidRPr="00F75BBF" w:rsidRDefault="00557C61" w:rsidP="005362D8">
            <w:pPr>
              <w:pStyle w:val="Text"/>
              <w:keepNext/>
              <w:jc w:val="center"/>
              <w:rPr>
                <w:rFonts w:ascii="Arial" w:hAnsi="Arial"/>
                <w:sz w:val="18"/>
                <w:szCs w:val="18"/>
              </w:rPr>
            </w:pPr>
            <w:r>
              <w:rPr>
                <w:rFonts w:ascii="Arial" w:hAnsi="Arial"/>
                <w:sz w:val="18"/>
                <w:szCs w:val="18"/>
              </w:rPr>
              <w:t>12</w:t>
            </w:r>
            <w:r w:rsidRPr="00F75BBF">
              <w:rPr>
                <w:rFonts w:ascii="Arial" w:hAnsi="Arial"/>
                <w:sz w:val="18"/>
                <w:szCs w:val="18"/>
              </w:rPr>
              <w:t xml:space="preserve"> (5</w:t>
            </w:r>
            <w:r>
              <w:rPr>
                <w:rFonts w:ascii="Arial" w:hAnsi="Arial"/>
                <w:sz w:val="18"/>
                <w:szCs w:val="18"/>
              </w:rPr>
              <w:t>2</w:t>
            </w:r>
            <w:r w:rsidRPr="00F75BBF">
              <w:rPr>
                <w:rFonts w:ascii="Arial" w:hAnsi="Arial"/>
                <w:sz w:val="18"/>
                <w:szCs w:val="18"/>
              </w:rPr>
              <w:t>.</w:t>
            </w:r>
            <w:r>
              <w:rPr>
                <w:rFonts w:ascii="Arial" w:hAnsi="Arial"/>
                <w:sz w:val="18"/>
                <w:szCs w:val="18"/>
              </w:rPr>
              <w:t>2</w:t>
            </w:r>
            <w:r w:rsidRPr="00F75BBF">
              <w:rPr>
                <w:rFonts w:ascii="Arial" w:hAnsi="Arial"/>
                <w:sz w:val="18"/>
                <w:szCs w:val="18"/>
              </w:rPr>
              <w:t>)</w:t>
            </w:r>
          </w:p>
        </w:tc>
        <w:tc>
          <w:tcPr>
            <w:tcW w:w="424" w:type="pct"/>
            <w:tcBorders>
              <w:top w:val="nil"/>
            </w:tcBorders>
          </w:tcPr>
          <w:p w14:paraId="32E2C66B" w14:textId="77777777" w:rsidR="00557C61" w:rsidRPr="00F75BBF" w:rsidRDefault="00557C61" w:rsidP="005362D8">
            <w:pPr>
              <w:pStyle w:val="Text"/>
              <w:keepNext/>
              <w:jc w:val="center"/>
              <w:rPr>
                <w:rFonts w:ascii="Arial" w:hAnsi="Arial"/>
                <w:sz w:val="18"/>
                <w:szCs w:val="18"/>
              </w:rPr>
            </w:pPr>
            <w:r>
              <w:rPr>
                <w:rFonts w:ascii="Arial" w:hAnsi="Arial"/>
                <w:sz w:val="18"/>
                <w:szCs w:val="18"/>
              </w:rPr>
              <w:t>4 (50.0)</w:t>
            </w:r>
          </w:p>
        </w:tc>
      </w:tr>
      <w:tr w:rsidR="00AB7C3A" w:rsidRPr="00F75BBF" w14:paraId="412613B4" w14:textId="77777777" w:rsidTr="005362D8">
        <w:trPr>
          <w:trHeight w:val="304"/>
        </w:trPr>
        <w:tc>
          <w:tcPr>
            <w:tcW w:w="962" w:type="pct"/>
            <w:shd w:val="clear" w:color="auto" w:fill="auto"/>
          </w:tcPr>
          <w:p w14:paraId="55994861" w14:textId="77777777" w:rsidR="00557C61" w:rsidRPr="00F75BBF" w:rsidRDefault="00557C61" w:rsidP="005362D8">
            <w:pPr>
              <w:pStyle w:val="Text"/>
              <w:keepNext/>
              <w:jc w:val="left"/>
              <w:rPr>
                <w:rFonts w:ascii="Arial" w:hAnsi="Arial"/>
                <w:sz w:val="18"/>
                <w:szCs w:val="18"/>
              </w:rPr>
            </w:pPr>
            <w:r w:rsidRPr="00F75BBF">
              <w:rPr>
                <w:rFonts w:ascii="Arial" w:hAnsi="Arial"/>
                <w:sz w:val="18"/>
                <w:szCs w:val="18"/>
              </w:rPr>
              <w:tab/>
              <w:t>≥ 30%</w:t>
            </w:r>
          </w:p>
        </w:tc>
        <w:tc>
          <w:tcPr>
            <w:tcW w:w="515" w:type="pct"/>
            <w:shd w:val="clear" w:color="auto" w:fill="auto"/>
          </w:tcPr>
          <w:p w14:paraId="747A8D53" w14:textId="77777777" w:rsidR="00557C61" w:rsidRPr="00F75BBF" w:rsidRDefault="00557C61" w:rsidP="005362D8">
            <w:pPr>
              <w:pStyle w:val="Text"/>
              <w:keepNext/>
              <w:rPr>
                <w:rFonts w:ascii="Arial" w:hAnsi="Arial"/>
                <w:sz w:val="18"/>
                <w:szCs w:val="18"/>
              </w:rPr>
            </w:pPr>
          </w:p>
        </w:tc>
        <w:tc>
          <w:tcPr>
            <w:tcW w:w="426" w:type="pct"/>
            <w:shd w:val="clear" w:color="auto" w:fill="auto"/>
          </w:tcPr>
          <w:p w14:paraId="1C8C8C0F"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17 (65.4)</w:t>
            </w:r>
          </w:p>
        </w:tc>
        <w:tc>
          <w:tcPr>
            <w:tcW w:w="426" w:type="pct"/>
            <w:shd w:val="clear" w:color="auto" w:fill="auto"/>
          </w:tcPr>
          <w:p w14:paraId="56E5EC4C"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21 (77.8)</w:t>
            </w:r>
          </w:p>
        </w:tc>
        <w:tc>
          <w:tcPr>
            <w:tcW w:w="427" w:type="pct"/>
            <w:shd w:val="clear" w:color="auto" w:fill="auto"/>
          </w:tcPr>
          <w:p w14:paraId="4DA6F913"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20 (76.9)</w:t>
            </w:r>
          </w:p>
        </w:tc>
        <w:tc>
          <w:tcPr>
            <w:tcW w:w="427" w:type="pct"/>
            <w:shd w:val="clear" w:color="auto" w:fill="auto"/>
          </w:tcPr>
          <w:p w14:paraId="19AE2319"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19 (79.2)</w:t>
            </w:r>
          </w:p>
        </w:tc>
        <w:tc>
          <w:tcPr>
            <w:tcW w:w="427" w:type="pct"/>
            <w:shd w:val="clear" w:color="auto" w:fill="auto"/>
          </w:tcPr>
          <w:p w14:paraId="48853DB7"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18 (78.3)</w:t>
            </w:r>
          </w:p>
        </w:tc>
        <w:tc>
          <w:tcPr>
            <w:tcW w:w="425" w:type="pct"/>
          </w:tcPr>
          <w:p w14:paraId="3A9D61D5"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19 (79.2)</w:t>
            </w:r>
          </w:p>
        </w:tc>
        <w:tc>
          <w:tcPr>
            <w:tcW w:w="541" w:type="pct"/>
          </w:tcPr>
          <w:p w14:paraId="42BF05BD" w14:textId="77777777" w:rsidR="00557C61" w:rsidRPr="00F75BBF" w:rsidRDefault="00557C61" w:rsidP="005362D8">
            <w:pPr>
              <w:pStyle w:val="Text"/>
              <w:keepNext/>
              <w:jc w:val="center"/>
              <w:rPr>
                <w:rFonts w:ascii="Arial" w:hAnsi="Arial"/>
                <w:sz w:val="18"/>
                <w:szCs w:val="18"/>
              </w:rPr>
            </w:pPr>
            <w:r>
              <w:rPr>
                <w:rFonts w:ascii="Arial" w:hAnsi="Arial"/>
                <w:sz w:val="18"/>
                <w:szCs w:val="18"/>
              </w:rPr>
              <w:t>14</w:t>
            </w:r>
            <w:r w:rsidRPr="00F75BBF">
              <w:rPr>
                <w:rFonts w:ascii="Arial" w:hAnsi="Arial"/>
                <w:sz w:val="18"/>
                <w:szCs w:val="18"/>
              </w:rPr>
              <w:t xml:space="preserve"> (</w:t>
            </w:r>
            <w:r>
              <w:rPr>
                <w:rFonts w:ascii="Arial" w:hAnsi="Arial"/>
                <w:sz w:val="18"/>
                <w:szCs w:val="18"/>
              </w:rPr>
              <w:t>60</w:t>
            </w:r>
            <w:r w:rsidRPr="00F75BBF">
              <w:rPr>
                <w:rFonts w:ascii="Arial" w:hAnsi="Arial"/>
                <w:sz w:val="18"/>
                <w:szCs w:val="18"/>
              </w:rPr>
              <w:t>.</w:t>
            </w:r>
            <w:r>
              <w:rPr>
                <w:rFonts w:ascii="Arial" w:hAnsi="Arial"/>
                <w:sz w:val="18"/>
                <w:szCs w:val="18"/>
              </w:rPr>
              <w:t>9</w:t>
            </w:r>
            <w:r w:rsidRPr="00F75BBF">
              <w:rPr>
                <w:rFonts w:ascii="Arial" w:hAnsi="Arial"/>
                <w:sz w:val="18"/>
                <w:szCs w:val="18"/>
              </w:rPr>
              <w:t>)</w:t>
            </w:r>
          </w:p>
        </w:tc>
        <w:tc>
          <w:tcPr>
            <w:tcW w:w="424" w:type="pct"/>
          </w:tcPr>
          <w:p w14:paraId="354C09F0" w14:textId="77777777" w:rsidR="00557C61" w:rsidRPr="00F75BBF" w:rsidRDefault="00557C61" w:rsidP="005362D8">
            <w:pPr>
              <w:pStyle w:val="Text"/>
              <w:keepNext/>
              <w:jc w:val="center"/>
              <w:rPr>
                <w:rFonts w:ascii="Arial" w:hAnsi="Arial"/>
                <w:sz w:val="18"/>
                <w:szCs w:val="18"/>
              </w:rPr>
            </w:pPr>
            <w:r>
              <w:rPr>
                <w:rFonts w:ascii="Arial" w:hAnsi="Arial"/>
                <w:sz w:val="18"/>
                <w:szCs w:val="18"/>
              </w:rPr>
              <w:t>6 (75.0)</w:t>
            </w:r>
          </w:p>
        </w:tc>
      </w:tr>
      <w:tr w:rsidR="00AB7C3A" w:rsidRPr="00F75BBF" w14:paraId="6C6C792B" w14:textId="77777777" w:rsidTr="005362D8">
        <w:trPr>
          <w:trHeight w:val="304"/>
        </w:trPr>
        <w:tc>
          <w:tcPr>
            <w:tcW w:w="962" w:type="pct"/>
            <w:shd w:val="clear" w:color="auto" w:fill="auto"/>
          </w:tcPr>
          <w:p w14:paraId="6CCEC039" w14:textId="77777777" w:rsidR="00557C61" w:rsidRPr="00F75BBF" w:rsidRDefault="00557C61" w:rsidP="005362D8">
            <w:pPr>
              <w:pStyle w:val="Text"/>
              <w:keepNext/>
              <w:jc w:val="left"/>
              <w:rPr>
                <w:rFonts w:ascii="Arial" w:hAnsi="Arial"/>
                <w:sz w:val="18"/>
                <w:szCs w:val="18"/>
              </w:rPr>
            </w:pPr>
            <w:r w:rsidRPr="00F75BBF">
              <w:rPr>
                <w:rFonts w:ascii="Arial" w:hAnsi="Arial"/>
                <w:sz w:val="18"/>
                <w:szCs w:val="18"/>
              </w:rPr>
              <w:tab/>
              <w:t>&gt; 0%</w:t>
            </w:r>
          </w:p>
        </w:tc>
        <w:tc>
          <w:tcPr>
            <w:tcW w:w="515" w:type="pct"/>
            <w:shd w:val="clear" w:color="auto" w:fill="auto"/>
          </w:tcPr>
          <w:p w14:paraId="52B130C2" w14:textId="77777777" w:rsidR="00557C61" w:rsidRPr="00F75BBF" w:rsidRDefault="00557C61" w:rsidP="005362D8">
            <w:pPr>
              <w:pStyle w:val="Text"/>
              <w:keepNext/>
              <w:rPr>
                <w:rFonts w:ascii="Arial" w:hAnsi="Arial"/>
                <w:sz w:val="18"/>
                <w:szCs w:val="18"/>
              </w:rPr>
            </w:pPr>
          </w:p>
        </w:tc>
        <w:tc>
          <w:tcPr>
            <w:tcW w:w="426" w:type="pct"/>
            <w:shd w:val="clear" w:color="auto" w:fill="auto"/>
          </w:tcPr>
          <w:p w14:paraId="72A86B99"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25 (96.2)</w:t>
            </w:r>
          </w:p>
        </w:tc>
        <w:tc>
          <w:tcPr>
            <w:tcW w:w="426" w:type="pct"/>
            <w:shd w:val="clear" w:color="auto" w:fill="auto"/>
          </w:tcPr>
          <w:p w14:paraId="4234C6B7"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27 (100.0)</w:t>
            </w:r>
          </w:p>
        </w:tc>
        <w:tc>
          <w:tcPr>
            <w:tcW w:w="427" w:type="pct"/>
            <w:shd w:val="clear" w:color="auto" w:fill="auto"/>
          </w:tcPr>
          <w:p w14:paraId="7DB83750"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26 (100.0)</w:t>
            </w:r>
          </w:p>
        </w:tc>
        <w:tc>
          <w:tcPr>
            <w:tcW w:w="427" w:type="pct"/>
            <w:shd w:val="clear" w:color="auto" w:fill="auto"/>
          </w:tcPr>
          <w:p w14:paraId="1F2EFA4A"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23 (95.8)</w:t>
            </w:r>
          </w:p>
        </w:tc>
        <w:tc>
          <w:tcPr>
            <w:tcW w:w="427" w:type="pct"/>
            <w:shd w:val="clear" w:color="auto" w:fill="auto"/>
          </w:tcPr>
          <w:p w14:paraId="6844B708"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23 (100.0)</w:t>
            </w:r>
          </w:p>
        </w:tc>
        <w:tc>
          <w:tcPr>
            <w:tcW w:w="425" w:type="pct"/>
          </w:tcPr>
          <w:p w14:paraId="2F2E990E"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23 (95.8)</w:t>
            </w:r>
          </w:p>
        </w:tc>
        <w:tc>
          <w:tcPr>
            <w:tcW w:w="541" w:type="pct"/>
          </w:tcPr>
          <w:p w14:paraId="29B27E30" w14:textId="77777777" w:rsidR="00557C61" w:rsidRPr="00F75BBF" w:rsidRDefault="00557C61" w:rsidP="005362D8">
            <w:pPr>
              <w:pStyle w:val="Text"/>
              <w:keepNext/>
              <w:jc w:val="center"/>
              <w:rPr>
                <w:rFonts w:ascii="Arial" w:hAnsi="Arial"/>
                <w:sz w:val="18"/>
                <w:szCs w:val="18"/>
              </w:rPr>
            </w:pPr>
            <w:r>
              <w:rPr>
                <w:rFonts w:ascii="Arial" w:hAnsi="Arial"/>
                <w:sz w:val="18"/>
                <w:szCs w:val="18"/>
              </w:rPr>
              <w:t>21</w:t>
            </w:r>
            <w:r w:rsidRPr="00F75BBF">
              <w:rPr>
                <w:rFonts w:ascii="Arial" w:hAnsi="Arial"/>
                <w:sz w:val="18"/>
                <w:szCs w:val="18"/>
              </w:rPr>
              <w:t xml:space="preserve"> (</w:t>
            </w:r>
            <w:r>
              <w:rPr>
                <w:rFonts w:ascii="Arial" w:hAnsi="Arial"/>
                <w:sz w:val="18"/>
                <w:szCs w:val="18"/>
              </w:rPr>
              <w:t>91</w:t>
            </w:r>
            <w:r w:rsidRPr="00F75BBF">
              <w:rPr>
                <w:rFonts w:ascii="Arial" w:hAnsi="Arial"/>
                <w:sz w:val="18"/>
                <w:szCs w:val="18"/>
              </w:rPr>
              <w:t>.</w:t>
            </w:r>
            <w:r>
              <w:rPr>
                <w:rFonts w:ascii="Arial" w:hAnsi="Arial"/>
                <w:sz w:val="18"/>
                <w:szCs w:val="18"/>
              </w:rPr>
              <w:t>3</w:t>
            </w:r>
            <w:r w:rsidRPr="00F75BBF">
              <w:rPr>
                <w:rFonts w:ascii="Arial" w:hAnsi="Arial"/>
                <w:sz w:val="18"/>
                <w:szCs w:val="18"/>
              </w:rPr>
              <w:t>)</w:t>
            </w:r>
          </w:p>
        </w:tc>
        <w:tc>
          <w:tcPr>
            <w:tcW w:w="424" w:type="pct"/>
          </w:tcPr>
          <w:p w14:paraId="3F9FB195" w14:textId="77777777" w:rsidR="00557C61" w:rsidRPr="00F75BBF" w:rsidRDefault="00557C61" w:rsidP="005362D8">
            <w:pPr>
              <w:pStyle w:val="Text"/>
              <w:keepNext/>
              <w:jc w:val="center"/>
              <w:rPr>
                <w:rFonts w:ascii="Arial" w:hAnsi="Arial"/>
                <w:sz w:val="18"/>
                <w:szCs w:val="18"/>
              </w:rPr>
            </w:pPr>
            <w:r>
              <w:rPr>
                <w:rFonts w:ascii="Arial" w:hAnsi="Arial"/>
                <w:sz w:val="18"/>
                <w:szCs w:val="18"/>
              </w:rPr>
              <w:t>8 (100.0)</w:t>
            </w:r>
          </w:p>
        </w:tc>
      </w:tr>
      <w:tr w:rsidR="00AB7C3A" w:rsidRPr="00F75BBF" w14:paraId="48DA84FA" w14:textId="77777777" w:rsidTr="005362D8">
        <w:trPr>
          <w:trHeight w:val="304"/>
        </w:trPr>
        <w:tc>
          <w:tcPr>
            <w:tcW w:w="962" w:type="pct"/>
            <w:shd w:val="clear" w:color="auto" w:fill="auto"/>
          </w:tcPr>
          <w:p w14:paraId="187150DF" w14:textId="77777777" w:rsidR="00557C61" w:rsidRPr="00F75BBF" w:rsidRDefault="00557C61" w:rsidP="005362D8">
            <w:pPr>
              <w:pStyle w:val="Text"/>
              <w:keepNext/>
              <w:jc w:val="left"/>
              <w:rPr>
                <w:rFonts w:ascii="Arial" w:hAnsi="Arial"/>
                <w:sz w:val="18"/>
                <w:szCs w:val="18"/>
              </w:rPr>
            </w:pPr>
            <w:r w:rsidRPr="00F75BBF">
              <w:rPr>
                <w:rFonts w:ascii="Arial" w:hAnsi="Arial"/>
                <w:sz w:val="18"/>
                <w:szCs w:val="18"/>
              </w:rPr>
              <w:tab/>
              <w:t>No change</w:t>
            </w:r>
          </w:p>
        </w:tc>
        <w:tc>
          <w:tcPr>
            <w:tcW w:w="515" w:type="pct"/>
            <w:shd w:val="clear" w:color="auto" w:fill="auto"/>
          </w:tcPr>
          <w:p w14:paraId="4E38445E" w14:textId="77777777" w:rsidR="00557C61" w:rsidRPr="00F75BBF" w:rsidRDefault="00557C61" w:rsidP="005362D8">
            <w:pPr>
              <w:pStyle w:val="Text"/>
              <w:keepNext/>
              <w:rPr>
                <w:rFonts w:ascii="Arial" w:hAnsi="Arial"/>
                <w:sz w:val="18"/>
                <w:szCs w:val="18"/>
              </w:rPr>
            </w:pPr>
          </w:p>
        </w:tc>
        <w:tc>
          <w:tcPr>
            <w:tcW w:w="426" w:type="pct"/>
            <w:shd w:val="clear" w:color="auto" w:fill="auto"/>
          </w:tcPr>
          <w:p w14:paraId="5FA39D51"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w:t>
            </w:r>
          </w:p>
        </w:tc>
        <w:tc>
          <w:tcPr>
            <w:tcW w:w="426" w:type="pct"/>
            <w:shd w:val="clear" w:color="auto" w:fill="auto"/>
          </w:tcPr>
          <w:p w14:paraId="22D71E18"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w:t>
            </w:r>
          </w:p>
        </w:tc>
        <w:tc>
          <w:tcPr>
            <w:tcW w:w="427" w:type="pct"/>
            <w:shd w:val="clear" w:color="auto" w:fill="auto"/>
          </w:tcPr>
          <w:p w14:paraId="31AA4740"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w:t>
            </w:r>
          </w:p>
        </w:tc>
        <w:tc>
          <w:tcPr>
            <w:tcW w:w="427" w:type="pct"/>
            <w:shd w:val="clear" w:color="auto" w:fill="auto"/>
          </w:tcPr>
          <w:p w14:paraId="6C7C357E"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w:t>
            </w:r>
          </w:p>
        </w:tc>
        <w:tc>
          <w:tcPr>
            <w:tcW w:w="427" w:type="pct"/>
            <w:shd w:val="clear" w:color="auto" w:fill="auto"/>
          </w:tcPr>
          <w:p w14:paraId="741D1B68"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w:t>
            </w:r>
          </w:p>
        </w:tc>
        <w:tc>
          <w:tcPr>
            <w:tcW w:w="425" w:type="pct"/>
          </w:tcPr>
          <w:p w14:paraId="1BB14FB5"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 (4.2)</w:t>
            </w:r>
          </w:p>
        </w:tc>
        <w:tc>
          <w:tcPr>
            <w:tcW w:w="541" w:type="pct"/>
          </w:tcPr>
          <w:p w14:paraId="7C4B8E05"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w:t>
            </w:r>
          </w:p>
        </w:tc>
        <w:tc>
          <w:tcPr>
            <w:tcW w:w="424" w:type="pct"/>
          </w:tcPr>
          <w:p w14:paraId="799449A7" w14:textId="77777777" w:rsidR="00557C61" w:rsidRPr="00F75BBF" w:rsidRDefault="00557C61" w:rsidP="005362D8">
            <w:pPr>
              <w:pStyle w:val="Text"/>
              <w:keepNext/>
              <w:jc w:val="center"/>
              <w:rPr>
                <w:rFonts w:ascii="Arial" w:hAnsi="Arial"/>
                <w:sz w:val="18"/>
                <w:szCs w:val="18"/>
              </w:rPr>
            </w:pPr>
            <w:r>
              <w:rPr>
                <w:rFonts w:ascii="Arial" w:hAnsi="Arial"/>
                <w:sz w:val="18"/>
                <w:szCs w:val="18"/>
              </w:rPr>
              <w:t>0</w:t>
            </w:r>
          </w:p>
        </w:tc>
      </w:tr>
      <w:tr w:rsidR="00557C61" w:rsidRPr="00F75BBF" w14:paraId="409D29DA" w14:textId="77777777" w:rsidTr="005362D8">
        <w:trPr>
          <w:trHeight w:val="304"/>
        </w:trPr>
        <w:tc>
          <w:tcPr>
            <w:tcW w:w="962" w:type="pct"/>
            <w:shd w:val="clear" w:color="auto" w:fill="auto"/>
          </w:tcPr>
          <w:p w14:paraId="022C47A9" w14:textId="3C3A64DA" w:rsidR="00557C61" w:rsidRPr="00F75BBF" w:rsidRDefault="00557C61" w:rsidP="005362D8">
            <w:pPr>
              <w:pStyle w:val="Text"/>
              <w:keepNext/>
              <w:jc w:val="left"/>
              <w:rPr>
                <w:rFonts w:ascii="Arial" w:hAnsi="Arial"/>
                <w:sz w:val="18"/>
                <w:szCs w:val="18"/>
              </w:rPr>
            </w:pPr>
            <w:r w:rsidRPr="00F75BBF">
              <w:rPr>
                <w:rFonts w:ascii="Arial" w:hAnsi="Arial"/>
                <w:sz w:val="18"/>
                <w:szCs w:val="18"/>
              </w:rPr>
              <w:t>%Increase</w:t>
            </w:r>
          </w:p>
        </w:tc>
        <w:tc>
          <w:tcPr>
            <w:tcW w:w="515" w:type="pct"/>
            <w:shd w:val="clear" w:color="auto" w:fill="auto"/>
          </w:tcPr>
          <w:p w14:paraId="77C5D3E4" w14:textId="77777777" w:rsidR="00557C61" w:rsidRPr="00F75BBF" w:rsidRDefault="00557C61" w:rsidP="005362D8">
            <w:pPr>
              <w:pStyle w:val="Text"/>
              <w:keepNext/>
              <w:rPr>
                <w:rFonts w:ascii="Arial" w:hAnsi="Arial"/>
                <w:sz w:val="18"/>
                <w:szCs w:val="18"/>
              </w:rPr>
            </w:pPr>
          </w:p>
        </w:tc>
        <w:tc>
          <w:tcPr>
            <w:tcW w:w="426" w:type="pct"/>
            <w:shd w:val="clear" w:color="auto" w:fill="auto"/>
          </w:tcPr>
          <w:p w14:paraId="7B5EC631"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 (3.8)</w:t>
            </w:r>
          </w:p>
        </w:tc>
        <w:tc>
          <w:tcPr>
            <w:tcW w:w="426" w:type="pct"/>
            <w:shd w:val="clear" w:color="auto" w:fill="auto"/>
          </w:tcPr>
          <w:p w14:paraId="7DE63A03"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w:t>
            </w:r>
          </w:p>
        </w:tc>
        <w:tc>
          <w:tcPr>
            <w:tcW w:w="427" w:type="pct"/>
            <w:shd w:val="clear" w:color="auto" w:fill="auto"/>
          </w:tcPr>
          <w:p w14:paraId="044C7ACE"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w:t>
            </w:r>
          </w:p>
        </w:tc>
        <w:tc>
          <w:tcPr>
            <w:tcW w:w="427" w:type="pct"/>
            <w:shd w:val="clear" w:color="auto" w:fill="auto"/>
          </w:tcPr>
          <w:p w14:paraId="050FF21A"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1 (4.2)</w:t>
            </w:r>
          </w:p>
        </w:tc>
        <w:tc>
          <w:tcPr>
            <w:tcW w:w="427" w:type="pct"/>
            <w:shd w:val="clear" w:color="auto" w:fill="auto"/>
          </w:tcPr>
          <w:p w14:paraId="4FC78AF0"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w:t>
            </w:r>
          </w:p>
        </w:tc>
        <w:tc>
          <w:tcPr>
            <w:tcW w:w="425" w:type="pct"/>
          </w:tcPr>
          <w:p w14:paraId="3529FB92" w14:textId="77777777" w:rsidR="00557C61" w:rsidRPr="00F75BBF" w:rsidRDefault="00557C61" w:rsidP="005362D8">
            <w:pPr>
              <w:pStyle w:val="Text"/>
              <w:keepNext/>
              <w:jc w:val="center"/>
              <w:rPr>
                <w:rFonts w:ascii="Arial" w:hAnsi="Arial"/>
                <w:sz w:val="18"/>
                <w:szCs w:val="18"/>
              </w:rPr>
            </w:pPr>
            <w:r w:rsidRPr="00F75BBF">
              <w:rPr>
                <w:rFonts w:ascii="Arial" w:hAnsi="Arial"/>
                <w:sz w:val="18"/>
                <w:szCs w:val="18"/>
              </w:rPr>
              <w:t>0</w:t>
            </w:r>
          </w:p>
        </w:tc>
        <w:tc>
          <w:tcPr>
            <w:tcW w:w="541" w:type="pct"/>
          </w:tcPr>
          <w:p w14:paraId="26A4D679" w14:textId="77777777" w:rsidR="00557C61" w:rsidRPr="00F75BBF" w:rsidRDefault="00557C61" w:rsidP="005362D8">
            <w:pPr>
              <w:pStyle w:val="Text"/>
              <w:keepNext/>
              <w:jc w:val="center"/>
              <w:rPr>
                <w:rFonts w:ascii="Arial" w:hAnsi="Arial"/>
                <w:sz w:val="18"/>
                <w:szCs w:val="18"/>
              </w:rPr>
            </w:pPr>
            <w:r>
              <w:rPr>
                <w:rFonts w:ascii="Arial" w:hAnsi="Arial"/>
                <w:sz w:val="18"/>
                <w:szCs w:val="18"/>
              </w:rPr>
              <w:t>2</w:t>
            </w:r>
            <w:r w:rsidRPr="00F75BBF">
              <w:rPr>
                <w:rFonts w:ascii="Arial" w:hAnsi="Arial"/>
                <w:sz w:val="18"/>
                <w:szCs w:val="18"/>
              </w:rPr>
              <w:t xml:space="preserve"> (</w:t>
            </w:r>
            <w:r>
              <w:rPr>
                <w:rFonts w:ascii="Arial" w:hAnsi="Arial"/>
                <w:sz w:val="18"/>
                <w:szCs w:val="18"/>
              </w:rPr>
              <w:t>8</w:t>
            </w:r>
            <w:r w:rsidRPr="00F75BBF">
              <w:rPr>
                <w:rFonts w:ascii="Arial" w:hAnsi="Arial"/>
                <w:sz w:val="18"/>
                <w:szCs w:val="18"/>
              </w:rPr>
              <w:t>.</w:t>
            </w:r>
            <w:r>
              <w:rPr>
                <w:rFonts w:ascii="Arial" w:hAnsi="Arial"/>
                <w:sz w:val="18"/>
                <w:szCs w:val="18"/>
              </w:rPr>
              <w:t>7</w:t>
            </w:r>
            <w:r w:rsidRPr="00F75BBF">
              <w:rPr>
                <w:rFonts w:ascii="Arial" w:hAnsi="Arial"/>
                <w:sz w:val="18"/>
                <w:szCs w:val="18"/>
              </w:rPr>
              <w:t>)</w:t>
            </w:r>
          </w:p>
        </w:tc>
        <w:tc>
          <w:tcPr>
            <w:tcW w:w="424" w:type="pct"/>
          </w:tcPr>
          <w:p w14:paraId="1CC4AFE8" w14:textId="77777777" w:rsidR="00557C61" w:rsidRPr="00F75BBF" w:rsidRDefault="00557C61" w:rsidP="005362D8">
            <w:pPr>
              <w:pStyle w:val="Text"/>
              <w:keepNext/>
              <w:jc w:val="center"/>
              <w:rPr>
                <w:rFonts w:ascii="Arial" w:hAnsi="Arial"/>
                <w:sz w:val="18"/>
                <w:szCs w:val="18"/>
              </w:rPr>
            </w:pPr>
            <w:r>
              <w:rPr>
                <w:rFonts w:ascii="Arial" w:hAnsi="Arial"/>
                <w:sz w:val="18"/>
                <w:szCs w:val="18"/>
              </w:rPr>
              <w:t>0</w:t>
            </w:r>
          </w:p>
        </w:tc>
      </w:tr>
    </w:tbl>
    <w:p w14:paraId="685B707A" w14:textId="77777777" w:rsidR="00557C61" w:rsidRDefault="00557C61" w:rsidP="00557C61">
      <w:pPr>
        <w:pStyle w:val="Text"/>
        <w:spacing w:line="276" w:lineRule="auto"/>
        <w:rPr>
          <w:lang w:val="en-AU"/>
        </w:rPr>
      </w:pPr>
    </w:p>
    <w:p w14:paraId="16F6E1D2" w14:textId="77777777" w:rsidR="00557C61" w:rsidRPr="00165372" w:rsidRDefault="00557C61" w:rsidP="00557C61">
      <w:r w:rsidRPr="00165372">
        <w:t xml:space="preserve">Long-term follow-up to a median duration of 67.8 months (range: 4.7 </w:t>
      </w:r>
      <w:r>
        <w:t xml:space="preserve">to </w:t>
      </w:r>
      <w:r w:rsidRPr="00165372">
        <w:t>83.2 months) demonstrated sustained efficacy with a median reduction in primary SEGA volume per independent central review of 0.50 cm</w:t>
      </w:r>
      <w:r w:rsidRPr="00165372">
        <w:rPr>
          <w:vertAlign w:val="superscript"/>
        </w:rPr>
        <w:t xml:space="preserve">3 </w:t>
      </w:r>
      <w:r w:rsidRPr="00165372">
        <w:t>at Month 60 (range: -0.74 to 9.84 cm</w:t>
      </w:r>
      <w:r w:rsidRPr="00165372">
        <w:rPr>
          <w:vertAlign w:val="superscript"/>
        </w:rPr>
        <w:t>3</w:t>
      </w:r>
      <w:r w:rsidRPr="00165372">
        <w:t>; n=23).</w:t>
      </w:r>
    </w:p>
    <w:p w14:paraId="37DB4737" w14:textId="77777777" w:rsidR="001A3992" w:rsidRPr="00497C85" w:rsidRDefault="001A3992" w:rsidP="001A3992">
      <w:pPr>
        <w:pStyle w:val="Heading2"/>
        <w:keepNext/>
        <w:spacing w:before="0" w:after="120"/>
        <w:rPr>
          <w:rFonts w:cstheme="minorHAnsi"/>
          <w:lang w:val="en-US"/>
        </w:rPr>
      </w:pPr>
      <w:r w:rsidRPr="00497C85">
        <w:rPr>
          <w:rFonts w:cstheme="minorHAnsi"/>
          <w:lang w:val="en-US"/>
        </w:rPr>
        <w:t xml:space="preserve">Pharmacokinetic properties </w:t>
      </w:r>
    </w:p>
    <w:p w14:paraId="7247D8C7" w14:textId="77777777" w:rsidR="001A3992" w:rsidRDefault="001A3992" w:rsidP="001A3992">
      <w:pPr>
        <w:pStyle w:val="Heading3"/>
        <w:spacing w:before="0" w:after="120"/>
        <w:rPr>
          <w:rFonts w:cstheme="minorHAnsi"/>
        </w:rPr>
      </w:pPr>
      <w:r w:rsidRPr="00497C85">
        <w:rPr>
          <w:rFonts w:cstheme="minorHAnsi"/>
        </w:rPr>
        <w:t>Absorption</w:t>
      </w:r>
    </w:p>
    <w:p w14:paraId="4954354A" w14:textId="77777777" w:rsidR="00557C61" w:rsidRDefault="00557C61" w:rsidP="00557C61">
      <w:pPr>
        <w:rPr>
          <w:lang w:val="en-GB"/>
        </w:rPr>
      </w:pPr>
      <w:r w:rsidRPr="002A1CBE">
        <w:rPr>
          <w:lang w:val="en-GB"/>
        </w:rPr>
        <w:t xml:space="preserve">After administration of </w:t>
      </w:r>
      <w:proofErr w:type="spellStart"/>
      <w:r w:rsidRPr="002A1CBE">
        <w:rPr>
          <w:lang w:val="en-GB"/>
        </w:rPr>
        <w:t>Afinitor</w:t>
      </w:r>
      <w:proofErr w:type="spellEnd"/>
      <w:r w:rsidRPr="002A1CBE">
        <w:rPr>
          <w:lang w:val="en-GB"/>
        </w:rPr>
        <w:t xml:space="preserve"> Tablets in patients with advanced solid tumours, peak </w:t>
      </w:r>
      <w:proofErr w:type="spellStart"/>
      <w:r w:rsidRPr="002A1CBE">
        <w:rPr>
          <w:lang w:val="en-GB"/>
        </w:rPr>
        <w:t>everolimus</w:t>
      </w:r>
      <w:proofErr w:type="spellEnd"/>
      <w:r w:rsidRPr="002A1CBE">
        <w:rPr>
          <w:lang w:val="en-GB"/>
        </w:rPr>
        <w:t xml:space="preserve"> concentrations are reached 1 to 2 hours after administration of an oral dose of 5 to 70 mg </w:t>
      </w:r>
      <w:proofErr w:type="spellStart"/>
      <w:r w:rsidRPr="002A1CBE">
        <w:rPr>
          <w:lang w:val="en-GB"/>
        </w:rPr>
        <w:t>everolimus</w:t>
      </w:r>
      <w:proofErr w:type="spellEnd"/>
      <w:r w:rsidRPr="002A1CBE">
        <w:rPr>
          <w:lang w:val="en-GB"/>
        </w:rPr>
        <w:t xml:space="preserve"> under fasting conditions or with a light fat-free snack. </w:t>
      </w:r>
      <w:proofErr w:type="spellStart"/>
      <w:r w:rsidRPr="002A1CBE">
        <w:rPr>
          <w:lang w:val="en-GB"/>
        </w:rPr>
        <w:t>C</w:t>
      </w:r>
      <w:r w:rsidRPr="002A1CBE">
        <w:rPr>
          <w:vertAlign w:val="subscript"/>
          <w:lang w:val="en-GB"/>
        </w:rPr>
        <w:t>max</w:t>
      </w:r>
      <w:proofErr w:type="spellEnd"/>
      <w:r w:rsidRPr="002A1CBE">
        <w:rPr>
          <w:lang w:val="en-GB"/>
        </w:rPr>
        <w:t xml:space="preserve"> is dose-proportional with daily dosing between 5 and 10 mg. AUC shows dose-proportionality over the 5 to 70 mg dose range</w:t>
      </w:r>
      <w:r>
        <w:rPr>
          <w:lang w:val="en-GB"/>
        </w:rPr>
        <w:t>.</w:t>
      </w:r>
    </w:p>
    <w:p w14:paraId="3E8D4068" w14:textId="77777777" w:rsidR="00557C61" w:rsidRPr="002A1CBE" w:rsidRDefault="00557C61" w:rsidP="00557C61">
      <w:pPr>
        <w:pStyle w:val="Heading3"/>
        <w:tabs>
          <w:tab w:val="left" w:pos="567"/>
        </w:tabs>
        <w:spacing w:before="0" w:after="240" w:line="320" w:lineRule="atLeast"/>
        <w:ind w:left="0"/>
        <w:rPr>
          <w:rFonts w:ascii="Times New Roman" w:hAnsi="Times New Roman"/>
          <w:lang w:val="en-GB"/>
        </w:rPr>
      </w:pPr>
      <w:r w:rsidRPr="002A1CBE">
        <w:rPr>
          <w:rFonts w:ascii="Times New Roman" w:hAnsi="Times New Roman"/>
          <w:lang w:val="en-GB"/>
        </w:rPr>
        <w:lastRenderedPageBreak/>
        <w:t>Effects of Food</w:t>
      </w:r>
    </w:p>
    <w:p w14:paraId="4BECBE88" w14:textId="77777777" w:rsidR="00557C61" w:rsidRPr="002A1CBE" w:rsidRDefault="00557C61" w:rsidP="00557C61">
      <w:pPr>
        <w:rPr>
          <w:lang w:val="en-GB"/>
        </w:rPr>
      </w:pPr>
      <w:r w:rsidRPr="002A1CBE">
        <w:rPr>
          <w:lang w:val="en-GB"/>
        </w:rPr>
        <w:t xml:space="preserve">In healthy subjects, high fat meals reduced systemic exposure to </w:t>
      </w:r>
      <w:proofErr w:type="spellStart"/>
      <w:r w:rsidRPr="002A1CBE">
        <w:rPr>
          <w:lang w:val="en-GB"/>
        </w:rPr>
        <w:t>Afinitor</w:t>
      </w:r>
      <w:proofErr w:type="spellEnd"/>
      <w:r w:rsidRPr="002A1CBE">
        <w:rPr>
          <w:lang w:val="en-GB"/>
        </w:rPr>
        <w:t xml:space="preserve"> 10 mg (as measured by AUC) by 22% and the peak plasma concentration </w:t>
      </w:r>
      <w:proofErr w:type="spellStart"/>
      <w:r w:rsidRPr="002A1CBE">
        <w:rPr>
          <w:lang w:val="en-GB"/>
        </w:rPr>
        <w:t>C</w:t>
      </w:r>
      <w:r w:rsidRPr="002A1CBE">
        <w:rPr>
          <w:vertAlign w:val="subscript"/>
          <w:lang w:val="en-GB"/>
        </w:rPr>
        <w:t>max</w:t>
      </w:r>
      <w:proofErr w:type="spellEnd"/>
      <w:r w:rsidRPr="002A1CBE">
        <w:rPr>
          <w:lang w:val="en-GB"/>
        </w:rPr>
        <w:t xml:space="preserve"> by 54%. Light fat meals reduced AUC by 32% and </w:t>
      </w:r>
      <w:proofErr w:type="spellStart"/>
      <w:r w:rsidRPr="002A1CBE">
        <w:rPr>
          <w:lang w:val="en-GB"/>
        </w:rPr>
        <w:t>C</w:t>
      </w:r>
      <w:r w:rsidRPr="002A1CBE">
        <w:rPr>
          <w:vertAlign w:val="subscript"/>
          <w:lang w:val="en-GB"/>
        </w:rPr>
        <w:t>max</w:t>
      </w:r>
      <w:proofErr w:type="spellEnd"/>
      <w:r w:rsidRPr="002A1CBE">
        <w:rPr>
          <w:lang w:val="en-GB"/>
        </w:rPr>
        <w:t xml:space="preserve"> by 42%. Food, however, had no apparent effect on the post absorption phase concentration</w:t>
      </w:r>
      <w:r w:rsidRPr="002A1CBE">
        <w:rPr>
          <w:lang w:val="en-GB"/>
        </w:rPr>
        <w:noBreakHyphen/>
        <w:t>time profile.</w:t>
      </w:r>
    </w:p>
    <w:p w14:paraId="54563EB2" w14:textId="77777777" w:rsidR="00557C61" w:rsidRPr="002A1CBE" w:rsidRDefault="00557C61" w:rsidP="00557C61">
      <w:pPr>
        <w:pStyle w:val="Heading3"/>
        <w:tabs>
          <w:tab w:val="left" w:pos="567"/>
        </w:tabs>
        <w:spacing w:before="0" w:after="240" w:line="320" w:lineRule="atLeast"/>
        <w:ind w:left="0"/>
        <w:rPr>
          <w:rFonts w:ascii="Times New Roman" w:hAnsi="Times New Roman"/>
          <w:lang w:val="en-GB"/>
        </w:rPr>
      </w:pPr>
      <w:r w:rsidRPr="002A1CBE">
        <w:rPr>
          <w:rFonts w:ascii="Times New Roman" w:hAnsi="Times New Roman"/>
          <w:lang w:val="en-GB"/>
        </w:rPr>
        <w:t>Relative bioavailability of dispersible tablets</w:t>
      </w:r>
    </w:p>
    <w:p w14:paraId="0BB023F6" w14:textId="77777777" w:rsidR="00557C61" w:rsidRPr="00557C61" w:rsidRDefault="00557C61" w:rsidP="00557C61">
      <w:pPr>
        <w:rPr>
          <w:lang w:val="en-GB"/>
        </w:rPr>
      </w:pPr>
      <w:r w:rsidRPr="002A1CBE">
        <w:rPr>
          <w:lang w:val="en-GB"/>
        </w:rPr>
        <w:t xml:space="preserve">The AUC0-∞ of the </w:t>
      </w:r>
      <w:proofErr w:type="spellStart"/>
      <w:r w:rsidRPr="002A1CBE">
        <w:rPr>
          <w:lang w:val="en-GB"/>
        </w:rPr>
        <w:t>Afinitor</w:t>
      </w:r>
      <w:proofErr w:type="spellEnd"/>
      <w:r w:rsidRPr="002A1CBE">
        <w:rPr>
          <w:lang w:val="en-GB"/>
        </w:rPr>
        <w:t xml:space="preserve"> Dispersible Tablets when administered as a suspension in water was equivalent to that of </w:t>
      </w:r>
      <w:proofErr w:type="spellStart"/>
      <w:r w:rsidRPr="002A1CBE">
        <w:rPr>
          <w:lang w:val="en-GB"/>
        </w:rPr>
        <w:t>Afinitor</w:t>
      </w:r>
      <w:proofErr w:type="spellEnd"/>
      <w:r w:rsidRPr="002A1CBE">
        <w:rPr>
          <w:lang w:val="en-GB"/>
        </w:rPr>
        <w:t xml:space="preserve"> Tablets (85% to 91% of that associated with </w:t>
      </w:r>
      <w:proofErr w:type="spellStart"/>
      <w:r w:rsidRPr="002A1CBE">
        <w:rPr>
          <w:lang w:val="en-GB"/>
        </w:rPr>
        <w:t>Afinitor</w:t>
      </w:r>
      <w:proofErr w:type="spellEnd"/>
      <w:r w:rsidRPr="002A1CBE">
        <w:rPr>
          <w:lang w:val="en-GB"/>
        </w:rPr>
        <w:t xml:space="preserve"> Tablets). The predicted trough concentrations of </w:t>
      </w:r>
      <w:proofErr w:type="spellStart"/>
      <w:r w:rsidRPr="002A1CBE">
        <w:rPr>
          <w:lang w:val="en-GB"/>
        </w:rPr>
        <w:t>everolimus</w:t>
      </w:r>
      <w:proofErr w:type="spellEnd"/>
      <w:r w:rsidRPr="002A1CBE">
        <w:rPr>
          <w:lang w:val="en-GB"/>
        </w:rPr>
        <w:t xml:space="preserve"> at steady-state after daily administration were similar for both dosage forms. The </w:t>
      </w:r>
      <w:proofErr w:type="spellStart"/>
      <w:r w:rsidRPr="002A1CBE">
        <w:rPr>
          <w:lang w:val="en-GB"/>
        </w:rPr>
        <w:t>Cmax</w:t>
      </w:r>
      <w:proofErr w:type="spellEnd"/>
      <w:r w:rsidRPr="002A1CBE">
        <w:rPr>
          <w:lang w:val="en-GB"/>
        </w:rPr>
        <w:t xml:space="preserve"> of </w:t>
      </w:r>
      <w:proofErr w:type="spellStart"/>
      <w:r w:rsidRPr="002A1CBE">
        <w:rPr>
          <w:lang w:val="en-GB"/>
        </w:rPr>
        <w:t>everolimus</w:t>
      </w:r>
      <w:proofErr w:type="spellEnd"/>
      <w:r w:rsidRPr="002A1CBE">
        <w:rPr>
          <w:lang w:val="en-GB"/>
        </w:rPr>
        <w:t xml:space="preserve"> associated with the </w:t>
      </w:r>
      <w:proofErr w:type="spellStart"/>
      <w:r w:rsidRPr="002A1CBE">
        <w:rPr>
          <w:lang w:val="en-GB"/>
        </w:rPr>
        <w:t>Afinitor</w:t>
      </w:r>
      <w:proofErr w:type="spellEnd"/>
      <w:r w:rsidRPr="002A1CBE">
        <w:rPr>
          <w:lang w:val="en-GB"/>
        </w:rPr>
        <w:t xml:space="preserve"> Dispersible Tablets was, however, somewhat lower (64% to 80% relative to that associated with </w:t>
      </w:r>
      <w:proofErr w:type="spellStart"/>
      <w:r w:rsidRPr="002A1CBE">
        <w:rPr>
          <w:lang w:val="en-GB"/>
        </w:rPr>
        <w:t>Afinitor</w:t>
      </w:r>
      <w:proofErr w:type="spellEnd"/>
      <w:r w:rsidRPr="002A1CBE">
        <w:rPr>
          <w:lang w:val="en-GB"/>
        </w:rPr>
        <w:t xml:space="preserve"> Tablets).</w:t>
      </w:r>
    </w:p>
    <w:p w14:paraId="7F603A0D" w14:textId="77777777" w:rsidR="001A3992" w:rsidRDefault="001A3992" w:rsidP="001A3992">
      <w:pPr>
        <w:pStyle w:val="Heading3"/>
        <w:spacing w:before="0" w:after="120"/>
        <w:rPr>
          <w:rFonts w:cstheme="minorHAnsi"/>
        </w:rPr>
      </w:pPr>
      <w:r w:rsidRPr="00497C85">
        <w:rPr>
          <w:rFonts w:cstheme="minorHAnsi"/>
        </w:rPr>
        <w:t>Distribution</w:t>
      </w:r>
    </w:p>
    <w:p w14:paraId="29A012F0" w14:textId="77777777" w:rsidR="00557C61" w:rsidRPr="002A1CBE" w:rsidRDefault="00557C61" w:rsidP="00557C61">
      <w:pPr>
        <w:rPr>
          <w:lang w:val="en-GB"/>
        </w:rPr>
      </w:pPr>
      <w:r w:rsidRPr="002A1CBE">
        <w:rPr>
          <w:lang w:val="en-GB"/>
        </w:rPr>
        <w:t xml:space="preserve">The blood-to-plasma ratio of </w:t>
      </w:r>
      <w:proofErr w:type="spellStart"/>
      <w:r w:rsidRPr="002A1CBE">
        <w:rPr>
          <w:lang w:val="en-GB"/>
        </w:rPr>
        <w:t>everolimus</w:t>
      </w:r>
      <w:proofErr w:type="spellEnd"/>
      <w:r w:rsidRPr="002A1CBE">
        <w:rPr>
          <w:lang w:val="en-GB"/>
        </w:rPr>
        <w:t xml:space="preserve">, which is concentration-dependent over the range of 5 to 5,000 ng/mL, is 17% to 73%. The amount of </w:t>
      </w:r>
      <w:proofErr w:type="spellStart"/>
      <w:r w:rsidRPr="002A1CBE">
        <w:rPr>
          <w:lang w:val="en-GB"/>
        </w:rPr>
        <w:t>everolimus</w:t>
      </w:r>
      <w:proofErr w:type="spellEnd"/>
      <w:r w:rsidRPr="002A1CBE">
        <w:rPr>
          <w:lang w:val="en-GB"/>
        </w:rPr>
        <w:t xml:space="preserve"> confined to the plasma is approximately 20% at blood concentrations observed in cancer patients given 10 mg/day of </w:t>
      </w:r>
      <w:proofErr w:type="spellStart"/>
      <w:r w:rsidRPr="002A1CBE">
        <w:rPr>
          <w:lang w:val="en-GB"/>
        </w:rPr>
        <w:t>Afinitor</w:t>
      </w:r>
      <w:proofErr w:type="spellEnd"/>
      <w:r w:rsidRPr="002A1CBE">
        <w:rPr>
          <w:lang w:val="en-GB"/>
        </w:rPr>
        <w:t>. Plasma protein binding is approximately 74% both in healthy subjects and patients with moderate hepatic impairment.</w:t>
      </w:r>
    </w:p>
    <w:p w14:paraId="03637D41" w14:textId="77D7331E" w:rsidR="00557C61" w:rsidRPr="00C874A3" w:rsidRDefault="00557C61" w:rsidP="00557C61">
      <w:pPr>
        <w:rPr>
          <w:lang w:val="en-GB"/>
        </w:rPr>
      </w:pPr>
      <w:r w:rsidRPr="002A1CBE">
        <w:rPr>
          <w:lang w:val="en-GB"/>
        </w:rPr>
        <w:t xml:space="preserve">Following intravenous administration in a rat model, </w:t>
      </w:r>
      <w:proofErr w:type="spellStart"/>
      <w:r w:rsidRPr="002A1CBE">
        <w:rPr>
          <w:lang w:val="en-GB"/>
        </w:rPr>
        <w:t>everolimus</w:t>
      </w:r>
      <w:proofErr w:type="spellEnd"/>
      <w:r w:rsidRPr="002A1CBE">
        <w:rPr>
          <w:lang w:val="en-GB"/>
        </w:rPr>
        <w:t xml:space="preserve"> was shown to cross the blood-brain barrier in a non-linear dose-dependent manner, suggesting saturation of an efflux pump at the blood-brain barrier. Brain penetration of </w:t>
      </w:r>
      <w:proofErr w:type="spellStart"/>
      <w:r w:rsidRPr="002A1CBE">
        <w:rPr>
          <w:lang w:val="en-GB"/>
        </w:rPr>
        <w:t>everolimus</w:t>
      </w:r>
      <w:proofErr w:type="spellEnd"/>
      <w:r w:rsidRPr="002A1CBE">
        <w:rPr>
          <w:lang w:val="en-GB"/>
        </w:rPr>
        <w:t xml:space="preserve"> has also been demonstrated in rats receiving oral doses of </w:t>
      </w:r>
      <w:proofErr w:type="spellStart"/>
      <w:r w:rsidRPr="002A1CBE">
        <w:rPr>
          <w:lang w:val="en-GB"/>
        </w:rPr>
        <w:t>everolimus</w:t>
      </w:r>
      <w:proofErr w:type="spellEnd"/>
      <w:r w:rsidRPr="002A1CBE">
        <w:rPr>
          <w:lang w:val="en-GB"/>
        </w:rPr>
        <w:t xml:space="preserve">, and exposure of </w:t>
      </w:r>
      <w:proofErr w:type="spellStart"/>
      <w:r w:rsidRPr="002A1CBE">
        <w:rPr>
          <w:lang w:val="en-GB"/>
        </w:rPr>
        <w:t>everolimus</w:t>
      </w:r>
      <w:proofErr w:type="spellEnd"/>
      <w:r w:rsidRPr="002A1CBE">
        <w:rPr>
          <w:lang w:val="en-GB"/>
        </w:rPr>
        <w:t xml:space="preserve"> in brain was enhanced by co-a</w:t>
      </w:r>
      <w:r w:rsidR="00C874A3">
        <w:rPr>
          <w:lang w:val="en-GB"/>
        </w:rPr>
        <w:t xml:space="preserve">dministration with </w:t>
      </w:r>
      <w:proofErr w:type="spellStart"/>
      <w:r w:rsidR="00C874A3">
        <w:rPr>
          <w:lang w:val="en-GB"/>
        </w:rPr>
        <w:t>cyclosporin</w:t>
      </w:r>
      <w:proofErr w:type="spellEnd"/>
      <w:r w:rsidR="00C874A3">
        <w:rPr>
          <w:lang w:val="en-GB"/>
        </w:rPr>
        <w:t>.</w:t>
      </w:r>
    </w:p>
    <w:p w14:paraId="1AC8E615" w14:textId="77777777" w:rsidR="001A3992" w:rsidRDefault="001A3992" w:rsidP="001A3992">
      <w:pPr>
        <w:pStyle w:val="Heading3"/>
        <w:spacing w:before="0" w:after="120"/>
        <w:rPr>
          <w:rFonts w:cstheme="minorHAnsi"/>
        </w:rPr>
      </w:pPr>
      <w:r w:rsidRPr="00497C85">
        <w:rPr>
          <w:rFonts w:cstheme="minorHAnsi"/>
        </w:rPr>
        <w:t>Metabolism</w:t>
      </w:r>
    </w:p>
    <w:p w14:paraId="282F6156" w14:textId="77777777" w:rsidR="00557C61" w:rsidRPr="002A1CBE" w:rsidRDefault="00557C61" w:rsidP="00557C61">
      <w:pPr>
        <w:rPr>
          <w:lang w:val="en-GB"/>
        </w:rPr>
      </w:pPr>
      <w:proofErr w:type="spellStart"/>
      <w:r w:rsidRPr="002A1CBE">
        <w:rPr>
          <w:lang w:val="en-GB"/>
        </w:rPr>
        <w:t>Everolimus</w:t>
      </w:r>
      <w:proofErr w:type="spellEnd"/>
      <w:r w:rsidRPr="002A1CBE">
        <w:rPr>
          <w:lang w:val="en-GB"/>
        </w:rPr>
        <w:t xml:space="preserve"> is a substrate of CYP3A4 and P-glycoprotein (</w:t>
      </w:r>
      <w:proofErr w:type="spellStart"/>
      <w:r w:rsidRPr="002A1CBE">
        <w:rPr>
          <w:lang w:val="en-GB"/>
        </w:rPr>
        <w:t>PgP</w:t>
      </w:r>
      <w:proofErr w:type="spellEnd"/>
      <w:r w:rsidRPr="002A1CBE">
        <w:rPr>
          <w:lang w:val="en-GB"/>
        </w:rPr>
        <w:t xml:space="preserve">). Following oral administration, it is the main circulating component in human blood. Six main metabolites of </w:t>
      </w:r>
      <w:proofErr w:type="spellStart"/>
      <w:r w:rsidRPr="002A1CBE">
        <w:rPr>
          <w:lang w:val="en-GB"/>
        </w:rPr>
        <w:t>everolimus</w:t>
      </w:r>
      <w:proofErr w:type="spellEnd"/>
      <w:r w:rsidRPr="002A1CBE">
        <w:rPr>
          <w:lang w:val="en-GB"/>
        </w:rPr>
        <w:t xml:space="preserve"> have been detected in human blood, including three </w:t>
      </w:r>
      <w:proofErr w:type="spellStart"/>
      <w:r w:rsidRPr="002A1CBE">
        <w:rPr>
          <w:lang w:val="en-GB"/>
        </w:rPr>
        <w:t>monohydroxylated</w:t>
      </w:r>
      <w:proofErr w:type="spellEnd"/>
      <w:r w:rsidRPr="002A1CBE">
        <w:rPr>
          <w:lang w:val="en-GB"/>
        </w:rPr>
        <w:t xml:space="preserve"> metabolites, two hydrolytic ring-opened products, and a phosphatidylcholine conjugate of </w:t>
      </w:r>
      <w:proofErr w:type="spellStart"/>
      <w:r w:rsidRPr="002A1CBE">
        <w:rPr>
          <w:lang w:val="en-GB"/>
        </w:rPr>
        <w:t>everolimus</w:t>
      </w:r>
      <w:proofErr w:type="spellEnd"/>
      <w:r w:rsidRPr="002A1CBE">
        <w:rPr>
          <w:lang w:val="en-GB"/>
        </w:rPr>
        <w:t xml:space="preserve">. These metabolites were also identified in animal species used in toxicity studies, and showed approximately 100-times less activity than </w:t>
      </w:r>
      <w:proofErr w:type="spellStart"/>
      <w:r w:rsidRPr="002A1CBE">
        <w:rPr>
          <w:lang w:val="en-GB"/>
        </w:rPr>
        <w:t>everolimus</w:t>
      </w:r>
      <w:proofErr w:type="spellEnd"/>
      <w:r w:rsidRPr="002A1CBE">
        <w:rPr>
          <w:lang w:val="en-GB"/>
        </w:rPr>
        <w:t xml:space="preserve"> itself. Hence, the parent substance is considered to contribute the majority of the overall pharmacological activity of </w:t>
      </w:r>
      <w:proofErr w:type="spellStart"/>
      <w:r w:rsidRPr="002A1CBE">
        <w:rPr>
          <w:lang w:val="en-GB"/>
        </w:rPr>
        <w:t>everolimus</w:t>
      </w:r>
      <w:proofErr w:type="spellEnd"/>
      <w:r w:rsidRPr="002A1CBE">
        <w:rPr>
          <w:lang w:val="en-GB"/>
        </w:rPr>
        <w:t>.</w:t>
      </w:r>
    </w:p>
    <w:p w14:paraId="2B22967E" w14:textId="77777777" w:rsidR="001A3992" w:rsidRDefault="001A3992" w:rsidP="001A3992">
      <w:pPr>
        <w:pStyle w:val="Heading3"/>
        <w:spacing w:before="0" w:after="120"/>
        <w:rPr>
          <w:rFonts w:cstheme="minorHAnsi"/>
        </w:rPr>
      </w:pPr>
      <w:r w:rsidRPr="00497C85">
        <w:rPr>
          <w:rFonts w:cstheme="minorHAnsi"/>
        </w:rPr>
        <w:t>Excretion</w:t>
      </w:r>
    </w:p>
    <w:p w14:paraId="68F43783" w14:textId="77777777" w:rsidR="00557C61" w:rsidRPr="002A1CBE" w:rsidRDefault="00557C61" w:rsidP="00557C61">
      <w:pPr>
        <w:rPr>
          <w:lang w:val="en-GB"/>
        </w:rPr>
      </w:pPr>
      <w:r w:rsidRPr="002A1CBE">
        <w:rPr>
          <w:lang w:val="en-GB"/>
        </w:rPr>
        <w:t xml:space="preserve">No specific excretion studies have been undertaken in cancer patients; however, data are available from the transplant setting. Following the administration of a single dose of </w:t>
      </w:r>
      <w:proofErr w:type="spellStart"/>
      <w:r w:rsidRPr="002A1CBE">
        <w:rPr>
          <w:lang w:val="en-GB"/>
        </w:rPr>
        <w:t>radiolabeled</w:t>
      </w:r>
      <w:proofErr w:type="spellEnd"/>
      <w:r w:rsidRPr="002A1CBE">
        <w:rPr>
          <w:lang w:val="en-GB"/>
        </w:rPr>
        <w:t xml:space="preserve"> </w:t>
      </w:r>
      <w:proofErr w:type="spellStart"/>
      <w:r w:rsidRPr="002A1CBE">
        <w:rPr>
          <w:lang w:val="en-GB"/>
        </w:rPr>
        <w:t>everolimus</w:t>
      </w:r>
      <w:proofErr w:type="spellEnd"/>
      <w:r w:rsidRPr="002A1CBE">
        <w:rPr>
          <w:lang w:val="en-GB"/>
        </w:rPr>
        <w:t xml:space="preserve"> in conjunction with </w:t>
      </w:r>
      <w:proofErr w:type="spellStart"/>
      <w:r w:rsidRPr="002A1CBE">
        <w:rPr>
          <w:lang w:val="en-GB"/>
        </w:rPr>
        <w:t>cyclosporin</w:t>
      </w:r>
      <w:proofErr w:type="spellEnd"/>
      <w:r w:rsidRPr="002A1CBE">
        <w:rPr>
          <w:lang w:val="en-GB"/>
        </w:rPr>
        <w:t>, 80% of the radioactivity was recovered from the faeces, while 5% was excreted in the urine.  The parent substance was not detected in the urine or faeces.</w:t>
      </w:r>
    </w:p>
    <w:p w14:paraId="7C029153" w14:textId="77777777" w:rsidR="00557C61" w:rsidRPr="00084EE0" w:rsidRDefault="00557C61" w:rsidP="00557C61">
      <w:pPr>
        <w:pStyle w:val="Heading3"/>
        <w:spacing w:before="0" w:after="120"/>
      </w:pPr>
      <w:r w:rsidRPr="00084EE0">
        <w:t>Steady-state pharmacokinetics</w:t>
      </w:r>
    </w:p>
    <w:p w14:paraId="098E1D35" w14:textId="77777777" w:rsidR="00557C61" w:rsidRDefault="00557C61" w:rsidP="00557C61">
      <w:pPr>
        <w:rPr>
          <w:lang w:val="en-GB"/>
        </w:rPr>
      </w:pPr>
      <w:r w:rsidRPr="0022140F">
        <w:rPr>
          <w:lang w:val="en-GB"/>
        </w:rPr>
        <w:t xml:space="preserve">After administration of </w:t>
      </w:r>
      <w:proofErr w:type="spellStart"/>
      <w:r w:rsidRPr="0022140F">
        <w:rPr>
          <w:lang w:val="en-GB"/>
        </w:rPr>
        <w:t>Afinitor</w:t>
      </w:r>
      <w:proofErr w:type="spellEnd"/>
      <w:r w:rsidRPr="0022140F">
        <w:rPr>
          <w:lang w:val="en-GB"/>
        </w:rPr>
        <w:t xml:space="preserve"> Tablets in patients with advanced solid tumours, steady-state AUC0-τ was dose-proportional over the range of 5 to 10 mg with a daily dosing regimen. Steady-state was </w:t>
      </w:r>
      <w:r w:rsidRPr="0022140F">
        <w:rPr>
          <w:lang w:val="en-GB"/>
        </w:rPr>
        <w:lastRenderedPageBreak/>
        <w:t xml:space="preserve">achieved within two weeks. </w:t>
      </w:r>
      <w:proofErr w:type="spellStart"/>
      <w:r w:rsidRPr="0022140F">
        <w:rPr>
          <w:lang w:val="en-GB"/>
        </w:rPr>
        <w:t>Cmax</w:t>
      </w:r>
      <w:proofErr w:type="spellEnd"/>
      <w:r w:rsidRPr="0022140F">
        <w:rPr>
          <w:lang w:val="en-GB"/>
        </w:rPr>
        <w:t xml:space="preserve"> is dose-proportional between 5 and 10 mg. </w:t>
      </w:r>
      <w:proofErr w:type="spellStart"/>
      <w:r w:rsidRPr="0022140F">
        <w:rPr>
          <w:lang w:val="en-GB"/>
        </w:rPr>
        <w:t>tmax</w:t>
      </w:r>
      <w:proofErr w:type="spellEnd"/>
      <w:r w:rsidRPr="0022140F">
        <w:rPr>
          <w:lang w:val="en-GB"/>
        </w:rPr>
        <w:t xml:space="preserve"> occurs at 1 to 2 hours post-dose. There was a significant correlation between AUC0- τ and pre-dose trough concentration at steady-state on a daily regimen. Mean elimination half-life is approximately 30 hours.</w:t>
      </w:r>
    </w:p>
    <w:p w14:paraId="2C033E11" w14:textId="77777777" w:rsidR="00557C61" w:rsidRDefault="00557C61" w:rsidP="00557C61">
      <w:pPr>
        <w:pStyle w:val="Heading3"/>
        <w:spacing w:before="0" w:after="120"/>
      </w:pPr>
      <w:r>
        <w:t>Special population</w:t>
      </w:r>
    </w:p>
    <w:p w14:paraId="1370D46A" w14:textId="77777777" w:rsidR="00557C61" w:rsidRPr="00084EE0" w:rsidRDefault="00557C61" w:rsidP="00557C61">
      <w:pPr>
        <w:pStyle w:val="Heading3"/>
        <w:tabs>
          <w:tab w:val="left" w:pos="567"/>
        </w:tabs>
        <w:spacing w:before="0" w:after="240" w:line="320" w:lineRule="atLeast"/>
        <w:ind w:left="0"/>
        <w:rPr>
          <w:rFonts w:ascii="Times New Roman" w:hAnsi="Times New Roman"/>
          <w:b w:val="0"/>
          <w:i/>
          <w:lang w:val="en-GB"/>
        </w:rPr>
      </w:pPr>
      <w:r w:rsidRPr="00084EE0">
        <w:rPr>
          <w:rFonts w:ascii="Times New Roman" w:hAnsi="Times New Roman"/>
          <w:b w:val="0"/>
          <w:i/>
          <w:lang w:val="en-GB"/>
        </w:rPr>
        <w:t>Hepatic impairment</w:t>
      </w:r>
    </w:p>
    <w:p w14:paraId="6A91AFDC" w14:textId="0F8F1C50" w:rsidR="00557C61" w:rsidRPr="002A1CBE" w:rsidRDefault="00557C61" w:rsidP="00557C61">
      <w:pPr>
        <w:rPr>
          <w:lang w:val="en-GB"/>
        </w:rPr>
      </w:pPr>
      <w:r w:rsidRPr="002A1CBE">
        <w:t xml:space="preserve">The safety, tolerability and pharmacokinetics of </w:t>
      </w:r>
      <w:proofErr w:type="spellStart"/>
      <w:r w:rsidRPr="002A1CBE">
        <w:t>Afinitor</w:t>
      </w:r>
      <w:proofErr w:type="spellEnd"/>
      <w:r w:rsidRPr="002A1CBE">
        <w:t xml:space="preserve"> were evaluated in </w:t>
      </w:r>
      <w:r w:rsidRPr="002A1CBE">
        <w:rPr>
          <w:lang w:val="en-US"/>
        </w:rPr>
        <w:t xml:space="preserve">two </w:t>
      </w:r>
      <w:r w:rsidRPr="002A1CBE">
        <w:t>single oral dose stud</w:t>
      </w:r>
      <w:proofErr w:type="spellStart"/>
      <w:r w:rsidRPr="002A1CBE">
        <w:rPr>
          <w:lang w:val="en-US"/>
        </w:rPr>
        <w:t>ies</w:t>
      </w:r>
      <w:proofErr w:type="spellEnd"/>
      <w:r w:rsidRPr="002A1CBE">
        <w:t xml:space="preserve"> of </w:t>
      </w:r>
      <w:proofErr w:type="spellStart"/>
      <w:r w:rsidRPr="002A1CBE">
        <w:rPr>
          <w:lang w:val="en-US"/>
        </w:rPr>
        <w:t>Afinitor</w:t>
      </w:r>
      <w:proofErr w:type="spellEnd"/>
      <w:r w:rsidRPr="002A1CBE">
        <w:rPr>
          <w:lang w:val="en-US"/>
        </w:rPr>
        <w:t xml:space="preserve"> Tablets</w:t>
      </w:r>
      <w:r w:rsidRPr="002A1CBE">
        <w:t xml:space="preserve"> in </w:t>
      </w:r>
      <w:r w:rsidRPr="002A1CBE">
        <w:rPr>
          <w:lang w:val="en-US"/>
        </w:rPr>
        <w:t xml:space="preserve">8 and </w:t>
      </w:r>
      <w:r w:rsidRPr="002A1CBE">
        <w:t xml:space="preserve">34 subjects with impaired hepatic function relative to subjects with normal hepatic function. In one study, </w:t>
      </w:r>
      <w:r w:rsidRPr="002A1CBE">
        <w:rPr>
          <w:lang w:val="en-GB"/>
        </w:rPr>
        <w:t xml:space="preserve">the average AUC of </w:t>
      </w:r>
      <w:proofErr w:type="spellStart"/>
      <w:r w:rsidRPr="002A1CBE">
        <w:rPr>
          <w:lang w:val="en-GB"/>
        </w:rPr>
        <w:t>everolimus</w:t>
      </w:r>
      <w:proofErr w:type="spellEnd"/>
      <w:r w:rsidRPr="002A1CBE">
        <w:rPr>
          <w:lang w:val="en-GB"/>
        </w:rPr>
        <w:t xml:space="preserve"> in 8 subjects with moderate hepatic impairment (Child-Pugh class B) was twice that found in 8 subjects with normal hepatic function. In a second study of 34 subjects with different impaired hepatic function </w:t>
      </w:r>
      <w:r w:rsidRPr="002A1CBE">
        <w:t>compared to normal subjects, there was a 1.6-fold, 3.3-fold, and 3.6-fold increase in exposure (i.e. AUC</w:t>
      </w:r>
      <w:r w:rsidRPr="002A1CBE">
        <w:rPr>
          <w:vertAlign w:val="subscript"/>
        </w:rPr>
        <w:t>(0-inf)</w:t>
      </w:r>
      <w:r w:rsidRPr="002A1CBE">
        <w:t xml:space="preserve">) for subjects with mild (Child-Pugh A), moderate (Child-Pugh B), and severe (Child-Pugh C) hepatic impairment , respectively. </w:t>
      </w:r>
      <w:r w:rsidRPr="002A1CBE">
        <w:rPr>
          <w:bCs/>
        </w:rPr>
        <w:t>Simulations of multiple dose pharmacokinetics support the dosing recommendations in hepatic impaired subjects based on their Child Pugh status.</w:t>
      </w:r>
      <w:r w:rsidRPr="002A1CBE">
        <w:rPr>
          <w:bCs/>
          <w:lang w:val="en-US"/>
        </w:rPr>
        <w:t xml:space="preserve"> D</w:t>
      </w:r>
      <w:proofErr w:type="spellStart"/>
      <w:r w:rsidRPr="002A1CBE">
        <w:t>ose</w:t>
      </w:r>
      <w:proofErr w:type="spellEnd"/>
      <w:r w:rsidRPr="002A1CBE">
        <w:t xml:space="preserve"> adjustment is recommended for patients with hepatic impairment </w:t>
      </w:r>
      <w:r w:rsidRPr="002A1CBE">
        <w:rPr>
          <w:lang w:val="en-GB"/>
        </w:rPr>
        <w:t xml:space="preserve">(see </w:t>
      </w:r>
      <w:r>
        <w:rPr>
          <w:lang w:val="en-GB"/>
        </w:rPr>
        <w:t>section 4.2 ‘Dos</w:t>
      </w:r>
      <w:r w:rsidRPr="002A1CBE">
        <w:rPr>
          <w:lang w:val="en-GB"/>
        </w:rPr>
        <w:t xml:space="preserve">e and </w:t>
      </w:r>
      <w:r>
        <w:rPr>
          <w:lang w:val="en-GB"/>
        </w:rPr>
        <w:t>method of a</w:t>
      </w:r>
      <w:r w:rsidRPr="002A1CBE">
        <w:rPr>
          <w:lang w:val="en-GB"/>
        </w:rPr>
        <w:t xml:space="preserve">dministration and </w:t>
      </w:r>
      <w:r>
        <w:rPr>
          <w:lang w:val="en-GB"/>
        </w:rPr>
        <w:t>4.4 ‘Special warning and p</w:t>
      </w:r>
      <w:r w:rsidRPr="002A1CBE">
        <w:rPr>
          <w:lang w:val="en-GB"/>
        </w:rPr>
        <w:t>recautions</w:t>
      </w:r>
      <w:r>
        <w:rPr>
          <w:lang w:val="en-GB"/>
        </w:rPr>
        <w:t>’</w:t>
      </w:r>
      <w:r w:rsidRPr="002A1CBE">
        <w:rPr>
          <w:lang w:val="en-GB"/>
        </w:rPr>
        <w:t>).</w:t>
      </w:r>
    </w:p>
    <w:p w14:paraId="182A47CF" w14:textId="77777777" w:rsidR="00557C61" w:rsidRPr="002A1CBE" w:rsidRDefault="00557C61" w:rsidP="00557C61">
      <w:pPr>
        <w:pStyle w:val="Heading3"/>
        <w:tabs>
          <w:tab w:val="left" w:pos="567"/>
        </w:tabs>
        <w:spacing w:before="0" w:after="240" w:line="320" w:lineRule="atLeast"/>
        <w:ind w:left="0"/>
        <w:rPr>
          <w:rFonts w:ascii="Times New Roman" w:hAnsi="Times New Roman"/>
          <w:lang w:val="en-GB"/>
        </w:rPr>
      </w:pPr>
      <w:r w:rsidRPr="00084EE0">
        <w:rPr>
          <w:rFonts w:ascii="Times New Roman" w:hAnsi="Times New Roman"/>
          <w:b w:val="0"/>
          <w:i/>
          <w:lang w:val="en-GB"/>
        </w:rPr>
        <w:t>Renal impairment</w:t>
      </w:r>
    </w:p>
    <w:p w14:paraId="291198CE" w14:textId="77777777" w:rsidR="00557C61" w:rsidRPr="002A1CBE" w:rsidRDefault="00557C61" w:rsidP="00557C61">
      <w:pPr>
        <w:rPr>
          <w:lang w:val="en-GB"/>
        </w:rPr>
      </w:pPr>
      <w:r w:rsidRPr="002A1CBE">
        <w:rPr>
          <w:lang w:val="en-GB"/>
        </w:rPr>
        <w:t xml:space="preserve">In a population pharmacokinetic analysis of 170 patients with advanced cancer, no significant influence of creatinine clearance (25 to 178 mL/min) was detected on CL/F of </w:t>
      </w:r>
      <w:proofErr w:type="spellStart"/>
      <w:r w:rsidRPr="002A1CBE">
        <w:rPr>
          <w:lang w:val="en-GB"/>
        </w:rPr>
        <w:t>everolimus</w:t>
      </w:r>
      <w:proofErr w:type="spellEnd"/>
      <w:r w:rsidRPr="002A1CBE">
        <w:rPr>
          <w:lang w:val="en-GB"/>
        </w:rPr>
        <w:t xml:space="preserve">. Post-transplant renal impairment (creatinine clearance range 11 to 107 mL/min) did not affect the pharmacokinetics of </w:t>
      </w:r>
      <w:proofErr w:type="spellStart"/>
      <w:r w:rsidRPr="002A1CBE">
        <w:rPr>
          <w:lang w:val="en-GB"/>
        </w:rPr>
        <w:t>everolimus</w:t>
      </w:r>
      <w:proofErr w:type="spellEnd"/>
      <w:r w:rsidRPr="002A1CBE">
        <w:rPr>
          <w:lang w:val="en-GB"/>
        </w:rPr>
        <w:t xml:space="preserve"> in transplant patients.</w:t>
      </w:r>
    </w:p>
    <w:p w14:paraId="1B6F4DE0" w14:textId="77777777" w:rsidR="00557C61" w:rsidRPr="00084EE0" w:rsidRDefault="00557C61" w:rsidP="00557C61">
      <w:pPr>
        <w:pStyle w:val="Heading3"/>
        <w:tabs>
          <w:tab w:val="left" w:pos="567"/>
        </w:tabs>
        <w:spacing w:before="0" w:after="240" w:line="320" w:lineRule="atLeast"/>
        <w:ind w:left="0"/>
        <w:rPr>
          <w:rFonts w:ascii="Times New Roman" w:hAnsi="Times New Roman"/>
          <w:b w:val="0"/>
          <w:i/>
          <w:lang w:val="en-GB"/>
        </w:rPr>
      </w:pPr>
      <w:r w:rsidRPr="00084EE0">
        <w:rPr>
          <w:rFonts w:ascii="Times New Roman" w:hAnsi="Times New Roman"/>
          <w:b w:val="0"/>
          <w:i/>
          <w:lang w:val="en-GB"/>
        </w:rPr>
        <w:t>Paediatrics</w:t>
      </w:r>
    </w:p>
    <w:p w14:paraId="180B4F29" w14:textId="6095C80D" w:rsidR="00557C61" w:rsidRPr="002A1CBE" w:rsidRDefault="00557C61" w:rsidP="00557C61">
      <w:pPr>
        <w:rPr>
          <w:lang w:val="en-GB"/>
        </w:rPr>
      </w:pPr>
      <w:r w:rsidRPr="002A1CBE">
        <w:rPr>
          <w:lang w:val="en-GB"/>
        </w:rPr>
        <w:t xml:space="preserve">There is no relevant indication for use of </w:t>
      </w:r>
      <w:proofErr w:type="spellStart"/>
      <w:r w:rsidRPr="002A1CBE">
        <w:rPr>
          <w:lang w:val="en-GB"/>
        </w:rPr>
        <w:t>Afinitor</w:t>
      </w:r>
      <w:proofErr w:type="spellEnd"/>
      <w:r w:rsidRPr="002A1CBE">
        <w:rPr>
          <w:lang w:val="en-GB"/>
        </w:rPr>
        <w:t xml:space="preserve"> in the paediatric cancer population (see </w:t>
      </w:r>
      <w:r>
        <w:rPr>
          <w:lang w:val="en-GB"/>
        </w:rPr>
        <w:t>section 4.2 ‘Dos</w:t>
      </w:r>
      <w:r w:rsidRPr="002A1CBE">
        <w:rPr>
          <w:lang w:val="en-GB"/>
        </w:rPr>
        <w:t>e and</w:t>
      </w:r>
      <w:r>
        <w:rPr>
          <w:lang w:val="en-GB"/>
        </w:rPr>
        <w:t xml:space="preserve"> method of a</w:t>
      </w:r>
      <w:r w:rsidRPr="002A1CBE">
        <w:rPr>
          <w:lang w:val="en-GB"/>
        </w:rPr>
        <w:t>dministration</w:t>
      </w:r>
      <w:r>
        <w:rPr>
          <w:lang w:val="en-GB"/>
        </w:rPr>
        <w:t>’</w:t>
      </w:r>
      <w:r w:rsidRPr="002A1CBE">
        <w:rPr>
          <w:lang w:val="en-GB"/>
        </w:rPr>
        <w:t xml:space="preserve">) or in paediatric patients with TSC who have renal </w:t>
      </w:r>
      <w:proofErr w:type="spellStart"/>
      <w:r w:rsidRPr="002A1CBE">
        <w:rPr>
          <w:lang w:val="en-GB"/>
        </w:rPr>
        <w:t>angiomyolipoma</w:t>
      </w:r>
      <w:proofErr w:type="spellEnd"/>
      <w:r w:rsidRPr="002A1CBE">
        <w:rPr>
          <w:lang w:val="en-GB"/>
        </w:rPr>
        <w:t xml:space="preserve">. In patients with TSC who have SEGA receiving </w:t>
      </w:r>
      <w:proofErr w:type="spellStart"/>
      <w:r w:rsidRPr="002A1CBE">
        <w:rPr>
          <w:lang w:val="en-GB"/>
        </w:rPr>
        <w:t>Afinitor</w:t>
      </w:r>
      <w:proofErr w:type="spellEnd"/>
      <w:r w:rsidRPr="002A1CBE">
        <w:rPr>
          <w:lang w:val="en-GB"/>
        </w:rPr>
        <w:t xml:space="preserve"> tablets, </w:t>
      </w:r>
      <w:proofErr w:type="spellStart"/>
      <w:r w:rsidRPr="002A1CBE">
        <w:rPr>
          <w:lang w:val="en-GB"/>
        </w:rPr>
        <w:t>everolimus</w:t>
      </w:r>
      <w:proofErr w:type="spellEnd"/>
      <w:r w:rsidRPr="002A1CBE">
        <w:rPr>
          <w:lang w:val="en-GB"/>
        </w:rPr>
        <w:t xml:space="preserve"> </w:t>
      </w:r>
      <w:proofErr w:type="spellStart"/>
      <w:r w:rsidRPr="002A1CBE">
        <w:rPr>
          <w:lang w:val="en-GB"/>
        </w:rPr>
        <w:t>Cmin</w:t>
      </w:r>
      <w:proofErr w:type="spellEnd"/>
      <w:r w:rsidRPr="002A1CBE">
        <w:rPr>
          <w:lang w:val="en-GB"/>
        </w:rPr>
        <w:t xml:space="preserve"> was approximately dose-proportional within the dose range from 1.35 mg/m</w:t>
      </w:r>
      <w:r w:rsidRPr="002A1CBE">
        <w:rPr>
          <w:vertAlign w:val="superscript"/>
          <w:lang w:val="en-GB"/>
        </w:rPr>
        <w:t>2</w:t>
      </w:r>
      <w:r w:rsidRPr="002A1CBE">
        <w:rPr>
          <w:lang w:val="en-GB"/>
        </w:rPr>
        <w:t xml:space="preserve"> to 14.4 mg/m</w:t>
      </w:r>
      <w:r w:rsidRPr="002A1CBE">
        <w:rPr>
          <w:vertAlign w:val="superscript"/>
          <w:lang w:val="en-GB"/>
        </w:rPr>
        <w:t>2</w:t>
      </w:r>
      <w:r w:rsidRPr="002A1CBE">
        <w:rPr>
          <w:lang w:val="en-GB"/>
        </w:rPr>
        <w:t>.</w:t>
      </w:r>
    </w:p>
    <w:p w14:paraId="04E8A7FF" w14:textId="77777777" w:rsidR="00557C61" w:rsidRDefault="00557C61" w:rsidP="00557C61">
      <w:pPr>
        <w:rPr>
          <w:lang w:val="en-GB"/>
        </w:rPr>
      </w:pPr>
      <w:r w:rsidRPr="002A1CBE">
        <w:rPr>
          <w:lang w:val="en-GB"/>
        </w:rPr>
        <w:t xml:space="preserve">In patients with TSC who have SEGA receiving </w:t>
      </w:r>
      <w:proofErr w:type="spellStart"/>
      <w:r w:rsidRPr="002A1CBE">
        <w:rPr>
          <w:lang w:val="en-GB"/>
        </w:rPr>
        <w:t>Afinitor</w:t>
      </w:r>
      <w:proofErr w:type="spellEnd"/>
      <w:r w:rsidRPr="002A1CBE">
        <w:rPr>
          <w:lang w:val="en-GB"/>
        </w:rPr>
        <w:t xml:space="preserve"> tablets, the </w:t>
      </w:r>
      <w:proofErr w:type="spellStart"/>
      <w:r w:rsidRPr="002A1CBE">
        <w:rPr>
          <w:lang w:val="en-GB"/>
        </w:rPr>
        <w:t>everolimus</w:t>
      </w:r>
      <w:proofErr w:type="spellEnd"/>
      <w:r w:rsidRPr="002A1CBE">
        <w:rPr>
          <w:lang w:val="en-GB"/>
        </w:rPr>
        <w:t xml:space="preserve"> geometric mean </w:t>
      </w:r>
      <w:proofErr w:type="spellStart"/>
      <w:r w:rsidRPr="002A1CBE">
        <w:rPr>
          <w:lang w:val="en-GB"/>
        </w:rPr>
        <w:t>Cmin</w:t>
      </w:r>
      <w:proofErr w:type="spellEnd"/>
      <w:r w:rsidRPr="002A1CBE">
        <w:rPr>
          <w:lang w:val="en-GB"/>
        </w:rPr>
        <w:t xml:space="preserve"> values normalised to mg/m</w:t>
      </w:r>
      <w:r w:rsidRPr="002A1CBE">
        <w:rPr>
          <w:vertAlign w:val="superscript"/>
          <w:lang w:val="en-GB"/>
        </w:rPr>
        <w:t>2</w:t>
      </w:r>
      <w:r w:rsidRPr="002A1CBE">
        <w:rPr>
          <w:lang w:val="en-GB"/>
        </w:rPr>
        <w:t xml:space="preserve"> dose in patients aged &lt; 10 years and 10-18 years were statistically lower than those observed in adults (&gt; 18 years of age), suggesting that </w:t>
      </w:r>
      <w:proofErr w:type="spellStart"/>
      <w:r w:rsidRPr="002A1CBE">
        <w:rPr>
          <w:lang w:val="en-GB"/>
        </w:rPr>
        <w:t>everolimus</w:t>
      </w:r>
      <w:proofErr w:type="spellEnd"/>
      <w:r w:rsidRPr="002A1CBE">
        <w:rPr>
          <w:lang w:val="en-GB"/>
        </w:rPr>
        <w:t xml:space="preserve"> clearance was higher in younger patients.</w:t>
      </w:r>
    </w:p>
    <w:p w14:paraId="6C819BC7" w14:textId="77777777" w:rsidR="00557C61" w:rsidRPr="002A1CBE" w:rsidRDefault="00557C61" w:rsidP="00557C61">
      <w:pPr>
        <w:rPr>
          <w:lang w:val="en-GB"/>
        </w:rPr>
      </w:pPr>
      <w:r w:rsidRPr="00C61A7E">
        <w:rPr>
          <w:szCs w:val="24"/>
        </w:rPr>
        <w:t xml:space="preserve">In patients with TSC and refractory seizures receiving </w:t>
      </w:r>
      <w:proofErr w:type="spellStart"/>
      <w:r w:rsidRPr="00C61A7E">
        <w:rPr>
          <w:szCs w:val="24"/>
        </w:rPr>
        <w:t>Afinitor</w:t>
      </w:r>
      <w:proofErr w:type="spellEnd"/>
      <w:r w:rsidRPr="00C61A7E">
        <w:rPr>
          <w:szCs w:val="24"/>
        </w:rPr>
        <w:t xml:space="preserve"> Dispersible Tablets, a trend was observed toward lower </w:t>
      </w:r>
      <w:proofErr w:type="spellStart"/>
      <w:r w:rsidRPr="00C61A7E">
        <w:rPr>
          <w:szCs w:val="24"/>
        </w:rPr>
        <w:t>C</w:t>
      </w:r>
      <w:r w:rsidRPr="00C61A7E">
        <w:rPr>
          <w:szCs w:val="24"/>
          <w:vertAlign w:val="subscript"/>
        </w:rPr>
        <w:t>min</w:t>
      </w:r>
      <w:proofErr w:type="spellEnd"/>
      <w:r w:rsidRPr="00C61A7E">
        <w:rPr>
          <w:szCs w:val="24"/>
        </w:rPr>
        <w:t xml:space="preserve"> normalized to dose (as mg/m</w:t>
      </w:r>
      <w:r w:rsidRPr="00C61A7E">
        <w:rPr>
          <w:szCs w:val="24"/>
          <w:vertAlign w:val="superscript"/>
        </w:rPr>
        <w:t>2</w:t>
      </w:r>
      <w:r w:rsidRPr="00C61A7E">
        <w:rPr>
          <w:szCs w:val="24"/>
        </w:rPr>
        <w:t xml:space="preserve">) in younger patients. Median </w:t>
      </w:r>
      <w:proofErr w:type="spellStart"/>
      <w:r w:rsidRPr="00C61A7E">
        <w:rPr>
          <w:szCs w:val="24"/>
        </w:rPr>
        <w:t>C</w:t>
      </w:r>
      <w:r w:rsidRPr="00C61A7E">
        <w:rPr>
          <w:szCs w:val="24"/>
          <w:vertAlign w:val="subscript"/>
        </w:rPr>
        <w:t>min</w:t>
      </w:r>
      <w:proofErr w:type="spellEnd"/>
      <w:r w:rsidRPr="00C61A7E">
        <w:rPr>
          <w:szCs w:val="24"/>
        </w:rPr>
        <w:t xml:space="preserve"> normalized to mg/m</w:t>
      </w:r>
      <w:r w:rsidRPr="00C61A7E">
        <w:rPr>
          <w:szCs w:val="24"/>
          <w:vertAlign w:val="superscript"/>
        </w:rPr>
        <w:t>2</w:t>
      </w:r>
      <w:r w:rsidRPr="00C61A7E">
        <w:rPr>
          <w:szCs w:val="24"/>
        </w:rPr>
        <w:t xml:space="preserve"> dose was lower for the younger age groups, indicating that </w:t>
      </w:r>
      <w:proofErr w:type="spellStart"/>
      <w:r w:rsidRPr="00C61A7E">
        <w:rPr>
          <w:szCs w:val="24"/>
        </w:rPr>
        <w:t>everolimus</w:t>
      </w:r>
      <w:proofErr w:type="spellEnd"/>
      <w:r w:rsidRPr="00C61A7E">
        <w:rPr>
          <w:szCs w:val="24"/>
        </w:rPr>
        <w:t xml:space="preserve"> clearance (normalized to body surface area) was higher in younger patient</w:t>
      </w:r>
      <w:r>
        <w:rPr>
          <w:szCs w:val="24"/>
        </w:rPr>
        <w:t>s.</w:t>
      </w:r>
    </w:p>
    <w:p w14:paraId="5AC6D9FC" w14:textId="77777777" w:rsidR="00557C61" w:rsidRPr="002A1CBE" w:rsidRDefault="00557C61" w:rsidP="00557C61">
      <w:pPr>
        <w:pStyle w:val="Heading3"/>
        <w:tabs>
          <w:tab w:val="left" w:pos="567"/>
        </w:tabs>
        <w:spacing w:before="0" w:after="240" w:line="320" w:lineRule="atLeast"/>
        <w:ind w:left="0"/>
        <w:rPr>
          <w:rFonts w:ascii="Times New Roman" w:hAnsi="Times New Roman"/>
          <w:lang w:val="en-GB"/>
        </w:rPr>
      </w:pPr>
      <w:r w:rsidRPr="00084EE0">
        <w:rPr>
          <w:rFonts w:ascii="Times New Roman" w:hAnsi="Times New Roman"/>
          <w:b w:val="0"/>
          <w:i/>
          <w:lang w:val="en-GB"/>
        </w:rPr>
        <w:lastRenderedPageBreak/>
        <w:t>Elderly</w:t>
      </w:r>
    </w:p>
    <w:p w14:paraId="19A58F16" w14:textId="77777777" w:rsidR="00557C61" w:rsidRPr="002A1CBE" w:rsidRDefault="00557C61" w:rsidP="00557C61">
      <w:pPr>
        <w:rPr>
          <w:lang w:val="en-GB"/>
        </w:rPr>
      </w:pPr>
      <w:r w:rsidRPr="002A1CBE">
        <w:rPr>
          <w:lang w:val="en-GB"/>
        </w:rPr>
        <w:t xml:space="preserve">In a population pharmacokinetic evaluation in cancer patients, no significant influence of age (27 – 85 years) on oral clearance (CL/F: range 4.8 to 54.5 litres/hour) of </w:t>
      </w:r>
      <w:proofErr w:type="spellStart"/>
      <w:r w:rsidRPr="002A1CBE">
        <w:rPr>
          <w:lang w:val="en-GB"/>
        </w:rPr>
        <w:t>everolimus</w:t>
      </w:r>
      <w:proofErr w:type="spellEnd"/>
      <w:r w:rsidRPr="002A1CBE">
        <w:rPr>
          <w:lang w:val="en-GB"/>
        </w:rPr>
        <w:t xml:space="preserve"> was detected. </w:t>
      </w:r>
    </w:p>
    <w:p w14:paraId="6063DFBA" w14:textId="77777777" w:rsidR="00557C61" w:rsidRPr="002A1CBE" w:rsidRDefault="00557C61" w:rsidP="00557C61">
      <w:pPr>
        <w:pStyle w:val="Heading3"/>
        <w:tabs>
          <w:tab w:val="left" w:pos="567"/>
        </w:tabs>
        <w:spacing w:before="0" w:after="240" w:line="320" w:lineRule="atLeast"/>
        <w:ind w:left="0"/>
        <w:rPr>
          <w:rFonts w:ascii="Times New Roman" w:hAnsi="Times New Roman"/>
          <w:lang w:val="en-GB"/>
        </w:rPr>
      </w:pPr>
      <w:r w:rsidRPr="00084EE0">
        <w:rPr>
          <w:rFonts w:ascii="Times New Roman" w:hAnsi="Times New Roman"/>
          <w:b w:val="0"/>
          <w:i/>
          <w:lang w:val="en-GB"/>
        </w:rPr>
        <w:t>Ethnicity</w:t>
      </w:r>
    </w:p>
    <w:p w14:paraId="728ACD31" w14:textId="6D28960E" w:rsidR="00557C61" w:rsidRPr="002A1CBE" w:rsidRDefault="00557C61" w:rsidP="00557C61">
      <w:pPr>
        <w:rPr>
          <w:lang w:val="en-GB"/>
        </w:rPr>
      </w:pPr>
      <w:r w:rsidRPr="002A1CBE">
        <w:rPr>
          <w:lang w:val="en-GB"/>
        </w:rPr>
        <w:t xml:space="preserve">Asian patients with neuroendocrine tumours (NETs) showed a consistent pattern of reduced clearance, and higher AUC values, with higher </w:t>
      </w:r>
      <w:proofErr w:type="spellStart"/>
      <w:r w:rsidRPr="002A1CBE">
        <w:rPr>
          <w:lang w:val="en-GB"/>
        </w:rPr>
        <w:t>C</w:t>
      </w:r>
      <w:r w:rsidRPr="002A1CBE">
        <w:rPr>
          <w:vertAlign w:val="subscript"/>
          <w:lang w:val="en-GB"/>
        </w:rPr>
        <w:t>min</w:t>
      </w:r>
      <w:proofErr w:type="spellEnd"/>
      <w:r w:rsidRPr="002A1CBE">
        <w:rPr>
          <w:lang w:val="en-GB"/>
        </w:rPr>
        <w:t xml:space="preserve"> values compared to non-Asian patients (see</w:t>
      </w:r>
      <w:r>
        <w:rPr>
          <w:lang w:val="en-GB"/>
        </w:rPr>
        <w:t xml:space="preserve"> section 4.2 ‘Special warnings and p</w:t>
      </w:r>
      <w:r w:rsidRPr="002A1CBE">
        <w:rPr>
          <w:lang w:val="en-GB"/>
        </w:rPr>
        <w:t>recautions</w:t>
      </w:r>
      <w:r>
        <w:rPr>
          <w:lang w:val="en-GB"/>
        </w:rPr>
        <w:t xml:space="preserve"> for use’</w:t>
      </w:r>
      <w:r w:rsidRPr="002A1CBE">
        <w:rPr>
          <w:lang w:val="en-GB"/>
        </w:rPr>
        <w:t>).</w:t>
      </w:r>
    </w:p>
    <w:p w14:paraId="51EEBCD9" w14:textId="77777777" w:rsidR="00557C61" w:rsidRPr="00084EE0" w:rsidRDefault="00557C61" w:rsidP="00557C61">
      <w:pPr>
        <w:rPr>
          <w:lang w:val="en-GB"/>
        </w:rPr>
      </w:pPr>
      <w:r w:rsidRPr="002A1CBE">
        <w:rPr>
          <w:lang w:val="en-GB"/>
        </w:rPr>
        <w:t>Based on analysis of population pharmacokinetics, oral clearance (CL/F) is, on average, 20% higher in black transplant patients.</w:t>
      </w:r>
    </w:p>
    <w:p w14:paraId="0F6BDED1" w14:textId="77777777" w:rsidR="001A3992" w:rsidRPr="00497C85" w:rsidRDefault="001A3992" w:rsidP="001A3992">
      <w:pPr>
        <w:pStyle w:val="Heading2"/>
        <w:spacing w:before="0" w:after="120"/>
        <w:rPr>
          <w:rFonts w:cstheme="minorHAnsi"/>
          <w:lang w:val="en-US"/>
        </w:rPr>
      </w:pPr>
      <w:r w:rsidRPr="00497C85">
        <w:rPr>
          <w:rFonts w:cstheme="minorHAnsi"/>
          <w:lang w:val="en-US"/>
        </w:rPr>
        <w:t>Preclinical safety data</w:t>
      </w:r>
    </w:p>
    <w:p w14:paraId="384FA5DC" w14:textId="77777777" w:rsidR="001A3992" w:rsidRDefault="001A3992" w:rsidP="001A3992">
      <w:pPr>
        <w:pStyle w:val="Heading3"/>
        <w:spacing w:before="0" w:after="120"/>
        <w:rPr>
          <w:rFonts w:cstheme="minorHAnsi"/>
        </w:rPr>
      </w:pPr>
      <w:r w:rsidRPr="00497C85">
        <w:rPr>
          <w:rFonts w:cstheme="minorHAnsi"/>
        </w:rPr>
        <w:t>Genotoxicity</w:t>
      </w:r>
    </w:p>
    <w:p w14:paraId="629AA9A8" w14:textId="77777777" w:rsidR="00557C61" w:rsidRPr="002A1CBE" w:rsidRDefault="00557C61" w:rsidP="00557C61">
      <w:pPr>
        <w:rPr>
          <w:lang w:val="en-GB"/>
        </w:rPr>
      </w:pPr>
      <w:proofErr w:type="spellStart"/>
      <w:r w:rsidRPr="002A1CBE">
        <w:rPr>
          <w:lang w:val="en-GB"/>
        </w:rPr>
        <w:t>Everolimus</w:t>
      </w:r>
      <w:proofErr w:type="spellEnd"/>
      <w:r w:rsidRPr="002A1CBE">
        <w:rPr>
          <w:lang w:val="en-GB"/>
        </w:rPr>
        <w:t xml:space="preserve"> did not show genotoxicity in in vitro tests for gene mutation (bacteria and mammalian cells), and in an in vitro test and an in vivo mouse micronucleus assay for </w:t>
      </w:r>
      <w:proofErr w:type="spellStart"/>
      <w:r w:rsidRPr="002A1CBE">
        <w:rPr>
          <w:lang w:val="en-GB"/>
        </w:rPr>
        <w:t>clastogenic</w:t>
      </w:r>
      <w:proofErr w:type="spellEnd"/>
      <w:r w:rsidRPr="002A1CBE">
        <w:rPr>
          <w:lang w:val="en-GB"/>
        </w:rPr>
        <w:t xml:space="preserve"> activity. </w:t>
      </w:r>
    </w:p>
    <w:p w14:paraId="5379DD9B" w14:textId="77777777" w:rsidR="001A3992" w:rsidRDefault="001A3992" w:rsidP="001A3992">
      <w:pPr>
        <w:pStyle w:val="Heading3"/>
        <w:spacing w:before="0" w:after="120"/>
        <w:rPr>
          <w:rFonts w:cstheme="minorHAnsi"/>
          <w:lang w:val="en-US"/>
        </w:rPr>
      </w:pPr>
      <w:proofErr w:type="spellStart"/>
      <w:r w:rsidRPr="00497C85">
        <w:rPr>
          <w:rFonts w:cstheme="minorHAnsi"/>
        </w:rPr>
        <w:t>Carcin</w:t>
      </w:r>
      <w:r w:rsidRPr="00497C85">
        <w:rPr>
          <w:rFonts w:cstheme="minorHAnsi"/>
          <w:lang w:val="en-US"/>
        </w:rPr>
        <w:t>ogenicity</w:t>
      </w:r>
      <w:proofErr w:type="spellEnd"/>
    </w:p>
    <w:p w14:paraId="05376D7C" w14:textId="77777777" w:rsidR="00557C61" w:rsidRDefault="00557C61" w:rsidP="00557C61">
      <w:pPr>
        <w:rPr>
          <w:lang w:val="en-GB"/>
        </w:rPr>
      </w:pPr>
      <w:r w:rsidRPr="002A1CBE">
        <w:rPr>
          <w:lang w:val="en-GB"/>
        </w:rPr>
        <w:t xml:space="preserve">Long-term carcinogenicity studies have been carried out in mice and rats and no oncogenic responses were observed. Drug exposures (blood AUC) were up to 4-times </w:t>
      </w:r>
      <w:r w:rsidRPr="002A1CBE">
        <w:rPr>
          <w:vertAlign w:val="superscript"/>
          <w:lang w:val="en-GB"/>
        </w:rPr>
        <w:footnoteReference w:id="6"/>
      </w:r>
      <w:r w:rsidRPr="002A1CBE">
        <w:rPr>
          <w:vertAlign w:val="superscript"/>
          <w:lang w:val="en-GB"/>
        </w:rPr>
        <w:t xml:space="preserve"> </w:t>
      </w:r>
      <w:r w:rsidRPr="002A1CBE">
        <w:rPr>
          <w:lang w:val="en-GB"/>
        </w:rPr>
        <w:t xml:space="preserve">the expected human value at 10 mg/day in mice, but were less than the expected maximum human value in rats.  </w:t>
      </w:r>
    </w:p>
    <w:p w14:paraId="7361E9DF" w14:textId="77777777" w:rsidR="001A3992" w:rsidRPr="00497C85" w:rsidRDefault="001A3992" w:rsidP="001A3992">
      <w:pPr>
        <w:pStyle w:val="Heading1"/>
        <w:spacing w:before="0" w:after="120"/>
        <w:rPr>
          <w:rFonts w:cstheme="minorHAnsi"/>
          <w:lang w:val="en-US"/>
        </w:rPr>
      </w:pPr>
      <w:r w:rsidRPr="00497C85">
        <w:rPr>
          <w:rFonts w:cstheme="minorHAnsi"/>
          <w:lang w:val="en-US"/>
        </w:rPr>
        <w:t>Pharmaceutical particulars</w:t>
      </w:r>
    </w:p>
    <w:p w14:paraId="0E56098C" w14:textId="77777777" w:rsidR="001A3992" w:rsidRPr="00497C85" w:rsidRDefault="001A3992" w:rsidP="001A3992">
      <w:pPr>
        <w:pStyle w:val="Heading2"/>
        <w:spacing w:before="0" w:after="120"/>
        <w:rPr>
          <w:rFonts w:cstheme="minorHAnsi"/>
          <w:lang w:val="en-US"/>
        </w:rPr>
      </w:pPr>
      <w:r w:rsidRPr="00497C85">
        <w:rPr>
          <w:rFonts w:cstheme="minorHAnsi"/>
          <w:lang w:val="en-US"/>
        </w:rPr>
        <w:t xml:space="preserve">List of excipients </w:t>
      </w:r>
    </w:p>
    <w:p w14:paraId="15B90B51" w14:textId="49117E90" w:rsidR="00497C85" w:rsidRPr="00195FA7" w:rsidRDefault="00497C85" w:rsidP="00557C61">
      <w:pPr>
        <w:rPr>
          <w:lang w:val="en-US"/>
        </w:rPr>
      </w:pPr>
      <w:r w:rsidRPr="006B2337">
        <w:rPr>
          <w:lang w:val="en"/>
        </w:rPr>
        <w:t xml:space="preserve">Refer to </w:t>
      </w:r>
      <w:r w:rsidRPr="00497C85">
        <w:rPr>
          <w:lang w:val="en"/>
        </w:rPr>
        <w:t>Section</w:t>
      </w:r>
      <w:r w:rsidRPr="006B2337">
        <w:rPr>
          <w:lang w:val="en"/>
        </w:rPr>
        <w:t xml:space="preserve"> 2</w:t>
      </w:r>
      <w:r w:rsidRPr="00497C85">
        <w:rPr>
          <w:lang w:val="en"/>
        </w:rPr>
        <w:t xml:space="preserve"> - Qualitativ</w:t>
      </w:r>
      <w:r w:rsidR="00557C61">
        <w:rPr>
          <w:lang w:val="en"/>
        </w:rPr>
        <w:t>e and quantitative composition</w:t>
      </w:r>
      <w:r w:rsidR="00557C61" w:rsidRPr="006B2337">
        <w:rPr>
          <w:lang w:val="en"/>
        </w:rPr>
        <w:t>.</w:t>
      </w:r>
    </w:p>
    <w:p w14:paraId="76F3D287" w14:textId="77777777" w:rsidR="001A3992" w:rsidRPr="00497C85" w:rsidRDefault="001A3992" w:rsidP="001A3992">
      <w:pPr>
        <w:pStyle w:val="Heading2"/>
        <w:keepNext/>
        <w:keepLines/>
        <w:spacing w:before="0" w:after="120"/>
        <w:rPr>
          <w:rFonts w:cstheme="minorHAnsi"/>
          <w:lang w:val="en-US"/>
        </w:rPr>
      </w:pPr>
      <w:r w:rsidRPr="00497C85">
        <w:rPr>
          <w:rFonts w:cstheme="minorHAnsi"/>
          <w:lang w:val="en-US"/>
        </w:rPr>
        <w:t xml:space="preserve">Incompatibilities </w:t>
      </w:r>
    </w:p>
    <w:p w14:paraId="02E0766A" w14:textId="77777777" w:rsidR="00557C61" w:rsidRPr="003353BC" w:rsidRDefault="00557C61" w:rsidP="00557C61">
      <w:pPr>
        <w:rPr>
          <w:lang w:val="en-GB"/>
        </w:rPr>
      </w:pPr>
      <w:r w:rsidRPr="003353BC">
        <w:rPr>
          <w:lang w:val="en-GB"/>
        </w:rPr>
        <w:t>Incompatibilities were either not assessed or not identified as part of the</w:t>
      </w:r>
      <w:r>
        <w:rPr>
          <w:lang w:val="en-GB"/>
        </w:rPr>
        <w:t xml:space="preserve"> registration of this medicine.</w:t>
      </w:r>
    </w:p>
    <w:p w14:paraId="782B6D3D" w14:textId="77777777" w:rsidR="001A3992" w:rsidRPr="00497C85" w:rsidRDefault="001A3992" w:rsidP="00195FA7">
      <w:pPr>
        <w:pStyle w:val="Heading2"/>
        <w:spacing w:before="0" w:after="120"/>
        <w:rPr>
          <w:rFonts w:cstheme="minorHAnsi"/>
          <w:lang w:val="en-US"/>
        </w:rPr>
      </w:pPr>
      <w:r w:rsidRPr="00497C85">
        <w:rPr>
          <w:rFonts w:cstheme="minorHAnsi"/>
          <w:lang w:val="en-US"/>
        </w:rPr>
        <w:t xml:space="preserve">Shelf life </w:t>
      </w:r>
    </w:p>
    <w:p w14:paraId="350AA7DD" w14:textId="77777777" w:rsidR="00557C61" w:rsidRPr="000178E5" w:rsidRDefault="00557C61" w:rsidP="00557C61">
      <w:pPr>
        <w:rPr>
          <w:lang w:val="en-US"/>
        </w:rPr>
      </w:pPr>
      <w:r w:rsidRPr="003353BC">
        <w:rPr>
          <w:lang w:val="en-US"/>
        </w:rPr>
        <w:t>In Australia, information on the shelf life can be found on the public summary of the ARTG. The expiry dat</w:t>
      </w:r>
      <w:r>
        <w:rPr>
          <w:lang w:val="en-US"/>
        </w:rPr>
        <w:t>e can be found on the packaging.</w:t>
      </w:r>
    </w:p>
    <w:p w14:paraId="74D686A6" w14:textId="77777777" w:rsidR="001A3992" w:rsidRDefault="001A3992" w:rsidP="001A3992">
      <w:pPr>
        <w:pStyle w:val="Heading2"/>
        <w:keepNext/>
        <w:keepLines/>
        <w:spacing w:before="0" w:after="120"/>
        <w:rPr>
          <w:rFonts w:cstheme="minorHAnsi"/>
          <w:lang w:val="en-US"/>
        </w:rPr>
      </w:pPr>
      <w:r w:rsidRPr="00497C85">
        <w:rPr>
          <w:rFonts w:cstheme="minorHAnsi"/>
          <w:lang w:val="en-US"/>
        </w:rPr>
        <w:t xml:space="preserve">Special precautions for storage </w:t>
      </w:r>
    </w:p>
    <w:p w14:paraId="64F88570" w14:textId="77777777" w:rsidR="00557C61" w:rsidRPr="00557C61" w:rsidRDefault="00557C61" w:rsidP="00557C61">
      <w:pPr>
        <w:rPr>
          <w:lang w:val="en-GB"/>
        </w:rPr>
      </w:pPr>
      <w:r w:rsidRPr="002A1CBE">
        <w:rPr>
          <w:lang w:val="en-GB"/>
        </w:rPr>
        <w:t>Store below 30°C in the original packaging.  Protect from light and moisture.</w:t>
      </w:r>
    </w:p>
    <w:p w14:paraId="2D2412B3" w14:textId="77777777" w:rsidR="001A3992" w:rsidRDefault="001A3992" w:rsidP="001A3992">
      <w:pPr>
        <w:pStyle w:val="Heading2"/>
        <w:spacing w:before="0" w:after="120"/>
        <w:rPr>
          <w:rFonts w:cstheme="minorHAnsi"/>
          <w:lang w:val="en-US"/>
        </w:rPr>
      </w:pPr>
      <w:r w:rsidRPr="00497C85">
        <w:rPr>
          <w:rFonts w:cstheme="minorHAnsi"/>
          <w:lang w:val="en-US"/>
        </w:rPr>
        <w:lastRenderedPageBreak/>
        <w:t xml:space="preserve">Nature and contents of container </w:t>
      </w:r>
    </w:p>
    <w:p w14:paraId="5BEE1DEA" w14:textId="77777777" w:rsidR="00557C61" w:rsidRPr="002A1CBE" w:rsidRDefault="00557C61" w:rsidP="00557C61">
      <w:pPr>
        <w:spacing w:after="0"/>
        <w:rPr>
          <w:lang w:val="en-GB"/>
        </w:rPr>
      </w:pPr>
      <w:r w:rsidRPr="002A1CBE">
        <w:rPr>
          <w:lang w:val="en-GB"/>
        </w:rPr>
        <w:t xml:space="preserve">2.5 mg tablet: </w:t>
      </w:r>
      <w:r w:rsidRPr="00433C7A">
        <w:rPr>
          <w:lang w:val="en-US"/>
        </w:rPr>
        <w:t xml:space="preserve">PA/Al/PVC/Al </w:t>
      </w:r>
      <w:r w:rsidRPr="002A1CBE">
        <w:rPr>
          <w:lang w:val="en-GB"/>
        </w:rPr>
        <w:t xml:space="preserve">Packs of </w:t>
      </w:r>
      <w:r>
        <w:rPr>
          <w:lang w:val="en-GB"/>
        </w:rPr>
        <w:t>10, 30</w:t>
      </w:r>
      <w:r w:rsidRPr="002A1CBE">
        <w:rPr>
          <w:lang w:val="en-GB"/>
        </w:rPr>
        <w:t xml:space="preserve"> and </w:t>
      </w:r>
      <w:r>
        <w:rPr>
          <w:lang w:val="en-GB"/>
        </w:rPr>
        <w:t>9</w:t>
      </w:r>
      <w:r w:rsidRPr="002A1CBE">
        <w:rPr>
          <w:lang w:val="en-GB"/>
        </w:rPr>
        <w:t>0 tablets.</w:t>
      </w:r>
    </w:p>
    <w:p w14:paraId="58FE7F62" w14:textId="77777777" w:rsidR="00557C61" w:rsidRPr="002A1CBE" w:rsidRDefault="00557C61" w:rsidP="00557C61">
      <w:pPr>
        <w:spacing w:after="0"/>
        <w:rPr>
          <w:lang w:val="en-GB"/>
        </w:rPr>
      </w:pPr>
      <w:r w:rsidRPr="002A1CBE">
        <w:rPr>
          <w:lang w:val="en-GB"/>
        </w:rPr>
        <w:t xml:space="preserve">5 mg tablet: </w:t>
      </w:r>
      <w:r w:rsidRPr="00433C7A">
        <w:rPr>
          <w:lang w:val="en-US"/>
        </w:rPr>
        <w:t xml:space="preserve">PA/Al/PVC/Al </w:t>
      </w:r>
      <w:r w:rsidRPr="002A1CBE">
        <w:rPr>
          <w:lang w:val="en-GB"/>
        </w:rPr>
        <w:t>Packs of 30, 50, 60 and 100, 120 tablets.</w:t>
      </w:r>
    </w:p>
    <w:p w14:paraId="3669C997" w14:textId="77777777" w:rsidR="00557C61" w:rsidRPr="002A1CBE" w:rsidRDefault="00557C61" w:rsidP="00557C61">
      <w:pPr>
        <w:spacing w:after="0"/>
        <w:rPr>
          <w:lang w:val="en-GB"/>
        </w:rPr>
      </w:pPr>
      <w:r w:rsidRPr="002A1CBE">
        <w:rPr>
          <w:lang w:val="en-GB"/>
        </w:rPr>
        <w:t xml:space="preserve">10 mg tablet: </w:t>
      </w:r>
      <w:r w:rsidRPr="00433C7A">
        <w:rPr>
          <w:lang w:val="en-US"/>
        </w:rPr>
        <w:t xml:space="preserve">PA/Al/PVC/Al </w:t>
      </w:r>
      <w:r w:rsidRPr="002A1CBE">
        <w:rPr>
          <w:lang w:val="en-GB"/>
        </w:rPr>
        <w:t>Packs of 30, 50, 60, 100 and 120 tablets.</w:t>
      </w:r>
    </w:p>
    <w:p w14:paraId="13676A6B" w14:textId="77777777" w:rsidR="00557C61" w:rsidRPr="002A1CBE" w:rsidRDefault="00557C61" w:rsidP="00557C61">
      <w:pPr>
        <w:spacing w:after="0"/>
        <w:rPr>
          <w:lang w:val="en-GB"/>
        </w:rPr>
      </w:pPr>
      <w:r w:rsidRPr="002A1CBE">
        <w:rPr>
          <w:lang w:val="en-GB"/>
        </w:rPr>
        <w:t xml:space="preserve">2 mg dispersible tablet: </w:t>
      </w:r>
      <w:r w:rsidRPr="00433C7A">
        <w:rPr>
          <w:lang w:val="en-US"/>
        </w:rPr>
        <w:t xml:space="preserve">PA/Al/PVC/Al </w:t>
      </w:r>
      <w:r w:rsidRPr="002A1CBE">
        <w:rPr>
          <w:lang w:val="en-GB"/>
        </w:rPr>
        <w:t>Packs of 30, 50, 60 and 100, 120 tablets.</w:t>
      </w:r>
    </w:p>
    <w:p w14:paraId="016A4612" w14:textId="77777777" w:rsidR="00557C61" w:rsidRPr="002A1CBE" w:rsidRDefault="00557C61" w:rsidP="00557C61">
      <w:pPr>
        <w:spacing w:after="0"/>
        <w:rPr>
          <w:lang w:val="en-GB"/>
        </w:rPr>
      </w:pPr>
      <w:r w:rsidRPr="002A1CBE">
        <w:rPr>
          <w:lang w:val="en-GB"/>
        </w:rPr>
        <w:t xml:space="preserve">3 mg dispersible tablet: </w:t>
      </w:r>
      <w:r w:rsidRPr="00433C7A">
        <w:rPr>
          <w:lang w:val="en-US"/>
        </w:rPr>
        <w:t xml:space="preserve">PA/Al/PVC/Al </w:t>
      </w:r>
      <w:r w:rsidRPr="002A1CBE">
        <w:rPr>
          <w:lang w:val="en-GB"/>
        </w:rPr>
        <w:t>Packs of 30, 50, 60 and 100, 120 tablets.</w:t>
      </w:r>
    </w:p>
    <w:p w14:paraId="650EC0AE" w14:textId="77777777" w:rsidR="00557C61" w:rsidRDefault="00557C61" w:rsidP="00557C61">
      <w:pPr>
        <w:spacing w:after="0"/>
        <w:rPr>
          <w:lang w:val="en-GB"/>
        </w:rPr>
      </w:pPr>
      <w:r w:rsidRPr="002A1CBE">
        <w:rPr>
          <w:lang w:val="en-GB"/>
        </w:rPr>
        <w:t xml:space="preserve">5 mg dispersible tablet: </w:t>
      </w:r>
      <w:r w:rsidRPr="00433C7A">
        <w:rPr>
          <w:lang w:val="en-US"/>
        </w:rPr>
        <w:t xml:space="preserve">PA/Al/PVC/Al </w:t>
      </w:r>
      <w:r w:rsidRPr="002A1CBE">
        <w:rPr>
          <w:lang w:val="en-GB"/>
        </w:rPr>
        <w:t>Packs of 30, 50, 60 and 100, 120 tablets.</w:t>
      </w:r>
    </w:p>
    <w:p w14:paraId="0202D07F" w14:textId="77777777" w:rsidR="00557C61" w:rsidRDefault="00557C61" w:rsidP="00557C61">
      <w:pPr>
        <w:spacing w:after="0"/>
        <w:rPr>
          <w:lang w:val="en-GB"/>
        </w:rPr>
      </w:pPr>
    </w:p>
    <w:p w14:paraId="03357796" w14:textId="4774E016" w:rsidR="00557C61" w:rsidRPr="00195FA7" w:rsidRDefault="00557C61" w:rsidP="002F78A4">
      <w:pPr>
        <w:rPr>
          <w:lang w:val="en-US"/>
        </w:rPr>
      </w:pPr>
      <w:r w:rsidRPr="002A1CBE">
        <w:rPr>
          <w:lang w:val="en-GB"/>
        </w:rPr>
        <w:t>Not all pack sizes may be marketed.</w:t>
      </w:r>
    </w:p>
    <w:p w14:paraId="3539550A" w14:textId="77777777" w:rsidR="001A3992" w:rsidRPr="00497C85" w:rsidRDefault="001A3992" w:rsidP="001A3992">
      <w:pPr>
        <w:pStyle w:val="Heading2"/>
        <w:spacing w:before="0" w:after="120"/>
        <w:rPr>
          <w:rFonts w:cstheme="minorHAnsi"/>
          <w:lang w:val="en-US"/>
        </w:rPr>
      </w:pPr>
      <w:r w:rsidRPr="00497C85">
        <w:rPr>
          <w:rFonts w:cstheme="minorHAnsi"/>
          <w:lang w:val="en-US"/>
        </w:rPr>
        <w:t xml:space="preserve">Special precautions for disposal </w:t>
      </w:r>
    </w:p>
    <w:p w14:paraId="0264F4C4" w14:textId="77777777" w:rsidR="005362D8" w:rsidRPr="00804221" w:rsidRDefault="005362D8" w:rsidP="005362D8">
      <w:pPr>
        <w:rPr>
          <w:rFonts w:asciiTheme="majorHAnsi" w:hAnsiTheme="majorHAnsi"/>
          <w:b/>
          <w:smallCaps/>
          <w:sz w:val="24"/>
          <w:lang w:val="en-US"/>
        </w:rPr>
      </w:pPr>
      <w:r>
        <w:rPr>
          <w:lang w:val="en-US"/>
        </w:rPr>
        <w:t>I</w:t>
      </w:r>
      <w:r w:rsidRPr="00804221">
        <w:rPr>
          <w:lang w:val="en-US"/>
        </w:rPr>
        <w:t>n Australia, any unused medicine or waste material should be disposed of by taking to your loca</w:t>
      </w:r>
      <w:r>
        <w:rPr>
          <w:lang w:val="en-US"/>
        </w:rPr>
        <w:t>l pharmacy.</w:t>
      </w:r>
    </w:p>
    <w:p w14:paraId="16451FAF" w14:textId="07A79ADA" w:rsidR="001A3992" w:rsidRDefault="001A3992" w:rsidP="00195FA7">
      <w:pPr>
        <w:pStyle w:val="Heading2"/>
        <w:spacing w:before="0" w:after="120"/>
        <w:rPr>
          <w:rFonts w:cstheme="minorHAnsi"/>
          <w:lang w:val="en-US"/>
        </w:rPr>
      </w:pPr>
      <w:r w:rsidRPr="00497C85">
        <w:rPr>
          <w:rFonts w:cstheme="minorHAnsi"/>
          <w:lang w:val="en-US"/>
        </w:rPr>
        <w:t>Physicochemical properties</w:t>
      </w:r>
    </w:p>
    <w:p w14:paraId="74DD2AF4" w14:textId="3A2096CA" w:rsidR="001A3992" w:rsidRDefault="001A3992" w:rsidP="001A3992">
      <w:pPr>
        <w:pStyle w:val="Heading3"/>
        <w:spacing w:before="0" w:after="120"/>
        <w:rPr>
          <w:rFonts w:cstheme="minorHAnsi"/>
          <w:lang w:val="en-US"/>
        </w:rPr>
      </w:pPr>
      <w:r w:rsidRPr="00497C85">
        <w:rPr>
          <w:rFonts w:cstheme="minorHAnsi"/>
          <w:lang w:val="en-US"/>
        </w:rPr>
        <w:t>Chemical structure</w:t>
      </w:r>
    </w:p>
    <w:p w14:paraId="1627037D" w14:textId="77777777" w:rsidR="0073696C" w:rsidRPr="0073696C" w:rsidRDefault="0073696C" w:rsidP="0073696C">
      <w:pPr>
        <w:rPr>
          <w:lang w:val="en-GB"/>
        </w:rPr>
      </w:pPr>
      <w:r w:rsidRPr="00D153C6">
        <w:rPr>
          <w:lang w:val="en-GB"/>
        </w:rPr>
        <w:t xml:space="preserve">The </w:t>
      </w:r>
      <w:r>
        <w:rPr>
          <w:lang w:val="en-GB"/>
        </w:rPr>
        <w:t>chemical name</w:t>
      </w:r>
      <w:r w:rsidRPr="00D153C6">
        <w:rPr>
          <w:lang w:val="en-GB"/>
        </w:rPr>
        <w:t xml:space="preserve"> is 40-O-(2-hydroxyethyl)-rapamycin or 40-O-(2-hydroxyethyl)-</w:t>
      </w:r>
      <w:proofErr w:type="spellStart"/>
      <w:r w:rsidRPr="00D153C6">
        <w:rPr>
          <w:lang w:val="en-GB"/>
        </w:rPr>
        <w:t>sirolimus</w:t>
      </w:r>
      <w:proofErr w:type="spellEnd"/>
      <w:r w:rsidRPr="00D153C6">
        <w:rPr>
          <w:lang w:val="en-GB"/>
        </w:rPr>
        <w:t>.  Its molecular formula is C</w:t>
      </w:r>
      <w:r w:rsidRPr="00D153C6">
        <w:rPr>
          <w:vertAlign w:val="subscript"/>
          <w:lang w:val="en-GB"/>
        </w:rPr>
        <w:t>53</w:t>
      </w:r>
      <w:r w:rsidRPr="00D153C6">
        <w:rPr>
          <w:lang w:val="en-GB"/>
        </w:rPr>
        <w:t>H</w:t>
      </w:r>
      <w:r w:rsidRPr="00D153C6">
        <w:rPr>
          <w:vertAlign w:val="subscript"/>
          <w:lang w:val="en-GB"/>
        </w:rPr>
        <w:t>83</w:t>
      </w:r>
      <w:r w:rsidRPr="00D153C6">
        <w:rPr>
          <w:lang w:val="en-GB"/>
        </w:rPr>
        <w:t>NO</w:t>
      </w:r>
      <w:r w:rsidRPr="00D153C6">
        <w:rPr>
          <w:vertAlign w:val="subscript"/>
          <w:lang w:val="en-GB"/>
        </w:rPr>
        <w:t>14</w:t>
      </w:r>
      <w:r w:rsidRPr="00D153C6">
        <w:rPr>
          <w:lang w:val="en-GB"/>
        </w:rPr>
        <w:t xml:space="preserve"> and its molecular weight is 958.2.</w:t>
      </w:r>
    </w:p>
    <w:p w14:paraId="71BD9877" w14:textId="77777777" w:rsidR="0073696C" w:rsidRPr="00D153C6" w:rsidRDefault="0073696C" w:rsidP="0073696C">
      <w:pPr>
        <w:tabs>
          <w:tab w:val="left" w:pos="567"/>
        </w:tabs>
        <w:spacing w:line="320" w:lineRule="atLeast"/>
        <w:rPr>
          <w:lang w:val="en-GB"/>
        </w:rPr>
      </w:pPr>
      <w:r w:rsidRPr="00D153C6">
        <w:rPr>
          <w:lang w:val="en-GB"/>
        </w:rPr>
        <w:t xml:space="preserve">The structural formula of </w:t>
      </w:r>
      <w:proofErr w:type="spellStart"/>
      <w:r w:rsidRPr="00D153C6">
        <w:rPr>
          <w:lang w:val="en-GB"/>
        </w:rPr>
        <w:t>everolimus</w:t>
      </w:r>
      <w:proofErr w:type="spellEnd"/>
      <w:r w:rsidRPr="00D153C6">
        <w:rPr>
          <w:lang w:val="en-GB"/>
        </w:rPr>
        <w:t xml:space="preserve"> is:</w:t>
      </w:r>
    </w:p>
    <w:p w14:paraId="370ED824" w14:textId="77777777" w:rsidR="0073696C" w:rsidRPr="002A1CBE" w:rsidRDefault="0073696C" w:rsidP="0073696C">
      <w:pPr>
        <w:spacing w:line="320" w:lineRule="atLeast"/>
        <w:rPr>
          <w:sz w:val="24"/>
          <w:u w:val="single"/>
        </w:rPr>
      </w:pPr>
      <w:r w:rsidRPr="002A1CBE">
        <w:rPr>
          <w:noProof/>
          <w:lang w:eastAsia="en-AU"/>
        </w:rPr>
        <w:drawing>
          <wp:inline distT="0" distB="0" distL="0" distR="0" wp14:anchorId="4F86A30F" wp14:editId="7B2A6950">
            <wp:extent cx="3619500" cy="4371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9500" cy="4371975"/>
                    </a:xfrm>
                    <a:prstGeom prst="rect">
                      <a:avLst/>
                    </a:prstGeom>
                    <a:noFill/>
                    <a:ln>
                      <a:noFill/>
                    </a:ln>
                  </pic:spPr>
                </pic:pic>
              </a:graphicData>
            </a:graphic>
          </wp:inline>
        </w:drawing>
      </w:r>
    </w:p>
    <w:p w14:paraId="63C5BD30" w14:textId="025C1C35" w:rsidR="001A3992" w:rsidRDefault="001A3992" w:rsidP="001A3992">
      <w:pPr>
        <w:pStyle w:val="Heading3"/>
        <w:spacing w:before="0" w:after="120"/>
        <w:rPr>
          <w:rFonts w:cstheme="minorHAnsi"/>
          <w:lang w:val="en-US"/>
        </w:rPr>
      </w:pPr>
      <w:r w:rsidRPr="00497C85">
        <w:rPr>
          <w:rFonts w:cstheme="minorHAnsi"/>
          <w:lang w:val="en-US"/>
        </w:rPr>
        <w:lastRenderedPageBreak/>
        <w:t>CAS number</w:t>
      </w:r>
    </w:p>
    <w:p w14:paraId="22B2DA3F" w14:textId="73F5B413" w:rsidR="005362D8" w:rsidRDefault="005362D8" w:rsidP="005362D8">
      <w:pPr>
        <w:rPr>
          <w:lang w:val="en-GB"/>
        </w:rPr>
      </w:pPr>
      <w:r w:rsidRPr="002A1CBE">
        <w:rPr>
          <w:lang w:val="en-GB"/>
        </w:rPr>
        <w:t>159351-69-6</w:t>
      </w:r>
    </w:p>
    <w:p w14:paraId="340A2162" w14:textId="493A52C9" w:rsidR="004659B4" w:rsidRPr="004659B4" w:rsidRDefault="004659B4" w:rsidP="005362D8">
      <w:pPr>
        <w:pStyle w:val="Heading1"/>
        <w:spacing w:before="0" w:after="120"/>
        <w:rPr>
          <w:rFonts w:cstheme="minorHAnsi"/>
          <w:lang w:val="en-US"/>
        </w:rPr>
      </w:pPr>
      <w:r w:rsidRPr="00497C85">
        <w:rPr>
          <w:rFonts w:cstheme="minorHAnsi"/>
          <w:lang w:val="en-US"/>
        </w:rPr>
        <w:t>Medicine schedule (Poisons Standard)</w:t>
      </w:r>
    </w:p>
    <w:p w14:paraId="33F7BFAB" w14:textId="24E0C8FC" w:rsidR="001A3992" w:rsidRPr="005362D8" w:rsidRDefault="001A3992" w:rsidP="005362D8">
      <w:pPr>
        <w:rPr>
          <w:lang w:val="en-GB"/>
        </w:rPr>
      </w:pPr>
      <w:r w:rsidRPr="00497C85">
        <w:rPr>
          <w:rFonts w:cstheme="minorHAnsi"/>
          <w:lang w:val="en-US"/>
        </w:rPr>
        <w:t>Medicine schedule (Poisons Standard)</w:t>
      </w:r>
      <w:r w:rsidR="005362D8" w:rsidRPr="005362D8">
        <w:rPr>
          <w:lang w:val="en-GB"/>
        </w:rPr>
        <w:t xml:space="preserve"> </w:t>
      </w:r>
      <w:r w:rsidR="005362D8" w:rsidRPr="002A1CBE">
        <w:rPr>
          <w:lang w:val="en-GB"/>
        </w:rPr>
        <w:t>Prescription Only Medicine (Schedule 4).</w:t>
      </w:r>
    </w:p>
    <w:p w14:paraId="4280C5CF" w14:textId="4625B80D" w:rsidR="001A3992" w:rsidRDefault="001A3992" w:rsidP="001A3992">
      <w:pPr>
        <w:pStyle w:val="Heading1"/>
        <w:spacing w:before="0" w:after="120"/>
        <w:rPr>
          <w:rFonts w:cstheme="minorHAnsi"/>
          <w:lang w:val="en-US"/>
        </w:rPr>
      </w:pPr>
      <w:r w:rsidRPr="00497C85">
        <w:rPr>
          <w:rFonts w:cstheme="minorHAnsi"/>
          <w:lang w:val="en-US"/>
        </w:rPr>
        <w:t>Sponsor</w:t>
      </w:r>
    </w:p>
    <w:p w14:paraId="27F3184D" w14:textId="6312B578" w:rsidR="005362D8" w:rsidRPr="005362D8" w:rsidRDefault="005362D8">
      <w:pPr>
        <w:rPr>
          <w:lang w:val="en-GB"/>
        </w:rPr>
      </w:pPr>
      <w:r w:rsidRPr="002A1CBE">
        <w:rPr>
          <w:lang w:val="en-GB"/>
        </w:rPr>
        <w:t xml:space="preserve">Novartis Pharmaceuticals Australia Pty Limited </w:t>
      </w:r>
      <w:r w:rsidRPr="002A1CBE">
        <w:rPr>
          <w:lang w:val="en-GB"/>
        </w:rPr>
        <w:br/>
        <w:t>(ABN No: 18 004 244 160)</w:t>
      </w:r>
      <w:r w:rsidRPr="002A1CBE">
        <w:rPr>
          <w:lang w:val="en-GB"/>
        </w:rPr>
        <w:br/>
        <w:t>54 Waterloo Road</w:t>
      </w:r>
      <w:r w:rsidRPr="002A1CBE">
        <w:rPr>
          <w:lang w:val="en-GB"/>
        </w:rPr>
        <w:br/>
      </w:r>
      <w:r>
        <w:rPr>
          <w:lang w:val="en-GB"/>
        </w:rPr>
        <w:t>MACQUARIE PARK</w:t>
      </w:r>
      <w:r w:rsidRPr="002A1CBE">
        <w:rPr>
          <w:lang w:val="en-GB"/>
        </w:rPr>
        <w:t xml:space="preserve">   NSW   2113</w:t>
      </w:r>
    </w:p>
    <w:p w14:paraId="61316300" w14:textId="17DC30FE" w:rsidR="001A3992" w:rsidRDefault="001A3992" w:rsidP="001A3992">
      <w:pPr>
        <w:pStyle w:val="Heading1"/>
        <w:spacing w:before="0" w:after="120"/>
        <w:rPr>
          <w:rFonts w:cstheme="minorHAnsi"/>
          <w:lang w:val="en-US"/>
        </w:rPr>
      </w:pPr>
      <w:r w:rsidRPr="00497C85">
        <w:rPr>
          <w:rFonts w:cstheme="minorHAnsi"/>
          <w:lang w:val="en-US"/>
        </w:rPr>
        <w:t xml:space="preserve">Date of first approval  </w:t>
      </w:r>
    </w:p>
    <w:p w14:paraId="75504188" w14:textId="00CEDCF4" w:rsidR="005362D8" w:rsidRPr="005362D8" w:rsidRDefault="005362D8" w:rsidP="005362D8">
      <w:pPr>
        <w:rPr>
          <w:lang w:val="en-GB"/>
        </w:rPr>
      </w:pPr>
      <w:r w:rsidRPr="002A1CBE">
        <w:rPr>
          <w:lang w:val="en-GB"/>
        </w:rPr>
        <w:t>6 August 2009</w:t>
      </w:r>
    </w:p>
    <w:p w14:paraId="3EAFD7CF" w14:textId="77777777" w:rsidR="001A3992" w:rsidRPr="00497C85" w:rsidRDefault="001A3992" w:rsidP="001A3992">
      <w:pPr>
        <w:pStyle w:val="Heading1"/>
        <w:spacing w:before="0" w:after="120"/>
        <w:rPr>
          <w:rFonts w:cstheme="minorHAnsi"/>
          <w:lang w:val="en-US"/>
        </w:rPr>
      </w:pPr>
      <w:r w:rsidRPr="00497C85">
        <w:rPr>
          <w:rFonts w:cstheme="minorHAnsi"/>
          <w:lang w:val="en-US"/>
        </w:rPr>
        <w:t xml:space="preserve">Date of revision </w:t>
      </w:r>
    </w:p>
    <w:p w14:paraId="39AD24E5" w14:textId="77777777" w:rsidR="00433C7A" w:rsidRDefault="00433C7A" w:rsidP="004E63E9">
      <w:pPr>
        <w:rPr>
          <w:lang w:val="en-GB"/>
        </w:rPr>
      </w:pPr>
      <w:r>
        <w:rPr>
          <w:lang w:val="en-GB"/>
        </w:rPr>
        <w:t>3 January 2018</w:t>
      </w:r>
    </w:p>
    <w:p w14:paraId="426D433A" w14:textId="77777777" w:rsidR="00084EE0" w:rsidRPr="002A1CBE" w:rsidRDefault="00084EE0" w:rsidP="00084EE0">
      <w:pPr>
        <w:rPr>
          <w:sz w:val="24"/>
          <w:lang w:val="en-GB"/>
        </w:rPr>
      </w:pPr>
      <w:r w:rsidRPr="002A1CBE">
        <w:rPr>
          <w:sz w:val="24"/>
          <w:lang w:val="en-GB"/>
        </w:rPr>
        <w:t>® = Registered Trademark</w:t>
      </w:r>
    </w:p>
    <w:p w14:paraId="7AF6EDBF" w14:textId="77777777" w:rsidR="001A3992" w:rsidRPr="00497C85" w:rsidRDefault="001A3992" w:rsidP="001A3992">
      <w:pPr>
        <w:pStyle w:val="Heading2"/>
        <w:numPr>
          <w:ilvl w:val="0"/>
          <w:numId w:val="0"/>
        </w:numPr>
        <w:spacing w:before="0" w:after="120"/>
        <w:rPr>
          <w:rFonts w:cstheme="minorHAnsi"/>
          <w:lang w:val="en-US"/>
        </w:rPr>
      </w:pPr>
      <w:r w:rsidRPr="00497C85">
        <w:rPr>
          <w:rFonts w:cstheme="minorHAnsi"/>
          <w:lang w:val="en-US"/>
        </w:rPr>
        <w:t>Summary table of changes</w:t>
      </w:r>
    </w:p>
    <w:tbl>
      <w:tblPr>
        <w:tblStyle w:val="LightGrid"/>
        <w:tblW w:w="0" w:type="auto"/>
        <w:tblCellMar>
          <w:top w:w="57" w:type="dxa"/>
          <w:bottom w:w="57" w:type="dxa"/>
        </w:tblCellMar>
        <w:tblLook w:val="06A0" w:firstRow="1" w:lastRow="0" w:firstColumn="1" w:lastColumn="0" w:noHBand="1" w:noVBand="1"/>
      </w:tblPr>
      <w:tblGrid>
        <w:gridCol w:w="1384"/>
        <w:gridCol w:w="7858"/>
      </w:tblGrid>
      <w:tr w:rsidR="00ED0937" w:rsidRPr="00497C85" w14:paraId="21B84C5C" w14:textId="77777777" w:rsidTr="009E0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2F2F2" w:themeFill="background1" w:themeFillShade="F2"/>
            <w:vAlign w:val="center"/>
          </w:tcPr>
          <w:p w14:paraId="6E0BB883" w14:textId="77777777" w:rsidR="00ED0937" w:rsidRPr="00497C85" w:rsidRDefault="00ED0937" w:rsidP="009E0E5F">
            <w:pPr>
              <w:rPr>
                <w:rFonts w:cstheme="minorHAnsi"/>
                <w:sz w:val="20"/>
                <w:lang w:val="en-US"/>
              </w:rPr>
            </w:pPr>
            <w:r w:rsidRPr="00497C85">
              <w:rPr>
                <w:rFonts w:cstheme="minorHAnsi"/>
                <w:sz w:val="20"/>
                <w:lang w:val="en-US"/>
              </w:rPr>
              <w:t>Section Changed</w:t>
            </w:r>
          </w:p>
        </w:tc>
        <w:tc>
          <w:tcPr>
            <w:tcW w:w="7858" w:type="dxa"/>
            <w:shd w:val="clear" w:color="auto" w:fill="F2F2F2" w:themeFill="background1" w:themeFillShade="F2"/>
            <w:vAlign w:val="center"/>
          </w:tcPr>
          <w:p w14:paraId="52B26ACE" w14:textId="77777777" w:rsidR="00ED0937" w:rsidRPr="00497C85" w:rsidRDefault="00ED0937" w:rsidP="009E0E5F">
            <w:pPr>
              <w:cnfStyle w:val="100000000000" w:firstRow="1" w:lastRow="0" w:firstColumn="0" w:lastColumn="0" w:oddVBand="0" w:evenVBand="0" w:oddHBand="0" w:evenHBand="0" w:firstRowFirstColumn="0" w:firstRowLastColumn="0" w:lastRowFirstColumn="0" w:lastRowLastColumn="0"/>
              <w:rPr>
                <w:rFonts w:cstheme="minorHAnsi"/>
                <w:sz w:val="20"/>
                <w:lang w:val="en-US"/>
              </w:rPr>
            </w:pPr>
            <w:r w:rsidRPr="00497C85">
              <w:rPr>
                <w:rFonts w:cstheme="minorHAnsi"/>
                <w:sz w:val="20"/>
                <w:lang w:val="en-US"/>
              </w:rPr>
              <w:t>Summary of new information</w:t>
            </w:r>
          </w:p>
        </w:tc>
      </w:tr>
      <w:tr w:rsidR="00ED0937" w:rsidRPr="00497C85" w14:paraId="6F8E78D4" w14:textId="77777777" w:rsidTr="009E0E5F">
        <w:tc>
          <w:tcPr>
            <w:cnfStyle w:val="001000000000" w:firstRow="0" w:lastRow="0" w:firstColumn="1" w:lastColumn="0" w:oddVBand="0" w:evenVBand="0" w:oddHBand="0" w:evenHBand="0" w:firstRowFirstColumn="0" w:firstRowLastColumn="0" w:lastRowFirstColumn="0" w:lastRowLastColumn="0"/>
            <w:tcW w:w="1384" w:type="dxa"/>
            <w:vAlign w:val="center"/>
          </w:tcPr>
          <w:p w14:paraId="36563200" w14:textId="3012962D" w:rsidR="00ED0937" w:rsidRPr="00497C85" w:rsidRDefault="00406B93" w:rsidP="00406B93">
            <w:pPr>
              <w:rPr>
                <w:rFonts w:cstheme="minorHAnsi"/>
                <w:lang w:val="en-US"/>
              </w:rPr>
            </w:pPr>
            <w:r>
              <w:rPr>
                <w:lang w:val="en-US"/>
              </w:rPr>
              <w:t>4, 5 , 6, 7, 10</w:t>
            </w:r>
          </w:p>
        </w:tc>
        <w:tc>
          <w:tcPr>
            <w:tcW w:w="7858" w:type="dxa"/>
            <w:vAlign w:val="center"/>
          </w:tcPr>
          <w:p w14:paraId="20430CC1" w14:textId="7732645F" w:rsidR="00406B93" w:rsidRDefault="00797414" w:rsidP="009E0E5F">
            <w:pPr>
              <w:cnfStyle w:val="000000000000" w:firstRow="0" w:lastRow="0" w:firstColumn="0" w:lastColumn="0" w:oddVBand="0" w:evenVBand="0" w:oddHBand="0" w:evenHBand="0" w:firstRowFirstColumn="0" w:firstRowLastColumn="0" w:lastRowFirstColumn="0" w:lastRowLastColumn="0"/>
              <w:rPr>
                <w:lang w:val="en-US"/>
              </w:rPr>
            </w:pPr>
            <w:r>
              <w:rPr>
                <w:lang w:val="en-US"/>
              </w:rPr>
              <w:t>Extension</w:t>
            </w:r>
            <w:r w:rsidR="00406B93">
              <w:rPr>
                <w:lang w:val="en-US"/>
              </w:rPr>
              <w:t xml:space="preserve"> of </w:t>
            </w:r>
            <w:r>
              <w:rPr>
                <w:lang w:val="en-US"/>
              </w:rPr>
              <w:t>i</w:t>
            </w:r>
            <w:r w:rsidR="00406B93">
              <w:rPr>
                <w:lang w:val="en-US"/>
              </w:rPr>
              <w:t>ndication</w:t>
            </w:r>
            <w:r>
              <w:rPr>
                <w:lang w:val="en-US"/>
              </w:rPr>
              <w:t xml:space="preserve"> for</w:t>
            </w:r>
            <w:r w:rsidR="00406B93">
              <w:rPr>
                <w:lang w:val="en-US"/>
              </w:rPr>
              <w:t xml:space="preserve"> TSC with associated seizures</w:t>
            </w:r>
          </w:p>
          <w:p w14:paraId="23C8F5E8" w14:textId="73831C08" w:rsidR="00ED0937" w:rsidRPr="00195FA7" w:rsidRDefault="00084EE0" w:rsidP="009E0E5F">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Pr>
                <w:lang w:val="en-US"/>
              </w:rPr>
              <w:t>Reformatting of Product Information</w:t>
            </w:r>
          </w:p>
        </w:tc>
      </w:tr>
      <w:tr w:rsidR="00ED0937" w:rsidRPr="00497C85" w14:paraId="75825776" w14:textId="77777777" w:rsidTr="009E0E5F">
        <w:tc>
          <w:tcPr>
            <w:cnfStyle w:val="001000000000" w:firstRow="0" w:lastRow="0" w:firstColumn="1" w:lastColumn="0" w:oddVBand="0" w:evenVBand="0" w:oddHBand="0" w:evenHBand="0" w:firstRowFirstColumn="0" w:firstRowLastColumn="0" w:lastRowFirstColumn="0" w:lastRowLastColumn="0"/>
            <w:tcW w:w="1384" w:type="dxa"/>
            <w:vAlign w:val="center"/>
          </w:tcPr>
          <w:p w14:paraId="47BE5C05" w14:textId="77777777" w:rsidR="00ED0937" w:rsidRPr="00497C85" w:rsidRDefault="00ED0937" w:rsidP="009E0E5F">
            <w:pPr>
              <w:rPr>
                <w:rFonts w:cstheme="minorHAnsi"/>
                <w:lang w:val="en-US"/>
              </w:rPr>
            </w:pPr>
          </w:p>
        </w:tc>
        <w:tc>
          <w:tcPr>
            <w:tcW w:w="7858" w:type="dxa"/>
            <w:vAlign w:val="center"/>
          </w:tcPr>
          <w:p w14:paraId="6CDD0128" w14:textId="77777777" w:rsidR="00ED0937" w:rsidRPr="00195FA7" w:rsidRDefault="00ED0937" w:rsidP="009E0E5F">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p>
        </w:tc>
      </w:tr>
      <w:tr w:rsidR="00ED0937" w:rsidRPr="00497C85" w14:paraId="05E9BE5F" w14:textId="77777777" w:rsidTr="009E0E5F">
        <w:tc>
          <w:tcPr>
            <w:cnfStyle w:val="001000000000" w:firstRow="0" w:lastRow="0" w:firstColumn="1" w:lastColumn="0" w:oddVBand="0" w:evenVBand="0" w:oddHBand="0" w:evenHBand="0" w:firstRowFirstColumn="0" w:firstRowLastColumn="0" w:lastRowFirstColumn="0" w:lastRowLastColumn="0"/>
            <w:tcW w:w="1384" w:type="dxa"/>
            <w:vAlign w:val="center"/>
          </w:tcPr>
          <w:p w14:paraId="2462347E" w14:textId="77777777" w:rsidR="00ED0937" w:rsidRPr="00497C85" w:rsidRDefault="00ED0937" w:rsidP="009E0E5F">
            <w:pPr>
              <w:rPr>
                <w:rFonts w:cstheme="minorHAnsi"/>
                <w:lang w:val="en-US"/>
              </w:rPr>
            </w:pPr>
          </w:p>
        </w:tc>
        <w:tc>
          <w:tcPr>
            <w:tcW w:w="7858" w:type="dxa"/>
            <w:vAlign w:val="center"/>
          </w:tcPr>
          <w:p w14:paraId="66848B88" w14:textId="77777777" w:rsidR="00ED0937" w:rsidRPr="00195FA7" w:rsidRDefault="00ED0937" w:rsidP="009E0E5F">
            <w:pPr>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p>
        </w:tc>
      </w:tr>
    </w:tbl>
    <w:p w14:paraId="7338ED71" w14:textId="77777777" w:rsidR="001A3992" w:rsidRPr="00195FA7" w:rsidRDefault="001A3992" w:rsidP="001A3992">
      <w:pPr>
        <w:spacing w:after="120"/>
        <w:rPr>
          <w:rFonts w:asciiTheme="majorHAnsi" w:hAnsiTheme="majorHAnsi"/>
          <w:lang w:val="en-US"/>
        </w:rPr>
      </w:pPr>
    </w:p>
    <w:p w14:paraId="07D74231" w14:textId="77777777" w:rsidR="00084EE0" w:rsidRPr="00084EE0" w:rsidRDefault="00084EE0" w:rsidP="00084EE0">
      <w:pPr>
        <w:pBdr>
          <w:bottom w:val="single" w:sz="12" w:space="1" w:color="auto"/>
        </w:pBdr>
        <w:tabs>
          <w:tab w:val="center" w:pos="5812"/>
          <w:tab w:val="center" w:pos="6805"/>
        </w:tabs>
        <w:spacing w:before="120" w:after="120"/>
        <w:rPr>
          <w:rFonts w:ascii="Times New Roman" w:eastAsia="Times New Roman" w:hAnsi="Times New Roman" w:cs="Times New Roman"/>
        </w:rPr>
      </w:pPr>
    </w:p>
    <w:p w14:paraId="6812F8D6" w14:textId="77777777" w:rsidR="00084EE0" w:rsidRPr="00084EE0" w:rsidRDefault="00084EE0" w:rsidP="00084EE0">
      <w:pPr>
        <w:tabs>
          <w:tab w:val="center" w:pos="5812"/>
          <w:tab w:val="center" w:pos="6805"/>
        </w:tabs>
        <w:spacing w:after="0"/>
        <w:rPr>
          <w:rFonts w:ascii="Times New Roman" w:eastAsia="Times New Roman" w:hAnsi="Times New Roman" w:cs="Times New Roman"/>
          <w:b/>
          <w:sz w:val="20"/>
          <w:szCs w:val="20"/>
        </w:rPr>
      </w:pPr>
      <w:r w:rsidRPr="00084EE0">
        <w:rPr>
          <w:rFonts w:ascii="Times New Roman" w:eastAsia="Times New Roman" w:hAnsi="Times New Roman" w:cs="Times New Roman"/>
          <w:b/>
          <w:sz w:val="20"/>
          <w:szCs w:val="20"/>
        </w:rPr>
        <w:t>Internal Document Code</w:t>
      </w:r>
    </w:p>
    <w:p w14:paraId="69FA0B53" w14:textId="3BD1CC18" w:rsidR="00960CD5" w:rsidRPr="000E6647" w:rsidRDefault="00084EE0" w:rsidP="000E6647">
      <w:pPr>
        <w:tabs>
          <w:tab w:val="center" w:pos="5812"/>
          <w:tab w:val="center" w:pos="6805"/>
        </w:tabs>
        <w:spacing w:after="0"/>
        <w:rPr>
          <w:rFonts w:ascii="Times New Roman" w:eastAsia="Times New Roman" w:hAnsi="Times New Roman" w:cs="Times New Roman"/>
          <w:sz w:val="20"/>
          <w:szCs w:val="20"/>
        </w:rPr>
      </w:pPr>
      <w:r w:rsidRPr="00084EE0">
        <w:rPr>
          <w:rFonts w:ascii="Times New Roman" w:eastAsia="Times New Roman" w:hAnsi="Times New Roman" w:cs="Times New Roman"/>
          <w:b/>
          <w:sz w:val="20"/>
          <w:szCs w:val="20"/>
        </w:rPr>
        <w:t>Afi221217i based on the CDS 27 March 2017.</w:t>
      </w:r>
    </w:p>
    <w:sectPr w:rsidR="00960CD5" w:rsidRPr="000E6647" w:rsidSect="0073696C">
      <w:headerReference w:type="default" r:id="rId27"/>
      <w:footerReference w:type="default" r:id="rId2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A35A0" w14:textId="77777777" w:rsidR="00FC2A3B" w:rsidRDefault="00FC2A3B" w:rsidP="001A3992">
      <w:pPr>
        <w:spacing w:after="0" w:line="240" w:lineRule="auto"/>
      </w:pPr>
      <w:r>
        <w:separator/>
      </w:r>
    </w:p>
  </w:endnote>
  <w:endnote w:type="continuationSeparator" w:id="0">
    <w:p w14:paraId="004B06AC" w14:textId="77777777" w:rsidR="00FC2A3B" w:rsidRDefault="00FC2A3B" w:rsidP="001A3992">
      <w:pPr>
        <w:spacing w:after="0" w:line="240" w:lineRule="auto"/>
      </w:pPr>
      <w:r>
        <w:continuationSeparator/>
      </w:r>
    </w:p>
  </w:endnote>
  <w:endnote w:type="continuationNotice" w:id="1">
    <w:p w14:paraId="4415F575" w14:textId="77777777" w:rsidR="00FC2A3B" w:rsidRDefault="00FC2A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ZapfDingbats">
    <w:panose1 w:val="00000000000000000000"/>
    <w:charset w:val="02"/>
    <w:family w:val="decorative"/>
    <w:notTrueType/>
    <w:pitch w:val="variable"/>
  </w:font>
  <w:font w:name="Univers (W1)">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163430"/>
      <w:docPartObj>
        <w:docPartGallery w:val="Page Numbers (Bottom of Page)"/>
        <w:docPartUnique/>
      </w:docPartObj>
    </w:sdtPr>
    <w:sdtEndPr>
      <w:rPr>
        <w:noProof/>
        <w:sz w:val="20"/>
      </w:rPr>
    </w:sdtEndPr>
    <w:sdtContent>
      <w:p w14:paraId="6C0392FC" w14:textId="23894204" w:rsidR="00FC2A3B" w:rsidRPr="00B8074A" w:rsidRDefault="00FC2A3B" w:rsidP="009E0E5F">
        <w:pPr>
          <w:pStyle w:val="Footer"/>
          <w:jc w:val="right"/>
          <w:rPr>
            <w:sz w:val="20"/>
          </w:rPr>
        </w:pPr>
        <w:r w:rsidRPr="00B8074A">
          <w:rPr>
            <w:sz w:val="20"/>
          </w:rPr>
          <w:fldChar w:fldCharType="begin"/>
        </w:r>
        <w:r w:rsidRPr="00B8074A">
          <w:rPr>
            <w:sz w:val="20"/>
          </w:rPr>
          <w:instrText xml:space="preserve"> PAGE   \* MERGEFORMAT </w:instrText>
        </w:r>
        <w:r w:rsidRPr="00B8074A">
          <w:rPr>
            <w:sz w:val="20"/>
          </w:rPr>
          <w:fldChar w:fldCharType="separate"/>
        </w:r>
        <w:r w:rsidR="00C86808">
          <w:rPr>
            <w:noProof/>
            <w:sz w:val="20"/>
          </w:rPr>
          <w:t>58</w:t>
        </w:r>
        <w:r w:rsidRPr="00B8074A">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1639D" w14:textId="77777777" w:rsidR="00FC2A3B" w:rsidRDefault="00FC2A3B" w:rsidP="001A3992">
      <w:pPr>
        <w:spacing w:after="0" w:line="240" w:lineRule="auto"/>
      </w:pPr>
      <w:r>
        <w:separator/>
      </w:r>
    </w:p>
  </w:footnote>
  <w:footnote w:type="continuationSeparator" w:id="0">
    <w:p w14:paraId="7FF8204C" w14:textId="77777777" w:rsidR="00FC2A3B" w:rsidRDefault="00FC2A3B" w:rsidP="001A3992">
      <w:pPr>
        <w:spacing w:after="0" w:line="240" w:lineRule="auto"/>
      </w:pPr>
      <w:r>
        <w:continuationSeparator/>
      </w:r>
    </w:p>
  </w:footnote>
  <w:footnote w:type="continuationNotice" w:id="1">
    <w:p w14:paraId="1CC901B0" w14:textId="77777777" w:rsidR="00FC2A3B" w:rsidRDefault="00FC2A3B">
      <w:pPr>
        <w:spacing w:after="0" w:line="240" w:lineRule="auto"/>
      </w:pPr>
    </w:p>
  </w:footnote>
  <w:footnote w:id="2">
    <w:p w14:paraId="3580A7EE" w14:textId="77777777" w:rsidR="00FC2A3B" w:rsidRPr="00163B2D" w:rsidRDefault="00FC2A3B" w:rsidP="00557C61">
      <w:pPr>
        <w:pStyle w:val="CommentText"/>
        <w:rPr>
          <w:rFonts w:ascii="Arial" w:hAnsi="Arial" w:cs="Arial"/>
          <w:sz w:val="16"/>
          <w:szCs w:val="16"/>
        </w:rPr>
      </w:pPr>
      <w:r w:rsidRPr="00163B2D">
        <w:rPr>
          <w:rStyle w:val="FootnoteReference"/>
          <w:rFonts w:ascii="Arial" w:hAnsi="Arial" w:cs="Arial"/>
          <w:szCs w:val="16"/>
        </w:rPr>
        <w:footnoteRef/>
      </w:r>
      <w:r w:rsidRPr="00163B2D">
        <w:rPr>
          <w:rFonts w:ascii="Arial" w:hAnsi="Arial" w:cs="Arial"/>
          <w:sz w:val="16"/>
          <w:szCs w:val="16"/>
        </w:rPr>
        <w:t xml:space="preserve"> At high dose (5 mg/kg/day), AUC0-24 hr=414.8 ng.hr/mL vs human AUC=</w:t>
      </w:r>
      <w:r>
        <w:rPr>
          <w:rFonts w:ascii="Arial" w:hAnsi="Arial" w:cs="Arial"/>
          <w:sz w:val="16"/>
          <w:szCs w:val="16"/>
        </w:rPr>
        <w:t>560</w:t>
      </w:r>
      <w:r w:rsidRPr="00163B2D">
        <w:rPr>
          <w:rFonts w:ascii="Arial" w:hAnsi="Arial" w:cs="Arial"/>
          <w:sz w:val="16"/>
          <w:szCs w:val="16"/>
        </w:rPr>
        <w:t xml:space="preserve"> at 10 mg/day.</w:t>
      </w:r>
    </w:p>
  </w:footnote>
  <w:footnote w:id="3">
    <w:p w14:paraId="23B71B12" w14:textId="77777777" w:rsidR="00FC2A3B" w:rsidRPr="00163B2D" w:rsidRDefault="00FC2A3B" w:rsidP="00557C61">
      <w:pPr>
        <w:pStyle w:val="FootnoteText"/>
        <w:rPr>
          <w:rFonts w:ascii="Arial" w:hAnsi="Arial" w:cs="Arial"/>
          <w:sz w:val="16"/>
          <w:szCs w:val="16"/>
        </w:rPr>
      </w:pPr>
      <w:r w:rsidRPr="00163B2D">
        <w:rPr>
          <w:rStyle w:val="FootnoteReference"/>
          <w:rFonts w:ascii="Arial" w:hAnsi="Arial" w:cs="Arial"/>
          <w:szCs w:val="16"/>
        </w:rPr>
        <w:footnoteRef/>
      </w:r>
      <w:r w:rsidRPr="00BC21EC">
        <w:rPr>
          <w:rFonts w:ascii="Arial" w:hAnsi="Arial" w:cs="Arial"/>
          <w:sz w:val="16"/>
          <w:szCs w:val="16"/>
          <w:lang w:val="pt-BR"/>
        </w:rPr>
        <w:t xml:space="preserve"> </w:t>
      </w:r>
      <w:r w:rsidRPr="00BC21EC">
        <w:rPr>
          <w:rFonts w:ascii="Arial" w:hAnsi="Arial" w:cs="Arial"/>
          <w:sz w:val="16"/>
          <w:szCs w:val="16"/>
          <w:lang w:val="pt-BR"/>
        </w:rPr>
        <w:t xml:space="preserve">AUC=225.6 ng.hr/mL at high dose. </w:t>
      </w:r>
      <w:r w:rsidRPr="00163B2D">
        <w:rPr>
          <w:rFonts w:ascii="Arial" w:hAnsi="Arial" w:cs="Arial"/>
          <w:sz w:val="16"/>
          <w:szCs w:val="16"/>
        </w:rPr>
        <w:t xml:space="preserve">Vs human AUC of </w:t>
      </w:r>
      <w:r>
        <w:rPr>
          <w:rFonts w:ascii="Arial" w:hAnsi="Arial" w:cs="Arial"/>
          <w:sz w:val="16"/>
          <w:szCs w:val="16"/>
        </w:rPr>
        <w:t>560</w:t>
      </w:r>
      <w:r w:rsidRPr="00163B2D">
        <w:rPr>
          <w:rFonts w:ascii="Arial" w:hAnsi="Arial" w:cs="Arial"/>
          <w:sz w:val="16"/>
          <w:szCs w:val="16"/>
        </w:rPr>
        <w:t xml:space="preserve"> ng.hr/mL at 10 mg/day</w:t>
      </w:r>
      <w:r>
        <w:rPr>
          <w:rFonts w:ascii="Arial" w:hAnsi="Arial" w:cs="Arial"/>
          <w:sz w:val="16"/>
          <w:szCs w:val="16"/>
        </w:rPr>
        <w:t>.</w:t>
      </w:r>
    </w:p>
  </w:footnote>
  <w:footnote w:id="4">
    <w:p w14:paraId="42965190" w14:textId="77777777" w:rsidR="00FC2A3B" w:rsidRDefault="00FC2A3B" w:rsidP="00557C61">
      <w:pPr>
        <w:pStyle w:val="FootnoteText"/>
        <w:contextualSpacing/>
      </w:pPr>
      <w:r>
        <w:rPr>
          <w:rStyle w:val="FootnoteReference"/>
        </w:rPr>
        <w:footnoteRef/>
      </w:r>
      <w:r>
        <w:t xml:space="preserve"> Recurrence while on or within 12 months of end of adjuvant treatment with </w:t>
      </w:r>
      <w:proofErr w:type="spellStart"/>
      <w:r>
        <w:t>letrozole</w:t>
      </w:r>
      <w:proofErr w:type="spellEnd"/>
      <w:r>
        <w:t xml:space="preserve"> or </w:t>
      </w:r>
      <w:proofErr w:type="spellStart"/>
      <w:r>
        <w:t>anastrozole</w:t>
      </w:r>
      <w:proofErr w:type="spellEnd"/>
      <w:r>
        <w:t>.</w:t>
      </w:r>
    </w:p>
  </w:footnote>
  <w:footnote w:id="5">
    <w:p w14:paraId="1BC3DADB" w14:textId="77777777" w:rsidR="00FC2A3B" w:rsidRDefault="00FC2A3B" w:rsidP="00557C61">
      <w:pPr>
        <w:pStyle w:val="FootnoteText"/>
        <w:contextualSpacing/>
      </w:pPr>
      <w:r>
        <w:rPr>
          <w:rStyle w:val="FootnoteReference"/>
        </w:rPr>
        <w:footnoteRef/>
      </w:r>
      <w:r>
        <w:t xml:space="preserve"> Progression while on or within one month of the end of </w:t>
      </w:r>
      <w:proofErr w:type="spellStart"/>
      <w:r>
        <w:t>letrozole</w:t>
      </w:r>
      <w:proofErr w:type="spellEnd"/>
      <w:r>
        <w:t xml:space="preserve"> or </w:t>
      </w:r>
      <w:proofErr w:type="spellStart"/>
      <w:r>
        <w:t>anastrozole</w:t>
      </w:r>
      <w:proofErr w:type="spellEnd"/>
      <w:r>
        <w:t xml:space="preserve"> treatment for ABC.</w:t>
      </w:r>
    </w:p>
  </w:footnote>
  <w:footnote w:id="6">
    <w:p w14:paraId="43AFB95B" w14:textId="77777777" w:rsidR="00FC2A3B" w:rsidRPr="00163B2D" w:rsidRDefault="00FC2A3B" w:rsidP="00557C61">
      <w:pPr>
        <w:pStyle w:val="FootnoteText"/>
        <w:rPr>
          <w:rFonts w:ascii="Arial" w:hAnsi="Arial" w:cs="Arial"/>
          <w:sz w:val="16"/>
          <w:szCs w:val="16"/>
        </w:rPr>
      </w:pPr>
      <w:r w:rsidRPr="00163B2D">
        <w:rPr>
          <w:rStyle w:val="FootnoteReference"/>
          <w:rFonts w:ascii="Arial" w:hAnsi="Arial" w:cs="Arial"/>
          <w:szCs w:val="16"/>
        </w:rPr>
        <w:footnoteRef/>
      </w:r>
      <w:r w:rsidRPr="00163B2D">
        <w:rPr>
          <w:rFonts w:ascii="Arial" w:hAnsi="Arial" w:cs="Arial"/>
          <w:sz w:val="16"/>
          <w:szCs w:val="16"/>
        </w:rPr>
        <w:t xml:space="preserve"> AUC0-24 hr=2231 ng.hr/mL in mice vs AUC=</w:t>
      </w:r>
      <w:r>
        <w:rPr>
          <w:rFonts w:ascii="Arial" w:hAnsi="Arial" w:cs="Arial"/>
          <w:sz w:val="16"/>
          <w:szCs w:val="16"/>
        </w:rPr>
        <w:t>560</w:t>
      </w:r>
      <w:r w:rsidRPr="00163B2D">
        <w:rPr>
          <w:rFonts w:ascii="Arial" w:hAnsi="Arial" w:cs="Arial"/>
          <w:sz w:val="16"/>
          <w:szCs w:val="16"/>
        </w:rPr>
        <w:t xml:space="preserve"> in human at 10 mg/day.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shd w:val="clear" w:color="auto" w:fill="E4F2E0"/>
      <w:tblLook w:val="04A0" w:firstRow="1" w:lastRow="0" w:firstColumn="1" w:lastColumn="0" w:noHBand="0" w:noVBand="1"/>
    </w:tblPr>
    <w:tblGrid>
      <w:gridCol w:w="8720"/>
    </w:tblGrid>
    <w:tr w:rsidR="00FC2A3B" w14:paraId="4EF91BD1" w14:textId="77777777" w:rsidTr="00FC2A3B">
      <w:tc>
        <w:tcPr>
          <w:tcW w:w="8720" w:type="dxa"/>
          <w:shd w:val="clear" w:color="auto" w:fill="E4F2E0"/>
        </w:tcPr>
        <w:p w14:paraId="33689A6D" w14:textId="425CB5EE" w:rsidR="00FC2A3B" w:rsidRPr="00D361CA" w:rsidRDefault="00FC2A3B" w:rsidP="000E6647">
          <w:pPr>
            <w:spacing w:before="40" w:after="40"/>
            <w:rPr>
              <w:b/>
            </w:rPr>
          </w:pPr>
          <w:r w:rsidRPr="00D361CA">
            <w:rPr>
              <w:b/>
            </w:rPr>
            <w:t xml:space="preserve">Attachment 1: Product information for </w:t>
          </w:r>
          <w:proofErr w:type="spellStart"/>
          <w:r w:rsidRPr="000E6647">
            <w:rPr>
              <w:b/>
            </w:rPr>
            <w:t>AusPAR</w:t>
          </w:r>
          <w:proofErr w:type="spellEnd"/>
          <w:r w:rsidRPr="000E6647">
            <w:rPr>
              <w:b/>
            </w:rPr>
            <w:t xml:space="preserve"> - AFINITOR - </w:t>
          </w:r>
          <w:proofErr w:type="spellStart"/>
          <w:r w:rsidRPr="000E6647">
            <w:rPr>
              <w:b/>
            </w:rPr>
            <w:t>Everolimus</w:t>
          </w:r>
          <w:proofErr w:type="spellEnd"/>
          <w:r w:rsidRPr="000E6647">
            <w:rPr>
              <w:b/>
            </w:rPr>
            <w:t xml:space="preserve"> - Novartis Pharmaceuticals Australia Pty Ltd - PM-2016-03871-1-1</w:t>
          </w:r>
          <w:r>
            <w:rPr>
              <w:b/>
            </w:rPr>
            <w:t xml:space="preserve"> </w:t>
          </w:r>
          <w:r w:rsidRPr="000E6647">
            <w:rPr>
              <w:b/>
            </w:rPr>
            <w:t>FINAL 30 November 2018</w:t>
          </w:r>
          <w:r w:rsidRPr="00D361CA">
            <w:rPr>
              <w:b/>
            </w:rPr>
            <w:t xml:space="preserve">. This Product Information was approved at the time this </w:t>
          </w:r>
          <w:proofErr w:type="spellStart"/>
          <w:r w:rsidRPr="00D361CA">
            <w:rPr>
              <w:b/>
            </w:rPr>
            <w:t>AusPAR</w:t>
          </w:r>
          <w:proofErr w:type="spellEnd"/>
          <w:r w:rsidRPr="00D361CA">
            <w:rPr>
              <w:b/>
            </w:rPr>
            <w:t xml:space="preserve"> was published.</w:t>
          </w:r>
        </w:p>
      </w:tc>
    </w:tr>
  </w:tbl>
  <w:p w14:paraId="40EE9147" w14:textId="77777777" w:rsidR="00FC2A3B" w:rsidRDefault="00FC2A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3F3E"/>
    <w:multiLevelType w:val="hybridMultilevel"/>
    <w:tmpl w:val="5AB64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FE0B43"/>
    <w:multiLevelType w:val="hybridMultilevel"/>
    <w:tmpl w:val="8528E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034276"/>
    <w:multiLevelType w:val="hybridMultilevel"/>
    <w:tmpl w:val="B01E25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0A7C5546"/>
    <w:multiLevelType w:val="hybridMultilevel"/>
    <w:tmpl w:val="A1B2B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7660B4"/>
    <w:multiLevelType w:val="hybridMultilevel"/>
    <w:tmpl w:val="87043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A75D59"/>
    <w:multiLevelType w:val="singleLevel"/>
    <w:tmpl w:val="A01A7266"/>
    <w:lvl w:ilvl="0">
      <w:start w:val="1"/>
      <w:numFmt w:val="bullet"/>
      <w:lvlText w:val=""/>
      <w:lvlJc w:val="left"/>
      <w:pPr>
        <w:tabs>
          <w:tab w:val="num" w:pos="357"/>
        </w:tabs>
        <w:ind w:left="357" w:hanging="357"/>
      </w:pPr>
      <w:rPr>
        <w:rFonts w:ascii="Symbol" w:hAnsi="Symbol" w:cs="Courier New" w:hint="default"/>
      </w:rPr>
    </w:lvl>
  </w:abstractNum>
  <w:abstractNum w:abstractNumId="6">
    <w:nsid w:val="13641147"/>
    <w:multiLevelType w:val="hybridMultilevel"/>
    <w:tmpl w:val="3E5CE462"/>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
    <w:nsid w:val="186477F9"/>
    <w:multiLevelType w:val="hybridMultilevel"/>
    <w:tmpl w:val="A726CFA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81ACE"/>
    <w:multiLevelType w:val="hybridMultilevel"/>
    <w:tmpl w:val="EB02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435439"/>
    <w:multiLevelType w:val="hybridMultilevel"/>
    <w:tmpl w:val="D23A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AD311CE"/>
    <w:multiLevelType w:val="hybridMultilevel"/>
    <w:tmpl w:val="5B8EB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9A4AC8"/>
    <w:multiLevelType w:val="hybridMultilevel"/>
    <w:tmpl w:val="267CC9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33CE1BA4"/>
    <w:multiLevelType w:val="singleLevel"/>
    <w:tmpl w:val="09845F24"/>
    <w:lvl w:ilvl="0">
      <w:start w:val="1"/>
      <w:numFmt w:val="bullet"/>
      <w:lvlText w:val=""/>
      <w:lvlJc w:val="left"/>
      <w:pPr>
        <w:tabs>
          <w:tab w:val="num" w:pos="357"/>
        </w:tabs>
        <w:ind w:left="357" w:hanging="357"/>
      </w:pPr>
      <w:rPr>
        <w:rFonts w:ascii="Symbol" w:hAnsi="Symbol" w:hint="default"/>
      </w:rPr>
    </w:lvl>
  </w:abstractNum>
  <w:abstractNum w:abstractNumId="13">
    <w:nsid w:val="3DA1194D"/>
    <w:multiLevelType w:val="singleLevel"/>
    <w:tmpl w:val="C6B6DA74"/>
    <w:lvl w:ilvl="0">
      <w:start w:val="1"/>
      <w:numFmt w:val="bullet"/>
      <w:lvlText w:val=""/>
      <w:lvlJc w:val="left"/>
      <w:pPr>
        <w:tabs>
          <w:tab w:val="num" w:pos="357"/>
        </w:tabs>
        <w:ind w:left="357" w:hanging="357"/>
      </w:pPr>
      <w:rPr>
        <w:rFonts w:ascii="Symbol" w:hAnsi="Symbol" w:hint="default"/>
      </w:rPr>
    </w:lvl>
  </w:abstractNum>
  <w:abstractNum w:abstractNumId="14">
    <w:nsid w:val="51FD25A1"/>
    <w:multiLevelType w:val="hybridMultilevel"/>
    <w:tmpl w:val="576E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676D77"/>
    <w:multiLevelType w:val="singleLevel"/>
    <w:tmpl w:val="1BA845BA"/>
    <w:lvl w:ilvl="0">
      <w:start w:val="1"/>
      <w:numFmt w:val="bullet"/>
      <w:lvlText w:val=""/>
      <w:lvlJc w:val="left"/>
      <w:pPr>
        <w:tabs>
          <w:tab w:val="num" w:pos="357"/>
        </w:tabs>
        <w:ind w:left="357" w:hanging="357"/>
      </w:pPr>
      <w:rPr>
        <w:rFonts w:ascii="Symbol" w:hAnsi="Symbol" w:hint="default"/>
      </w:rPr>
    </w:lvl>
  </w:abstractNum>
  <w:abstractNum w:abstractNumId="16">
    <w:nsid w:val="56A77EBB"/>
    <w:multiLevelType w:val="hybridMultilevel"/>
    <w:tmpl w:val="24CCEE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57507084"/>
    <w:multiLevelType w:val="hybridMultilevel"/>
    <w:tmpl w:val="B9160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7674BFF"/>
    <w:multiLevelType w:val="singleLevel"/>
    <w:tmpl w:val="A01A7266"/>
    <w:lvl w:ilvl="0">
      <w:start w:val="1"/>
      <w:numFmt w:val="bullet"/>
      <w:lvlText w:val=""/>
      <w:lvlJc w:val="left"/>
      <w:pPr>
        <w:tabs>
          <w:tab w:val="num" w:pos="357"/>
        </w:tabs>
        <w:ind w:left="357" w:hanging="357"/>
      </w:pPr>
      <w:rPr>
        <w:rFonts w:ascii="Symbol" w:hAnsi="Symbol" w:cs="Courier New" w:hint="default"/>
      </w:rPr>
    </w:lvl>
  </w:abstractNum>
  <w:abstractNum w:abstractNumId="19">
    <w:nsid w:val="58822F8B"/>
    <w:multiLevelType w:val="hybridMultilevel"/>
    <w:tmpl w:val="63A2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A201BB"/>
    <w:multiLevelType w:val="singleLevel"/>
    <w:tmpl w:val="345E74D4"/>
    <w:lvl w:ilvl="0">
      <w:start w:val="1"/>
      <w:numFmt w:val="bullet"/>
      <w:lvlText w:val=""/>
      <w:lvlJc w:val="left"/>
      <w:pPr>
        <w:tabs>
          <w:tab w:val="num" w:pos="357"/>
        </w:tabs>
        <w:ind w:left="357" w:hanging="357"/>
      </w:pPr>
      <w:rPr>
        <w:rFonts w:ascii="Symbol" w:hAnsi="Symbol" w:hint="default"/>
      </w:rPr>
    </w:lvl>
  </w:abstractNum>
  <w:abstractNum w:abstractNumId="21">
    <w:nsid w:val="66D42C05"/>
    <w:multiLevelType w:val="multilevel"/>
    <w:tmpl w:val="88CA3A76"/>
    <w:lvl w:ilvl="0">
      <w:start w:val="1"/>
      <w:numFmt w:val="decimal"/>
      <w:lvlText w:val="Note %1:"/>
      <w:lvlJc w:val="left"/>
      <w:pPr>
        <w:ind w:left="1021" w:hanging="1021"/>
      </w:pPr>
      <w:rPr>
        <w:rFonts w:ascii="Cambria" w:hAnsi="Cambria"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7515119"/>
    <w:multiLevelType w:val="singleLevel"/>
    <w:tmpl w:val="1BA845BA"/>
    <w:lvl w:ilvl="0">
      <w:start w:val="1"/>
      <w:numFmt w:val="bullet"/>
      <w:lvlText w:val=""/>
      <w:lvlJc w:val="left"/>
      <w:pPr>
        <w:tabs>
          <w:tab w:val="num" w:pos="357"/>
        </w:tabs>
        <w:ind w:left="357" w:hanging="357"/>
      </w:pPr>
      <w:rPr>
        <w:rFonts w:ascii="Symbol" w:hAnsi="Symbol" w:hint="default"/>
      </w:rPr>
    </w:lvl>
  </w:abstractNum>
  <w:abstractNum w:abstractNumId="23">
    <w:nsid w:val="676F49FC"/>
    <w:multiLevelType w:val="hybridMultilevel"/>
    <w:tmpl w:val="76C6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8915285"/>
    <w:multiLevelType w:val="singleLevel"/>
    <w:tmpl w:val="345E74D4"/>
    <w:lvl w:ilvl="0">
      <w:start w:val="1"/>
      <w:numFmt w:val="bullet"/>
      <w:lvlText w:val=""/>
      <w:lvlJc w:val="left"/>
      <w:pPr>
        <w:tabs>
          <w:tab w:val="num" w:pos="357"/>
        </w:tabs>
        <w:ind w:left="357" w:hanging="357"/>
      </w:pPr>
      <w:rPr>
        <w:rFonts w:ascii="Symbol" w:hAnsi="Symbol" w:hint="default"/>
      </w:rPr>
    </w:lvl>
  </w:abstractNum>
  <w:abstractNum w:abstractNumId="25">
    <w:nsid w:val="6DF8186E"/>
    <w:multiLevelType w:val="singleLevel"/>
    <w:tmpl w:val="345E74D4"/>
    <w:lvl w:ilvl="0">
      <w:start w:val="1"/>
      <w:numFmt w:val="bullet"/>
      <w:lvlText w:val=""/>
      <w:lvlJc w:val="left"/>
      <w:pPr>
        <w:tabs>
          <w:tab w:val="num" w:pos="357"/>
        </w:tabs>
        <w:ind w:left="357" w:hanging="357"/>
      </w:pPr>
      <w:rPr>
        <w:rFonts w:ascii="Symbol" w:hAnsi="Symbol" w:hint="default"/>
      </w:rPr>
    </w:lvl>
  </w:abstractNum>
  <w:abstractNum w:abstractNumId="26">
    <w:nsid w:val="70332797"/>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72613446"/>
    <w:multiLevelType w:val="hybridMultilevel"/>
    <w:tmpl w:val="D384F4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311220D"/>
    <w:multiLevelType w:val="hybridMultilevel"/>
    <w:tmpl w:val="E814E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B886249"/>
    <w:multiLevelType w:val="hybridMultilevel"/>
    <w:tmpl w:val="ACCEC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FB401D6"/>
    <w:multiLevelType w:val="hybridMultilevel"/>
    <w:tmpl w:val="270C4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0"/>
  </w:num>
  <w:num w:numId="4">
    <w:abstractNumId w:val="17"/>
  </w:num>
  <w:num w:numId="5">
    <w:abstractNumId w:val="30"/>
  </w:num>
  <w:num w:numId="6">
    <w:abstractNumId w:val="27"/>
  </w:num>
  <w:num w:numId="7">
    <w:abstractNumId w:val="23"/>
  </w:num>
  <w:num w:numId="8">
    <w:abstractNumId w:val="28"/>
  </w:num>
  <w:num w:numId="9">
    <w:abstractNumId w:val="9"/>
  </w:num>
  <w:num w:numId="10">
    <w:abstractNumId w:val="21"/>
  </w:num>
  <w:num w:numId="11">
    <w:abstractNumId w:val="1"/>
  </w:num>
  <w:num w:numId="12">
    <w:abstractNumId w:val="29"/>
  </w:num>
  <w:num w:numId="13">
    <w:abstractNumId w:val="11"/>
  </w:num>
  <w:num w:numId="14">
    <w:abstractNumId w:val="16"/>
  </w:num>
  <w:num w:numId="15">
    <w:abstractNumId w:val="2"/>
  </w:num>
  <w:num w:numId="16">
    <w:abstractNumId w:val="12"/>
  </w:num>
  <w:num w:numId="17">
    <w:abstractNumId w:val="18"/>
  </w:num>
  <w:num w:numId="18">
    <w:abstractNumId w:val="20"/>
  </w:num>
  <w:num w:numId="19">
    <w:abstractNumId w:val="25"/>
  </w:num>
  <w:num w:numId="20">
    <w:abstractNumId w:val="24"/>
  </w:num>
  <w:num w:numId="21">
    <w:abstractNumId w:val="5"/>
  </w:num>
  <w:num w:numId="22">
    <w:abstractNumId w:val="6"/>
  </w:num>
  <w:num w:numId="23">
    <w:abstractNumId w:val="7"/>
  </w:num>
  <w:num w:numId="24">
    <w:abstractNumId w:val="8"/>
  </w:num>
  <w:num w:numId="25">
    <w:abstractNumId w:val="14"/>
  </w:num>
  <w:num w:numId="26">
    <w:abstractNumId w:val="19"/>
  </w:num>
  <w:num w:numId="27">
    <w:abstractNumId w:val="10"/>
  </w:num>
  <w:num w:numId="28">
    <w:abstractNumId w:val="3"/>
  </w:num>
  <w:num w:numId="29">
    <w:abstractNumId w:val="13"/>
  </w:num>
  <w:num w:numId="30">
    <w:abstractNumId w:val="22"/>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0E4"/>
    <w:rsid w:val="000178E5"/>
    <w:rsid w:val="00042302"/>
    <w:rsid w:val="00062A86"/>
    <w:rsid w:val="00084EE0"/>
    <w:rsid w:val="000B1188"/>
    <w:rsid w:val="000E6647"/>
    <w:rsid w:val="00132647"/>
    <w:rsid w:val="00164A3B"/>
    <w:rsid w:val="00195FA7"/>
    <w:rsid w:val="001A3992"/>
    <w:rsid w:val="001D2874"/>
    <w:rsid w:val="001E0751"/>
    <w:rsid w:val="0022140F"/>
    <w:rsid w:val="00266C8F"/>
    <w:rsid w:val="00285173"/>
    <w:rsid w:val="002D5B52"/>
    <w:rsid w:val="002E277D"/>
    <w:rsid w:val="002F6B8D"/>
    <w:rsid w:val="002F78A4"/>
    <w:rsid w:val="003241EA"/>
    <w:rsid w:val="00332C9C"/>
    <w:rsid w:val="003353BC"/>
    <w:rsid w:val="00375DF3"/>
    <w:rsid w:val="004032BD"/>
    <w:rsid w:val="00406B93"/>
    <w:rsid w:val="00431ACD"/>
    <w:rsid w:val="00433C7A"/>
    <w:rsid w:val="00450AEB"/>
    <w:rsid w:val="004659B4"/>
    <w:rsid w:val="004917B0"/>
    <w:rsid w:val="00497C85"/>
    <w:rsid w:val="004B6B19"/>
    <w:rsid w:val="004E63E9"/>
    <w:rsid w:val="00512BA0"/>
    <w:rsid w:val="005362D8"/>
    <w:rsid w:val="00544E9D"/>
    <w:rsid w:val="00554893"/>
    <w:rsid w:val="00557C61"/>
    <w:rsid w:val="005715C5"/>
    <w:rsid w:val="00593B97"/>
    <w:rsid w:val="005E6E03"/>
    <w:rsid w:val="0060040B"/>
    <w:rsid w:val="006018AE"/>
    <w:rsid w:val="006B2337"/>
    <w:rsid w:val="006D4FC4"/>
    <w:rsid w:val="006D6064"/>
    <w:rsid w:val="0073696C"/>
    <w:rsid w:val="00755F69"/>
    <w:rsid w:val="00797414"/>
    <w:rsid w:val="007C66C8"/>
    <w:rsid w:val="007E693C"/>
    <w:rsid w:val="00804221"/>
    <w:rsid w:val="0082582C"/>
    <w:rsid w:val="00830F70"/>
    <w:rsid w:val="0087333A"/>
    <w:rsid w:val="00894C8F"/>
    <w:rsid w:val="008D3E5C"/>
    <w:rsid w:val="00900241"/>
    <w:rsid w:val="00905FE6"/>
    <w:rsid w:val="00960CD5"/>
    <w:rsid w:val="009835FF"/>
    <w:rsid w:val="009E0E5F"/>
    <w:rsid w:val="00A104D7"/>
    <w:rsid w:val="00A1425E"/>
    <w:rsid w:val="00A8493B"/>
    <w:rsid w:val="00A90EE7"/>
    <w:rsid w:val="00A950E4"/>
    <w:rsid w:val="00AA1E37"/>
    <w:rsid w:val="00AB7C3A"/>
    <w:rsid w:val="00B90F07"/>
    <w:rsid w:val="00BA3327"/>
    <w:rsid w:val="00BE2A26"/>
    <w:rsid w:val="00C0018F"/>
    <w:rsid w:val="00C669C9"/>
    <w:rsid w:val="00C86808"/>
    <w:rsid w:val="00C874A3"/>
    <w:rsid w:val="00CA6CCF"/>
    <w:rsid w:val="00D153C6"/>
    <w:rsid w:val="00D44BA0"/>
    <w:rsid w:val="00D5004B"/>
    <w:rsid w:val="00D63302"/>
    <w:rsid w:val="00D64407"/>
    <w:rsid w:val="00DA1218"/>
    <w:rsid w:val="00DE7C60"/>
    <w:rsid w:val="00DF5E99"/>
    <w:rsid w:val="00E253EE"/>
    <w:rsid w:val="00E74A56"/>
    <w:rsid w:val="00ED0937"/>
    <w:rsid w:val="00F71679"/>
    <w:rsid w:val="00FC2A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A995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C3A"/>
  </w:style>
  <w:style w:type="paragraph" w:styleId="Heading1">
    <w:name w:val="heading 1"/>
    <w:basedOn w:val="Normal"/>
    <w:next w:val="Normal"/>
    <w:link w:val="Heading1Char"/>
    <w:qFormat/>
    <w:rsid w:val="001A3992"/>
    <w:pPr>
      <w:keepNext/>
      <w:keepLines/>
      <w:numPr>
        <w:numId w:val="1"/>
      </w:numPr>
      <w:spacing w:before="480" w:after="0"/>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nhideWhenUsed/>
    <w:qFormat/>
    <w:rsid w:val="001A3992"/>
    <w:pPr>
      <w:numPr>
        <w:ilvl w:val="1"/>
        <w:numId w:val="1"/>
      </w:numPr>
      <w:spacing w:before="240"/>
      <w:ind w:left="578" w:hanging="578"/>
      <w:outlineLvl w:val="1"/>
    </w:pPr>
    <w:rPr>
      <w:rFonts w:asciiTheme="majorHAnsi" w:hAnsiTheme="majorHAnsi"/>
      <w:b/>
      <w:smallCaps/>
      <w:sz w:val="24"/>
    </w:rPr>
  </w:style>
  <w:style w:type="paragraph" w:styleId="Heading3">
    <w:name w:val="heading 3"/>
    <w:basedOn w:val="Normal"/>
    <w:next w:val="Normal"/>
    <w:link w:val="Heading3Char"/>
    <w:unhideWhenUsed/>
    <w:qFormat/>
    <w:rsid w:val="001A3992"/>
    <w:pPr>
      <w:keepNext/>
      <w:keepLines/>
      <w:spacing w:before="200" w:after="0"/>
      <w:ind w:left="227"/>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qFormat/>
    <w:rsid w:val="001A399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A399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A39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1A39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A39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A39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3992"/>
    <w:rPr>
      <w:rFonts w:asciiTheme="majorHAnsi" w:eastAsiaTheme="majorEastAsia" w:hAnsiTheme="majorHAnsi" w:cstheme="majorBidi"/>
      <w:b/>
      <w:bCs/>
      <w:caps/>
      <w:sz w:val="28"/>
      <w:szCs w:val="28"/>
    </w:rPr>
  </w:style>
  <w:style w:type="character" w:customStyle="1" w:styleId="Heading2Char">
    <w:name w:val="Heading 2 Char"/>
    <w:basedOn w:val="DefaultParagraphFont"/>
    <w:link w:val="Heading2"/>
    <w:rsid w:val="001A3992"/>
    <w:rPr>
      <w:rFonts w:asciiTheme="majorHAnsi" w:hAnsiTheme="majorHAnsi"/>
      <w:b/>
      <w:smallCaps/>
      <w:sz w:val="24"/>
    </w:rPr>
  </w:style>
  <w:style w:type="character" w:customStyle="1" w:styleId="Heading3Char">
    <w:name w:val="Heading 3 Char"/>
    <w:basedOn w:val="DefaultParagraphFont"/>
    <w:link w:val="Heading3"/>
    <w:uiPriority w:val="9"/>
    <w:rsid w:val="001A3992"/>
    <w:rPr>
      <w:rFonts w:asciiTheme="majorHAnsi" w:eastAsiaTheme="majorEastAsia" w:hAnsiTheme="majorHAnsi" w:cstheme="majorBidi"/>
      <w:b/>
      <w:bCs/>
    </w:rPr>
  </w:style>
  <w:style w:type="character" w:customStyle="1" w:styleId="Heading4Char">
    <w:name w:val="Heading 4 Char"/>
    <w:basedOn w:val="DefaultParagraphFont"/>
    <w:link w:val="Heading4"/>
    <w:rsid w:val="001A399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1A399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1A39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1A39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A3992"/>
    <w:pPr>
      <w:ind w:left="720"/>
      <w:contextualSpacing/>
    </w:pPr>
    <w:rPr>
      <w:rFonts w:ascii="Cambria" w:hAnsi="Cambria"/>
    </w:rPr>
  </w:style>
  <w:style w:type="character" w:styleId="CommentReference">
    <w:name w:val="annotation reference"/>
    <w:basedOn w:val="DefaultParagraphFont"/>
    <w:semiHidden/>
    <w:unhideWhenUsed/>
    <w:rsid w:val="001A3992"/>
    <w:rPr>
      <w:sz w:val="16"/>
      <w:szCs w:val="16"/>
    </w:rPr>
  </w:style>
  <w:style w:type="paragraph" w:styleId="CommentText">
    <w:name w:val="annotation text"/>
    <w:basedOn w:val="Normal"/>
    <w:link w:val="CommentTextChar"/>
    <w:semiHidden/>
    <w:unhideWhenUsed/>
    <w:rsid w:val="001A3992"/>
    <w:pPr>
      <w:spacing w:line="240" w:lineRule="auto"/>
    </w:pPr>
    <w:rPr>
      <w:rFonts w:ascii="Cambria" w:hAnsi="Cambria"/>
      <w:sz w:val="20"/>
      <w:szCs w:val="20"/>
    </w:rPr>
  </w:style>
  <w:style w:type="character" w:customStyle="1" w:styleId="CommentTextChar">
    <w:name w:val="Comment Text Char"/>
    <w:basedOn w:val="DefaultParagraphFont"/>
    <w:link w:val="CommentText"/>
    <w:semiHidden/>
    <w:rsid w:val="001A3992"/>
    <w:rPr>
      <w:rFonts w:ascii="Cambria" w:hAnsi="Cambria"/>
      <w:sz w:val="20"/>
      <w:szCs w:val="20"/>
    </w:rPr>
  </w:style>
  <w:style w:type="paragraph" w:styleId="FootnoteText">
    <w:name w:val="footnote text"/>
    <w:basedOn w:val="Normal"/>
    <w:link w:val="FootnoteTextChar"/>
    <w:rsid w:val="001A3992"/>
    <w:pPr>
      <w:keepLines/>
      <w:spacing w:before="180" w:after="180"/>
    </w:pPr>
    <w:rPr>
      <w:rFonts w:ascii="Calibri" w:eastAsia="Calibri" w:hAnsi="Calibri" w:cs="Times New Roman"/>
      <w:sz w:val="20"/>
    </w:rPr>
  </w:style>
  <w:style w:type="character" w:customStyle="1" w:styleId="FootnoteTextChar">
    <w:name w:val="Footnote Text Char"/>
    <w:basedOn w:val="DefaultParagraphFont"/>
    <w:link w:val="FootnoteText"/>
    <w:uiPriority w:val="99"/>
    <w:rsid w:val="001A3992"/>
    <w:rPr>
      <w:rFonts w:ascii="Calibri" w:eastAsia="Calibri" w:hAnsi="Calibri" w:cs="Times New Roman"/>
      <w:sz w:val="20"/>
    </w:rPr>
  </w:style>
  <w:style w:type="character" w:styleId="FootnoteReference">
    <w:name w:val="footnote reference"/>
    <w:basedOn w:val="DefaultParagraphFont"/>
    <w:unhideWhenUsed/>
    <w:rsid w:val="001A3992"/>
    <w:rPr>
      <w:vertAlign w:val="superscript"/>
    </w:rPr>
  </w:style>
  <w:style w:type="paragraph" w:styleId="ListBullet">
    <w:name w:val="List Bullet"/>
    <w:basedOn w:val="Normal"/>
    <w:uiPriority w:val="99"/>
    <w:unhideWhenUsed/>
    <w:rsid w:val="001A3992"/>
    <w:pPr>
      <w:ind w:left="425" w:hanging="425"/>
      <w:contextualSpacing/>
    </w:pPr>
    <w:rPr>
      <w:rFonts w:ascii="Cambria" w:hAnsi="Cambria"/>
    </w:rPr>
  </w:style>
  <w:style w:type="character" w:styleId="Hyperlink">
    <w:name w:val="Hyperlink"/>
    <w:basedOn w:val="DefaultParagraphFont"/>
    <w:uiPriority w:val="99"/>
    <w:unhideWhenUsed/>
    <w:rsid w:val="001A3992"/>
    <w:rPr>
      <w:color w:val="0000FF" w:themeColor="hyperlink"/>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nhideWhenUsed/>
    <w:rsid w:val="001A3992"/>
    <w:pPr>
      <w:tabs>
        <w:tab w:val="center" w:pos="4513"/>
        <w:tab w:val="right" w:pos="9026"/>
      </w:tabs>
      <w:spacing w:after="0" w:line="240" w:lineRule="auto"/>
    </w:pPr>
    <w:rPr>
      <w:rFonts w:ascii="Cambria" w:hAnsi="Cambria"/>
    </w:rPr>
  </w:style>
  <w:style w:type="character" w:customStyle="1" w:styleId="FooterChar">
    <w:name w:val="Footer Char"/>
    <w:basedOn w:val="DefaultParagraphFont"/>
    <w:link w:val="Footer"/>
    <w:uiPriority w:val="99"/>
    <w:rsid w:val="001A3992"/>
    <w:rPr>
      <w:rFonts w:ascii="Cambria" w:hAnsi="Cambria"/>
    </w:rPr>
  </w:style>
  <w:style w:type="paragraph" w:styleId="BalloonText">
    <w:name w:val="Balloon Text"/>
    <w:basedOn w:val="Normal"/>
    <w:link w:val="BalloonTextChar"/>
    <w:semiHidden/>
    <w:unhideWhenUsed/>
    <w:rsid w:val="001A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Header">
    <w:name w:val="header"/>
    <w:basedOn w:val="Normal"/>
    <w:link w:val="HeaderChar"/>
    <w:unhideWhenUsed/>
    <w:rsid w:val="00CA6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CCF"/>
  </w:style>
  <w:style w:type="paragraph" w:customStyle="1" w:styleId="Text">
    <w:name w:val="Text"/>
    <w:aliases w:val="Graphic"/>
    <w:basedOn w:val="Normal"/>
    <w:link w:val="TextChar3"/>
    <w:qFormat/>
    <w:rsid w:val="00AB7C3A"/>
    <w:pPr>
      <w:spacing w:before="120" w:after="0" w:line="240" w:lineRule="auto"/>
      <w:jc w:val="both"/>
    </w:pPr>
    <w:rPr>
      <w:rFonts w:ascii="Times New Roman" w:eastAsia="Times New Roman" w:hAnsi="Times New Roman" w:cs="Times New Roman"/>
      <w:sz w:val="24"/>
      <w:szCs w:val="20"/>
      <w:lang w:val="en-GB"/>
    </w:rPr>
  </w:style>
  <w:style w:type="character" w:customStyle="1" w:styleId="TextChar3">
    <w:name w:val="Text Char3"/>
    <w:link w:val="Text"/>
    <w:rsid w:val="00A950E4"/>
    <w:rPr>
      <w:rFonts w:ascii="Times New Roman" w:eastAsia="Times New Roman" w:hAnsi="Times New Roman" w:cs="Times New Roman"/>
      <w:sz w:val="24"/>
      <w:szCs w:val="20"/>
      <w:lang w:val="en-GB"/>
    </w:rPr>
  </w:style>
  <w:style w:type="paragraph" w:customStyle="1" w:styleId="Table">
    <w:name w:val="Table"/>
    <w:aliases w:val="9 pt,10 pt  Bold,10 pt,table text 10 pt + Arial,Bold,Normal + (Latin) Arial,(Complex) Arial,9 pt Char Char,9pt,9"/>
    <w:basedOn w:val="Normal"/>
    <w:link w:val="TableChar"/>
    <w:qFormat/>
    <w:rsid w:val="00AB7C3A"/>
    <w:pPr>
      <w:keepLines/>
      <w:tabs>
        <w:tab w:val="left" w:pos="284"/>
      </w:tabs>
      <w:spacing w:before="40" w:after="20" w:line="240" w:lineRule="auto"/>
      <w:jc w:val="both"/>
    </w:pPr>
    <w:rPr>
      <w:rFonts w:ascii="Arial" w:eastAsia="Times New Roman" w:hAnsi="Arial" w:cs="Times New Roman"/>
      <w:sz w:val="20"/>
      <w:szCs w:val="20"/>
      <w:lang w:val="en-GB" w:eastAsia="x-none"/>
    </w:rPr>
  </w:style>
  <w:style w:type="character" w:customStyle="1" w:styleId="TableChar">
    <w:name w:val="Table Char"/>
    <w:aliases w:val="10 pt  Bold Char,9 pt Char,10 pt Char,9pt Char,9 Char"/>
    <w:link w:val="Table"/>
    <w:rsid w:val="00A950E4"/>
    <w:rPr>
      <w:rFonts w:ascii="Arial" w:eastAsia="Times New Roman" w:hAnsi="Arial" w:cs="Times New Roman"/>
      <w:sz w:val="20"/>
      <w:szCs w:val="20"/>
      <w:lang w:val="en-GB" w:eastAsia="x-none"/>
    </w:rPr>
  </w:style>
  <w:style w:type="paragraph" w:customStyle="1" w:styleId="Listlevel1">
    <w:name w:val="List level 1"/>
    <w:basedOn w:val="Normal"/>
    <w:link w:val="Listlevel1Char"/>
    <w:rsid w:val="00AB7C3A"/>
    <w:pPr>
      <w:spacing w:before="40" w:after="20" w:line="240" w:lineRule="auto"/>
      <w:ind w:left="425" w:hanging="425"/>
      <w:jc w:val="both"/>
    </w:pPr>
    <w:rPr>
      <w:rFonts w:ascii="Times New Roman" w:eastAsia="Times New Roman" w:hAnsi="Times New Roman" w:cs="Times New Roman"/>
      <w:sz w:val="24"/>
      <w:szCs w:val="20"/>
      <w:lang w:val="en-US"/>
    </w:rPr>
  </w:style>
  <w:style w:type="character" w:customStyle="1" w:styleId="Listlevel1Char">
    <w:name w:val="List level 1 Char"/>
    <w:link w:val="Listlevel1"/>
    <w:locked/>
    <w:rsid w:val="00A950E4"/>
    <w:rPr>
      <w:rFonts w:ascii="Times New Roman" w:eastAsia="Times New Roman" w:hAnsi="Times New Roman" w:cs="Times New Roman"/>
      <w:sz w:val="24"/>
      <w:szCs w:val="20"/>
      <w:lang w:val="en-US"/>
    </w:rPr>
  </w:style>
  <w:style w:type="paragraph" w:customStyle="1" w:styleId="Legend">
    <w:name w:val="Legend"/>
    <w:basedOn w:val="Normal"/>
    <w:link w:val="LegendChar"/>
    <w:rsid w:val="00AB7C3A"/>
    <w:pPr>
      <w:keepLines/>
      <w:tabs>
        <w:tab w:val="left" w:pos="284"/>
      </w:tabs>
      <w:spacing w:before="40" w:after="20" w:line="240" w:lineRule="auto"/>
      <w:jc w:val="both"/>
    </w:pPr>
    <w:rPr>
      <w:rFonts w:ascii="Arial" w:eastAsia="MS Mincho" w:hAnsi="Arial" w:cs="Times New Roman"/>
      <w:sz w:val="20"/>
      <w:szCs w:val="24"/>
    </w:rPr>
  </w:style>
  <w:style w:type="character" w:customStyle="1" w:styleId="LegendChar">
    <w:name w:val="Legend Char"/>
    <w:link w:val="Legend"/>
    <w:rsid w:val="00A950E4"/>
    <w:rPr>
      <w:rFonts w:ascii="Arial" w:eastAsia="MS Mincho" w:hAnsi="Arial" w:cs="Times New Roman"/>
      <w:sz w:val="20"/>
      <w:szCs w:val="24"/>
    </w:rPr>
  </w:style>
  <w:style w:type="character" w:customStyle="1" w:styleId="Listlevel2Char">
    <w:name w:val="List level 2 Char"/>
    <w:link w:val="Listlevel2"/>
    <w:locked/>
    <w:rsid w:val="00A950E4"/>
    <w:rPr>
      <w:rFonts w:ascii="MS Mincho" w:eastAsia="MS Mincho" w:hAnsi="MS Mincho"/>
      <w:sz w:val="24"/>
      <w:lang w:val="x-none" w:eastAsia="ja-JP"/>
    </w:rPr>
  </w:style>
  <w:style w:type="paragraph" w:customStyle="1" w:styleId="Listlevel2">
    <w:name w:val="List level 2"/>
    <w:basedOn w:val="Listlevel1"/>
    <w:link w:val="Listlevel2Char"/>
    <w:rsid w:val="00A950E4"/>
    <w:pPr>
      <w:ind w:left="850"/>
    </w:pPr>
    <w:rPr>
      <w:rFonts w:ascii="MS Mincho" w:eastAsia="MS Mincho" w:hAnsi="MS Mincho" w:cstheme="minorBidi"/>
      <w:szCs w:val="22"/>
      <w:lang w:val="x-none" w:eastAsia="ja-JP"/>
    </w:rPr>
  </w:style>
  <w:style w:type="paragraph" w:customStyle="1" w:styleId="Listlevel3">
    <w:name w:val="List level 3"/>
    <w:basedOn w:val="Listlevel2"/>
    <w:rsid w:val="00A950E4"/>
    <w:pPr>
      <w:ind w:left="1296" w:hanging="432"/>
    </w:pPr>
    <w:rPr>
      <w:rFonts w:hint="eastAsia"/>
    </w:rPr>
  </w:style>
  <w:style w:type="paragraph" w:styleId="Caption">
    <w:name w:val="caption"/>
    <w:basedOn w:val="Normal"/>
    <w:next w:val="Normal"/>
    <w:uiPriority w:val="35"/>
    <w:unhideWhenUsed/>
    <w:qFormat/>
    <w:rsid w:val="00AB7C3A"/>
    <w:pPr>
      <w:spacing w:after="0" w:line="240" w:lineRule="auto"/>
      <w:jc w:val="both"/>
    </w:pPr>
    <w:rPr>
      <w:rFonts w:ascii="Times New Roman" w:eastAsia="Times New Roman" w:hAnsi="Times New Roman" w:cs="Times New Roman"/>
      <w:b/>
      <w:bCs/>
      <w:sz w:val="20"/>
      <w:szCs w:val="20"/>
    </w:rPr>
  </w:style>
  <w:style w:type="paragraph" w:customStyle="1" w:styleId="Nottoc-headings">
    <w:name w:val="Not toc-headings"/>
    <w:basedOn w:val="Normal"/>
    <w:next w:val="Text"/>
    <w:link w:val="Nottoc-headingsChar"/>
    <w:rsid w:val="00AB7C3A"/>
    <w:pPr>
      <w:keepNext/>
      <w:keepLines/>
      <w:spacing w:before="240" w:after="60" w:line="240" w:lineRule="auto"/>
      <w:ind w:left="1701" w:hanging="1701"/>
      <w:jc w:val="both"/>
    </w:pPr>
    <w:rPr>
      <w:rFonts w:ascii="Arial" w:eastAsia="MS Mincho" w:hAnsi="Arial" w:cs="Times New Roman"/>
      <w:b/>
      <w:sz w:val="24"/>
      <w:szCs w:val="20"/>
      <w:lang w:val="en-US"/>
    </w:rPr>
  </w:style>
  <w:style w:type="character" w:customStyle="1" w:styleId="Nottoc-headingsChar">
    <w:name w:val="Not toc-headings Char"/>
    <w:link w:val="Nottoc-headings"/>
    <w:rsid w:val="00557C61"/>
    <w:rPr>
      <w:rFonts w:ascii="Arial" w:eastAsia="MS Mincho" w:hAnsi="Arial" w:cs="Times New Roman"/>
      <w:b/>
      <w:sz w:val="24"/>
      <w:szCs w:val="20"/>
      <w:lang w:val="en-US"/>
    </w:rPr>
  </w:style>
  <w:style w:type="paragraph" w:customStyle="1" w:styleId="paragraph">
    <w:name w:val="paragraph"/>
    <w:basedOn w:val="Normal"/>
    <w:rsid w:val="00AB7C3A"/>
    <w:pPr>
      <w:spacing w:before="120" w:after="0" w:line="240" w:lineRule="auto"/>
      <w:jc w:val="both"/>
    </w:pPr>
    <w:rPr>
      <w:rFonts w:ascii="Times New Roman" w:eastAsia="Times New Roman" w:hAnsi="Times New Roman" w:cs="Times New Roman"/>
      <w:sz w:val="24"/>
      <w:szCs w:val="20"/>
      <w:lang w:val="en-US"/>
    </w:rPr>
  </w:style>
  <w:style w:type="paragraph" w:customStyle="1" w:styleId="Titlepage">
    <w:name w:val="Titlepage"/>
    <w:basedOn w:val="Normal"/>
    <w:rsid w:val="00AB7C3A"/>
    <w:pPr>
      <w:spacing w:after="0" w:line="240" w:lineRule="auto"/>
      <w:jc w:val="both"/>
    </w:pPr>
    <w:rPr>
      <w:rFonts w:ascii="Times New Roman" w:eastAsia="Times New Roman" w:hAnsi="Times New Roman" w:cs="Times New Roman"/>
      <w:sz w:val="24"/>
      <w:szCs w:val="20"/>
      <w:lang w:val="en-US"/>
    </w:rPr>
  </w:style>
  <w:style w:type="paragraph" w:styleId="TOC1">
    <w:name w:val="toc 1"/>
    <w:basedOn w:val="Normal"/>
    <w:semiHidden/>
    <w:rsid w:val="00AB7C3A"/>
    <w:pPr>
      <w:tabs>
        <w:tab w:val="right" w:leader="dot" w:pos="9073"/>
      </w:tabs>
      <w:spacing w:after="72" w:line="240" w:lineRule="auto"/>
      <w:ind w:left="426" w:hanging="426"/>
      <w:jc w:val="both"/>
    </w:pPr>
    <w:rPr>
      <w:rFonts w:ascii="Times New Roman" w:eastAsia="Times New Roman" w:hAnsi="Times New Roman" w:cs="Times New Roman"/>
      <w:sz w:val="24"/>
      <w:szCs w:val="20"/>
      <w:lang w:val="en-US"/>
    </w:rPr>
  </w:style>
  <w:style w:type="paragraph" w:styleId="Index1">
    <w:name w:val="index 1"/>
    <w:basedOn w:val="Normal"/>
    <w:next w:val="Normal"/>
    <w:semiHidden/>
    <w:rsid w:val="00AB7C3A"/>
    <w:pPr>
      <w:spacing w:after="0" w:line="240" w:lineRule="auto"/>
      <w:jc w:val="both"/>
    </w:pPr>
    <w:rPr>
      <w:rFonts w:ascii="Times New Roman" w:eastAsia="Times New Roman" w:hAnsi="Times New Roman" w:cs="Times New Roman"/>
      <w:sz w:val="20"/>
      <w:szCs w:val="20"/>
    </w:rPr>
  </w:style>
  <w:style w:type="character" w:styleId="LineNumber">
    <w:name w:val="line number"/>
    <w:basedOn w:val="DefaultParagraphFont"/>
    <w:rsid w:val="00557C61"/>
  </w:style>
  <w:style w:type="paragraph" w:styleId="NormalIndent">
    <w:name w:val="Normal Indent"/>
    <w:basedOn w:val="Normal"/>
    <w:rsid w:val="00AB7C3A"/>
    <w:pPr>
      <w:spacing w:after="0" w:line="240" w:lineRule="auto"/>
      <w:ind w:left="720"/>
      <w:jc w:val="both"/>
    </w:pPr>
    <w:rPr>
      <w:rFonts w:ascii="Times New Roman" w:eastAsia="Times New Roman" w:hAnsi="Times New Roman" w:cs="Times New Roman"/>
      <w:sz w:val="20"/>
      <w:szCs w:val="20"/>
    </w:rPr>
  </w:style>
  <w:style w:type="paragraph" w:styleId="BodyText">
    <w:name w:val="Body Text"/>
    <w:basedOn w:val="Normal"/>
    <w:link w:val="BodyTextChar"/>
    <w:rsid w:val="00AB7C3A"/>
    <w:pPr>
      <w:spacing w:after="0" w:line="360" w:lineRule="auto"/>
      <w:jc w:val="both"/>
    </w:pPr>
    <w:rPr>
      <w:rFonts w:ascii="Times New Roman" w:eastAsia="Times New Roman" w:hAnsi="Times New Roman" w:cs="Times New Roman"/>
      <w:color w:val="FF0000"/>
      <w:sz w:val="24"/>
      <w:szCs w:val="20"/>
    </w:rPr>
  </w:style>
  <w:style w:type="character" w:customStyle="1" w:styleId="BodyTextChar">
    <w:name w:val="Body Text Char"/>
    <w:basedOn w:val="DefaultParagraphFont"/>
    <w:link w:val="BodyText"/>
    <w:rsid w:val="00557C61"/>
    <w:rPr>
      <w:rFonts w:ascii="Times New Roman" w:eastAsia="Times New Roman" w:hAnsi="Times New Roman" w:cs="Times New Roman"/>
      <w:color w:val="FF0000"/>
      <w:sz w:val="24"/>
      <w:szCs w:val="20"/>
    </w:rPr>
  </w:style>
  <w:style w:type="paragraph" w:customStyle="1" w:styleId="reference">
    <w:name w:val="reference"/>
    <w:basedOn w:val="Normal"/>
    <w:rsid w:val="00AB7C3A"/>
    <w:pPr>
      <w:spacing w:before="80" w:after="60" w:line="240" w:lineRule="auto"/>
      <w:ind w:left="907" w:hanging="907"/>
      <w:jc w:val="both"/>
    </w:pPr>
    <w:rPr>
      <w:rFonts w:ascii="Times New Roman" w:eastAsia="Times New Roman" w:hAnsi="Times New Roman" w:cs="Times New Roman"/>
      <w:sz w:val="24"/>
      <w:szCs w:val="20"/>
      <w:lang w:val="en-US"/>
    </w:rPr>
  </w:style>
  <w:style w:type="paragraph" w:customStyle="1" w:styleId="table0">
    <w:name w:val="table"/>
    <w:basedOn w:val="Normal"/>
    <w:rsid w:val="00AB7C3A"/>
    <w:pPr>
      <w:keepNext/>
      <w:tabs>
        <w:tab w:val="left" w:pos="284"/>
      </w:tabs>
      <w:spacing w:before="60" w:after="60" w:line="240" w:lineRule="auto"/>
      <w:jc w:val="both"/>
    </w:pPr>
    <w:rPr>
      <w:rFonts w:ascii="Arial" w:eastAsia="Times New Roman" w:hAnsi="Arial" w:cs="Times New Roman"/>
      <w:sz w:val="20"/>
      <w:szCs w:val="20"/>
      <w:lang w:val="en-US"/>
    </w:rPr>
  </w:style>
  <w:style w:type="paragraph" w:customStyle="1" w:styleId="nottoc-headings0">
    <w:name w:val="not toc-headings"/>
    <w:basedOn w:val="Normal"/>
    <w:next w:val="legend0"/>
    <w:rsid w:val="00AB7C3A"/>
    <w:pPr>
      <w:keepNext/>
      <w:keepLines/>
      <w:spacing w:before="240" w:after="120" w:line="240" w:lineRule="auto"/>
      <w:ind w:left="1701" w:hanging="1701"/>
      <w:jc w:val="both"/>
    </w:pPr>
    <w:rPr>
      <w:rFonts w:ascii="Arial" w:eastAsia="Times New Roman" w:hAnsi="Arial" w:cs="Times New Roman"/>
      <w:b/>
      <w:sz w:val="24"/>
      <w:szCs w:val="20"/>
      <w:lang w:val="en-US"/>
    </w:rPr>
  </w:style>
  <w:style w:type="paragraph" w:customStyle="1" w:styleId="legend0">
    <w:name w:val="legend"/>
    <w:basedOn w:val="Normal"/>
    <w:next w:val="table0"/>
    <w:rsid w:val="00AB7C3A"/>
    <w:pPr>
      <w:keepNext/>
      <w:keepLines/>
      <w:spacing w:after="120" w:line="240" w:lineRule="auto"/>
      <w:jc w:val="both"/>
    </w:pPr>
    <w:rPr>
      <w:rFonts w:ascii="Times New Roman" w:eastAsia="Times New Roman" w:hAnsi="Times New Roman" w:cs="Times New Roman"/>
      <w:sz w:val="24"/>
      <w:szCs w:val="20"/>
      <w:lang w:val="en-US"/>
    </w:rPr>
  </w:style>
  <w:style w:type="paragraph" w:customStyle="1" w:styleId="List1">
    <w:name w:val="List1"/>
    <w:basedOn w:val="Normal"/>
    <w:rsid w:val="00AB7C3A"/>
    <w:pPr>
      <w:spacing w:before="60" w:after="60" w:line="240" w:lineRule="auto"/>
      <w:ind w:left="567" w:hanging="567"/>
      <w:jc w:val="both"/>
    </w:pPr>
    <w:rPr>
      <w:rFonts w:ascii="Times New Roman" w:eastAsia="Times New Roman" w:hAnsi="Times New Roman" w:cs="Times New Roman"/>
      <w:sz w:val="24"/>
      <w:szCs w:val="20"/>
      <w:lang w:val="en-US"/>
    </w:rPr>
  </w:style>
  <w:style w:type="paragraph" w:customStyle="1" w:styleId="comment">
    <w:name w:val="comment"/>
    <w:basedOn w:val="paragraph"/>
    <w:next w:val="paragraph"/>
    <w:rsid w:val="00557C61"/>
    <w:pPr>
      <w:keepLines/>
    </w:pPr>
    <w:rPr>
      <w:i/>
      <w:color w:val="0000FF"/>
    </w:rPr>
  </w:style>
  <w:style w:type="paragraph" w:customStyle="1" w:styleId="non-proportional">
    <w:name w:val="non-proportional"/>
    <w:basedOn w:val="Normal"/>
    <w:rsid w:val="00AB7C3A"/>
    <w:pPr>
      <w:spacing w:after="0" w:line="240" w:lineRule="atLeast"/>
      <w:jc w:val="both"/>
    </w:pPr>
    <w:rPr>
      <w:rFonts w:ascii="Courier New" w:eastAsia="Times New Roman" w:hAnsi="Courier New" w:cs="Times New Roman"/>
      <w:spacing w:val="-10"/>
      <w:sz w:val="20"/>
      <w:szCs w:val="20"/>
      <w:lang w:val="en-US"/>
    </w:rPr>
  </w:style>
  <w:style w:type="paragraph" w:customStyle="1" w:styleId="Auflistung">
    <w:name w:val="Auflistung"/>
    <w:basedOn w:val="Normal"/>
    <w:rsid w:val="00AB7C3A"/>
    <w:pPr>
      <w:tabs>
        <w:tab w:val="left" w:pos="284"/>
      </w:tabs>
      <w:spacing w:before="240" w:after="0" w:line="240" w:lineRule="auto"/>
      <w:ind w:left="709" w:hanging="709"/>
      <w:jc w:val="both"/>
    </w:pPr>
    <w:rPr>
      <w:rFonts w:ascii="Helv" w:eastAsia="Times New Roman" w:hAnsi="Helv" w:cs="Times New Roman"/>
      <w:sz w:val="20"/>
      <w:szCs w:val="20"/>
      <w:lang w:val="en-US"/>
    </w:rPr>
  </w:style>
  <w:style w:type="paragraph" w:customStyle="1" w:styleId="Absender">
    <w:name w:val="Absender"/>
    <w:basedOn w:val="Normal"/>
    <w:rsid w:val="00AB7C3A"/>
    <w:pPr>
      <w:tabs>
        <w:tab w:val="left" w:pos="1276"/>
        <w:tab w:val="left" w:pos="5273"/>
      </w:tabs>
      <w:spacing w:after="0" w:line="240" w:lineRule="auto"/>
      <w:jc w:val="both"/>
    </w:pPr>
    <w:rPr>
      <w:rFonts w:ascii="Helv" w:eastAsia="Times New Roman" w:hAnsi="Helv" w:cs="Times New Roman"/>
      <w:sz w:val="20"/>
      <w:szCs w:val="20"/>
      <w:lang w:val="en-US"/>
    </w:rPr>
  </w:style>
  <w:style w:type="paragraph" w:customStyle="1" w:styleId="Letterhead">
    <w:name w:val="Letterhead"/>
    <w:basedOn w:val="Normal"/>
    <w:rsid w:val="00AB7C3A"/>
    <w:pPr>
      <w:spacing w:after="0" w:line="240" w:lineRule="auto"/>
      <w:jc w:val="both"/>
    </w:pPr>
    <w:rPr>
      <w:rFonts w:ascii="Helv" w:eastAsia="Times New Roman" w:hAnsi="Helv" w:cs="Times New Roman"/>
      <w:sz w:val="16"/>
      <w:szCs w:val="20"/>
      <w:lang w:val="de-DE"/>
    </w:rPr>
  </w:style>
  <w:style w:type="paragraph" w:customStyle="1" w:styleId="litref">
    <w:name w:val="litref"/>
    <w:basedOn w:val="paragraph"/>
    <w:rsid w:val="00557C61"/>
    <w:pPr>
      <w:framePr w:w="1985" w:wrap="auto" w:hAnchor="margin" w:x="7656"/>
      <w:jc w:val="left"/>
    </w:pPr>
    <w:rPr>
      <w:sz w:val="22"/>
      <w:lang w:val="en-GB"/>
    </w:rPr>
  </w:style>
  <w:style w:type="paragraph" w:customStyle="1" w:styleId="crossref">
    <w:name w:val="crossref"/>
    <w:basedOn w:val="paragraph"/>
    <w:rsid w:val="00557C61"/>
    <w:pPr>
      <w:framePr w:w="1985" w:wrap="auto" w:hAnchor="margin" w:x="7656"/>
      <w:jc w:val="left"/>
    </w:pPr>
    <w:rPr>
      <w:i/>
      <w:sz w:val="22"/>
      <w:lang w:val="en-GB"/>
    </w:rPr>
  </w:style>
  <w:style w:type="paragraph" w:customStyle="1" w:styleId="referencelist">
    <w:name w:val="reference list"/>
    <w:basedOn w:val="Normal"/>
    <w:rsid w:val="00AB7C3A"/>
    <w:pPr>
      <w:keepLines/>
      <w:spacing w:before="72" w:after="0" w:line="240" w:lineRule="auto"/>
      <w:jc w:val="both"/>
    </w:pPr>
    <w:rPr>
      <w:rFonts w:ascii="Times New Roman" w:eastAsia="Times New Roman" w:hAnsi="Times New Roman" w:cs="Times New Roman"/>
      <w:szCs w:val="20"/>
      <w:lang w:val="en-GB"/>
    </w:rPr>
  </w:style>
  <w:style w:type="paragraph" w:customStyle="1" w:styleId="Title1">
    <w:name w:val="Title1"/>
    <w:basedOn w:val="Normal"/>
    <w:next w:val="author"/>
    <w:rsid w:val="00557C61"/>
    <w:pPr>
      <w:spacing w:after="240" w:line="240" w:lineRule="auto"/>
      <w:jc w:val="center"/>
    </w:pPr>
    <w:rPr>
      <w:rFonts w:ascii="Times New Roman" w:eastAsia="Times New Roman" w:hAnsi="Times New Roman" w:cs="Times New Roman"/>
      <w:b/>
      <w:sz w:val="24"/>
      <w:szCs w:val="20"/>
      <w:lang w:val="en-GB"/>
    </w:rPr>
  </w:style>
  <w:style w:type="paragraph" w:customStyle="1" w:styleId="author">
    <w:name w:val="author"/>
    <w:basedOn w:val="Normal"/>
    <w:next w:val="abstract"/>
    <w:rsid w:val="00557C61"/>
    <w:pPr>
      <w:spacing w:after="0" w:line="240" w:lineRule="auto"/>
      <w:jc w:val="center"/>
    </w:pPr>
    <w:rPr>
      <w:rFonts w:ascii="Times New Roman" w:eastAsia="Times New Roman" w:hAnsi="Times New Roman" w:cs="Times New Roman"/>
      <w:sz w:val="18"/>
      <w:szCs w:val="20"/>
      <w:lang w:val="en-GB"/>
    </w:rPr>
  </w:style>
  <w:style w:type="paragraph" w:customStyle="1" w:styleId="abstract">
    <w:name w:val="abstract"/>
    <w:basedOn w:val="Normal"/>
    <w:rsid w:val="00AB7C3A"/>
    <w:pPr>
      <w:spacing w:before="240" w:after="240" w:line="240" w:lineRule="auto"/>
      <w:ind w:left="567" w:right="567"/>
      <w:jc w:val="both"/>
    </w:pPr>
    <w:rPr>
      <w:rFonts w:ascii="Helv" w:eastAsia="Times New Roman" w:hAnsi="Helv" w:cs="Times New Roman"/>
      <w:sz w:val="18"/>
      <w:szCs w:val="20"/>
      <w:lang w:val="en-GB"/>
    </w:rPr>
  </w:style>
  <w:style w:type="paragraph" w:customStyle="1" w:styleId="equation">
    <w:name w:val="equation"/>
    <w:basedOn w:val="Normal"/>
    <w:rsid w:val="00AB7C3A"/>
    <w:pPr>
      <w:tabs>
        <w:tab w:val="center" w:pos="2325"/>
        <w:tab w:val="right" w:pos="4649"/>
      </w:tabs>
      <w:spacing w:before="74" w:after="74" w:line="240" w:lineRule="auto"/>
      <w:jc w:val="both"/>
    </w:pPr>
    <w:rPr>
      <w:rFonts w:ascii="Times New Roman" w:eastAsia="Times New Roman" w:hAnsi="Times New Roman" w:cs="Times New Roman"/>
      <w:sz w:val="18"/>
      <w:szCs w:val="20"/>
      <w:lang w:val="en-GB"/>
    </w:rPr>
  </w:style>
  <w:style w:type="paragraph" w:customStyle="1" w:styleId="list2">
    <w:name w:val="list2"/>
    <w:basedOn w:val="List1"/>
    <w:rsid w:val="00557C61"/>
    <w:pPr>
      <w:tabs>
        <w:tab w:val="left" w:pos="251"/>
      </w:tabs>
      <w:spacing w:before="46" w:after="0"/>
      <w:ind w:left="1134" w:hanging="1134"/>
    </w:pPr>
    <w:rPr>
      <w:sz w:val="18"/>
      <w:lang w:val="en-GB"/>
    </w:rPr>
  </w:style>
  <w:style w:type="paragraph" w:customStyle="1" w:styleId="equation0">
    <w:name w:val="equation()"/>
    <w:basedOn w:val="equation"/>
    <w:next w:val="Normal"/>
    <w:rsid w:val="00557C61"/>
    <w:pPr>
      <w:tabs>
        <w:tab w:val="clear" w:pos="2325"/>
        <w:tab w:val="clear" w:pos="4649"/>
      </w:tabs>
      <w:jc w:val="center"/>
    </w:pPr>
  </w:style>
  <w:style w:type="paragraph" w:customStyle="1" w:styleId="figure">
    <w:name w:val="figure"/>
    <w:basedOn w:val="Normal"/>
    <w:rsid w:val="00AB7C3A"/>
    <w:pPr>
      <w:keepNext/>
      <w:keepLines/>
      <w:spacing w:after="0" w:line="240" w:lineRule="auto"/>
      <w:jc w:val="both"/>
    </w:pPr>
    <w:rPr>
      <w:rFonts w:ascii="Helv" w:eastAsia="Times New Roman" w:hAnsi="Helv" w:cs="Times New Roman"/>
      <w:sz w:val="16"/>
      <w:szCs w:val="20"/>
      <w:lang w:val="en-GB"/>
    </w:rPr>
  </w:style>
  <w:style w:type="paragraph" w:customStyle="1" w:styleId="symbol">
    <w:name w:val="symbol"/>
    <w:basedOn w:val="Normal"/>
    <w:rsid w:val="00557C61"/>
    <w:pPr>
      <w:spacing w:after="0" w:line="240" w:lineRule="auto"/>
      <w:jc w:val="center"/>
    </w:pPr>
    <w:rPr>
      <w:rFonts w:ascii="Symbol" w:eastAsia="Times New Roman" w:hAnsi="Symbol" w:cs="Times New Roman"/>
      <w:b/>
      <w:sz w:val="16"/>
      <w:szCs w:val="20"/>
      <w:lang w:val="en-GB"/>
    </w:rPr>
  </w:style>
  <w:style w:type="paragraph" w:customStyle="1" w:styleId="dingbats">
    <w:name w:val="dingbats"/>
    <w:basedOn w:val="symbol"/>
    <w:rsid w:val="00557C61"/>
    <w:rPr>
      <w:rFonts w:ascii="ZapfDingbats" w:hAnsi="ZapfDingbats"/>
      <w:b w:val="0"/>
    </w:rPr>
  </w:style>
  <w:style w:type="paragraph" w:customStyle="1" w:styleId="distrib">
    <w:name w:val="distrib"/>
    <w:basedOn w:val="List1"/>
    <w:rsid w:val="00557C61"/>
    <w:pPr>
      <w:keepLines/>
      <w:tabs>
        <w:tab w:val="left" w:pos="567"/>
        <w:tab w:val="left" w:pos="6804"/>
      </w:tabs>
      <w:spacing w:before="720" w:after="0"/>
      <w:ind w:left="284" w:hanging="284"/>
    </w:pPr>
    <w:rPr>
      <w:sz w:val="22"/>
      <w:u w:val="single"/>
    </w:rPr>
  </w:style>
  <w:style w:type="paragraph" w:customStyle="1" w:styleId="part">
    <w:name w:val="part"/>
    <w:basedOn w:val="Normal"/>
    <w:rsid w:val="00AB7C3A"/>
    <w:pPr>
      <w:framePr w:wrap="notBeside" w:vAnchor="page" w:hAnchor="page" w:x="7484" w:y="2553"/>
      <w:spacing w:after="0" w:line="240" w:lineRule="auto"/>
      <w:jc w:val="both"/>
    </w:pPr>
    <w:rPr>
      <w:rFonts w:ascii="Arial" w:eastAsia="Times New Roman" w:hAnsi="Arial" w:cs="Times New Roman"/>
      <w:b/>
      <w:sz w:val="20"/>
      <w:szCs w:val="20"/>
      <w:lang w:val="en-US"/>
    </w:rPr>
  </w:style>
  <w:style w:type="paragraph" w:customStyle="1" w:styleId="form">
    <w:name w:val="form"/>
    <w:basedOn w:val="Normal"/>
    <w:rsid w:val="00AB7C3A"/>
    <w:pPr>
      <w:framePr w:wrap="notBeside" w:vAnchor="page" w:hAnchor="page" w:x="7479" w:y="3273"/>
      <w:spacing w:after="0" w:line="240" w:lineRule="auto"/>
      <w:jc w:val="both"/>
    </w:pPr>
    <w:rPr>
      <w:rFonts w:ascii="Arial" w:eastAsia="Times New Roman" w:hAnsi="Arial" w:cs="Times New Roman"/>
      <w:b/>
      <w:sz w:val="20"/>
      <w:szCs w:val="20"/>
      <w:lang w:val="en-US"/>
    </w:rPr>
  </w:style>
  <w:style w:type="paragraph" w:customStyle="1" w:styleId="Normal0">
    <w:name w:val="Normal+"/>
    <w:basedOn w:val="Normal1"/>
    <w:rsid w:val="00557C61"/>
    <w:pPr>
      <w:spacing w:after="57"/>
    </w:pPr>
  </w:style>
  <w:style w:type="paragraph" w:customStyle="1" w:styleId="Normal1">
    <w:name w:val="Normal*"/>
    <w:basedOn w:val="Normal"/>
    <w:rsid w:val="00AB7C3A"/>
    <w:pPr>
      <w:spacing w:after="0" w:line="240" w:lineRule="auto"/>
      <w:jc w:val="both"/>
    </w:pPr>
    <w:rPr>
      <w:rFonts w:ascii="Helv" w:eastAsia="Times New Roman" w:hAnsi="Helv" w:cs="Times New Roman"/>
      <w:sz w:val="18"/>
      <w:szCs w:val="20"/>
      <w:lang w:val="en-GB"/>
    </w:rPr>
  </w:style>
  <w:style w:type="paragraph" w:customStyle="1" w:styleId="Normal-">
    <w:name w:val="Normal-+"/>
    <w:basedOn w:val="Normal1"/>
    <w:rsid w:val="00557C61"/>
    <w:pPr>
      <w:spacing w:before="57" w:after="57"/>
    </w:pPr>
  </w:style>
  <w:style w:type="paragraph" w:customStyle="1" w:styleId="Normal-0">
    <w:name w:val="Normal-"/>
    <w:basedOn w:val="Normal1"/>
    <w:rsid w:val="00557C61"/>
    <w:pPr>
      <w:spacing w:before="57"/>
    </w:pPr>
  </w:style>
  <w:style w:type="paragraph" w:customStyle="1" w:styleId="Fix">
    <w:name w:val="Fix*"/>
    <w:basedOn w:val="Normal1"/>
    <w:rsid w:val="00557C61"/>
    <w:rPr>
      <w:sz w:val="14"/>
    </w:rPr>
  </w:style>
  <w:style w:type="paragraph" w:customStyle="1" w:styleId="Fix-">
    <w:name w:val="Fix-"/>
    <w:basedOn w:val="Fix"/>
    <w:rsid w:val="00557C61"/>
    <w:pPr>
      <w:spacing w:before="57"/>
    </w:pPr>
  </w:style>
  <w:style w:type="paragraph" w:customStyle="1" w:styleId="Fix0">
    <w:name w:val="Fix+"/>
    <w:basedOn w:val="Fix"/>
    <w:rsid w:val="00557C61"/>
    <w:pPr>
      <w:spacing w:after="57"/>
    </w:pPr>
  </w:style>
  <w:style w:type="paragraph" w:customStyle="1" w:styleId="Fix-0">
    <w:name w:val="Fix-+"/>
    <w:basedOn w:val="Fix"/>
    <w:rsid w:val="00557C61"/>
    <w:pPr>
      <w:spacing w:before="57" w:after="57"/>
    </w:pPr>
  </w:style>
  <w:style w:type="paragraph" w:customStyle="1" w:styleId="line">
    <w:name w:val="line"/>
    <w:basedOn w:val="Normal"/>
    <w:rsid w:val="00AB7C3A"/>
    <w:pPr>
      <w:tabs>
        <w:tab w:val="left" w:pos="1985"/>
      </w:tabs>
      <w:spacing w:after="0" w:line="240" w:lineRule="auto"/>
      <w:jc w:val="both"/>
    </w:pPr>
    <w:rPr>
      <w:rFonts w:ascii="Times New Roman" w:eastAsia="Times New Roman" w:hAnsi="Times New Roman" w:cs="Times New Roman"/>
      <w:sz w:val="24"/>
      <w:szCs w:val="20"/>
      <w:lang w:val="en-GB"/>
    </w:rPr>
  </w:style>
  <w:style w:type="paragraph" w:customStyle="1" w:styleId="normalindent4cm">
    <w:name w:val="normal indent 4 cm"/>
    <w:basedOn w:val="Normal"/>
    <w:next w:val="Normal"/>
    <w:rsid w:val="00AB7C3A"/>
    <w:pPr>
      <w:spacing w:after="120" w:line="240" w:lineRule="auto"/>
      <w:ind w:left="2268" w:hanging="2268"/>
      <w:jc w:val="both"/>
    </w:pPr>
    <w:rPr>
      <w:rFonts w:ascii="Times New Roman" w:eastAsia="Times New Roman" w:hAnsi="Times New Roman" w:cs="Times New Roman"/>
      <w:sz w:val="24"/>
      <w:szCs w:val="20"/>
      <w:lang w:val="en-GB"/>
    </w:rPr>
  </w:style>
  <w:style w:type="paragraph" w:customStyle="1" w:styleId="subheading">
    <w:name w:val="subheading"/>
    <w:basedOn w:val="Normal"/>
    <w:next w:val="Normal"/>
    <w:rsid w:val="00AB7C3A"/>
    <w:pPr>
      <w:keepNext/>
      <w:keepLines/>
      <w:tabs>
        <w:tab w:val="left" w:pos="907"/>
      </w:tabs>
      <w:spacing w:before="120" w:after="120" w:line="240" w:lineRule="auto"/>
      <w:jc w:val="both"/>
    </w:pPr>
    <w:rPr>
      <w:rFonts w:ascii="Univers (W1)" w:eastAsia="Times New Roman" w:hAnsi="Univers (W1)" w:cs="Times New Roman"/>
      <w:b/>
      <w:sz w:val="24"/>
      <w:szCs w:val="20"/>
      <w:lang w:val="en-GB"/>
    </w:rPr>
  </w:style>
  <w:style w:type="paragraph" w:customStyle="1" w:styleId="paragraphSIF">
    <w:name w:val="paragraph SIF"/>
    <w:basedOn w:val="Normal"/>
    <w:rsid w:val="00AB7C3A"/>
    <w:pPr>
      <w:pBdr>
        <w:bottom w:val="single" w:sz="6" w:space="4" w:color="auto"/>
      </w:pBdr>
      <w:spacing w:after="120" w:line="240" w:lineRule="auto"/>
      <w:jc w:val="both"/>
    </w:pPr>
    <w:rPr>
      <w:rFonts w:ascii="Times New Roman" w:eastAsia="Times New Roman" w:hAnsi="Times New Roman" w:cs="Times New Roman"/>
      <w:szCs w:val="20"/>
      <w:lang w:val="en-GB"/>
    </w:rPr>
  </w:style>
  <w:style w:type="paragraph" w:customStyle="1" w:styleId="headingSIF">
    <w:name w:val="heading SIF"/>
    <w:basedOn w:val="subheading"/>
    <w:next w:val="paragraphSIF"/>
    <w:rsid w:val="00557C61"/>
    <w:pPr>
      <w:tabs>
        <w:tab w:val="clear" w:pos="907"/>
      </w:tabs>
      <w:spacing w:before="0"/>
    </w:pPr>
    <w:rPr>
      <w:sz w:val="22"/>
    </w:rPr>
  </w:style>
  <w:style w:type="paragraph" w:customStyle="1" w:styleId="TexteTableau">
    <w:name w:val="Texte Tableau"/>
    <w:basedOn w:val="Normal"/>
    <w:rsid w:val="00AB7C3A"/>
    <w:pPr>
      <w:spacing w:after="0" w:line="240" w:lineRule="auto"/>
      <w:jc w:val="both"/>
    </w:pPr>
    <w:rPr>
      <w:rFonts w:ascii="Helv" w:eastAsia="Times New Roman" w:hAnsi="Helv" w:cs="Times New Roman"/>
      <w:sz w:val="20"/>
      <w:szCs w:val="20"/>
      <w:lang w:val="fr-FR"/>
    </w:rPr>
  </w:style>
  <w:style w:type="paragraph" w:customStyle="1" w:styleId="CourrierTableau">
    <w:name w:val="CourrierTableau"/>
    <w:basedOn w:val="Normal"/>
    <w:rsid w:val="00AB7C3A"/>
    <w:pPr>
      <w:spacing w:after="0" w:line="240" w:lineRule="auto"/>
      <w:jc w:val="both"/>
    </w:pPr>
    <w:rPr>
      <w:rFonts w:ascii="Courier" w:eastAsia="Times New Roman" w:hAnsi="Courier" w:cs="Times New Roman"/>
      <w:sz w:val="20"/>
      <w:szCs w:val="20"/>
      <w:lang w:val="fr-FR"/>
    </w:rPr>
  </w:style>
  <w:style w:type="paragraph" w:customStyle="1" w:styleId="AbstracText">
    <w:name w:val="AbstracText"/>
    <w:basedOn w:val="Normal"/>
    <w:rsid w:val="00AB7C3A"/>
    <w:pPr>
      <w:tabs>
        <w:tab w:val="left" w:pos="1418"/>
      </w:tabs>
      <w:spacing w:after="240" w:line="240" w:lineRule="atLeast"/>
      <w:ind w:right="6"/>
      <w:jc w:val="both"/>
    </w:pPr>
    <w:rPr>
      <w:rFonts w:ascii="Times New Roman" w:eastAsia="Times New Roman" w:hAnsi="Times New Roman" w:cs="Times New Roman"/>
      <w:sz w:val="24"/>
      <w:szCs w:val="20"/>
      <w:lang w:val="en-GB"/>
    </w:rPr>
  </w:style>
  <w:style w:type="paragraph" w:customStyle="1" w:styleId="S">
    <w:name w:val="S"/>
    <w:basedOn w:val="Normal"/>
    <w:rsid w:val="00AB7C3A"/>
    <w:pPr>
      <w:tabs>
        <w:tab w:val="left" w:pos="1134"/>
        <w:tab w:val="left" w:pos="1418"/>
      </w:tabs>
      <w:spacing w:after="0" w:line="240" w:lineRule="auto"/>
      <w:jc w:val="both"/>
    </w:pPr>
    <w:rPr>
      <w:rFonts w:ascii="Times New Roman" w:eastAsia="Times New Roman" w:hAnsi="Times New Roman" w:cs="Times New Roman"/>
      <w:szCs w:val="20"/>
      <w:lang w:val="en-GB"/>
    </w:rPr>
  </w:style>
  <w:style w:type="paragraph" w:customStyle="1" w:styleId="table1">
    <w:name w:val="table1"/>
    <w:basedOn w:val="table0"/>
    <w:rsid w:val="00557C61"/>
    <w:pPr>
      <w:keepNext w:val="0"/>
      <w:tabs>
        <w:tab w:val="clear" w:pos="284"/>
      </w:tabs>
      <w:spacing w:before="0" w:after="0"/>
    </w:pPr>
    <w:rPr>
      <w:rFonts w:ascii="Times New Roman" w:hAnsi="Times New Roman"/>
      <w:b/>
      <w:i/>
      <w:sz w:val="24"/>
    </w:rPr>
  </w:style>
  <w:style w:type="character" w:styleId="PageNumber">
    <w:name w:val="page number"/>
    <w:basedOn w:val="DefaultParagraphFont"/>
    <w:rsid w:val="00557C61"/>
  </w:style>
  <w:style w:type="character" w:customStyle="1" w:styleId="EndnoteTextChar">
    <w:name w:val="Endnote Text Char"/>
    <w:basedOn w:val="DefaultParagraphFont"/>
    <w:link w:val="EndnoteText"/>
    <w:semiHidden/>
    <w:rsid w:val="00557C61"/>
    <w:rPr>
      <w:rFonts w:ascii="New York" w:eastAsia="Times New Roman" w:hAnsi="New York" w:cs="Times New Roman"/>
      <w:sz w:val="20"/>
      <w:szCs w:val="20"/>
      <w:lang w:val="en-GB"/>
    </w:rPr>
  </w:style>
  <w:style w:type="paragraph" w:styleId="EndnoteText">
    <w:name w:val="endnote text"/>
    <w:basedOn w:val="Normal"/>
    <w:link w:val="EndnoteTextChar"/>
    <w:semiHidden/>
    <w:rsid w:val="00AB7C3A"/>
    <w:pPr>
      <w:spacing w:after="0" w:line="240" w:lineRule="auto"/>
      <w:jc w:val="both"/>
    </w:pPr>
    <w:rPr>
      <w:rFonts w:ascii="New York" w:eastAsia="Times New Roman" w:hAnsi="New York" w:cs="Times New Roman"/>
      <w:sz w:val="20"/>
      <w:szCs w:val="20"/>
      <w:lang w:val="en-GB"/>
    </w:rPr>
  </w:style>
  <w:style w:type="character" w:customStyle="1" w:styleId="EndnoteTextChar1">
    <w:name w:val="Endnote Text Char1"/>
    <w:basedOn w:val="DefaultParagraphFont"/>
    <w:uiPriority w:val="99"/>
    <w:semiHidden/>
    <w:rsid w:val="00557C61"/>
    <w:rPr>
      <w:sz w:val="20"/>
      <w:szCs w:val="20"/>
    </w:rPr>
  </w:style>
  <w:style w:type="paragraph" w:styleId="BodyText3">
    <w:name w:val="Body Text 3"/>
    <w:basedOn w:val="Normal"/>
    <w:link w:val="BodyText3Char"/>
    <w:rsid w:val="00AB7C3A"/>
    <w:pPr>
      <w:tabs>
        <w:tab w:val="left" w:pos="180"/>
      </w:tabs>
      <w:spacing w:after="0" w:line="240" w:lineRule="auto"/>
      <w:jc w:val="both"/>
    </w:pPr>
    <w:rPr>
      <w:rFonts w:ascii="Times New Roman" w:eastAsia="Times New Roman" w:hAnsi="Times New Roman" w:cs="Times New Roman"/>
      <w:b/>
      <w:sz w:val="20"/>
      <w:szCs w:val="20"/>
      <w:lang w:val="en-GB"/>
    </w:rPr>
  </w:style>
  <w:style w:type="character" w:customStyle="1" w:styleId="BodyText3Char">
    <w:name w:val="Body Text 3 Char"/>
    <w:basedOn w:val="DefaultParagraphFont"/>
    <w:link w:val="BodyText3"/>
    <w:rsid w:val="00557C61"/>
    <w:rPr>
      <w:rFonts w:ascii="Times New Roman" w:eastAsia="Times New Roman" w:hAnsi="Times New Roman" w:cs="Times New Roman"/>
      <w:b/>
      <w:sz w:val="20"/>
      <w:szCs w:val="20"/>
      <w:lang w:val="en-GB"/>
    </w:rPr>
  </w:style>
  <w:style w:type="paragraph" w:customStyle="1" w:styleId="TextChar">
    <w:name w:val="Text Char"/>
    <w:basedOn w:val="Normal"/>
    <w:rsid w:val="00AB7C3A"/>
    <w:pPr>
      <w:spacing w:before="120" w:after="0" w:line="240" w:lineRule="auto"/>
      <w:jc w:val="both"/>
    </w:pPr>
    <w:rPr>
      <w:rFonts w:ascii="Times New Roman" w:eastAsia="Times New Roman" w:hAnsi="Times New Roman" w:cs="Times New Roman"/>
      <w:sz w:val="24"/>
      <w:szCs w:val="20"/>
      <w:lang w:val="en-GB"/>
    </w:rPr>
  </w:style>
  <w:style w:type="character" w:customStyle="1" w:styleId="TextCharChar">
    <w:name w:val="Text Char Char"/>
    <w:rsid w:val="00557C61"/>
    <w:rPr>
      <w:noProof w:val="0"/>
      <w:sz w:val="24"/>
      <w:lang w:val="en-GB" w:eastAsia="en-US" w:bidi="ar-SA"/>
    </w:rPr>
  </w:style>
  <w:style w:type="character" w:customStyle="1" w:styleId="TextChar1">
    <w:name w:val="Text Char1"/>
    <w:rsid w:val="00557C61"/>
    <w:rPr>
      <w:noProof w:val="0"/>
      <w:sz w:val="24"/>
      <w:lang w:val="en-GB" w:eastAsia="en-US" w:bidi="ar-SA"/>
    </w:rPr>
  </w:style>
  <w:style w:type="table" w:styleId="TableGrid">
    <w:name w:val="Table Grid"/>
    <w:basedOn w:val="TableNormal"/>
    <w:uiPriority w:val="59"/>
    <w:rsid w:val="00557C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1CharCharCharCharCharChar">
    <w:name w:val="Char Char Char Char Char1 Char Char Char Char Char Char"/>
    <w:basedOn w:val="Normal"/>
    <w:rsid w:val="00AB7C3A"/>
    <w:pPr>
      <w:spacing w:after="160" w:line="240" w:lineRule="exact"/>
      <w:jc w:val="both"/>
    </w:pPr>
    <w:rPr>
      <w:rFonts w:ascii="Tahoma" w:eastAsia="Times New Roman" w:hAnsi="Tahoma" w:cs="Times New Roman"/>
      <w:sz w:val="20"/>
      <w:szCs w:val="20"/>
      <w:lang w:val="en-US"/>
    </w:rPr>
  </w:style>
  <w:style w:type="character" w:customStyle="1" w:styleId="DiovanPItextstyleChar">
    <w:name w:val="Diovan PI text style Char"/>
    <w:link w:val="DiovanPItextstyle"/>
    <w:rsid w:val="00557C61"/>
    <w:rPr>
      <w:sz w:val="24"/>
      <w:lang w:val="en-US"/>
    </w:rPr>
  </w:style>
  <w:style w:type="paragraph" w:customStyle="1" w:styleId="DiovanPItextstyle">
    <w:name w:val="Diovan PI text style"/>
    <w:basedOn w:val="Normal"/>
    <w:link w:val="DiovanPItextstyleChar"/>
    <w:rsid w:val="00AB7C3A"/>
    <w:pPr>
      <w:spacing w:after="120" w:line="320" w:lineRule="atLeast"/>
      <w:jc w:val="both"/>
    </w:pPr>
    <w:rPr>
      <w:sz w:val="24"/>
      <w:lang w:val="en-US"/>
    </w:rPr>
  </w:style>
  <w:style w:type="character" w:customStyle="1" w:styleId="CommentSubjectChar">
    <w:name w:val="Comment Subject Char"/>
    <w:basedOn w:val="CommentTextChar"/>
    <w:link w:val="CommentSubject"/>
    <w:semiHidden/>
    <w:rsid w:val="00557C61"/>
    <w:rPr>
      <w:rFonts w:ascii="Times New Roman" w:eastAsia="Times New Roman" w:hAnsi="Times New Roman" w:cs="Times New Roman"/>
      <w:b/>
      <w:bCs/>
      <w:sz w:val="20"/>
      <w:szCs w:val="20"/>
      <w:lang w:eastAsia="x-none"/>
    </w:rPr>
  </w:style>
  <w:style w:type="paragraph" w:styleId="CommentSubject">
    <w:name w:val="annotation subject"/>
    <w:basedOn w:val="CommentText"/>
    <w:next w:val="CommentText"/>
    <w:link w:val="CommentSubjectChar"/>
    <w:semiHidden/>
    <w:rsid w:val="00AB7C3A"/>
    <w:pPr>
      <w:spacing w:after="0"/>
      <w:jc w:val="both"/>
    </w:pPr>
    <w:rPr>
      <w:rFonts w:ascii="Times New Roman" w:eastAsia="Times New Roman" w:hAnsi="Times New Roman" w:cs="Times New Roman"/>
      <w:b/>
      <w:bCs/>
      <w:lang w:eastAsia="x-none"/>
    </w:rPr>
  </w:style>
  <w:style w:type="character" w:customStyle="1" w:styleId="CommentSubjectChar1">
    <w:name w:val="Comment Subject Char1"/>
    <w:basedOn w:val="CommentTextChar"/>
    <w:uiPriority w:val="99"/>
    <w:semiHidden/>
    <w:rsid w:val="00557C61"/>
    <w:rPr>
      <w:rFonts w:ascii="Cambria" w:hAnsi="Cambria"/>
      <w:b/>
      <w:bCs/>
      <w:sz w:val="20"/>
      <w:szCs w:val="20"/>
    </w:rPr>
  </w:style>
  <w:style w:type="paragraph" w:styleId="Title">
    <w:name w:val="Title"/>
    <w:basedOn w:val="Normal"/>
    <w:link w:val="TitleChar"/>
    <w:autoRedefine/>
    <w:qFormat/>
    <w:rsid w:val="00AB7C3A"/>
    <w:pPr>
      <w:tabs>
        <w:tab w:val="left" w:pos="567"/>
      </w:tabs>
      <w:spacing w:after="0" w:line="320" w:lineRule="atLeast"/>
      <w:jc w:val="both"/>
      <w:outlineLvl w:val="0"/>
    </w:pPr>
    <w:rPr>
      <w:rFonts w:ascii="Times New Roman" w:eastAsia="Times New Roman" w:hAnsi="Times New Roman" w:cs="Times New Roman"/>
      <w:b/>
      <w:bCs/>
      <w:kern w:val="28"/>
      <w:sz w:val="34"/>
      <w:szCs w:val="32"/>
      <w:lang w:val="en-GB" w:eastAsia="x-none"/>
    </w:rPr>
  </w:style>
  <w:style w:type="character" w:customStyle="1" w:styleId="TitleChar">
    <w:name w:val="Title Char"/>
    <w:basedOn w:val="DefaultParagraphFont"/>
    <w:link w:val="Title"/>
    <w:rsid w:val="00557C61"/>
    <w:rPr>
      <w:rFonts w:ascii="Times New Roman" w:eastAsia="Times New Roman" w:hAnsi="Times New Roman" w:cs="Times New Roman"/>
      <w:b/>
      <w:bCs/>
      <w:kern w:val="28"/>
      <w:sz w:val="34"/>
      <w:szCs w:val="32"/>
      <w:lang w:val="en-GB" w:eastAsia="x-none"/>
    </w:rPr>
  </w:style>
  <w:style w:type="paragraph" w:styleId="Subtitle">
    <w:name w:val="Subtitle"/>
    <w:basedOn w:val="Normal"/>
    <w:link w:val="SubtitleChar"/>
    <w:autoRedefine/>
    <w:qFormat/>
    <w:rsid w:val="00AB7C3A"/>
    <w:pPr>
      <w:tabs>
        <w:tab w:val="left" w:pos="567"/>
      </w:tabs>
      <w:spacing w:after="0" w:line="320" w:lineRule="atLeast"/>
      <w:jc w:val="both"/>
      <w:outlineLvl w:val="1"/>
    </w:pPr>
    <w:rPr>
      <w:rFonts w:ascii="Times New Roman" w:eastAsia="Times New Roman" w:hAnsi="Times New Roman" w:cs="Times New Roman"/>
      <w:b/>
      <w:sz w:val="28"/>
      <w:szCs w:val="24"/>
      <w:lang w:val="en-GB" w:eastAsia="x-none"/>
    </w:rPr>
  </w:style>
  <w:style w:type="character" w:customStyle="1" w:styleId="SubtitleChar">
    <w:name w:val="Subtitle Char"/>
    <w:basedOn w:val="DefaultParagraphFont"/>
    <w:link w:val="Subtitle"/>
    <w:rsid w:val="00557C61"/>
    <w:rPr>
      <w:rFonts w:ascii="Times New Roman" w:eastAsia="Times New Roman" w:hAnsi="Times New Roman" w:cs="Times New Roman"/>
      <w:b/>
      <w:sz w:val="28"/>
      <w:szCs w:val="24"/>
      <w:lang w:val="en-GB" w:eastAsia="x-none"/>
    </w:rPr>
  </w:style>
  <w:style w:type="paragraph" w:customStyle="1" w:styleId="CM14">
    <w:name w:val="CM14"/>
    <w:basedOn w:val="Normal"/>
    <w:next w:val="Normal"/>
    <w:uiPriority w:val="99"/>
    <w:rsid w:val="00AB7C3A"/>
    <w:pPr>
      <w:autoSpaceDE w:val="0"/>
      <w:autoSpaceDN w:val="0"/>
      <w:adjustRightInd w:val="0"/>
      <w:spacing w:after="0" w:line="256" w:lineRule="atLeast"/>
      <w:jc w:val="both"/>
    </w:pPr>
    <w:rPr>
      <w:rFonts w:ascii="Times New Roman" w:eastAsia="Times New Roman" w:hAnsi="Times New Roman" w:cs="Times New Roman"/>
      <w:sz w:val="24"/>
      <w:szCs w:val="24"/>
      <w:lang w:val="en-US"/>
    </w:rPr>
  </w:style>
  <w:style w:type="paragraph" w:customStyle="1" w:styleId="CM43">
    <w:name w:val="CM43"/>
    <w:basedOn w:val="Normal"/>
    <w:next w:val="Normal"/>
    <w:uiPriority w:val="99"/>
    <w:rsid w:val="00AB7C3A"/>
    <w:pPr>
      <w:autoSpaceDE w:val="0"/>
      <w:autoSpaceDN w:val="0"/>
      <w:adjustRightInd w:val="0"/>
      <w:spacing w:after="123" w:line="240" w:lineRule="auto"/>
      <w:jc w:val="both"/>
    </w:pPr>
    <w:rPr>
      <w:rFonts w:ascii="Times New Roman" w:eastAsia="Times New Roman" w:hAnsi="Times New Roman" w:cs="Times New Roman"/>
      <w:sz w:val="24"/>
      <w:szCs w:val="24"/>
      <w:lang w:val="en-US"/>
    </w:rPr>
  </w:style>
  <w:style w:type="paragraph" w:customStyle="1" w:styleId="CM41">
    <w:name w:val="CM41"/>
    <w:basedOn w:val="Normal"/>
    <w:next w:val="Normal"/>
    <w:uiPriority w:val="99"/>
    <w:rsid w:val="00AB7C3A"/>
    <w:pPr>
      <w:autoSpaceDE w:val="0"/>
      <w:autoSpaceDN w:val="0"/>
      <w:adjustRightInd w:val="0"/>
      <w:spacing w:after="60" w:line="240" w:lineRule="auto"/>
      <w:jc w:val="both"/>
    </w:pPr>
    <w:rPr>
      <w:rFonts w:ascii="Times New Roman" w:eastAsia="Times New Roman" w:hAnsi="Times New Roman" w:cs="Times New Roman"/>
      <w:sz w:val="24"/>
      <w:szCs w:val="24"/>
      <w:lang w:val="en-US"/>
    </w:rPr>
  </w:style>
  <w:style w:type="paragraph" w:customStyle="1" w:styleId="CharChar1CharCharChar">
    <w:name w:val="Char Char1 Char Char Char"/>
    <w:basedOn w:val="Normal"/>
    <w:rsid w:val="00AB7C3A"/>
    <w:pPr>
      <w:spacing w:after="160" w:line="240" w:lineRule="exact"/>
      <w:jc w:val="both"/>
    </w:pPr>
    <w:rPr>
      <w:rFonts w:ascii="Tahoma" w:eastAsia="Times New Roman" w:hAnsi="Tahoma" w:cs="Times New Roman"/>
      <w:sz w:val="20"/>
      <w:szCs w:val="20"/>
      <w:lang w:val="en-US"/>
    </w:rPr>
  </w:style>
  <w:style w:type="paragraph" w:customStyle="1" w:styleId="TableTitle">
    <w:name w:val="TableTitle"/>
    <w:next w:val="Normal"/>
    <w:rsid w:val="00557C61"/>
    <w:pPr>
      <w:spacing w:before="60" w:after="60" w:line="240" w:lineRule="auto"/>
      <w:jc w:val="center"/>
    </w:pPr>
    <w:rPr>
      <w:rFonts w:ascii="Times New Roman" w:eastAsia="Times New Roman" w:hAnsi="Times New Roman" w:cs="Times New Roman"/>
      <w:b/>
      <w:sz w:val="16"/>
      <w:szCs w:val="24"/>
      <w:lang w:val="en-US"/>
    </w:rPr>
  </w:style>
  <w:style w:type="paragraph" w:customStyle="1" w:styleId="Default">
    <w:name w:val="Default"/>
    <w:rsid w:val="00557C6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semiHidden/>
    <w:unhideWhenUsed/>
    <w:rsid w:val="00AB7C3A"/>
    <w:pPr>
      <w:spacing w:after="143" w:line="240" w:lineRule="auto"/>
      <w:jc w:val="both"/>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C3A"/>
  </w:style>
  <w:style w:type="paragraph" w:styleId="Heading1">
    <w:name w:val="heading 1"/>
    <w:basedOn w:val="Normal"/>
    <w:next w:val="Normal"/>
    <w:link w:val="Heading1Char"/>
    <w:qFormat/>
    <w:rsid w:val="001A3992"/>
    <w:pPr>
      <w:keepNext/>
      <w:keepLines/>
      <w:numPr>
        <w:numId w:val="1"/>
      </w:numPr>
      <w:spacing w:before="480" w:after="0"/>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nhideWhenUsed/>
    <w:qFormat/>
    <w:rsid w:val="001A3992"/>
    <w:pPr>
      <w:numPr>
        <w:ilvl w:val="1"/>
        <w:numId w:val="1"/>
      </w:numPr>
      <w:spacing w:before="240"/>
      <w:ind w:left="578" w:hanging="578"/>
      <w:outlineLvl w:val="1"/>
    </w:pPr>
    <w:rPr>
      <w:rFonts w:asciiTheme="majorHAnsi" w:hAnsiTheme="majorHAnsi"/>
      <w:b/>
      <w:smallCaps/>
      <w:sz w:val="24"/>
    </w:rPr>
  </w:style>
  <w:style w:type="paragraph" w:styleId="Heading3">
    <w:name w:val="heading 3"/>
    <w:basedOn w:val="Normal"/>
    <w:next w:val="Normal"/>
    <w:link w:val="Heading3Char"/>
    <w:unhideWhenUsed/>
    <w:qFormat/>
    <w:rsid w:val="001A3992"/>
    <w:pPr>
      <w:keepNext/>
      <w:keepLines/>
      <w:spacing w:before="200" w:after="0"/>
      <w:ind w:left="227"/>
      <w:outlineLvl w:val="2"/>
    </w:pPr>
    <w:rPr>
      <w:rFonts w:asciiTheme="majorHAnsi" w:eastAsiaTheme="majorEastAsia" w:hAnsiTheme="majorHAnsi" w:cstheme="majorBidi"/>
      <w:b/>
      <w:bCs/>
    </w:rPr>
  </w:style>
  <w:style w:type="paragraph" w:styleId="Heading4">
    <w:name w:val="heading 4"/>
    <w:basedOn w:val="Normal"/>
    <w:next w:val="Normal"/>
    <w:link w:val="Heading4Char"/>
    <w:unhideWhenUsed/>
    <w:qFormat/>
    <w:rsid w:val="001A399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A399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A39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1A39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A39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A39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3992"/>
    <w:rPr>
      <w:rFonts w:asciiTheme="majorHAnsi" w:eastAsiaTheme="majorEastAsia" w:hAnsiTheme="majorHAnsi" w:cstheme="majorBidi"/>
      <w:b/>
      <w:bCs/>
      <w:caps/>
      <w:sz w:val="28"/>
      <w:szCs w:val="28"/>
    </w:rPr>
  </w:style>
  <w:style w:type="character" w:customStyle="1" w:styleId="Heading2Char">
    <w:name w:val="Heading 2 Char"/>
    <w:basedOn w:val="DefaultParagraphFont"/>
    <w:link w:val="Heading2"/>
    <w:rsid w:val="001A3992"/>
    <w:rPr>
      <w:rFonts w:asciiTheme="majorHAnsi" w:hAnsiTheme="majorHAnsi"/>
      <w:b/>
      <w:smallCaps/>
      <w:sz w:val="24"/>
    </w:rPr>
  </w:style>
  <w:style w:type="character" w:customStyle="1" w:styleId="Heading3Char">
    <w:name w:val="Heading 3 Char"/>
    <w:basedOn w:val="DefaultParagraphFont"/>
    <w:link w:val="Heading3"/>
    <w:uiPriority w:val="9"/>
    <w:rsid w:val="001A3992"/>
    <w:rPr>
      <w:rFonts w:asciiTheme="majorHAnsi" w:eastAsiaTheme="majorEastAsia" w:hAnsiTheme="majorHAnsi" w:cstheme="majorBidi"/>
      <w:b/>
      <w:bCs/>
    </w:rPr>
  </w:style>
  <w:style w:type="character" w:customStyle="1" w:styleId="Heading4Char">
    <w:name w:val="Heading 4 Char"/>
    <w:basedOn w:val="DefaultParagraphFont"/>
    <w:link w:val="Heading4"/>
    <w:rsid w:val="001A399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1A399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1A39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1A39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A3992"/>
    <w:pPr>
      <w:ind w:left="720"/>
      <w:contextualSpacing/>
    </w:pPr>
    <w:rPr>
      <w:rFonts w:ascii="Cambria" w:hAnsi="Cambria"/>
    </w:rPr>
  </w:style>
  <w:style w:type="character" w:styleId="CommentReference">
    <w:name w:val="annotation reference"/>
    <w:basedOn w:val="DefaultParagraphFont"/>
    <w:semiHidden/>
    <w:unhideWhenUsed/>
    <w:rsid w:val="001A3992"/>
    <w:rPr>
      <w:sz w:val="16"/>
      <w:szCs w:val="16"/>
    </w:rPr>
  </w:style>
  <w:style w:type="paragraph" w:styleId="CommentText">
    <w:name w:val="annotation text"/>
    <w:basedOn w:val="Normal"/>
    <w:link w:val="CommentTextChar"/>
    <w:semiHidden/>
    <w:unhideWhenUsed/>
    <w:rsid w:val="001A3992"/>
    <w:pPr>
      <w:spacing w:line="240" w:lineRule="auto"/>
    </w:pPr>
    <w:rPr>
      <w:rFonts w:ascii="Cambria" w:hAnsi="Cambria"/>
      <w:sz w:val="20"/>
      <w:szCs w:val="20"/>
    </w:rPr>
  </w:style>
  <w:style w:type="character" w:customStyle="1" w:styleId="CommentTextChar">
    <w:name w:val="Comment Text Char"/>
    <w:basedOn w:val="DefaultParagraphFont"/>
    <w:link w:val="CommentText"/>
    <w:semiHidden/>
    <w:rsid w:val="001A3992"/>
    <w:rPr>
      <w:rFonts w:ascii="Cambria" w:hAnsi="Cambria"/>
      <w:sz w:val="20"/>
      <w:szCs w:val="20"/>
    </w:rPr>
  </w:style>
  <w:style w:type="paragraph" w:styleId="FootnoteText">
    <w:name w:val="footnote text"/>
    <w:basedOn w:val="Normal"/>
    <w:link w:val="FootnoteTextChar"/>
    <w:rsid w:val="001A3992"/>
    <w:pPr>
      <w:keepLines/>
      <w:spacing w:before="180" w:after="180"/>
    </w:pPr>
    <w:rPr>
      <w:rFonts w:ascii="Calibri" w:eastAsia="Calibri" w:hAnsi="Calibri" w:cs="Times New Roman"/>
      <w:sz w:val="20"/>
    </w:rPr>
  </w:style>
  <w:style w:type="character" w:customStyle="1" w:styleId="FootnoteTextChar">
    <w:name w:val="Footnote Text Char"/>
    <w:basedOn w:val="DefaultParagraphFont"/>
    <w:link w:val="FootnoteText"/>
    <w:uiPriority w:val="99"/>
    <w:rsid w:val="001A3992"/>
    <w:rPr>
      <w:rFonts w:ascii="Calibri" w:eastAsia="Calibri" w:hAnsi="Calibri" w:cs="Times New Roman"/>
      <w:sz w:val="20"/>
    </w:rPr>
  </w:style>
  <w:style w:type="character" w:styleId="FootnoteReference">
    <w:name w:val="footnote reference"/>
    <w:basedOn w:val="DefaultParagraphFont"/>
    <w:unhideWhenUsed/>
    <w:rsid w:val="001A3992"/>
    <w:rPr>
      <w:vertAlign w:val="superscript"/>
    </w:rPr>
  </w:style>
  <w:style w:type="paragraph" w:styleId="ListBullet">
    <w:name w:val="List Bullet"/>
    <w:basedOn w:val="Normal"/>
    <w:uiPriority w:val="99"/>
    <w:unhideWhenUsed/>
    <w:rsid w:val="001A3992"/>
    <w:pPr>
      <w:ind w:left="425" w:hanging="425"/>
      <w:contextualSpacing/>
    </w:pPr>
    <w:rPr>
      <w:rFonts w:ascii="Cambria" w:hAnsi="Cambria"/>
    </w:rPr>
  </w:style>
  <w:style w:type="character" w:styleId="Hyperlink">
    <w:name w:val="Hyperlink"/>
    <w:basedOn w:val="DefaultParagraphFont"/>
    <w:uiPriority w:val="99"/>
    <w:unhideWhenUsed/>
    <w:rsid w:val="001A3992"/>
    <w:rPr>
      <w:color w:val="0000FF" w:themeColor="hyperlink"/>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nhideWhenUsed/>
    <w:rsid w:val="001A3992"/>
    <w:pPr>
      <w:tabs>
        <w:tab w:val="center" w:pos="4513"/>
        <w:tab w:val="right" w:pos="9026"/>
      </w:tabs>
      <w:spacing w:after="0" w:line="240" w:lineRule="auto"/>
    </w:pPr>
    <w:rPr>
      <w:rFonts w:ascii="Cambria" w:hAnsi="Cambria"/>
    </w:rPr>
  </w:style>
  <w:style w:type="character" w:customStyle="1" w:styleId="FooterChar">
    <w:name w:val="Footer Char"/>
    <w:basedOn w:val="DefaultParagraphFont"/>
    <w:link w:val="Footer"/>
    <w:uiPriority w:val="99"/>
    <w:rsid w:val="001A3992"/>
    <w:rPr>
      <w:rFonts w:ascii="Cambria" w:hAnsi="Cambria"/>
    </w:rPr>
  </w:style>
  <w:style w:type="paragraph" w:styleId="BalloonText">
    <w:name w:val="Balloon Text"/>
    <w:basedOn w:val="Normal"/>
    <w:link w:val="BalloonTextChar"/>
    <w:semiHidden/>
    <w:unhideWhenUsed/>
    <w:rsid w:val="001A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Header">
    <w:name w:val="header"/>
    <w:basedOn w:val="Normal"/>
    <w:link w:val="HeaderChar"/>
    <w:unhideWhenUsed/>
    <w:rsid w:val="00CA6C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CCF"/>
  </w:style>
  <w:style w:type="paragraph" w:customStyle="1" w:styleId="Text">
    <w:name w:val="Text"/>
    <w:aliases w:val="Graphic"/>
    <w:basedOn w:val="Normal"/>
    <w:link w:val="TextChar3"/>
    <w:qFormat/>
    <w:rsid w:val="00AB7C3A"/>
    <w:pPr>
      <w:spacing w:before="120" w:after="0" w:line="240" w:lineRule="auto"/>
      <w:jc w:val="both"/>
    </w:pPr>
    <w:rPr>
      <w:rFonts w:ascii="Times New Roman" w:eastAsia="Times New Roman" w:hAnsi="Times New Roman" w:cs="Times New Roman"/>
      <w:sz w:val="24"/>
      <w:szCs w:val="20"/>
      <w:lang w:val="en-GB"/>
    </w:rPr>
  </w:style>
  <w:style w:type="character" w:customStyle="1" w:styleId="TextChar3">
    <w:name w:val="Text Char3"/>
    <w:link w:val="Text"/>
    <w:rsid w:val="00A950E4"/>
    <w:rPr>
      <w:rFonts w:ascii="Times New Roman" w:eastAsia="Times New Roman" w:hAnsi="Times New Roman" w:cs="Times New Roman"/>
      <w:sz w:val="24"/>
      <w:szCs w:val="20"/>
      <w:lang w:val="en-GB"/>
    </w:rPr>
  </w:style>
  <w:style w:type="paragraph" w:customStyle="1" w:styleId="Table">
    <w:name w:val="Table"/>
    <w:aliases w:val="9 pt,10 pt  Bold,10 pt,table text 10 pt + Arial,Bold,Normal + (Latin) Arial,(Complex) Arial,9 pt Char Char,9pt,9"/>
    <w:basedOn w:val="Normal"/>
    <w:link w:val="TableChar"/>
    <w:qFormat/>
    <w:rsid w:val="00AB7C3A"/>
    <w:pPr>
      <w:keepLines/>
      <w:tabs>
        <w:tab w:val="left" w:pos="284"/>
      </w:tabs>
      <w:spacing w:before="40" w:after="20" w:line="240" w:lineRule="auto"/>
      <w:jc w:val="both"/>
    </w:pPr>
    <w:rPr>
      <w:rFonts w:ascii="Arial" w:eastAsia="Times New Roman" w:hAnsi="Arial" w:cs="Times New Roman"/>
      <w:sz w:val="20"/>
      <w:szCs w:val="20"/>
      <w:lang w:val="en-GB" w:eastAsia="x-none"/>
    </w:rPr>
  </w:style>
  <w:style w:type="character" w:customStyle="1" w:styleId="TableChar">
    <w:name w:val="Table Char"/>
    <w:aliases w:val="10 pt  Bold Char,9 pt Char,10 pt Char,9pt Char,9 Char"/>
    <w:link w:val="Table"/>
    <w:rsid w:val="00A950E4"/>
    <w:rPr>
      <w:rFonts w:ascii="Arial" w:eastAsia="Times New Roman" w:hAnsi="Arial" w:cs="Times New Roman"/>
      <w:sz w:val="20"/>
      <w:szCs w:val="20"/>
      <w:lang w:val="en-GB" w:eastAsia="x-none"/>
    </w:rPr>
  </w:style>
  <w:style w:type="paragraph" w:customStyle="1" w:styleId="Listlevel1">
    <w:name w:val="List level 1"/>
    <w:basedOn w:val="Normal"/>
    <w:link w:val="Listlevel1Char"/>
    <w:rsid w:val="00AB7C3A"/>
    <w:pPr>
      <w:spacing w:before="40" w:after="20" w:line="240" w:lineRule="auto"/>
      <w:ind w:left="425" w:hanging="425"/>
      <w:jc w:val="both"/>
    </w:pPr>
    <w:rPr>
      <w:rFonts w:ascii="Times New Roman" w:eastAsia="Times New Roman" w:hAnsi="Times New Roman" w:cs="Times New Roman"/>
      <w:sz w:val="24"/>
      <w:szCs w:val="20"/>
      <w:lang w:val="en-US"/>
    </w:rPr>
  </w:style>
  <w:style w:type="character" w:customStyle="1" w:styleId="Listlevel1Char">
    <w:name w:val="List level 1 Char"/>
    <w:link w:val="Listlevel1"/>
    <w:locked/>
    <w:rsid w:val="00A950E4"/>
    <w:rPr>
      <w:rFonts w:ascii="Times New Roman" w:eastAsia="Times New Roman" w:hAnsi="Times New Roman" w:cs="Times New Roman"/>
      <w:sz w:val="24"/>
      <w:szCs w:val="20"/>
      <w:lang w:val="en-US"/>
    </w:rPr>
  </w:style>
  <w:style w:type="paragraph" w:customStyle="1" w:styleId="Legend">
    <w:name w:val="Legend"/>
    <w:basedOn w:val="Normal"/>
    <w:link w:val="LegendChar"/>
    <w:rsid w:val="00AB7C3A"/>
    <w:pPr>
      <w:keepLines/>
      <w:tabs>
        <w:tab w:val="left" w:pos="284"/>
      </w:tabs>
      <w:spacing w:before="40" w:after="20" w:line="240" w:lineRule="auto"/>
      <w:jc w:val="both"/>
    </w:pPr>
    <w:rPr>
      <w:rFonts w:ascii="Arial" w:eastAsia="MS Mincho" w:hAnsi="Arial" w:cs="Times New Roman"/>
      <w:sz w:val="20"/>
      <w:szCs w:val="24"/>
    </w:rPr>
  </w:style>
  <w:style w:type="character" w:customStyle="1" w:styleId="LegendChar">
    <w:name w:val="Legend Char"/>
    <w:link w:val="Legend"/>
    <w:rsid w:val="00A950E4"/>
    <w:rPr>
      <w:rFonts w:ascii="Arial" w:eastAsia="MS Mincho" w:hAnsi="Arial" w:cs="Times New Roman"/>
      <w:sz w:val="20"/>
      <w:szCs w:val="24"/>
    </w:rPr>
  </w:style>
  <w:style w:type="character" w:customStyle="1" w:styleId="Listlevel2Char">
    <w:name w:val="List level 2 Char"/>
    <w:link w:val="Listlevel2"/>
    <w:locked/>
    <w:rsid w:val="00A950E4"/>
    <w:rPr>
      <w:rFonts w:ascii="MS Mincho" w:eastAsia="MS Mincho" w:hAnsi="MS Mincho"/>
      <w:sz w:val="24"/>
      <w:lang w:val="x-none" w:eastAsia="ja-JP"/>
    </w:rPr>
  </w:style>
  <w:style w:type="paragraph" w:customStyle="1" w:styleId="Listlevel2">
    <w:name w:val="List level 2"/>
    <w:basedOn w:val="Listlevel1"/>
    <w:link w:val="Listlevel2Char"/>
    <w:rsid w:val="00A950E4"/>
    <w:pPr>
      <w:ind w:left="850"/>
    </w:pPr>
    <w:rPr>
      <w:rFonts w:ascii="MS Mincho" w:eastAsia="MS Mincho" w:hAnsi="MS Mincho" w:cstheme="minorBidi"/>
      <w:szCs w:val="22"/>
      <w:lang w:val="x-none" w:eastAsia="ja-JP"/>
    </w:rPr>
  </w:style>
  <w:style w:type="paragraph" w:customStyle="1" w:styleId="Listlevel3">
    <w:name w:val="List level 3"/>
    <w:basedOn w:val="Listlevel2"/>
    <w:rsid w:val="00A950E4"/>
    <w:pPr>
      <w:ind w:left="1296" w:hanging="432"/>
    </w:pPr>
    <w:rPr>
      <w:rFonts w:hint="eastAsia"/>
    </w:rPr>
  </w:style>
  <w:style w:type="paragraph" w:styleId="Caption">
    <w:name w:val="caption"/>
    <w:basedOn w:val="Normal"/>
    <w:next w:val="Normal"/>
    <w:uiPriority w:val="35"/>
    <w:unhideWhenUsed/>
    <w:qFormat/>
    <w:rsid w:val="00AB7C3A"/>
    <w:pPr>
      <w:spacing w:after="0" w:line="240" w:lineRule="auto"/>
      <w:jc w:val="both"/>
    </w:pPr>
    <w:rPr>
      <w:rFonts w:ascii="Times New Roman" w:eastAsia="Times New Roman" w:hAnsi="Times New Roman" w:cs="Times New Roman"/>
      <w:b/>
      <w:bCs/>
      <w:sz w:val="20"/>
      <w:szCs w:val="20"/>
    </w:rPr>
  </w:style>
  <w:style w:type="paragraph" w:customStyle="1" w:styleId="Nottoc-headings">
    <w:name w:val="Not toc-headings"/>
    <w:basedOn w:val="Normal"/>
    <w:next w:val="Text"/>
    <w:link w:val="Nottoc-headingsChar"/>
    <w:rsid w:val="00AB7C3A"/>
    <w:pPr>
      <w:keepNext/>
      <w:keepLines/>
      <w:spacing w:before="240" w:after="60" w:line="240" w:lineRule="auto"/>
      <w:ind w:left="1701" w:hanging="1701"/>
      <w:jc w:val="both"/>
    </w:pPr>
    <w:rPr>
      <w:rFonts w:ascii="Arial" w:eastAsia="MS Mincho" w:hAnsi="Arial" w:cs="Times New Roman"/>
      <w:b/>
      <w:sz w:val="24"/>
      <w:szCs w:val="20"/>
      <w:lang w:val="en-US"/>
    </w:rPr>
  </w:style>
  <w:style w:type="character" w:customStyle="1" w:styleId="Nottoc-headingsChar">
    <w:name w:val="Not toc-headings Char"/>
    <w:link w:val="Nottoc-headings"/>
    <w:rsid w:val="00557C61"/>
    <w:rPr>
      <w:rFonts w:ascii="Arial" w:eastAsia="MS Mincho" w:hAnsi="Arial" w:cs="Times New Roman"/>
      <w:b/>
      <w:sz w:val="24"/>
      <w:szCs w:val="20"/>
      <w:lang w:val="en-US"/>
    </w:rPr>
  </w:style>
  <w:style w:type="paragraph" w:customStyle="1" w:styleId="paragraph">
    <w:name w:val="paragraph"/>
    <w:basedOn w:val="Normal"/>
    <w:rsid w:val="00AB7C3A"/>
    <w:pPr>
      <w:spacing w:before="120" w:after="0" w:line="240" w:lineRule="auto"/>
      <w:jc w:val="both"/>
    </w:pPr>
    <w:rPr>
      <w:rFonts w:ascii="Times New Roman" w:eastAsia="Times New Roman" w:hAnsi="Times New Roman" w:cs="Times New Roman"/>
      <w:sz w:val="24"/>
      <w:szCs w:val="20"/>
      <w:lang w:val="en-US"/>
    </w:rPr>
  </w:style>
  <w:style w:type="paragraph" w:customStyle="1" w:styleId="Titlepage">
    <w:name w:val="Titlepage"/>
    <w:basedOn w:val="Normal"/>
    <w:rsid w:val="00AB7C3A"/>
    <w:pPr>
      <w:spacing w:after="0" w:line="240" w:lineRule="auto"/>
      <w:jc w:val="both"/>
    </w:pPr>
    <w:rPr>
      <w:rFonts w:ascii="Times New Roman" w:eastAsia="Times New Roman" w:hAnsi="Times New Roman" w:cs="Times New Roman"/>
      <w:sz w:val="24"/>
      <w:szCs w:val="20"/>
      <w:lang w:val="en-US"/>
    </w:rPr>
  </w:style>
  <w:style w:type="paragraph" w:styleId="TOC1">
    <w:name w:val="toc 1"/>
    <w:basedOn w:val="Normal"/>
    <w:semiHidden/>
    <w:rsid w:val="00AB7C3A"/>
    <w:pPr>
      <w:tabs>
        <w:tab w:val="right" w:leader="dot" w:pos="9073"/>
      </w:tabs>
      <w:spacing w:after="72" w:line="240" w:lineRule="auto"/>
      <w:ind w:left="426" w:hanging="426"/>
      <w:jc w:val="both"/>
    </w:pPr>
    <w:rPr>
      <w:rFonts w:ascii="Times New Roman" w:eastAsia="Times New Roman" w:hAnsi="Times New Roman" w:cs="Times New Roman"/>
      <w:sz w:val="24"/>
      <w:szCs w:val="20"/>
      <w:lang w:val="en-US"/>
    </w:rPr>
  </w:style>
  <w:style w:type="paragraph" w:styleId="Index1">
    <w:name w:val="index 1"/>
    <w:basedOn w:val="Normal"/>
    <w:next w:val="Normal"/>
    <w:semiHidden/>
    <w:rsid w:val="00AB7C3A"/>
    <w:pPr>
      <w:spacing w:after="0" w:line="240" w:lineRule="auto"/>
      <w:jc w:val="both"/>
    </w:pPr>
    <w:rPr>
      <w:rFonts w:ascii="Times New Roman" w:eastAsia="Times New Roman" w:hAnsi="Times New Roman" w:cs="Times New Roman"/>
      <w:sz w:val="20"/>
      <w:szCs w:val="20"/>
    </w:rPr>
  </w:style>
  <w:style w:type="character" w:styleId="LineNumber">
    <w:name w:val="line number"/>
    <w:basedOn w:val="DefaultParagraphFont"/>
    <w:rsid w:val="00557C61"/>
  </w:style>
  <w:style w:type="paragraph" w:styleId="NormalIndent">
    <w:name w:val="Normal Indent"/>
    <w:basedOn w:val="Normal"/>
    <w:rsid w:val="00AB7C3A"/>
    <w:pPr>
      <w:spacing w:after="0" w:line="240" w:lineRule="auto"/>
      <w:ind w:left="720"/>
      <w:jc w:val="both"/>
    </w:pPr>
    <w:rPr>
      <w:rFonts w:ascii="Times New Roman" w:eastAsia="Times New Roman" w:hAnsi="Times New Roman" w:cs="Times New Roman"/>
      <w:sz w:val="20"/>
      <w:szCs w:val="20"/>
    </w:rPr>
  </w:style>
  <w:style w:type="paragraph" w:styleId="BodyText">
    <w:name w:val="Body Text"/>
    <w:basedOn w:val="Normal"/>
    <w:link w:val="BodyTextChar"/>
    <w:rsid w:val="00AB7C3A"/>
    <w:pPr>
      <w:spacing w:after="0" w:line="360" w:lineRule="auto"/>
      <w:jc w:val="both"/>
    </w:pPr>
    <w:rPr>
      <w:rFonts w:ascii="Times New Roman" w:eastAsia="Times New Roman" w:hAnsi="Times New Roman" w:cs="Times New Roman"/>
      <w:color w:val="FF0000"/>
      <w:sz w:val="24"/>
      <w:szCs w:val="20"/>
    </w:rPr>
  </w:style>
  <w:style w:type="character" w:customStyle="1" w:styleId="BodyTextChar">
    <w:name w:val="Body Text Char"/>
    <w:basedOn w:val="DefaultParagraphFont"/>
    <w:link w:val="BodyText"/>
    <w:rsid w:val="00557C61"/>
    <w:rPr>
      <w:rFonts w:ascii="Times New Roman" w:eastAsia="Times New Roman" w:hAnsi="Times New Roman" w:cs="Times New Roman"/>
      <w:color w:val="FF0000"/>
      <w:sz w:val="24"/>
      <w:szCs w:val="20"/>
    </w:rPr>
  </w:style>
  <w:style w:type="paragraph" w:customStyle="1" w:styleId="reference">
    <w:name w:val="reference"/>
    <w:basedOn w:val="Normal"/>
    <w:rsid w:val="00AB7C3A"/>
    <w:pPr>
      <w:spacing w:before="80" w:after="60" w:line="240" w:lineRule="auto"/>
      <w:ind w:left="907" w:hanging="907"/>
      <w:jc w:val="both"/>
    </w:pPr>
    <w:rPr>
      <w:rFonts w:ascii="Times New Roman" w:eastAsia="Times New Roman" w:hAnsi="Times New Roman" w:cs="Times New Roman"/>
      <w:sz w:val="24"/>
      <w:szCs w:val="20"/>
      <w:lang w:val="en-US"/>
    </w:rPr>
  </w:style>
  <w:style w:type="paragraph" w:customStyle="1" w:styleId="table0">
    <w:name w:val="table"/>
    <w:basedOn w:val="Normal"/>
    <w:rsid w:val="00AB7C3A"/>
    <w:pPr>
      <w:keepNext/>
      <w:tabs>
        <w:tab w:val="left" w:pos="284"/>
      </w:tabs>
      <w:spacing w:before="60" w:after="60" w:line="240" w:lineRule="auto"/>
      <w:jc w:val="both"/>
    </w:pPr>
    <w:rPr>
      <w:rFonts w:ascii="Arial" w:eastAsia="Times New Roman" w:hAnsi="Arial" w:cs="Times New Roman"/>
      <w:sz w:val="20"/>
      <w:szCs w:val="20"/>
      <w:lang w:val="en-US"/>
    </w:rPr>
  </w:style>
  <w:style w:type="paragraph" w:customStyle="1" w:styleId="nottoc-headings0">
    <w:name w:val="not toc-headings"/>
    <w:basedOn w:val="Normal"/>
    <w:next w:val="legend0"/>
    <w:rsid w:val="00AB7C3A"/>
    <w:pPr>
      <w:keepNext/>
      <w:keepLines/>
      <w:spacing w:before="240" w:after="120" w:line="240" w:lineRule="auto"/>
      <w:ind w:left="1701" w:hanging="1701"/>
      <w:jc w:val="both"/>
    </w:pPr>
    <w:rPr>
      <w:rFonts w:ascii="Arial" w:eastAsia="Times New Roman" w:hAnsi="Arial" w:cs="Times New Roman"/>
      <w:b/>
      <w:sz w:val="24"/>
      <w:szCs w:val="20"/>
      <w:lang w:val="en-US"/>
    </w:rPr>
  </w:style>
  <w:style w:type="paragraph" w:customStyle="1" w:styleId="legend0">
    <w:name w:val="legend"/>
    <w:basedOn w:val="Normal"/>
    <w:next w:val="table0"/>
    <w:rsid w:val="00AB7C3A"/>
    <w:pPr>
      <w:keepNext/>
      <w:keepLines/>
      <w:spacing w:after="120" w:line="240" w:lineRule="auto"/>
      <w:jc w:val="both"/>
    </w:pPr>
    <w:rPr>
      <w:rFonts w:ascii="Times New Roman" w:eastAsia="Times New Roman" w:hAnsi="Times New Roman" w:cs="Times New Roman"/>
      <w:sz w:val="24"/>
      <w:szCs w:val="20"/>
      <w:lang w:val="en-US"/>
    </w:rPr>
  </w:style>
  <w:style w:type="paragraph" w:customStyle="1" w:styleId="List1">
    <w:name w:val="List1"/>
    <w:basedOn w:val="Normal"/>
    <w:rsid w:val="00AB7C3A"/>
    <w:pPr>
      <w:spacing w:before="60" w:after="60" w:line="240" w:lineRule="auto"/>
      <w:ind w:left="567" w:hanging="567"/>
      <w:jc w:val="both"/>
    </w:pPr>
    <w:rPr>
      <w:rFonts w:ascii="Times New Roman" w:eastAsia="Times New Roman" w:hAnsi="Times New Roman" w:cs="Times New Roman"/>
      <w:sz w:val="24"/>
      <w:szCs w:val="20"/>
      <w:lang w:val="en-US"/>
    </w:rPr>
  </w:style>
  <w:style w:type="paragraph" w:customStyle="1" w:styleId="comment">
    <w:name w:val="comment"/>
    <w:basedOn w:val="paragraph"/>
    <w:next w:val="paragraph"/>
    <w:rsid w:val="00557C61"/>
    <w:pPr>
      <w:keepLines/>
    </w:pPr>
    <w:rPr>
      <w:i/>
      <w:color w:val="0000FF"/>
    </w:rPr>
  </w:style>
  <w:style w:type="paragraph" w:customStyle="1" w:styleId="non-proportional">
    <w:name w:val="non-proportional"/>
    <w:basedOn w:val="Normal"/>
    <w:rsid w:val="00AB7C3A"/>
    <w:pPr>
      <w:spacing w:after="0" w:line="240" w:lineRule="atLeast"/>
      <w:jc w:val="both"/>
    </w:pPr>
    <w:rPr>
      <w:rFonts w:ascii="Courier New" w:eastAsia="Times New Roman" w:hAnsi="Courier New" w:cs="Times New Roman"/>
      <w:spacing w:val="-10"/>
      <w:sz w:val="20"/>
      <w:szCs w:val="20"/>
      <w:lang w:val="en-US"/>
    </w:rPr>
  </w:style>
  <w:style w:type="paragraph" w:customStyle="1" w:styleId="Auflistung">
    <w:name w:val="Auflistung"/>
    <w:basedOn w:val="Normal"/>
    <w:rsid w:val="00AB7C3A"/>
    <w:pPr>
      <w:tabs>
        <w:tab w:val="left" w:pos="284"/>
      </w:tabs>
      <w:spacing w:before="240" w:after="0" w:line="240" w:lineRule="auto"/>
      <w:ind w:left="709" w:hanging="709"/>
      <w:jc w:val="both"/>
    </w:pPr>
    <w:rPr>
      <w:rFonts w:ascii="Helv" w:eastAsia="Times New Roman" w:hAnsi="Helv" w:cs="Times New Roman"/>
      <w:sz w:val="20"/>
      <w:szCs w:val="20"/>
      <w:lang w:val="en-US"/>
    </w:rPr>
  </w:style>
  <w:style w:type="paragraph" w:customStyle="1" w:styleId="Absender">
    <w:name w:val="Absender"/>
    <w:basedOn w:val="Normal"/>
    <w:rsid w:val="00AB7C3A"/>
    <w:pPr>
      <w:tabs>
        <w:tab w:val="left" w:pos="1276"/>
        <w:tab w:val="left" w:pos="5273"/>
      </w:tabs>
      <w:spacing w:after="0" w:line="240" w:lineRule="auto"/>
      <w:jc w:val="both"/>
    </w:pPr>
    <w:rPr>
      <w:rFonts w:ascii="Helv" w:eastAsia="Times New Roman" w:hAnsi="Helv" w:cs="Times New Roman"/>
      <w:sz w:val="20"/>
      <w:szCs w:val="20"/>
      <w:lang w:val="en-US"/>
    </w:rPr>
  </w:style>
  <w:style w:type="paragraph" w:customStyle="1" w:styleId="Letterhead">
    <w:name w:val="Letterhead"/>
    <w:basedOn w:val="Normal"/>
    <w:rsid w:val="00AB7C3A"/>
    <w:pPr>
      <w:spacing w:after="0" w:line="240" w:lineRule="auto"/>
      <w:jc w:val="both"/>
    </w:pPr>
    <w:rPr>
      <w:rFonts w:ascii="Helv" w:eastAsia="Times New Roman" w:hAnsi="Helv" w:cs="Times New Roman"/>
      <w:sz w:val="16"/>
      <w:szCs w:val="20"/>
      <w:lang w:val="de-DE"/>
    </w:rPr>
  </w:style>
  <w:style w:type="paragraph" w:customStyle="1" w:styleId="litref">
    <w:name w:val="litref"/>
    <w:basedOn w:val="paragraph"/>
    <w:rsid w:val="00557C61"/>
    <w:pPr>
      <w:framePr w:w="1985" w:wrap="auto" w:hAnchor="margin" w:x="7656"/>
      <w:jc w:val="left"/>
    </w:pPr>
    <w:rPr>
      <w:sz w:val="22"/>
      <w:lang w:val="en-GB"/>
    </w:rPr>
  </w:style>
  <w:style w:type="paragraph" w:customStyle="1" w:styleId="crossref">
    <w:name w:val="crossref"/>
    <w:basedOn w:val="paragraph"/>
    <w:rsid w:val="00557C61"/>
    <w:pPr>
      <w:framePr w:w="1985" w:wrap="auto" w:hAnchor="margin" w:x="7656"/>
      <w:jc w:val="left"/>
    </w:pPr>
    <w:rPr>
      <w:i/>
      <w:sz w:val="22"/>
      <w:lang w:val="en-GB"/>
    </w:rPr>
  </w:style>
  <w:style w:type="paragraph" w:customStyle="1" w:styleId="referencelist">
    <w:name w:val="reference list"/>
    <w:basedOn w:val="Normal"/>
    <w:rsid w:val="00AB7C3A"/>
    <w:pPr>
      <w:keepLines/>
      <w:spacing w:before="72" w:after="0" w:line="240" w:lineRule="auto"/>
      <w:jc w:val="both"/>
    </w:pPr>
    <w:rPr>
      <w:rFonts w:ascii="Times New Roman" w:eastAsia="Times New Roman" w:hAnsi="Times New Roman" w:cs="Times New Roman"/>
      <w:szCs w:val="20"/>
      <w:lang w:val="en-GB"/>
    </w:rPr>
  </w:style>
  <w:style w:type="paragraph" w:customStyle="1" w:styleId="Title1">
    <w:name w:val="Title1"/>
    <w:basedOn w:val="Normal"/>
    <w:next w:val="author"/>
    <w:rsid w:val="00557C61"/>
    <w:pPr>
      <w:spacing w:after="240" w:line="240" w:lineRule="auto"/>
      <w:jc w:val="center"/>
    </w:pPr>
    <w:rPr>
      <w:rFonts w:ascii="Times New Roman" w:eastAsia="Times New Roman" w:hAnsi="Times New Roman" w:cs="Times New Roman"/>
      <w:b/>
      <w:sz w:val="24"/>
      <w:szCs w:val="20"/>
      <w:lang w:val="en-GB"/>
    </w:rPr>
  </w:style>
  <w:style w:type="paragraph" w:customStyle="1" w:styleId="author">
    <w:name w:val="author"/>
    <w:basedOn w:val="Normal"/>
    <w:next w:val="abstract"/>
    <w:rsid w:val="00557C61"/>
    <w:pPr>
      <w:spacing w:after="0" w:line="240" w:lineRule="auto"/>
      <w:jc w:val="center"/>
    </w:pPr>
    <w:rPr>
      <w:rFonts w:ascii="Times New Roman" w:eastAsia="Times New Roman" w:hAnsi="Times New Roman" w:cs="Times New Roman"/>
      <w:sz w:val="18"/>
      <w:szCs w:val="20"/>
      <w:lang w:val="en-GB"/>
    </w:rPr>
  </w:style>
  <w:style w:type="paragraph" w:customStyle="1" w:styleId="abstract">
    <w:name w:val="abstract"/>
    <w:basedOn w:val="Normal"/>
    <w:rsid w:val="00AB7C3A"/>
    <w:pPr>
      <w:spacing w:before="240" w:after="240" w:line="240" w:lineRule="auto"/>
      <w:ind w:left="567" w:right="567"/>
      <w:jc w:val="both"/>
    </w:pPr>
    <w:rPr>
      <w:rFonts w:ascii="Helv" w:eastAsia="Times New Roman" w:hAnsi="Helv" w:cs="Times New Roman"/>
      <w:sz w:val="18"/>
      <w:szCs w:val="20"/>
      <w:lang w:val="en-GB"/>
    </w:rPr>
  </w:style>
  <w:style w:type="paragraph" w:customStyle="1" w:styleId="equation">
    <w:name w:val="equation"/>
    <w:basedOn w:val="Normal"/>
    <w:rsid w:val="00AB7C3A"/>
    <w:pPr>
      <w:tabs>
        <w:tab w:val="center" w:pos="2325"/>
        <w:tab w:val="right" w:pos="4649"/>
      </w:tabs>
      <w:spacing w:before="74" w:after="74" w:line="240" w:lineRule="auto"/>
      <w:jc w:val="both"/>
    </w:pPr>
    <w:rPr>
      <w:rFonts w:ascii="Times New Roman" w:eastAsia="Times New Roman" w:hAnsi="Times New Roman" w:cs="Times New Roman"/>
      <w:sz w:val="18"/>
      <w:szCs w:val="20"/>
      <w:lang w:val="en-GB"/>
    </w:rPr>
  </w:style>
  <w:style w:type="paragraph" w:customStyle="1" w:styleId="list2">
    <w:name w:val="list2"/>
    <w:basedOn w:val="List1"/>
    <w:rsid w:val="00557C61"/>
    <w:pPr>
      <w:tabs>
        <w:tab w:val="left" w:pos="251"/>
      </w:tabs>
      <w:spacing w:before="46" w:after="0"/>
      <w:ind w:left="1134" w:hanging="1134"/>
    </w:pPr>
    <w:rPr>
      <w:sz w:val="18"/>
      <w:lang w:val="en-GB"/>
    </w:rPr>
  </w:style>
  <w:style w:type="paragraph" w:customStyle="1" w:styleId="equation0">
    <w:name w:val="equation()"/>
    <w:basedOn w:val="equation"/>
    <w:next w:val="Normal"/>
    <w:rsid w:val="00557C61"/>
    <w:pPr>
      <w:tabs>
        <w:tab w:val="clear" w:pos="2325"/>
        <w:tab w:val="clear" w:pos="4649"/>
      </w:tabs>
      <w:jc w:val="center"/>
    </w:pPr>
  </w:style>
  <w:style w:type="paragraph" w:customStyle="1" w:styleId="figure">
    <w:name w:val="figure"/>
    <w:basedOn w:val="Normal"/>
    <w:rsid w:val="00AB7C3A"/>
    <w:pPr>
      <w:keepNext/>
      <w:keepLines/>
      <w:spacing w:after="0" w:line="240" w:lineRule="auto"/>
      <w:jc w:val="both"/>
    </w:pPr>
    <w:rPr>
      <w:rFonts w:ascii="Helv" w:eastAsia="Times New Roman" w:hAnsi="Helv" w:cs="Times New Roman"/>
      <w:sz w:val="16"/>
      <w:szCs w:val="20"/>
      <w:lang w:val="en-GB"/>
    </w:rPr>
  </w:style>
  <w:style w:type="paragraph" w:customStyle="1" w:styleId="symbol">
    <w:name w:val="symbol"/>
    <w:basedOn w:val="Normal"/>
    <w:rsid w:val="00557C61"/>
    <w:pPr>
      <w:spacing w:after="0" w:line="240" w:lineRule="auto"/>
      <w:jc w:val="center"/>
    </w:pPr>
    <w:rPr>
      <w:rFonts w:ascii="Symbol" w:eastAsia="Times New Roman" w:hAnsi="Symbol" w:cs="Times New Roman"/>
      <w:b/>
      <w:sz w:val="16"/>
      <w:szCs w:val="20"/>
      <w:lang w:val="en-GB"/>
    </w:rPr>
  </w:style>
  <w:style w:type="paragraph" w:customStyle="1" w:styleId="dingbats">
    <w:name w:val="dingbats"/>
    <w:basedOn w:val="symbol"/>
    <w:rsid w:val="00557C61"/>
    <w:rPr>
      <w:rFonts w:ascii="ZapfDingbats" w:hAnsi="ZapfDingbats"/>
      <w:b w:val="0"/>
    </w:rPr>
  </w:style>
  <w:style w:type="paragraph" w:customStyle="1" w:styleId="distrib">
    <w:name w:val="distrib"/>
    <w:basedOn w:val="List1"/>
    <w:rsid w:val="00557C61"/>
    <w:pPr>
      <w:keepLines/>
      <w:tabs>
        <w:tab w:val="left" w:pos="567"/>
        <w:tab w:val="left" w:pos="6804"/>
      </w:tabs>
      <w:spacing w:before="720" w:after="0"/>
      <w:ind w:left="284" w:hanging="284"/>
    </w:pPr>
    <w:rPr>
      <w:sz w:val="22"/>
      <w:u w:val="single"/>
    </w:rPr>
  </w:style>
  <w:style w:type="paragraph" w:customStyle="1" w:styleId="part">
    <w:name w:val="part"/>
    <w:basedOn w:val="Normal"/>
    <w:rsid w:val="00AB7C3A"/>
    <w:pPr>
      <w:framePr w:wrap="notBeside" w:vAnchor="page" w:hAnchor="page" w:x="7484" w:y="2553"/>
      <w:spacing w:after="0" w:line="240" w:lineRule="auto"/>
      <w:jc w:val="both"/>
    </w:pPr>
    <w:rPr>
      <w:rFonts w:ascii="Arial" w:eastAsia="Times New Roman" w:hAnsi="Arial" w:cs="Times New Roman"/>
      <w:b/>
      <w:sz w:val="20"/>
      <w:szCs w:val="20"/>
      <w:lang w:val="en-US"/>
    </w:rPr>
  </w:style>
  <w:style w:type="paragraph" w:customStyle="1" w:styleId="form">
    <w:name w:val="form"/>
    <w:basedOn w:val="Normal"/>
    <w:rsid w:val="00AB7C3A"/>
    <w:pPr>
      <w:framePr w:wrap="notBeside" w:vAnchor="page" w:hAnchor="page" w:x="7479" w:y="3273"/>
      <w:spacing w:after="0" w:line="240" w:lineRule="auto"/>
      <w:jc w:val="both"/>
    </w:pPr>
    <w:rPr>
      <w:rFonts w:ascii="Arial" w:eastAsia="Times New Roman" w:hAnsi="Arial" w:cs="Times New Roman"/>
      <w:b/>
      <w:sz w:val="20"/>
      <w:szCs w:val="20"/>
      <w:lang w:val="en-US"/>
    </w:rPr>
  </w:style>
  <w:style w:type="paragraph" w:customStyle="1" w:styleId="Normal0">
    <w:name w:val="Normal+"/>
    <w:basedOn w:val="Normal1"/>
    <w:rsid w:val="00557C61"/>
    <w:pPr>
      <w:spacing w:after="57"/>
    </w:pPr>
  </w:style>
  <w:style w:type="paragraph" w:customStyle="1" w:styleId="Normal1">
    <w:name w:val="Normal*"/>
    <w:basedOn w:val="Normal"/>
    <w:rsid w:val="00AB7C3A"/>
    <w:pPr>
      <w:spacing w:after="0" w:line="240" w:lineRule="auto"/>
      <w:jc w:val="both"/>
    </w:pPr>
    <w:rPr>
      <w:rFonts w:ascii="Helv" w:eastAsia="Times New Roman" w:hAnsi="Helv" w:cs="Times New Roman"/>
      <w:sz w:val="18"/>
      <w:szCs w:val="20"/>
      <w:lang w:val="en-GB"/>
    </w:rPr>
  </w:style>
  <w:style w:type="paragraph" w:customStyle="1" w:styleId="Normal-">
    <w:name w:val="Normal-+"/>
    <w:basedOn w:val="Normal1"/>
    <w:rsid w:val="00557C61"/>
    <w:pPr>
      <w:spacing w:before="57" w:after="57"/>
    </w:pPr>
  </w:style>
  <w:style w:type="paragraph" w:customStyle="1" w:styleId="Normal-0">
    <w:name w:val="Normal-"/>
    <w:basedOn w:val="Normal1"/>
    <w:rsid w:val="00557C61"/>
    <w:pPr>
      <w:spacing w:before="57"/>
    </w:pPr>
  </w:style>
  <w:style w:type="paragraph" w:customStyle="1" w:styleId="Fix">
    <w:name w:val="Fix*"/>
    <w:basedOn w:val="Normal1"/>
    <w:rsid w:val="00557C61"/>
    <w:rPr>
      <w:sz w:val="14"/>
    </w:rPr>
  </w:style>
  <w:style w:type="paragraph" w:customStyle="1" w:styleId="Fix-">
    <w:name w:val="Fix-"/>
    <w:basedOn w:val="Fix"/>
    <w:rsid w:val="00557C61"/>
    <w:pPr>
      <w:spacing w:before="57"/>
    </w:pPr>
  </w:style>
  <w:style w:type="paragraph" w:customStyle="1" w:styleId="Fix0">
    <w:name w:val="Fix+"/>
    <w:basedOn w:val="Fix"/>
    <w:rsid w:val="00557C61"/>
    <w:pPr>
      <w:spacing w:after="57"/>
    </w:pPr>
  </w:style>
  <w:style w:type="paragraph" w:customStyle="1" w:styleId="Fix-0">
    <w:name w:val="Fix-+"/>
    <w:basedOn w:val="Fix"/>
    <w:rsid w:val="00557C61"/>
    <w:pPr>
      <w:spacing w:before="57" w:after="57"/>
    </w:pPr>
  </w:style>
  <w:style w:type="paragraph" w:customStyle="1" w:styleId="line">
    <w:name w:val="line"/>
    <w:basedOn w:val="Normal"/>
    <w:rsid w:val="00AB7C3A"/>
    <w:pPr>
      <w:tabs>
        <w:tab w:val="left" w:pos="1985"/>
      </w:tabs>
      <w:spacing w:after="0" w:line="240" w:lineRule="auto"/>
      <w:jc w:val="both"/>
    </w:pPr>
    <w:rPr>
      <w:rFonts w:ascii="Times New Roman" w:eastAsia="Times New Roman" w:hAnsi="Times New Roman" w:cs="Times New Roman"/>
      <w:sz w:val="24"/>
      <w:szCs w:val="20"/>
      <w:lang w:val="en-GB"/>
    </w:rPr>
  </w:style>
  <w:style w:type="paragraph" w:customStyle="1" w:styleId="normalindent4cm">
    <w:name w:val="normal indent 4 cm"/>
    <w:basedOn w:val="Normal"/>
    <w:next w:val="Normal"/>
    <w:rsid w:val="00AB7C3A"/>
    <w:pPr>
      <w:spacing w:after="120" w:line="240" w:lineRule="auto"/>
      <w:ind w:left="2268" w:hanging="2268"/>
      <w:jc w:val="both"/>
    </w:pPr>
    <w:rPr>
      <w:rFonts w:ascii="Times New Roman" w:eastAsia="Times New Roman" w:hAnsi="Times New Roman" w:cs="Times New Roman"/>
      <w:sz w:val="24"/>
      <w:szCs w:val="20"/>
      <w:lang w:val="en-GB"/>
    </w:rPr>
  </w:style>
  <w:style w:type="paragraph" w:customStyle="1" w:styleId="subheading">
    <w:name w:val="subheading"/>
    <w:basedOn w:val="Normal"/>
    <w:next w:val="Normal"/>
    <w:rsid w:val="00AB7C3A"/>
    <w:pPr>
      <w:keepNext/>
      <w:keepLines/>
      <w:tabs>
        <w:tab w:val="left" w:pos="907"/>
      </w:tabs>
      <w:spacing w:before="120" w:after="120" w:line="240" w:lineRule="auto"/>
      <w:jc w:val="both"/>
    </w:pPr>
    <w:rPr>
      <w:rFonts w:ascii="Univers (W1)" w:eastAsia="Times New Roman" w:hAnsi="Univers (W1)" w:cs="Times New Roman"/>
      <w:b/>
      <w:sz w:val="24"/>
      <w:szCs w:val="20"/>
      <w:lang w:val="en-GB"/>
    </w:rPr>
  </w:style>
  <w:style w:type="paragraph" w:customStyle="1" w:styleId="paragraphSIF">
    <w:name w:val="paragraph SIF"/>
    <w:basedOn w:val="Normal"/>
    <w:rsid w:val="00AB7C3A"/>
    <w:pPr>
      <w:pBdr>
        <w:bottom w:val="single" w:sz="6" w:space="4" w:color="auto"/>
      </w:pBdr>
      <w:spacing w:after="120" w:line="240" w:lineRule="auto"/>
      <w:jc w:val="both"/>
    </w:pPr>
    <w:rPr>
      <w:rFonts w:ascii="Times New Roman" w:eastAsia="Times New Roman" w:hAnsi="Times New Roman" w:cs="Times New Roman"/>
      <w:szCs w:val="20"/>
      <w:lang w:val="en-GB"/>
    </w:rPr>
  </w:style>
  <w:style w:type="paragraph" w:customStyle="1" w:styleId="headingSIF">
    <w:name w:val="heading SIF"/>
    <w:basedOn w:val="subheading"/>
    <w:next w:val="paragraphSIF"/>
    <w:rsid w:val="00557C61"/>
    <w:pPr>
      <w:tabs>
        <w:tab w:val="clear" w:pos="907"/>
      </w:tabs>
      <w:spacing w:before="0"/>
    </w:pPr>
    <w:rPr>
      <w:sz w:val="22"/>
    </w:rPr>
  </w:style>
  <w:style w:type="paragraph" w:customStyle="1" w:styleId="TexteTableau">
    <w:name w:val="Texte Tableau"/>
    <w:basedOn w:val="Normal"/>
    <w:rsid w:val="00AB7C3A"/>
    <w:pPr>
      <w:spacing w:after="0" w:line="240" w:lineRule="auto"/>
      <w:jc w:val="both"/>
    </w:pPr>
    <w:rPr>
      <w:rFonts w:ascii="Helv" w:eastAsia="Times New Roman" w:hAnsi="Helv" w:cs="Times New Roman"/>
      <w:sz w:val="20"/>
      <w:szCs w:val="20"/>
      <w:lang w:val="fr-FR"/>
    </w:rPr>
  </w:style>
  <w:style w:type="paragraph" w:customStyle="1" w:styleId="CourrierTableau">
    <w:name w:val="CourrierTableau"/>
    <w:basedOn w:val="Normal"/>
    <w:rsid w:val="00AB7C3A"/>
    <w:pPr>
      <w:spacing w:after="0" w:line="240" w:lineRule="auto"/>
      <w:jc w:val="both"/>
    </w:pPr>
    <w:rPr>
      <w:rFonts w:ascii="Courier" w:eastAsia="Times New Roman" w:hAnsi="Courier" w:cs="Times New Roman"/>
      <w:sz w:val="20"/>
      <w:szCs w:val="20"/>
      <w:lang w:val="fr-FR"/>
    </w:rPr>
  </w:style>
  <w:style w:type="paragraph" w:customStyle="1" w:styleId="AbstracText">
    <w:name w:val="AbstracText"/>
    <w:basedOn w:val="Normal"/>
    <w:rsid w:val="00AB7C3A"/>
    <w:pPr>
      <w:tabs>
        <w:tab w:val="left" w:pos="1418"/>
      </w:tabs>
      <w:spacing w:after="240" w:line="240" w:lineRule="atLeast"/>
      <w:ind w:right="6"/>
      <w:jc w:val="both"/>
    </w:pPr>
    <w:rPr>
      <w:rFonts w:ascii="Times New Roman" w:eastAsia="Times New Roman" w:hAnsi="Times New Roman" w:cs="Times New Roman"/>
      <w:sz w:val="24"/>
      <w:szCs w:val="20"/>
      <w:lang w:val="en-GB"/>
    </w:rPr>
  </w:style>
  <w:style w:type="paragraph" w:customStyle="1" w:styleId="S">
    <w:name w:val="S"/>
    <w:basedOn w:val="Normal"/>
    <w:rsid w:val="00AB7C3A"/>
    <w:pPr>
      <w:tabs>
        <w:tab w:val="left" w:pos="1134"/>
        <w:tab w:val="left" w:pos="1418"/>
      </w:tabs>
      <w:spacing w:after="0" w:line="240" w:lineRule="auto"/>
      <w:jc w:val="both"/>
    </w:pPr>
    <w:rPr>
      <w:rFonts w:ascii="Times New Roman" w:eastAsia="Times New Roman" w:hAnsi="Times New Roman" w:cs="Times New Roman"/>
      <w:szCs w:val="20"/>
      <w:lang w:val="en-GB"/>
    </w:rPr>
  </w:style>
  <w:style w:type="paragraph" w:customStyle="1" w:styleId="table1">
    <w:name w:val="table1"/>
    <w:basedOn w:val="table0"/>
    <w:rsid w:val="00557C61"/>
    <w:pPr>
      <w:keepNext w:val="0"/>
      <w:tabs>
        <w:tab w:val="clear" w:pos="284"/>
      </w:tabs>
      <w:spacing w:before="0" w:after="0"/>
    </w:pPr>
    <w:rPr>
      <w:rFonts w:ascii="Times New Roman" w:hAnsi="Times New Roman"/>
      <w:b/>
      <w:i/>
      <w:sz w:val="24"/>
    </w:rPr>
  </w:style>
  <w:style w:type="character" w:styleId="PageNumber">
    <w:name w:val="page number"/>
    <w:basedOn w:val="DefaultParagraphFont"/>
    <w:rsid w:val="00557C61"/>
  </w:style>
  <w:style w:type="character" w:customStyle="1" w:styleId="EndnoteTextChar">
    <w:name w:val="Endnote Text Char"/>
    <w:basedOn w:val="DefaultParagraphFont"/>
    <w:link w:val="EndnoteText"/>
    <w:semiHidden/>
    <w:rsid w:val="00557C61"/>
    <w:rPr>
      <w:rFonts w:ascii="New York" w:eastAsia="Times New Roman" w:hAnsi="New York" w:cs="Times New Roman"/>
      <w:sz w:val="20"/>
      <w:szCs w:val="20"/>
      <w:lang w:val="en-GB"/>
    </w:rPr>
  </w:style>
  <w:style w:type="paragraph" w:styleId="EndnoteText">
    <w:name w:val="endnote text"/>
    <w:basedOn w:val="Normal"/>
    <w:link w:val="EndnoteTextChar"/>
    <w:semiHidden/>
    <w:rsid w:val="00AB7C3A"/>
    <w:pPr>
      <w:spacing w:after="0" w:line="240" w:lineRule="auto"/>
      <w:jc w:val="both"/>
    </w:pPr>
    <w:rPr>
      <w:rFonts w:ascii="New York" w:eastAsia="Times New Roman" w:hAnsi="New York" w:cs="Times New Roman"/>
      <w:sz w:val="20"/>
      <w:szCs w:val="20"/>
      <w:lang w:val="en-GB"/>
    </w:rPr>
  </w:style>
  <w:style w:type="character" w:customStyle="1" w:styleId="EndnoteTextChar1">
    <w:name w:val="Endnote Text Char1"/>
    <w:basedOn w:val="DefaultParagraphFont"/>
    <w:uiPriority w:val="99"/>
    <w:semiHidden/>
    <w:rsid w:val="00557C61"/>
    <w:rPr>
      <w:sz w:val="20"/>
      <w:szCs w:val="20"/>
    </w:rPr>
  </w:style>
  <w:style w:type="paragraph" w:styleId="BodyText3">
    <w:name w:val="Body Text 3"/>
    <w:basedOn w:val="Normal"/>
    <w:link w:val="BodyText3Char"/>
    <w:rsid w:val="00AB7C3A"/>
    <w:pPr>
      <w:tabs>
        <w:tab w:val="left" w:pos="180"/>
      </w:tabs>
      <w:spacing w:after="0" w:line="240" w:lineRule="auto"/>
      <w:jc w:val="both"/>
    </w:pPr>
    <w:rPr>
      <w:rFonts w:ascii="Times New Roman" w:eastAsia="Times New Roman" w:hAnsi="Times New Roman" w:cs="Times New Roman"/>
      <w:b/>
      <w:sz w:val="20"/>
      <w:szCs w:val="20"/>
      <w:lang w:val="en-GB"/>
    </w:rPr>
  </w:style>
  <w:style w:type="character" w:customStyle="1" w:styleId="BodyText3Char">
    <w:name w:val="Body Text 3 Char"/>
    <w:basedOn w:val="DefaultParagraphFont"/>
    <w:link w:val="BodyText3"/>
    <w:rsid w:val="00557C61"/>
    <w:rPr>
      <w:rFonts w:ascii="Times New Roman" w:eastAsia="Times New Roman" w:hAnsi="Times New Roman" w:cs="Times New Roman"/>
      <w:b/>
      <w:sz w:val="20"/>
      <w:szCs w:val="20"/>
      <w:lang w:val="en-GB"/>
    </w:rPr>
  </w:style>
  <w:style w:type="paragraph" w:customStyle="1" w:styleId="TextChar">
    <w:name w:val="Text Char"/>
    <w:basedOn w:val="Normal"/>
    <w:rsid w:val="00AB7C3A"/>
    <w:pPr>
      <w:spacing w:before="120" w:after="0" w:line="240" w:lineRule="auto"/>
      <w:jc w:val="both"/>
    </w:pPr>
    <w:rPr>
      <w:rFonts w:ascii="Times New Roman" w:eastAsia="Times New Roman" w:hAnsi="Times New Roman" w:cs="Times New Roman"/>
      <w:sz w:val="24"/>
      <w:szCs w:val="20"/>
      <w:lang w:val="en-GB"/>
    </w:rPr>
  </w:style>
  <w:style w:type="character" w:customStyle="1" w:styleId="TextCharChar">
    <w:name w:val="Text Char Char"/>
    <w:rsid w:val="00557C61"/>
    <w:rPr>
      <w:noProof w:val="0"/>
      <w:sz w:val="24"/>
      <w:lang w:val="en-GB" w:eastAsia="en-US" w:bidi="ar-SA"/>
    </w:rPr>
  </w:style>
  <w:style w:type="character" w:customStyle="1" w:styleId="TextChar1">
    <w:name w:val="Text Char1"/>
    <w:rsid w:val="00557C61"/>
    <w:rPr>
      <w:noProof w:val="0"/>
      <w:sz w:val="24"/>
      <w:lang w:val="en-GB" w:eastAsia="en-US" w:bidi="ar-SA"/>
    </w:rPr>
  </w:style>
  <w:style w:type="table" w:styleId="TableGrid">
    <w:name w:val="Table Grid"/>
    <w:basedOn w:val="TableNormal"/>
    <w:uiPriority w:val="59"/>
    <w:rsid w:val="00557C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1CharCharCharCharCharChar">
    <w:name w:val="Char Char Char Char Char1 Char Char Char Char Char Char"/>
    <w:basedOn w:val="Normal"/>
    <w:rsid w:val="00AB7C3A"/>
    <w:pPr>
      <w:spacing w:after="160" w:line="240" w:lineRule="exact"/>
      <w:jc w:val="both"/>
    </w:pPr>
    <w:rPr>
      <w:rFonts w:ascii="Tahoma" w:eastAsia="Times New Roman" w:hAnsi="Tahoma" w:cs="Times New Roman"/>
      <w:sz w:val="20"/>
      <w:szCs w:val="20"/>
      <w:lang w:val="en-US"/>
    </w:rPr>
  </w:style>
  <w:style w:type="character" w:customStyle="1" w:styleId="DiovanPItextstyleChar">
    <w:name w:val="Diovan PI text style Char"/>
    <w:link w:val="DiovanPItextstyle"/>
    <w:rsid w:val="00557C61"/>
    <w:rPr>
      <w:sz w:val="24"/>
      <w:lang w:val="en-US"/>
    </w:rPr>
  </w:style>
  <w:style w:type="paragraph" w:customStyle="1" w:styleId="DiovanPItextstyle">
    <w:name w:val="Diovan PI text style"/>
    <w:basedOn w:val="Normal"/>
    <w:link w:val="DiovanPItextstyleChar"/>
    <w:rsid w:val="00AB7C3A"/>
    <w:pPr>
      <w:spacing w:after="120" w:line="320" w:lineRule="atLeast"/>
      <w:jc w:val="both"/>
    </w:pPr>
    <w:rPr>
      <w:sz w:val="24"/>
      <w:lang w:val="en-US"/>
    </w:rPr>
  </w:style>
  <w:style w:type="character" w:customStyle="1" w:styleId="CommentSubjectChar">
    <w:name w:val="Comment Subject Char"/>
    <w:basedOn w:val="CommentTextChar"/>
    <w:link w:val="CommentSubject"/>
    <w:semiHidden/>
    <w:rsid w:val="00557C61"/>
    <w:rPr>
      <w:rFonts w:ascii="Times New Roman" w:eastAsia="Times New Roman" w:hAnsi="Times New Roman" w:cs="Times New Roman"/>
      <w:b/>
      <w:bCs/>
      <w:sz w:val="20"/>
      <w:szCs w:val="20"/>
      <w:lang w:eastAsia="x-none"/>
    </w:rPr>
  </w:style>
  <w:style w:type="paragraph" w:styleId="CommentSubject">
    <w:name w:val="annotation subject"/>
    <w:basedOn w:val="CommentText"/>
    <w:next w:val="CommentText"/>
    <w:link w:val="CommentSubjectChar"/>
    <w:semiHidden/>
    <w:rsid w:val="00AB7C3A"/>
    <w:pPr>
      <w:spacing w:after="0"/>
      <w:jc w:val="both"/>
    </w:pPr>
    <w:rPr>
      <w:rFonts w:ascii="Times New Roman" w:eastAsia="Times New Roman" w:hAnsi="Times New Roman" w:cs="Times New Roman"/>
      <w:b/>
      <w:bCs/>
      <w:lang w:eastAsia="x-none"/>
    </w:rPr>
  </w:style>
  <w:style w:type="character" w:customStyle="1" w:styleId="CommentSubjectChar1">
    <w:name w:val="Comment Subject Char1"/>
    <w:basedOn w:val="CommentTextChar"/>
    <w:uiPriority w:val="99"/>
    <w:semiHidden/>
    <w:rsid w:val="00557C61"/>
    <w:rPr>
      <w:rFonts w:ascii="Cambria" w:hAnsi="Cambria"/>
      <w:b/>
      <w:bCs/>
      <w:sz w:val="20"/>
      <w:szCs w:val="20"/>
    </w:rPr>
  </w:style>
  <w:style w:type="paragraph" w:styleId="Title">
    <w:name w:val="Title"/>
    <w:basedOn w:val="Normal"/>
    <w:link w:val="TitleChar"/>
    <w:autoRedefine/>
    <w:qFormat/>
    <w:rsid w:val="00AB7C3A"/>
    <w:pPr>
      <w:tabs>
        <w:tab w:val="left" w:pos="567"/>
      </w:tabs>
      <w:spacing w:after="0" w:line="320" w:lineRule="atLeast"/>
      <w:jc w:val="both"/>
      <w:outlineLvl w:val="0"/>
    </w:pPr>
    <w:rPr>
      <w:rFonts w:ascii="Times New Roman" w:eastAsia="Times New Roman" w:hAnsi="Times New Roman" w:cs="Times New Roman"/>
      <w:b/>
      <w:bCs/>
      <w:kern w:val="28"/>
      <w:sz w:val="34"/>
      <w:szCs w:val="32"/>
      <w:lang w:val="en-GB" w:eastAsia="x-none"/>
    </w:rPr>
  </w:style>
  <w:style w:type="character" w:customStyle="1" w:styleId="TitleChar">
    <w:name w:val="Title Char"/>
    <w:basedOn w:val="DefaultParagraphFont"/>
    <w:link w:val="Title"/>
    <w:rsid w:val="00557C61"/>
    <w:rPr>
      <w:rFonts w:ascii="Times New Roman" w:eastAsia="Times New Roman" w:hAnsi="Times New Roman" w:cs="Times New Roman"/>
      <w:b/>
      <w:bCs/>
      <w:kern w:val="28"/>
      <w:sz w:val="34"/>
      <w:szCs w:val="32"/>
      <w:lang w:val="en-GB" w:eastAsia="x-none"/>
    </w:rPr>
  </w:style>
  <w:style w:type="paragraph" w:styleId="Subtitle">
    <w:name w:val="Subtitle"/>
    <w:basedOn w:val="Normal"/>
    <w:link w:val="SubtitleChar"/>
    <w:autoRedefine/>
    <w:qFormat/>
    <w:rsid w:val="00AB7C3A"/>
    <w:pPr>
      <w:tabs>
        <w:tab w:val="left" w:pos="567"/>
      </w:tabs>
      <w:spacing w:after="0" w:line="320" w:lineRule="atLeast"/>
      <w:jc w:val="both"/>
      <w:outlineLvl w:val="1"/>
    </w:pPr>
    <w:rPr>
      <w:rFonts w:ascii="Times New Roman" w:eastAsia="Times New Roman" w:hAnsi="Times New Roman" w:cs="Times New Roman"/>
      <w:b/>
      <w:sz w:val="28"/>
      <w:szCs w:val="24"/>
      <w:lang w:val="en-GB" w:eastAsia="x-none"/>
    </w:rPr>
  </w:style>
  <w:style w:type="character" w:customStyle="1" w:styleId="SubtitleChar">
    <w:name w:val="Subtitle Char"/>
    <w:basedOn w:val="DefaultParagraphFont"/>
    <w:link w:val="Subtitle"/>
    <w:rsid w:val="00557C61"/>
    <w:rPr>
      <w:rFonts w:ascii="Times New Roman" w:eastAsia="Times New Roman" w:hAnsi="Times New Roman" w:cs="Times New Roman"/>
      <w:b/>
      <w:sz w:val="28"/>
      <w:szCs w:val="24"/>
      <w:lang w:val="en-GB" w:eastAsia="x-none"/>
    </w:rPr>
  </w:style>
  <w:style w:type="paragraph" w:customStyle="1" w:styleId="CM14">
    <w:name w:val="CM14"/>
    <w:basedOn w:val="Normal"/>
    <w:next w:val="Normal"/>
    <w:uiPriority w:val="99"/>
    <w:rsid w:val="00AB7C3A"/>
    <w:pPr>
      <w:autoSpaceDE w:val="0"/>
      <w:autoSpaceDN w:val="0"/>
      <w:adjustRightInd w:val="0"/>
      <w:spacing w:after="0" w:line="256" w:lineRule="atLeast"/>
      <w:jc w:val="both"/>
    </w:pPr>
    <w:rPr>
      <w:rFonts w:ascii="Times New Roman" w:eastAsia="Times New Roman" w:hAnsi="Times New Roman" w:cs="Times New Roman"/>
      <w:sz w:val="24"/>
      <w:szCs w:val="24"/>
      <w:lang w:val="en-US"/>
    </w:rPr>
  </w:style>
  <w:style w:type="paragraph" w:customStyle="1" w:styleId="CM43">
    <w:name w:val="CM43"/>
    <w:basedOn w:val="Normal"/>
    <w:next w:val="Normal"/>
    <w:uiPriority w:val="99"/>
    <w:rsid w:val="00AB7C3A"/>
    <w:pPr>
      <w:autoSpaceDE w:val="0"/>
      <w:autoSpaceDN w:val="0"/>
      <w:adjustRightInd w:val="0"/>
      <w:spacing w:after="123" w:line="240" w:lineRule="auto"/>
      <w:jc w:val="both"/>
    </w:pPr>
    <w:rPr>
      <w:rFonts w:ascii="Times New Roman" w:eastAsia="Times New Roman" w:hAnsi="Times New Roman" w:cs="Times New Roman"/>
      <w:sz w:val="24"/>
      <w:szCs w:val="24"/>
      <w:lang w:val="en-US"/>
    </w:rPr>
  </w:style>
  <w:style w:type="paragraph" w:customStyle="1" w:styleId="CM41">
    <w:name w:val="CM41"/>
    <w:basedOn w:val="Normal"/>
    <w:next w:val="Normal"/>
    <w:uiPriority w:val="99"/>
    <w:rsid w:val="00AB7C3A"/>
    <w:pPr>
      <w:autoSpaceDE w:val="0"/>
      <w:autoSpaceDN w:val="0"/>
      <w:adjustRightInd w:val="0"/>
      <w:spacing w:after="60" w:line="240" w:lineRule="auto"/>
      <w:jc w:val="both"/>
    </w:pPr>
    <w:rPr>
      <w:rFonts w:ascii="Times New Roman" w:eastAsia="Times New Roman" w:hAnsi="Times New Roman" w:cs="Times New Roman"/>
      <w:sz w:val="24"/>
      <w:szCs w:val="24"/>
      <w:lang w:val="en-US"/>
    </w:rPr>
  </w:style>
  <w:style w:type="paragraph" w:customStyle="1" w:styleId="CharChar1CharCharChar">
    <w:name w:val="Char Char1 Char Char Char"/>
    <w:basedOn w:val="Normal"/>
    <w:rsid w:val="00AB7C3A"/>
    <w:pPr>
      <w:spacing w:after="160" w:line="240" w:lineRule="exact"/>
      <w:jc w:val="both"/>
    </w:pPr>
    <w:rPr>
      <w:rFonts w:ascii="Tahoma" w:eastAsia="Times New Roman" w:hAnsi="Tahoma" w:cs="Times New Roman"/>
      <w:sz w:val="20"/>
      <w:szCs w:val="20"/>
      <w:lang w:val="en-US"/>
    </w:rPr>
  </w:style>
  <w:style w:type="paragraph" w:customStyle="1" w:styleId="TableTitle">
    <w:name w:val="TableTitle"/>
    <w:next w:val="Normal"/>
    <w:rsid w:val="00557C61"/>
    <w:pPr>
      <w:spacing w:before="60" w:after="60" w:line="240" w:lineRule="auto"/>
      <w:jc w:val="center"/>
    </w:pPr>
    <w:rPr>
      <w:rFonts w:ascii="Times New Roman" w:eastAsia="Times New Roman" w:hAnsi="Times New Roman" w:cs="Times New Roman"/>
      <w:b/>
      <w:sz w:val="16"/>
      <w:szCs w:val="24"/>
      <w:lang w:val="en-US"/>
    </w:rPr>
  </w:style>
  <w:style w:type="paragraph" w:customStyle="1" w:styleId="Default">
    <w:name w:val="Default"/>
    <w:rsid w:val="00557C6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semiHidden/>
    <w:unhideWhenUsed/>
    <w:rsid w:val="00AB7C3A"/>
    <w:pPr>
      <w:spacing w:after="143" w:line="240" w:lineRule="auto"/>
      <w:jc w:val="both"/>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660261">
      <w:bodyDiv w:val="1"/>
      <w:marLeft w:val="0"/>
      <w:marRight w:val="0"/>
      <w:marTop w:val="0"/>
      <w:marBottom w:val="0"/>
      <w:divBdr>
        <w:top w:val="none" w:sz="0" w:space="0" w:color="auto"/>
        <w:left w:val="none" w:sz="0" w:space="0" w:color="auto"/>
        <w:bottom w:val="none" w:sz="0" w:space="0" w:color="auto"/>
        <w:right w:val="none" w:sz="0" w:space="0" w:color="auto"/>
      </w:divBdr>
    </w:div>
    <w:div w:id="1842117798">
      <w:bodyDiv w:val="1"/>
      <w:marLeft w:val="0"/>
      <w:marRight w:val="0"/>
      <w:marTop w:val="0"/>
      <w:marBottom w:val="0"/>
      <w:divBdr>
        <w:top w:val="none" w:sz="0" w:space="0" w:color="auto"/>
        <w:left w:val="none" w:sz="0" w:space="0" w:color="auto"/>
        <w:bottom w:val="none" w:sz="0" w:space="0" w:color="auto"/>
        <w:right w:val="none" w:sz="0" w:space="0" w:color="auto"/>
      </w:divBdr>
      <w:divsChild>
        <w:div w:id="1065103263">
          <w:marLeft w:val="0"/>
          <w:marRight w:val="0"/>
          <w:marTop w:val="0"/>
          <w:marBottom w:val="0"/>
          <w:divBdr>
            <w:top w:val="none" w:sz="0" w:space="0" w:color="auto"/>
            <w:left w:val="none" w:sz="0" w:space="0" w:color="auto"/>
            <w:bottom w:val="none" w:sz="0" w:space="0" w:color="auto"/>
            <w:right w:val="none" w:sz="0" w:space="0" w:color="auto"/>
          </w:divBdr>
          <w:divsChild>
            <w:div w:id="830953233">
              <w:marLeft w:val="-225"/>
              <w:marRight w:val="-225"/>
              <w:marTop w:val="0"/>
              <w:marBottom w:val="0"/>
              <w:divBdr>
                <w:top w:val="none" w:sz="0" w:space="0" w:color="auto"/>
                <w:left w:val="none" w:sz="0" w:space="0" w:color="auto"/>
                <w:bottom w:val="none" w:sz="0" w:space="0" w:color="auto"/>
                <w:right w:val="none" w:sz="0" w:space="0" w:color="auto"/>
              </w:divBdr>
              <w:divsChild>
                <w:div w:id="1785415429">
                  <w:marLeft w:val="0"/>
                  <w:marRight w:val="0"/>
                  <w:marTop w:val="0"/>
                  <w:marBottom w:val="0"/>
                  <w:divBdr>
                    <w:top w:val="none" w:sz="0" w:space="0" w:color="auto"/>
                    <w:left w:val="none" w:sz="0" w:space="0" w:color="auto"/>
                    <w:bottom w:val="none" w:sz="0" w:space="0" w:color="auto"/>
                    <w:right w:val="none" w:sz="0" w:space="0" w:color="auto"/>
                  </w:divBdr>
                  <w:divsChild>
                    <w:div w:id="888037078">
                      <w:marLeft w:val="0"/>
                      <w:marRight w:val="0"/>
                      <w:marTop w:val="0"/>
                      <w:marBottom w:val="0"/>
                      <w:divBdr>
                        <w:top w:val="none" w:sz="0" w:space="0" w:color="auto"/>
                        <w:left w:val="none" w:sz="0" w:space="0" w:color="auto"/>
                        <w:bottom w:val="none" w:sz="0" w:space="0" w:color="auto"/>
                        <w:right w:val="none" w:sz="0" w:space="0" w:color="auto"/>
                      </w:divBdr>
                      <w:divsChild>
                        <w:div w:id="1747141121">
                          <w:marLeft w:val="0"/>
                          <w:marRight w:val="0"/>
                          <w:marTop w:val="0"/>
                          <w:marBottom w:val="0"/>
                          <w:divBdr>
                            <w:top w:val="none" w:sz="0" w:space="0" w:color="auto"/>
                            <w:left w:val="none" w:sz="0" w:space="0" w:color="auto"/>
                            <w:bottom w:val="none" w:sz="0" w:space="0" w:color="auto"/>
                            <w:right w:val="none" w:sz="0" w:space="0" w:color="auto"/>
                          </w:divBdr>
                          <w:divsChild>
                            <w:div w:id="538319379">
                              <w:marLeft w:val="0"/>
                              <w:marRight w:val="0"/>
                              <w:marTop w:val="0"/>
                              <w:marBottom w:val="0"/>
                              <w:divBdr>
                                <w:top w:val="none" w:sz="0" w:space="0" w:color="auto"/>
                                <w:left w:val="none" w:sz="0" w:space="0" w:color="auto"/>
                                <w:bottom w:val="none" w:sz="0" w:space="0" w:color="auto"/>
                                <w:right w:val="none" w:sz="0" w:space="0" w:color="auto"/>
                              </w:divBdr>
                              <w:divsChild>
                                <w:div w:id="873537672">
                                  <w:marLeft w:val="0"/>
                                  <w:marRight w:val="0"/>
                                  <w:marTop w:val="0"/>
                                  <w:marBottom w:val="0"/>
                                  <w:divBdr>
                                    <w:top w:val="none" w:sz="0" w:space="0" w:color="auto"/>
                                    <w:left w:val="none" w:sz="0" w:space="0" w:color="auto"/>
                                    <w:bottom w:val="none" w:sz="0" w:space="0" w:color="auto"/>
                                    <w:right w:val="none" w:sz="0" w:space="0" w:color="auto"/>
                                  </w:divBdr>
                                  <w:divsChild>
                                    <w:div w:id="5232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footer" Target="footer1.xml"/><Relationship Id="rId10" Type="http://schemas.openxmlformats.org/officeDocument/2006/relationships/hyperlink" Target="http://www.tga.gov.au/reporting-problems"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tga.gov.au/reporting-problems"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2FC4A-BBA6-43E5-827C-A4E0491E9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58</Pages>
  <Words>19193</Words>
  <Characters>108060</Characters>
  <Application>Microsoft Office Word</Application>
  <DocSecurity>0</DocSecurity>
  <Lines>2513</Lines>
  <Paragraphs>1223</Paragraphs>
  <ScaleCrop>false</ScaleCrop>
  <HeadingPairs>
    <vt:vector size="2" baseType="variant">
      <vt:variant>
        <vt:lpstr>Title</vt:lpstr>
      </vt:variant>
      <vt:variant>
        <vt:i4>1</vt:i4>
      </vt:variant>
    </vt:vector>
  </HeadingPairs>
  <TitlesOfParts>
    <vt:vector size="1" baseType="lpstr">
      <vt:lpstr>AusPAR Attachment 1: Product Information for Everolimus</vt:lpstr>
    </vt:vector>
  </TitlesOfParts>
  <Company/>
  <LinksUpToDate>false</LinksUpToDate>
  <CharactersWithSpaces>126030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Everolimus</dc:title>
  <dc:subject>prescription medicines</dc:subject>
  <dc:creator>Novartis Pharmaceuticals Australia Pty Ltd</dc:creator>
  <cp:keywords>AusPARs</cp:keywords>
  <dc:description/>
  <cp:lastPrinted>2018-02-22T08:30:00Z</cp:lastPrinted>
  <dcterms:created xsi:type="dcterms:W3CDTF">2018-11-30T03:29:00Z</dcterms:created>
  <dcterms:modified xsi:type="dcterms:W3CDTF">2019-02-20T02:43:00Z</dcterms:modified>
</cp:coreProperties>
</file>