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33" w:rsidRPr="00611F34" w:rsidRDefault="003E4B33" w:rsidP="00DA1AEE">
      <w:pPr>
        <w:pStyle w:val="Heading1"/>
        <w:spacing w:before="0" w:after="0"/>
        <w:jc w:val="center"/>
        <w:rPr>
          <w:rFonts w:cs="Arial"/>
          <w:sz w:val="36"/>
        </w:rPr>
      </w:pPr>
      <w:r w:rsidRPr="00611F34">
        <w:rPr>
          <w:rFonts w:cs="Arial"/>
          <w:sz w:val="36"/>
        </w:rPr>
        <w:t>Product Information</w:t>
      </w:r>
    </w:p>
    <w:p w:rsidR="00323C73" w:rsidRPr="00611F34" w:rsidRDefault="00861936" w:rsidP="00DA1AEE">
      <w:pPr>
        <w:pStyle w:val="Heading1"/>
        <w:spacing w:before="0" w:after="0"/>
        <w:jc w:val="center"/>
        <w:rPr>
          <w:rFonts w:cs="Arial"/>
          <w:b w:val="0"/>
          <w:kern w:val="0"/>
          <w:sz w:val="24"/>
        </w:rPr>
      </w:pPr>
      <w:r w:rsidRPr="00611F34">
        <w:rPr>
          <w:rFonts w:cs="Arial"/>
          <w:sz w:val="36"/>
        </w:rPr>
        <w:t>BYDUREON</w:t>
      </w:r>
      <w:r w:rsidR="00323C73" w:rsidRPr="00611F34">
        <w:rPr>
          <w:rFonts w:cs="Arial"/>
          <w:sz w:val="36"/>
          <w:vertAlign w:val="superscript"/>
        </w:rPr>
        <w:t>®</w:t>
      </w:r>
    </w:p>
    <w:p w:rsidR="00323C73" w:rsidRPr="00611F34" w:rsidRDefault="00323C73" w:rsidP="00DA1AEE">
      <w:pPr>
        <w:pStyle w:val="Heading1"/>
        <w:spacing w:before="0" w:after="0"/>
        <w:jc w:val="center"/>
        <w:rPr>
          <w:rFonts w:cs="Arial"/>
          <w:b w:val="0"/>
          <w:kern w:val="0"/>
          <w:sz w:val="24"/>
        </w:rPr>
      </w:pPr>
      <w:r w:rsidRPr="00611F34">
        <w:rPr>
          <w:rFonts w:cs="Arial"/>
          <w:b w:val="0"/>
          <w:kern w:val="0"/>
          <w:sz w:val="24"/>
        </w:rPr>
        <w:t>(</w:t>
      </w:r>
      <w:r w:rsidR="00B40675">
        <w:rPr>
          <w:rFonts w:cs="Arial"/>
          <w:b w:val="0"/>
          <w:kern w:val="0"/>
          <w:sz w:val="24"/>
        </w:rPr>
        <w:t>e</w:t>
      </w:r>
      <w:r w:rsidR="00AF5FCC" w:rsidRPr="00611F34">
        <w:rPr>
          <w:rFonts w:cs="Arial"/>
          <w:b w:val="0"/>
          <w:kern w:val="0"/>
          <w:sz w:val="24"/>
        </w:rPr>
        <w:t>xenatide</w:t>
      </w:r>
      <w:r w:rsidRPr="00611F34">
        <w:rPr>
          <w:rFonts w:cs="Arial"/>
          <w:b w:val="0"/>
          <w:kern w:val="0"/>
          <w:sz w:val="24"/>
        </w:rPr>
        <w:t>)</w:t>
      </w:r>
    </w:p>
    <w:p w:rsidR="008A4D23" w:rsidRDefault="008A4D23" w:rsidP="002942B7">
      <w:pPr>
        <w:pStyle w:val="Heading3"/>
      </w:pPr>
    </w:p>
    <w:p w:rsidR="00323C73" w:rsidRPr="00611F34" w:rsidRDefault="00323C73" w:rsidP="002942B7">
      <w:pPr>
        <w:pStyle w:val="Heading3"/>
      </w:pPr>
      <w:r w:rsidRPr="00611F34">
        <w:t>NAME OF THE MEDICINE</w:t>
      </w:r>
    </w:p>
    <w:p w:rsidR="00323C73" w:rsidRPr="00611F34" w:rsidRDefault="00323C73" w:rsidP="00DA1AEE">
      <w:pPr>
        <w:jc w:val="both"/>
        <w:rPr>
          <w:rFonts w:ascii="Arial" w:hAnsi="Arial" w:cs="Arial"/>
        </w:rPr>
      </w:pPr>
    </w:p>
    <w:p w:rsidR="00323C73" w:rsidRPr="00611F34" w:rsidRDefault="00AD0020" w:rsidP="00DA1AEE">
      <w:pPr>
        <w:jc w:val="both"/>
        <w:rPr>
          <w:rFonts w:ascii="Arial" w:hAnsi="Arial" w:cs="Arial"/>
        </w:rPr>
      </w:pPr>
      <w:r w:rsidRPr="00611F34">
        <w:rPr>
          <w:rFonts w:ascii="Arial" w:hAnsi="Arial" w:cs="Arial"/>
        </w:rPr>
        <w:t>BY</w:t>
      </w:r>
      <w:r w:rsidR="00861936" w:rsidRPr="00611F34">
        <w:rPr>
          <w:rFonts w:ascii="Arial" w:hAnsi="Arial" w:cs="Arial"/>
        </w:rPr>
        <w:t>DUREON</w:t>
      </w:r>
      <w:r w:rsidR="00323C73" w:rsidRPr="00611F34">
        <w:rPr>
          <w:rFonts w:ascii="Arial" w:hAnsi="Arial" w:cs="Arial"/>
        </w:rPr>
        <w:t xml:space="preserve"> (</w:t>
      </w:r>
      <w:r w:rsidR="00250834" w:rsidRPr="00611F34">
        <w:rPr>
          <w:rFonts w:ascii="Arial" w:hAnsi="Arial" w:cs="Arial"/>
        </w:rPr>
        <w:t>e</w:t>
      </w:r>
      <w:r w:rsidR="00AF5FCC" w:rsidRPr="00611F34">
        <w:rPr>
          <w:rFonts w:ascii="Arial" w:hAnsi="Arial" w:cs="Arial"/>
        </w:rPr>
        <w:t>xenatide</w:t>
      </w:r>
      <w:r w:rsidR="00323C73" w:rsidRPr="00611F34">
        <w:rPr>
          <w:rFonts w:ascii="Arial" w:hAnsi="Arial" w:cs="Arial"/>
        </w:rPr>
        <w:t xml:space="preserve">) </w:t>
      </w:r>
      <w:r w:rsidR="00861936" w:rsidRPr="00611F34">
        <w:rPr>
          <w:rFonts w:ascii="Arial" w:hAnsi="Arial" w:cs="Arial"/>
        </w:rPr>
        <w:t>powder for i</w:t>
      </w:r>
      <w:r w:rsidR="00323C73" w:rsidRPr="00611F34">
        <w:rPr>
          <w:rFonts w:ascii="Arial" w:hAnsi="Arial" w:cs="Arial"/>
        </w:rPr>
        <w:t>njection</w:t>
      </w:r>
      <w:r w:rsidR="000C78CD" w:rsidRPr="00611F34">
        <w:rPr>
          <w:rFonts w:ascii="Arial" w:hAnsi="Arial" w:cs="Arial"/>
        </w:rPr>
        <w:t xml:space="preserve"> vial with diluent syringe</w:t>
      </w:r>
      <w:r w:rsidR="00323C73" w:rsidRPr="00611F34">
        <w:rPr>
          <w:rFonts w:ascii="Arial" w:hAnsi="Arial" w:cs="Arial"/>
        </w:rPr>
        <w:t xml:space="preserve">. </w:t>
      </w:r>
    </w:p>
    <w:p w:rsidR="00323C73" w:rsidRPr="00611F34" w:rsidRDefault="00323C73" w:rsidP="00DA1AEE">
      <w:pPr>
        <w:jc w:val="both"/>
        <w:rPr>
          <w:rFonts w:ascii="Arial" w:hAnsi="Arial" w:cs="Arial"/>
        </w:rPr>
      </w:pPr>
    </w:p>
    <w:p w:rsidR="00323C73" w:rsidRPr="00611F34" w:rsidRDefault="00323C73" w:rsidP="00DA1AEE">
      <w:pPr>
        <w:jc w:val="both"/>
        <w:rPr>
          <w:rFonts w:ascii="Arial" w:hAnsi="Arial" w:cs="Arial"/>
        </w:rPr>
      </w:pPr>
      <w:r w:rsidRPr="00611F34">
        <w:rPr>
          <w:rFonts w:ascii="Arial" w:hAnsi="Arial" w:cs="Arial"/>
        </w:rPr>
        <w:t xml:space="preserve">The active ingredient in </w:t>
      </w:r>
      <w:r w:rsidR="00AD0020" w:rsidRPr="00611F34">
        <w:rPr>
          <w:rFonts w:ascii="Arial" w:hAnsi="Arial" w:cs="Arial"/>
        </w:rPr>
        <w:t>BY</w:t>
      </w:r>
      <w:r w:rsidR="00861936" w:rsidRPr="00611F34">
        <w:rPr>
          <w:rFonts w:ascii="Arial" w:hAnsi="Arial" w:cs="Arial"/>
        </w:rPr>
        <w:t>DUREON</w:t>
      </w:r>
      <w:r w:rsidRPr="00611F34">
        <w:rPr>
          <w:rFonts w:ascii="Arial" w:hAnsi="Arial" w:cs="Arial"/>
        </w:rPr>
        <w:t xml:space="preserve"> is </w:t>
      </w:r>
      <w:r w:rsidR="00250834" w:rsidRPr="00611F34">
        <w:rPr>
          <w:rFonts w:ascii="Arial" w:hAnsi="Arial" w:cs="Arial"/>
        </w:rPr>
        <w:t>e</w:t>
      </w:r>
      <w:r w:rsidR="00AF5FCC" w:rsidRPr="00611F34">
        <w:rPr>
          <w:rFonts w:ascii="Arial" w:hAnsi="Arial" w:cs="Arial"/>
        </w:rPr>
        <w:t>xenatide</w:t>
      </w:r>
      <w:r w:rsidRPr="00611F34">
        <w:rPr>
          <w:rFonts w:ascii="Arial" w:hAnsi="Arial" w:cs="Arial"/>
        </w:rPr>
        <w:t>.</w:t>
      </w:r>
      <w:r w:rsidRPr="00611F34">
        <w:rPr>
          <w:rFonts w:ascii="Arial" w:hAnsi="Arial" w:cs="Arial"/>
          <w:color w:val="FF0000"/>
        </w:rPr>
        <w:t xml:space="preserve"> </w:t>
      </w:r>
      <w:r w:rsidRPr="00611F34">
        <w:rPr>
          <w:rFonts w:ascii="Arial" w:hAnsi="Arial" w:cs="Arial"/>
        </w:rPr>
        <w:t>Exenatide is a 39-amino acid peptide amide. It has the empirical formula C</w:t>
      </w:r>
      <w:r w:rsidRPr="00611F34">
        <w:rPr>
          <w:rFonts w:ascii="Arial" w:hAnsi="Arial" w:cs="Arial"/>
          <w:vertAlign w:val="subscript"/>
        </w:rPr>
        <w:t>184</w:t>
      </w:r>
      <w:r w:rsidRPr="00611F34">
        <w:rPr>
          <w:rFonts w:ascii="Arial" w:hAnsi="Arial" w:cs="Arial"/>
        </w:rPr>
        <w:t>H</w:t>
      </w:r>
      <w:r w:rsidRPr="00611F34">
        <w:rPr>
          <w:rFonts w:ascii="Arial" w:hAnsi="Arial" w:cs="Arial"/>
          <w:vertAlign w:val="subscript"/>
        </w:rPr>
        <w:t>282</w:t>
      </w:r>
      <w:r w:rsidRPr="00611F34">
        <w:rPr>
          <w:rFonts w:ascii="Arial" w:hAnsi="Arial" w:cs="Arial"/>
        </w:rPr>
        <w:t>N</w:t>
      </w:r>
      <w:r w:rsidRPr="00611F34">
        <w:rPr>
          <w:rFonts w:ascii="Arial" w:hAnsi="Arial" w:cs="Arial"/>
          <w:vertAlign w:val="subscript"/>
        </w:rPr>
        <w:t>50</w:t>
      </w:r>
      <w:r w:rsidRPr="00611F34">
        <w:rPr>
          <w:rFonts w:ascii="Arial" w:hAnsi="Arial" w:cs="Arial"/>
        </w:rPr>
        <w:t>O</w:t>
      </w:r>
      <w:r w:rsidRPr="00611F34">
        <w:rPr>
          <w:rFonts w:ascii="Arial" w:hAnsi="Arial" w:cs="Arial"/>
          <w:vertAlign w:val="subscript"/>
        </w:rPr>
        <w:t>60</w:t>
      </w:r>
      <w:r w:rsidRPr="00611F34">
        <w:rPr>
          <w:rFonts w:ascii="Arial" w:hAnsi="Arial" w:cs="Arial"/>
        </w:rPr>
        <w:t xml:space="preserve">S and molecular weight of 4186.6 Daltons. The amino acid sequence for </w:t>
      </w:r>
      <w:r w:rsidR="00AF5FCC" w:rsidRPr="00611F34">
        <w:rPr>
          <w:rFonts w:ascii="Arial" w:hAnsi="Arial" w:cs="Arial"/>
        </w:rPr>
        <w:t>Exenatide</w:t>
      </w:r>
      <w:r w:rsidRPr="00611F34">
        <w:rPr>
          <w:rFonts w:ascii="Arial" w:hAnsi="Arial" w:cs="Arial"/>
        </w:rPr>
        <w:t xml:space="preserve"> is shown below.</w:t>
      </w:r>
    </w:p>
    <w:p w:rsidR="00323C73" w:rsidRPr="00611F34" w:rsidRDefault="00323C73" w:rsidP="00DA1AEE">
      <w:pPr>
        <w:pStyle w:val="Header"/>
        <w:tabs>
          <w:tab w:val="clear" w:pos="4153"/>
          <w:tab w:val="clear" w:pos="8306"/>
        </w:tabs>
        <w:autoSpaceDE w:val="0"/>
        <w:autoSpaceDN w:val="0"/>
        <w:adjustRightInd w:val="0"/>
        <w:jc w:val="both"/>
        <w:rPr>
          <w:rFonts w:ascii="Arial" w:hAnsi="Arial" w:cs="Arial"/>
        </w:rPr>
      </w:pPr>
    </w:p>
    <w:p w:rsidR="00323C73" w:rsidRPr="00611F34" w:rsidRDefault="00323C73" w:rsidP="00DA1AEE">
      <w:pPr>
        <w:jc w:val="both"/>
        <w:rPr>
          <w:rFonts w:ascii="Arial" w:hAnsi="Arial" w:cs="Arial"/>
        </w:rPr>
      </w:pPr>
      <w:r w:rsidRPr="00611F34">
        <w:rPr>
          <w:rFonts w:ascii="Arial" w:hAnsi="Arial" w:cs="Arial"/>
        </w:rPr>
        <w:t>H-His-Gly-Glu-Gly-Thr-Phe-Thr-Ser-Asp-Leu-Ser-Lys-Gln-Met-Glu-Glu-Glu-Ala-Val-Arg-Leu-Phe-Ile-Glu-Trp-Leu-Lys-Asn-Gly-Gly-Pro-Ser-Ser-Gly-Ala-Pro-Pro-Pro-Ser-NH</w:t>
      </w:r>
      <w:r w:rsidRPr="00611F34">
        <w:rPr>
          <w:rFonts w:ascii="Arial" w:hAnsi="Arial" w:cs="Arial"/>
          <w:vertAlign w:val="subscript"/>
        </w:rPr>
        <w:t>2</w:t>
      </w:r>
      <w:r w:rsidRPr="00611F34">
        <w:rPr>
          <w:rFonts w:ascii="Arial" w:hAnsi="Arial" w:cs="Arial"/>
        </w:rPr>
        <w:t>.</w:t>
      </w:r>
    </w:p>
    <w:p w:rsidR="00323C73" w:rsidRPr="00611F34" w:rsidRDefault="00323C73" w:rsidP="00DA1AEE">
      <w:pPr>
        <w:jc w:val="both"/>
        <w:rPr>
          <w:rFonts w:ascii="Arial" w:hAnsi="Arial" w:cs="Arial"/>
        </w:rPr>
      </w:pPr>
    </w:p>
    <w:p w:rsidR="00323C73" w:rsidRPr="00611F34" w:rsidRDefault="00323C73" w:rsidP="00DA1AEE">
      <w:pPr>
        <w:pStyle w:val="Header"/>
        <w:tabs>
          <w:tab w:val="clear" w:pos="4153"/>
          <w:tab w:val="clear" w:pos="8306"/>
        </w:tabs>
        <w:jc w:val="both"/>
        <w:rPr>
          <w:rFonts w:ascii="Arial" w:hAnsi="Arial" w:cs="Arial"/>
        </w:rPr>
      </w:pPr>
      <w:r w:rsidRPr="00611F34">
        <w:rPr>
          <w:rFonts w:ascii="Arial" w:hAnsi="Arial" w:cs="Arial"/>
        </w:rPr>
        <w:t xml:space="preserve">The CAS number for </w:t>
      </w:r>
      <w:r w:rsidR="00250834" w:rsidRPr="00611F34">
        <w:rPr>
          <w:rFonts w:ascii="Arial" w:hAnsi="Arial" w:cs="Arial"/>
        </w:rPr>
        <w:t>e</w:t>
      </w:r>
      <w:r w:rsidR="00AF5FCC" w:rsidRPr="00611F34">
        <w:rPr>
          <w:rFonts w:ascii="Arial" w:hAnsi="Arial" w:cs="Arial"/>
        </w:rPr>
        <w:t>xenatide</w:t>
      </w:r>
      <w:r w:rsidRPr="00611F34">
        <w:rPr>
          <w:rFonts w:ascii="Arial" w:hAnsi="Arial" w:cs="Arial"/>
        </w:rPr>
        <w:t xml:space="preserve"> is 141732-76-5</w:t>
      </w:r>
      <w:r w:rsidR="00703009" w:rsidRPr="00611F34">
        <w:rPr>
          <w:rFonts w:ascii="Arial" w:hAnsi="Arial" w:cs="Arial"/>
        </w:rPr>
        <w:t>.</w:t>
      </w:r>
    </w:p>
    <w:p w:rsidR="00E22FE8" w:rsidRPr="00611F34" w:rsidRDefault="00E22FE8" w:rsidP="00DA1AEE">
      <w:pPr>
        <w:pStyle w:val="Header"/>
        <w:tabs>
          <w:tab w:val="clear" w:pos="4153"/>
          <w:tab w:val="clear" w:pos="8306"/>
        </w:tabs>
        <w:jc w:val="both"/>
        <w:rPr>
          <w:rFonts w:ascii="Arial" w:hAnsi="Arial" w:cs="Arial"/>
          <w:b/>
          <w:bCs/>
        </w:rPr>
      </w:pPr>
    </w:p>
    <w:p w:rsidR="008A4D23" w:rsidRPr="00611F34" w:rsidRDefault="006263A0" w:rsidP="00DA1AEE">
      <w:pPr>
        <w:pStyle w:val="Header"/>
        <w:tabs>
          <w:tab w:val="clear" w:pos="4153"/>
          <w:tab w:val="clear" w:pos="8306"/>
        </w:tabs>
        <w:jc w:val="both"/>
        <w:rPr>
          <w:rFonts w:ascii="Arial" w:hAnsi="Arial" w:cs="Arial"/>
          <w:b/>
          <w:bCs/>
        </w:rPr>
      </w:pPr>
      <w:r w:rsidRPr="00611F34">
        <w:rPr>
          <w:rFonts w:ascii="Arial" w:hAnsi="Arial" w:cs="Arial"/>
          <w:b/>
          <w:bCs/>
        </w:rPr>
        <w:t>D</w:t>
      </w:r>
      <w:r>
        <w:rPr>
          <w:rFonts w:ascii="Arial" w:hAnsi="Arial" w:cs="Arial"/>
          <w:b/>
          <w:bCs/>
        </w:rPr>
        <w:t>escription</w:t>
      </w:r>
    </w:p>
    <w:p w:rsidR="00323C73" w:rsidRPr="000B47E0" w:rsidRDefault="0017683C" w:rsidP="00DA1AEE">
      <w:pPr>
        <w:pStyle w:val="Header"/>
        <w:tabs>
          <w:tab w:val="clear" w:pos="4153"/>
          <w:tab w:val="clear" w:pos="8306"/>
        </w:tabs>
        <w:jc w:val="both"/>
        <w:rPr>
          <w:rFonts w:ascii="Arial" w:hAnsi="Arial" w:cs="Arial"/>
        </w:rPr>
      </w:pPr>
      <w:r w:rsidRPr="00611F34">
        <w:rPr>
          <w:rFonts w:ascii="Arial" w:hAnsi="Arial" w:cs="Arial"/>
        </w:rPr>
        <w:t>BYD</w:t>
      </w:r>
      <w:r w:rsidR="00116A8E">
        <w:rPr>
          <w:rFonts w:ascii="Arial" w:hAnsi="Arial" w:cs="Arial"/>
        </w:rPr>
        <w:t>U</w:t>
      </w:r>
      <w:r w:rsidRPr="00611F34">
        <w:rPr>
          <w:rFonts w:ascii="Arial" w:hAnsi="Arial" w:cs="Arial"/>
        </w:rPr>
        <w:t xml:space="preserve">REON is an extended release microspheres formulation of exenatide. </w:t>
      </w:r>
      <w:r w:rsidR="00861936" w:rsidRPr="00611F34">
        <w:rPr>
          <w:rFonts w:ascii="Arial" w:hAnsi="Arial" w:cs="Arial"/>
        </w:rPr>
        <w:t xml:space="preserve">BYDUREON </w:t>
      </w:r>
      <w:r w:rsidR="00250834" w:rsidRPr="00611F34">
        <w:rPr>
          <w:rFonts w:ascii="Arial" w:hAnsi="Arial" w:cs="Arial"/>
        </w:rPr>
        <w:t xml:space="preserve">is supplied in a </w:t>
      </w:r>
      <w:r w:rsidR="003F3AC2" w:rsidRPr="00611F34">
        <w:rPr>
          <w:rFonts w:ascii="Arial" w:hAnsi="Arial" w:cs="Arial"/>
        </w:rPr>
        <w:t xml:space="preserve">single dose </w:t>
      </w:r>
      <w:r w:rsidR="00250834" w:rsidRPr="00611F34">
        <w:rPr>
          <w:rFonts w:ascii="Arial" w:hAnsi="Arial" w:cs="Arial"/>
        </w:rPr>
        <w:t xml:space="preserve">kit containing a vial of powder, a prefilled syringe of </w:t>
      </w:r>
      <w:r w:rsidRPr="00611F34">
        <w:rPr>
          <w:rFonts w:ascii="Arial" w:hAnsi="Arial" w:cs="Arial"/>
        </w:rPr>
        <w:t>diluent</w:t>
      </w:r>
      <w:r w:rsidR="00250834" w:rsidRPr="00611F34">
        <w:rPr>
          <w:rFonts w:ascii="Arial" w:hAnsi="Arial" w:cs="Arial"/>
        </w:rPr>
        <w:t>, a vial connector and two needles</w:t>
      </w:r>
      <w:r w:rsidR="000C78CD" w:rsidRPr="00611F34">
        <w:rPr>
          <w:rFonts w:ascii="Arial" w:hAnsi="Arial" w:cs="Arial"/>
        </w:rPr>
        <w:t xml:space="preserve"> (one spare)</w:t>
      </w:r>
      <w:r w:rsidR="00250834" w:rsidRPr="00611F34">
        <w:rPr>
          <w:rFonts w:ascii="Arial" w:hAnsi="Arial" w:cs="Arial"/>
        </w:rPr>
        <w:t xml:space="preserve">. BYDUREON </w:t>
      </w:r>
      <w:r w:rsidR="00323C73" w:rsidRPr="00611F34">
        <w:rPr>
          <w:rFonts w:ascii="Arial" w:hAnsi="Arial" w:cs="Arial"/>
        </w:rPr>
        <w:t xml:space="preserve">is a </w:t>
      </w:r>
      <w:r w:rsidR="00BB0FE7">
        <w:rPr>
          <w:rFonts w:ascii="Arial" w:hAnsi="Arial" w:cs="Arial"/>
        </w:rPr>
        <w:t xml:space="preserve">sterile, </w:t>
      </w:r>
      <w:r w:rsidR="00861936" w:rsidRPr="00611F34">
        <w:rPr>
          <w:rFonts w:ascii="Arial" w:hAnsi="Arial" w:cs="Arial"/>
        </w:rPr>
        <w:t>white to off-white powder</w:t>
      </w:r>
      <w:r w:rsidR="00250834" w:rsidRPr="00611F34">
        <w:rPr>
          <w:rFonts w:ascii="Arial" w:hAnsi="Arial" w:cs="Arial"/>
        </w:rPr>
        <w:t xml:space="preserve"> in </w:t>
      </w:r>
      <w:r w:rsidRPr="00611F34">
        <w:rPr>
          <w:rFonts w:ascii="Arial" w:hAnsi="Arial" w:cs="Arial"/>
        </w:rPr>
        <w:t xml:space="preserve">a </w:t>
      </w:r>
      <w:r w:rsidR="00250834" w:rsidRPr="00611F34">
        <w:rPr>
          <w:rFonts w:ascii="Arial" w:hAnsi="Arial" w:cs="Arial"/>
        </w:rPr>
        <w:t>glass vial</w:t>
      </w:r>
      <w:r w:rsidR="00861936" w:rsidRPr="00611F34">
        <w:rPr>
          <w:rFonts w:ascii="Arial" w:hAnsi="Arial" w:cs="Arial"/>
        </w:rPr>
        <w:t xml:space="preserve">. </w:t>
      </w:r>
      <w:r w:rsidR="00250834" w:rsidRPr="00611F34">
        <w:rPr>
          <w:rFonts w:ascii="Arial" w:hAnsi="Arial" w:cs="Arial"/>
        </w:rPr>
        <w:t xml:space="preserve">The active ingredient in BYDUREON is exenatide. </w:t>
      </w:r>
      <w:r w:rsidR="00861936" w:rsidRPr="00611F34">
        <w:rPr>
          <w:rFonts w:ascii="Arial" w:hAnsi="Arial" w:cs="Arial"/>
        </w:rPr>
        <w:t xml:space="preserve">The </w:t>
      </w:r>
      <w:r w:rsidR="00250834" w:rsidRPr="00611F34">
        <w:rPr>
          <w:rFonts w:ascii="Arial" w:hAnsi="Arial" w:cs="Arial"/>
        </w:rPr>
        <w:t xml:space="preserve">powder is suspended using the </w:t>
      </w:r>
      <w:r w:rsidR="00BC130C">
        <w:rPr>
          <w:rFonts w:ascii="Arial" w:hAnsi="Arial" w:cs="Arial"/>
        </w:rPr>
        <w:t>diluent</w:t>
      </w:r>
      <w:r w:rsidR="00861936" w:rsidRPr="00611F34">
        <w:rPr>
          <w:rFonts w:ascii="Arial" w:hAnsi="Arial" w:cs="Arial"/>
        </w:rPr>
        <w:t xml:space="preserve"> </w:t>
      </w:r>
      <w:r w:rsidR="00250834" w:rsidRPr="00611F34">
        <w:rPr>
          <w:rFonts w:ascii="Arial" w:hAnsi="Arial" w:cs="Arial"/>
        </w:rPr>
        <w:t xml:space="preserve">supplied. The </w:t>
      </w:r>
      <w:r w:rsidR="00BC130C">
        <w:rPr>
          <w:rFonts w:ascii="Arial" w:hAnsi="Arial" w:cs="Arial"/>
        </w:rPr>
        <w:t>diluent</w:t>
      </w:r>
      <w:r w:rsidR="00250834" w:rsidRPr="00611F34">
        <w:rPr>
          <w:rFonts w:ascii="Arial" w:hAnsi="Arial" w:cs="Arial"/>
        </w:rPr>
        <w:t xml:space="preserve"> </w:t>
      </w:r>
      <w:r w:rsidR="00861936" w:rsidRPr="00611F34">
        <w:rPr>
          <w:rFonts w:ascii="Arial" w:hAnsi="Arial" w:cs="Arial"/>
        </w:rPr>
        <w:t xml:space="preserve">is a </w:t>
      </w:r>
      <w:r w:rsidR="00323C73" w:rsidRPr="00611F34">
        <w:rPr>
          <w:rFonts w:ascii="Arial" w:hAnsi="Arial" w:cs="Arial"/>
        </w:rPr>
        <w:t>clear</w:t>
      </w:r>
      <w:r w:rsidR="00861936" w:rsidRPr="00611F34">
        <w:rPr>
          <w:rFonts w:ascii="Arial" w:hAnsi="Arial" w:cs="Arial"/>
        </w:rPr>
        <w:t>,</w:t>
      </w:r>
      <w:r w:rsidR="00323C73" w:rsidRPr="00611F34">
        <w:rPr>
          <w:rFonts w:ascii="Arial" w:hAnsi="Arial" w:cs="Arial"/>
        </w:rPr>
        <w:t xml:space="preserve"> colourless</w:t>
      </w:r>
      <w:r w:rsidR="00861936" w:rsidRPr="00611F34">
        <w:rPr>
          <w:rFonts w:ascii="Arial" w:hAnsi="Arial" w:cs="Arial"/>
        </w:rPr>
        <w:t xml:space="preserve"> to pale yellow to pale brown</w:t>
      </w:r>
      <w:r w:rsidR="00323C73" w:rsidRPr="00611F34">
        <w:rPr>
          <w:rFonts w:ascii="Arial" w:hAnsi="Arial" w:cs="Arial"/>
        </w:rPr>
        <w:t xml:space="preserve"> solution. </w:t>
      </w:r>
      <w:r w:rsidR="00250834" w:rsidRPr="00611F34">
        <w:rPr>
          <w:rFonts w:ascii="Arial" w:hAnsi="Arial" w:cs="Arial"/>
        </w:rPr>
        <w:t xml:space="preserve">When the product is </w:t>
      </w:r>
      <w:r w:rsidR="00116A8E">
        <w:rPr>
          <w:rFonts w:ascii="Arial" w:hAnsi="Arial" w:cs="Arial"/>
        </w:rPr>
        <w:t>prepared</w:t>
      </w:r>
      <w:r w:rsidR="00116A8E" w:rsidRPr="00611F34">
        <w:rPr>
          <w:rFonts w:ascii="Arial" w:hAnsi="Arial" w:cs="Arial"/>
        </w:rPr>
        <w:t xml:space="preserve"> </w:t>
      </w:r>
      <w:r w:rsidR="00250834" w:rsidRPr="00611F34">
        <w:rPr>
          <w:rFonts w:ascii="Arial" w:hAnsi="Arial" w:cs="Arial"/>
        </w:rPr>
        <w:t>as instructed</w:t>
      </w:r>
      <w:r w:rsidR="00116A8E">
        <w:rPr>
          <w:rFonts w:ascii="Arial" w:hAnsi="Arial" w:cs="Arial"/>
        </w:rPr>
        <w:t>,</w:t>
      </w:r>
      <w:r w:rsidR="00250834" w:rsidRPr="00611F34">
        <w:rPr>
          <w:rFonts w:ascii="Arial" w:hAnsi="Arial" w:cs="Arial"/>
        </w:rPr>
        <w:t xml:space="preserve"> the resulting suspension contains </w:t>
      </w:r>
      <w:r w:rsidR="000B43E5" w:rsidRPr="00611F34">
        <w:rPr>
          <w:rFonts w:ascii="Arial" w:hAnsi="Arial" w:cs="Arial"/>
        </w:rPr>
        <w:t xml:space="preserve">2 </w:t>
      </w:r>
      <w:r w:rsidR="00250834" w:rsidRPr="00611F34">
        <w:rPr>
          <w:rFonts w:ascii="Arial" w:hAnsi="Arial" w:cs="Arial"/>
        </w:rPr>
        <w:t>mg exenatide.</w:t>
      </w:r>
      <w:r w:rsidR="00626742" w:rsidRPr="00611F34">
        <w:t xml:space="preserve"> </w:t>
      </w:r>
      <w:r w:rsidR="00626742" w:rsidRPr="00611F34">
        <w:rPr>
          <w:rFonts w:ascii="Arial" w:hAnsi="Arial" w:cs="Arial"/>
        </w:rPr>
        <w:t>The suspension is intended for subcutaneous use only, once per week.</w:t>
      </w:r>
      <w:r w:rsidR="000B47E0">
        <w:rPr>
          <w:rFonts w:ascii="Arial" w:hAnsi="Arial" w:cs="Arial"/>
        </w:rPr>
        <w:t xml:space="preserve"> </w:t>
      </w:r>
    </w:p>
    <w:p w:rsidR="00323C73" w:rsidRPr="00611F34" w:rsidRDefault="00323C73" w:rsidP="00DA1AEE">
      <w:pPr>
        <w:pStyle w:val="Header"/>
        <w:tabs>
          <w:tab w:val="clear" w:pos="4153"/>
          <w:tab w:val="clear" w:pos="8306"/>
        </w:tabs>
        <w:jc w:val="both"/>
        <w:rPr>
          <w:rFonts w:ascii="Arial" w:hAnsi="Arial" w:cs="Arial"/>
        </w:rPr>
      </w:pPr>
    </w:p>
    <w:p w:rsidR="00626742" w:rsidRPr="00611F34" w:rsidRDefault="000B47E0" w:rsidP="00DA1AEE">
      <w:pPr>
        <w:pStyle w:val="Header"/>
        <w:tabs>
          <w:tab w:val="clear" w:pos="4153"/>
          <w:tab w:val="clear" w:pos="8306"/>
        </w:tabs>
        <w:jc w:val="both"/>
        <w:rPr>
          <w:rFonts w:ascii="Arial" w:hAnsi="Arial" w:cs="Arial"/>
        </w:rPr>
      </w:pPr>
      <w:r w:rsidRPr="000B47E0">
        <w:rPr>
          <w:rFonts w:ascii="Arial" w:hAnsi="Arial" w:cs="Arial"/>
          <w:lang w:val="en-US" w:eastAsia="en-AU"/>
        </w:rPr>
        <w:t>Bydureon consists of exenatide (5%) and sucrose (2%) encapsulated within biodegradable poly</w:t>
      </w:r>
      <w:r>
        <w:rPr>
          <w:rFonts w:ascii="Arial" w:hAnsi="Arial" w:cs="Arial"/>
          <w:lang w:val="en-US" w:eastAsia="en-AU"/>
        </w:rPr>
        <w:t>glactin</w:t>
      </w:r>
      <w:r w:rsidRPr="000B47E0">
        <w:rPr>
          <w:rFonts w:ascii="Arial" w:hAnsi="Arial" w:cs="Arial"/>
          <w:lang w:val="en-US" w:eastAsia="en-AU"/>
        </w:rPr>
        <w:t xml:space="preserve"> microspheres that are designed to release exenatide over an extended period of time. During dose preparation, a custom </w:t>
      </w:r>
      <w:r>
        <w:rPr>
          <w:rFonts w:ascii="Arial" w:hAnsi="Arial" w:cs="Arial"/>
          <w:lang w:val="en-US" w:eastAsia="en-AU"/>
        </w:rPr>
        <w:t>diluent</w:t>
      </w:r>
      <w:r w:rsidRPr="000B47E0">
        <w:rPr>
          <w:rFonts w:ascii="Arial" w:hAnsi="Arial" w:cs="Arial"/>
          <w:lang w:val="en-US" w:eastAsia="en-AU"/>
        </w:rPr>
        <w:t xml:space="preserve"> is added to these microspheres, which are dispersed into the </w:t>
      </w:r>
      <w:r>
        <w:rPr>
          <w:rFonts w:ascii="Arial" w:hAnsi="Arial" w:cs="Arial"/>
          <w:lang w:val="en-US" w:eastAsia="en-AU"/>
        </w:rPr>
        <w:t>diluent</w:t>
      </w:r>
      <w:r w:rsidRPr="000B47E0">
        <w:rPr>
          <w:rFonts w:ascii="Arial" w:hAnsi="Arial" w:cs="Arial"/>
          <w:lang w:val="en-US" w:eastAsia="en-AU"/>
        </w:rPr>
        <w:t xml:space="preserve"> to create a suspension. Following administration of the suspension, the polymer biodegrades over time, providing extended release of exenatide into the circulation.</w:t>
      </w:r>
      <w:r w:rsidR="0017683C" w:rsidRPr="00611F34">
        <w:rPr>
          <w:rFonts w:ascii="Arial" w:hAnsi="Arial" w:cs="Arial"/>
        </w:rPr>
        <w:t xml:space="preserve"> The diluent contains</w:t>
      </w:r>
      <w:r w:rsidR="00626742" w:rsidRPr="00611F34">
        <w:rPr>
          <w:rFonts w:ascii="Arial" w:hAnsi="Arial" w:cs="Arial"/>
        </w:rPr>
        <w:t xml:space="preserve"> carmellose sodium, sodium chloride, polysorbate 20, sodium phosphate</w:t>
      </w:r>
      <w:r w:rsidR="00A45F90" w:rsidRPr="00611F34">
        <w:rPr>
          <w:rFonts w:ascii="Arial" w:hAnsi="Arial" w:cs="Arial"/>
        </w:rPr>
        <w:t xml:space="preserve"> - monobasic</w:t>
      </w:r>
      <w:r w:rsidR="00626742" w:rsidRPr="00611F34">
        <w:rPr>
          <w:rFonts w:ascii="Arial" w:hAnsi="Arial" w:cs="Arial"/>
        </w:rPr>
        <w:t>, sodium phosphate</w:t>
      </w:r>
      <w:r w:rsidR="00A45F90" w:rsidRPr="00611F34">
        <w:rPr>
          <w:rFonts w:ascii="Arial" w:hAnsi="Arial" w:cs="Arial"/>
        </w:rPr>
        <w:t xml:space="preserve"> - dibasic</w:t>
      </w:r>
      <w:r w:rsidR="00626742" w:rsidRPr="00611F34">
        <w:rPr>
          <w:rFonts w:ascii="Arial" w:hAnsi="Arial" w:cs="Arial"/>
        </w:rPr>
        <w:t xml:space="preserve">, </w:t>
      </w:r>
      <w:r w:rsidR="00323C73" w:rsidRPr="00611F34">
        <w:rPr>
          <w:rFonts w:ascii="Arial" w:hAnsi="Arial" w:cs="Arial"/>
        </w:rPr>
        <w:t>and water for injections.</w:t>
      </w:r>
    </w:p>
    <w:p w:rsidR="006263A0" w:rsidRDefault="006263A0" w:rsidP="002942B7">
      <w:pPr>
        <w:pStyle w:val="Heading3"/>
      </w:pPr>
    </w:p>
    <w:p w:rsidR="00323C73" w:rsidRPr="00611F34" w:rsidRDefault="00323C73" w:rsidP="002942B7">
      <w:pPr>
        <w:pStyle w:val="Heading3"/>
      </w:pPr>
      <w:r w:rsidRPr="00611F34">
        <w:t>PHARMACOLOGY</w:t>
      </w:r>
    </w:p>
    <w:p w:rsidR="00323C73" w:rsidRPr="00611F34" w:rsidRDefault="00323C73" w:rsidP="00DA1AEE">
      <w:pPr>
        <w:pStyle w:val="Header"/>
        <w:tabs>
          <w:tab w:val="clear" w:pos="4153"/>
          <w:tab w:val="clear" w:pos="8306"/>
        </w:tabs>
        <w:jc w:val="both"/>
        <w:rPr>
          <w:rFonts w:ascii="Arial" w:hAnsi="Arial" w:cs="Arial"/>
        </w:rPr>
      </w:pPr>
    </w:p>
    <w:p w:rsidR="00323C73" w:rsidRPr="00611F34" w:rsidRDefault="00323C73" w:rsidP="00DA1AEE">
      <w:pPr>
        <w:pStyle w:val="Heading7"/>
        <w:jc w:val="both"/>
        <w:rPr>
          <w:rFonts w:ascii="Arial" w:hAnsi="Arial" w:cs="Arial"/>
          <w:b/>
          <w:bCs/>
          <w:u w:val="none"/>
        </w:rPr>
      </w:pPr>
      <w:r w:rsidRPr="00611F34">
        <w:rPr>
          <w:rFonts w:ascii="Arial" w:hAnsi="Arial" w:cs="Arial"/>
          <w:b/>
          <w:bCs/>
          <w:u w:val="none"/>
        </w:rPr>
        <w:t>Mechanism of action</w:t>
      </w:r>
    </w:p>
    <w:p w:rsidR="00323C73" w:rsidRPr="00611F34" w:rsidRDefault="00323C73" w:rsidP="00DA1AEE">
      <w:pPr>
        <w:jc w:val="both"/>
        <w:outlineLvl w:val="0"/>
        <w:rPr>
          <w:rFonts w:ascii="Arial" w:hAnsi="Arial" w:cs="Arial"/>
        </w:rPr>
      </w:pPr>
      <w:r w:rsidRPr="00611F34">
        <w:rPr>
          <w:rFonts w:ascii="Arial" w:hAnsi="Arial" w:cs="Arial"/>
        </w:rPr>
        <w:t xml:space="preserve">Exenatide is a </w:t>
      </w:r>
      <w:r w:rsidR="00626742" w:rsidRPr="00611F34">
        <w:rPr>
          <w:rFonts w:ascii="Arial" w:hAnsi="Arial" w:cs="Arial"/>
        </w:rPr>
        <w:t>glucagon-like peptide-1 (GLP-1)</w:t>
      </w:r>
      <w:r w:rsidRPr="00611F34">
        <w:rPr>
          <w:rFonts w:ascii="Arial" w:hAnsi="Arial" w:cs="Arial"/>
        </w:rPr>
        <w:t xml:space="preserve"> </w:t>
      </w:r>
      <w:r w:rsidR="00626742" w:rsidRPr="00611F34">
        <w:rPr>
          <w:rFonts w:ascii="Arial" w:hAnsi="Arial" w:cs="Arial"/>
        </w:rPr>
        <w:t>receptor agonist</w:t>
      </w:r>
      <w:r w:rsidR="00A34CF1" w:rsidRPr="00611F34">
        <w:rPr>
          <w:rFonts w:ascii="Arial" w:hAnsi="Arial" w:cs="Arial"/>
        </w:rPr>
        <w:t xml:space="preserve"> </w:t>
      </w:r>
      <w:r w:rsidRPr="00611F34">
        <w:rPr>
          <w:rFonts w:ascii="Arial" w:hAnsi="Arial" w:cs="Arial"/>
        </w:rPr>
        <w:t xml:space="preserve">that exhibits several antihyperglycaemic actions of glucagon-like peptide-1 (GLP-1). The amino acid sequence of </w:t>
      </w:r>
      <w:r w:rsidR="00A34CF1" w:rsidRPr="00611F34">
        <w:rPr>
          <w:rFonts w:ascii="Arial" w:hAnsi="Arial" w:cs="Arial"/>
        </w:rPr>
        <w:t>e</w:t>
      </w:r>
      <w:r w:rsidR="00AF5FCC" w:rsidRPr="00611F34">
        <w:rPr>
          <w:rFonts w:ascii="Arial" w:hAnsi="Arial" w:cs="Arial"/>
        </w:rPr>
        <w:t>xenatide</w:t>
      </w:r>
      <w:r w:rsidRPr="00611F34">
        <w:rPr>
          <w:rFonts w:ascii="Arial" w:hAnsi="Arial" w:cs="Arial"/>
        </w:rPr>
        <w:t xml:space="preserve"> partially overlaps that of human GLP-1. Exenatide has been shown to bind to and activate the known human GLP-1 receptor </w:t>
      </w:r>
      <w:r w:rsidRPr="00611F34">
        <w:rPr>
          <w:rFonts w:ascii="Arial" w:hAnsi="Arial" w:cs="Arial"/>
          <w:i/>
        </w:rPr>
        <w:t>in vitro</w:t>
      </w:r>
      <w:r w:rsidR="00BE46DF" w:rsidRPr="00611F34">
        <w:rPr>
          <w:rFonts w:ascii="Arial" w:hAnsi="Arial" w:cs="Arial"/>
          <w:i/>
        </w:rPr>
        <w:t xml:space="preserve">. </w:t>
      </w:r>
      <w:r w:rsidR="00CA5548" w:rsidRPr="00611F34">
        <w:rPr>
          <w:rFonts w:ascii="Arial" w:hAnsi="Arial" w:cs="Arial"/>
        </w:rPr>
        <w:t>This leads to an increase in both the glucose-dependent insulin synthesis and secretion from pancreatic beta-cells, by mechanisms involving cyclic AMP and/or other intracellular signalling pathways.</w:t>
      </w:r>
      <w:r w:rsidR="00CA5548" w:rsidRPr="00611F34">
        <w:rPr>
          <w:rFonts w:ascii="Arial" w:hAnsi="Arial" w:cs="Arial"/>
          <w:i/>
        </w:rPr>
        <w:t xml:space="preserve"> </w:t>
      </w:r>
      <w:r w:rsidRPr="00611F34">
        <w:rPr>
          <w:rFonts w:ascii="Arial" w:hAnsi="Arial" w:cs="Arial"/>
        </w:rPr>
        <w:t>As blood glucose concentrations decrease, insulin secretion subsides thereby reducing the potential risk of hypoglycaemia</w:t>
      </w:r>
      <w:r w:rsidR="00D66F50" w:rsidRPr="00611F34">
        <w:rPr>
          <w:rFonts w:ascii="Arial" w:hAnsi="Arial" w:cs="Arial"/>
        </w:rPr>
        <w:t>. When exenatide was used in combination with metformin, no increase in the incidence of hypoglycaemia was observed over that of placebo in combination with metformin which may be due to this glucose-dependent insulinotropic mechanism</w:t>
      </w:r>
      <w:r w:rsidRPr="00611F34">
        <w:rPr>
          <w:rFonts w:ascii="Arial" w:hAnsi="Arial" w:cs="Arial"/>
        </w:rPr>
        <w:t>.</w:t>
      </w:r>
      <w:r w:rsidR="009E6943" w:rsidRPr="00611F34">
        <w:rPr>
          <w:rFonts w:ascii="Arial" w:hAnsi="Arial" w:cs="Arial"/>
        </w:rPr>
        <w:t xml:space="preserve"> </w:t>
      </w:r>
    </w:p>
    <w:p w:rsidR="00EA36C3" w:rsidRPr="00611F34" w:rsidRDefault="00EA36C3" w:rsidP="00DA1AEE">
      <w:pPr>
        <w:jc w:val="both"/>
        <w:outlineLvl w:val="0"/>
        <w:rPr>
          <w:rFonts w:ascii="Arial" w:hAnsi="Arial" w:cs="Arial"/>
        </w:rPr>
      </w:pPr>
    </w:p>
    <w:p w:rsidR="00323C73" w:rsidRPr="00611F34" w:rsidRDefault="00617EFF" w:rsidP="00DA1AEE">
      <w:pPr>
        <w:jc w:val="both"/>
        <w:outlineLvl w:val="0"/>
        <w:rPr>
          <w:rFonts w:ascii="Arial" w:hAnsi="Arial" w:cs="Arial"/>
        </w:rPr>
      </w:pPr>
      <w:r w:rsidRPr="00611F34">
        <w:rPr>
          <w:rFonts w:ascii="Arial" w:hAnsi="Arial" w:cs="Arial"/>
        </w:rPr>
        <w:t xml:space="preserve">Exenatide </w:t>
      </w:r>
      <w:r w:rsidR="00323C73" w:rsidRPr="00611F34">
        <w:rPr>
          <w:rFonts w:ascii="Arial" w:hAnsi="Arial" w:cs="Arial"/>
        </w:rPr>
        <w:t xml:space="preserve">suppresses glucagon secretion which is known to be inappropriately elevated in type 2 diabetes. Lower glucagon concentrations lead to decreased hepatic glucose output. However, </w:t>
      </w:r>
      <w:r w:rsidR="00A34CF1" w:rsidRPr="00611F34">
        <w:rPr>
          <w:rFonts w:ascii="Arial" w:hAnsi="Arial" w:cs="Arial"/>
        </w:rPr>
        <w:t>e</w:t>
      </w:r>
      <w:r w:rsidR="00AF5FCC" w:rsidRPr="00611F34">
        <w:rPr>
          <w:rFonts w:ascii="Arial" w:hAnsi="Arial" w:cs="Arial"/>
        </w:rPr>
        <w:t>xenatide</w:t>
      </w:r>
      <w:r w:rsidRPr="00611F34">
        <w:rPr>
          <w:rFonts w:ascii="Arial" w:hAnsi="Arial" w:cs="Arial"/>
        </w:rPr>
        <w:t xml:space="preserve"> </w:t>
      </w:r>
      <w:r w:rsidR="00323C73" w:rsidRPr="00611F34">
        <w:rPr>
          <w:rFonts w:ascii="Arial" w:hAnsi="Arial" w:cs="Arial"/>
        </w:rPr>
        <w:t>does not impair the normal glucagon response and other hormone responses to hypoglycaemia.</w:t>
      </w:r>
    </w:p>
    <w:p w:rsidR="00323C73" w:rsidRPr="00611F34" w:rsidRDefault="00323C73" w:rsidP="00DA1AEE">
      <w:pPr>
        <w:jc w:val="both"/>
        <w:outlineLvl w:val="0"/>
        <w:rPr>
          <w:rFonts w:ascii="Arial" w:hAnsi="Arial" w:cs="Arial"/>
        </w:rPr>
      </w:pPr>
    </w:p>
    <w:p w:rsidR="00323C73" w:rsidRPr="00611F34" w:rsidRDefault="00617EFF" w:rsidP="00DA1AEE">
      <w:pPr>
        <w:jc w:val="both"/>
        <w:outlineLvl w:val="0"/>
        <w:rPr>
          <w:rFonts w:ascii="Arial" w:hAnsi="Arial" w:cs="Arial"/>
        </w:rPr>
      </w:pPr>
      <w:r w:rsidRPr="00611F34">
        <w:rPr>
          <w:rFonts w:ascii="Arial" w:hAnsi="Arial" w:cs="Arial"/>
        </w:rPr>
        <w:t xml:space="preserve">Exenatide </w:t>
      </w:r>
      <w:r w:rsidR="00323C73" w:rsidRPr="00611F34">
        <w:rPr>
          <w:rFonts w:ascii="Arial" w:hAnsi="Arial" w:cs="Arial"/>
        </w:rPr>
        <w:t>slows gastric emptying thereby reducing the rate at which meal-derived glucose appears in the circulation.</w:t>
      </w:r>
    </w:p>
    <w:p w:rsidR="00C57071" w:rsidRPr="00611F34" w:rsidRDefault="00C57071" w:rsidP="00DA1AEE">
      <w:pPr>
        <w:jc w:val="both"/>
        <w:outlineLvl w:val="0"/>
        <w:rPr>
          <w:rFonts w:ascii="Arial" w:hAnsi="Arial" w:cs="Arial"/>
        </w:rPr>
      </w:pPr>
    </w:p>
    <w:p w:rsidR="00323C73" w:rsidRPr="00611F34" w:rsidRDefault="00323C73" w:rsidP="00DA1AEE">
      <w:pPr>
        <w:jc w:val="both"/>
        <w:outlineLvl w:val="0"/>
        <w:rPr>
          <w:rFonts w:ascii="Arial" w:hAnsi="Arial" w:cs="Arial"/>
        </w:rPr>
      </w:pPr>
      <w:r w:rsidRPr="00611F34">
        <w:rPr>
          <w:rFonts w:ascii="Arial" w:hAnsi="Arial" w:cs="Arial"/>
          <w:b/>
        </w:rPr>
        <w:t>Pharmacodynamic effects</w:t>
      </w:r>
    </w:p>
    <w:p w:rsidR="00323C73" w:rsidRPr="00611F34" w:rsidRDefault="00C909F8" w:rsidP="00593D34">
      <w:pPr>
        <w:jc w:val="both"/>
        <w:outlineLvl w:val="0"/>
        <w:rPr>
          <w:rFonts w:ascii="Arial" w:hAnsi="Arial" w:cs="Arial"/>
        </w:rPr>
      </w:pPr>
      <w:r w:rsidRPr="00611F34">
        <w:rPr>
          <w:rFonts w:ascii="Arial" w:hAnsi="Arial" w:cs="Arial"/>
        </w:rPr>
        <w:t xml:space="preserve">Exenatide </w:t>
      </w:r>
      <w:r w:rsidR="00323C73" w:rsidRPr="00611F34">
        <w:rPr>
          <w:rFonts w:ascii="Arial" w:hAnsi="Arial" w:cs="Arial"/>
        </w:rPr>
        <w:t>improves glycaemic control through the immediate and sustained effects of lowering both postprandial and fasting glucose concentrations in patients with type 2 diabetes.</w:t>
      </w:r>
      <w:r w:rsidR="00ED17EB" w:rsidRPr="00611F34">
        <w:rPr>
          <w:rFonts w:ascii="Arial" w:hAnsi="Arial" w:cs="Arial"/>
        </w:rPr>
        <w:t xml:space="preserve"> These pharmacodynamic actions occur through various mechanisms including stimulation of insulin secretion during hyperglyc</w:t>
      </w:r>
      <w:r w:rsidR="009F11D1" w:rsidRPr="00611F34">
        <w:rPr>
          <w:rFonts w:ascii="Arial" w:hAnsi="Arial" w:cs="Arial"/>
        </w:rPr>
        <w:t>a</w:t>
      </w:r>
      <w:r w:rsidR="00ED17EB" w:rsidRPr="00611F34">
        <w:rPr>
          <w:rFonts w:ascii="Arial" w:hAnsi="Arial" w:cs="Arial"/>
        </w:rPr>
        <w:t>emia, suppression of glucagon, and slowing of gastric emptying.</w:t>
      </w:r>
      <w:r w:rsidR="003F3AC2" w:rsidRPr="00611F34">
        <w:rPr>
          <w:rFonts w:ascii="Arial" w:hAnsi="Arial" w:cs="Arial"/>
        </w:rPr>
        <w:t xml:space="preserve"> BYDUREON has a pharmacokinetic and pharmacodynamic profile in humans suitable for once weekly administration.</w:t>
      </w:r>
    </w:p>
    <w:p w:rsidR="00323C73" w:rsidRPr="00611F34" w:rsidRDefault="00323C73" w:rsidP="00593D34">
      <w:pPr>
        <w:jc w:val="both"/>
        <w:outlineLvl w:val="0"/>
        <w:rPr>
          <w:rFonts w:ascii="Arial" w:hAnsi="Arial" w:cs="Arial"/>
          <w:highlight w:val="yellow"/>
        </w:rPr>
      </w:pPr>
    </w:p>
    <w:p w:rsidR="00C57071" w:rsidRPr="00611F34" w:rsidRDefault="00C57071" w:rsidP="00593D34">
      <w:pPr>
        <w:outlineLvl w:val="0"/>
        <w:rPr>
          <w:rFonts w:ascii="Arial" w:hAnsi="Arial" w:cs="Arial"/>
        </w:rPr>
      </w:pPr>
      <w:r w:rsidRPr="00611F34">
        <w:rPr>
          <w:rFonts w:ascii="Arial" w:hAnsi="Arial" w:cs="Arial"/>
        </w:rPr>
        <w:t xml:space="preserve">A pharmacodynamic study </w:t>
      </w:r>
      <w:r w:rsidR="00AB12D4">
        <w:rPr>
          <w:rFonts w:ascii="Arial" w:hAnsi="Arial" w:cs="Arial"/>
        </w:rPr>
        <w:t xml:space="preserve">with exenatide </w:t>
      </w:r>
      <w:r w:rsidRPr="00611F34">
        <w:rPr>
          <w:rFonts w:ascii="Arial" w:hAnsi="Arial" w:cs="Arial"/>
        </w:rPr>
        <w:t>demonstrated in patients with type 2 diabetes (n=13) a restoration of first phase insulin secretion and improved second phase insulin secretion in response to an intravenous bolus of glucose.</w:t>
      </w:r>
    </w:p>
    <w:p w:rsidR="00323C73" w:rsidRPr="00611F34" w:rsidRDefault="00323C73" w:rsidP="00593D34">
      <w:pPr>
        <w:jc w:val="both"/>
        <w:outlineLvl w:val="0"/>
        <w:rPr>
          <w:rFonts w:ascii="Arial" w:hAnsi="Arial" w:cs="Arial"/>
          <w:highlight w:val="yellow"/>
        </w:rPr>
      </w:pPr>
    </w:p>
    <w:p w:rsidR="00C57071" w:rsidRPr="00611F34" w:rsidRDefault="00C57071" w:rsidP="00593D34">
      <w:pPr>
        <w:pStyle w:val="BodyText"/>
        <w:rPr>
          <w:rFonts w:ascii="Arial" w:hAnsi="Arial" w:cs="Arial"/>
          <w:b/>
          <w:color w:val="C0C0C0"/>
        </w:rPr>
      </w:pPr>
      <w:proofErr w:type="spellStart"/>
      <w:r w:rsidRPr="00611F34">
        <w:rPr>
          <w:rFonts w:ascii="Arial" w:hAnsi="Arial" w:cs="Arial"/>
          <w:i/>
        </w:rPr>
        <w:t>Glucose</w:t>
      </w:r>
      <w:r w:rsidRPr="00611F34">
        <w:rPr>
          <w:rFonts w:ascii="Arial" w:hAnsi="Arial" w:cs="Arial"/>
          <w:i/>
        </w:rPr>
        <w:noBreakHyphen/>
        <w:t>dependent</w:t>
      </w:r>
      <w:proofErr w:type="spellEnd"/>
      <w:r w:rsidRPr="00611F34">
        <w:rPr>
          <w:rFonts w:ascii="Arial" w:hAnsi="Arial" w:cs="Arial"/>
          <w:i/>
        </w:rPr>
        <w:t xml:space="preserve"> insulin secretion:</w:t>
      </w:r>
      <w:r w:rsidRPr="00611F34">
        <w:rPr>
          <w:rFonts w:ascii="Arial" w:hAnsi="Arial" w:cs="Arial"/>
        </w:rPr>
        <w:t xml:space="preserve"> </w:t>
      </w:r>
      <w:proofErr w:type="spellStart"/>
      <w:r w:rsidR="00593D34" w:rsidRPr="00611F34">
        <w:rPr>
          <w:rFonts w:ascii="Arial" w:hAnsi="Arial" w:cs="Arial"/>
        </w:rPr>
        <w:t>e</w:t>
      </w:r>
      <w:r w:rsidRPr="00611F34">
        <w:rPr>
          <w:rFonts w:ascii="Arial" w:hAnsi="Arial" w:cs="Arial"/>
        </w:rPr>
        <w:t>xenatide</w:t>
      </w:r>
      <w:proofErr w:type="spellEnd"/>
      <w:r w:rsidRPr="00611F34">
        <w:rPr>
          <w:rFonts w:ascii="Arial" w:hAnsi="Arial" w:cs="Arial"/>
        </w:rPr>
        <w:t xml:space="preserve"> has acute effects on pancreatic </w:t>
      </w:r>
      <w:proofErr w:type="spellStart"/>
      <w:r w:rsidRPr="00611F34">
        <w:rPr>
          <w:rFonts w:ascii="Arial" w:hAnsi="Arial" w:cs="Arial"/>
        </w:rPr>
        <w:t>beta</w:t>
      </w:r>
      <w:r w:rsidRPr="00611F34">
        <w:rPr>
          <w:rFonts w:ascii="Arial" w:hAnsi="Arial" w:cs="Arial"/>
        </w:rPr>
        <w:noBreakHyphen/>
        <w:t>cell</w:t>
      </w:r>
      <w:proofErr w:type="spellEnd"/>
      <w:r w:rsidRPr="00611F34">
        <w:rPr>
          <w:rFonts w:ascii="Arial" w:hAnsi="Arial" w:cs="Arial"/>
        </w:rPr>
        <w:t xml:space="preserve"> responsiveness to glucose leading to insulin release predominantly in the presence of elevated glucose concentrations. This insulin secretion subsides as blood glucose concentrations decrease and approach </w:t>
      </w:r>
      <w:proofErr w:type="spellStart"/>
      <w:r w:rsidRPr="00611F34">
        <w:rPr>
          <w:rFonts w:ascii="Arial" w:hAnsi="Arial" w:cs="Arial"/>
        </w:rPr>
        <w:t>euglycemia</w:t>
      </w:r>
      <w:proofErr w:type="spellEnd"/>
      <w:r w:rsidRPr="00611F34">
        <w:rPr>
          <w:rFonts w:ascii="Arial" w:hAnsi="Arial" w:cs="Arial"/>
        </w:rPr>
        <w:t xml:space="preserve">. </w:t>
      </w:r>
      <w:r w:rsidR="000B43E5" w:rsidRPr="00611F34">
        <w:rPr>
          <w:rFonts w:ascii="Arial" w:hAnsi="Arial" w:cs="Arial"/>
        </w:rPr>
        <w:t>Exenatide</w:t>
      </w:r>
      <w:r w:rsidRPr="00611F34">
        <w:rPr>
          <w:rFonts w:ascii="Arial" w:hAnsi="Arial" w:cs="Arial"/>
        </w:rPr>
        <w:t xml:space="preserve"> does not impair the normal glucagon response to hypoglycemia.</w:t>
      </w:r>
    </w:p>
    <w:p w:rsidR="00C57071" w:rsidRPr="00611F34" w:rsidRDefault="00C57071" w:rsidP="00593D34">
      <w:pPr>
        <w:pStyle w:val="BodyText"/>
        <w:rPr>
          <w:rFonts w:ascii="Arial" w:hAnsi="Arial" w:cs="Arial"/>
        </w:rPr>
      </w:pPr>
    </w:p>
    <w:p w:rsidR="00C57071" w:rsidRDefault="00C57071" w:rsidP="00593D34">
      <w:pPr>
        <w:pStyle w:val="BodyText"/>
        <w:rPr>
          <w:rFonts w:ascii="Arial" w:hAnsi="Arial" w:cs="Arial"/>
        </w:rPr>
      </w:pPr>
      <w:proofErr w:type="spellStart"/>
      <w:r w:rsidRPr="00611F34">
        <w:rPr>
          <w:rFonts w:ascii="Arial" w:hAnsi="Arial" w:cs="Arial"/>
          <w:i/>
        </w:rPr>
        <w:t>First</w:t>
      </w:r>
      <w:r w:rsidRPr="00611F34">
        <w:rPr>
          <w:rFonts w:ascii="Arial" w:hAnsi="Arial" w:cs="Arial"/>
          <w:i/>
        </w:rPr>
        <w:noBreakHyphen/>
        <w:t>phase</w:t>
      </w:r>
      <w:proofErr w:type="spellEnd"/>
      <w:r w:rsidRPr="00611F34">
        <w:rPr>
          <w:rFonts w:ascii="Arial" w:hAnsi="Arial" w:cs="Arial"/>
          <w:i/>
        </w:rPr>
        <w:t xml:space="preserve"> insulin response</w:t>
      </w:r>
      <w:r w:rsidRPr="00611F34">
        <w:rPr>
          <w:rFonts w:ascii="Arial" w:hAnsi="Arial" w:cs="Arial"/>
        </w:rPr>
        <w:t>: In healthy individuals, robust insulin secretion occurs during the first 10 minutes following intravenous (IV) glucose administration. This secretion, known as the “</w:t>
      </w:r>
      <w:proofErr w:type="spellStart"/>
      <w:r w:rsidRPr="00611F34">
        <w:rPr>
          <w:rFonts w:ascii="Arial" w:hAnsi="Arial" w:cs="Arial"/>
        </w:rPr>
        <w:t>first</w:t>
      </w:r>
      <w:r w:rsidRPr="00611F34">
        <w:rPr>
          <w:rFonts w:ascii="Arial" w:hAnsi="Arial" w:cs="Arial"/>
        </w:rPr>
        <w:noBreakHyphen/>
        <w:t>phase</w:t>
      </w:r>
      <w:proofErr w:type="spellEnd"/>
      <w:r w:rsidRPr="00611F34">
        <w:rPr>
          <w:rFonts w:ascii="Arial" w:hAnsi="Arial" w:cs="Arial"/>
        </w:rPr>
        <w:t xml:space="preserve"> insulin response”</w:t>
      </w:r>
      <w:r w:rsidR="00BE3A8F">
        <w:rPr>
          <w:rFonts w:ascii="Arial" w:hAnsi="Arial" w:cs="Arial"/>
        </w:rPr>
        <w:t>,</w:t>
      </w:r>
      <w:r w:rsidRPr="00611F34">
        <w:rPr>
          <w:rFonts w:ascii="Arial" w:hAnsi="Arial" w:cs="Arial"/>
        </w:rPr>
        <w:t xml:space="preserve"> is characteristically absent in patients with type 2 diabetes. The loss of the </w:t>
      </w:r>
      <w:proofErr w:type="spellStart"/>
      <w:r w:rsidRPr="00611F34">
        <w:rPr>
          <w:rFonts w:ascii="Arial" w:hAnsi="Arial" w:cs="Arial"/>
        </w:rPr>
        <w:t>first</w:t>
      </w:r>
      <w:r w:rsidRPr="00611F34">
        <w:rPr>
          <w:rFonts w:ascii="Arial" w:hAnsi="Arial" w:cs="Arial"/>
        </w:rPr>
        <w:noBreakHyphen/>
        <w:t>phase</w:t>
      </w:r>
      <w:proofErr w:type="spellEnd"/>
      <w:r w:rsidRPr="00611F34">
        <w:rPr>
          <w:rFonts w:ascii="Arial" w:hAnsi="Arial" w:cs="Arial"/>
        </w:rPr>
        <w:t xml:space="preserve"> insulin response is an early </w:t>
      </w:r>
      <w:proofErr w:type="spellStart"/>
      <w:r w:rsidRPr="00611F34">
        <w:rPr>
          <w:rFonts w:ascii="Arial" w:hAnsi="Arial" w:cs="Arial"/>
        </w:rPr>
        <w:t>beta</w:t>
      </w:r>
      <w:r w:rsidRPr="00611F34">
        <w:rPr>
          <w:rFonts w:ascii="Arial" w:hAnsi="Arial" w:cs="Arial"/>
        </w:rPr>
        <w:noBreakHyphen/>
        <w:t>cell</w:t>
      </w:r>
      <w:proofErr w:type="spellEnd"/>
      <w:r w:rsidRPr="00611F34">
        <w:rPr>
          <w:rFonts w:ascii="Arial" w:hAnsi="Arial" w:cs="Arial"/>
        </w:rPr>
        <w:t xml:space="preserve"> defect in type 2 diabetes. Administration of exenatide at therapeutic plasma concentrations restored </w:t>
      </w:r>
      <w:proofErr w:type="spellStart"/>
      <w:r w:rsidRPr="00611F34">
        <w:rPr>
          <w:rFonts w:ascii="Arial" w:hAnsi="Arial" w:cs="Arial"/>
        </w:rPr>
        <w:t>first</w:t>
      </w:r>
      <w:r w:rsidRPr="00611F34">
        <w:rPr>
          <w:rFonts w:ascii="Arial" w:hAnsi="Arial" w:cs="Arial"/>
        </w:rPr>
        <w:noBreakHyphen/>
        <w:t>phase</w:t>
      </w:r>
      <w:proofErr w:type="spellEnd"/>
      <w:r w:rsidRPr="00611F34">
        <w:rPr>
          <w:rFonts w:ascii="Arial" w:hAnsi="Arial" w:cs="Arial"/>
        </w:rPr>
        <w:t xml:space="preserve"> insulin response to an IV bolus of glucose in patients with type 2 diabetes (Figure 1). Both </w:t>
      </w:r>
      <w:proofErr w:type="spellStart"/>
      <w:r w:rsidRPr="00611F34">
        <w:rPr>
          <w:rFonts w:ascii="Arial" w:hAnsi="Arial" w:cs="Arial"/>
        </w:rPr>
        <w:t>first</w:t>
      </w:r>
      <w:r w:rsidRPr="00611F34">
        <w:rPr>
          <w:rFonts w:ascii="Arial" w:hAnsi="Arial" w:cs="Arial"/>
        </w:rPr>
        <w:noBreakHyphen/>
        <w:t>phase</w:t>
      </w:r>
      <w:proofErr w:type="spellEnd"/>
      <w:r w:rsidRPr="00611F34">
        <w:rPr>
          <w:rFonts w:ascii="Arial" w:hAnsi="Arial" w:cs="Arial"/>
        </w:rPr>
        <w:t xml:space="preserve"> insulin secretion and </w:t>
      </w:r>
      <w:proofErr w:type="spellStart"/>
      <w:r w:rsidRPr="00611F34">
        <w:rPr>
          <w:rFonts w:ascii="Arial" w:hAnsi="Arial" w:cs="Arial"/>
        </w:rPr>
        <w:t>second</w:t>
      </w:r>
      <w:r w:rsidRPr="00611F34">
        <w:rPr>
          <w:rFonts w:ascii="Arial" w:hAnsi="Arial" w:cs="Arial"/>
        </w:rPr>
        <w:noBreakHyphen/>
        <w:t>phase</w:t>
      </w:r>
      <w:proofErr w:type="spellEnd"/>
      <w:r w:rsidRPr="00611F34">
        <w:rPr>
          <w:rFonts w:ascii="Arial" w:hAnsi="Arial" w:cs="Arial"/>
        </w:rPr>
        <w:t xml:space="preserve"> insulin secretion were significantly increased in patients with type 2 diabetes treated with exenatide compared with saline (p &lt;0.001 for both).</w:t>
      </w:r>
    </w:p>
    <w:p w:rsidR="008A4D23" w:rsidRDefault="008A4D23">
      <w:pPr>
        <w:rPr>
          <w:rFonts w:ascii="Arial" w:hAnsi="Arial" w:cs="Arial"/>
          <w:snapToGrid w:val="0"/>
        </w:rPr>
      </w:pPr>
      <w:r>
        <w:rPr>
          <w:rFonts w:ascii="Arial" w:hAnsi="Arial" w:cs="Arial"/>
        </w:rPr>
        <w:br w:type="page"/>
      </w: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CD574B" w:rsidP="00DA1AEE">
      <w:pPr>
        <w:jc w:val="both"/>
        <w:outlineLvl w:val="0"/>
        <w:rPr>
          <w:rFonts w:ascii="Arial" w:hAnsi="Arial" w:cs="Arial"/>
        </w:rPr>
      </w:pPr>
      <w:r>
        <w:rPr>
          <w:rFonts w:ascii="Arial" w:hAnsi="Arial" w:cs="Arial"/>
          <w:noProof/>
          <w:lang w:eastAsia="en-AU"/>
        </w:rPr>
        <w:drawing>
          <wp:anchor distT="0" distB="0" distL="114300" distR="114300" simplePos="0" relativeHeight="251659776" behindDoc="0" locked="0" layoutInCell="1" allowOverlap="1">
            <wp:simplePos x="0" y="0"/>
            <wp:positionH relativeFrom="column">
              <wp:posOffset>613023</wp:posOffset>
            </wp:positionH>
            <wp:positionV relativeFrom="paragraph">
              <wp:posOffset>-186359</wp:posOffset>
            </wp:positionV>
            <wp:extent cx="4572000" cy="3323645"/>
            <wp:effectExtent l="0" t="0" r="0" b="0"/>
            <wp:wrapNone/>
            <wp:docPr id="17" name="Picture 17"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4572000" cy="3323645"/>
                    </a:xfrm>
                    <a:prstGeom prst="rect">
                      <a:avLst/>
                    </a:prstGeom>
                    <a:noFill/>
                    <a:ln w="9525">
                      <a:noFill/>
                      <a:miter lim="800000"/>
                      <a:headEnd/>
                      <a:tailEnd/>
                    </a:ln>
                  </pic:spPr>
                </pic:pic>
              </a:graphicData>
            </a:graphic>
          </wp:anchor>
        </w:drawing>
      </w: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DA1AEE">
      <w:pPr>
        <w:jc w:val="both"/>
        <w:outlineLvl w:val="0"/>
        <w:rPr>
          <w:rFonts w:ascii="Arial" w:hAnsi="Arial" w:cs="Arial"/>
        </w:rPr>
      </w:pPr>
    </w:p>
    <w:p w:rsidR="00593D34" w:rsidRPr="00611F34" w:rsidRDefault="00593D34" w:rsidP="00593D34">
      <w:pPr>
        <w:pStyle w:val="FigureTitleLeft"/>
        <w:rPr>
          <w:rFonts w:ascii="Arial" w:hAnsi="Arial" w:cs="Arial"/>
          <w:lang w:val="en-AU"/>
        </w:rPr>
      </w:pPr>
      <w:r w:rsidRPr="00611F34">
        <w:rPr>
          <w:rFonts w:ascii="Arial" w:hAnsi="Arial" w:cs="Arial"/>
          <w:lang w:val="en-AU"/>
        </w:rPr>
        <w:t xml:space="preserve">Figure </w:t>
      </w:r>
      <w:r w:rsidR="00ED7CDF" w:rsidRPr="00611F34">
        <w:rPr>
          <w:rFonts w:ascii="Arial" w:hAnsi="Arial" w:cs="Arial"/>
          <w:lang w:val="en-AU"/>
        </w:rPr>
        <w:fldChar w:fldCharType="begin"/>
      </w:r>
      <w:r w:rsidRPr="00611F34">
        <w:rPr>
          <w:rFonts w:ascii="Arial" w:hAnsi="Arial" w:cs="Arial"/>
          <w:lang w:val="en-AU"/>
        </w:rPr>
        <w:instrText xml:space="preserve"> SEQ Figure \* ARABIC </w:instrText>
      </w:r>
      <w:r w:rsidR="00ED7CDF" w:rsidRPr="00611F34">
        <w:rPr>
          <w:rFonts w:ascii="Arial" w:hAnsi="Arial" w:cs="Arial"/>
          <w:lang w:val="en-AU"/>
        </w:rPr>
        <w:fldChar w:fldCharType="separate"/>
      </w:r>
      <w:r w:rsidR="007F5A9C">
        <w:rPr>
          <w:rFonts w:ascii="Arial" w:hAnsi="Arial" w:cs="Arial"/>
          <w:noProof/>
          <w:lang w:val="en-AU"/>
        </w:rPr>
        <w:t>1</w:t>
      </w:r>
      <w:r w:rsidR="00ED7CDF" w:rsidRPr="00611F34">
        <w:rPr>
          <w:rFonts w:ascii="Arial" w:hAnsi="Arial" w:cs="Arial"/>
          <w:lang w:val="en-AU"/>
        </w:rPr>
        <w:fldChar w:fldCharType="end"/>
      </w:r>
      <w:r w:rsidRPr="00611F34">
        <w:rPr>
          <w:rFonts w:ascii="Arial" w:hAnsi="Arial" w:cs="Arial"/>
          <w:lang w:val="en-AU"/>
        </w:rPr>
        <w:t>:</w:t>
      </w:r>
      <w:r w:rsidRPr="00611F34">
        <w:rPr>
          <w:rFonts w:ascii="Arial" w:hAnsi="Arial" w:cs="Arial"/>
          <w:lang w:val="en-AU"/>
        </w:rPr>
        <w:tab/>
        <w:t>Mean (SE) Insulin Secretion Rate During Infusion of Exenatide or Saline in Patients With Type 2 Diabetes and During Infusion of Saline in Healthy Patients</w:t>
      </w:r>
    </w:p>
    <w:p w:rsidR="00593D34" w:rsidRPr="00611F34" w:rsidRDefault="00593D34" w:rsidP="00593D34">
      <w:pPr>
        <w:pStyle w:val="BodyText"/>
        <w:spacing w:line="276" w:lineRule="auto"/>
        <w:rPr>
          <w:rFonts w:ascii="Arial" w:hAnsi="Arial" w:cs="Arial"/>
        </w:rPr>
      </w:pPr>
    </w:p>
    <w:p w:rsidR="00593D34" w:rsidRPr="00611F34" w:rsidRDefault="00593D34" w:rsidP="00593D34">
      <w:pPr>
        <w:pStyle w:val="BodyText"/>
        <w:rPr>
          <w:rFonts w:ascii="Arial" w:hAnsi="Arial" w:cs="Arial"/>
        </w:rPr>
      </w:pPr>
      <w:r w:rsidRPr="00611F34">
        <w:rPr>
          <w:rFonts w:ascii="Arial" w:hAnsi="Arial" w:cs="Arial"/>
          <w:i/>
        </w:rPr>
        <w:t>Glucagon secretion:</w:t>
      </w:r>
      <w:r w:rsidRPr="00611F34">
        <w:rPr>
          <w:rFonts w:ascii="Arial" w:hAnsi="Arial" w:cs="Arial"/>
        </w:rPr>
        <w:t xml:space="preserve"> In patients with type 2 diabetes, exenatide moderates glucagon secretion and lowers serum glucagon concentrations during periods of hyperglyc</w:t>
      </w:r>
      <w:r w:rsidR="0054731F" w:rsidRPr="00611F34">
        <w:rPr>
          <w:rFonts w:ascii="Arial" w:hAnsi="Arial" w:cs="Arial"/>
        </w:rPr>
        <w:t>a</w:t>
      </w:r>
      <w:r w:rsidRPr="00611F34">
        <w:rPr>
          <w:rFonts w:ascii="Arial" w:hAnsi="Arial" w:cs="Arial"/>
        </w:rPr>
        <w:t xml:space="preserve">emia.  Lower glucagon concentrations lead to decreased hepatic glucose output and decreased insulin demand.  </w:t>
      </w:r>
    </w:p>
    <w:p w:rsidR="00C57071" w:rsidRPr="00611F34" w:rsidRDefault="00C57071" w:rsidP="00DA1AEE">
      <w:pPr>
        <w:jc w:val="both"/>
        <w:outlineLvl w:val="0"/>
        <w:rPr>
          <w:rFonts w:ascii="Arial" w:hAnsi="Arial" w:cs="Arial"/>
        </w:rPr>
      </w:pPr>
    </w:p>
    <w:p w:rsidR="00E163F3" w:rsidRPr="00611F34" w:rsidRDefault="00E163F3" w:rsidP="00361099">
      <w:pPr>
        <w:jc w:val="both"/>
        <w:outlineLvl w:val="0"/>
        <w:rPr>
          <w:rFonts w:ascii="Arial" w:hAnsi="Arial" w:cs="Arial"/>
        </w:rPr>
      </w:pPr>
      <w:r w:rsidRPr="00611F34">
        <w:rPr>
          <w:rFonts w:ascii="Arial" w:hAnsi="Arial" w:cs="Arial"/>
          <w:i/>
        </w:rPr>
        <w:t>Beta-cell function</w:t>
      </w:r>
      <w:r w:rsidR="006863A3" w:rsidRPr="00611F34">
        <w:rPr>
          <w:rFonts w:ascii="Arial" w:hAnsi="Arial" w:cs="Arial"/>
          <w:i/>
        </w:rPr>
        <w:t xml:space="preserve">: </w:t>
      </w:r>
      <w:r w:rsidR="00967EED" w:rsidRPr="00611F34">
        <w:rPr>
          <w:rFonts w:ascii="Arial" w:hAnsi="Arial" w:cs="Arial"/>
        </w:rPr>
        <w:t>e</w:t>
      </w:r>
      <w:r w:rsidR="00174A04" w:rsidRPr="00611F34">
        <w:rPr>
          <w:rFonts w:ascii="Arial" w:hAnsi="Arial" w:cs="Arial"/>
        </w:rPr>
        <w:t>xenatide</w:t>
      </w:r>
      <w:r w:rsidR="00C909F8" w:rsidRPr="00611F34">
        <w:rPr>
          <w:rFonts w:ascii="Arial" w:hAnsi="Arial" w:cs="Arial"/>
        </w:rPr>
        <w:t xml:space="preserve"> </w:t>
      </w:r>
      <w:r w:rsidR="00174A04" w:rsidRPr="00611F34">
        <w:rPr>
          <w:rFonts w:ascii="Arial" w:hAnsi="Arial" w:cs="Arial"/>
        </w:rPr>
        <w:t xml:space="preserve">stimulates insulin release – clinical trial data </w:t>
      </w:r>
      <w:r w:rsidR="0054731F" w:rsidRPr="00611F34">
        <w:rPr>
          <w:rFonts w:ascii="Arial" w:hAnsi="Arial" w:cs="Arial"/>
        </w:rPr>
        <w:t xml:space="preserve">with exenatide twice daily </w:t>
      </w:r>
      <w:r w:rsidR="00174A04" w:rsidRPr="00611F34">
        <w:rPr>
          <w:rFonts w:ascii="Arial" w:hAnsi="Arial" w:cs="Arial"/>
        </w:rPr>
        <w:t>show that this happens acutely with benefits in glycosylated haemoglobin evident within six weeks.</w:t>
      </w:r>
      <w:r w:rsidR="005E1271" w:rsidRPr="00611F34">
        <w:rPr>
          <w:rFonts w:ascii="Arial" w:hAnsi="Arial" w:cs="Arial"/>
        </w:rPr>
        <w:t xml:space="preserve"> No clinical data are available to suggest an improvement </w:t>
      </w:r>
      <w:r w:rsidR="009F7492" w:rsidRPr="00611F34">
        <w:rPr>
          <w:rFonts w:ascii="Arial" w:hAnsi="Arial" w:cs="Arial"/>
        </w:rPr>
        <w:t>over time in</w:t>
      </w:r>
      <w:r w:rsidR="005E1271" w:rsidRPr="00611F34">
        <w:rPr>
          <w:rFonts w:ascii="Arial" w:hAnsi="Arial" w:cs="Arial"/>
        </w:rPr>
        <w:t xml:space="preserve"> beta-cell function. </w:t>
      </w:r>
      <w:r w:rsidR="0054731F" w:rsidRPr="00611F34">
        <w:rPr>
          <w:rFonts w:ascii="Arial" w:hAnsi="Arial" w:cs="Arial"/>
        </w:rPr>
        <w:t>In studies of exenatide twice daily, m</w:t>
      </w:r>
      <w:r w:rsidR="00174A04" w:rsidRPr="00611F34">
        <w:rPr>
          <w:rFonts w:ascii="Arial" w:hAnsi="Arial" w:cs="Arial"/>
        </w:rPr>
        <w:t xml:space="preserve">ost clinical benefit in glycaemic control </w:t>
      </w:r>
      <w:r w:rsidR="0054731F" w:rsidRPr="00611F34">
        <w:rPr>
          <w:rFonts w:ascii="Arial" w:hAnsi="Arial" w:cs="Arial"/>
        </w:rPr>
        <w:t>wa</w:t>
      </w:r>
      <w:r w:rsidR="00174A04" w:rsidRPr="00611F34">
        <w:rPr>
          <w:rFonts w:ascii="Arial" w:hAnsi="Arial" w:cs="Arial"/>
        </w:rPr>
        <w:t xml:space="preserve">s seen within 12 weeks of commencement. </w:t>
      </w:r>
      <w:r w:rsidR="005E1271" w:rsidRPr="00611F34">
        <w:rPr>
          <w:rFonts w:ascii="Arial" w:hAnsi="Arial" w:cs="Arial"/>
        </w:rPr>
        <w:t xml:space="preserve">An increase in pancreatic islet cell mass has not been consistently demonstrated in animal models.  </w:t>
      </w:r>
    </w:p>
    <w:p w:rsidR="008D55C6" w:rsidRPr="00611F34" w:rsidRDefault="008D55C6" w:rsidP="00BC73E2">
      <w:pPr>
        <w:autoSpaceDE w:val="0"/>
        <w:autoSpaceDN w:val="0"/>
        <w:adjustRightInd w:val="0"/>
        <w:spacing w:line="240" w:lineRule="atLeast"/>
        <w:ind w:left="360" w:hanging="360"/>
        <w:jc w:val="both"/>
        <w:rPr>
          <w:rFonts w:ascii="Arial" w:hAnsi="Arial" w:cs="Arial"/>
          <w:b/>
          <w:bCs/>
        </w:rPr>
      </w:pPr>
    </w:p>
    <w:p w:rsidR="004D2B4C" w:rsidRPr="00611F34" w:rsidRDefault="004D2B4C" w:rsidP="00BC73E2">
      <w:pPr>
        <w:autoSpaceDE w:val="0"/>
        <w:autoSpaceDN w:val="0"/>
        <w:adjustRightInd w:val="0"/>
        <w:spacing w:line="240" w:lineRule="atLeast"/>
        <w:ind w:left="360" w:hanging="360"/>
        <w:jc w:val="both"/>
        <w:rPr>
          <w:rFonts w:ascii="Arial" w:hAnsi="Arial" w:cs="Arial"/>
          <w:b/>
          <w:bCs/>
        </w:rPr>
      </w:pPr>
      <w:r w:rsidRPr="00611F34">
        <w:rPr>
          <w:rFonts w:ascii="Arial" w:hAnsi="Arial" w:cs="Arial"/>
          <w:b/>
          <w:bCs/>
        </w:rPr>
        <w:t>Pharmacokinetics</w:t>
      </w:r>
      <w:r w:rsidR="0046248E" w:rsidRPr="00611F34">
        <w:rPr>
          <w:rFonts w:ascii="Arial" w:hAnsi="Arial" w:cs="Arial"/>
          <w:b/>
          <w:bCs/>
        </w:rPr>
        <w:t xml:space="preserve"> </w:t>
      </w:r>
    </w:p>
    <w:p w:rsidR="00B539DA" w:rsidRPr="00611F34" w:rsidRDefault="00A34CF1" w:rsidP="00A34CF1">
      <w:pPr>
        <w:autoSpaceDE w:val="0"/>
        <w:autoSpaceDN w:val="0"/>
        <w:adjustRightInd w:val="0"/>
        <w:spacing w:line="240" w:lineRule="atLeast"/>
        <w:jc w:val="both"/>
        <w:rPr>
          <w:rFonts w:ascii="Arial" w:hAnsi="Arial" w:cs="Arial"/>
          <w:bCs/>
        </w:rPr>
      </w:pPr>
      <w:r w:rsidRPr="00611F34">
        <w:rPr>
          <w:rFonts w:ascii="Arial" w:hAnsi="Arial" w:cs="Arial"/>
          <w:bCs/>
        </w:rPr>
        <w:t>The absorption properties of exenatide reflect the extended release properties of the BYDUREON formulation. Once absorbed into the circulation, exenatide is distributed and eliminated according to its known systemic pharmacokinetic properties (as described in this section).</w:t>
      </w:r>
    </w:p>
    <w:p w:rsidR="00A34CF1" w:rsidRPr="00611F34" w:rsidRDefault="00A34CF1" w:rsidP="00BC73E2">
      <w:pPr>
        <w:autoSpaceDE w:val="0"/>
        <w:autoSpaceDN w:val="0"/>
        <w:adjustRightInd w:val="0"/>
        <w:spacing w:line="240" w:lineRule="atLeast"/>
        <w:ind w:left="360" w:hanging="360"/>
        <w:jc w:val="both"/>
        <w:rPr>
          <w:rFonts w:ascii="Arial" w:hAnsi="Arial" w:cs="Arial"/>
          <w:bCs/>
        </w:rPr>
      </w:pPr>
    </w:p>
    <w:p w:rsidR="004D2B4C" w:rsidRPr="00611F34" w:rsidRDefault="004D2B4C" w:rsidP="00BC73E2">
      <w:pPr>
        <w:autoSpaceDE w:val="0"/>
        <w:autoSpaceDN w:val="0"/>
        <w:adjustRightInd w:val="0"/>
        <w:spacing w:line="240" w:lineRule="atLeast"/>
        <w:ind w:left="360" w:hanging="360"/>
        <w:jc w:val="both"/>
        <w:rPr>
          <w:rFonts w:ascii="Arial" w:hAnsi="Arial" w:cs="Arial"/>
          <w:b/>
          <w:bCs/>
        </w:rPr>
      </w:pPr>
      <w:r w:rsidRPr="00611F34">
        <w:rPr>
          <w:rFonts w:ascii="Arial" w:hAnsi="Arial" w:cs="Arial"/>
          <w:b/>
          <w:bCs/>
        </w:rPr>
        <w:t>Absorption</w:t>
      </w:r>
    </w:p>
    <w:p w:rsidR="004E2E78" w:rsidRDefault="004E2E78" w:rsidP="006F221F">
      <w:pPr>
        <w:pStyle w:val="BodyText"/>
        <w:jc w:val="both"/>
        <w:rPr>
          <w:rFonts w:ascii="Arial" w:hAnsi="Arial" w:cs="Arial"/>
          <w:color w:val="auto"/>
        </w:rPr>
      </w:pPr>
      <w:r>
        <w:rPr>
          <w:rFonts w:ascii="Arial" w:hAnsi="Arial" w:cs="Arial"/>
          <w:color w:val="auto"/>
        </w:rPr>
        <w:t>A</w:t>
      </w:r>
      <w:r w:rsidRPr="004E2E78">
        <w:rPr>
          <w:rFonts w:ascii="Arial" w:hAnsi="Arial" w:cs="Arial"/>
          <w:color w:val="auto"/>
        </w:rPr>
        <w:t xml:space="preserve"> single dose of </w:t>
      </w:r>
      <w:r>
        <w:rPr>
          <w:rFonts w:ascii="Arial" w:hAnsi="Arial" w:cs="Arial"/>
          <w:color w:val="auto"/>
        </w:rPr>
        <w:t>BYDUREON</w:t>
      </w:r>
      <w:r w:rsidRPr="004E2E78">
        <w:rPr>
          <w:rFonts w:ascii="Arial" w:hAnsi="Arial" w:cs="Arial"/>
          <w:color w:val="auto"/>
        </w:rPr>
        <w:t xml:space="preserve"> exhibits multiphasic release over an approximately 10 week period.  This is interpret</w:t>
      </w:r>
      <w:r>
        <w:rPr>
          <w:rFonts w:ascii="Arial" w:hAnsi="Arial" w:cs="Arial"/>
          <w:color w:val="auto"/>
        </w:rPr>
        <w:t>able</w:t>
      </w:r>
      <w:r w:rsidRPr="004E2E78">
        <w:rPr>
          <w:rFonts w:ascii="Arial" w:hAnsi="Arial" w:cs="Arial"/>
          <w:color w:val="auto"/>
        </w:rPr>
        <w:t xml:space="preserve"> as an initial period </w:t>
      </w:r>
      <w:r w:rsidR="00110013">
        <w:rPr>
          <w:rFonts w:ascii="Arial" w:hAnsi="Arial" w:cs="Arial"/>
          <w:color w:val="auto"/>
        </w:rPr>
        <w:t>involving the</w:t>
      </w:r>
      <w:r w:rsidRPr="004E2E78">
        <w:rPr>
          <w:rFonts w:ascii="Arial" w:hAnsi="Arial" w:cs="Arial"/>
          <w:color w:val="auto"/>
        </w:rPr>
        <w:t xml:space="preserve"> release of surface-bound exenatide followed by 2 subsequent peaks representing the hydration and erosion of the microspheres.</w:t>
      </w:r>
      <w:r>
        <w:rPr>
          <w:rFonts w:ascii="Arial" w:hAnsi="Arial" w:cs="Arial"/>
          <w:color w:val="auto"/>
        </w:rPr>
        <w:t xml:space="preserve">  However, there are significant </w:t>
      </w:r>
      <w:proofErr w:type="spellStart"/>
      <w:r>
        <w:rPr>
          <w:rFonts w:ascii="Arial" w:hAnsi="Arial" w:cs="Arial"/>
          <w:color w:val="auto"/>
        </w:rPr>
        <w:t>interindividual</w:t>
      </w:r>
      <w:proofErr w:type="spellEnd"/>
      <w:r>
        <w:rPr>
          <w:rFonts w:ascii="Arial" w:hAnsi="Arial" w:cs="Arial"/>
          <w:color w:val="auto"/>
        </w:rPr>
        <w:t xml:space="preserve"> variations in release as shown below in terms of mean (figure left) and individual plasma levels (figure right) reflecting large inherent variability in release from the dose form:</w:t>
      </w:r>
    </w:p>
    <w:p w:rsidR="008A4D23" w:rsidRDefault="008A4D23">
      <w:pPr>
        <w:rPr>
          <w:rFonts w:ascii="Arial" w:hAnsi="Arial" w:cs="Arial"/>
          <w:snapToGrid w:val="0"/>
          <w:color w:val="auto"/>
        </w:rPr>
      </w:pPr>
      <w:r>
        <w:rPr>
          <w:rFonts w:ascii="Arial" w:hAnsi="Arial" w:cs="Arial"/>
          <w:snapToGrid w:val="0"/>
          <w:color w:val="auto"/>
        </w:rPr>
        <w:br w:type="page"/>
      </w:r>
    </w:p>
    <w:p w:rsidR="00606801" w:rsidRDefault="00606801" w:rsidP="006F221F">
      <w:pPr>
        <w:pStyle w:val="BodyText"/>
        <w:jc w:val="both"/>
        <w:rPr>
          <w:rFonts w:ascii="Arial" w:hAnsi="Arial" w:cs="Arial"/>
          <w:color w:val="auto"/>
        </w:rPr>
        <w:sectPr w:rsidR="00606801" w:rsidSect="0032679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70" w:right="1274" w:bottom="709" w:left="1276" w:header="720" w:footer="58" w:gutter="0"/>
          <w:cols w:space="720"/>
          <w:docGrid w:linePitch="360"/>
        </w:sectPr>
      </w:pPr>
    </w:p>
    <w:p w:rsidR="004E2E78" w:rsidRDefault="00ED7CDF" w:rsidP="006F221F">
      <w:pPr>
        <w:pStyle w:val="BodyText"/>
        <w:jc w:val="both"/>
        <w:rPr>
          <w:rFonts w:ascii="Arial" w:hAnsi="Arial" w:cs="Arial"/>
          <w:color w:val="auto"/>
        </w:rPr>
      </w:pPr>
      <w:r w:rsidRPr="00ED7CDF">
        <w:rPr>
          <w:rFonts w:ascii="Arial" w:hAnsi="Arial" w:cs="Arial"/>
          <w:color w:val="auto"/>
        </w:rPr>
      </w:r>
      <w:r>
        <w:rPr>
          <w:rFonts w:ascii="Arial" w:hAnsi="Arial" w:cs="Arial"/>
          <w:color w:val="auto"/>
        </w:rPr>
        <w:pict>
          <v:group id="_x0000_s1036" editas="canvas" style="width:247.95pt;height:182.65pt;mso-position-horizontal-relative:char;mso-position-vertical-relative:line" coordsize="4959,36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4959;height:3653" o:preferrelative="f">
              <v:fill o:detectmouseclick="t"/>
              <v:path o:extrusionok="t" o:connecttype="none"/>
              <o:lock v:ext="edit" text="t"/>
            </v:shape>
            <v:shape id="_x0000_s1037" type="#_x0000_t75" alt="Figure 2 (left)" style="position:absolute;width:4735;height:3334">
              <v:imagedata r:id="rId16" o:title=""/>
            </v:shape>
            <w10:wrap type="none"/>
            <w10:anchorlock/>
          </v:group>
        </w:pict>
      </w:r>
    </w:p>
    <w:p w:rsidR="00606801" w:rsidRDefault="00606801" w:rsidP="00A947AE">
      <w:pPr>
        <w:pStyle w:val="FigureTitleLeft"/>
        <w:rPr>
          <w:rFonts w:ascii="Arial" w:hAnsi="Arial" w:cs="Arial"/>
          <w:lang w:val="en-AU"/>
        </w:rPr>
        <w:sectPr w:rsidR="00606801" w:rsidSect="00606801">
          <w:type w:val="continuous"/>
          <w:pgSz w:w="11906" w:h="16838" w:code="9"/>
          <w:pgMar w:top="1170" w:right="1274" w:bottom="709" w:left="1276" w:header="720" w:footer="58" w:gutter="0"/>
          <w:cols w:num="2" w:space="720"/>
          <w:docGrid w:linePitch="360"/>
        </w:sectPr>
      </w:pPr>
      <w:r w:rsidRPr="00606801">
        <w:rPr>
          <w:rFonts w:ascii="Arial" w:hAnsi="Arial" w:cs="Arial"/>
          <w:noProof/>
          <w:lang w:val="en-AU" w:eastAsia="en-AU"/>
        </w:rPr>
        <w:lastRenderedPageBreak/>
        <w:drawing>
          <wp:inline distT="0" distB="0" distL="0" distR="0">
            <wp:extent cx="2741930" cy="2079901"/>
            <wp:effectExtent l="19050" t="0" r="1270" b="0"/>
            <wp:docPr id="2" name="Picture 13" descr="Figure 2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2741930" cy="2079901"/>
                    </a:xfrm>
                    <a:prstGeom prst="rect">
                      <a:avLst/>
                    </a:prstGeom>
                    <a:noFill/>
                    <a:ln w="9525">
                      <a:noFill/>
                      <a:miter lim="800000"/>
                      <a:headEnd/>
                      <a:tailEnd/>
                    </a:ln>
                  </pic:spPr>
                </pic:pic>
              </a:graphicData>
            </a:graphic>
          </wp:inline>
        </w:drawing>
      </w:r>
    </w:p>
    <w:p w:rsidR="00A947AE" w:rsidRPr="00611F34" w:rsidRDefault="00A947AE" w:rsidP="00A947AE">
      <w:pPr>
        <w:pStyle w:val="FigureTitleLeft"/>
        <w:rPr>
          <w:rFonts w:ascii="Arial" w:hAnsi="Arial" w:cs="Arial"/>
          <w:lang w:val="en-AU"/>
        </w:rPr>
      </w:pPr>
      <w:r w:rsidRPr="00611F34">
        <w:rPr>
          <w:rFonts w:ascii="Arial" w:hAnsi="Arial" w:cs="Arial"/>
          <w:lang w:val="en-AU"/>
        </w:rPr>
        <w:lastRenderedPageBreak/>
        <w:t xml:space="preserve">Figure </w:t>
      </w:r>
      <w:r>
        <w:rPr>
          <w:rFonts w:ascii="Arial" w:hAnsi="Arial" w:cs="Arial"/>
          <w:lang w:val="en-AU"/>
        </w:rPr>
        <w:t>2</w:t>
      </w:r>
      <w:r w:rsidRPr="00611F34">
        <w:rPr>
          <w:rFonts w:ascii="Arial" w:hAnsi="Arial" w:cs="Arial"/>
          <w:lang w:val="en-AU"/>
        </w:rPr>
        <w:t>:</w:t>
      </w:r>
      <w:r w:rsidRPr="00611F34">
        <w:rPr>
          <w:rFonts w:ascii="Arial" w:hAnsi="Arial" w:cs="Arial"/>
          <w:lang w:val="en-AU"/>
        </w:rPr>
        <w:tab/>
      </w:r>
      <w:r>
        <w:rPr>
          <w:rFonts w:ascii="Arial" w:hAnsi="Arial" w:cs="Arial"/>
          <w:lang w:val="en-AU"/>
        </w:rPr>
        <w:t>Extended Release Profile of Single Doses of BYDUREON</w:t>
      </w:r>
      <w:r w:rsidR="00606801">
        <w:rPr>
          <w:rFonts w:ascii="Arial" w:hAnsi="Arial" w:cs="Arial"/>
          <w:lang w:val="en-AU"/>
        </w:rPr>
        <w:t>, Mean (left) and Individual Plasma Concentrations (right)</w:t>
      </w:r>
      <w:r>
        <w:rPr>
          <w:rFonts w:ascii="Arial" w:hAnsi="Arial" w:cs="Arial"/>
          <w:lang w:val="en-AU"/>
        </w:rPr>
        <w:t xml:space="preserve"> </w:t>
      </w:r>
    </w:p>
    <w:p w:rsidR="004E2E78" w:rsidRDefault="004E2E78" w:rsidP="006F221F">
      <w:pPr>
        <w:pStyle w:val="BodyText"/>
        <w:jc w:val="both"/>
        <w:rPr>
          <w:rFonts w:ascii="Arial" w:hAnsi="Arial" w:cs="Arial"/>
          <w:color w:val="auto"/>
        </w:rPr>
      </w:pPr>
    </w:p>
    <w:p w:rsidR="00A34CF1" w:rsidRPr="00611F34" w:rsidRDefault="006F221F" w:rsidP="006F221F">
      <w:pPr>
        <w:pStyle w:val="BodyText"/>
        <w:jc w:val="both"/>
        <w:rPr>
          <w:rFonts w:ascii="Arial" w:hAnsi="Arial" w:cs="Arial"/>
          <w:color w:val="auto"/>
        </w:rPr>
      </w:pPr>
      <w:r w:rsidRPr="00611F34">
        <w:rPr>
          <w:rFonts w:ascii="Arial" w:hAnsi="Arial" w:cs="Arial"/>
          <w:color w:val="auto"/>
        </w:rPr>
        <w:t xml:space="preserve">Following </w:t>
      </w:r>
      <w:r w:rsidR="00A34CF1" w:rsidRPr="00611F34">
        <w:rPr>
          <w:rFonts w:ascii="Arial" w:hAnsi="Arial" w:cs="Arial"/>
          <w:color w:val="auto"/>
        </w:rPr>
        <w:t>weekly</w:t>
      </w:r>
      <w:r w:rsidRPr="00611F34">
        <w:rPr>
          <w:rFonts w:ascii="Arial" w:hAnsi="Arial" w:cs="Arial"/>
          <w:color w:val="auto"/>
        </w:rPr>
        <w:t xml:space="preserve"> administration </w:t>
      </w:r>
      <w:r w:rsidR="00A34CF1" w:rsidRPr="00611F34">
        <w:rPr>
          <w:rFonts w:ascii="Arial" w:hAnsi="Arial" w:cs="Arial"/>
          <w:color w:val="auto"/>
        </w:rPr>
        <w:t xml:space="preserve">of 2mg </w:t>
      </w:r>
      <w:r w:rsidR="0054731F" w:rsidRPr="00611F34">
        <w:rPr>
          <w:rFonts w:ascii="Arial" w:hAnsi="Arial" w:cs="Arial"/>
          <w:color w:val="auto"/>
        </w:rPr>
        <w:t xml:space="preserve">exenatide once weekly </w:t>
      </w:r>
      <w:r w:rsidRPr="00611F34">
        <w:rPr>
          <w:rFonts w:ascii="Arial" w:hAnsi="Arial" w:cs="Arial"/>
          <w:color w:val="auto"/>
        </w:rPr>
        <w:t xml:space="preserve">to patients with type 2 diabetes, </w:t>
      </w:r>
      <w:r w:rsidR="00A34CF1" w:rsidRPr="00611F34">
        <w:rPr>
          <w:rFonts w:ascii="Arial" w:hAnsi="Arial" w:cs="Arial"/>
          <w:color w:val="auto"/>
        </w:rPr>
        <w:t>m</w:t>
      </w:r>
      <w:r w:rsidRPr="00611F34">
        <w:rPr>
          <w:rFonts w:ascii="Arial" w:hAnsi="Arial" w:cs="Arial"/>
          <w:color w:val="auto"/>
        </w:rPr>
        <w:t xml:space="preserve">ean </w:t>
      </w:r>
      <w:r w:rsidR="00A34CF1" w:rsidRPr="00611F34">
        <w:rPr>
          <w:rFonts w:ascii="Arial" w:hAnsi="Arial" w:cs="Arial"/>
          <w:color w:val="auto"/>
        </w:rPr>
        <w:t xml:space="preserve">drug concentrations exceeded minimal efficacious concentrations (~50 pg/mL) in 2 weeks with gradual increase in the average plasma </w:t>
      </w:r>
      <w:r w:rsidR="009969F1" w:rsidRPr="00611F34">
        <w:rPr>
          <w:rFonts w:ascii="Arial" w:hAnsi="Arial" w:cs="Arial"/>
          <w:color w:val="auto"/>
        </w:rPr>
        <w:t>exenatide concentration over 6 to 7 weeks. Subsequently, exenatide concentrations of approximately 300</w:t>
      </w:r>
      <w:r w:rsidR="00E15B15">
        <w:rPr>
          <w:rFonts w:ascii="Arial" w:hAnsi="Arial" w:cs="Arial"/>
          <w:color w:val="auto"/>
        </w:rPr>
        <w:t xml:space="preserve"> </w:t>
      </w:r>
      <w:r w:rsidR="009969F1" w:rsidRPr="00611F34">
        <w:rPr>
          <w:rFonts w:ascii="Arial" w:hAnsi="Arial" w:cs="Arial"/>
          <w:color w:val="auto"/>
        </w:rPr>
        <w:t>pg/mL were maintained indicating that steady-state was achieved. Steady-state drug concentrations are maintained during the one week interval between doses with minimal peak to trough fluctuation from this average therapeutic concentration.</w:t>
      </w:r>
      <w:r w:rsidR="004E2E78">
        <w:rPr>
          <w:rFonts w:ascii="Arial" w:hAnsi="Arial" w:cs="Arial"/>
          <w:color w:val="auto"/>
        </w:rPr>
        <w:t xml:space="preserve"> </w:t>
      </w:r>
      <w:r w:rsidR="004E2E78" w:rsidRPr="004E2E78">
        <w:rPr>
          <w:rFonts w:ascii="Arial" w:hAnsi="Arial" w:cs="Arial"/>
          <w:color w:val="auto"/>
        </w:rPr>
        <w:t xml:space="preserve">The bioavailability of </w:t>
      </w:r>
      <w:r w:rsidR="004E2E78">
        <w:rPr>
          <w:rFonts w:ascii="Arial" w:hAnsi="Arial" w:cs="Arial"/>
          <w:color w:val="auto"/>
        </w:rPr>
        <w:t>BYDUREON</w:t>
      </w:r>
      <w:r w:rsidR="004E2E78" w:rsidRPr="004E2E78">
        <w:rPr>
          <w:rFonts w:ascii="Arial" w:hAnsi="Arial" w:cs="Arial"/>
          <w:color w:val="auto"/>
        </w:rPr>
        <w:t xml:space="preserve"> was approximately </w:t>
      </w:r>
      <w:r w:rsidR="00B4142C" w:rsidRPr="00451F43">
        <w:rPr>
          <w:rFonts w:ascii="Arial" w:hAnsi="Arial" w:cs="Arial"/>
          <w:color w:val="auto"/>
        </w:rPr>
        <w:t>25%</w:t>
      </w:r>
      <w:r w:rsidR="004E2E78" w:rsidRPr="004E2E78">
        <w:rPr>
          <w:rFonts w:ascii="Arial" w:hAnsi="Arial" w:cs="Arial"/>
          <w:color w:val="auto"/>
        </w:rPr>
        <w:t xml:space="preserve"> (i.e. systemic exposure is </w:t>
      </w:r>
      <w:r w:rsidR="00744AA3" w:rsidRPr="00451F43">
        <w:rPr>
          <w:rFonts w:ascii="Arial" w:hAnsi="Arial" w:cs="Arial"/>
          <w:color w:val="auto"/>
        </w:rPr>
        <w:t>500</w:t>
      </w:r>
      <w:r w:rsidR="003F760C">
        <w:rPr>
          <w:rFonts w:ascii="Arial" w:hAnsi="Arial" w:cs="Arial"/>
          <w:color w:val="auto"/>
        </w:rPr>
        <w:t xml:space="preserve"> </w:t>
      </w:r>
      <w:r w:rsidR="004E2E78" w:rsidRPr="004E2E78">
        <w:rPr>
          <w:rFonts w:ascii="Arial" w:hAnsi="Arial" w:cs="Arial"/>
          <w:color w:val="auto"/>
        </w:rPr>
        <w:t>microgram per week)</w:t>
      </w:r>
      <w:r w:rsidR="004E2E78">
        <w:rPr>
          <w:rFonts w:ascii="Arial" w:hAnsi="Arial" w:cs="Arial"/>
          <w:color w:val="auto"/>
        </w:rPr>
        <w:t xml:space="preserve"> </w:t>
      </w:r>
      <w:r w:rsidR="004E2E78" w:rsidRPr="004E2E78">
        <w:rPr>
          <w:rFonts w:ascii="Arial" w:hAnsi="Arial" w:cs="Arial"/>
          <w:color w:val="auto"/>
        </w:rPr>
        <w:t>compared with the immediate release formulation</w:t>
      </w:r>
      <w:r w:rsidR="004E2E78">
        <w:rPr>
          <w:rFonts w:ascii="Arial" w:hAnsi="Arial" w:cs="Arial"/>
          <w:color w:val="auto"/>
        </w:rPr>
        <w:t>, BYETTA</w:t>
      </w:r>
      <w:r w:rsidR="004E2E78" w:rsidRPr="004E2E78">
        <w:rPr>
          <w:rFonts w:ascii="Arial" w:hAnsi="Arial" w:cs="Arial"/>
          <w:color w:val="auto"/>
        </w:rPr>
        <w:t xml:space="preserve"> at 10 μg bid gives an exposure of 140microgram/week.</w:t>
      </w:r>
    </w:p>
    <w:p w:rsidR="003F3AC2" w:rsidRPr="00611F34" w:rsidRDefault="003F3AC2" w:rsidP="006F221F">
      <w:pPr>
        <w:pStyle w:val="BodyText"/>
        <w:jc w:val="both"/>
        <w:rPr>
          <w:rFonts w:ascii="Arial" w:hAnsi="Arial" w:cs="Arial"/>
          <w:color w:val="auto"/>
        </w:rPr>
      </w:pPr>
    </w:p>
    <w:p w:rsidR="00BB4111" w:rsidRPr="006276ED" w:rsidRDefault="00BB4111" w:rsidP="00BB4111">
      <w:pPr>
        <w:pStyle w:val="BodyText"/>
        <w:jc w:val="both"/>
        <w:rPr>
          <w:rFonts w:ascii="Arial" w:hAnsi="Arial" w:cs="Arial"/>
          <w:b/>
        </w:rPr>
      </w:pPr>
      <w:r w:rsidRPr="006276ED">
        <w:rPr>
          <w:rFonts w:ascii="Arial" w:hAnsi="Arial" w:cs="Arial"/>
          <w:b/>
        </w:rPr>
        <w:t>Distribution</w:t>
      </w:r>
    </w:p>
    <w:p w:rsidR="00BB4111" w:rsidRPr="006276ED" w:rsidRDefault="00BB4111" w:rsidP="00BB4111">
      <w:pPr>
        <w:pStyle w:val="BodyText"/>
        <w:jc w:val="both"/>
        <w:rPr>
          <w:rFonts w:ascii="Arial" w:hAnsi="Arial" w:cs="Arial"/>
        </w:rPr>
      </w:pPr>
      <w:r w:rsidRPr="006276ED">
        <w:rPr>
          <w:rFonts w:ascii="Arial" w:hAnsi="Arial" w:cs="Arial"/>
        </w:rPr>
        <w:t xml:space="preserve">The mean apparent volume of distribution of </w:t>
      </w:r>
      <w:r>
        <w:rPr>
          <w:rFonts w:ascii="Arial" w:hAnsi="Arial" w:cs="Arial"/>
        </w:rPr>
        <w:t>e</w:t>
      </w:r>
      <w:r w:rsidRPr="006276ED">
        <w:rPr>
          <w:rFonts w:ascii="Arial" w:hAnsi="Arial" w:cs="Arial"/>
        </w:rPr>
        <w:t xml:space="preserve">xenatide following subcutaneous administration of a single dose of </w:t>
      </w:r>
      <w:r>
        <w:rPr>
          <w:rFonts w:ascii="Arial" w:hAnsi="Arial" w:cs="Arial"/>
        </w:rPr>
        <w:t>e</w:t>
      </w:r>
      <w:r w:rsidRPr="006276ED">
        <w:rPr>
          <w:rFonts w:ascii="Arial" w:hAnsi="Arial" w:cs="Arial"/>
        </w:rPr>
        <w:t>xenatide is 28.3 L</w:t>
      </w:r>
    </w:p>
    <w:p w:rsidR="00BB4111" w:rsidRDefault="00BB4111" w:rsidP="00AF5FCC">
      <w:pPr>
        <w:pStyle w:val="BodyText"/>
        <w:jc w:val="both"/>
        <w:rPr>
          <w:rFonts w:ascii="Arial" w:hAnsi="Arial" w:cs="Arial"/>
          <w:b/>
        </w:rPr>
      </w:pPr>
    </w:p>
    <w:p w:rsidR="00323C73" w:rsidRPr="00611F34" w:rsidRDefault="00323C73" w:rsidP="00AF5FCC">
      <w:pPr>
        <w:pStyle w:val="BodyText"/>
        <w:jc w:val="both"/>
        <w:rPr>
          <w:rFonts w:ascii="Arial" w:hAnsi="Arial" w:cs="Arial"/>
          <w:b/>
        </w:rPr>
      </w:pPr>
      <w:r w:rsidRPr="00611F34">
        <w:rPr>
          <w:rFonts w:ascii="Arial" w:hAnsi="Arial" w:cs="Arial"/>
          <w:b/>
        </w:rPr>
        <w:t>Metabolism and Elimination</w:t>
      </w:r>
    </w:p>
    <w:p w:rsidR="00323C73" w:rsidRPr="00611F34" w:rsidRDefault="00323C73" w:rsidP="00DA1AEE">
      <w:pPr>
        <w:pStyle w:val="CommentText"/>
        <w:jc w:val="both"/>
        <w:rPr>
          <w:rFonts w:ascii="Arial" w:hAnsi="Arial" w:cs="Arial"/>
          <w:sz w:val="24"/>
        </w:rPr>
      </w:pPr>
      <w:r w:rsidRPr="00611F34">
        <w:rPr>
          <w:rFonts w:ascii="Arial" w:hAnsi="Arial" w:cs="Arial"/>
          <w:sz w:val="24"/>
        </w:rPr>
        <w:t xml:space="preserve">Nonclinical studies have shown that </w:t>
      </w:r>
      <w:r w:rsidR="009969F1" w:rsidRPr="00611F34">
        <w:rPr>
          <w:rFonts w:ascii="Arial" w:hAnsi="Arial" w:cs="Arial"/>
          <w:sz w:val="24"/>
        </w:rPr>
        <w:t>e</w:t>
      </w:r>
      <w:r w:rsidR="00AF5FCC" w:rsidRPr="00611F34">
        <w:rPr>
          <w:rFonts w:ascii="Arial" w:hAnsi="Arial" w:cs="Arial"/>
          <w:sz w:val="24"/>
        </w:rPr>
        <w:t>xenatide</w:t>
      </w:r>
      <w:r w:rsidR="00EE2B3E" w:rsidRPr="00611F34">
        <w:rPr>
          <w:rFonts w:ascii="Arial" w:hAnsi="Arial" w:cs="Arial"/>
          <w:sz w:val="24"/>
        </w:rPr>
        <w:t xml:space="preserve"> </w:t>
      </w:r>
      <w:r w:rsidRPr="00611F34">
        <w:rPr>
          <w:rFonts w:ascii="Arial" w:hAnsi="Arial" w:cs="Arial"/>
          <w:sz w:val="24"/>
        </w:rPr>
        <w:t xml:space="preserve">is predominantly eliminated by glomerular filtration with subsequent proteolytic degradation. The mean apparent clearance of </w:t>
      </w:r>
      <w:r w:rsidR="009969F1" w:rsidRPr="00611F34">
        <w:rPr>
          <w:rFonts w:ascii="Arial" w:hAnsi="Arial" w:cs="Arial"/>
          <w:sz w:val="24"/>
        </w:rPr>
        <w:t>e</w:t>
      </w:r>
      <w:r w:rsidR="00AF5FCC" w:rsidRPr="00611F34">
        <w:rPr>
          <w:rFonts w:ascii="Arial" w:hAnsi="Arial" w:cs="Arial"/>
          <w:sz w:val="24"/>
        </w:rPr>
        <w:t>xenatide</w:t>
      </w:r>
      <w:r w:rsidR="00EE2B3E" w:rsidRPr="00611F34">
        <w:rPr>
          <w:rFonts w:ascii="Arial" w:hAnsi="Arial" w:cs="Arial"/>
          <w:sz w:val="24"/>
        </w:rPr>
        <w:t xml:space="preserve"> </w:t>
      </w:r>
      <w:r w:rsidRPr="00611F34">
        <w:rPr>
          <w:rFonts w:ascii="Arial" w:hAnsi="Arial" w:cs="Arial"/>
          <w:sz w:val="24"/>
        </w:rPr>
        <w:t xml:space="preserve">in humans is 9.1 L/h and the mean terminal half-life is 2.4 h. These pharmacokinetic characteristics of </w:t>
      </w:r>
      <w:r w:rsidR="009969F1" w:rsidRPr="00611F34">
        <w:rPr>
          <w:rFonts w:ascii="Arial" w:hAnsi="Arial" w:cs="Arial"/>
          <w:sz w:val="24"/>
        </w:rPr>
        <w:t>e</w:t>
      </w:r>
      <w:r w:rsidR="00AF5FCC" w:rsidRPr="00611F34">
        <w:rPr>
          <w:rFonts w:ascii="Arial" w:hAnsi="Arial" w:cs="Arial"/>
          <w:sz w:val="24"/>
        </w:rPr>
        <w:t>xenatide</w:t>
      </w:r>
      <w:r w:rsidR="00C909F8" w:rsidRPr="00611F34">
        <w:rPr>
          <w:rFonts w:ascii="Arial" w:hAnsi="Arial" w:cs="Arial"/>
          <w:sz w:val="24"/>
        </w:rPr>
        <w:t xml:space="preserve"> </w:t>
      </w:r>
      <w:r w:rsidRPr="00611F34">
        <w:rPr>
          <w:rFonts w:ascii="Arial" w:hAnsi="Arial" w:cs="Arial"/>
          <w:sz w:val="24"/>
        </w:rPr>
        <w:t xml:space="preserve">are independent of the dose. </w:t>
      </w:r>
      <w:r w:rsidR="009969F1" w:rsidRPr="00611F34">
        <w:rPr>
          <w:rFonts w:ascii="Arial" w:hAnsi="Arial" w:cs="Arial"/>
          <w:sz w:val="24"/>
        </w:rPr>
        <w:t xml:space="preserve">Approximately 10 weeks after discontinuation of </w:t>
      </w:r>
      <w:r w:rsidR="0054731F" w:rsidRPr="00611F34">
        <w:rPr>
          <w:rFonts w:ascii="Arial" w:hAnsi="Arial" w:cs="Arial"/>
          <w:sz w:val="24"/>
        </w:rPr>
        <w:t xml:space="preserve">exenatide once weekly </w:t>
      </w:r>
      <w:r w:rsidR="009969F1" w:rsidRPr="00611F34">
        <w:rPr>
          <w:rFonts w:ascii="Arial" w:hAnsi="Arial" w:cs="Arial"/>
          <w:sz w:val="24"/>
        </w:rPr>
        <w:t>therapy, mean plasma exenatide concentrations fell below minimal detectable concentrations</w:t>
      </w:r>
      <w:r w:rsidR="009969F1" w:rsidRPr="00DB278D">
        <w:rPr>
          <w:rFonts w:ascii="Arial" w:hAnsi="Arial" w:cs="Arial"/>
          <w:sz w:val="24"/>
        </w:rPr>
        <w:t>.</w:t>
      </w:r>
    </w:p>
    <w:p w:rsidR="00323C73" w:rsidRPr="00611F34" w:rsidRDefault="00323C73" w:rsidP="00DA1AEE">
      <w:pPr>
        <w:ind w:left="567" w:hanging="567"/>
        <w:jc w:val="both"/>
        <w:rPr>
          <w:rFonts w:ascii="Arial" w:hAnsi="Arial" w:cs="Arial"/>
          <w:b/>
          <w:bCs/>
        </w:rPr>
      </w:pPr>
    </w:p>
    <w:p w:rsidR="00323C73" w:rsidRPr="00611F34" w:rsidRDefault="00323C73" w:rsidP="00DA1AEE">
      <w:pPr>
        <w:ind w:left="567" w:hanging="567"/>
        <w:jc w:val="both"/>
        <w:rPr>
          <w:rFonts w:ascii="Arial" w:hAnsi="Arial" w:cs="Arial"/>
          <w:b/>
          <w:bCs/>
        </w:rPr>
      </w:pPr>
      <w:r w:rsidRPr="00611F34">
        <w:rPr>
          <w:rFonts w:ascii="Arial" w:hAnsi="Arial" w:cs="Arial"/>
          <w:b/>
          <w:bCs/>
        </w:rPr>
        <w:t>Special populations</w:t>
      </w:r>
    </w:p>
    <w:p w:rsidR="00323C73" w:rsidRPr="00611F34" w:rsidRDefault="00323C73" w:rsidP="002942B7">
      <w:pPr>
        <w:pStyle w:val="Heading3"/>
      </w:pPr>
      <w:r w:rsidRPr="00611F34">
        <w:t>Patients with renal impairment</w:t>
      </w:r>
    </w:p>
    <w:p w:rsidR="00ED2727" w:rsidRPr="006276ED" w:rsidRDefault="00ED2727" w:rsidP="00ED2727">
      <w:pPr>
        <w:pStyle w:val="BodyText"/>
        <w:jc w:val="both"/>
        <w:rPr>
          <w:rFonts w:ascii="Arial" w:hAnsi="Arial" w:cs="Arial"/>
        </w:rPr>
      </w:pPr>
      <w:r>
        <w:rPr>
          <w:rFonts w:ascii="Arial" w:hAnsi="Arial" w:cs="Arial"/>
        </w:rPr>
        <w:t xml:space="preserve">No clinically meaningful differences were observed in steady state exenatide concentrations or tolerability in </w:t>
      </w:r>
      <w:r w:rsidRPr="006276ED">
        <w:rPr>
          <w:rFonts w:ascii="Arial" w:hAnsi="Arial" w:cs="Arial"/>
        </w:rPr>
        <w:t>patients with mild to moderate renal impairment (creatinine clearance 30 to 80 mL/min)</w:t>
      </w:r>
      <w:r>
        <w:rPr>
          <w:rFonts w:ascii="Arial" w:hAnsi="Arial" w:cs="Arial"/>
        </w:rPr>
        <w:t xml:space="preserve"> compared to those with normal renal function. No dosage adjustment of 2 mg exenatide once weekly is required for patients with mild to moderate renal impairment. Exenatide once weekly is not recommended for patients with severe renal impairment (creatinine clearance &lt;30 mL/min) or for patients with end-stage renal disease receiving dialysis</w:t>
      </w:r>
      <w:r w:rsidRPr="006276ED">
        <w:rPr>
          <w:rFonts w:ascii="Arial" w:hAnsi="Arial" w:cs="Arial"/>
        </w:rPr>
        <w:t xml:space="preserve"> (see </w:t>
      </w:r>
      <w:r w:rsidRPr="006276ED">
        <w:rPr>
          <w:rFonts w:ascii="Arial" w:hAnsi="Arial" w:cs="Arial"/>
          <w:b/>
        </w:rPr>
        <w:t xml:space="preserve">PRECAUTIONS, CONTRAINDICATIONS </w:t>
      </w:r>
      <w:r w:rsidRPr="006276ED">
        <w:rPr>
          <w:rFonts w:ascii="Arial" w:hAnsi="Arial" w:cs="Arial"/>
        </w:rPr>
        <w:t xml:space="preserve">and </w:t>
      </w:r>
      <w:r w:rsidRPr="006276ED">
        <w:rPr>
          <w:rFonts w:ascii="Arial" w:hAnsi="Arial" w:cs="Arial"/>
          <w:b/>
        </w:rPr>
        <w:t>DOSAGE AND ADMINISTRATION</w:t>
      </w:r>
      <w:r w:rsidRPr="006276ED">
        <w:rPr>
          <w:rFonts w:ascii="Arial" w:hAnsi="Arial" w:cs="Arial"/>
        </w:rPr>
        <w:t>).</w:t>
      </w:r>
    </w:p>
    <w:p w:rsidR="00323C73" w:rsidRPr="00611F34" w:rsidRDefault="00323C73" w:rsidP="002942B7">
      <w:pPr>
        <w:pStyle w:val="Heading3"/>
      </w:pPr>
      <w:r w:rsidRPr="00611F34">
        <w:lastRenderedPageBreak/>
        <w:t>Patients with hepatic insufficiency</w:t>
      </w:r>
    </w:p>
    <w:p w:rsidR="00323C73" w:rsidRPr="00611F34" w:rsidRDefault="00323C73" w:rsidP="00DA1AEE">
      <w:pPr>
        <w:pStyle w:val="BodyText"/>
        <w:jc w:val="both"/>
        <w:rPr>
          <w:rFonts w:ascii="Arial" w:hAnsi="Arial" w:cs="Arial"/>
        </w:rPr>
      </w:pPr>
      <w:r w:rsidRPr="00611F34">
        <w:rPr>
          <w:rFonts w:ascii="Arial" w:hAnsi="Arial" w:cs="Arial"/>
        </w:rPr>
        <w:t xml:space="preserve">No pharmacokinetic study has been performed in patients with a diagnosis of acute or chronic hepatic insufficiency. </w:t>
      </w:r>
      <w:r w:rsidR="00C909F8" w:rsidRPr="00611F34">
        <w:rPr>
          <w:rFonts w:ascii="Arial" w:hAnsi="Arial" w:cs="Arial"/>
        </w:rPr>
        <w:t xml:space="preserve">Exenatide </w:t>
      </w:r>
      <w:r w:rsidRPr="00611F34">
        <w:rPr>
          <w:rFonts w:ascii="Arial" w:hAnsi="Arial" w:cs="Arial"/>
        </w:rPr>
        <w:t>is cleared primarily by the kidney; therefore hepatic dysfunction is not expected to affect blood concentrations of</w:t>
      </w:r>
      <w:r w:rsidR="00C909F8" w:rsidRPr="00611F34">
        <w:rPr>
          <w:rFonts w:ascii="Arial" w:hAnsi="Arial" w:cs="Arial"/>
        </w:rPr>
        <w:t xml:space="preserve"> </w:t>
      </w:r>
      <w:r w:rsidR="0070397A" w:rsidRPr="00611F34">
        <w:rPr>
          <w:rFonts w:ascii="Arial" w:hAnsi="Arial" w:cs="Arial"/>
        </w:rPr>
        <w:t>e</w:t>
      </w:r>
      <w:r w:rsidR="00AF5FCC" w:rsidRPr="00611F34">
        <w:rPr>
          <w:rFonts w:ascii="Arial" w:hAnsi="Arial" w:cs="Arial"/>
        </w:rPr>
        <w:t>xenatide</w:t>
      </w:r>
      <w:r w:rsidRPr="00611F34">
        <w:rPr>
          <w:rFonts w:ascii="Arial" w:hAnsi="Arial" w:cs="Arial"/>
        </w:rPr>
        <w:t>.</w:t>
      </w:r>
    </w:p>
    <w:p w:rsidR="00323C73" w:rsidRPr="00611F34" w:rsidRDefault="00323C73" w:rsidP="00DA1AEE">
      <w:pPr>
        <w:pStyle w:val="BodyText"/>
        <w:jc w:val="both"/>
        <w:rPr>
          <w:rFonts w:ascii="Arial" w:hAnsi="Arial" w:cs="Arial"/>
        </w:rPr>
      </w:pPr>
    </w:p>
    <w:p w:rsidR="00323C73" w:rsidRPr="006263A0" w:rsidRDefault="004469FE" w:rsidP="00DA1AEE">
      <w:pPr>
        <w:pStyle w:val="BodyText"/>
        <w:jc w:val="both"/>
        <w:rPr>
          <w:rFonts w:ascii="Arial" w:hAnsi="Arial" w:cs="Arial"/>
          <w:bCs/>
          <w:i/>
        </w:rPr>
      </w:pPr>
      <w:r w:rsidRPr="006263A0">
        <w:rPr>
          <w:rFonts w:ascii="Arial" w:hAnsi="Arial" w:cs="Arial"/>
          <w:bCs/>
          <w:i/>
        </w:rPr>
        <w:t>G</w:t>
      </w:r>
      <w:r w:rsidR="00323C73" w:rsidRPr="006263A0">
        <w:rPr>
          <w:rFonts w:ascii="Arial" w:hAnsi="Arial" w:cs="Arial"/>
          <w:bCs/>
          <w:i/>
        </w:rPr>
        <w:t>ender, race</w:t>
      </w:r>
      <w:r w:rsidRPr="006263A0">
        <w:rPr>
          <w:rFonts w:ascii="Arial" w:hAnsi="Arial" w:cs="Arial"/>
          <w:bCs/>
          <w:i/>
        </w:rPr>
        <w:t xml:space="preserve"> and body weight</w:t>
      </w:r>
    </w:p>
    <w:p w:rsidR="00323C73" w:rsidRPr="00611F34" w:rsidRDefault="004469FE" w:rsidP="00DA1AEE">
      <w:pPr>
        <w:pStyle w:val="BodyText"/>
        <w:jc w:val="both"/>
        <w:rPr>
          <w:rFonts w:ascii="Arial" w:hAnsi="Arial" w:cs="Arial"/>
        </w:rPr>
      </w:pPr>
      <w:r w:rsidRPr="00611F34">
        <w:rPr>
          <w:rFonts w:ascii="Arial" w:hAnsi="Arial" w:cs="Arial"/>
        </w:rPr>
        <w:t>G</w:t>
      </w:r>
      <w:r w:rsidR="00323C73" w:rsidRPr="00611F34">
        <w:rPr>
          <w:rFonts w:ascii="Arial" w:hAnsi="Arial" w:cs="Arial"/>
        </w:rPr>
        <w:t xml:space="preserve">ender, race </w:t>
      </w:r>
      <w:r w:rsidR="00494805" w:rsidRPr="00611F34">
        <w:rPr>
          <w:rFonts w:ascii="Arial" w:hAnsi="Arial" w:cs="Arial"/>
        </w:rPr>
        <w:t xml:space="preserve">and </w:t>
      </w:r>
      <w:r w:rsidRPr="00611F34">
        <w:rPr>
          <w:rFonts w:ascii="Arial" w:hAnsi="Arial" w:cs="Arial"/>
        </w:rPr>
        <w:t xml:space="preserve">body weight </w:t>
      </w:r>
      <w:r w:rsidR="00494805" w:rsidRPr="00611F34">
        <w:rPr>
          <w:rFonts w:ascii="Arial" w:hAnsi="Arial" w:cs="Arial"/>
        </w:rPr>
        <w:t>ha</w:t>
      </w:r>
      <w:r w:rsidRPr="00611F34">
        <w:rPr>
          <w:rFonts w:ascii="Arial" w:hAnsi="Arial" w:cs="Arial"/>
        </w:rPr>
        <w:t>ve</w:t>
      </w:r>
      <w:r w:rsidR="00323C73" w:rsidRPr="00611F34">
        <w:rPr>
          <w:rFonts w:ascii="Arial" w:hAnsi="Arial" w:cs="Arial"/>
        </w:rPr>
        <w:t xml:space="preserve"> no </w:t>
      </w:r>
      <w:r w:rsidRPr="00611F34">
        <w:rPr>
          <w:rFonts w:ascii="Arial" w:hAnsi="Arial" w:cs="Arial"/>
        </w:rPr>
        <w:t xml:space="preserve">clinically relevant </w:t>
      </w:r>
      <w:r w:rsidR="00323C73" w:rsidRPr="00611F34">
        <w:rPr>
          <w:rFonts w:ascii="Arial" w:hAnsi="Arial" w:cs="Arial"/>
        </w:rPr>
        <w:t xml:space="preserve">influence on </w:t>
      </w:r>
      <w:r w:rsidR="0070397A" w:rsidRPr="00611F34">
        <w:rPr>
          <w:rFonts w:ascii="Arial" w:hAnsi="Arial" w:cs="Arial"/>
        </w:rPr>
        <w:t>e</w:t>
      </w:r>
      <w:r w:rsidR="00AF5FCC" w:rsidRPr="00611F34">
        <w:rPr>
          <w:rFonts w:ascii="Arial" w:hAnsi="Arial" w:cs="Arial"/>
        </w:rPr>
        <w:t>xenatide</w:t>
      </w:r>
      <w:r w:rsidR="00C909F8" w:rsidRPr="00611F34">
        <w:rPr>
          <w:rFonts w:ascii="Arial" w:hAnsi="Arial" w:cs="Arial"/>
        </w:rPr>
        <w:t xml:space="preserve"> </w:t>
      </w:r>
      <w:r w:rsidRPr="00611F34">
        <w:rPr>
          <w:rFonts w:ascii="Arial" w:hAnsi="Arial" w:cs="Arial"/>
        </w:rPr>
        <w:t>pharmacokinetics</w:t>
      </w:r>
      <w:r w:rsidR="00323C73" w:rsidRPr="00611F34">
        <w:rPr>
          <w:rFonts w:ascii="Arial" w:hAnsi="Arial" w:cs="Arial"/>
        </w:rPr>
        <w:t xml:space="preserve">. </w:t>
      </w:r>
    </w:p>
    <w:p w:rsidR="00494805" w:rsidRPr="00611F34" w:rsidRDefault="00494805" w:rsidP="00DA1AEE">
      <w:pPr>
        <w:pStyle w:val="BodyText"/>
        <w:jc w:val="both"/>
        <w:rPr>
          <w:rFonts w:ascii="Arial" w:hAnsi="Arial" w:cs="Arial"/>
        </w:rPr>
      </w:pPr>
    </w:p>
    <w:p w:rsidR="00494805" w:rsidRPr="006263A0" w:rsidRDefault="00494805" w:rsidP="00DA1AEE">
      <w:pPr>
        <w:pStyle w:val="BodyText"/>
        <w:jc w:val="both"/>
        <w:rPr>
          <w:rFonts w:ascii="Arial" w:hAnsi="Arial" w:cs="Arial"/>
          <w:i/>
        </w:rPr>
      </w:pPr>
      <w:r w:rsidRPr="006263A0">
        <w:rPr>
          <w:rFonts w:ascii="Arial" w:hAnsi="Arial" w:cs="Arial"/>
          <w:i/>
        </w:rPr>
        <w:t>Elderly</w:t>
      </w:r>
    </w:p>
    <w:p w:rsidR="00323C73" w:rsidRPr="00611F34" w:rsidRDefault="00494805" w:rsidP="00494805">
      <w:pPr>
        <w:jc w:val="both"/>
        <w:outlineLvl w:val="0"/>
        <w:rPr>
          <w:rFonts w:ascii="Arial" w:hAnsi="Arial" w:cs="Arial"/>
          <w:bCs/>
        </w:rPr>
      </w:pPr>
      <w:r w:rsidRPr="00611F34">
        <w:rPr>
          <w:rFonts w:ascii="Arial" w:hAnsi="Arial" w:cs="Arial"/>
          <w:bCs/>
        </w:rPr>
        <w:t>Data in elderly are limited, but suggest no marked changes in exenatide exposure with increased age up to about 75 years old.</w:t>
      </w:r>
    </w:p>
    <w:p w:rsidR="00494805" w:rsidRPr="00611F34" w:rsidRDefault="00494805" w:rsidP="00494805">
      <w:pPr>
        <w:jc w:val="both"/>
        <w:outlineLvl w:val="0"/>
        <w:rPr>
          <w:rFonts w:ascii="Arial" w:hAnsi="Arial" w:cs="Arial"/>
          <w:bCs/>
        </w:rPr>
      </w:pPr>
    </w:p>
    <w:p w:rsidR="00494805" w:rsidRPr="00611F34" w:rsidRDefault="00494805" w:rsidP="00494805">
      <w:pPr>
        <w:jc w:val="both"/>
        <w:outlineLvl w:val="0"/>
        <w:rPr>
          <w:rFonts w:ascii="Arial" w:hAnsi="Arial" w:cs="Arial"/>
          <w:bCs/>
        </w:rPr>
      </w:pPr>
      <w:r w:rsidRPr="00611F34">
        <w:rPr>
          <w:rFonts w:ascii="Arial" w:hAnsi="Arial" w:cs="Arial"/>
          <w:bCs/>
        </w:rPr>
        <w:t>In a pharmacokinetic</w:t>
      </w:r>
      <w:r w:rsidR="002B76C7" w:rsidRPr="00611F34">
        <w:rPr>
          <w:rFonts w:ascii="Arial" w:hAnsi="Arial" w:cs="Arial"/>
          <w:bCs/>
        </w:rPr>
        <w:t xml:space="preserve"> study of exenatide twice daily</w:t>
      </w:r>
      <w:r w:rsidRPr="00611F34">
        <w:rPr>
          <w:rFonts w:ascii="Arial" w:hAnsi="Arial" w:cs="Arial"/>
          <w:bCs/>
        </w:rPr>
        <w:t xml:space="preserve"> in patients with type 2 diabetes, administration of </w:t>
      </w:r>
      <w:r w:rsidR="004724BC" w:rsidRPr="00611F34">
        <w:rPr>
          <w:rFonts w:ascii="Arial" w:hAnsi="Arial" w:cs="Arial"/>
          <w:bCs/>
        </w:rPr>
        <w:t>10</w:t>
      </w:r>
      <w:r w:rsidR="00E15B15">
        <w:rPr>
          <w:rFonts w:ascii="Arial" w:hAnsi="Arial" w:cs="Arial"/>
          <w:bCs/>
        </w:rPr>
        <w:t xml:space="preserve"> </w:t>
      </w:r>
      <w:r w:rsidR="004724BC" w:rsidRPr="00611F34">
        <w:rPr>
          <w:rFonts w:ascii="Arial" w:hAnsi="Arial" w:cs="Arial"/>
          <w:bCs/>
        </w:rPr>
        <w:t xml:space="preserve">µg </w:t>
      </w:r>
      <w:r w:rsidRPr="00611F34">
        <w:rPr>
          <w:rFonts w:ascii="Arial" w:hAnsi="Arial" w:cs="Arial"/>
          <w:bCs/>
        </w:rPr>
        <w:t>exenatide</w:t>
      </w:r>
      <w:r w:rsidR="004724BC" w:rsidRPr="00611F34">
        <w:rPr>
          <w:rFonts w:ascii="Arial" w:hAnsi="Arial" w:cs="Arial"/>
          <w:bCs/>
        </w:rPr>
        <w:t xml:space="preserve"> twice daily</w:t>
      </w:r>
      <w:r w:rsidRPr="00611F34">
        <w:rPr>
          <w:rFonts w:ascii="Arial" w:hAnsi="Arial" w:cs="Arial"/>
          <w:bCs/>
        </w:rPr>
        <w:t xml:space="preserve"> resulted in a mean increase of exenatide AUC by 36% in 15 elderly subjects aged 75 to 85 years compared to 15 subjects aged 45 to 65 years likely related to reduced renal function in the older age group (see</w:t>
      </w:r>
      <w:r w:rsidR="00C865ED" w:rsidRPr="00611F34">
        <w:rPr>
          <w:rFonts w:ascii="Arial" w:hAnsi="Arial" w:cs="Arial"/>
          <w:bCs/>
        </w:rPr>
        <w:t xml:space="preserve"> </w:t>
      </w:r>
      <w:r w:rsidR="00C865ED" w:rsidRPr="00611F34">
        <w:rPr>
          <w:rFonts w:ascii="Arial" w:hAnsi="Arial" w:cs="Arial"/>
          <w:b/>
        </w:rPr>
        <w:t>DOSAGE AND ADMINISTRATION</w:t>
      </w:r>
      <w:r w:rsidRPr="00611F34">
        <w:rPr>
          <w:rFonts w:ascii="Arial" w:hAnsi="Arial" w:cs="Arial"/>
          <w:bCs/>
        </w:rPr>
        <w:t>).</w:t>
      </w:r>
    </w:p>
    <w:p w:rsidR="00323C73" w:rsidRPr="00611F34" w:rsidRDefault="00323C73" w:rsidP="00DA1AEE">
      <w:pPr>
        <w:ind w:left="567" w:hanging="567"/>
        <w:jc w:val="both"/>
        <w:outlineLvl w:val="0"/>
        <w:rPr>
          <w:rFonts w:ascii="Arial" w:hAnsi="Arial" w:cs="Arial"/>
          <w:bCs/>
        </w:rPr>
      </w:pPr>
    </w:p>
    <w:p w:rsidR="00323C73" w:rsidRPr="00611F34" w:rsidRDefault="00323C73" w:rsidP="002942B7">
      <w:pPr>
        <w:pStyle w:val="Heading3"/>
      </w:pPr>
      <w:r w:rsidRPr="00611F34">
        <w:t>CLINICAL TRIALS</w:t>
      </w:r>
    </w:p>
    <w:p w:rsidR="006263A0" w:rsidRDefault="006263A0" w:rsidP="00DA1AEE">
      <w:pPr>
        <w:pStyle w:val="CommentText"/>
        <w:jc w:val="both"/>
        <w:rPr>
          <w:rFonts w:ascii="Arial" w:hAnsi="Arial" w:cs="Arial"/>
          <w:sz w:val="24"/>
        </w:rPr>
      </w:pPr>
    </w:p>
    <w:p w:rsidR="00A343A6" w:rsidRPr="00611F34" w:rsidRDefault="00210CE7" w:rsidP="00DA1AEE">
      <w:pPr>
        <w:pStyle w:val="CommentText"/>
        <w:jc w:val="both"/>
        <w:rPr>
          <w:rFonts w:ascii="Arial" w:hAnsi="Arial" w:cs="Arial"/>
          <w:sz w:val="24"/>
        </w:rPr>
      </w:pPr>
      <w:r>
        <w:rPr>
          <w:rFonts w:ascii="Arial" w:hAnsi="Arial" w:cs="Arial"/>
          <w:sz w:val="24"/>
        </w:rPr>
        <w:t>P</w:t>
      </w:r>
      <w:r w:rsidR="004724BC" w:rsidRPr="00611F34">
        <w:rPr>
          <w:rFonts w:ascii="Arial" w:hAnsi="Arial" w:cs="Arial"/>
          <w:sz w:val="24"/>
        </w:rPr>
        <w:t>atients with Type 2 Diabetes participated in</w:t>
      </w:r>
      <w:r w:rsidR="00F51D4C" w:rsidRPr="00611F34">
        <w:rPr>
          <w:rFonts w:ascii="Arial" w:hAnsi="Arial" w:cs="Arial"/>
          <w:sz w:val="24"/>
        </w:rPr>
        <w:t xml:space="preserve"> </w:t>
      </w:r>
      <w:r w:rsidR="00A95C93" w:rsidRPr="00611F34">
        <w:rPr>
          <w:rFonts w:ascii="Arial" w:hAnsi="Arial" w:cs="Arial"/>
          <w:sz w:val="24"/>
        </w:rPr>
        <w:t xml:space="preserve">4 </w:t>
      </w:r>
      <w:r w:rsidR="00F51D4C" w:rsidRPr="00611F34">
        <w:rPr>
          <w:rFonts w:ascii="Arial" w:hAnsi="Arial" w:cs="Arial"/>
          <w:sz w:val="24"/>
        </w:rPr>
        <w:t>long term</w:t>
      </w:r>
      <w:r w:rsidR="004724BC" w:rsidRPr="00611F34">
        <w:rPr>
          <w:rFonts w:ascii="Arial" w:hAnsi="Arial" w:cs="Arial"/>
          <w:sz w:val="24"/>
        </w:rPr>
        <w:t>, randomised, comparator controlled,</w:t>
      </w:r>
      <w:r w:rsidR="00F51D4C" w:rsidRPr="00611F34">
        <w:rPr>
          <w:rFonts w:ascii="Arial" w:hAnsi="Arial" w:cs="Arial"/>
          <w:sz w:val="24"/>
        </w:rPr>
        <w:t xml:space="preserve"> clinical studies of </w:t>
      </w:r>
      <w:r w:rsidR="004724BC" w:rsidRPr="00611F34">
        <w:rPr>
          <w:rFonts w:ascii="Arial" w:hAnsi="Arial" w:cs="Arial"/>
          <w:sz w:val="24"/>
        </w:rPr>
        <w:t xml:space="preserve">2mg </w:t>
      </w:r>
      <w:r w:rsidR="00764950" w:rsidRPr="00611F34">
        <w:rPr>
          <w:rFonts w:ascii="Arial" w:hAnsi="Arial" w:cs="Arial"/>
          <w:sz w:val="24"/>
        </w:rPr>
        <w:t>exenatide once weekly</w:t>
      </w:r>
      <w:r w:rsidR="004724BC" w:rsidRPr="00611F34">
        <w:rPr>
          <w:rFonts w:ascii="Arial" w:hAnsi="Arial" w:cs="Arial"/>
          <w:sz w:val="24"/>
        </w:rPr>
        <w:t xml:space="preserve"> up to 52 weeks duration</w:t>
      </w:r>
      <w:r w:rsidR="00CA7727">
        <w:rPr>
          <w:rFonts w:ascii="Arial" w:hAnsi="Arial" w:cs="Arial"/>
          <w:sz w:val="24"/>
        </w:rPr>
        <w:t xml:space="preserve"> (</w:t>
      </w:r>
      <w:r w:rsidR="00413674">
        <w:rPr>
          <w:rFonts w:ascii="Arial" w:hAnsi="Arial" w:cs="Arial"/>
          <w:sz w:val="24"/>
        </w:rPr>
        <w:t xml:space="preserve">3 </w:t>
      </w:r>
      <w:r w:rsidR="00CA7727">
        <w:rPr>
          <w:rFonts w:ascii="Arial" w:hAnsi="Arial" w:cs="Arial"/>
          <w:sz w:val="24"/>
        </w:rPr>
        <w:t xml:space="preserve">studies were open label </w:t>
      </w:r>
      <w:r w:rsidR="00413674">
        <w:rPr>
          <w:rFonts w:ascii="Arial" w:hAnsi="Arial" w:cs="Arial"/>
          <w:sz w:val="24"/>
        </w:rPr>
        <w:t>and 1 was double-blind</w:t>
      </w:r>
      <w:r w:rsidR="00CA7727">
        <w:rPr>
          <w:rFonts w:ascii="Arial" w:hAnsi="Arial" w:cs="Arial"/>
          <w:sz w:val="24"/>
        </w:rPr>
        <w:t>)</w:t>
      </w:r>
      <w:r w:rsidR="004724BC" w:rsidRPr="00611F34">
        <w:rPr>
          <w:rFonts w:ascii="Arial" w:hAnsi="Arial" w:cs="Arial"/>
          <w:sz w:val="24"/>
        </w:rPr>
        <w:t>.</w:t>
      </w:r>
      <w:r w:rsidR="00F51D4C" w:rsidRPr="00611F34">
        <w:rPr>
          <w:rFonts w:ascii="Arial" w:hAnsi="Arial" w:cs="Arial"/>
          <w:sz w:val="24"/>
        </w:rPr>
        <w:t xml:space="preserve"> </w:t>
      </w:r>
      <w:r w:rsidR="004724BC" w:rsidRPr="00611F34">
        <w:rPr>
          <w:rFonts w:ascii="Arial" w:hAnsi="Arial" w:cs="Arial"/>
          <w:sz w:val="24"/>
        </w:rPr>
        <w:t>T</w:t>
      </w:r>
      <w:r w:rsidR="00F51D4C" w:rsidRPr="00611F34">
        <w:rPr>
          <w:rFonts w:ascii="Arial" w:hAnsi="Arial" w:cs="Arial"/>
          <w:sz w:val="24"/>
        </w:rPr>
        <w:t xml:space="preserve">hese studies </w:t>
      </w:r>
      <w:r w:rsidR="00D27220" w:rsidRPr="00611F34">
        <w:rPr>
          <w:rFonts w:ascii="Arial" w:hAnsi="Arial" w:cs="Arial"/>
          <w:sz w:val="24"/>
        </w:rPr>
        <w:t>were conducted to evaluate the efficacy and safety of 2</w:t>
      </w:r>
      <w:r w:rsidR="00E15B15">
        <w:rPr>
          <w:rFonts w:ascii="Arial" w:hAnsi="Arial" w:cs="Arial"/>
          <w:sz w:val="24"/>
        </w:rPr>
        <w:t xml:space="preserve"> </w:t>
      </w:r>
      <w:r w:rsidR="00D27220" w:rsidRPr="00611F34">
        <w:rPr>
          <w:rFonts w:ascii="Arial" w:hAnsi="Arial" w:cs="Arial"/>
          <w:sz w:val="24"/>
        </w:rPr>
        <w:t>mg exenatide once weekly compared to either 10</w:t>
      </w:r>
      <w:r w:rsidR="00E15B15">
        <w:rPr>
          <w:rFonts w:ascii="Arial" w:hAnsi="Arial" w:cs="Arial"/>
          <w:sz w:val="24"/>
        </w:rPr>
        <w:t xml:space="preserve"> </w:t>
      </w:r>
      <w:r w:rsidR="00D27220" w:rsidRPr="00611F34">
        <w:rPr>
          <w:rFonts w:ascii="Arial" w:hAnsi="Arial" w:cs="Arial"/>
          <w:sz w:val="24"/>
        </w:rPr>
        <w:t>µg exenatide twice daily, insulin glargine once daily, or pioglitazone or sitagliptin</w:t>
      </w:r>
      <w:r w:rsidR="00DF42CE" w:rsidRPr="00611F34">
        <w:rPr>
          <w:rFonts w:ascii="Arial" w:hAnsi="Arial" w:cs="Arial"/>
          <w:sz w:val="24"/>
        </w:rPr>
        <w:t xml:space="preserve"> once daily</w:t>
      </w:r>
      <w:r w:rsidR="00D27220" w:rsidRPr="00611F34">
        <w:rPr>
          <w:rFonts w:ascii="Arial" w:hAnsi="Arial" w:cs="Arial"/>
          <w:sz w:val="24"/>
        </w:rPr>
        <w:t>, in both treatment naive patients and those on background therapy with metformin and/or sulfonylurea</w:t>
      </w:r>
      <w:r w:rsidR="00D04864">
        <w:rPr>
          <w:rFonts w:ascii="Arial" w:hAnsi="Arial" w:cs="Arial"/>
          <w:sz w:val="24"/>
        </w:rPr>
        <w:t xml:space="preserve"> and/or thiazolidinedione</w:t>
      </w:r>
      <w:r w:rsidR="00D27220" w:rsidRPr="00611F34">
        <w:rPr>
          <w:rFonts w:ascii="Arial" w:hAnsi="Arial" w:cs="Arial"/>
          <w:sz w:val="24"/>
        </w:rPr>
        <w:t xml:space="preserve">. </w:t>
      </w:r>
      <w:r w:rsidR="005E0EC7" w:rsidRPr="00451F43">
        <w:rPr>
          <w:rFonts w:ascii="Arial" w:hAnsi="Arial" w:cs="Arial"/>
          <w:sz w:val="24"/>
        </w:rPr>
        <w:t>A total of 1628 patients were included across the 5 studies, 804 of which were treated with 2 mg exenatide once weekly, 54% of all study participants were men and 141 patients treated with 2 mg exenatide once weekly were ≥65 years of age.</w:t>
      </w:r>
    </w:p>
    <w:p w:rsidR="00F51D4C" w:rsidRPr="00611F34" w:rsidRDefault="00F51D4C" w:rsidP="00DA1AEE">
      <w:pPr>
        <w:pStyle w:val="CommentText"/>
        <w:jc w:val="both"/>
        <w:rPr>
          <w:rFonts w:ascii="Arial" w:hAnsi="Arial" w:cs="Arial"/>
          <w:sz w:val="24"/>
        </w:rPr>
      </w:pPr>
    </w:p>
    <w:p w:rsidR="00F51D4C" w:rsidRPr="00611F34" w:rsidRDefault="00F51D4C" w:rsidP="00F51D4C">
      <w:pPr>
        <w:pStyle w:val="Heading6"/>
        <w:ind w:right="-448"/>
        <w:rPr>
          <w:rFonts w:ascii="Arial" w:hAnsi="Arial" w:cs="Arial"/>
          <w:iCs/>
          <w:sz w:val="24"/>
          <w:lang w:val="en-AU"/>
        </w:rPr>
      </w:pPr>
      <w:r w:rsidRPr="00611F34">
        <w:rPr>
          <w:rFonts w:ascii="Arial" w:hAnsi="Arial" w:cs="Arial"/>
          <w:sz w:val="24"/>
          <w:lang w:val="en-AU"/>
        </w:rPr>
        <w:t xml:space="preserve">Glycaemic control </w:t>
      </w:r>
    </w:p>
    <w:p w:rsidR="00102069" w:rsidRPr="00611F34" w:rsidRDefault="00F51D4C" w:rsidP="00F51D4C">
      <w:pPr>
        <w:autoSpaceDE w:val="0"/>
        <w:autoSpaceDN w:val="0"/>
        <w:adjustRightInd w:val="0"/>
        <w:rPr>
          <w:rFonts w:ascii="Arial" w:hAnsi="Arial" w:cs="Arial"/>
        </w:rPr>
      </w:pPr>
      <w:r w:rsidRPr="00611F34">
        <w:rPr>
          <w:rFonts w:ascii="Arial" w:hAnsi="Arial" w:cs="Arial"/>
        </w:rPr>
        <w:t>In</w:t>
      </w:r>
      <w:r w:rsidR="00A76CFC" w:rsidRPr="00611F34">
        <w:rPr>
          <w:rFonts w:ascii="Arial" w:hAnsi="Arial" w:cs="Arial"/>
        </w:rPr>
        <w:t xml:space="preserve"> 24 week and 30 week clinical trial</w:t>
      </w:r>
      <w:r w:rsidR="00071E5B" w:rsidRPr="00611F34">
        <w:rPr>
          <w:rFonts w:ascii="Arial" w:hAnsi="Arial" w:cs="Arial"/>
        </w:rPr>
        <w:t>s</w:t>
      </w:r>
      <w:r w:rsidR="00A76CFC" w:rsidRPr="00611F34">
        <w:rPr>
          <w:rFonts w:ascii="Arial" w:hAnsi="Arial" w:cs="Arial"/>
        </w:rPr>
        <w:t xml:space="preserve">, </w:t>
      </w:r>
      <w:r w:rsidRPr="00611F34">
        <w:rPr>
          <w:rFonts w:ascii="Arial" w:hAnsi="Arial" w:cs="Arial"/>
        </w:rPr>
        <w:t>2</w:t>
      </w:r>
      <w:r w:rsidR="00E15B15">
        <w:rPr>
          <w:rFonts w:ascii="Arial" w:hAnsi="Arial" w:cs="Arial"/>
        </w:rPr>
        <w:t xml:space="preserve"> </w:t>
      </w:r>
      <w:r w:rsidRPr="00611F34">
        <w:rPr>
          <w:rFonts w:ascii="Arial" w:hAnsi="Arial" w:cs="Arial"/>
        </w:rPr>
        <w:t xml:space="preserve">mg </w:t>
      </w:r>
      <w:r w:rsidR="00764950" w:rsidRPr="00611F34">
        <w:rPr>
          <w:rFonts w:ascii="Arial" w:hAnsi="Arial" w:cs="Arial"/>
        </w:rPr>
        <w:t xml:space="preserve">exenatide once weekly </w:t>
      </w:r>
      <w:r w:rsidR="00A76CFC" w:rsidRPr="00611F34">
        <w:rPr>
          <w:rFonts w:ascii="Arial" w:hAnsi="Arial" w:cs="Arial"/>
        </w:rPr>
        <w:t>w</w:t>
      </w:r>
      <w:r w:rsidRPr="00611F34">
        <w:rPr>
          <w:rFonts w:ascii="Arial" w:hAnsi="Arial" w:cs="Arial"/>
        </w:rPr>
        <w:t>as compared to 5</w:t>
      </w:r>
      <w:r w:rsidR="00E15B15">
        <w:rPr>
          <w:rFonts w:ascii="Arial" w:hAnsi="Arial" w:cs="Arial"/>
        </w:rPr>
        <w:t xml:space="preserve"> </w:t>
      </w:r>
      <w:r w:rsidRPr="00611F34">
        <w:rPr>
          <w:rFonts w:ascii="Arial" w:hAnsi="Arial" w:cs="Arial"/>
        </w:rPr>
        <w:t xml:space="preserve">µg </w:t>
      </w:r>
      <w:r w:rsidR="00764950" w:rsidRPr="00611F34">
        <w:rPr>
          <w:rFonts w:ascii="Arial" w:hAnsi="Arial" w:cs="Arial"/>
        </w:rPr>
        <w:t xml:space="preserve">exenatide twice daily </w:t>
      </w:r>
      <w:r w:rsidRPr="00611F34">
        <w:rPr>
          <w:rFonts w:ascii="Arial" w:hAnsi="Arial" w:cs="Arial"/>
        </w:rPr>
        <w:t>for 4 weeks followed by 10 µg</w:t>
      </w:r>
      <w:r w:rsidR="00764950" w:rsidRPr="00611F34">
        <w:rPr>
          <w:rFonts w:ascii="Arial" w:hAnsi="Arial" w:cs="Arial"/>
        </w:rPr>
        <w:t xml:space="preserve"> exenatide twice daily</w:t>
      </w:r>
      <w:r w:rsidRPr="00611F34">
        <w:rPr>
          <w:rFonts w:ascii="Arial" w:hAnsi="Arial" w:cs="Arial"/>
        </w:rPr>
        <w:t xml:space="preserve"> </w:t>
      </w:r>
      <w:r w:rsidR="00CA7727">
        <w:rPr>
          <w:rFonts w:ascii="Arial" w:hAnsi="Arial" w:cs="Arial"/>
        </w:rPr>
        <w:t xml:space="preserve">(see </w:t>
      </w:r>
      <w:r w:rsidR="00CA7727" w:rsidRPr="00CA7727">
        <w:rPr>
          <w:rFonts w:ascii="Arial" w:hAnsi="Arial" w:cs="Arial"/>
          <w:b/>
        </w:rPr>
        <w:t>PHARMACOKINETICS – ABSORPTION</w:t>
      </w:r>
      <w:r w:rsidR="003F760C">
        <w:rPr>
          <w:rFonts w:ascii="Arial" w:hAnsi="Arial" w:cs="Arial"/>
        </w:rPr>
        <w:t xml:space="preserve"> for information on relative systemic exposures</w:t>
      </w:r>
      <w:r w:rsidR="00CA7727">
        <w:rPr>
          <w:rFonts w:ascii="Arial" w:hAnsi="Arial" w:cs="Arial"/>
        </w:rPr>
        <w:t>).</w:t>
      </w:r>
      <w:r w:rsidR="003F760C">
        <w:rPr>
          <w:rFonts w:ascii="Arial" w:hAnsi="Arial" w:cs="Arial"/>
        </w:rPr>
        <w:t xml:space="preserve">  </w:t>
      </w:r>
      <w:r w:rsidR="00A76CFC" w:rsidRPr="00611F34">
        <w:rPr>
          <w:rFonts w:ascii="Arial" w:hAnsi="Arial" w:cs="Arial"/>
        </w:rPr>
        <w:t xml:space="preserve">A 22 week </w:t>
      </w:r>
      <w:r w:rsidRPr="00611F34">
        <w:rPr>
          <w:rFonts w:ascii="Arial" w:hAnsi="Arial" w:cs="Arial"/>
        </w:rPr>
        <w:t xml:space="preserve">open labelled extension </w:t>
      </w:r>
      <w:r w:rsidR="00A76CFC" w:rsidRPr="00611F34">
        <w:rPr>
          <w:rFonts w:ascii="Arial" w:hAnsi="Arial" w:cs="Arial"/>
        </w:rPr>
        <w:t xml:space="preserve">period followed the 30 week study </w:t>
      </w:r>
      <w:r w:rsidRPr="00611F34">
        <w:rPr>
          <w:rFonts w:ascii="Arial" w:hAnsi="Arial" w:cs="Arial"/>
        </w:rPr>
        <w:t>where all patients were treated with 2</w:t>
      </w:r>
      <w:r w:rsidR="00E15B15">
        <w:rPr>
          <w:rFonts w:ascii="Arial" w:hAnsi="Arial" w:cs="Arial"/>
        </w:rPr>
        <w:t xml:space="preserve"> </w:t>
      </w:r>
      <w:r w:rsidRPr="00611F34">
        <w:rPr>
          <w:rFonts w:ascii="Arial" w:hAnsi="Arial" w:cs="Arial"/>
        </w:rPr>
        <w:t xml:space="preserve">mg </w:t>
      </w:r>
      <w:r w:rsidR="00764950" w:rsidRPr="00611F34">
        <w:rPr>
          <w:rFonts w:ascii="Arial" w:hAnsi="Arial" w:cs="Arial"/>
        </w:rPr>
        <w:t>exenatide once weekly</w:t>
      </w:r>
      <w:r w:rsidRPr="00611F34">
        <w:rPr>
          <w:rFonts w:ascii="Arial" w:hAnsi="Arial" w:cs="Arial"/>
        </w:rPr>
        <w:t>. In both studies, decreases in HbA</w:t>
      </w:r>
      <w:r w:rsidRPr="00611F34">
        <w:rPr>
          <w:rFonts w:ascii="Arial" w:hAnsi="Arial" w:cs="Arial"/>
          <w:vertAlign w:val="subscript"/>
        </w:rPr>
        <w:t>1c</w:t>
      </w:r>
      <w:r w:rsidRPr="00611F34">
        <w:rPr>
          <w:rFonts w:ascii="Arial" w:hAnsi="Arial" w:cs="Arial"/>
        </w:rPr>
        <w:t xml:space="preserve"> were evident in both treatment groups as early as the first </w:t>
      </w:r>
      <w:proofErr w:type="spellStart"/>
      <w:r w:rsidRPr="00611F34">
        <w:rPr>
          <w:rFonts w:ascii="Arial" w:hAnsi="Arial" w:cs="Arial"/>
        </w:rPr>
        <w:t>post</w:t>
      </w:r>
      <w:r w:rsidRPr="00611F34">
        <w:rPr>
          <w:rFonts w:ascii="Arial" w:hAnsi="Arial" w:cs="Arial"/>
        </w:rPr>
        <w:noBreakHyphen/>
        <w:t>treatment</w:t>
      </w:r>
      <w:proofErr w:type="spellEnd"/>
      <w:r w:rsidRPr="00611F34">
        <w:rPr>
          <w:rFonts w:ascii="Arial" w:hAnsi="Arial" w:cs="Arial"/>
        </w:rPr>
        <w:t xml:space="preserve"> HbA</w:t>
      </w:r>
      <w:r w:rsidRPr="00611F34">
        <w:rPr>
          <w:rFonts w:ascii="Arial" w:hAnsi="Arial" w:cs="Arial"/>
          <w:vertAlign w:val="subscript"/>
        </w:rPr>
        <w:t>1c</w:t>
      </w:r>
      <w:r w:rsidRPr="00611F34">
        <w:rPr>
          <w:rFonts w:ascii="Arial" w:hAnsi="Arial" w:cs="Arial"/>
        </w:rPr>
        <w:t xml:space="preserve"> measurement (weeks 4 or 6). </w:t>
      </w:r>
    </w:p>
    <w:p w:rsidR="00102069" w:rsidRPr="00611F34" w:rsidRDefault="00102069" w:rsidP="00F51D4C">
      <w:pPr>
        <w:autoSpaceDE w:val="0"/>
        <w:autoSpaceDN w:val="0"/>
        <w:adjustRightInd w:val="0"/>
        <w:rPr>
          <w:rFonts w:ascii="Arial" w:hAnsi="Arial" w:cs="Arial"/>
        </w:rPr>
      </w:pPr>
    </w:p>
    <w:p w:rsidR="00F51D4C" w:rsidRPr="00611F34" w:rsidRDefault="00764950" w:rsidP="00F51D4C">
      <w:pPr>
        <w:autoSpaceDE w:val="0"/>
        <w:autoSpaceDN w:val="0"/>
        <w:adjustRightInd w:val="0"/>
        <w:rPr>
          <w:rFonts w:ascii="Arial" w:hAnsi="Arial" w:cs="Arial"/>
        </w:rPr>
      </w:pPr>
      <w:r w:rsidRPr="00611F34">
        <w:rPr>
          <w:rFonts w:ascii="Arial" w:hAnsi="Arial" w:cs="Arial"/>
        </w:rPr>
        <w:t>Exenatide once weekly</w:t>
      </w:r>
      <w:r w:rsidR="00F51D4C" w:rsidRPr="00611F34">
        <w:rPr>
          <w:rFonts w:ascii="Arial" w:hAnsi="Arial" w:cs="Arial"/>
        </w:rPr>
        <w:t xml:space="preserve"> resulted in a statistically significant reduction in HbA</w:t>
      </w:r>
      <w:r w:rsidR="00F51D4C" w:rsidRPr="00611F34">
        <w:rPr>
          <w:rFonts w:ascii="Arial" w:hAnsi="Arial" w:cs="Arial"/>
          <w:vertAlign w:val="subscript"/>
        </w:rPr>
        <w:t>1c</w:t>
      </w:r>
      <w:r w:rsidR="00F51D4C" w:rsidRPr="00611F34">
        <w:rPr>
          <w:rFonts w:ascii="Arial" w:hAnsi="Arial" w:cs="Arial"/>
        </w:rPr>
        <w:t xml:space="preserve"> compared to patients receiving </w:t>
      </w:r>
      <w:r w:rsidRPr="00611F34">
        <w:rPr>
          <w:rFonts w:ascii="Arial" w:hAnsi="Arial" w:cs="Arial"/>
        </w:rPr>
        <w:t xml:space="preserve">exenatide twice daily, </w:t>
      </w:r>
      <w:r w:rsidR="00F51D4C" w:rsidRPr="00611F34">
        <w:rPr>
          <w:rFonts w:ascii="Arial" w:hAnsi="Arial" w:cs="Arial"/>
        </w:rPr>
        <w:t xml:space="preserve">p &lt; 0.0001 in the 24 weeks study and p &lt; 0.05 in the 30 weeks study respectively. </w:t>
      </w:r>
    </w:p>
    <w:p w:rsidR="00F51D4C" w:rsidRPr="00611F34" w:rsidRDefault="00F51D4C" w:rsidP="00F51D4C">
      <w:pPr>
        <w:autoSpaceDE w:val="0"/>
        <w:autoSpaceDN w:val="0"/>
        <w:adjustRightInd w:val="0"/>
        <w:rPr>
          <w:rFonts w:ascii="Arial" w:hAnsi="Arial" w:cs="Arial"/>
        </w:rPr>
      </w:pPr>
    </w:p>
    <w:p w:rsidR="00F51D4C" w:rsidRPr="00611F34" w:rsidRDefault="00F51D4C" w:rsidP="00F51D4C">
      <w:pPr>
        <w:autoSpaceDE w:val="0"/>
        <w:autoSpaceDN w:val="0"/>
        <w:adjustRightInd w:val="0"/>
        <w:rPr>
          <w:rFonts w:ascii="Arial" w:hAnsi="Arial" w:cs="Arial"/>
        </w:rPr>
      </w:pPr>
      <w:r w:rsidRPr="00611F34">
        <w:rPr>
          <w:rFonts w:ascii="Arial" w:hAnsi="Arial" w:cs="Arial"/>
        </w:rPr>
        <w:t xml:space="preserve">A consistently positive effect of </w:t>
      </w:r>
      <w:r w:rsidR="00764950" w:rsidRPr="00611F34">
        <w:rPr>
          <w:rFonts w:ascii="Arial" w:hAnsi="Arial" w:cs="Arial"/>
        </w:rPr>
        <w:t>exenatide once weekly</w:t>
      </w:r>
      <w:r w:rsidRPr="00611F34">
        <w:rPr>
          <w:rFonts w:ascii="Arial" w:hAnsi="Arial" w:cs="Arial"/>
        </w:rPr>
        <w:t xml:space="preserve"> and </w:t>
      </w:r>
      <w:r w:rsidR="00764950" w:rsidRPr="00611F34">
        <w:rPr>
          <w:rFonts w:ascii="Arial" w:hAnsi="Arial" w:cs="Arial"/>
        </w:rPr>
        <w:t xml:space="preserve">twice daily </w:t>
      </w:r>
      <w:r w:rsidRPr="00611F34">
        <w:rPr>
          <w:rFonts w:ascii="Arial" w:hAnsi="Arial" w:cs="Arial"/>
        </w:rPr>
        <w:t>treated subjects was observed on HbA</w:t>
      </w:r>
      <w:r w:rsidRPr="00611F34">
        <w:rPr>
          <w:rFonts w:ascii="Arial" w:hAnsi="Arial" w:cs="Arial"/>
          <w:vertAlign w:val="subscript"/>
        </w:rPr>
        <w:t>1c</w:t>
      </w:r>
      <w:r w:rsidRPr="00611F34">
        <w:rPr>
          <w:rFonts w:ascii="Arial" w:hAnsi="Arial" w:cs="Arial"/>
        </w:rPr>
        <w:t>, regardless of the background anti-diabetic therapy in both studies.</w:t>
      </w:r>
    </w:p>
    <w:p w:rsidR="00F51D4C" w:rsidRPr="00611F34" w:rsidRDefault="00F51D4C" w:rsidP="00F51D4C">
      <w:pPr>
        <w:autoSpaceDE w:val="0"/>
        <w:autoSpaceDN w:val="0"/>
        <w:adjustRightInd w:val="0"/>
        <w:rPr>
          <w:rFonts w:ascii="Arial" w:hAnsi="Arial" w:cs="Arial"/>
        </w:rPr>
      </w:pPr>
    </w:p>
    <w:p w:rsidR="00102069" w:rsidRPr="00611F34" w:rsidRDefault="00102069" w:rsidP="007145D2">
      <w:pPr>
        <w:pStyle w:val="BodyText"/>
        <w:rPr>
          <w:rFonts w:ascii="Arial" w:hAnsi="Arial" w:cs="Arial"/>
        </w:rPr>
      </w:pPr>
      <w:r w:rsidRPr="00611F34">
        <w:rPr>
          <w:rFonts w:ascii="Arial" w:hAnsi="Arial" w:cs="Arial"/>
        </w:rPr>
        <w:t>In a 26 week study 2</w:t>
      </w:r>
      <w:r w:rsidR="00E15B15">
        <w:rPr>
          <w:rFonts w:ascii="Arial" w:hAnsi="Arial" w:cs="Arial"/>
        </w:rPr>
        <w:t xml:space="preserve"> </w:t>
      </w:r>
      <w:r w:rsidRPr="00611F34">
        <w:rPr>
          <w:rFonts w:ascii="Arial" w:hAnsi="Arial" w:cs="Arial"/>
        </w:rPr>
        <w:t>mg exenatide once weekly was compared to insulin glargine once daily. Both treatment groups had a significant reduction in HbA</w:t>
      </w:r>
      <w:r w:rsidRPr="00611F34">
        <w:rPr>
          <w:rFonts w:ascii="Arial" w:hAnsi="Arial" w:cs="Arial"/>
          <w:vertAlign w:val="subscript"/>
        </w:rPr>
        <w:t>1c</w:t>
      </w:r>
      <w:r w:rsidRPr="00611F34">
        <w:rPr>
          <w:rFonts w:ascii="Arial" w:hAnsi="Arial" w:cs="Arial"/>
        </w:rPr>
        <w:t>, (p</w:t>
      </w:r>
      <w:r w:rsidRPr="00611F34">
        <w:rPr>
          <w:rFonts w:ascii="Arial" w:hAnsi="Arial" w:cs="Arial"/>
        </w:rPr>
        <w:sym w:font="Symbol" w:char="F03C"/>
      </w:r>
      <w:r w:rsidRPr="00611F34">
        <w:rPr>
          <w:rFonts w:ascii="Arial" w:hAnsi="Arial" w:cs="Arial"/>
        </w:rPr>
        <w:t xml:space="preserve">.001) while </w:t>
      </w:r>
      <w:r w:rsidRPr="00611F34">
        <w:rPr>
          <w:rFonts w:ascii="Arial" w:hAnsi="Arial" w:cs="Arial"/>
        </w:rPr>
        <w:lastRenderedPageBreak/>
        <w:t>exenatide once weekly demonstrated a superior change in HbA</w:t>
      </w:r>
      <w:r w:rsidRPr="00611F34">
        <w:rPr>
          <w:rFonts w:ascii="Arial" w:hAnsi="Arial" w:cs="Arial"/>
          <w:vertAlign w:val="subscript"/>
        </w:rPr>
        <w:t>1c</w:t>
      </w:r>
      <w:r w:rsidRPr="00611F34">
        <w:rPr>
          <w:rFonts w:ascii="Arial" w:hAnsi="Arial" w:cs="Arial"/>
        </w:rPr>
        <w:t xml:space="preserve"> compared to insulin glargine (p = 0.017). </w:t>
      </w:r>
    </w:p>
    <w:p w:rsidR="0073571D" w:rsidRPr="00611F34" w:rsidRDefault="0073571D" w:rsidP="007145D2">
      <w:pPr>
        <w:pStyle w:val="BodyText"/>
        <w:rPr>
          <w:rFonts w:ascii="Arial" w:hAnsi="Arial" w:cs="Arial"/>
        </w:rPr>
      </w:pPr>
    </w:p>
    <w:p w:rsidR="00102069" w:rsidRPr="00611F34" w:rsidRDefault="00102069" w:rsidP="00102069">
      <w:pPr>
        <w:autoSpaceDE w:val="0"/>
        <w:autoSpaceDN w:val="0"/>
        <w:adjustRightInd w:val="0"/>
        <w:rPr>
          <w:rFonts w:ascii="Arial" w:hAnsi="Arial" w:cs="Arial"/>
        </w:rPr>
      </w:pPr>
      <w:r w:rsidRPr="00611F34">
        <w:rPr>
          <w:rFonts w:ascii="Arial" w:hAnsi="Arial" w:cs="Arial"/>
        </w:rPr>
        <w:t>In a 26 week double blind study, 2</w:t>
      </w:r>
      <w:r w:rsidR="00E15B15">
        <w:rPr>
          <w:rFonts w:ascii="Arial" w:hAnsi="Arial" w:cs="Arial"/>
        </w:rPr>
        <w:t xml:space="preserve"> </w:t>
      </w:r>
      <w:r w:rsidRPr="00611F34">
        <w:rPr>
          <w:rFonts w:ascii="Arial" w:hAnsi="Arial" w:cs="Arial"/>
        </w:rPr>
        <w:t xml:space="preserve">mg exenatide once weekly was compared to maximum daily doses of sitagliptin and pioglitazone in subjects also using </w:t>
      </w:r>
      <w:r w:rsidR="00CA7727">
        <w:rPr>
          <w:rFonts w:ascii="Arial" w:hAnsi="Arial" w:cs="Arial"/>
        </w:rPr>
        <w:t xml:space="preserve">maximal or near maximal doses of </w:t>
      </w:r>
      <w:r w:rsidRPr="00611F34">
        <w:rPr>
          <w:rFonts w:ascii="Arial" w:hAnsi="Arial" w:cs="Arial"/>
        </w:rPr>
        <w:t>metformin. All treatment groups had a significant reduction in HbA</w:t>
      </w:r>
      <w:r w:rsidRPr="00611F34">
        <w:rPr>
          <w:rFonts w:ascii="Arial" w:hAnsi="Arial" w:cs="Arial"/>
          <w:vertAlign w:val="subscript"/>
        </w:rPr>
        <w:t xml:space="preserve">1c </w:t>
      </w:r>
      <w:r w:rsidRPr="00611F34">
        <w:rPr>
          <w:rFonts w:ascii="Arial" w:hAnsi="Arial" w:cs="Arial"/>
        </w:rPr>
        <w:t>compared to baseline. Exenatide once weekly demonstrated superiority to both sitagliptin (p&lt;0.00001) and pioglitazone (p&lt;0.0165) with respect to change in HbA</w:t>
      </w:r>
      <w:r w:rsidRPr="00611F34">
        <w:rPr>
          <w:rFonts w:ascii="Arial" w:hAnsi="Arial" w:cs="Arial"/>
          <w:vertAlign w:val="subscript"/>
        </w:rPr>
        <w:t>1c</w:t>
      </w:r>
      <w:r w:rsidRPr="00611F34">
        <w:rPr>
          <w:rFonts w:ascii="Arial" w:hAnsi="Arial" w:cs="Arial"/>
        </w:rPr>
        <w:t xml:space="preserve"> from baseline. </w:t>
      </w:r>
    </w:p>
    <w:p w:rsidR="00102069" w:rsidRPr="00611F34" w:rsidRDefault="00102069" w:rsidP="00102069">
      <w:pPr>
        <w:autoSpaceDE w:val="0"/>
        <w:autoSpaceDN w:val="0"/>
        <w:adjustRightInd w:val="0"/>
        <w:rPr>
          <w:rFonts w:ascii="Arial" w:hAnsi="Arial" w:cs="Arial"/>
        </w:rPr>
      </w:pPr>
    </w:p>
    <w:p w:rsidR="00102069" w:rsidRPr="00611F34" w:rsidRDefault="00102069" w:rsidP="00102069">
      <w:pPr>
        <w:autoSpaceDE w:val="0"/>
        <w:autoSpaceDN w:val="0"/>
        <w:adjustRightInd w:val="0"/>
        <w:rPr>
          <w:rFonts w:ascii="Arial" w:hAnsi="Arial" w:cs="Arial"/>
        </w:rPr>
      </w:pPr>
      <w:r w:rsidRPr="00611F34">
        <w:rPr>
          <w:rFonts w:ascii="Arial" w:hAnsi="Arial" w:cs="Arial"/>
        </w:rPr>
        <w:t>Table 1 shows HbA</w:t>
      </w:r>
      <w:r w:rsidRPr="00611F34">
        <w:rPr>
          <w:rFonts w:ascii="Arial" w:hAnsi="Arial" w:cs="Arial"/>
          <w:vertAlign w:val="subscript"/>
        </w:rPr>
        <w:t>1c</w:t>
      </w:r>
      <w:r w:rsidRPr="00611F34">
        <w:rPr>
          <w:rFonts w:ascii="Arial" w:hAnsi="Arial" w:cs="Arial"/>
        </w:rPr>
        <w:t xml:space="preserve"> results for </w:t>
      </w:r>
      <w:r w:rsidR="00706E4E" w:rsidRPr="00611F34">
        <w:rPr>
          <w:rFonts w:ascii="Arial" w:hAnsi="Arial" w:cs="Arial"/>
        </w:rPr>
        <w:t xml:space="preserve">each of </w:t>
      </w:r>
      <w:r w:rsidRPr="00611F34">
        <w:rPr>
          <w:rFonts w:ascii="Arial" w:hAnsi="Arial" w:cs="Arial"/>
        </w:rPr>
        <w:t>the</w:t>
      </w:r>
      <w:r w:rsidR="00706E4E" w:rsidRPr="00611F34">
        <w:rPr>
          <w:rFonts w:ascii="Arial" w:hAnsi="Arial" w:cs="Arial"/>
        </w:rPr>
        <w:t xml:space="preserve"> comparator controlled </w:t>
      </w:r>
      <w:r w:rsidRPr="00611F34">
        <w:rPr>
          <w:rFonts w:ascii="Arial" w:hAnsi="Arial" w:cs="Arial"/>
        </w:rPr>
        <w:t>studies.</w:t>
      </w:r>
    </w:p>
    <w:p w:rsidR="00102069" w:rsidRPr="00611F34" w:rsidRDefault="00102069" w:rsidP="00F51D4C">
      <w:pPr>
        <w:autoSpaceDE w:val="0"/>
        <w:autoSpaceDN w:val="0"/>
        <w:adjustRightInd w:val="0"/>
        <w:rPr>
          <w:rFonts w:ascii="Arial" w:hAnsi="Arial" w:cs="Arial"/>
        </w:rPr>
      </w:pPr>
    </w:p>
    <w:p w:rsidR="00F51D4C" w:rsidRPr="00611F34" w:rsidRDefault="00F51D4C" w:rsidP="00345BA2">
      <w:pPr>
        <w:keepNext/>
        <w:jc w:val="center"/>
        <w:rPr>
          <w:rFonts w:ascii="Arial" w:hAnsi="Arial" w:cs="Arial"/>
          <w:b/>
          <w:sz w:val="22"/>
          <w:szCs w:val="22"/>
        </w:rPr>
      </w:pPr>
      <w:r w:rsidRPr="00611F34">
        <w:rPr>
          <w:rFonts w:ascii="Arial" w:hAnsi="Arial" w:cs="Arial"/>
          <w:b/>
          <w:sz w:val="22"/>
          <w:szCs w:val="22"/>
        </w:rPr>
        <w:t xml:space="preserve">Table 1. </w:t>
      </w:r>
      <w:r w:rsidR="00071E5B" w:rsidRPr="00611F34">
        <w:rPr>
          <w:rFonts w:ascii="Arial" w:hAnsi="Arial" w:cs="Arial"/>
          <w:b/>
          <w:sz w:val="22"/>
          <w:szCs w:val="22"/>
        </w:rPr>
        <w:t>Summary of Change in HbA1c from Baseline to Endpoint for Exenatide 2</w:t>
      </w:r>
      <w:r w:rsidR="00E15B15">
        <w:rPr>
          <w:rFonts w:ascii="Arial" w:hAnsi="Arial" w:cs="Arial"/>
          <w:b/>
          <w:sz w:val="22"/>
          <w:szCs w:val="22"/>
        </w:rPr>
        <w:t xml:space="preserve"> </w:t>
      </w:r>
      <w:r w:rsidR="00071E5B" w:rsidRPr="00611F34">
        <w:rPr>
          <w:rFonts w:ascii="Arial" w:hAnsi="Arial" w:cs="Arial"/>
          <w:b/>
          <w:sz w:val="22"/>
          <w:szCs w:val="22"/>
        </w:rPr>
        <w:t>mg Once Weekly Comparator Controlled Studies (intent to treat patients)</w:t>
      </w:r>
    </w:p>
    <w:p w:rsidR="00F51D4C" w:rsidRPr="00611F34" w:rsidRDefault="00F51D4C" w:rsidP="00F51D4C">
      <w:pPr>
        <w:keepNext/>
        <w:rPr>
          <w:rFonts w:ascii="Arial" w:hAnsi="Arial" w:cs="Arial"/>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4612"/>
        <w:gridCol w:w="1468"/>
        <w:gridCol w:w="3390"/>
      </w:tblGrid>
      <w:tr w:rsidR="00071E5B" w:rsidRPr="00611F34" w:rsidTr="00071E5B">
        <w:tc>
          <w:tcPr>
            <w:tcW w:w="2435" w:type="pct"/>
            <w:tcMar>
              <w:top w:w="57" w:type="dxa"/>
              <w:bottom w:w="57" w:type="dxa"/>
            </w:tcMar>
            <w:vAlign w:val="center"/>
          </w:tcPr>
          <w:p w:rsidR="00071E5B" w:rsidRPr="00611F34" w:rsidRDefault="00071E5B" w:rsidP="00071E5B">
            <w:pPr>
              <w:keepNext/>
              <w:rPr>
                <w:rFonts w:ascii="Arial" w:hAnsi="Arial" w:cs="Arial"/>
                <w:b/>
              </w:rPr>
            </w:pPr>
          </w:p>
        </w:tc>
        <w:tc>
          <w:tcPr>
            <w:tcW w:w="2565" w:type="pct"/>
            <w:gridSpan w:val="2"/>
            <w:tcMar>
              <w:top w:w="57" w:type="dxa"/>
              <w:bottom w:w="57" w:type="dxa"/>
            </w:tcMar>
          </w:tcPr>
          <w:p w:rsidR="00071E5B" w:rsidRPr="00611F34" w:rsidRDefault="00071E5B" w:rsidP="00071E5B">
            <w:pPr>
              <w:keepNext/>
              <w:jc w:val="center"/>
              <w:rPr>
                <w:rFonts w:ascii="Arial" w:hAnsi="Arial" w:cs="Arial"/>
                <w:b/>
              </w:rPr>
            </w:pPr>
            <w:r w:rsidRPr="00611F34">
              <w:rPr>
                <w:rFonts w:ascii="Arial" w:hAnsi="Arial" w:cs="Arial"/>
                <w:b/>
              </w:rPr>
              <w:t>Mean change from baseline to endpoint (± Standard Error)</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b/>
              </w:rPr>
            </w:pPr>
            <w:r w:rsidRPr="00611F34">
              <w:rPr>
                <w:rFonts w:ascii="Arial" w:hAnsi="Arial" w:cs="Arial"/>
                <w:b/>
              </w:rPr>
              <w:t>Study</w:t>
            </w:r>
          </w:p>
        </w:tc>
        <w:tc>
          <w:tcPr>
            <w:tcW w:w="775" w:type="pct"/>
            <w:tcMar>
              <w:top w:w="57" w:type="dxa"/>
              <w:bottom w:w="57" w:type="dxa"/>
            </w:tcMar>
          </w:tcPr>
          <w:p w:rsidR="00071E5B" w:rsidRPr="00611F34" w:rsidRDefault="00071E5B" w:rsidP="00071E5B">
            <w:pPr>
              <w:keepNext/>
              <w:jc w:val="center"/>
              <w:rPr>
                <w:rFonts w:ascii="Arial" w:hAnsi="Arial" w:cs="Arial"/>
                <w:b/>
              </w:rPr>
            </w:pPr>
            <w:r w:rsidRPr="00611F34">
              <w:rPr>
                <w:rFonts w:ascii="Arial" w:hAnsi="Arial" w:cs="Arial"/>
                <w:b/>
              </w:rPr>
              <w:t>N</w:t>
            </w:r>
          </w:p>
        </w:tc>
        <w:tc>
          <w:tcPr>
            <w:tcW w:w="1790" w:type="pct"/>
            <w:tcMar>
              <w:top w:w="57" w:type="dxa"/>
              <w:bottom w:w="57" w:type="dxa"/>
            </w:tcMar>
          </w:tcPr>
          <w:p w:rsidR="00071E5B" w:rsidRPr="00611F34" w:rsidRDefault="00071E5B" w:rsidP="00071E5B">
            <w:pPr>
              <w:keepNext/>
              <w:jc w:val="center"/>
              <w:rPr>
                <w:rFonts w:ascii="Arial" w:hAnsi="Arial" w:cs="Arial"/>
                <w:b/>
              </w:rPr>
            </w:pPr>
            <w:r w:rsidRPr="00611F34">
              <w:rPr>
                <w:rFonts w:ascii="Arial" w:hAnsi="Arial" w:cs="Arial"/>
                <w:b/>
              </w:rPr>
              <w:t>HbA</w:t>
            </w:r>
            <w:r w:rsidRPr="00611F34">
              <w:rPr>
                <w:rFonts w:ascii="Arial" w:hAnsi="Arial" w:cs="Arial"/>
                <w:b/>
                <w:vertAlign w:val="subscript"/>
              </w:rPr>
              <w:t>1c</w:t>
            </w:r>
          </w:p>
        </w:tc>
      </w:tr>
      <w:tr w:rsidR="00071E5B" w:rsidRPr="00611F34" w:rsidTr="00071E5B">
        <w:tc>
          <w:tcPr>
            <w:tcW w:w="5000" w:type="pct"/>
            <w:gridSpan w:val="3"/>
            <w:tcMar>
              <w:top w:w="57" w:type="dxa"/>
              <w:bottom w:w="57" w:type="dxa"/>
            </w:tcMar>
          </w:tcPr>
          <w:p w:rsidR="00071E5B" w:rsidRPr="00611F34" w:rsidRDefault="00071E5B" w:rsidP="00A87FFA">
            <w:pPr>
              <w:keepNext/>
              <w:rPr>
                <w:rFonts w:ascii="Arial" w:hAnsi="Arial" w:cs="Arial"/>
                <w:sz w:val="22"/>
                <w:szCs w:val="22"/>
              </w:rPr>
            </w:pPr>
            <w:r w:rsidRPr="00611F34">
              <w:rPr>
                <w:rFonts w:ascii="Arial" w:hAnsi="Arial" w:cs="Arial"/>
                <w:b/>
                <w:sz w:val="22"/>
                <w:szCs w:val="22"/>
              </w:rPr>
              <w:t>2</w:t>
            </w:r>
            <w:r w:rsidR="00E15B15">
              <w:rPr>
                <w:rFonts w:ascii="Arial" w:hAnsi="Arial" w:cs="Arial"/>
                <w:b/>
                <w:sz w:val="22"/>
                <w:szCs w:val="22"/>
              </w:rPr>
              <w:t xml:space="preserve"> </w:t>
            </w:r>
            <w:r w:rsidRPr="00611F34">
              <w:rPr>
                <w:rFonts w:ascii="Arial" w:hAnsi="Arial" w:cs="Arial"/>
                <w:b/>
                <w:sz w:val="22"/>
                <w:szCs w:val="22"/>
              </w:rPr>
              <w:t>mg exenatide once weekly vs. exenatide twice daily - 24 weeks of treatment</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2</w:t>
            </w:r>
            <w:r w:rsidR="00E15B15">
              <w:rPr>
                <w:rFonts w:ascii="Arial" w:hAnsi="Arial" w:cs="Arial"/>
                <w:sz w:val="22"/>
                <w:szCs w:val="22"/>
              </w:rPr>
              <w:t xml:space="preserve"> </w:t>
            </w:r>
            <w:r w:rsidRPr="00611F34">
              <w:rPr>
                <w:rFonts w:ascii="Arial" w:hAnsi="Arial" w:cs="Arial"/>
                <w:sz w:val="22"/>
                <w:szCs w:val="22"/>
              </w:rPr>
              <w:t>mg exenatide once weekly (QW)</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129</w:t>
            </w: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-1.6 (±0.1)</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10</w:t>
            </w:r>
            <w:r w:rsidR="00E15B15">
              <w:rPr>
                <w:rFonts w:ascii="Arial" w:hAnsi="Arial" w:cs="Arial"/>
                <w:sz w:val="22"/>
                <w:szCs w:val="22"/>
              </w:rPr>
              <w:t xml:space="preserve"> </w:t>
            </w:r>
            <w:r w:rsidRPr="00611F34">
              <w:rPr>
                <w:rFonts w:ascii="Arial" w:hAnsi="Arial" w:cs="Arial"/>
                <w:sz w:val="22"/>
                <w:szCs w:val="22"/>
              </w:rPr>
              <w:t>µg exenatide twice daily (BID)</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123</w:t>
            </w: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-0.9 (±0.1)</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Mean difference  (95% CI QW-BID)</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p>
        </w:tc>
        <w:tc>
          <w:tcPr>
            <w:tcW w:w="1790" w:type="pct"/>
            <w:tcMar>
              <w:top w:w="57" w:type="dxa"/>
              <w:bottom w:w="57" w:type="dxa"/>
            </w:tcMar>
          </w:tcPr>
          <w:p w:rsidR="00071E5B" w:rsidRPr="00611F34" w:rsidRDefault="00071E5B" w:rsidP="001B166B">
            <w:pPr>
              <w:keepNext/>
              <w:jc w:val="center"/>
              <w:rPr>
                <w:rFonts w:ascii="Arial" w:hAnsi="Arial" w:cs="Arial"/>
                <w:sz w:val="22"/>
                <w:szCs w:val="22"/>
              </w:rPr>
            </w:pPr>
            <w:r w:rsidRPr="00611F34">
              <w:rPr>
                <w:rFonts w:ascii="Arial" w:hAnsi="Arial" w:cs="Arial"/>
                <w:sz w:val="22"/>
                <w:szCs w:val="22"/>
              </w:rPr>
              <w:t>-0.7 (-0.9, -0.4)</w:t>
            </w:r>
            <w:r w:rsidR="001B166B" w:rsidRPr="00611F34">
              <w:rPr>
                <w:rFonts w:ascii="Arial" w:hAnsi="Arial" w:cs="Arial"/>
                <w:sz w:val="22"/>
                <w:szCs w:val="22"/>
              </w:rPr>
              <w:t>*</w:t>
            </w:r>
          </w:p>
        </w:tc>
      </w:tr>
      <w:tr w:rsidR="00071E5B" w:rsidRPr="00611F34" w:rsidTr="00071E5B">
        <w:tc>
          <w:tcPr>
            <w:tcW w:w="5000" w:type="pct"/>
            <w:gridSpan w:val="3"/>
            <w:tcMar>
              <w:top w:w="57" w:type="dxa"/>
              <w:bottom w:w="57" w:type="dxa"/>
            </w:tcMar>
          </w:tcPr>
          <w:p w:rsidR="00071E5B" w:rsidRPr="00611F34" w:rsidRDefault="00071E5B" w:rsidP="00071E5B">
            <w:pPr>
              <w:keepNext/>
              <w:rPr>
                <w:rFonts w:ascii="Arial" w:hAnsi="Arial" w:cs="Arial"/>
                <w:b/>
                <w:sz w:val="22"/>
                <w:szCs w:val="22"/>
              </w:rPr>
            </w:pPr>
          </w:p>
        </w:tc>
      </w:tr>
      <w:tr w:rsidR="00071E5B" w:rsidRPr="00611F34" w:rsidTr="00071E5B">
        <w:tc>
          <w:tcPr>
            <w:tcW w:w="5000" w:type="pct"/>
            <w:gridSpan w:val="3"/>
            <w:tcMar>
              <w:top w:w="57" w:type="dxa"/>
              <w:bottom w:w="57" w:type="dxa"/>
            </w:tcMar>
          </w:tcPr>
          <w:p w:rsidR="00071E5B" w:rsidRPr="00611F34" w:rsidRDefault="00071E5B" w:rsidP="00A87FFA">
            <w:pPr>
              <w:keepNext/>
              <w:rPr>
                <w:rFonts w:ascii="Arial" w:hAnsi="Arial" w:cs="Arial"/>
                <w:sz w:val="22"/>
                <w:szCs w:val="22"/>
              </w:rPr>
            </w:pPr>
            <w:r w:rsidRPr="00611F34">
              <w:rPr>
                <w:rFonts w:ascii="Arial" w:hAnsi="Arial" w:cs="Arial"/>
                <w:b/>
                <w:sz w:val="22"/>
                <w:szCs w:val="22"/>
              </w:rPr>
              <w:t>2</w:t>
            </w:r>
            <w:r w:rsidR="00E15B15">
              <w:rPr>
                <w:rFonts w:ascii="Arial" w:hAnsi="Arial" w:cs="Arial"/>
                <w:b/>
                <w:sz w:val="22"/>
                <w:szCs w:val="22"/>
              </w:rPr>
              <w:t xml:space="preserve"> </w:t>
            </w:r>
            <w:r w:rsidRPr="00611F34">
              <w:rPr>
                <w:rFonts w:ascii="Arial" w:hAnsi="Arial" w:cs="Arial"/>
                <w:b/>
                <w:sz w:val="22"/>
                <w:szCs w:val="22"/>
              </w:rPr>
              <w:t>mg exenatide once weekly vs. exenatide twice daily - 30 weeks of treatment</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2</w:t>
            </w:r>
            <w:r w:rsidR="00E15B15">
              <w:rPr>
                <w:rFonts w:ascii="Arial" w:hAnsi="Arial" w:cs="Arial"/>
                <w:sz w:val="22"/>
                <w:szCs w:val="22"/>
              </w:rPr>
              <w:t xml:space="preserve"> </w:t>
            </w:r>
            <w:r w:rsidRPr="00611F34">
              <w:rPr>
                <w:rFonts w:ascii="Arial" w:hAnsi="Arial" w:cs="Arial"/>
                <w:sz w:val="22"/>
                <w:szCs w:val="22"/>
              </w:rPr>
              <w:t>mg exenatide once weekly (QW)</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148</w:t>
            </w: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noBreakHyphen/>
              <w:t>1.9 (±0.08)</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10</w:t>
            </w:r>
            <w:r w:rsidR="00E15B15">
              <w:rPr>
                <w:rFonts w:ascii="Arial" w:hAnsi="Arial" w:cs="Arial"/>
                <w:sz w:val="22"/>
                <w:szCs w:val="22"/>
              </w:rPr>
              <w:t xml:space="preserve"> </w:t>
            </w:r>
            <w:r w:rsidRPr="00611F34">
              <w:rPr>
                <w:rFonts w:ascii="Arial" w:hAnsi="Arial" w:cs="Arial"/>
                <w:sz w:val="22"/>
                <w:szCs w:val="22"/>
              </w:rPr>
              <w:t>µg exenatide twice daily (BID)</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147</w:t>
            </w: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noBreakHyphen/>
              <w:t>1.5 (±0.08)</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Mean difference  (95% CI QW-BID)</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-0.33 (-0.54, -0.12)</w:t>
            </w:r>
            <w:r w:rsidR="001B166B" w:rsidRPr="00611F34">
              <w:rPr>
                <w:rFonts w:ascii="Arial" w:hAnsi="Arial" w:cs="Arial"/>
                <w:sz w:val="22"/>
                <w:szCs w:val="22"/>
              </w:rPr>
              <w:t>*</w:t>
            </w:r>
          </w:p>
        </w:tc>
      </w:tr>
      <w:tr w:rsidR="00071E5B" w:rsidRPr="00611F34" w:rsidTr="00071E5B">
        <w:tc>
          <w:tcPr>
            <w:tcW w:w="5000" w:type="pct"/>
            <w:gridSpan w:val="3"/>
            <w:tcMar>
              <w:top w:w="57" w:type="dxa"/>
              <w:bottom w:w="57" w:type="dxa"/>
            </w:tcMar>
          </w:tcPr>
          <w:p w:rsidR="00071E5B" w:rsidRPr="00611F34" w:rsidRDefault="00071E5B" w:rsidP="00071E5B">
            <w:pPr>
              <w:keepNext/>
              <w:rPr>
                <w:rFonts w:ascii="Arial" w:hAnsi="Arial" w:cs="Arial"/>
                <w:b/>
                <w:sz w:val="22"/>
                <w:szCs w:val="22"/>
              </w:rPr>
            </w:pPr>
          </w:p>
        </w:tc>
      </w:tr>
      <w:tr w:rsidR="00071E5B" w:rsidRPr="00611F34" w:rsidTr="00071E5B">
        <w:tc>
          <w:tcPr>
            <w:tcW w:w="5000" w:type="pct"/>
            <w:gridSpan w:val="3"/>
            <w:tcMar>
              <w:top w:w="57" w:type="dxa"/>
              <w:bottom w:w="57" w:type="dxa"/>
            </w:tcMar>
          </w:tcPr>
          <w:p w:rsidR="00071E5B" w:rsidRPr="00611F34" w:rsidRDefault="00071E5B" w:rsidP="00A87FFA">
            <w:pPr>
              <w:keepNext/>
              <w:rPr>
                <w:rFonts w:ascii="Arial" w:hAnsi="Arial" w:cs="Arial"/>
                <w:sz w:val="22"/>
                <w:szCs w:val="22"/>
              </w:rPr>
            </w:pPr>
            <w:r w:rsidRPr="00611F34">
              <w:rPr>
                <w:rFonts w:ascii="Arial" w:hAnsi="Arial" w:cs="Arial"/>
                <w:b/>
                <w:sz w:val="22"/>
                <w:szCs w:val="22"/>
              </w:rPr>
              <w:t>2</w:t>
            </w:r>
            <w:r w:rsidR="00E15B15">
              <w:rPr>
                <w:rFonts w:ascii="Arial" w:hAnsi="Arial" w:cs="Arial"/>
                <w:b/>
                <w:sz w:val="22"/>
                <w:szCs w:val="22"/>
              </w:rPr>
              <w:t xml:space="preserve"> </w:t>
            </w:r>
            <w:r w:rsidRPr="00611F34">
              <w:rPr>
                <w:rFonts w:ascii="Arial" w:hAnsi="Arial" w:cs="Arial"/>
                <w:b/>
                <w:sz w:val="22"/>
                <w:szCs w:val="22"/>
              </w:rPr>
              <w:t>mg exenatide once weekly vs. insulin glargine once daily – 26 weeks of treatment</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2</w:t>
            </w:r>
            <w:r w:rsidR="00E15B15">
              <w:rPr>
                <w:rFonts w:ascii="Arial" w:hAnsi="Arial" w:cs="Arial"/>
                <w:sz w:val="22"/>
                <w:szCs w:val="22"/>
              </w:rPr>
              <w:t xml:space="preserve"> </w:t>
            </w:r>
            <w:r w:rsidRPr="00611F34">
              <w:rPr>
                <w:rFonts w:ascii="Arial" w:hAnsi="Arial" w:cs="Arial"/>
                <w:sz w:val="22"/>
                <w:szCs w:val="22"/>
              </w:rPr>
              <w:t>mg exenatide once weekly (QW)</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233</w:t>
            </w: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-1.5 (±0.05)</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Insulin glargine (IG)</w:t>
            </w:r>
            <w:r w:rsidR="006311C5" w:rsidRPr="00611F34">
              <w:rPr>
                <w:rFonts w:ascii="Arial" w:hAnsi="Arial" w:cs="Arial"/>
                <w:sz w:val="22"/>
                <w:szCs w:val="22"/>
                <w:vertAlign w:val="superscript"/>
              </w:rPr>
              <w:t>#</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223</w:t>
            </w: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-1.3 (±0.06)</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Mean difference  (95% CI QW-IG)</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-0.16 (-0.29, -0.03)</w:t>
            </w:r>
            <w:r w:rsidR="001B166B" w:rsidRPr="00611F34">
              <w:rPr>
                <w:rFonts w:ascii="Arial" w:hAnsi="Arial" w:cs="Arial"/>
                <w:sz w:val="22"/>
                <w:szCs w:val="22"/>
              </w:rPr>
              <w:t>*</w:t>
            </w:r>
          </w:p>
        </w:tc>
      </w:tr>
      <w:tr w:rsidR="00071E5B" w:rsidRPr="00611F34" w:rsidTr="00071E5B">
        <w:tc>
          <w:tcPr>
            <w:tcW w:w="5000" w:type="pct"/>
            <w:gridSpan w:val="3"/>
            <w:tcMar>
              <w:top w:w="57" w:type="dxa"/>
              <w:bottom w:w="57" w:type="dxa"/>
            </w:tcMar>
          </w:tcPr>
          <w:p w:rsidR="00071E5B" w:rsidRPr="00611F34" w:rsidRDefault="00071E5B" w:rsidP="00071E5B">
            <w:pPr>
              <w:keepNext/>
              <w:rPr>
                <w:rFonts w:ascii="Arial" w:hAnsi="Arial" w:cs="Arial"/>
                <w:b/>
                <w:sz w:val="22"/>
                <w:szCs w:val="22"/>
              </w:rPr>
            </w:pPr>
          </w:p>
        </w:tc>
      </w:tr>
      <w:tr w:rsidR="00071E5B" w:rsidRPr="00611F34" w:rsidTr="00071E5B">
        <w:tc>
          <w:tcPr>
            <w:tcW w:w="5000" w:type="pct"/>
            <w:gridSpan w:val="3"/>
            <w:tcMar>
              <w:top w:w="57" w:type="dxa"/>
              <w:bottom w:w="57" w:type="dxa"/>
            </w:tcMar>
          </w:tcPr>
          <w:p w:rsidR="00071E5B" w:rsidRPr="00611F34" w:rsidRDefault="00071E5B" w:rsidP="00A87FFA">
            <w:pPr>
              <w:keepNext/>
              <w:rPr>
                <w:rFonts w:ascii="Arial" w:hAnsi="Arial" w:cs="Arial"/>
                <w:b/>
                <w:sz w:val="22"/>
                <w:szCs w:val="22"/>
              </w:rPr>
            </w:pPr>
            <w:r w:rsidRPr="00611F34">
              <w:rPr>
                <w:rFonts w:ascii="Arial" w:hAnsi="Arial" w:cs="Arial"/>
                <w:b/>
                <w:sz w:val="22"/>
                <w:szCs w:val="22"/>
              </w:rPr>
              <w:t>2</w:t>
            </w:r>
            <w:r w:rsidR="00E15B15">
              <w:rPr>
                <w:rFonts w:ascii="Arial" w:hAnsi="Arial" w:cs="Arial"/>
                <w:b/>
                <w:sz w:val="22"/>
                <w:szCs w:val="22"/>
              </w:rPr>
              <w:t xml:space="preserve"> </w:t>
            </w:r>
            <w:r w:rsidRPr="00611F34">
              <w:rPr>
                <w:rFonts w:ascii="Arial" w:hAnsi="Arial" w:cs="Arial"/>
                <w:b/>
                <w:sz w:val="22"/>
                <w:szCs w:val="22"/>
              </w:rPr>
              <w:t>mg exenatide once weekly vs. sitagliptin or pioglitazone – 26 weeks of treatment</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2</w:t>
            </w:r>
            <w:r w:rsidR="00E15B15">
              <w:rPr>
                <w:rFonts w:ascii="Arial" w:hAnsi="Arial" w:cs="Arial"/>
                <w:sz w:val="22"/>
                <w:szCs w:val="22"/>
              </w:rPr>
              <w:t xml:space="preserve"> </w:t>
            </w:r>
            <w:r w:rsidRPr="00611F34">
              <w:rPr>
                <w:rFonts w:ascii="Arial" w:hAnsi="Arial" w:cs="Arial"/>
                <w:sz w:val="22"/>
                <w:szCs w:val="22"/>
              </w:rPr>
              <w:t>mg exenatide once weekly (QW)</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160</w:t>
            </w: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-1.6 (±0.10)</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100</w:t>
            </w:r>
            <w:r w:rsidR="00E15B15">
              <w:rPr>
                <w:rFonts w:ascii="Arial" w:hAnsi="Arial" w:cs="Arial"/>
                <w:sz w:val="22"/>
                <w:szCs w:val="22"/>
              </w:rPr>
              <w:t xml:space="preserve"> </w:t>
            </w:r>
            <w:r w:rsidRPr="00611F34">
              <w:rPr>
                <w:rFonts w:ascii="Arial" w:hAnsi="Arial" w:cs="Arial"/>
                <w:sz w:val="22"/>
                <w:szCs w:val="22"/>
              </w:rPr>
              <w:t>mg sitagliptin (SG)</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166</w:t>
            </w: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-0.9 (±0.10)</w:t>
            </w:r>
          </w:p>
        </w:tc>
      </w:tr>
      <w:tr w:rsidR="00071E5B" w:rsidRPr="00611F34" w:rsidTr="00071E5B">
        <w:tc>
          <w:tcPr>
            <w:tcW w:w="2435" w:type="pct"/>
            <w:tcMar>
              <w:top w:w="57" w:type="dxa"/>
              <w:bottom w:w="57" w:type="dxa"/>
            </w:tcMar>
          </w:tcPr>
          <w:p w:rsidR="00071E5B" w:rsidRPr="00611F34" w:rsidRDefault="00071E5B" w:rsidP="00071E5B">
            <w:pPr>
              <w:keepNext/>
              <w:rPr>
                <w:rFonts w:ascii="Arial" w:hAnsi="Arial" w:cs="Arial"/>
                <w:sz w:val="22"/>
                <w:szCs w:val="22"/>
              </w:rPr>
            </w:pPr>
            <w:r w:rsidRPr="00611F34">
              <w:rPr>
                <w:rFonts w:ascii="Arial" w:hAnsi="Arial" w:cs="Arial"/>
                <w:sz w:val="22"/>
                <w:szCs w:val="22"/>
              </w:rPr>
              <w:t>45</w:t>
            </w:r>
            <w:r w:rsidR="00E15B15">
              <w:rPr>
                <w:rFonts w:ascii="Arial" w:hAnsi="Arial" w:cs="Arial"/>
                <w:sz w:val="22"/>
                <w:szCs w:val="22"/>
              </w:rPr>
              <w:t xml:space="preserve"> </w:t>
            </w:r>
            <w:r w:rsidRPr="00611F34">
              <w:rPr>
                <w:rFonts w:ascii="Arial" w:hAnsi="Arial" w:cs="Arial"/>
                <w:sz w:val="22"/>
                <w:szCs w:val="22"/>
              </w:rPr>
              <w:t>mg pioglitazone (Pio)</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165</w:t>
            </w: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-1.23 (±0.10)</w:t>
            </w:r>
          </w:p>
        </w:tc>
      </w:tr>
      <w:tr w:rsidR="00071E5B" w:rsidRPr="00611F34" w:rsidTr="00071E5B">
        <w:tc>
          <w:tcPr>
            <w:tcW w:w="2435" w:type="pct"/>
            <w:tcMar>
              <w:top w:w="57" w:type="dxa"/>
              <w:bottom w:w="57" w:type="dxa"/>
            </w:tcMar>
          </w:tcPr>
          <w:p w:rsidR="00071E5B" w:rsidRPr="00611F34" w:rsidRDefault="00071E5B" w:rsidP="00B4386E">
            <w:pPr>
              <w:keepNext/>
              <w:rPr>
                <w:rFonts w:ascii="Arial" w:hAnsi="Arial" w:cs="Arial"/>
                <w:sz w:val="22"/>
                <w:szCs w:val="22"/>
              </w:rPr>
            </w:pPr>
            <w:r w:rsidRPr="00611F34">
              <w:rPr>
                <w:rFonts w:ascii="Arial" w:hAnsi="Arial" w:cs="Arial"/>
                <w:sz w:val="22"/>
                <w:szCs w:val="22"/>
              </w:rPr>
              <w:t>Mean difference (95% CI SG)</w:t>
            </w:r>
            <w:r w:rsidR="00B4386E" w:rsidRPr="00611F34">
              <w:rPr>
                <w:rFonts w:ascii="Arial" w:hAnsi="Arial" w:cs="Arial"/>
                <w:sz w:val="22"/>
                <w:szCs w:val="22"/>
                <w:vertAlign w:val="superscript"/>
              </w:rPr>
              <w:t>^</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0.63 (0.37, 0.89)</w:t>
            </w:r>
            <w:r w:rsidR="001B166B" w:rsidRPr="00611F34">
              <w:rPr>
                <w:rFonts w:ascii="Arial" w:hAnsi="Arial" w:cs="Arial"/>
                <w:sz w:val="22"/>
                <w:szCs w:val="22"/>
              </w:rPr>
              <w:t>*</w:t>
            </w:r>
          </w:p>
        </w:tc>
      </w:tr>
      <w:tr w:rsidR="00071E5B" w:rsidRPr="00611F34" w:rsidTr="00071E5B">
        <w:tc>
          <w:tcPr>
            <w:tcW w:w="2435" w:type="pct"/>
            <w:tcMar>
              <w:top w:w="57" w:type="dxa"/>
              <w:bottom w:w="57" w:type="dxa"/>
            </w:tcMar>
          </w:tcPr>
          <w:p w:rsidR="00071E5B" w:rsidRPr="00611F34" w:rsidRDefault="00071E5B" w:rsidP="00B4386E">
            <w:pPr>
              <w:keepNext/>
              <w:rPr>
                <w:rFonts w:ascii="Arial" w:hAnsi="Arial" w:cs="Arial"/>
                <w:sz w:val="22"/>
                <w:szCs w:val="22"/>
              </w:rPr>
            </w:pPr>
            <w:r w:rsidRPr="00611F34">
              <w:rPr>
                <w:rFonts w:ascii="Arial" w:hAnsi="Arial" w:cs="Arial"/>
                <w:sz w:val="22"/>
                <w:szCs w:val="22"/>
              </w:rPr>
              <w:t>Mean difference (95% CI Pio)</w:t>
            </w:r>
            <w:r w:rsidR="00B4386E" w:rsidRPr="00611F34">
              <w:rPr>
                <w:rFonts w:ascii="Arial" w:hAnsi="Arial" w:cs="Arial"/>
                <w:sz w:val="22"/>
                <w:szCs w:val="22"/>
                <w:vertAlign w:val="superscript"/>
              </w:rPr>
              <w:t xml:space="preserve"> ^</w:t>
            </w:r>
          </w:p>
        </w:tc>
        <w:tc>
          <w:tcPr>
            <w:tcW w:w="775" w:type="pct"/>
            <w:tcMar>
              <w:top w:w="57" w:type="dxa"/>
              <w:bottom w:w="57" w:type="dxa"/>
            </w:tcMar>
          </w:tcPr>
          <w:p w:rsidR="00071E5B" w:rsidRPr="00611F34" w:rsidRDefault="00071E5B" w:rsidP="00071E5B">
            <w:pPr>
              <w:keepNext/>
              <w:jc w:val="center"/>
              <w:rPr>
                <w:rFonts w:ascii="Arial" w:hAnsi="Arial" w:cs="Arial"/>
                <w:sz w:val="22"/>
                <w:szCs w:val="22"/>
              </w:rPr>
            </w:pPr>
          </w:p>
        </w:tc>
        <w:tc>
          <w:tcPr>
            <w:tcW w:w="1790" w:type="pct"/>
            <w:tcMar>
              <w:top w:w="57" w:type="dxa"/>
              <w:bottom w:w="57" w:type="dxa"/>
            </w:tcMar>
          </w:tcPr>
          <w:p w:rsidR="00071E5B" w:rsidRPr="00611F34" w:rsidRDefault="00071E5B" w:rsidP="00071E5B">
            <w:pPr>
              <w:keepNext/>
              <w:jc w:val="center"/>
              <w:rPr>
                <w:rFonts w:ascii="Arial" w:hAnsi="Arial" w:cs="Arial"/>
                <w:sz w:val="22"/>
                <w:szCs w:val="22"/>
              </w:rPr>
            </w:pPr>
            <w:r w:rsidRPr="00611F34">
              <w:rPr>
                <w:rFonts w:ascii="Arial" w:hAnsi="Arial" w:cs="Arial"/>
                <w:sz w:val="22"/>
                <w:szCs w:val="22"/>
              </w:rPr>
              <w:t>0.32 (0.06, 0.57)</w:t>
            </w:r>
            <w:r w:rsidR="001B166B" w:rsidRPr="00611F34">
              <w:rPr>
                <w:rFonts w:ascii="Arial" w:hAnsi="Arial" w:cs="Arial"/>
                <w:sz w:val="22"/>
                <w:szCs w:val="22"/>
              </w:rPr>
              <w:t>*</w:t>
            </w:r>
          </w:p>
        </w:tc>
      </w:tr>
    </w:tbl>
    <w:p w:rsidR="006311C5" w:rsidRPr="00611F34" w:rsidRDefault="006311C5" w:rsidP="00263CD0">
      <w:pPr>
        <w:rPr>
          <w:rFonts w:ascii="Arial" w:hAnsi="Arial" w:cs="Arial"/>
          <w:sz w:val="18"/>
          <w:szCs w:val="18"/>
        </w:rPr>
      </w:pPr>
      <w:r w:rsidRPr="00611F34">
        <w:rPr>
          <w:rFonts w:ascii="Arial" w:hAnsi="Arial" w:cs="Arial"/>
          <w:sz w:val="18"/>
          <w:szCs w:val="18"/>
        </w:rPr>
        <w:t>*</w:t>
      </w:r>
      <w:r w:rsidRPr="00611F34">
        <w:rPr>
          <w:rFonts w:ascii="Arial" w:hAnsi="Arial" w:cs="Arial"/>
          <w:sz w:val="18"/>
          <w:szCs w:val="18"/>
          <w:vertAlign w:val="superscript"/>
        </w:rPr>
        <w:t xml:space="preserve"> </w:t>
      </w:r>
      <w:r w:rsidRPr="00611F34">
        <w:rPr>
          <w:rFonts w:ascii="Arial" w:hAnsi="Arial" w:cs="Arial"/>
          <w:sz w:val="18"/>
          <w:szCs w:val="18"/>
        </w:rPr>
        <w:t>statistically significant</w:t>
      </w:r>
    </w:p>
    <w:p w:rsidR="00071E5B" w:rsidRPr="00611F34" w:rsidRDefault="001B166B" w:rsidP="00263CD0">
      <w:pPr>
        <w:rPr>
          <w:rFonts w:ascii="Arial" w:hAnsi="Arial" w:cs="Arial"/>
          <w:i/>
          <w:sz w:val="18"/>
          <w:szCs w:val="18"/>
        </w:rPr>
      </w:pPr>
      <w:r w:rsidRPr="00611F34">
        <w:rPr>
          <w:rFonts w:ascii="Arial" w:hAnsi="Arial" w:cs="Arial"/>
          <w:sz w:val="18"/>
          <w:szCs w:val="18"/>
          <w:vertAlign w:val="superscript"/>
        </w:rPr>
        <w:t>#</w:t>
      </w:r>
      <w:r w:rsidRPr="00611F34">
        <w:rPr>
          <w:rFonts w:ascii="Arial" w:hAnsi="Arial" w:cs="Arial"/>
          <w:sz w:val="18"/>
          <w:szCs w:val="18"/>
        </w:rPr>
        <w:t xml:space="preserve"> </w:t>
      </w:r>
      <w:r w:rsidR="00043E31" w:rsidRPr="00611F34">
        <w:rPr>
          <w:rFonts w:ascii="Arial" w:hAnsi="Arial" w:cs="Arial"/>
          <w:sz w:val="20"/>
          <w:szCs w:val="20"/>
        </w:rPr>
        <w:t>i</w:t>
      </w:r>
      <w:r w:rsidR="00071E5B" w:rsidRPr="00611F34">
        <w:rPr>
          <w:rFonts w:ascii="Arial" w:hAnsi="Arial" w:cs="Arial"/>
          <w:sz w:val="20"/>
          <w:szCs w:val="20"/>
        </w:rPr>
        <w:t xml:space="preserve">nsulin glargine was dosed using the algorithm described by </w:t>
      </w:r>
      <w:proofErr w:type="spellStart"/>
      <w:r w:rsidR="00071E5B" w:rsidRPr="00611F34">
        <w:rPr>
          <w:rFonts w:ascii="Arial" w:hAnsi="Arial" w:cs="Arial"/>
          <w:sz w:val="20"/>
          <w:szCs w:val="20"/>
        </w:rPr>
        <w:t>Yki-Järvinen</w:t>
      </w:r>
      <w:proofErr w:type="spellEnd"/>
      <w:r w:rsidR="00071E5B" w:rsidRPr="00611F34">
        <w:rPr>
          <w:rFonts w:ascii="Arial" w:hAnsi="Arial" w:cs="Arial"/>
          <w:sz w:val="20"/>
          <w:szCs w:val="20"/>
        </w:rPr>
        <w:t xml:space="preserve"> et al. 2007. The mean dose of insulin glargine at the beginning of treatment was 10.1 IU/day rising to 31.1 IU/day for insulin glargine-treated patients</w:t>
      </w:r>
    </w:p>
    <w:p w:rsidR="00B4386E" w:rsidRPr="00611F34" w:rsidRDefault="00B4386E" w:rsidP="00263CD0">
      <w:pPr>
        <w:rPr>
          <w:rFonts w:ascii="Arial" w:hAnsi="Arial" w:cs="Arial"/>
          <w:sz w:val="18"/>
          <w:szCs w:val="18"/>
        </w:rPr>
      </w:pPr>
      <w:r w:rsidRPr="00611F34">
        <w:rPr>
          <w:rFonts w:ascii="Arial" w:hAnsi="Arial" w:cs="Arial"/>
          <w:sz w:val="18"/>
          <w:szCs w:val="18"/>
          <w:vertAlign w:val="superscript"/>
        </w:rPr>
        <w:t>^</w:t>
      </w:r>
      <w:r w:rsidRPr="00611F34">
        <w:rPr>
          <w:rFonts w:ascii="Arial" w:hAnsi="Arial" w:cs="Arial"/>
          <w:sz w:val="18"/>
          <w:szCs w:val="18"/>
        </w:rPr>
        <w:t>based on pairwise comparison using exenatide QW</w:t>
      </w:r>
    </w:p>
    <w:p w:rsidR="00345BA2" w:rsidRPr="00611F34" w:rsidRDefault="00345BA2" w:rsidP="00263CD0">
      <w:pPr>
        <w:rPr>
          <w:rFonts w:ascii="Arial" w:hAnsi="Arial" w:cs="Arial"/>
          <w:sz w:val="20"/>
          <w:szCs w:val="20"/>
        </w:rPr>
      </w:pPr>
    </w:p>
    <w:p w:rsidR="002915A8" w:rsidRPr="0047146E" w:rsidRDefault="00BA024B" w:rsidP="00263CD0">
      <w:r>
        <w:rPr>
          <w:noProof/>
          <w:lang w:eastAsia="en-AU"/>
        </w:rPr>
        <w:drawing>
          <wp:inline distT="0" distB="0" distL="0" distR="0">
            <wp:extent cx="5486400" cy="3723640"/>
            <wp:effectExtent l="19050" t="0" r="0" b="0"/>
            <wp:docPr id="1" name="Picture 1"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486400" cy="3723640"/>
                    </a:xfrm>
                    <a:prstGeom prst="rect">
                      <a:avLst/>
                    </a:prstGeom>
                    <a:noFill/>
                    <a:ln w="9525">
                      <a:noFill/>
                      <a:miter lim="800000"/>
                      <a:headEnd/>
                      <a:tailEnd/>
                    </a:ln>
                  </pic:spPr>
                </pic:pic>
              </a:graphicData>
            </a:graphic>
          </wp:inline>
        </w:drawing>
      </w:r>
    </w:p>
    <w:p w:rsidR="002915A8" w:rsidRPr="0047146E" w:rsidRDefault="002915A8" w:rsidP="002915A8">
      <w:pPr>
        <w:autoSpaceDE w:val="0"/>
        <w:autoSpaceDN w:val="0"/>
        <w:adjustRightInd w:val="0"/>
        <w:rPr>
          <w:lang w:val="en-US"/>
        </w:rPr>
      </w:pPr>
    </w:p>
    <w:p w:rsidR="00A66C07" w:rsidRPr="00A66C07" w:rsidRDefault="00A66C07" w:rsidP="00A66C07">
      <w:pPr>
        <w:autoSpaceDE w:val="0"/>
        <w:autoSpaceDN w:val="0"/>
        <w:adjustRightInd w:val="0"/>
        <w:rPr>
          <w:rFonts w:ascii="Arial" w:hAnsi="Arial" w:cs="Arial"/>
          <w:b/>
        </w:rPr>
      </w:pPr>
      <w:r w:rsidRPr="00A66C07">
        <w:rPr>
          <w:rFonts w:ascii="Arial" w:hAnsi="Arial" w:cs="Arial"/>
          <w:b/>
        </w:rPr>
        <w:t xml:space="preserve">Figure 3: </w:t>
      </w:r>
      <w:r w:rsidRPr="00A66C07">
        <w:rPr>
          <w:rFonts w:ascii="Arial" w:hAnsi="Arial" w:cs="Arial"/>
          <w:b/>
          <w:bCs/>
          <w:lang w:val="en-US"/>
        </w:rPr>
        <w:t>LS Mean (SE) Change in HbA1c (%) from Baseline to Week 52</w:t>
      </w:r>
    </w:p>
    <w:p w:rsidR="002915A8" w:rsidRDefault="002915A8" w:rsidP="00102069">
      <w:pPr>
        <w:rPr>
          <w:rFonts w:ascii="Arial" w:hAnsi="Arial" w:cs="Arial"/>
        </w:rPr>
      </w:pPr>
    </w:p>
    <w:p w:rsidR="00102069" w:rsidRPr="00611F34" w:rsidRDefault="00102069" w:rsidP="00102069">
      <w:pPr>
        <w:rPr>
          <w:rFonts w:ascii="Arial" w:hAnsi="Arial" w:cs="Arial"/>
        </w:rPr>
      </w:pPr>
      <w:r w:rsidRPr="00611F34">
        <w:rPr>
          <w:rFonts w:ascii="Arial" w:hAnsi="Arial" w:cs="Arial"/>
        </w:rPr>
        <w:t>Further reductions in HbA</w:t>
      </w:r>
      <w:r w:rsidRPr="00611F34">
        <w:rPr>
          <w:rFonts w:ascii="Arial" w:hAnsi="Arial" w:cs="Arial"/>
          <w:vertAlign w:val="subscript"/>
        </w:rPr>
        <w:t>1c</w:t>
      </w:r>
      <w:r w:rsidRPr="00611F34">
        <w:rPr>
          <w:rFonts w:ascii="Arial" w:hAnsi="Arial" w:cs="Arial"/>
        </w:rPr>
        <w:t xml:space="preserve"> were observed for at least 52 weeks in the patients completing both the 22 week uncontrolled study extension. The evaluable patients who switched from exenatide twice daily to </w:t>
      </w:r>
      <w:r w:rsidR="00E15B15">
        <w:rPr>
          <w:rFonts w:ascii="Arial" w:hAnsi="Arial" w:cs="Arial"/>
        </w:rPr>
        <w:t xml:space="preserve">2 mg </w:t>
      </w:r>
      <w:r w:rsidRPr="00611F34">
        <w:rPr>
          <w:rFonts w:ascii="Arial" w:hAnsi="Arial" w:cs="Arial"/>
        </w:rPr>
        <w:t>exenatide once weekly (n= 121) achieved the same improvement in HbA</w:t>
      </w:r>
      <w:r w:rsidRPr="00611F34">
        <w:rPr>
          <w:rFonts w:ascii="Arial" w:hAnsi="Arial" w:cs="Arial"/>
          <w:vertAlign w:val="subscript"/>
        </w:rPr>
        <w:t>1c</w:t>
      </w:r>
      <w:r w:rsidRPr="00611F34">
        <w:rPr>
          <w:rFonts w:ascii="Arial" w:hAnsi="Arial" w:cs="Arial"/>
        </w:rPr>
        <w:t xml:space="preserve"> of -2.0%, at the end of the extension period compared to the initial baseline, as the patients treated with </w:t>
      </w:r>
      <w:r w:rsidR="00E15B15">
        <w:rPr>
          <w:rFonts w:ascii="Arial" w:hAnsi="Arial" w:cs="Arial"/>
        </w:rPr>
        <w:t xml:space="preserve">2 mg </w:t>
      </w:r>
      <w:r w:rsidRPr="00611F34">
        <w:rPr>
          <w:rFonts w:ascii="Arial" w:hAnsi="Arial" w:cs="Arial"/>
        </w:rPr>
        <w:t>exenatide once weekly for 52 weeks.</w:t>
      </w:r>
    </w:p>
    <w:p w:rsidR="00345BA2" w:rsidRPr="00611F34" w:rsidRDefault="00345BA2" w:rsidP="00345BA2">
      <w:pPr>
        <w:pStyle w:val="BodyText"/>
        <w:keepNext/>
        <w:rPr>
          <w:sz w:val="22"/>
          <w:szCs w:val="22"/>
        </w:rPr>
      </w:pPr>
    </w:p>
    <w:p w:rsidR="00102069" w:rsidRPr="00611F34" w:rsidRDefault="00373329" w:rsidP="00102069">
      <w:pPr>
        <w:autoSpaceDE w:val="0"/>
        <w:autoSpaceDN w:val="0"/>
        <w:adjustRightInd w:val="0"/>
        <w:rPr>
          <w:rFonts w:ascii="Arial" w:hAnsi="Arial" w:cs="Arial"/>
          <w:b/>
        </w:rPr>
      </w:pPr>
      <w:r w:rsidRPr="00611F34">
        <w:rPr>
          <w:rFonts w:ascii="Arial" w:hAnsi="Arial" w:cs="Arial"/>
          <w:b/>
        </w:rPr>
        <w:t>Proportion of Patients Achieving Target</w:t>
      </w:r>
    </w:p>
    <w:p w:rsidR="00102069" w:rsidRPr="00611F34" w:rsidRDefault="00102069" w:rsidP="00102069">
      <w:pPr>
        <w:autoSpaceDE w:val="0"/>
        <w:autoSpaceDN w:val="0"/>
        <w:adjustRightInd w:val="0"/>
        <w:rPr>
          <w:rFonts w:ascii="Arial" w:hAnsi="Arial" w:cs="Arial"/>
        </w:rPr>
      </w:pPr>
    </w:p>
    <w:p w:rsidR="00102069" w:rsidRPr="00611F34" w:rsidRDefault="001F5ED0" w:rsidP="00102069">
      <w:pPr>
        <w:autoSpaceDE w:val="0"/>
        <w:autoSpaceDN w:val="0"/>
        <w:adjustRightInd w:val="0"/>
        <w:rPr>
          <w:rFonts w:ascii="Arial" w:hAnsi="Arial" w:cs="Arial"/>
        </w:rPr>
      </w:pPr>
      <w:r w:rsidRPr="00611F34">
        <w:rPr>
          <w:rFonts w:ascii="Arial" w:hAnsi="Arial" w:cs="Arial"/>
        </w:rPr>
        <w:t>As shown in Table 2, c</w:t>
      </w:r>
      <w:r w:rsidR="00102069" w:rsidRPr="00611F34">
        <w:rPr>
          <w:rFonts w:ascii="Arial" w:hAnsi="Arial" w:cs="Arial"/>
        </w:rPr>
        <w:t xml:space="preserve">linically and statistically significantly more </w:t>
      </w:r>
      <w:r w:rsidR="006E6FA3" w:rsidRPr="00611F34">
        <w:rPr>
          <w:rFonts w:ascii="Arial" w:hAnsi="Arial" w:cs="Arial"/>
        </w:rPr>
        <w:t xml:space="preserve">patients </w:t>
      </w:r>
      <w:r w:rsidR="00102069" w:rsidRPr="00611F34">
        <w:rPr>
          <w:rFonts w:ascii="Arial" w:hAnsi="Arial" w:cs="Arial"/>
        </w:rPr>
        <w:t xml:space="preserve">on </w:t>
      </w:r>
      <w:r w:rsidR="006E6FA3" w:rsidRPr="00611F34">
        <w:rPr>
          <w:rFonts w:ascii="Arial" w:hAnsi="Arial" w:cs="Arial"/>
        </w:rPr>
        <w:t>2</w:t>
      </w:r>
      <w:r w:rsidR="00E15B15">
        <w:rPr>
          <w:rFonts w:ascii="Arial" w:hAnsi="Arial" w:cs="Arial"/>
        </w:rPr>
        <w:t xml:space="preserve"> </w:t>
      </w:r>
      <w:r w:rsidR="006E6FA3" w:rsidRPr="00611F34">
        <w:rPr>
          <w:rFonts w:ascii="Arial" w:hAnsi="Arial" w:cs="Arial"/>
        </w:rPr>
        <w:t xml:space="preserve">mg </w:t>
      </w:r>
      <w:r w:rsidR="00102069" w:rsidRPr="00611F34">
        <w:rPr>
          <w:rFonts w:ascii="Arial" w:hAnsi="Arial" w:cs="Arial"/>
        </w:rPr>
        <w:t>exenatide once weekly compared to exenatide twice daily patients achieved an HbA</w:t>
      </w:r>
      <w:r w:rsidR="00102069" w:rsidRPr="00611F34">
        <w:rPr>
          <w:rFonts w:ascii="Arial" w:hAnsi="Arial" w:cs="Arial"/>
          <w:vertAlign w:val="subscript"/>
        </w:rPr>
        <w:t>1c</w:t>
      </w:r>
      <w:r w:rsidR="00102069" w:rsidRPr="00611F34">
        <w:rPr>
          <w:rFonts w:ascii="Arial" w:hAnsi="Arial" w:cs="Arial"/>
        </w:rPr>
        <w:t xml:space="preserve"> reduction of ≤ 7% or &lt;7% in the </w:t>
      </w:r>
      <w:r w:rsidR="006E6FA3" w:rsidRPr="00611F34">
        <w:rPr>
          <w:rFonts w:ascii="Arial" w:hAnsi="Arial" w:cs="Arial"/>
        </w:rPr>
        <w:t xml:space="preserve">24 week and 30 week </w:t>
      </w:r>
      <w:r w:rsidR="00102069" w:rsidRPr="00611F34">
        <w:rPr>
          <w:rFonts w:ascii="Arial" w:hAnsi="Arial" w:cs="Arial"/>
        </w:rPr>
        <w:t>studies (p</w:t>
      </w:r>
      <w:r w:rsidRPr="00611F34">
        <w:rPr>
          <w:rFonts w:ascii="Arial" w:hAnsi="Arial" w:cs="Arial"/>
        </w:rPr>
        <w:t>&lt;</w:t>
      </w:r>
      <w:r w:rsidR="00102069" w:rsidRPr="00611F34">
        <w:rPr>
          <w:rFonts w:ascii="Arial" w:hAnsi="Arial" w:cs="Arial"/>
        </w:rPr>
        <w:t xml:space="preserve">0.0001 </w:t>
      </w:r>
      <w:r w:rsidR="006E6FA3" w:rsidRPr="00611F34">
        <w:rPr>
          <w:rFonts w:ascii="Arial" w:hAnsi="Arial" w:cs="Arial"/>
        </w:rPr>
        <w:t xml:space="preserve">and p&lt;0.05 </w:t>
      </w:r>
      <w:r w:rsidR="00102069" w:rsidRPr="00611F34">
        <w:rPr>
          <w:rFonts w:ascii="Arial" w:hAnsi="Arial" w:cs="Arial"/>
        </w:rPr>
        <w:t xml:space="preserve">respectively). </w:t>
      </w:r>
      <w:r w:rsidR="006E6FA3" w:rsidRPr="00611F34">
        <w:rPr>
          <w:rFonts w:ascii="Arial" w:hAnsi="Arial" w:cs="Arial"/>
        </w:rPr>
        <w:t xml:space="preserve">Significantly more </w:t>
      </w:r>
      <w:r w:rsidR="00D04864" w:rsidRPr="00611F34">
        <w:rPr>
          <w:rFonts w:ascii="Arial" w:hAnsi="Arial" w:cs="Arial"/>
        </w:rPr>
        <w:t>patients</w:t>
      </w:r>
      <w:r w:rsidR="006E6FA3" w:rsidRPr="00611F34">
        <w:rPr>
          <w:rFonts w:ascii="Arial" w:hAnsi="Arial" w:cs="Arial"/>
        </w:rPr>
        <w:t xml:space="preserve"> on </w:t>
      </w:r>
      <w:r w:rsidR="00E15B15">
        <w:rPr>
          <w:rFonts w:ascii="Arial" w:hAnsi="Arial" w:cs="Arial"/>
        </w:rPr>
        <w:t xml:space="preserve">2 mg </w:t>
      </w:r>
      <w:r w:rsidR="006E6FA3" w:rsidRPr="00611F34">
        <w:rPr>
          <w:rFonts w:ascii="Arial" w:hAnsi="Arial" w:cs="Arial"/>
        </w:rPr>
        <w:t xml:space="preserve">exenatide once weekly achieved </w:t>
      </w:r>
      <w:r w:rsidRPr="00611F34">
        <w:rPr>
          <w:rFonts w:ascii="Arial" w:hAnsi="Arial" w:cs="Arial"/>
        </w:rPr>
        <w:t>an HbA</w:t>
      </w:r>
      <w:r w:rsidRPr="00611F34">
        <w:rPr>
          <w:rFonts w:ascii="Arial" w:hAnsi="Arial" w:cs="Arial"/>
          <w:vertAlign w:val="subscript"/>
        </w:rPr>
        <w:t>1c</w:t>
      </w:r>
      <w:r w:rsidRPr="00611F34">
        <w:rPr>
          <w:rFonts w:ascii="Arial" w:hAnsi="Arial" w:cs="Arial"/>
        </w:rPr>
        <w:t xml:space="preserve"> reduction of ≤ 7% compared to those receiving 100</w:t>
      </w:r>
      <w:r w:rsidR="00E15B15">
        <w:rPr>
          <w:rFonts w:ascii="Arial" w:hAnsi="Arial" w:cs="Arial"/>
        </w:rPr>
        <w:t xml:space="preserve"> </w:t>
      </w:r>
      <w:r w:rsidRPr="00611F34">
        <w:rPr>
          <w:rFonts w:ascii="Arial" w:hAnsi="Arial" w:cs="Arial"/>
        </w:rPr>
        <w:t>mg sitagliptin (p&lt;0.0001) and 45</w:t>
      </w:r>
      <w:r w:rsidR="00E15B15">
        <w:rPr>
          <w:rFonts w:ascii="Arial" w:hAnsi="Arial" w:cs="Arial"/>
        </w:rPr>
        <w:t xml:space="preserve"> </w:t>
      </w:r>
      <w:r w:rsidRPr="00611F34">
        <w:rPr>
          <w:rFonts w:ascii="Arial" w:hAnsi="Arial" w:cs="Arial"/>
        </w:rPr>
        <w:t>mg pioglitazone (p&lt;0.05).</w:t>
      </w:r>
    </w:p>
    <w:p w:rsidR="00D13696" w:rsidRDefault="00D13696">
      <w:pPr>
        <w:rPr>
          <w:rFonts w:ascii="Arial" w:hAnsi="Arial" w:cs="Arial"/>
        </w:rPr>
      </w:pPr>
      <w:r>
        <w:rPr>
          <w:rFonts w:ascii="Arial" w:hAnsi="Arial" w:cs="Arial"/>
        </w:rPr>
        <w:br w:type="page"/>
      </w:r>
    </w:p>
    <w:p w:rsidR="00102069" w:rsidRPr="00611F34" w:rsidRDefault="00102069" w:rsidP="00102069">
      <w:pPr>
        <w:autoSpaceDE w:val="0"/>
        <w:autoSpaceDN w:val="0"/>
        <w:adjustRightInd w:val="0"/>
        <w:rPr>
          <w:rFonts w:ascii="Arial" w:hAnsi="Arial" w:cs="Arial"/>
        </w:rPr>
      </w:pPr>
    </w:p>
    <w:p w:rsidR="001F5ED0" w:rsidRPr="00611F34" w:rsidRDefault="001F5ED0" w:rsidP="001F5ED0">
      <w:pPr>
        <w:autoSpaceDE w:val="0"/>
        <w:autoSpaceDN w:val="0"/>
        <w:adjustRightInd w:val="0"/>
        <w:jc w:val="center"/>
        <w:rPr>
          <w:rFonts w:ascii="Arial" w:hAnsi="Arial" w:cs="Arial"/>
          <w:b/>
          <w:sz w:val="22"/>
          <w:szCs w:val="22"/>
        </w:rPr>
      </w:pPr>
      <w:r w:rsidRPr="00611F34">
        <w:rPr>
          <w:rFonts w:ascii="Arial" w:hAnsi="Arial" w:cs="Arial"/>
          <w:b/>
          <w:bCs/>
          <w:color w:val="auto"/>
          <w:sz w:val="22"/>
          <w:szCs w:val="22"/>
          <w:lang w:eastAsia="en-AU"/>
        </w:rPr>
        <w:t xml:space="preserve">Table 2. Proportion of Subjects (%) Achieving HbA1c less than or equal to 7% </w:t>
      </w:r>
      <w:r w:rsidRPr="00611F34">
        <w:rPr>
          <w:rFonts w:ascii="Arial" w:hAnsi="Arial" w:cs="Arial"/>
          <w:b/>
          <w:sz w:val="22"/>
          <w:szCs w:val="22"/>
        </w:rPr>
        <w:t>for Exenatide 2</w:t>
      </w:r>
      <w:r w:rsidR="00E15B15">
        <w:rPr>
          <w:rFonts w:ascii="Arial" w:hAnsi="Arial" w:cs="Arial"/>
          <w:b/>
          <w:sz w:val="22"/>
          <w:szCs w:val="22"/>
        </w:rPr>
        <w:t xml:space="preserve"> </w:t>
      </w:r>
      <w:r w:rsidRPr="00611F34">
        <w:rPr>
          <w:rFonts w:ascii="Arial" w:hAnsi="Arial" w:cs="Arial"/>
          <w:b/>
          <w:sz w:val="22"/>
          <w:szCs w:val="22"/>
        </w:rPr>
        <w:t>mg Once Weekly Comparator Controlled Studies (intent to treat patients)</w:t>
      </w:r>
    </w:p>
    <w:p w:rsidR="001F5ED0" w:rsidRPr="00611F34" w:rsidRDefault="001F5ED0" w:rsidP="001F5ED0">
      <w:pPr>
        <w:autoSpaceDE w:val="0"/>
        <w:autoSpaceDN w:val="0"/>
        <w:adjustRightInd w:val="0"/>
        <w:rPr>
          <w:rFonts w:ascii="Arial" w:hAnsi="Arial" w:cs="Arial"/>
          <w:b/>
          <w:bCs/>
          <w:color w:val="auto"/>
          <w:sz w:val="22"/>
          <w:szCs w:val="22"/>
          <w:lang w:eastAsia="en-A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4612"/>
        <w:gridCol w:w="1468"/>
        <w:gridCol w:w="3390"/>
      </w:tblGrid>
      <w:tr w:rsidR="001F5ED0" w:rsidRPr="00611F34" w:rsidTr="00706E4E">
        <w:tc>
          <w:tcPr>
            <w:tcW w:w="2435" w:type="pct"/>
            <w:tcMar>
              <w:top w:w="57" w:type="dxa"/>
              <w:bottom w:w="57" w:type="dxa"/>
            </w:tcMar>
          </w:tcPr>
          <w:p w:rsidR="001F5ED0" w:rsidRPr="00611F34" w:rsidRDefault="001F5ED0" w:rsidP="00706E4E">
            <w:pPr>
              <w:keepNext/>
              <w:rPr>
                <w:rFonts w:ascii="Arial" w:hAnsi="Arial" w:cs="Arial"/>
              </w:rPr>
            </w:pPr>
          </w:p>
        </w:tc>
        <w:tc>
          <w:tcPr>
            <w:tcW w:w="2565" w:type="pct"/>
            <w:gridSpan w:val="2"/>
            <w:tcMar>
              <w:top w:w="57" w:type="dxa"/>
              <w:bottom w:w="57" w:type="dxa"/>
            </w:tcMar>
          </w:tcPr>
          <w:p w:rsidR="001F5ED0" w:rsidRPr="00611F34" w:rsidRDefault="001F5ED0" w:rsidP="00706E4E">
            <w:pPr>
              <w:keepNext/>
              <w:jc w:val="center"/>
              <w:rPr>
                <w:rFonts w:ascii="Arial" w:hAnsi="Arial" w:cs="Arial"/>
                <w:b/>
              </w:rPr>
            </w:pPr>
            <w:r w:rsidRPr="00611F34">
              <w:rPr>
                <w:rFonts w:ascii="Arial" w:hAnsi="Arial" w:cs="Arial"/>
                <w:b/>
              </w:rPr>
              <w:t xml:space="preserve">Proportion of Patients achieving </w:t>
            </w:r>
          </w:p>
          <w:p w:rsidR="001F5ED0" w:rsidRPr="00611F34" w:rsidRDefault="001F5ED0" w:rsidP="00706E4E">
            <w:pPr>
              <w:keepNext/>
              <w:jc w:val="center"/>
              <w:rPr>
                <w:rFonts w:ascii="Arial" w:hAnsi="Arial" w:cs="Arial"/>
                <w:b/>
              </w:rPr>
            </w:pPr>
            <w:r w:rsidRPr="00611F34">
              <w:rPr>
                <w:rFonts w:ascii="Arial" w:hAnsi="Arial" w:cs="Arial"/>
                <w:b/>
              </w:rPr>
              <w:t>HbA</w:t>
            </w:r>
            <w:r w:rsidRPr="00611F34">
              <w:rPr>
                <w:rFonts w:ascii="Arial" w:hAnsi="Arial" w:cs="Arial"/>
                <w:b/>
                <w:vertAlign w:val="subscript"/>
              </w:rPr>
              <w:t>1c</w:t>
            </w:r>
            <w:r w:rsidRPr="00611F34">
              <w:rPr>
                <w:rFonts w:ascii="Arial" w:hAnsi="Arial" w:cs="Arial"/>
                <w:b/>
              </w:rPr>
              <w:t xml:space="preserve"> target (%)</w:t>
            </w:r>
          </w:p>
        </w:tc>
      </w:tr>
      <w:tr w:rsidR="001F5ED0" w:rsidRPr="00611F34" w:rsidTr="00706E4E">
        <w:tc>
          <w:tcPr>
            <w:tcW w:w="5000" w:type="pct"/>
            <w:gridSpan w:val="3"/>
            <w:tcMar>
              <w:top w:w="57" w:type="dxa"/>
              <w:bottom w:w="57" w:type="dxa"/>
            </w:tcMar>
            <w:vAlign w:val="center"/>
          </w:tcPr>
          <w:p w:rsidR="001F5ED0" w:rsidRPr="00611F34" w:rsidRDefault="001F5ED0" w:rsidP="00706E4E">
            <w:pPr>
              <w:keepNext/>
              <w:rPr>
                <w:rFonts w:ascii="Arial" w:hAnsi="Arial" w:cs="Arial"/>
                <w:b/>
              </w:rPr>
            </w:pPr>
            <w:r w:rsidRPr="00611F34">
              <w:rPr>
                <w:rFonts w:ascii="Arial" w:hAnsi="Arial" w:cs="Arial"/>
                <w:b/>
              </w:rPr>
              <w:t xml:space="preserve">Study </w:t>
            </w:r>
          </w:p>
        </w:tc>
      </w:tr>
      <w:tr w:rsidR="001F5ED0" w:rsidRPr="00611F34" w:rsidTr="00706E4E">
        <w:tc>
          <w:tcPr>
            <w:tcW w:w="5000" w:type="pct"/>
            <w:gridSpan w:val="3"/>
            <w:tcMar>
              <w:top w:w="57" w:type="dxa"/>
              <w:bottom w:w="57" w:type="dxa"/>
            </w:tcMar>
            <w:vAlign w:val="center"/>
          </w:tcPr>
          <w:p w:rsidR="001F5ED0" w:rsidRPr="00611F34" w:rsidRDefault="001F5ED0" w:rsidP="00706E4E">
            <w:pPr>
              <w:keepNext/>
              <w:rPr>
                <w:rFonts w:ascii="Arial" w:hAnsi="Arial" w:cs="Arial"/>
                <w:sz w:val="22"/>
                <w:szCs w:val="22"/>
              </w:rPr>
            </w:pPr>
            <w:r w:rsidRPr="00611F34">
              <w:rPr>
                <w:rFonts w:ascii="Arial" w:hAnsi="Arial" w:cs="Arial"/>
                <w:b/>
                <w:sz w:val="22"/>
                <w:szCs w:val="22"/>
              </w:rPr>
              <w:t>2</w:t>
            </w:r>
            <w:r w:rsidR="00E15B15">
              <w:rPr>
                <w:rFonts w:ascii="Arial" w:hAnsi="Arial" w:cs="Arial"/>
                <w:b/>
                <w:sz w:val="22"/>
                <w:szCs w:val="22"/>
              </w:rPr>
              <w:t xml:space="preserve"> </w:t>
            </w:r>
            <w:r w:rsidRPr="00611F34">
              <w:rPr>
                <w:rFonts w:ascii="Arial" w:hAnsi="Arial" w:cs="Arial"/>
                <w:b/>
                <w:sz w:val="22"/>
                <w:szCs w:val="22"/>
              </w:rPr>
              <w:t>mg exenatide once weekly vs. exenatide twice daily - 24 weeks of treatment</w:t>
            </w:r>
          </w:p>
        </w:tc>
      </w:tr>
      <w:tr w:rsidR="001F5ED0" w:rsidRPr="00611F34" w:rsidTr="00706E4E">
        <w:tc>
          <w:tcPr>
            <w:tcW w:w="2435" w:type="pct"/>
            <w:tcMar>
              <w:top w:w="57" w:type="dxa"/>
              <w:bottom w:w="57" w:type="dxa"/>
            </w:tcMar>
          </w:tcPr>
          <w:p w:rsidR="001F5ED0" w:rsidRPr="00611F34" w:rsidDel="00D536CC" w:rsidRDefault="001F5ED0" w:rsidP="00706E4E">
            <w:pPr>
              <w:keepNext/>
              <w:rPr>
                <w:rFonts w:ascii="Arial" w:hAnsi="Arial" w:cs="Arial"/>
                <w:sz w:val="22"/>
                <w:szCs w:val="22"/>
              </w:rPr>
            </w:pP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b/>
                <w:sz w:val="22"/>
                <w:szCs w:val="22"/>
              </w:rPr>
              <w:t>N</w:t>
            </w:r>
          </w:p>
        </w:tc>
        <w:tc>
          <w:tcPr>
            <w:tcW w:w="1790"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b/>
                <w:sz w:val="22"/>
                <w:szCs w:val="22"/>
              </w:rPr>
              <w:t>HbA</w:t>
            </w:r>
            <w:r w:rsidRPr="00611F34">
              <w:rPr>
                <w:rFonts w:ascii="Arial" w:hAnsi="Arial" w:cs="Arial"/>
                <w:b/>
                <w:sz w:val="22"/>
                <w:szCs w:val="22"/>
                <w:vertAlign w:val="subscript"/>
              </w:rPr>
              <w:t xml:space="preserve">1c </w:t>
            </w:r>
            <w:r w:rsidRPr="00611F34">
              <w:rPr>
                <w:rFonts w:ascii="Arial" w:hAnsi="Arial" w:cs="Arial"/>
                <w:b/>
                <w:sz w:val="22"/>
                <w:szCs w:val="22"/>
              </w:rPr>
              <w:t>&lt;7%</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r w:rsidRPr="00611F34">
              <w:rPr>
                <w:rFonts w:ascii="Arial" w:hAnsi="Arial" w:cs="Arial"/>
                <w:sz w:val="22"/>
                <w:szCs w:val="22"/>
              </w:rPr>
              <w:t>2</w:t>
            </w:r>
            <w:r w:rsidR="00E15B15">
              <w:rPr>
                <w:rFonts w:ascii="Arial" w:hAnsi="Arial" w:cs="Arial"/>
                <w:sz w:val="22"/>
                <w:szCs w:val="22"/>
              </w:rPr>
              <w:t xml:space="preserve"> </w:t>
            </w:r>
            <w:r w:rsidRPr="00611F34">
              <w:rPr>
                <w:rFonts w:ascii="Arial" w:hAnsi="Arial" w:cs="Arial"/>
                <w:sz w:val="22"/>
                <w:szCs w:val="22"/>
              </w:rPr>
              <w:t>mg exenatide once weekly (QW)</w:t>
            </w: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sz w:val="22"/>
                <w:szCs w:val="22"/>
              </w:rPr>
              <w:t>129</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sz w:val="22"/>
                <w:szCs w:val="22"/>
              </w:rPr>
              <w:t>58</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r w:rsidRPr="00611F34">
              <w:rPr>
                <w:rFonts w:ascii="Arial" w:hAnsi="Arial" w:cs="Arial"/>
                <w:sz w:val="22"/>
                <w:szCs w:val="22"/>
              </w:rPr>
              <w:t>10</w:t>
            </w:r>
            <w:r w:rsidR="00E15B15">
              <w:rPr>
                <w:rFonts w:ascii="Arial" w:hAnsi="Arial" w:cs="Arial"/>
                <w:sz w:val="22"/>
                <w:szCs w:val="22"/>
              </w:rPr>
              <w:t xml:space="preserve"> </w:t>
            </w:r>
            <w:r w:rsidRPr="00611F34">
              <w:rPr>
                <w:rFonts w:ascii="Arial" w:hAnsi="Arial" w:cs="Arial"/>
                <w:sz w:val="22"/>
                <w:szCs w:val="22"/>
              </w:rPr>
              <w:t>µg exenatide twice daily (BID)</w:t>
            </w: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sz w:val="22"/>
                <w:szCs w:val="22"/>
              </w:rPr>
              <w:t>123</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sz w:val="22"/>
                <w:szCs w:val="22"/>
              </w:rPr>
              <w:t>30</w:t>
            </w:r>
            <w:r w:rsidR="006311C5" w:rsidRPr="00611F34">
              <w:rPr>
                <w:rFonts w:ascii="Arial" w:hAnsi="Arial" w:cs="Arial"/>
                <w:sz w:val="22"/>
                <w:szCs w:val="22"/>
              </w:rPr>
              <w:t>*</w:t>
            </w:r>
          </w:p>
        </w:tc>
      </w:tr>
      <w:tr w:rsidR="001F5ED0" w:rsidRPr="00611F34" w:rsidTr="00706E4E">
        <w:tc>
          <w:tcPr>
            <w:tcW w:w="5000" w:type="pct"/>
            <w:gridSpan w:val="3"/>
            <w:tcMar>
              <w:top w:w="57" w:type="dxa"/>
              <w:bottom w:w="57" w:type="dxa"/>
            </w:tcMar>
            <w:vAlign w:val="center"/>
          </w:tcPr>
          <w:p w:rsidR="001F5ED0" w:rsidRPr="00611F34" w:rsidRDefault="001F5ED0" w:rsidP="00706E4E">
            <w:pPr>
              <w:keepNext/>
              <w:rPr>
                <w:rFonts w:ascii="Arial" w:hAnsi="Arial" w:cs="Arial"/>
                <w:b/>
                <w:sz w:val="22"/>
                <w:szCs w:val="22"/>
              </w:rPr>
            </w:pPr>
            <w:r w:rsidRPr="00611F34">
              <w:rPr>
                <w:rFonts w:ascii="Arial" w:hAnsi="Arial" w:cs="Arial"/>
                <w:b/>
                <w:sz w:val="22"/>
                <w:szCs w:val="22"/>
              </w:rPr>
              <w:t>2</w:t>
            </w:r>
            <w:r w:rsidR="00E15B15">
              <w:rPr>
                <w:rFonts w:ascii="Arial" w:hAnsi="Arial" w:cs="Arial"/>
                <w:b/>
                <w:sz w:val="22"/>
                <w:szCs w:val="22"/>
              </w:rPr>
              <w:t xml:space="preserve"> </w:t>
            </w:r>
            <w:r w:rsidRPr="00611F34">
              <w:rPr>
                <w:rFonts w:ascii="Arial" w:hAnsi="Arial" w:cs="Arial"/>
                <w:b/>
                <w:sz w:val="22"/>
                <w:szCs w:val="22"/>
              </w:rPr>
              <w:t>mg exenatide once weekly vs. exenatide twice daily - 30 weeks of treatment</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b/>
                <w:sz w:val="22"/>
                <w:szCs w:val="22"/>
              </w:rPr>
              <w:t>N</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b/>
                <w:sz w:val="22"/>
                <w:szCs w:val="22"/>
              </w:rPr>
              <w:t>HbA</w:t>
            </w:r>
            <w:r w:rsidRPr="00611F34">
              <w:rPr>
                <w:rFonts w:ascii="Arial" w:hAnsi="Arial" w:cs="Arial"/>
                <w:b/>
                <w:sz w:val="22"/>
                <w:szCs w:val="22"/>
                <w:vertAlign w:val="subscript"/>
              </w:rPr>
              <w:t xml:space="preserve">1c </w:t>
            </w:r>
            <w:r w:rsidRPr="00611F34">
              <w:rPr>
                <w:rFonts w:ascii="Arial" w:hAnsi="Arial" w:cs="Arial"/>
                <w:b/>
                <w:sz w:val="22"/>
                <w:szCs w:val="22"/>
              </w:rPr>
              <w:t>≤7%</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r w:rsidRPr="00611F34">
              <w:rPr>
                <w:rFonts w:ascii="Arial" w:hAnsi="Arial" w:cs="Arial"/>
                <w:sz w:val="22"/>
                <w:szCs w:val="22"/>
              </w:rPr>
              <w:t>2</w:t>
            </w:r>
            <w:r w:rsidR="00E15B15">
              <w:rPr>
                <w:rFonts w:ascii="Arial" w:hAnsi="Arial" w:cs="Arial"/>
                <w:sz w:val="22"/>
                <w:szCs w:val="22"/>
              </w:rPr>
              <w:t xml:space="preserve"> </w:t>
            </w:r>
            <w:r w:rsidRPr="00611F34">
              <w:rPr>
                <w:rFonts w:ascii="Arial" w:hAnsi="Arial" w:cs="Arial"/>
                <w:sz w:val="22"/>
                <w:szCs w:val="22"/>
              </w:rPr>
              <w:t>mg exenatide once weekly (QW)</w:t>
            </w: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sz w:val="22"/>
                <w:szCs w:val="22"/>
              </w:rPr>
              <w:t>148</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sz w:val="22"/>
                <w:szCs w:val="22"/>
              </w:rPr>
              <w:t>73</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r w:rsidRPr="00611F34">
              <w:rPr>
                <w:rFonts w:ascii="Arial" w:hAnsi="Arial" w:cs="Arial"/>
                <w:sz w:val="22"/>
                <w:szCs w:val="22"/>
              </w:rPr>
              <w:t>10</w:t>
            </w:r>
            <w:r w:rsidR="00E15B15">
              <w:rPr>
                <w:rFonts w:ascii="Arial" w:hAnsi="Arial" w:cs="Arial"/>
                <w:sz w:val="22"/>
                <w:szCs w:val="22"/>
              </w:rPr>
              <w:t xml:space="preserve"> </w:t>
            </w:r>
            <w:r w:rsidRPr="00611F34">
              <w:rPr>
                <w:rFonts w:ascii="Arial" w:hAnsi="Arial" w:cs="Arial"/>
                <w:sz w:val="22"/>
                <w:szCs w:val="22"/>
              </w:rPr>
              <w:t>µg exenatide twice daily (BID)</w:t>
            </w: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sz w:val="22"/>
                <w:szCs w:val="22"/>
              </w:rPr>
              <w:t>147</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sz w:val="22"/>
                <w:szCs w:val="22"/>
              </w:rPr>
              <w:t>57</w:t>
            </w:r>
            <w:r w:rsidR="006311C5" w:rsidRPr="00611F34">
              <w:rPr>
                <w:rFonts w:ascii="Arial" w:hAnsi="Arial" w:cs="Arial"/>
                <w:sz w:val="22"/>
                <w:szCs w:val="22"/>
              </w:rPr>
              <w:t>*</w:t>
            </w:r>
          </w:p>
        </w:tc>
      </w:tr>
      <w:tr w:rsidR="001F5ED0" w:rsidRPr="00611F34" w:rsidTr="00706E4E">
        <w:tc>
          <w:tcPr>
            <w:tcW w:w="5000" w:type="pct"/>
            <w:gridSpan w:val="3"/>
            <w:tcMar>
              <w:top w:w="57" w:type="dxa"/>
              <w:bottom w:w="57" w:type="dxa"/>
            </w:tcMar>
          </w:tcPr>
          <w:p w:rsidR="001F5ED0" w:rsidRPr="00611F34" w:rsidRDefault="001F5ED0" w:rsidP="00706E4E">
            <w:pPr>
              <w:keepNext/>
              <w:rPr>
                <w:rFonts w:ascii="Arial" w:hAnsi="Arial" w:cs="Arial"/>
                <w:sz w:val="22"/>
                <w:szCs w:val="22"/>
              </w:rPr>
            </w:pPr>
            <w:r w:rsidRPr="00611F34">
              <w:rPr>
                <w:rFonts w:ascii="Arial" w:hAnsi="Arial" w:cs="Arial"/>
                <w:b/>
                <w:sz w:val="22"/>
                <w:szCs w:val="22"/>
              </w:rPr>
              <w:t>2</w:t>
            </w:r>
            <w:r w:rsidR="00E15B15">
              <w:rPr>
                <w:rFonts w:ascii="Arial" w:hAnsi="Arial" w:cs="Arial"/>
                <w:b/>
                <w:sz w:val="22"/>
                <w:szCs w:val="22"/>
              </w:rPr>
              <w:t xml:space="preserve"> </w:t>
            </w:r>
            <w:r w:rsidRPr="00611F34">
              <w:rPr>
                <w:rFonts w:ascii="Arial" w:hAnsi="Arial" w:cs="Arial"/>
                <w:b/>
                <w:sz w:val="22"/>
                <w:szCs w:val="22"/>
              </w:rPr>
              <w:t>mg exenatide once weekly vs. insulin glargine once daily – 26 weeks of treatment</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b/>
                <w:sz w:val="22"/>
                <w:szCs w:val="22"/>
              </w:rPr>
              <w:t>N</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b/>
                <w:sz w:val="22"/>
                <w:szCs w:val="22"/>
              </w:rPr>
              <w:t>HbA</w:t>
            </w:r>
            <w:r w:rsidRPr="00611F34">
              <w:rPr>
                <w:rFonts w:ascii="Arial" w:hAnsi="Arial" w:cs="Arial"/>
                <w:b/>
                <w:sz w:val="22"/>
                <w:szCs w:val="22"/>
                <w:vertAlign w:val="subscript"/>
              </w:rPr>
              <w:t xml:space="preserve">1c </w:t>
            </w:r>
            <w:r w:rsidRPr="00611F34">
              <w:rPr>
                <w:rFonts w:ascii="Arial" w:hAnsi="Arial" w:cs="Arial"/>
                <w:b/>
                <w:sz w:val="22"/>
                <w:szCs w:val="22"/>
              </w:rPr>
              <w:t>≤7%</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r w:rsidRPr="00611F34">
              <w:rPr>
                <w:rFonts w:ascii="Arial" w:hAnsi="Arial" w:cs="Arial"/>
                <w:sz w:val="22"/>
                <w:szCs w:val="22"/>
              </w:rPr>
              <w:t>2</w:t>
            </w:r>
            <w:r w:rsidR="00E15B15">
              <w:rPr>
                <w:rFonts w:ascii="Arial" w:hAnsi="Arial" w:cs="Arial"/>
                <w:sz w:val="22"/>
                <w:szCs w:val="22"/>
              </w:rPr>
              <w:t xml:space="preserve"> </w:t>
            </w:r>
            <w:r w:rsidRPr="00611F34">
              <w:rPr>
                <w:rFonts w:ascii="Arial" w:hAnsi="Arial" w:cs="Arial"/>
                <w:sz w:val="22"/>
                <w:szCs w:val="22"/>
              </w:rPr>
              <w:t>mg exenatide once weekly (QW)</w:t>
            </w: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sz w:val="22"/>
                <w:szCs w:val="22"/>
              </w:rPr>
              <w:t>233</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sz w:val="22"/>
                <w:szCs w:val="22"/>
              </w:rPr>
              <w:t>62</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r w:rsidRPr="00611F34">
              <w:rPr>
                <w:rFonts w:ascii="Arial" w:hAnsi="Arial" w:cs="Arial"/>
                <w:sz w:val="22"/>
                <w:szCs w:val="22"/>
              </w:rPr>
              <w:t>Insulin glargine (IG)</w:t>
            </w:r>
            <w:r w:rsidR="006311C5" w:rsidRPr="00611F34">
              <w:rPr>
                <w:rFonts w:ascii="Arial" w:hAnsi="Arial" w:cs="Arial"/>
                <w:sz w:val="22"/>
                <w:szCs w:val="22"/>
                <w:vertAlign w:val="superscript"/>
              </w:rPr>
              <w:t>#</w:t>
            </w: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sz w:val="22"/>
                <w:szCs w:val="22"/>
              </w:rPr>
              <w:t>223</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sz w:val="22"/>
                <w:szCs w:val="22"/>
              </w:rPr>
              <w:t>54</w:t>
            </w:r>
          </w:p>
        </w:tc>
      </w:tr>
      <w:tr w:rsidR="001F5ED0" w:rsidRPr="00611F34" w:rsidTr="00706E4E">
        <w:tc>
          <w:tcPr>
            <w:tcW w:w="5000" w:type="pct"/>
            <w:gridSpan w:val="3"/>
            <w:tcMar>
              <w:top w:w="57" w:type="dxa"/>
              <w:bottom w:w="57" w:type="dxa"/>
            </w:tcMar>
            <w:vAlign w:val="center"/>
          </w:tcPr>
          <w:p w:rsidR="001F5ED0" w:rsidRPr="00611F34" w:rsidRDefault="001F5ED0" w:rsidP="00706E4E">
            <w:pPr>
              <w:keepNext/>
              <w:rPr>
                <w:rFonts w:ascii="Arial" w:hAnsi="Arial" w:cs="Arial"/>
                <w:sz w:val="22"/>
                <w:szCs w:val="22"/>
                <w:highlight w:val="yellow"/>
              </w:rPr>
            </w:pPr>
            <w:r w:rsidRPr="00611F34">
              <w:rPr>
                <w:rFonts w:ascii="Arial" w:hAnsi="Arial" w:cs="Arial"/>
                <w:b/>
                <w:sz w:val="22"/>
                <w:szCs w:val="22"/>
              </w:rPr>
              <w:t>2</w:t>
            </w:r>
            <w:r w:rsidR="00E15B15">
              <w:rPr>
                <w:rFonts w:ascii="Arial" w:hAnsi="Arial" w:cs="Arial"/>
                <w:b/>
                <w:sz w:val="22"/>
                <w:szCs w:val="22"/>
              </w:rPr>
              <w:t xml:space="preserve"> </w:t>
            </w:r>
            <w:r w:rsidRPr="00611F34">
              <w:rPr>
                <w:rFonts w:ascii="Arial" w:hAnsi="Arial" w:cs="Arial"/>
                <w:b/>
                <w:sz w:val="22"/>
                <w:szCs w:val="22"/>
              </w:rPr>
              <w:t>mg exenatide once weekly vs. sitagliptin or pioglitazone – 26 weeks of treatment</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b/>
                <w:sz w:val="22"/>
                <w:szCs w:val="22"/>
              </w:rPr>
              <w:t>N</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b/>
                <w:sz w:val="22"/>
                <w:szCs w:val="22"/>
              </w:rPr>
              <w:t>HbA</w:t>
            </w:r>
            <w:r w:rsidRPr="00611F34">
              <w:rPr>
                <w:rFonts w:ascii="Arial" w:hAnsi="Arial" w:cs="Arial"/>
                <w:b/>
                <w:color w:val="auto"/>
                <w:sz w:val="22"/>
                <w:szCs w:val="22"/>
                <w:vertAlign w:val="subscript"/>
              </w:rPr>
              <w:t>1c</w:t>
            </w:r>
            <w:r w:rsidRPr="00611F34">
              <w:rPr>
                <w:rFonts w:ascii="Arial" w:hAnsi="Arial" w:cs="Arial"/>
                <w:b/>
                <w:sz w:val="22"/>
                <w:szCs w:val="22"/>
                <w:vertAlign w:val="subscript"/>
              </w:rPr>
              <w:t xml:space="preserve"> </w:t>
            </w:r>
            <w:r w:rsidRPr="00611F34">
              <w:rPr>
                <w:rFonts w:ascii="Arial" w:hAnsi="Arial" w:cs="Arial"/>
                <w:b/>
                <w:sz w:val="22"/>
                <w:szCs w:val="22"/>
              </w:rPr>
              <w:t>≤7%</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r w:rsidRPr="00611F34">
              <w:rPr>
                <w:rFonts w:ascii="Arial" w:hAnsi="Arial" w:cs="Arial"/>
                <w:sz w:val="22"/>
                <w:szCs w:val="22"/>
              </w:rPr>
              <w:t>2</w:t>
            </w:r>
            <w:r w:rsidR="00E15B15">
              <w:rPr>
                <w:rFonts w:ascii="Arial" w:hAnsi="Arial" w:cs="Arial"/>
                <w:sz w:val="22"/>
                <w:szCs w:val="22"/>
              </w:rPr>
              <w:t xml:space="preserve"> </w:t>
            </w:r>
            <w:r w:rsidRPr="00611F34">
              <w:rPr>
                <w:rFonts w:ascii="Arial" w:hAnsi="Arial" w:cs="Arial"/>
                <w:sz w:val="22"/>
                <w:szCs w:val="22"/>
              </w:rPr>
              <w:t>mg exenatide once weekly (QW)</w:t>
            </w: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sz w:val="22"/>
                <w:szCs w:val="22"/>
              </w:rPr>
              <w:t>160</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sz w:val="22"/>
                <w:szCs w:val="22"/>
              </w:rPr>
              <w:t>62</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r w:rsidRPr="00611F34">
              <w:rPr>
                <w:rFonts w:ascii="Arial" w:hAnsi="Arial" w:cs="Arial"/>
                <w:sz w:val="22"/>
                <w:szCs w:val="22"/>
              </w:rPr>
              <w:t>100</w:t>
            </w:r>
            <w:r w:rsidR="00E15B15">
              <w:rPr>
                <w:rFonts w:ascii="Arial" w:hAnsi="Arial" w:cs="Arial"/>
                <w:sz w:val="22"/>
                <w:szCs w:val="22"/>
              </w:rPr>
              <w:t xml:space="preserve"> </w:t>
            </w:r>
            <w:r w:rsidRPr="00611F34">
              <w:rPr>
                <w:rFonts w:ascii="Arial" w:hAnsi="Arial" w:cs="Arial"/>
                <w:sz w:val="22"/>
                <w:szCs w:val="22"/>
              </w:rPr>
              <w:t>mg sitagliptin (SG)</w:t>
            </w: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sz w:val="22"/>
                <w:szCs w:val="22"/>
              </w:rPr>
              <w:t>166</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sz w:val="22"/>
                <w:szCs w:val="22"/>
              </w:rPr>
              <w:t>36</w:t>
            </w:r>
            <w:r w:rsidR="006311C5" w:rsidRPr="00611F34">
              <w:rPr>
                <w:rFonts w:ascii="Arial" w:hAnsi="Arial" w:cs="Arial"/>
                <w:sz w:val="22"/>
                <w:szCs w:val="22"/>
              </w:rPr>
              <w:t>*</w:t>
            </w:r>
          </w:p>
        </w:tc>
      </w:tr>
      <w:tr w:rsidR="001F5ED0" w:rsidRPr="00611F34" w:rsidTr="00706E4E">
        <w:tc>
          <w:tcPr>
            <w:tcW w:w="2435" w:type="pct"/>
            <w:tcMar>
              <w:top w:w="57" w:type="dxa"/>
              <w:bottom w:w="57" w:type="dxa"/>
            </w:tcMar>
          </w:tcPr>
          <w:p w:rsidR="001F5ED0" w:rsidRPr="00611F34" w:rsidRDefault="001F5ED0" w:rsidP="00706E4E">
            <w:pPr>
              <w:keepNext/>
              <w:rPr>
                <w:rFonts w:ascii="Arial" w:hAnsi="Arial" w:cs="Arial"/>
                <w:sz w:val="22"/>
                <w:szCs w:val="22"/>
              </w:rPr>
            </w:pPr>
            <w:r w:rsidRPr="00611F34">
              <w:rPr>
                <w:rFonts w:ascii="Arial" w:hAnsi="Arial" w:cs="Arial"/>
                <w:sz w:val="22"/>
                <w:szCs w:val="22"/>
              </w:rPr>
              <w:t>45</w:t>
            </w:r>
            <w:r w:rsidR="00E15B15">
              <w:rPr>
                <w:rFonts w:ascii="Arial" w:hAnsi="Arial" w:cs="Arial"/>
                <w:sz w:val="22"/>
                <w:szCs w:val="22"/>
              </w:rPr>
              <w:t xml:space="preserve"> </w:t>
            </w:r>
            <w:r w:rsidRPr="00611F34">
              <w:rPr>
                <w:rFonts w:ascii="Arial" w:hAnsi="Arial" w:cs="Arial"/>
                <w:sz w:val="22"/>
                <w:szCs w:val="22"/>
              </w:rPr>
              <w:t>mg pioglitazone (Pio)</w:t>
            </w:r>
          </w:p>
        </w:tc>
        <w:tc>
          <w:tcPr>
            <w:tcW w:w="775" w:type="pct"/>
            <w:tcMar>
              <w:top w:w="57" w:type="dxa"/>
              <w:bottom w:w="57" w:type="dxa"/>
            </w:tcMar>
          </w:tcPr>
          <w:p w:rsidR="001F5ED0" w:rsidRPr="00611F34" w:rsidRDefault="001F5ED0" w:rsidP="00706E4E">
            <w:pPr>
              <w:keepNext/>
              <w:jc w:val="center"/>
              <w:rPr>
                <w:rFonts w:ascii="Arial" w:hAnsi="Arial" w:cs="Arial"/>
                <w:sz w:val="22"/>
                <w:szCs w:val="22"/>
              </w:rPr>
            </w:pPr>
            <w:r w:rsidRPr="00611F34">
              <w:rPr>
                <w:rFonts w:ascii="Arial" w:hAnsi="Arial" w:cs="Arial"/>
                <w:sz w:val="22"/>
                <w:szCs w:val="22"/>
              </w:rPr>
              <w:t>165</w:t>
            </w:r>
          </w:p>
        </w:tc>
        <w:tc>
          <w:tcPr>
            <w:tcW w:w="1790" w:type="pct"/>
            <w:tcMar>
              <w:top w:w="57" w:type="dxa"/>
              <w:bottom w:w="57" w:type="dxa"/>
            </w:tcMar>
          </w:tcPr>
          <w:p w:rsidR="001F5ED0" w:rsidRPr="00611F34" w:rsidRDefault="001F5ED0" w:rsidP="00706E4E">
            <w:pPr>
              <w:keepNext/>
              <w:ind w:left="284"/>
              <w:jc w:val="center"/>
              <w:rPr>
                <w:rFonts w:ascii="Arial" w:hAnsi="Arial" w:cs="Arial"/>
                <w:sz w:val="22"/>
                <w:szCs w:val="22"/>
              </w:rPr>
            </w:pPr>
            <w:r w:rsidRPr="00611F34">
              <w:rPr>
                <w:rFonts w:ascii="Arial" w:hAnsi="Arial" w:cs="Arial"/>
                <w:sz w:val="22"/>
                <w:szCs w:val="22"/>
              </w:rPr>
              <w:t>49</w:t>
            </w:r>
            <w:r w:rsidR="006311C5" w:rsidRPr="00611F34">
              <w:rPr>
                <w:rFonts w:ascii="Arial" w:hAnsi="Arial" w:cs="Arial"/>
                <w:sz w:val="22"/>
                <w:szCs w:val="22"/>
              </w:rPr>
              <w:t>*</w:t>
            </w:r>
          </w:p>
        </w:tc>
      </w:tr>
    </w:tbl>
    <w:p w:rsidR="006311C5" w:rsidRPr="00611F34" w:rsidRDefault="006311C5" w:rsidP="001F5ED0">
      <w:pPr>
        <w:keepNext/>
        <w:rPr>
          <w:rFonts w:ascii="Arial" w:hAnsi="Arial" w:cs="Arial"/>
          <w:sz w:val="18"/>
          <w:szCs w:val="18"/>
        </w:rPr>
      </w:pPr>
      <w:r w:rsidRPr="00611F34">
        <w:rPr>
          <w:rFonts w:ascii="Arial" w:hAnsi="Arial" w:cs="Arial"/>
          <w:sz w:val="18"/>
          <w:szCs w:val="18"/>
        </w:rPr>
        <w:t>*statistically significant</w:t>
      </w:r>
    </w:p>
    <w:p w:rsidR="001F5ED0" w:rsidRPr="00611F34" w:rsidRDefault="006311C5" w:rsidP="001F5ED0">
      <w:pPr>
        <w:keepNext/>
        <w:rPr>
          <w:rFonts w:ascii="Arial" w:hAnsi="Arial" w:cs="Arial"/>
          <w:i/>
          <w:sz w:val="18"/>
          <w:szCs w:val="18"/>
        </w:rPr>
      </w:pPr>
      <w:r w:rsidRPr="00611F34">
        <w:rPr>
          <w:rFonts w:ascii="Arial" w:hAnsi="Arial" w:cs="Arial"/>
          <w:sz w:val="18"/>
          <w:szCs w:val="18"/>
          <w:vertAlign w:val="superscript"/>
        </w:rPr>
        <w:t>#</w:t>
      </w:r>
      <w:r w:rsidR="00043E31" w:rsidRPr="00611F34">
        <w:rPr>
          <w:rFonts w:ascii="Arial" w:hAnsi="Arial" w:cs="Arial"/>
          <w:sz w:val="20"/>
          <w:szCs w:val="20"/>
        </w:rPr>
        <w:t>i</w:t>
      </w:r>
      <w:r w:rsidR="001F5ED0" w:rsidRPr="00611F34">
        <w:rPr>
          <w:rFonts w:ascii="Arial" w:hAnsi="Arial" w:cs="Arial"/>
          <w:sz w:val="20"/>
          <w:szCs w:val="20"/>
        </w:rPr>
        <w:t xml:space="preserve">nsulin glargine was dosed using the algorithm described by </w:t>
      </w:r>
      <w:proofErr w:type="spellStart"/>
      <w:r w:rsidR="001F5ED0" w:rsidRPr="00611F34">
        <w:rPr>
          <w:rFonts w:ascii="Arial" w:hAnsi="Arial" w:cs="Arial"/>
          <w:sz w:val="20"/>
          <w:szCs w:val="20"/>
        </w:rPr>
        <w:t>Yki-Järvinen</w:t>
      </w:r>
      <w:proofErr w:type="spellEnd"/>
      <w:r w:rsidR="001F5ED0" w:rsidRPr="00611F34">
        <w:rPr>
          <w:rFonts w:ascii="Arial" w:hAnsi="Arial" w:cs="Arial"/>
          <w:sz w:val="20"/>
          <w:szCs w:val="20"/>
        </w:rPr>
        <w:t xml:space="preserve"> et al. 2007. The mean dose of insulin glargine at the beginning of treatment was 10.1 IU/day rising to 31.1 IU/day for insulin glargine-treated patients</w:t>
      </w:r>
    </w:p>
    <w:p w:rsidR="00102069" w:rsidRPr="00611F34" w:rsidRDefault="00102069" w:rsidP="00183CB5">
      <w:pPr>
        <w:pStyle w:val="BodyText"/>
        <w:rPr>
          <w:rFonts w:ascii="Arial" w:hAnsi="Arial" w:cs="Arial"/>
        </w:rPr>
      </w:pPr>
    </w:p>
    <w:p w:rsidR="00183CB5" w:rsidRPr="00611F34" w:rsidRDefault="00183CB5" w:rsidP="00183CB5">
      <w:pPr>
        <w:pStyle w:val="Heading6"/>
        <w:ind w:right="-448"/>
        <w:rPr>
          <w:rFonts w:ascii="Arial" w:hAnsi="Arial" w:cs="Arial"/>
          <w:iCs/>
          <w:sz w:val="24"/>
          <w:lang w:val="en-AU"/>
        </w:rPr>
      </w:pPr>
      <w:r w:rsidRPr="00611F34">
        <w:rPr>
          <w:rFonts w:ascii="Arial" w:hAnsi="Arial" w:cs="Arial"/>
          <w:iCs/>
          <w:sz w:val="24"/>
          <w:lang w:val="en-AU"/>
        </w:rPr>
        <w:t>Body weight</w:t>
      </w:r>
    </w:p>
    <w:p w:rsidR="00183CB5" w:rsidRPr="00611F34" w:rsidRDefault="00183CB5" w:rsidP="00183CB5">
      <w:pPr>
        <w:autoSpaceDE w:val="0"/>
        <w:autoSpaceDN w:val="0"/>
        <w:adjustRightInd w:val="0"/>
        <w:rPr>
          <w:rFonts w:ascii="Arial" w:hAnsi="Arial" w:cs="Arial"/>
        </w:rPr>
      </w:pPr>
      <w:r w:rsidRPr="00611F34">
        <w:rPr>
          <w:rFonts w:ascii="Arial" w:hAnsi="Arial" w:cs="Arial"/>
        </w:rPr>
        <w:t xml:space="preserve">A reduction in body weight compared to baseline has been observed in all </w:t>
      </w:r>
      <w:r w:rsidR="00706E4E" w:rsidRPr="00611F34">
        <w:rPr>
          <w:rFonts w:ascii="Arial" w:hAnsi="Arial" w:cs="Arial"/>
        </w:rPr>
        <w:t>2</w:t>
      </w:r>
      <w:r w:rsidR="00E15B15">
        <w:rPr>
          <w:rFonts w:ascii="Arial" w:hAnsi="Arial" w:cs="Arial"/>
        </w:rPr>
        <w:t xml:space="preserve"> </w:t>
      </w:r>
      <w:r w:rsidR="00706E4E" w:rsidRPr="00611F34">
        <w:rPr>
          <w:rFonts w:ascii="Arial" w:hAnsi="Arial" w:cs="Arial"/>
        </w:rPr>
        <w:t xml:space="preserve">mg </w:t>
      </w:r>
      <w:r w:rsidR="00C91CE6" w:rsidRPr="00611F34">
        <w:rPr>
          <w:rFonts w:ascii="Arial" w:hAnsi="Arial" w:cs="Arial"/>
        </w:rPr>
        <w:t xml:space="preserve">exenatide once weekly </w:t>
      </w:r>
      <w:r w:rsidRPr="00611F34">
        <w:rPr>
          <w:rFonts w:ascii="Arial" w:hAnsi="Arial" w:cs="Arial"/>
        </w:rPr>
        <w:t xml:space="preserve">studies. This reduction in body weight was seen in patients treated with </w:t>
      </w:r>
      <w:r w:rsidR="00E15B15">
        <w:rPr>
          <w:rFonts w:ascii="Arial" w:hAnsi="Arial" w:cs="Arial"/>
        </w:rPr>
        <w:t xml:space="preserve">2 mg </w:t>
      </w:r>
      <w:r w:rsidR="00675735" w:rsidRPr="00611F34">
        <w:rPr>
          <w:rFonts w:ascii="Arial" w:hAnsi="Arial" w:cs="Arial"/>
        </w:rPr>
        <w:t xml:space="preserve">exenatide once weekly </w:t>
      </w:r>
      <w:r w:rsidRPr="00611F34">
        <w:rPr>
          <w:rFonts w:ascii="Arial" w:hAnsi="Arial" w:cs="Arial"/>
        </w:rPr>
        <w:t>irrespective of the occurrence of nausea</w:t>
      </w:r>
      <w:r w:rsidR="00675735" w:rsidRPr="00611F34">
        <w:rPr>
          <w:rFonts w:ascii="Arial" w:hAnsi="Arial" w:cs="Arial"/>
        </w:rPr>
        <w:t>,</w:t>
      </w:r>
      <w:r w:rsidRPr="00611F34">
        <w:rPr>
          <w:rFonts w:ascii="Arial" w:hAnsi="Arial" w:cs="Arial"/>
        </w:rPr>
        <w:t xml:space="preserve"> although the reduction was larger in the group with nausea (mean reduction</w:t>
      </w:r>
      <w:r w:rsidR="00E15B15">
        <w:rPr>
          <w:rFonts w:ascii="Arial" w:hAnsi="Arial" w:cs="Arial"/>
        </w:rPr>
        <w:t xml:space="preserve"> </w:t>
      </w:r>
      <w:r w:rsidRPr="00611F34">
        <w:rPr>
          <w:rFonts w:ascii="Arial" w:hAnsi="Arial" w:cs="Arial"/>
        </w:rPr>
        <w:t>-2.9</w:t>
      </w:r>
      <w:r w:rsidR="00E15B15">
        <w:rPr>
          <w:rFonts w:ascii="Arial" w:hAnsi="Arial" w:cs="Arial"/>
        </w:rPr>
        <w:t xml:space="preserve"> </w:t>
      </w:r>
      <w:r w:rsidRPr="00611F34">
        <w:rPr>
          <w:rFonts w:ascii="Arial" w:hAnsi="Arial" w:cs="Arial"/>
        </w:rPr>
        <w:t>kg to -5.2</w:t>
      </w:r>
      <w:r w:rsidR="00E15B15">
        <w:rPr>
          <w:rFonts w:ascii="Arial" w:hAnsi="Arial" w:cs="Arial"/>
        </w:rPr>
        <w:t xml:space="preserve"> </w:t>
      </w:r>
      <w:r w:rsidRPr="00611F34">
        <w:rPr>
          <w:rFonts w:ascii="Arial" w:hAnsi="Arial" w:cs="Arial"/>
        </w:rPr>
        <w:t>kg versus -2.2</w:t>
      </w:r>
      <w:r w:rsidR="00E15B15">
        <w:rPr>
          <w:rFonts w:ascii="Arial" w:hAnsi="Arial" w:cs="Arial"/>
        </w:rPr>
        <w:t xml:space="preserve"> </w:t>
      </w:r>
      <w:r w:rsidRPr="00611F34">
        <w:rPr>
          <w:rFonts w:ascii="Arial" w:hAnsi="Arial" w:cs="Arial"/>
        </w:rPr>
        <w:t>kg to -2.9</w:t>
      </w:r>
      <w:r w:rsidR="00E15B15">
        <w:rPr>
          <w:rFonts w:ascii="Arial" w:hAnsi="Arial" w:cs="Arial"/>
        </w:rPr>
        <w:t xml:space="preserve"> </w:t>
      </w:r>
      <w:r w:rsidRPr="00611F34">
        <w:rPr>
          <w:rFonts w:ascii="Arial" w:hAnsi="Arial" w:cs="Arial"/>
        </w:rPr>
        <w:t xml:space="preserve">kg). </w:t>
      </w:r>
    </w:p>
    <w:p w:rsidR="00183CB5" w:rsidRPr="00611F34" w:rsidRDefault="00183CB5" w:rsidP="00183CB5">
      <w:pPr>
        <w:autoSpaceDE w:val="0"/>
        <w:autoSpaceDN w:val="0"/>
        <w:adjustRightInd w:val="0"/>
        <w:rPr>
          <w:rFonts w:ascii="Arial" w:hAnsi="Arial" w:cs="Arial"/>
        </w:rPr>
      </w:pPr>
    </w:p>
    <w:p w:rsidR="00706E4E" w:rsidRPr="00611F34" w:rsidRDefault="00706E4E" w:rsidP="00706E4E">
      <w:pPr>
        <w:rPr>
          <w:rFonts w:ascii="Arial" w:hAnsi="Arial" w:cs="Arial"/>
        </w:rPr>
      </w:pPr>
      <w:r w:rsidRPr="00611F34">
        <w:rPr>
          <w:rFonts w:ascii="Arial" w:hAnsi="Arial" w:cs="Arial"/>
        </w:rPr>
        <w:t>In studies comparing 2</w:t>
      </w:r>
      <w:r w:rsidR="00E15B15">
        <w:rPr>
          <w:rFonts w:ascii="Arial" w:hAnsi="Arial" w:cs="Arial"/>
        </w:rPr>
        <w:t xml:space="preserve"> </w:t>
      </w:r>
      <w:r w:rsidRPr="00611F34">
        <w:rPr>
          <w:rFonts w:ascii="Arial" w:hAnsi="Arial" w:cs="Arial"/>
        </w:rPr>
        <w:t>mg exenatide once weekly to 10 µg exenatide twice daily, both treatment arms achieved a reduction in body weight from baseline, although the difference in the treatment groups was not significant.</w:t>
      </w:r>
    </w:p>
    <w:p w:rsidR="00706E4E" w:rsidRPr="00611F34" w:rsidRDefault="00706E4E" w:rsidP="00706E4E">
      <w:pPr>
        <w:pStyle w:val="BodyText"/>
        <w:rPr>
          <w:rFonts w:ascii="Arial" w:hAnsi="Arial" w:cs="Arial"/>
          <w:snapToGrid/>
        </w:rPr>
      </w:pPr>
      <w:r w:rsidRPr="00611F34">
        <w:rPr>
          <w:rFonts w:ascii="Arial" w:hAnsi="Arial" w:cs="Arial"/>
          <w:snapToGrid/>
        </w:rPr>
        <w:t xml:space="preserve"> </w:t>
      </w:r>
    </w:p>
    <w:p w:rsidR="00706E4E" w:rsidRPr="00611F34" w:rsidRDefault="00706E4E" w:rsidP="00706E4E">
      <w:pPr>
        <w:pStyle w:val="BodyText"/>
        <w:rPr>
          <w:rFonts w:ascii="Arial" w:hAnsi="Arial" w:cs="Arial"/>
          <w:i/>
        </w:rPr>
      </w:pPr>
      <w:r w:rsidRPr="00611F34">
        <w:rPr>
          <w:rFonts w:ascii="Arial" w:hAnsi="Arial" w:cs="Arial"/>
        </w:rPr>
        <w:t>When compared with insulin glargine treatment, 2</w:t>
      </w:r>
      <w:r w:rsidR="00E15B15">
        <w:rPr>
          <w:rFonts w:ascii="Arial" w:hAnsi="Arial" w:cs="Arial"/>
        </w:rPr>
        <w:t xml:space="preserve"> </w:t>
      </w:r>
      <w:r w:rsidRPr="00611F34">
        <w:rPr>
          <w:rFonts w:ascii="Arial" w:hAnsi="Arial" w:cs="Arial"/>
        </w:rPr>
        <w:t>mg exenatide once weekly treatment significantly lowered mean body weight (p</w:t>
      </w:r>
      <w:r w:rsidRPr="00611F34">
        <w:rPr>
          <w:rFonts w:ascii="Arial" w:hAnsi="Arial" w:cs="Arial"/>
        </w:rPr>
        <w:sym w:font="Symbol" w:char="F03C"/>
      </w:r>
      <w:r w:rsidRPr="00611F34">
        <w:rPr>
          <w:rFonts w:ascii="Arial" w:hAnsi="Arial" w:cs="Arial"/>
        </w:rPr>
        <w:t xml:space="preserve">.001) and was associated with fewer hypoglycaemic events. Significantly greater weight reduction was also achieved compared to </w:t>
      </w:r>
      <w:r w:rsidR="002915A8" w:rsidRPr="00611F34">
        <w:rPr>
          <w:rFonts w:ascii="Arial" w:hAnsi="Arial" w:cs="Arial"/>
        </w:rPr>
        <w:t>sitagliptin</w:t>
      </w:r>
      <w:r w:rsidRPr="00611F34">
        <w:rPr>
          <w:rFonts w:ascii="Arial" w:hAnsi="Arial" w:cs="Arial"/>
        </w:rPr>
        <w:t xml:space="preserve"> (p=0.0002). Patients on pioglitazone gained weight (p&lt;0.0001) (see table 3).</w:t>
      </w:r>
    </w:p>
    <w:p w:rsidR="00706E4E" w:rsidRPr="00611F34" w:rsidRDefault="00706E4E" w:rsidP="00D86E43">
      <w:pPr>
        <w:pStyle w:val="BodyText"/>
        <w:rPr>
          <w:rFonts w:ascii="Arial" w:hAnsi="Arial" w:cs="Arial"/>
          <w:i/>
        </w:rPr>
      </w:pPr>
      <w:r w:rsidRPr="00611F34">
        <w:rPr>
          <w:rFonts w:ascii="Arial" w:hAnsi="Arial" w:cs="Arial"/>
          <w:i/>
        </w:rPr>
        <w:lastRenderedPageBreak/>
        <w:t xml:space="preserve"> </w:t>
      </w:r>
    </w:p>
    <w:p w:rsidR="00D13696" w:rsidRDefault="00D13696" w:rsidP="00D86E43">
      <w:pPr>
        <w:jc w:val="center"/>
        <w:rPr>
          <w:rFonts w:ascii="Arial" w:hAnsi="Arial" w:cs="Arial"/>
          <w:b/>
          <w:sz w:val="22"/>
          <w:szCs w:val="22"/>
        </w:rPr>
      </w:pPr>
    </w:p>
    <w:p w:rsidR="000818CB" w:rsidRPr="00611F34" w:rsidRDefault="000818CB" w:rsidP="00D86E43">
      <w:pPr>
        <w:jc w:val="center"/>
        <w:rPr>
          <w:rFonts w:ascii="Arial" w:hAnsi="Arial" w:cs="Arial"/>
          <w:b/>
          <w:sz w:val="22"/>
          <w:szCs w:val="22"/>
        </w:rPr>
      </w:pPr>
      <w:r w:rsidRPr="00611F34">
        <w:rPr>
          <w:rFonts w:ascii="Arial" w:hAnsi="Arial" w:cs="Arial"/>
          <w:b/>
          <w:sz w:val="22"/>
          <w:szCs w:val="22"/>
        </w:rPr>
        <w:t xml:space="preserve"> Table 3. Change in Body Weight from Baseline to Endpoint for Exenatide 2</w:t>
      </w:r>
      <w:r w:rsidR="00E15B15">
        <w:rPr>
          <w:rFonts w:ascii="Arial" w:hAnsi="Arial" w:cs="Arial"/>
          <w:b/>
          <w:sz w:val="22"/>
          <w:szCs w:val="22"/>
        </w:rPr>
        <w:t xml:space="preserve"> </w:t>
      </w:r>
      <w:r w:rsidRPr="00611F34">
        <w:rPr>
          <w:rFonts w:ascii="Arial" w:hAnsi="Arial" w:cs="Arial"/>
          <w:b/>
          <w:sz w:val="22"/>
          <w:szCs w:val="22"/>
        </w:rPr>
        <w:t>mg Once Weekly Comparator Controlled Studies (intent to treat patients)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4612"/>
        <w:gridCol w:w="1468"/>
        <w:gridCol w:w="3390"/>
      </w:tblGrid>
      <w:tr w:rsidR="00706E4E" w:rsidRPr="00611F34" w:rsidTr="00706E4E">
        <w:tc>
          <w:tcPr>
            <w:tcW w:w="2435" w:type="pct"/>
            <w:tcMar>
              <w:top w:w="57" w:type="dxa"/>
              <w:bottom w:w="57" w:type="dxa"/>
            </w:tcMar>
            <w:vAlign w:val="center"/>
          </w:tcPr>
          <w:p w:rsidR="00706E4E" w:rsidRPr="00611F34" w:rsidRDefault="00706E4E" w:rsidP="00D86E43">
            <w:pPr>
              <w:rPr>
                <w:rFonts w:ascii="Arial" w:hAnsi="Arial" w:cs="Arial"/>
                <w:b/>
              </w:rPr>
            </w:pPr>
          </w:p>
        </w:tc>
        <w:tc>
          <w:tcPr>
            <w:tcW w:w="2565" w:type="pct"/>
            <w:gridSpan w:val="2"/>
            <w:tcMar>
              <w:top w:w="57" w:type="dxa"/>
              <w:bottom w:w="57" w:type="dxa"/>
            </w:tcMar>
          </w:tcPr>
          <w:p w:rsidR="00706E4E" w:rsidRPr="00611F34" w:rsidRDefault="00706E4E" w:rsidP="00D86E43">
            <w:pPr>
              <w:jc w:val="center"/>
              <w:rPr>
                <w:rFonts w:ascii="Arial" w:hAnsi="Arial" w:cs="Arial"/>
                <w:b/>
              </w:rPr>
            </w:pPr>
            <w:r w:rsidRPr="00611F34">
              <w:rPr>
                <w:rFonts w:ascii="Arial" w:hAnsi="Arial" w:cs="Arial"/>
                <w:b/>
              </w:rPr>
              <w:t>Mean change from baseline to endpoint (± Standard Error)</w:t>
            </w:r>
          </w:p>
        </w:tc>
      </w:tr>
      <w:tr w:rsidR="00706E4E" w:rsidRPr="00611F34" w:rsidTr="00706E4E">
        <w:tc>
          <w:tcPr>
            <w:tcW w:w="2435" w:type="pct"/>
            <w:tcMar>
              <w:top w:w="57" w:type="dxa"/>
              <w:bottom w:w="57" w:type="dxa"/>
            </w:tcMar>
          </w:tcPr>
          <w:p w:rsidR="00706E4E" w:rsidRPr="00611F34" w:rsidRDefault="00706E4E" w:rsidP="00D86E43">
            <w:pPr>
              <w:rPr>
                <w:rFonts w:ascii="Arial" w:hAnsi="Arial" w:cs="Arial"/>
                <w:b/>
              </w:rPr>
            </w:pPr>
            <w:r w:rsidRPr="00611F34">
              <w:rPr>
                <w:rFonts w:ascii="Arial" w:hAnsi="Arial" w:cs="Arial"/>
                <w:b/>
              </w:rPr>
              <w:t>Study</w:t>
            </w:r>
          </w:p>
        </w:tc>
        <w:tc>
          <w:tcPr>
            <w:tcW w:w="775" w:type="pct"/>
            <w:tcMar>
              <w:top w:w="57" w:type="dxa"/>
              <w:bottom w:w="57" w:type="dxa"/>
            </w:tcMar>
          </w:tcPr>
          <w:p w:rsidR="00706E4E" w:rsidRPr="00611F34" w:rsidRDefault="00706E4E" w:rsidP="00D86E43">
            <w:pPr>
              <w:jc w:val="center"/>
              <w:rPr>
                <w:rFonts w:ascii="Arial" w:hAnsi="Arial" w:cs="Arial"/>
                <w:b/>
              </w:rPr>
            </w:pPr>
            <w:r w:rsidRPr="00611F34">
              <w:rPr>
                <w:rFonts w:ascii="Arial" w:hAnsi="Arial" w:cs="Arial"/>
                <w:b/>
              </w:rPr>
              <w:t>N</w:t>
            </w:r>
          </w:p>
        </w:tc>
        <w:tc>
          <w:tcPr>
            <w:tcW w:w="1790" w:type="pct"/>
            <w:tcMar>
              <w:top w:w="57" w:type="dxa"/>
              <w:bottom w:w="57" w:type="dxa"/>
            </w:tcMar>
          </w:tcPr>
          <w:p w:rsidR="00706E4E" w:rsidRPr="00611F34" w:rsidRDefault="00706E4E" w:rsidP="00D86E43">
            <w:pPr>
              <w:jc w:val="center"/>
              <w:rPr>
                <w:rFonts w:ascii="Arial" w:hAnsi="Arial" w:cs="Arial"/>
                <w:b/>
              </w:rPr>
            </w:pPr>
            <w:r w:rsidRPr="00611F34">
              <w:rPr>
                <w:rFonts w:ascii="Arial" w:hAnsi="Arial" w:cs="Arial"/>
                <w:b/>
              </w:rPr>
              <w:t>Kg</w:t>
            </w:r>
          </w:p>
        </w:tc>
      </w:tr>
      <w:tr w:rsidR="00706E4E" w:rsidRPr="00611F34" w:rsidTr="00706E4E">
        <w:tc>
          <w:tcPr>
            <w:tcW w:w="5000" w:type="pct"/>
            <w:gridSpan w:val="3"/>
            <w:tcMar>
              <w:top w:w="57" w:type="dxa"/>
              <w:bottom w:w="57" w:type="dxa"/>
            </w:tcMar>
          </w:tcPr>
          <w:p w:rsidR="00706E4E" w:rsidRPr="00451F43" w:rsidRDefault="005E0EC7" w:rsidP="00A87FFA">
            <w:pPr>
              <w:rPr>
                <w:rFonts w:ascii="Arial" w:hAnsi="Arial" w:cs="Arial"/>
                <w:sz w:val="22"/>
                <w:szCs w:val="22"/>
              </w:rPr>
            </w:pPr>
            <w:r w:rsidRPr="00451F43">
              <w:rPr>
                <w:rFonts w:ascii="Arial" w:hAnsi="Arial" w:cs="Arial"/>
                <w:b/>
                <w:sz w:val="22"/>
                <w:szCs w:val="22"/>
              </w:rPr>
              <w:t>2 mg exenatide once weekly vs. exenatide twice daily - 24 weeks of treatment</w:t>
            </w:r>
          </w:p>
        </w:tc>
      </w:tr>
      <w:tr w:rsidR="00706E4E" w:rsidRPr="00611F34" w:rsidTr="00706E4E">
        <w:tc>
          <w:tcPr>
            <w:tcW w:w="2435" w:type="pct"/>
            <w:tcMar>
              <w:top w:w="57" w:type="dxa"/>
              <w:bottom w:w="57" w:type="dxa"/>
            </w:tcMar>
          </w:tcPr>
          <w:p w:rsidR="00706E4E" w:rsidRPr="00451F43" w:rsidRDefault="005E0EC7" w:rsidP="00D86E43">
            <w:pPr>
              <w:rPr>
                <w:rFonts w:ascii="Arial" w:hAnsi="Arial" w:cs="Arial"/>
                <w:sz w:val="22"/>
                <w:szCs w:val="22"/>
              </w:rPr>
            </w:pPr>
            <w:r w:rsidRPr="00451F43">
              <w:rPr>
                <w:rFonts w:ascii="Arial" w:hAnsi="Arial" w:cs="Arial"/>
                <w:sz w:val="22"/>
                <w:szCs w:val="22"/>
              </w:rPr>
              <w:t>2 mg exenatide once weekly (QW)</w:t>
            </w:r>
          </w:p>
        </w:tc>
        <w:tc>
          <w:tcPr>
            <w:tcW w:w="775" w:type="pct"/>
            <w:tcMar>
              <w:top w:w="57" w:type="dxa"/>
              <w:bottom w:w="57" w:type="dxa"/>
            </w:tcMar>
          </w:tcPr>
          <w:p w:rsidR="00706E4E" w:rsidRPr="00451F43" w:rsidRDefault="005E0EC7" w:rsidP="00D86E43">
            <w:pPr>
              <w:jc w:val="center"/>
              <w:rPr>
                <w:rFonts w:ascii="Arial" w:hAnsi="Arial" w:cs="Arial"/>
                <w:sz w:val="22"/>
                <w:szCs w:val="22"/>
              </w:rPr>
            </w:pPr>
            <w:r w:rsidRPr="00451F43">
              <w:rPr>
                <w:rFonts w:ascii="Arial" w:hAnsi="Arial" w:cs="Arial"/>
                <w:sz w:val="22"/>
                <w:szCs w:val="22"/>
              </w:rPr>
              <w:t>129</w:t>
            </w:r>
          </w:p>
        </w:tc>
        <w:tc>
          <w:tcPr>
            <w:tcW w:w="1790" w:type="pct"/>
            <w:tcMar>
              <w:top w:w="57" w:type="dxa"/>
              <w:bottom w:w="57" w:type="dxa"/>
            </w:tcMar>
          </w:tcPr>
          <w:p w:rsidR="00706E4E" w:rsidRPr="00451F43" w:rsidRDefault="005E0EC7" w:rsidP="00D86E43">
            <w:pPr>
              <w:jc w:val="center"/>
              <w:rPr>
                <w:rFonts w:ascii="Arial" w:hAnsi="Arial" w:cs="Arial"/>
                <w:sz w:val="22"/>
                <w:szCs w:val="22"/>
              </w:rPr>
            </w:pPr>
            <w:r w:rsidRPr="00451F43">
              <w:rPr>
                <w:rFonts w:ascii="Arial" w:hAnsi="Arial" w:cs="Arial"/>
                <w:sz w:val="22"/>
                <w:szCs w:val="22"/>
              </w:rPr>
              <w:t>-2.3 (±0.4)</w:t>
            </w:r>
          </w:p>
        </w:tc>
      </w:tr>
      <w:tr w:rsidR="00706E4E" w:rsidRPr="00611F34" w:rsidTr="00706E4E">
        <w:tc>
          <w:tcPr>
            <w:tcW w:w="2435" w:type="pct"/>
            <w:tcMar>
              <w:top w:w="57" w:type="dxa"/>
              <w:bottom w:w="57" w:type="dxa"/>
            </w:tcMar>
          </w:tcPr>
          <w:p w:rsidR="00706E4E" w:rsidRPr="00451F43" w:rsidRDefault="005E0EC7" w:rsidP="00D86E43">
            <w:pPr>
              <w:rPr>
                <w:rFonts w:ascii="Arial" w:hAnsi="Arial" w:cs="Arial"/>
                <w:sz w:val="22"/>
                <w:szCs w:val="22"/>
              </w:rPr>
            </w:pPr>
            <w:r w:rsidRPr="00451F43">
              <w:rPr>
                <w:rFonts w:ascii="Arial" w:hAnsi="Arial" w:cs="Arial"/>
                <w:sz w:val="22"/>
                <w:szCs w:val="22"/>
              </w:rPr>
              <w:t>10 µg exenatide twice daily (BID)</w:t>
            </w:r>
          </w:p>
        </w:tc>
        <w:tc>
          <w:tcPr>
            <w:tcW w:w="775" w:type="pct"/>
            <w:tcMar>
              <w:top w:w="57" w:type="dxa"/>
              <w:bottom w:w="57" w:type="dxa"/>
            </w:tcMar>
          </w:tcPr>
          <w:p w:rsidR="00706E4E" w:rsidRPr="00451F43" w:rsidRDefault="005E0EC7" w:rsidP="00D86E43">
            <w:pPr>
              <w:jc w:val="center"/>
              <w:rPr>
                <w:rFonts w:ascii="Arial" w:hAnsi="Arial" w:cs="Arial"/>
                <w:sz w:val="22"/>
                <w:szCs w:val="22"/>
              </w:rPr>
            </w:pPr>
            <w:r w:rsidRPr="00451F43">
              <w:rPr>
                <w:rFonts w:ascii="Arial" w:hAnsi="Arial" w:cs="Arial"/>
                <w:sz w:val="22"/>
                <w:szCs w:val="22"/>
              </w:rPr>
              <w:t>123</w:t>
            </w:r>
          </w:p>
        </w:tc>
        <w:tc>
          <w:tcPr>
            <w:tcW w:w="1790" w:type="pct"/>
            <w:tcMar>
              <w:top w:w="57" w:type="dxa"/>
              <w:bottom w:w="57" w:type="dxa"/>
            </w:tcMar>
          </w:tcPr>
          <w:p w:rsidR="00706E4E" w:rsidRPr="00451F43" w:rsidRDefault="005E0EC7" w:rsidP="00D86E43">
            <w:pPr>
              <w:jc w:val="center"/>
              <w:rPr>
                <w:rFonts w:ascii="Arial" w:hAnsi="Arial" w:cs="Arial"/>
                <w:sz w:val="22"/>
                <w:szCs w:val="22"/>
              </w:rPr>
            </w:pPr>
            <w:r w:rsidRPr="00451F43">
              <w:rPr>
                <w:rFonts w:ascii="Arial" w:hAnsi="Arial" w:cs="Arial"/>
                <w:sz w:val="22"/>
                <w:szCs w:val="22"/>
              </w:rPr>
              <w:t>-1.4 (±0.4)</w:t>
            </w:r>
          </w:p>
        </w:tc>
      </w:tr>
      <w:tr w:rsidR="00706E4E" w:rsidRPr="00611F34" w:rsidTr="00706E4E">
        <w:tc>
          <w:tcPr>
            <w:tcW w:w="2435" w:type="pct"/>
            <w:tcMar>
              <w:top w:w="57" w:type="dxa"/>
              <w:bottom w:w="57" w:type="dxa"/>
            </w:tcMar>
          </w:tcPr>
          <w:p w:rsidR="00706E4E" w:rsidRPr="00451F43" w:rsidRDefault="005E0EC7" w:rsidP="00D86E43">
            <w:pPr>
              <w:rPr>
                <w:rFonts w:ascii="Arial" w:hAnsi="Arial" w:cs="Arial"/>
                <w:sz w:val="22"/>
                <w:szCs w:val="22"/>
              </w:rPr>
            </w:pPr>
            <w:r w:rsidRPr="00451F43">
              <w:rPr>
                <w:rFonts w:ascii="Arial" w:hAnsi="Arial" w:cs="Arial"/>
                <w:sz w:val="22"/>
                <w:szCs w:val="22"/>
              </w:rPr>
              <w:t>Mean difference  (95% CI QW-BID)</w:t>
            </w:r>
          </w:p>
        </w:tc>
        <w:tc>
          <w:tcPr>
            <w:tcW w:w="775" w:type="pct"/>
            <w:tcMar>
              <w:top w:w="57" w:type="dxa"/>
              <w:bottom w:w="57" w:type="dxa"/>
            </w:tcMar>
          </w:tcPr>
          <w:p w:rsidR="00706E4E" w:rsidRPr="00451F43" w:rsidRDefault="00706E4E" w:rsidP="00D86E43">
            <w:pPr>
              <w:jc w:val="center"/>
              <w:rPr>
                <w:rFonts w:ascii="Arial" w:hAnsi="Arial" w:cs="Arial"/>
                <w:sz w:val="22"/>
                <w:szCs w:val="22"/>
              </w:rPr>
            </w:pPr>
          </w:p>
        </w:tc>
        <w:tc>
          <w:tcPr>
            <w:tcW w:w="1790" w:type="pct"/>
            <w:tcMar>
              <w:top w:w="57" w:type="dxa"/>
              <w:bottom w:w="57" w:type="dxa"/>
            </w:tcMar>
          </w:tcPr>
          <w:p w:rsidR="00706E4E" w:rsidRPr="00451F43" w:rsidRDefault="005E0EC7" w:rsidP="00D86E43">
            <w:pPr>
              <w:jc w:val="center"/>
              <w:rPr>
                <w:rFonts w:ascii="Arial" w:hAnsi="Arial" w:cs="Arial"/>
                <w:sz w:val="22"/>
                <w:szCs w:val="22"/>
              </w:rPr>
            </w:pPr>
            <w:r w:rsidRPr="00451F43">
              <w:rPr>
                <w:rFonts w:ascii="Arial" w:hAnsi="Arial" w:cs="Arial"/>
                <w:sz w:val="22"/>
                <w:szCs w:val="22"/>
              </w:rPr>
              <w:t>-1.0 (-1.9, 0.01)</w:t>
            </w:r>
          </w:p>
        </w:tc>
      </w:tr>
      <w:tr w:rsidR="00706E4E" w:rsidRPr="00611F34" w:rsidTr="00706E4E">
        <w:tc>
          <w:tcPr>
            <w:tcW w:w="5000" w:type="pct"/>
            <w:gridSpan w:val="3"/>
            <w:tcMar>
              <w:top w:w="57" w:type="dxa"/>
              <w:bottom w:w="57" w:type="dxa"/>
            </w:tcMar>
          </w:tcPr>
          <w:p w:rsidR="00706E4E" w:rsidRPr="00451F43" w:rsidRDefault="00706E4E" w:rsidP="00D86E43">
            <w:pPr>
              <w:rPr>
                <w:rFonts w:ascii="Arial" w:hAnsi="Arial" w:cs="Arial"/>
                <w:b/>
                <w:sz w:val="22"/>
                <w:szCs w:val="22"/>
              </w:rPr>
            </w:pPr>
          </w:p>
        </w:tc>
      </w:tr>
      <w:tr w:rsidR="00706E4E" w:rsidRPr="00611F34" w:rsidTr="00706E4E">
        <w:tc>
          <w:tcPr>
            <w:tcW w:w="5000" w:type="pct"/>
            <w:gridSpan w:val="3"/>
            <w:tcMar>
              <w:top w:w="57" w:type="dxa"/>
              <w:bottom w:w="57" w:type="dxa"/>
            </w:tcMar>
          </w:tcPr>
          <w:p w:rsidR="00706E4E" w:rsidRPr="00451F43" w:rsidRDefault="005E0EC7" w:rsidP="00A87FFA">
            <w:pPr>
              <w:rPr>
                <w:rFonts w:ascii="Arial" w:hAnsi="Arial" w:cs="Arial"/>
                <w:sz w:val="22"/>
                <w:szCs w:val="22"/>
              </w:rPr>
            </w:pPr>
            <w:r w:rsidRPr="00451F43">
              <w:rPr>
                <w:rFonts w:ascii="Arial" w:hAnsi="Arial" w:cs="Arial"/>
                <w:b/>
                <w:sz w:val="22"/>
                <w:szCs w:val="22"/>
              </w:rPr>
              <w:t>2 mg exenatide once weekly vs. exenatide twice daily - 30 weeks of treatment</w:t>
            </w:r>
          </w:p>
        </w:tc>
      </w:tr>
      <w:tr w:rsidR="00706E4E" w:rsidRPr="00611F34" w:rsidTr="00706E4E">
        <w:tc>
          <w:tcPr>
            <w:tcW w:w="2435" w:type="pct"/>
            <w:tcMar>
              <w:top w:w="57" w:type="dxa"/>
              <w:bottom w:w="57" w:type="dxa"/>
            </w:tcMar>
          </w:tcPr>
          <w:p w:rsidR="00706E4E" w:rsidRPr="00451F43" w:rsidRDefault="005E0EC7" w:rsidP="00D86E43">
            <w:pPr>
              <w:rPr>
                <w:rFonts w:ascii="Arial" w:hAnsi="Arial" w:cs="Arial"/>
                <w:sz w:val="22"/>
                <w:szCs w:val="22"/>
              </w:rPr>
            </w:pPr>
            <w:r w:rsidRPr="00451F43">
              <w:rPr>
                <w:rFonts w:ascii="Arial" w:hAnsi="Arial" w:cs="Arial"/>
                <w:sz w:val="22"/>
                <w:szCs w:val="22"/>
              </w:rPr>
              <w:t>2 mg exenatide once weekly (QW)</w:t>
            </w:r>
          </w:p>
        </w:tc>
        <w:tc>
          <w:tcPr>
            <w:tcW w:w="775" w:type="pct"/>
            <w:tcMar>
              <w:top w:w="57" w:type="dxa"/>
              <w:bottom w:w="57" w:type="dxa"/>
            </w:tcMar>
          </w:tcPr>
          <w:p w:rsidR="00706E4E" w:rsidRPr="00451F43" w:rsidRDefault="005E0EC7" w:rsidP="00D86E43">
            <w:pPr>
              <w:jc w:val="center"/>
              <w:rPr>
                <w:rFonts w:ascii="Arial" w:hAnsi="Arial" w:cs="Arial"/>
                <w:sz w:val="22"/>
                <w:szCs w:val="22"/>
              </w:rPr>
            </w:pPr>
            <w:r w:rsidRPr="00451F43">
              <w:rPr>
                <w:rFonts w:ascii="Arial" w:hAnsi="Arial" w:cs="Arial"/>
                <w:sz w:val="22"/>
                <w:szCs w:val="22"/>
              </w:rPr>
              <w:t>148</w:t>
            </w:r>
          </w:p>
        </w:tc>
        <w:tc>
          <w:tcPr>
            <w:tcW w:w="1790" w:type="pct"/>
            <w:tcMar>
              <w:top w:w="57" w:type="dxa"/>
              <w:bottom w:w="57" w:type="dxa"/>
            </w:tcMar>
          </w:tcPr>
          <w:p w:rsidR="00706E4E" w:rsidRPr="00451F43" w:rsidRDefault="005E0EC7" w:rsidP="00D86E43">
            <w:pPr>
              <w:jc w:val="center"/>
              <w:rPr>
                <w:rFonts w:ascii="Arial" w:hAnsi="Arial" w:cs="Arial"/>
                <w:sz w:val="22"/>
                <w:szCs w:val="22"/>
              </w:rPr>
            </w:pPr>
            <w:r w:rsidRPr="00451F43">
              <w:rPr>
                <w:rFonts w:ascii="Arial" w:hAnsi="Arial" w:cs="Arial"/>
                <w:sz w:val="22"/>
                <w:szCs w:val="22"/>
              </w:rPr>
              <w:noBreakHyphen/>
              <w:t>3.67 (±0.47)</w:t>
            </w:r>
          </w:p>
        </w:tc>
      </w:tr>
      <w:tr w:rsidR="00706E4E" w:rsidRPr="00611F34" w:rsidTr="00706E4E">
        <w:tc>
          <w:tcPr>
            <w:tcW w:w="2435" w:type="pct"/>
            <w:tcMar>
              <w:top w:w="57" w:type="dxa"/>
              <w:bottom w:w="57" w:type="dxa"/>
            </w:tcMar>
          </w:tcPr>
          <w:p w:rsidR="00706E4E" w:rsidRPr="00451F43" w:rsidRDefault="005E0EC7" w:rsidP="00D86E43">
            <w:pPr>
              <w:rPr>
                <w:rFonts w:ascii="Arial" w:hAnsi="Arial" w:cs="Arial"/>
                <w:sz w:val="22"/>
                <w:szCs w:val="22"/>
              </w:rPr>
            </w:pPr>
            <w:r w:rsidRPr="00451F43">
              <w:rPr>
                <w:rFonts w:ascii="Arial" w:hAnsi="Arial" w:cs="Arial"/>
                <w:sz w:val="22"/>
                <w:szCs w:val="22"/>
              </w:rPr>
              <w:t>10 µg exenatide twice daily (BID)</w:t>
            </w:r>
          </w:p>
        </w:tc>
        <w:tc>
          <w:tcPr>
            <w:tcW w:w="775" w:type="pct"/>
            <w:tcMar>
              <w:top w:w="57" w:type="dxa"/>
              <w:bottom w:w="57" w:type="dxa"/>
            </w:tcMar>
          </w:tcPr>
          <w:p w:rsidR="00706E4E" w:rsidRPr="00451F43" w:rsidRDefault="005E0EC7" w:rsidP="00D86E43">
            <w:pPr>
              <w:jc w:val="center"/>
              <w:rPr>
                <w:rFonts w:ascii="Arial" w:hAnsi="Arial" w:cs="Arial"/>
                <w:sz w:val="22"/>
                <w:szCs w:val="22"/>
              </w:rPr>
            </w:pPr>
            <w:r w:rsidRPr="00451F43">
              <w:rPr>
                <w:rFonts w:ascii="Arial" w:hAnsi="Arial" w:cs="Arial"/>
                <w:sz w:val="22"/>
                <w:szCs w:val="22"/>
              </w:rPr>
              <w:t>147</w:t>
            </w:r>
          </w:p>
        </w:tc>
        <w:tc>
          <w:tcPr>
            <w:tcW w:w="1790" w:type="pct"/>
            <w:tcMar>
              <w:top w:w="57" w:type="dxa"/>
              <w:bottom w:w="57" w:type="dxa"/>
            </w:tcMar>
          </w:tcPr>
          <w:p w:rsidR="00706E4E" w:rsidRPr="00451F43" w:rsidRDefault="005E0EC7" w:rsidP="00D86E43">
            <w:pPr>
              <w:jc w:val="center"/>
              <w:rPr>
                <w:rFonts w:ascii="Arial" w:hAnsi="Arial" w:cs="Arial"/>
                <w:sz w:val="22"/>
                <w:szCs w:val="22"/>
              </w:rPr>
            </w:pPr>
            <w:r w:rsidRPr="00451F43">
              <w:rPr>
                <w:rFonts w:ascii="Arial" w:hAnsi="Arial" w:cs="Arial"/>
                <w:sz w:val="22"/>
                <w:szCs w:val="22"/>
              </w:rPr>
              <w:noBreakHyphen/>
              <w:t>3.59 (±0.47)</w:t>
            </w:r>
          </w:p>
        </w:tc>
      </w:tr>
      <w:tr w:rsidR="00706E4E" w:rsidRPr="00611F34" w:rsidTr="00706E4E">
        <w:tc>
          <w:tcPr>
            <w:tcW w:w="2435" w:type="pct"/>
            <w:tcMar>
              <w:top w:w="57" w:type="dxa"/>
              <w:bottom w:w="57" w:type="dxa"/>
            </w:tcMar>
          </w:tcPr>
          <w:p w:rsidR="00706E4E" w:rsidRPr="00451F43" w:rsidRDefault="005E0EC7" w:rsidP="00D86E43">
            <w:pPr>
              <w:rPr>
                <w:rFonts w:ascii="Arial" w:hAnsi="Arial" w:cs="Arial"/>
                <w:sz w:val="22"/>
                <w:szCs w:val="22"/>
              </w:rPr>
            </w:pPr>
            <w:r w:rsidRPr="00451F43">
              <w:rPr>
                <w:rFonts w:ascii="Arial" w:hAnsi="Arial" w:cs="Arial"/>
                <w:sz w:val="22"/>
                <w:szCs w:val="22"/>
              </w:rPr>
              <w:t>Mean difference  (95% CI QW-BID)</w:t>
            </w:r>
          </w:p>
        </w:tc>
        <w:tc>
          <w:tcPr>
            <w:tcW w:w="775" w:type="pct"/>
            <w:tcMar>
              <w:top w:w="57" w:type="dxa"/>
              <w:bottom w:w="57" w:type="dxa"/>
            </w:tcMar>
          </w:tcPr>
          <w:p w:rsidR="00706E4E" w:rsidRPr="00451F43" w:rsidRDefault="00706E4E" w:rsidP="00D86E43">
            <w:pPr>
              <w:jc w:val="center"/>
              <w:rPr>
                <w:rFonts w:ascii="Arial" w:hAnsi="Arial" w:cs="Arial"/>
                <w:sz w:val="22"/>
                <w:szCs w:val="22"/>
              </w:rPr>
            </w:pPr>
          </w:p>
        </w:tc>
        <w:tc>
          <w:tcPr>
            <w:tcW w:w="1790" w:type="pct"/>
            <w:tcMar>
              <w:top w:w="57" w:type="dxa"/>
              <w:bottom w:w="57" w:type="dxa"/>
            </w:tcMar>
          </w:tcPr>
          <w:p w:rsidR="00706E4E" w:rsidRPr="00451F43" w:rsidRDefault="005E0EC7" w:rsidP="00744AA3">
            <w:pPr>
              <w:jc w:val="center"/>
              <w:rPr>
                <w:rFonts w:ascii="Arial" w:hAnsi="Arial" w:cs="Arial"/>
                <w:sz w:val="22"/>
                <w:szCs w:val="22"/>
              </w:rPr>
            </w:pPr>
            <w:r w:rsidRPr="00451F43">
              <w:rPr>
                <w:rFonts w:ascii="Arial" w:hAnsi="Arial" w:cs="Arial"/>
                <w:sz w:val="22"/>
                <w:szCs w:val="22"/>
              </w:rPr>
              <w:t>-0.08 (-1.29, 1.12)</w:t>
            </w:r>
          </w:p>
        </w:tc>
      </w:tr>
      <w:tr w:rsidR="00706E4E" w:rsidRPr="00611F34" w:rsidTr="00706E4E">
        <w:tc>
          <w:tcPr>
            <w:tcW w:w="5000" w:type="pct"/>
            <w:gridSpan w:val="3"/>
            <w:tcMar>
              <w:top w:w="57" w:type="dxa"/>
              <w:bottom w:w="57" w:type="dxa"/>
            </w:tcMar>
          </w:tcPr>
          <w:p w:rsidR="00706E4E" w:rsidRPr="00611F34" w:rsidRDefault="00706E4E" w:rsidP="00D86E43">
            <w:pPr>
              <w:rPr>
                <w:rFonts w:ascii="Arial" w:hAnsi="Arial" w:cs="Arial"/>
                <w:b/>
                <w:sz w:val="22"/>
                <w:szCs w:val="22"/>
              </w:rPr>
            </w:pPr>
          </w:p>
        </w:tc>
      </w:tr>
      <w:tr w:rsidR="00706E4E" w:rsidRPr="00611F34" w:rsidTr="00706E4E">
        <w:tc>
          <w:tcPr>
            <w:tcW w:w="5000" w:type="pct"/>
            <w:gridSpan w:val="3"/>
            <w:tcMar>
              <w:top w:w="57" w:type="dxa"/>
              <w:bottom w:w="57" w:type="dxa"/>
            </w:tcMar>
          </w:tcPr>
          <w:p w:rsidR="00706E4E" w:rsidRPr="00611F34" w:rsidRDefault="00706E4E" w:rsidP="00A87FFA">
            <w:pPr>
              <w:rPr>
                <w:rFonts w:ascii="Arial" w:hAnsi="Arial" w:cs="Arial"/>
                <w:sz w:val="22"/>
                <w:szCs w:val="22"/>
              </w:rPr>
            </w:pPr>
            <w:r w:rsidRPr="00611F34">
              <w:rPr>
                <w:rFonts w:ascii="Arial" w:hAnsi="Arial" w:cs="Arial"/>
                <w:b/>
                <w:sz w:val="22"/>
                <w:szCs w:val="22"/>
              </w:rPr>
              <w:t>2</w:t>
            </w:r>
            <w:r w:rsidR="00767975">
              <w:rPr>
                <w:rFonts w:ascii="Arial" w:hAnsi="Arial" w:cs="Arial"/>
                <w:b/>
                <w:sz w:val="22"/>
                <w:szCs w:val="22"/>
              </w:rPr>
              <w:t xml:space="preserve"> </w:t>
            </w:r>
            <w:r w:rsidRPr="00611F34">
              <w:rPr>
                <w:rFonts w:ascii="Arial" w:hAnsi="Arial" w:cs="Arial"/>
                <w:b/>
                <w:sz w:val="22"/>
                <w:szCs w:val="22"/>
              </w:rPr>
              <w:t>mg exenatide once weekly vs. insulin glargine once daily – 26 weeks of treatment</w:t>
            </w:r>
          </w:p>
        </w:tc>
      </w:tr>
      <w:tr w:rsidR="00706E4E" w:rsidRPr="00611F34" w:rsidTr="00706E4E">
        <w:tc>
          <w:tcPr>
            <w:tcW w:w="2435" w:type="pct"/>
            <w:tcMar>
              <w:top w:w="57" w:type="dxa"/>
              <w:bottom w:w="57" w:type="dxa"/>
            </w:tcMar>
          </w:tcPr>
          <w:p w:rsidR="00706E4E" w:rsidRPr="00611F34" w:rsidRDefault="00706E4E" w:rsidP="00D86E43">
            <w:pPr>
              <w:rPr>
                <w:rFonts w:ascii="Arial" w:hAnsi="Arial" w:cs="Arial"/>
                <w:sz w:val="22"/>
                <w:szCs w:val="22"/>
              </w:rPr>
            </w:pPr>
            <w:r w:rsidRPr="00611F34">
              <w:rPr>
                <w:rFonts w:ascii="Arial" w:hAnsi="Arial" w:cs="Arial"/>
                <w:sz w:val="22"/>
                <w:szCs w:val="22"/>
              </w:rPr>
              <w:t>2</w:t>
            </w:r>
            <w:r w:rsidR="00767975">
              <w:rPr>
                <w:rFonts w:ascii="Arial" w:hAnsi="Arial" w:cs="Arial"/>
                <w:sz w:val="22"/>
                <w:szCs w:val="22"/>
              </w:rPr>
              <w:t xml:space="preserve"> </w:t>
            </w:r>
            <w:r w:rsidRPr="00611F34">
              <w:rPr>
                <w:rFonts w:ascii="Arial" w:hAnsi="Arial" w:cs="Arial"/>
                <w:sz w:val="22"/>
                <w:szCs w:val="22"/>
              </w:rPr>
              <w:t>mg exenatide once weekly (QW)</w:t>
            </w:r>
          </w:p>
        </w:tc>
        <w:tc>
          <w:tcPr>
            <w:tcW w:w="775"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207</w:t>
            </w:r>
          </w:p>
        </w:tc>
        <w:tc>
          <w:tcPr>
            <w:tcW w:w="1790"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-2.63 (±0.20)</w:t>
            </w:r>
          </w:p>
        </w:tc>
      </w:tr>
      <w:tr w:rsidR="00706E4E" w:rsidRPr="00611F34" w:rsidTr="00706E4E">
        <w:tc>
          <w:tcPr>
            <w:tcW w:w="2435" w:type="pct"/>
            <w:tcMar>
              <w:top w:w="57" w:type="dxa"/>
              <w:bottom w:w="57" w:type="dxa"/>
            </w:tcMar>
          </w:tcPr>
          <w:p w:rsidR="00706E4E" w:rsidRPr="00611F34" w:rsidRDefault="00706E4E" w:rsidP="00D86E43">
            <w:pPr>
              <w:rPr>
                <w:rFonts w:ascii="Arial" w:hAnsi="Arial" w:cs="Arial"/>
                <w:sz w:val="22"/>
                <w:szCs w:val="22"/>
              </w:rPr>
            </w:pPr>
            <w:r w:rsidRPr="00611F34">
              <w:rPr>
                <w:rFonts w:ascii="Arial" w:hAnsi="Arial" w:cs="Arial"/>
                <w:sz w:val="22"/>
                <w:szCs w:val="22"/>
              </w:rPr>
              <w:t>Insulin glargine (IG)</w:t>
            </w:r>
            <w:r w:rsidR="00043E31" w:rsidRPr="00611F34">
              <w:rPr>
                <w:rFonts w:ascii="Arial" w:hAnsi="Arial" w:cs="Arial"/>
                <w:sz w:val="22"/>
                <w:szCs w:val="22"/>
                <w:vertAlign w:val="superscript"/>
              </w:rPr>
              <w:t>#</w:t>
            </w:r>
          </w:p>
        </w:tc>
        <w:tc>
          <w:tcPr>
            <w:tcW w:w="775"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209</w:t>
            </w:r>
          </w:p>
        </w:tc>
        <w:tc>
          <w:tcPr>
            <w:tcW w:w="1790"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1.42 (±0.20)</w:t>
            </w:r>
          </w:p>
        </w:tc>
      </w:tr>
      <w:tr w:rsidR="00706E4E" w:rsidRPr="00611F34" w:rsidTr="00706E4E">
        <w:tc>
          <w:tcPr>
            <w:tcW w:w="2435" w:type="pct"/>
            <w:tcMar>
              <w:top w:w="57" w:type="dxa"/>
              <w:bottom w:w="57" w:type="dxa"/>
            </w:tcMar>
          </w:tcPr>
          <w:p w:rsidR="00706E4E" w:rsidRPr="00611F34" w:rsidRDefault="00706E4E" w:rsidP="00D86E43">
            <w:pPr>
              <w:rPr>
                <w:rFonts w:ascii="Arial" w:hAnsi="Arial" w:cs="Arial"/>
                <w:sz w:val="22"/>
                <w:szCs w:val="22"/>
              </w:rPr>
            </w:pPr>
            <w:r w:rsidRPr="00611F34">
              <w:rPr>
                <w:rFonts w:ascii="Arial" w:hAnsi="Arial" w:cs="Arial"/>
                <w:sz w:val="22"/>
                <w:szCs w:val="22"/>
              </w:rPr>
              <w:t>Mean difference  (95% CI QW-IG)</w:t>
            </w:r>
          </w:p>
        </w:tc>
        <w:tc>
          <w:tcPr>
            <w:tcW w:w="775" w:type="pct"/>
            <w:tcMar>
              <w:top w:w="57" w:type="dxa"/>
              <w:bottom w:w="57" w:type="dxa"/>
            </w:tcMar>
          </w:tcPr>
          <w:p w:rsidR="00706E4E" w:rsidRPr="00611F34" w:rsidRDefault="00706E4E" w:rsidP="00D86E43">
            <w:pPr>
              <w:jc w:val="center"/>
              <w:rPr>
                <w:rFonts w:ascii="Arial" w:hAnsi="Arial" w:cs="Arial"/>
                <w:sz w:val="22"/>
                <w:szCs w:val="22"/>
              </w:rPr>
            </w:pPr>
          </w:p>
        </w:tc>
        <w:tc>
          <w:tcPr>
            <w:tcW w:w="1790"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-4.05 (-4.57, -3.52)</w:t>
            </w:r>
            <w:r w:rsidR="00043E31" w:rsidRPr="00611F34">
              <w:rPr>
                <w:rFonts w:ascii="Arial" w:hAnsi="Arial" w:cs="Arial"/>
                <w:sz w:val="22"/>
                <w:szCs w:val="22"/>
              </w:rPr>
              <w:t>*</w:t>
            </w:r>
          </w:p>
        </w:tc>
      </w:tr>
      <w:tr w:rsidR="00706E4E" w:rsidRPr="00611F34" w:rsidTr="00706E4E">
        <w:tc>
          <w:tcPr>
            <w:tcW w:w="5000" w:type="pct"/>
            <w:gridSpan w:val="3"/>
            <w:tcMar>
              <w:top w:w="57" w:type="dxa"/>
              <w:bottom w:w="57" w:type="dxa"/>
            </w:tcMar>
          </w:tcPr>
          <w:p w:rsidR="00706E4E" w:rsidRPr="00611F34" w:rsidRDefault="00706E4E" w:rsidP="00D86E43">
            <w:pPr>
              <w:rPr>
                <w:rFonts w:ascii="Arial" w:hAnsi="Arial" w:cs="Arial"/>
                <w:b/>
                <w:sz w:val="22"/>
                <w:szCs w:val="22"/>
              </w:rPr>
            </w:pPr>
          </w:p>
        </w:tc>
      </w:tr>
      <w:tr w:rsidR="00706E4E" w:rsidRPr="00611F34" w:rsidTr="00706E4E">
        <w:tc>
          <w:tcPr>
            <w:tcW w:w="5000" w:type="pct"/>
            <w:gridSpan w:val="3"/>
            <w:tcMar>
              <w:top w:w="57" w:type="dxa"/>
              <w:bottom w:w="57" w:type="dxa"/>
            </w:tcMar>
          </w:tcPr>
          <w:p w:rsidR="00706E4E" w:rsidRPr="00611F34" w:rsidRDefault="00706E4E" w:rsidP="00A87FFA">
            <w:pPr>
              <w:rPr>
                <w:rFonts w:ascii="Arial" w:hAnsi="Arial" w:cs="Arial"/>
                <w:b/>
                <w:sz w:val="22"/>
                <w:szCs w:val="22"/>
              </w:rPr>
            </w:pPr>
            <w:r w:rsidRPr="00611F34">
              <w:rPr>
                <w:rFonts w:ascii="Arial" w:hAnsi="Arial" w:cs="Arial"/>
                <w:b/>
                <w:sz w:val="22"/>
                <w:szCs w:val="22"/>
              </w:rPr>
              <w:t>2</w:t>
            </w:r>
            <w:r w:rsidR="00767975">
              <w:rPr>
                <w:rFonts w:ascii="Arial" w:hAnsi="Arial" w:cs="Arial"/>
                <w:b/>
                <w:sz w:val="22"/>
                <w:szCs w:val="22"/>
              </w:rPr>
              <w:t xml:space="preserve"> </w:t>
            </w:r>
            <w:r w:rsidRPr="00611F34">
              <w:rPr>
                <w:rFonts w:ascii="Arial" w:hAnsi="Arial" w:cs="Arial"/>
                <w:b/>
                <w:sz w:val="22"/>
                <w:szCs w:val="22"/>
              </w:rPr>
              <w:t>mg exenatide once weekly vs. sitagliptin or pioglitazone – 26 weeks of treatment</w:t>
            </w:r>
          </w:p>
        </w:tc>
      </w:tr>
      <w:tr w:rsidR="00706E4E" w:rsidRPr="00611F34" w:rsidTr="00706E4E">
        <w:tc>
          <w:tcPr>
            <w:tcW w:w="2435" w:type="pct"/>
            <w:tcMar>
              <w:top w:w="57" w:type="dxa"/>
              <w:bottom w:w="57" w:type="dxa"/>
            </w:tcMar>
          </w:tcPr>
          <w:p w:rsidR="00706E4E" w:rsidRPr="00611F34" w:rsidRDefault="00706E4E" w:rsidP="00D86E43">
            <w:pPr>
              <w:rPr>
                <w:rFonts w:ascii="Arial" w:hAnsi="Arial" w:cs="Arial"/>
                <w:sz w:val="22"/>
                <w:szCs w:val="22"/>
              </w:rPr>
            </w:pPr>
            <w:r w:rsidRPr="00611F34">
              <w:rPr>
                <w:rFonts w:ascii="Arial" w:hAnsi="Arial" w:cs="Arial"/>
                <w:sz w:val="22"/>
                <w:szCs w:val="22"/>
              </w:rPr>
              <w:t>2</w:t>
            </w:r>
            <w:r w:rsidR="00767975">
              <w:rPr>
                <w:rFonts w:ascii="Arial" w:hAnsi="Arial" w:cs="Arial"/>
                <w:sz w:val="22"/>
                <w:szCs w:val="22"/>
              </w:rPr>
              <w:t xml:space="preserve"> </w:t>
            </w:r>
            <w:r w:rsidRPr="00611F34">
              <w:rPr>
                <w:rFonts w:ascii="Arial" w:hAnsi="Arial" w:cs="Arial"/>
                <w:sz w:val="22"/>
                <w:szCs w:val="22"/>
              </w:rPr>
              <w:t>mg exenatide once weekly (QW)</w:t>
            </w:r>
          </w:p>
        </w:tc>
        <w:tc>
          <w:tcPr>
            <w:tcW w:w="775"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160</w:t>
            </w:r>
          </w:p>
        </w:tc>
        <w:tc>
          <w:tcPr>
            <w:tcW w:w="1790"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-2.3 (±0.3)</w:t>
            </w:r>
          </w:p>
        </w:tc>
      </w:tr>
      <w:tr w:rsidR="00706E4E" w:rsidRPr="00611F34" w:rsidTr="00706E4E">
        <w:tc>
          <w:tcPr>
            <w:tcW w:w="2435" w:type="pct"/>
            <w:tcMar>
              <w:top w:w="57" w:type="dxa"/>
              <w:bottom w:w="57" w:type="dxa"/>
            </w:tcMar>
          </w:tcPr>
          <w:p w:rsidR="00706E4E" w:rsidRPr="00611F34" w:rsidRDefault="00706E4E" w:rsidP="00D86E43">
            <w:pPr>
              <w:rPr>
                <w:rFonts w:ascii="Arial" w:hAnsi="Arial" w:cs="Arial"/>
                <w:sz w:val="22"/>
                <w:szCs w:val="22"/>
              </w:rPr>
            </w:pPr>
            <w:r w:rsidRPr="00611F34">
              <w:rPr>
                <w:rFonts w:ascii="Arial" w:hAnsi="Arial" w:cs="Arial"/>
                <w:sz w:val="22"/>
                <w:szCs w:val="22"/>
              </w:rPr>
              <w:t>100</w:t>
            </w:r>
            <w:r w:rsidR="00767975">
              <w:rPr>
                <w:rFonts w:ascii="Arial" w:hAnsi="Arial" w:cs="Arial"/>
                <w:sz w:val="22"/>
                <w:szCs w:val="22"/>
              </w:rPr>
              <w:t xml:space="preserve"> </w:t>
            </w:r>
            <w:r w:rsidRPr="00611F34">
              <w:rPr>
                <w:rFonts w:ascii="Arial" w:hAnsi="Arial" w:cs="Arial"/>
                <w:sz w:val="22"/>
                <w:szCs w:val="22"/>
              </w:rPr>
              <w:t>mg sitagliptin (SG)</w:t>
            </w:r>
          </w:p>
        </w:tc>
        <w:tc>
          <w:tcPr>
            <w:tcW w:w="775"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166</w:t>
            </w:r>
          </w:p>
        </w:tc>
        <w:tc>
          <w:tcPr>
            <w:tcW w:w="1790"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-0.8 (±0.3)</w:t>
            </w:r>
          </w:p>
        </w:tc>
      </w:tr>
      <w:tr w:rsidR="00706E4E" w:rsidRPr="00611F34" w:rsidTr="00706E4E">
        <w:tc>
          <w:tcPr>
            <w:tcW w:w="2435" w:type="pct"/>
            <w:tcMar>
              <w:top w:w="57" w:type="dxa"/>
              <w:bottom w:w="57" w:type="dxa"/>
            </w:tcMar>
          </w:tcPr>
          <w:p w:rsidR="00706E4E" w:rsidRPr="00611F34" w:rsidRDefault="00706E4E" w:rsidP="00D86E43">
            <w:pPr>
              <w:rPr>
                <w:rFonts w:ascii="Arial" w:hAnsi="Arial" w:cs="Arial"/>
                <w:sz w:val="22"/>
                <w:szCs w:val="22"/>
              </w:rPr>
            </w:pPr>
            <w:r w:rsidRPr="00611F34">
              <w:rPr>
                <w:rFonts w:ascii="Arial" w:hAnsi="Arial" w:cs="Arial"/>
                <w:sz w:val="22"/>
                <w:szCs w:val="22"/>
              </w:rPr>
              <w:t>45</w:t>
            </w:r>
            <w:r w:rsidR="00767975">
              <w:rPr>
                <w:rFonts w:ascii="Arial" w:hAnsi="Arial" w:cs="Arial"/>
                <w:sz w:val="22"/>
                <w:szCs w:val="22"/>
              </w:rPr>
              <w:t xml:space="preserve"> </w:t>
            </w:r>
            <w:r w:rsidRPr="00611F34">
              <w:rPr>
                <w:rFonts w:ascii="Arial" w:hAnsi="Arial" w:cs="Arial"/>
                <w:sz w:val="22"/>
                <w:szCs w:val="22"/>
              </w:rPr>
              <w:t>mg pioglitazone (Pio)</w:t>
            </w:r>
          </w:p>
        </w:tc>
        <w:tc>
          <w:tcPr>
            <w:tcW w:w="775"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165</w:t>
            </w:r>
          </w:p>
        </w:tc>
        <w:tc>
          <w:tcPr>
            <w:tcW w:w="1790" w:type="pct"/>
            <w:tcMar>
              <w:top w:w="57" w:type="dxa"/>
              <w:bottom w:w="57" w:type="dxa"/>
            </w:tcMar>
          </w:tcPr>
          <w:p w:rsidR="00706E4E" w:rsidRPr="00611F34" w:rsidRDefault="00706E4E" w:rsidP="00D86E43">
            <w:pPr>
              <w:jc w:val="center"/>
              <w:rPr>
                <w:rFonts w:ascii="Arial" w:hAnsi="Arial" w:cs="Arial"/>
                <w:sz w:val="22"/>
                <w:szCs w:val="22"/>
              </w:rPr>
            </w:pPr>
            <w:r w:rsidRPr="00611F34">
              <w:rPr>
                <w:rFonts w:ascii="Arial" w:hAnsi="Arial" w:cs="Arial"/>
                <w:sz w:val="22"/>
                <w:szCs w:val="22"/>
              </w:rPr>
              <w:t>2.8 (±0.3)</w:t>
            </w:r>
          </w:p>
        </w:tc>
      </w:tr>
      <w:tr w:rsidR="00706E4E" w:rsidRPr="00611F34" w:rsidTr="00706E4E">
        <w:tc>
          <w:tcPr>
            <w:tcW w:w="2435" w:type="pct"/>
            <w:tcMar>
              <w:top w:w="57" w:type="dxa"/>
              <w:bottom w:w="57" w:type="dxa"/>
            </w:tcMar>
          </w:tcPr>
          <w:p w:rsidR="00706E4E" w:rsidRPr="00611F34" w:rsidRDefault="00706E4E" w:rsidP="00D86E43">
            <w:pPr>
              <w:rPr>
                <w:rFonts w:ascii="Arial" w:hAnsi="Arial" w:cs="Arial"/>
                <w:sz w:val="22"/>
                <w:szCs w:val="22"/>
              </w:rPr>
            </w:pPr>
            <w:r w:rsidRPr="00611F34">
              <w:rPr>
                <w:rFonts w:ascii="Arial" w:hAnsi="Arial" w:cs="Arial"/>
                <w:sz w:val="22"/>
                <w:szCs w:val="22"/>
              </w:rPr>
              <w:t>Mean difference (95% CI SG)</w:t>
            </w:r>
            <w:r w:rsidR="00043E31" w:rsidRPr="00611F34">
              <w:rPr>
                <w:rFonts w:ascii="Arial" w:hAnsi="Arial" w:cs="Arial"/>
                <w:sz w:val="22"/>
                <w:szCs w:val="22"/>
                <w:vertAlign w:val="superscript"/>
              </w:rPr>
              <w:t>^</w:t>
            </w:r>
          </w:p>
        </w:tc>
        <w:tc>
          <w:tcPr>
            <w:tcW w:w="775" w:type="pct"/>
            <w:tcMar>
              <w:top w:w="57" w:type="dxa"/>
              <w:bottom w:w="57" w:type="dxa"/>
            </w:tcMar>
          </w:tcPr>
          <w:p w:rsidR="00706E4E" w:rsidRPr="00611F34" w:rsidRDefault="00706E4E" w:rsidP="00D86E43">
            <w:pPr>
              <w:jc w:val="center"/>
              <w:rPr>
                <w:rFonts w:ascii="Arial" w:hAnsi="Arial" w:cs="Arial"/>
                <w:sz w:val="22"/>
                <w:szCs w:val="22"/>
              </w:rPr>
            </w:pPr>
          </w:p>
        </w:tc>
        <w:tc>
          <w:tcPr>
            <w:tcW w:w="1790" w:type="pct"/>
            <w:tcMar>
              <w:top w:w="57" w:type="dxa"/>
              <w:bottom w:w="57" w:type="dxa"/>
            </w:tcMar>
          </w:tcPr>
          <w:p w:rsidR="00706E4E" w:rsidRPr="00611F34" w:rsidRDefault="00744AA3" w:rsidP="00744AA3">
            <w:pPr>
              <w:jc w:val="center"/>
              <w:rPr>
                <w:rFonts w:ascii="Arial" w:hAnsi="Arial" w:cs="Arial"/>
                <w:sz w:val="22"/>
                <w:szCs w:val="22"/>
              </w:rPr>
            </w:pPr>
            <w:r>
              <w:rPr>
                <w:rFonts w:ascii="Arial" w:hAnsi="Arial" w:cs="Arial"/>
                <w:sz w:val="22"/>
                <w:szCs w:val="22"/>
              </w:rPr>
              <w:t>-1.5</w:t>
            </w:r>
            <w:r w:rsidR="00706E4E" w:rsidRPr="00611F34">
              <w:rPr>
                <w:rFonts w:ascii="Arial" w:hAnsi="Arial" w:cs="Arial"/>
                <w:sz w:val="22"/>
                <w:szCs w:val="22"/>
              </w:rPr>
              <w:t xml:space="preserve"> (</w:t>
            </w:r>
            <w:r>
              <w:rPr>
                <w:rFonts w:ascii="Arial" w:hAnsi="Arial" w:cs="Arial"/>
                <w:sz w:val="22"/>
                <w:szCs w:val="22"/>
              </w:rPr>
              <w:t>-2.4, -0.7</w:t>
            </w:r>
            <w:r w:rsidR="00706E4E" w:rsidRPr="00611F34">
              <w:rPr>
                <w:rFonts w:ascii="Arial" w:hAnsi="Arial" w:cs="Arial"/>
                <w:sz w:val="22"/>
                <w:szCs w:val="22"/>
              </w:rPr>
              <w:t>)</w:t>
            </w:r>
            <w:r w:rsidR="00043E31" w:rsidRPr="00611F34">
              <w:rPr>
                <w:rFonts w:ascii="Arial" w:hAnsi="Arial" w:cs="Arial"/>
                <w:sz w:val="22"/>
                <w:szCs w:val="22"/>
              </w:rPr>
              <w:t>*</w:t>
            </w:r>
          </w:p>
        </w:tc>
      </w:tr>
      <w:tr w:rsidR="00706E4E" w:rsidRPr="00611F34" w:rsidTr="00706E4E">
        <w:tc>
          <w:tcPr>
            <w:tcW w:w="2435" w:type="pct"/>
            <w:tcMar>
              <w:top w:w="57" w:type="dxa"/>
              <w:bottom w:w="57" w:type="dxa"/>
            </w:tcMar>
          </w:tcPr>
          <w:p w:rsidR="00706E4E" w:rsidRPr="00611F34" w:rsidRDefault="00706E4E" w:rsidP="00D86E43">
            <w:pPr>
              <w:rPr>
                <w:rFonts w:ascii="Arial" w:hAnsi="Arial" w:cs="Arial"/>
                <w:sz w:val="22"/>
                <w:szCs w:val="22"/>
              </w:rPr>
            </w:pPr>
            <w:r w:rsidRPr="00611F34">
              <w:rPr>
                <w:rFonts w:ascii="Arial" w:hAnsi="Arial" w:cs="Arial"/>
                <w:sz w:val="22"/>
                <w:szCs w:val="22"/>
              </w:rPr>
              <w:t>Mean difference (95% CI Pio)</w:t>
            </w:r>
            <w:r w:rsidR="00043E31" w:rsidRPr="00611F34">
              <w:rPr>
                <w:rFonts w:ascii="Arial" w:hAnsi="Arial" w:cs="Arial"/>
                <w:sz w:val="22"/>
                <w:szCs w:val="22"/>
                <w:vertAlign w:val="superscript"/>
              </w:rPr>
              <w:t>^</w:t>
            </w:r>
          </w:p>
        </w:tc>
        <w:tc>
          <w:tcPr>
            <w:tcW w:w="775" w:type="pct"/>
            <w:tcMar>
              <w:top w:w="57" w:type="dxa"/>
              <w:bottom w:w="57" w:type="dxa"/>
            </w:tcMar>
          </w:tcPr>
          <w:p w:rsidR="00706E4E" w:rsidRPr="00611F34" w:rsidRDefault="00706E4E" w:rsidP="00D86E43">
            <w:pPr>
              <w:jc w:val="center"/>
              <w:rPr>
                <w:rFonts w:ascii="Arial" w:hAnsi="Arial" w:cs="Arial"/>
                <w:sz w:val="22"/>
                <w:szCs w:val="22"/>
              </w:rPr>
            </w:pPr>
          </w:p>
        </w:tc>
        <w:tc>
          <w:tcPr>
            <w:tcW w:w="1790" w:type="pct"/>
            <w:tcMar>
              <w:top w:w="57" w:type="dxa"/>
              <w:bottom w:w="57" w:type="dxa"/>
            </w:tcMar>
          </w:tcPr>
          <w:p w:rsidR="00706E4E" w:rsidRPr="00611F34" w:rsidRDefault="00744AA3" w:rsidP="00744AA3">
            <w:pPr>
              <w:jc w:val="center"/>
              <w:rPr>
                <w:rFonts w:ascii="Arial" w:hAnsi="Arial" w:cs="Arial"/>
                <w:sz w:val="22"/>
                <w:szCs w:val="22"/>
              </w:rPr>
            </w:pPr>
            <w:r>
              <w:rPr>
                <w:rFonts w:ascii="Arial" w:hAnsi="Arial" w:cs="Arial"/>
                <w:sz w:val="22"/>
                <w:szCs w:val="22"/>
              </w:rPr>
              <w:t>-5.1</w:t>
            </w:r>
            <w:r w:rsidR="00706E4E" w:rsidRPr="00611F34">
              <w:rPr>
                <w:rFonts w:ascii="Arial" w:hAnsi="Arial" w:cs="Arial"/>
                <w:sz w:val="22"/>
                <w:szCs w:val="22"/>
              </w:rPr>
              <w:t xml:space="preserve"> (</w:t>
            </w:r>
            <w:r>
              <w:rPr>
                <w:rFonts w:ascii="Arial" w:hAnsi="Arial" w:cs="Arial"/>
                <w:sz w:val="22"/>
                <w:szCs w:val="22"/>
              </w:rPr>
              <w:t>-5.9, -4.3</w:t>
            </w:r>
            <w:r w:rsidR="00706E4E" w:rsidRPr="00611F34">
              <w:rPr>
                <w:rFonts w:ascii="Arial" w:hAnsi="Arial" w:cs="Arial"/>
                <w:sz w:val="22"/>
                <w:szCs w:val="22"/>
              </w:rPr>
              <w:t>)</w:t>
            </w:r>
            <w:r w:rsidR="00043E31" w:rsidRPr="00611F34">
              <w:rPr>
                <w:rFonts w:ascii="Arial" w:hAnsi="Arial" w:cs="Arial"/>
                <w:sz w:val="22"/>
                <w:szCs w:val="22"/>
              </w:rPr>
              <w:t>*</w:t>
            </w:r>
          </w:p>
        </w:tc>
      </w:tr>
    </w:tbl>
    <w:p w:rsidR="006311C5" w:rsidRPr="00611F34" w:rsidRDefault="00706E4E" w:rsidP="00D86E43">
      <w:pPr>
        <w:rPr>
          <w:rFonts w:ascii="Arial" w:hAnsi="Arial" w:cs="Arial"/>
          <w:sz w:val="18"/>
          <w:szCs w:val="18"/>
        </w:rPr>
      </w:pPr>
      <w:r w:rsidRPr="00611F34">
        <w:rPr>
          <w:rFonts w:ascii="Arial" w:hAnsi="Arial" w:cs="Arial"/>
          <w:sz w:val="18"/>
          <w:szCs w:val="18"/>
        </w:rPr>
        <w:t>*</w:t>
      </w:r>
      <w:r w:rsidR="006311C5" w:rsidRPr="00611F34">
        <w:rPr>
          <w:rFonts w:ascii="Arial" w:hAnsi="Arial" w:cs="Arial"/>
          <w:sz w:val="18"/>
          <w:szCs w:val="18"/>
        </w:rPr>
        <w:t>statistically significant</w:t>
      </w:r>
    </w:p>
    <w:p w:rsidR="00706E4E" w:rsidRPr="00611F34" w:rsidRDefault="006311C5" w:rsidP="00D86E43">
      <w:pPr>
        <w:rPr>
          <w:rFonts w:ascii="Arial" w:hAnsi="Arial" w:cs="Arial"/>
          <w:sz w:val="20"/>
          <w:szCs w:val="20"/>
        </w:rPr>
      </w:pPr>
      <w:r w:rsidRPr="00611F34">
        <w:rPr>
          <w:rFonts w:ascii="Arial" w:hAnsi="Arial" w:cs="Arial"/>
          <w:sz w:val="20"/>
          <w:szCs w:val="20"/>
          <w:vertAlign w:val="superscript"/>
        </w:rPr>
        <w:t>#</w:t>
      </w:r>
      <w:r w:rsidR="00043E31" w:rsidRPr="00611F34">
        <w:rPr>
          <w:rFonts w:ascii="Arial" w:hAnsi="Arial" w:cs="Arial"/>
          <w:sz w:val="20"/>
          <w:szCs w:val="20"/>
        </w:rPr>
        <w:t>i</w:t>
      </w:r>
      <w:r w:rsidR="00706E4E" w:rsidRPr="00611F34">
        <w:rPr>
          <w:rFonts w:ascii="Arial" w:hAnsi="Arial" w:cs="Arial"/>
          <w:sz w:val="20"/>
          <w:szCs w:val="20"/>
        </w:rPr>
        <w:t xml:space="preserve">nsulin glargine was dosed using the algorithm described by </w:t>
      </w:r>
      <w:proofErr w:type="spellStart"/>
      <w:r w:rsidR="00706E4E" w:rsidRPr="00611F34">
        <w:rPr>
          <w:rFonts w:ascii="Arial" w:hAnsi="Arial" w:cs="Arial"/>
          <w:sz w:val="20"/>
          <w:szCs w:val="20"/>
        </w:rPr>
        <w:t>Yki-Järvinen</w:t>
      </w:r>
      <w:proofErr w:type="spellEnd"/>
      <w:r w:rsidR="00706E4E" w:rsidRPr="00611F34">
        <w:rPr>
          <w:rFonts w:ascii="Arial" w:hAnsi="Arial" w:cs="Arial"/>
          <w:sz w:val="20"/>
          <w:szCs w:val="20"/>
        </w:rPr>
        <w:t xml:space="preserve"> et al. 2007. The mean dose of insulin glargine at the beginning of treatment was 10.1 IU/day rising to 31.1 IU/day for insulin glargine-treated patients</w:t>
      </w:r>
    </w:p>
    <w:p w:rsidR="006311C5" w:rsidRPr="00611F34" w:rsidRDefault="006311C5" w:rsidP="00706E4E">
      <w:pPr>
        <w:keepNext/>
        <w:rPr>
          <w:rFonts w:ascii="Arial" w:hAnsi="Arial" w:cs="Arial"/>
          <w:sz w:val="18"/>
          <w:szCs w:val="18"/>
        </w:rPr>
      </w:pPr>
      <w:r w:rsidRPr="00611F34">
        <w:rPr>
          <w:rFonts w:ascii="Arial" w:hAnsi="Arial" w:cs="Arial"/>
          <w:sz w:val="18"/>
          <w:szCs w:val="18"/>
          <w:vertAlign w:val="superscript"/>
        </w:rPr>
        <w:t>^</w:t>
      </w:r>
      <w:r w:rsidRPr="00611F34">
        <w:rPr>
          <w:rFonts w:ascii="Arial" w:hAnsi="Arial" w:cs="Arial"/>
          <w:sz w:val="18"/>
          <w:szCs w:val="18"/>
        </w:rPr>
        <w:t>based on pairwise comparison using exenatide QW</w:t>
      </w:r>
    </w:p>
    <w:p w:rsidR="00706E4E" w:rsidRPr="00611F34" w:rsidRDefault="00706E4E" w:rsidP="00706E4E">
      <w:pPr>
        <w:pStyle w:val="BodyText"/>
        <w:rPr>
          <w:rFonts w:ascii="Arial" w:hAnsi="Arial" w:cs="Arial"/>
        </w:rPr>
      </w:pPr>
    </w:p>
    <w:p w:rsidR="00183CB5" w:rsidRPr="00611F34" w:rsidRDefault="00183CB5" w:rsidP="00183CB5">
      <w:pPr>
        <w:autoSpaceDE w:val="0"/>
        <w:autoSpaceDN w:val="0"/>
        <w:adjustRightInd w:val="0"/>
        <w:rPr>
          <w:rFonts w:ascii="Arial" w:hAnsi="Arial" w:cs="Arial"/>
        </w:rPr>
      </w:pPr>
      <w:r w:rsidRPr="00611F34">
        <w:rPr>
          <w:rFonts w:ascii="Arial" w:hAnsi="Arial" w:cs="Arial"/>
        </w:rPr>
        <w:t>The proportion of patients who had a reduction of HbA</w:t>
      </w:r>
      <w:r w:rsidRPr="00611F34">
        <w:rPr>
          <w:rFonts w:ascii="Arial" w:hAnsi="Arial" w:cs="Arial"/>
          <w:vertAlign w:val="subscript"/>
        </w:rPr>
        <w:t xml:space="preserve">1c </w:t>
      </w:r>
      <w:r w:rsidRPr="00611F34">
        <w:rPr>
          <w:rFonts w:ascii="Arial" w:hAnsi="Arial" w:cs="Arial"/>
        </w:rPr>
        <w:t>ranged from 89 to 96%, 70 to 79 % of patients had a reduction in HbA</w:t>
      </w:r>
      <w:r w:rsidRPr="00611F34">
        <w:rPr>
          <w:rFonts w:ascii="Arial" w:hAnsi="Arial" w:cs="Arial"/>
          <w:vertAlign w:val="subscript"/>
        </w:rPr>
        <w:t xml:space="preserve">1c </w:t>
      </w:r>
      <w:r w:rsidRPr="00611F34">
        <w:rPr>
          <w:rFonts w:ascii="Arial" w:hAnsi="Arial" w:cs="Arial"/>
        </w:rPr>
        <w:t>and weight</w:t>
      </w:r>
      <w:r w:rsidRPr="00611F34">
        <w:rPr>
          <w:rFonts w:ascii="Arial" w:hAnsi="Arial" w:cs="Arial"/>
          <w:vertAlign w:val="subscript"/>
        </w:rPr>
        <w:t>.</w:t>
      </w:r>
      <w:r w:rsidRPr="00611F34">
        <w:rPr>
          <w:rFonts w:ascii="Arial" w:hAnsi="Arial" w:cs="Arial"/>
        </w:rPr>
        <w:t xml:space="preserve"> </w:t>
      </w:r>
    </w:p>
    <w:p w:rsidR="00183CB5" w:rsidRPr="00611F34" w:rsidRDefault="00183CB5" w:rsidP="00183CB5">
      <w:pPr>
        <w:autoSpaceDE w:val="0"/>
        <w:autoSpaceDN w:val="0"/>
        <w:adjustRightInd w:val="0"/>
        <w:rPr>
          <w:rFonts w:ascii="Arial" w:hAnsi="Arial" w:cs="Arial"/>
        </w:rPr>
      </w:pPr>
    </w:p>
    <w:p w:rsidR="00183CB5" w:rsidRPr="00611F34" w:rsidRDefault="00183CB5" w:rsidP="00183CB5">
      <w:pPr>
        <w:pStyle w:val="Heading6"/>
        <w:ind w:right="-448"/>
        <w:rPr>
          <w:rFonts w:ascii="Arial" w:hAnsi="Arial" w:cs="Arial"/>
          <w:iCs/>
          <w:sz w:val="24"/>
          <w:lang w:val="en-AU"/>
        </w:rPr>
      </w:pPr>
      <w:r w:rsidRPr="00611F34">
        <w:rPr>
          <w:rFonts w:ascii="Arial" w:hAnsi="Arial" w:cs="Arial"/>
          <w:sz w:val="24"/>
          <w:lang w:val="en-AU"/>
        </w:rPr>
        <w:t>Plasma/serum glucose</w:t>
      </w:r>
    </w:p>
    <w:p w:rsidR="00183CB5" w:rsidRPr="00611F34" w:rsidRDefault="00183CB5" w:rsidP="00183CB5">
      <w:pPr>
        <w:autoSpaceDE w:val="0"/>
        <w:autoSpaceDN w:val="0"/>
        <w:adjustRightInd w:val="0"/>
        <w:rPr>
          <w:rFonts w:ascii="Arial" w:hAnsi="Arial" w:cs="Arial"/>
        </w:rPr>
      </w:pPr>
      <w:r w:rsidRPr="00611F34">
        <w:rPr>
          <w:rFonts w:ascii="Arial" w:hAnsi="Arial" w:cs="Arial"/>
        </w:rPr>
        <w:t xml:space="preserve">Treatment with </w:t>
      </w:r>
      <w:r w:rsidR="00767975">
        <w:rPr>
          <w:rFonts w:ascii="Arial" w:hAnsi="Arial" w:cs="Arial"/>
        </w:rPr>
        <w:t xml:space="preserve">2 mg </w:t>
      </w:r>
      <w:r w:rsidR="00675735" w:rsidRPr="00611F34">
        <w:rPr>
          <w:rFonts w:ascii="Arial" w:hAnsi="Arial" w:cs="Arial"/>
        </w:rPr>
        <w:t>exenatide once weekly</w:t>
      </w:r>
      <w:r w:rsidRPr="00611F34">
        <w:rPr>
          <w:rFonts w:ascii="Arial" w:hAnsi="Arial" w:cs="Arial"/>
        </w:rPr>
        <w:t xml:space="preserve"> resulted in significant reductions in fasting plasma/serum glucose concentrations, these reductions were observed as early as 4 weeks. Additional reductions in postprandial concentrations were also observed. The improvement in fasting plasma glucose concentrations was durable through 52 weeks.</w:t>
      </w:r>
    </w:p>
    <w:p w:rsidR="008A4D23" w:rsidRDefault="008A4D23">
      <w:pPr>
        <w:rPr>
          <w:rFonts w:ascii="Arial" w:hAnsi="Arial" w:cs="Arial"/>
          <w:b/>
          <w:iCs/>
        </w:rPr>
      </w:pPr>
      <w:r>
        <w:rPr>
          <w:rFonts w:ascii="Arial" w:hAnsi="Arial" w:cs="Arial"/>
          <w:b/>
          <w:iCs/>
        </w:rPr>
        <w:br w:type="page"/>
      </w:r>
    </w:p>
    <w:p w:rsidR="00451F43" w:rsidRDefault="00183CB5" w:rsidP="00183CB5">
      <w:pPr>
        <w:autoSpaceDE w:val="0"/>
        <w:autoSpaceDN w:val="0"/>
        <w:adjustRightInd w:val="0"/>
        <w:rPr>
          <w:rFonts w:ascii="Arial" w:hAnsi="Arial" w:cs="Arial"/>
          <w:b/>
          <w:iCs/>
        </w:rPr>
      </w:pPr>
      <w:r w:rsidRPr="00611F34">
        <w:rPr>
          <w:rFonts w:ascii="Arial" w:hAnsi="Arial" w:cs="Arial"/>
          <w:b/>
          <w:iCs/>
        </w:rPr>
        <w:lastRenderedPageBreak/>
        <w:t xml:space="preserve">Fasting </w:t>
      </w:r>
      <w:r w:rsidR="000E46C6">
        <w:rPr>
          <w:rFonts w:ascii="Arial" w:hAnsi="Arial" w:cs="Arial"/>
          <w:b/>
          <w:iCs/>
        </w:rPr>
        <w:t>L</w:t>
      </w:r>
      <w:r w:rsidR="000E46C6" w:rsidRPr="00611F34">
        <w:rPr>
          <w:rFonts w:ascii="Arial" w:hAnsi="Arial" w:cs="Arial"/>
          <w:b/>
          <w:iCs/>
        </w:rPr>
        <w:t>ipids</w:t>
      </w:r>
    </w:p>
    <w:p w:rsidR="00183CB5" w:rsidRPr="00611F34" w:rsidRDefault="0079400A" w:rsidP="00183CB5">
      <w:pPr>
        <w:autoSpaceDE w:val="0"/>
        <w:autoSpaceDN w:val="0"/>
        <w:adjustRightInd w:val="0"/>
        <w:rPr>
          <w:rFonts w:ascii="Arial" w:hAnsi="Arial" w:cs="Arial"/>
        </w:rPr>
      </w:pPr>
      <w:r w:rsidRPr="00744AA3">
        <w:rPr>
          <w:rFonts w:ascii="Arial" w:hAnsi="Arial" w:cs="Arial"/>
          <w:color w:val="auto"/>
          <w:lang w:val="en-US" w:eastAsia="en-AU"/>
        </w:rPr>
        <w:t>BYDUREON did not have adverse effects on lipid parameters.</w:t>
      </w:r>
    </w:p>
    <w:p w:rsidR="00451F43" w:rsidRDefault="00451F43" w:rsidP="00183CB5">
      <w:pPr>
        <w:keepNext/>
        <w:rPr>
          <w:rFonts w:ascii="Arial" w:hAnsi="Arial" w:cs="Arial"/>
          <w:b/>
          <w:iCs/>
        </w:rPr>
      </w:pPr>
    </w:p>
    <w:p w:rsidR="00183CB5" w:rsidRPr="00611F34" w:rsidRDefault="00183CB5" w:rsidP="00183CB5">
      <w:pPr>
        <w:keepNext/>
        <w:rPr>
          <w:rFonts w:ascii="Arial" w:hAnsi="Arial" w:cs="Arial"/>
          <w:b/>
          <w:iCs/>
        </w:rPr>
      </w:pPr>
      <w:r w:rsidRPr="00611F34">
        <w:rPr>
          <w:rFonts w:ascii="Arial" w:hAnsi="Arial" w:cs="Arial"/>
          <w:b/>
          <w:iCs/>
        </w:rPr>
        <w:t>Patient outcomes</w:t>
      </w:r>
    </w:p>
    <w:p w:rsidR="00183CB5" w:rsidRPr="00611F34" w:rsidRDefault="00675735" w:rsidP="00183CB5">
      <w:pPr>
        <w:outlineLvl w:val="0"/>
        <w:rPr>
          <w:rFonts w:ascii="Arial" w:hAnsi="Arial" w:cs="Arial"/>
        </w:rPr>
      </w:pPr>
      <w:r w:rsidRPr="00611F34">
        <w:rPr>
          <w:rFonts w:ascii="Arial" w:hAnsi="Arial" w:cs="Arial"/>
        </w:rPr>
        <w:t>Exenatide once weekly</w:t>
      </w:r>
      <w:r w:rsidR="00183CB5" w:rsidRPr="00611F34">
        <w:rPr>
          <w:rFonts w:ascii="Arial" w:hAnsi="Arial" w:cs="Arial"/>
        </w:rPr>
        <w:t xml:space="preserve"> consistently improved patient satisfaction as measured by the diabetes treatment satisfaction questionnaires.</w:t>
      </w:r>
    </w:p>
    <w:p w:rsidR="006263A0" w:rsidRDefault="006263A0" w:rsidP="002942B7">
      <w:pPr>
        <w:pStyle w:val="Heading3"/>
      </w:pPr>
    </w:p>
    <w:p w:rsidR="00323C73" w:rsidRPr="00611F34" w:rsidRDefault="00323C73" w:rsidP="002942B7">
      <w:pPr>
        <w:pStyle w:val="Heading3"/>
      </w:pPr>
      <w:r w:rsidRPr="00611F34">
        <w:t>INDICATIONS</w:t>
      </w:r>
    </w:p>
    <w:p w:rsidR="00323C73" w:rsidRPr="00611F34" w:rsidRDefault="00323C73" w:rsidP="00DA1AEE">
      <w:pPr>
        <w:jc w:val="both"/>
        <w:rPr>
          <w:rFonts w:ascii="Arial" w:hAnsi="Arial" w:cs="Arial"/>
        </w:rPr>
      </w:pPr>
    </w:p>
    <w:p w:rsidR="00650F34" w:rsidRPr="00367DBD" w:rsidRDefault="00650F34" w:rsidP="00650F34">
      <w:pPr>
        <w:rPr>
          <w:rFonts w:ascii="Arial" w:hAnsi="Arial" w:cs="Arial"/>
        </w:rPr>
      </w:pPr>
      <w:r w:rsidRPr="00367DBD">
        <w:rPr>
          <w:rFonts w:ascii="Arial" w:hAnsi="Arial" w:cs="Arial"/>
        </w:rPr>
        <w:t>Exenatide is indicated for the treatment of type 2 diabetes mellitus in combination with:</w:t>
      </w:r>
    </w:p>
    <w:p w:rsidR="000E46C6" w:rsidRDefault="000E46C6" w:rsidP="000E46C6">
      <w:pPr>
        <w:pStyle w:val="ListParagraph"/>
        <w:numPr>
          <w:ilvl w:val="0"/>
          <w:numId w:val="13"/>
        </w:numPr>
        <w:ind w:left="284" w:hanging="284"/>
        <w:rPr>
          <w:rFonts w:ascii="Arial" w:hAnsi="Arial" w:cs="Arial"/>
        </w:rPr>
      </w:pPr>
      <w:r>
        <w:rPr>
          <w:rFonts w:ascii="Arial" w:hAnsi="Arial" w:cs="Arial"/>
        </w:rPr>
        <w:t>m</w:t>
      </w:r>
      <w:r w:rsidRPr="000E46C6">
        <w:rPr>
          <w:rFonts w:ascii="Arial" w:hAnsi="Arial" w:cs="Arial"/>
        </w:rPr>
        <w:t>etformin</w:t>
      </w:r>
    </w:p>
    <w:p w:rsidR="000E46C6" w:rsidRDefault="000E46C6" w:rsidP="000E46C6">
      <w:pPr>
        <w:pStyle w:val="ListParagraph"/>
        <w:numPr>
          <w:ilvl w:val="0"/>
          <w:numId w:val="13"/>
        </w:numPr>
        <w:ind w:left="284" w:hanging="284"/>
        <w:rPr>
          <w:rFonts w:ascii="Arial" w:hAnsi="Arial" w:cs="Arial"/>
        </w:rPr>
      </w:pPr>
      <w:proofErr w:type="spellStart"/>
      <w:r>
        <w:rPr>
          <w:rFonts w:ascii="Arial" w:hAnsi="Arial" w:cs="Arial"/>
        </w:rPr>
        <w:t>s</w:t>
      </w:r>
      <w:r w:rsidRPr="000E46C6">
        <w:rPr>
          <w:rFonts w:ascii="Arial" w:hAnsi="Arial" w:cs="Arial"/>
        </w:rPr>
        <w:t>ulfonylureas</w:t>
      </w:r>
      <w:proofErr w:type="spellEnd"/>
    </w:p>
    <w:p w:rsidR="00650F34" w:rsidRPr="000E46C6" w:rsidRDefault="00650F34" w:rsidP="000E46C6">
      <w:pPr>
        <w:pStyle w:val="ListParagraph"/>
        <w:numPr>
          <w:ilvl w:val="0"/>
          <w:numId w:val="13"/>
        </w:numPr>
        <w:ind w:left="284" w:hanging="284"/>
        <w:rPr>
          <w:rFonts w:ascii="Arial" w:hAnsi="Arial" w:cs="Arial"/>
        </w:rPr>
      </w:pPr>
      <w:r w:rsidRPr="000E46C6">
        <w:rPr>
          <w:rFonts w:ascii="Arial" w:hAnsi="Arial" w:cs="Arial"/>
        </w:rPr>
        <w:t>metformin and a sulfonylurea</w:t>
      </w:r>
    </w:p>
    <w:p w:rsidR="00650F34" w:rsidRPr="00367DBD" w:rsidRDefault="00650F34" w:rsidP="00650F34">
      <w:pPr>
        <w:rPr>
          <w:rFonts w:ascii="Arial" w:hAnsi="Arial" w:cs="Arial"/>
        </w:rPr>
      </w:pPr>
      <w:r w:rsidRPr="000E46C6">
        <w:rPr>
          <w:rFonts w:ascii="Arial" w:hAnsi="Arial" w:cs="Arial"/>
        </w:rPr>
        <w:t>in patients wh</w:t>
      </w:r>
      <w:r w:rsidRPr="00367DBD">
        <w:rPr>
          <w:rFonts w:ascii="Arial" w:hAnsi="Arial" w:cs="Arial"/>
        </w:rPr>
        <w:t>o have not achieved adequate glycaemic control.</w:t>
      </w:r>
    </w:p>
    <w:p w:rsidR="002942B7" w:rsidRPr="002942B7" w:rsidRDefault="002942B7" w:rsidP="002942B7">
      <w:pPr>
        <w:rPr>
          <w:lang w:val="en-US"/>
        </w:rPr>
      </w:pPr>
    </w:p>
    <w:p w:rsidR="00323C73" w:rsidRPr="00611F34" w:rsidRDefault="00323C73" w:rsidP="002942B7">
      <w:pPr>
        <w:pStyle w:val="Heading3"/>
      </w:pPr>
      <w:r w:rsidRPr="00611F34">
        <w:t>CONTRAINDICATIONS</w:t>
      </w:r>
    </w:p>
    <w:p w:rsidR="00323C73" w:rsidRPr="00611F34" w:rsidRDefault="00323C73" w:rsidP="00DA1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323C73" w:rsidRPr="00611F34" w:rsidRDefault="00174A04" w:rsidP="00DA1AEE">
      <w:pPr>
        <w:jc w:val="both"/>
        <w:rPr>
          <w:rFonts w:ascii="Arial" w:hAnsi="Arial" w:cs="Arial"/>
        </w:rPr>
      </w:pPr>
      <w:r w:rsidRPr="00611F34">
        <w:rPr>
          <w:rFonts w:ascii="Arial" w:hAnsi="Arial" w:cs="Arial"/>
        </w:rPr>
        <w:t>Exenatide</w:t>
      </w:r>
      <w:r w:rsidR="00323C73" w:rsidRPr="00611F34">
        <w:rPr>
          <w:rFonts w:ascii="Arial" w:hAnsi="Arial" w:cs="Arial"/>
        </w:rPr>
        <w:t xml:space="preserve"> is contraindicated in patients with known hypersensitivity to this product or any of its components</w:t>
      </w:r>
      <w:r w:rsidR="00FD409E" w:rsidRPr="00611F34">
        <w:rPr>
          <w:rFonts w:ascii="Arial" w:hAnsi="Arial" w:cs="Arial"/>
        </w:rPr>
        <w:t>.</w:t>
      </w:r>
    </w:p>
    <w:p w:rsidR="001E3103" w:rsidRPr="00611F34" w:rsidRDefault="001E3103" w:rsidP="00DA1AEE">
      <w:pPr>
        <w:jc w:val="both"/>
        <w:rPr>
          <w:rFonts w:ascii="Arial" w:hAnsi="Arial" w:cs="Arial"/>
        </w:rPr>
      </w:pPr>
    </w:p>
    <w:p w:rsidR="008B4E76" w:rsidRPr="00611F34" w:rsidRDefault="00174A04" w:rsidP="001E3103">
      <w:pPr>
        <w:pStyle w:val="BodyText"/>
        <w:jc w:val="both"/>
        <w:rPr>
          <w:rFonts w:ascii="Arial" w:hAnsi="Arial" w:cs="Arial"/>
        </w:rPr>
      </w:pPr>
      <w:r w:rsidRPr="00611F34">
        <w:rPr>
          <w:rFonts w:ascii="Arial" w:hAnsi="Arial" w:cs="Arial"/>
        </w:rPr>
        <w:t>Exenatide</w:t>
      </w:r>
      <w:r w:rsidR="00121789" w:rsidRPr="00611F34">
        <w:rPr>
          <w:rFonts w:ascii="Arial" w:hAnsi="Arial" w:cs="Arial"/>
          <w:color w:val="auto"/>
        </w:rPr>
        <w:t xml:space="preserve"> should not be used i</w:t>
      </w:r>
      <w:r w:rsidR="00121789" w:rsidRPr="00611F34">
        <w:rPr>
          <w:rFonts w:ascii="Arial" w:hAnsi="Arial" w:cs="Arial"/>
        </w:rPr>
        <w:t>n patients with end-stage renal disease or severe renal impairment (creatinine clearance &lt;30 ml/min)</w:t>
      </w:r>
      <w:r w:rsidR="00EE1064" w:rsidRPr="00611F34">
        <w:rPr>
          <w:rFonts w:ascii="Arial" w:hAnsi="Arial" w:cs="Arial"/>
        </w:rPr>
        <w:t>.</w:t>
      </w:r>
      <w:r w:rsidR="00121789" w:rsidRPr="00611F34">
        <w:rPr>
          <w:rFonts w:ascii="Arial" w:hAnsi="Arial" w:cs="Arial"/>
        </w:rPr>
        <w:t xml:space="preserve"> Compared with healthy subjects, renal c</w:t>
      </w:r>
      <w:r w:rsidR="001E3103" w:rsidRPr="00611F34">
        <w:rPr>
          <w:rFonts w:ascii="Arial" w:hAnsi="Arial" w:cs="Arial"/>
        </w:rPr>
        <w:t xml:space="preserve">learance </w:t>
      </w:r>
      <w:r w:rsidR="00121789" w:rsidRPr="00611F34">
        <w:rPr>
          <w:rFonts w:ascii="Arial" w:hAnsi="Arial" w:cs="Arial"/>
        </w:rPr>
        <w:t xml:space="preserve">of </w:t>
      </w:r>
      <w:r w:rsidR="00D5252A" w:rsidRPr="00611F34">
        <w:rPr>
          <w:rFonts w:ascii="Arial" w:hAnsi="Arial" w:cs="Arial"/>
        </w:rPr>
        <w:t>e</w:t>
      </w:r>
      <w:r w:rsidRPr="00611F34">
        <w:rPr>
          <w:rFonts w:ascii="Arial" w:hAnsi="Arial" w:cs="Arial"/>
        </w:rPr>
        <w:t>xenatide</w:t>
      </w:r>
      <w:r w:rsidR="00121789" w:rsidRPr="00611F34">
        <w:rPr>
          <w:rFonts w:ascii="Arial" w:hAnsi="Arial" w:cs="Arial"/>
        </w:rPr>
        <w:t xml:space="preserve"> </w:t>
      </w:r>
      <w:r w:rsidR="001E3103" w:rsidRPr="00611F34">
        <w:rPr>
          <w:rFonts w:ascii="Arial" w:hAnsi="Arial" w:cs="Arial"/>
        </w:rPr>
        <w:t>was significantly reduced in patients with end-stage renal disease receiving dialysis</w:t>
      </w:r>
      <w:r w:rsidR="00EE1064" w:rsidRPr="00611F34">
        <w:rPr>
          <w:rFonts w:ascii="Arial" w:hAnsi="Arial" w:cs="Arial"/>
        </w:rPr>
        <w:t>, resulting in poor gastrointestinal tolerability.</w:t>
      </w:r>
    </w:p>
    <w:p w:rsidR="0035376B" w:rsidRPr="00611F34" w:rsidRDefault="0035376B" w:rsidP="00DA1AEE">
      <w:pPr>
        <w:jc w:val="both"/>
        <w:rPr>
          <w:rFonts w:ascii="Arial" w:hAnsi="Arial" w:cs="Arial"/>
          <w:b/>
        </w:rPr>
      </w:pPr>
    </w:p>
    <w:p w:rsidR="00323C73" w:rsidRPr="00611F34" w:rsidRDefault="00323C73" w:rsidP="002942B7">
      <w:pPr>
        <w:pStyle w:val="Heading3"/>
      </w:pPr>
      <w:r w:rsidRPr="00611F34">
        <w:t>PRECAUTIONS</w:t>
      </w:r>
    </w:p>
    <w:p w:rsidR="00323C73" w:rsidRPr="00611F34" w:rsidRDefault="00323C73" w:rsidP="00DA1AEE">
      <w:pPr>
        <w:jc w:val="both"/>
        <w:rPr>
          <w:rFonts w:ascii="Arial" w:hAnsi="Arial" w:cs="Arial"/>
        </w:rPr>
      </w:pPr>
    </w:p>
    <w:p w:rsidR="009E0FCC" w:rsidRPr="00611F34" w:rsidRDefault="009766CF" w:rsidP="00DA1AEE">
      <w:pPr>
        <w:pStyle w:val="BodyText"/>
        <w:jc w:val="both"/>
        <w:rPr>
          <w:rFonts w:ascii="Arial" w:hAnsi="Arial" w:cs="Arial"/>
          <w:b/>
          <w:color w:val="auto"/>
        </w:rPr>
      </w:pPr>
      <w:r w:rsidRPr="00611F34">
        <w:rPr>
          <w:rFonts w:ascii="Arial" w:hAnsi="Arial" w:cs="Arial"/>
          <w:b/>
          <w:color w:val="auto"/>
        </w:rPr>
        <w:t>General</w:t>
      </w:r>
    </w:p>
    <w:p w:rsidR="00533C3A" w:rsidRPr="00611F34" w:rsidRDefault="00624930" w:rsidP="00533C3A">
      <w:pPr>
        <w:spacing w:line="300" w:lineRule="exact"/>
        <w:rPr>
          <w:rFonts w:ascii="Arial" w:hAnsi="Arial" w:cs="Arial"/>
          <w:snapToGrid w:val="0"/>
          <w:color w:val="auto"/>
        </w:rPr>
      </w:pPr>
      <w:r w:rsidRPr="00611F34">
        <w:rPr>
          <w:rFonts w:ascii="Arial" w:hAnsi="Arial" w:cs="Arial"/>
        </w:rPr>
        <w:t>Exenatide</w:t>
      </w:r>
      <w:r w:rsidR="00533C3A" w:rsidRPr="00611F34">
        <w:rPr>
          <w:rFonts w:ascii="Arial" w:hAnsi="Arial" w:cs="Arial"/>
        </w:rPr>
        <w:t xml:space="preserve"> should not be used in patients with type 1 diabetes mellitus or for the treatment of diabetic ketoacidosis.</w:t>
      </w:r>
      <w:r w:rsidR="00533C3A" w:rsidRPr="00611F34">
        <w:rPr>
          <w:rFonts w:ascii="Arial" w:hAnsi="Arial" w:cs="Arial"/>
          <w:snapToGrid w:val="0"/>
          <w:color w:val="auto"/>
        </w:rPr>
        <w:t xml:space="preserve"> </w:t>
      </w:r>
    </w:p>
    <w:p w:rsidR="00533C3A" w:rsidRPr="00611F34" w:rsidRDefault="00533C3A" w:rsidP="00533C3A">
      <w:pPr>
        <w:spacing w:line="300" w:lineRule="exact"/>
        <w:rPr>
          <w:rFonts w:ascii="Arial" w:hAnsi="Arial" w:cs="Arial"/>
          <w:snapToGrid w:val="0"/>
          <w:color w:val="auto"/>
        </w:rPr>
      </w:pPr>
    </w:p>
    <w:p w:rsidR="00533C3A" w:rsidRPr="00611F34" w:rsidRDefault="00624930" w:rsidP="00533C3A">
      <w:pPr>
        <w:spacing w:line="300" w:lineRule="exact"/>
        <w:rPr>
          <w:rFonts w:ascii="Arial" w:hAnsi="Arial" w:cs="Arial"/>
          <w:snapToGrid w:val="0"/>
          <w:color w:val="auto"/>
        </w:rPr>
      </w:pPr>
      <w:r w:rsidRPr="00611F34">
        <w:rPr>
          <w:rFonts w:ascii="Arial" w:hAnsi="Arial" w:cs="Arial"/>
          <w:snapToGrid w:val="0"/>
          <w:color w:val="auto"/>
        </w:rPr>
        <w:t>Exenatide</w:t>
      </w:r>
      <w:r w:rsidR="00533C3A" w:rsidRPr="00611F34">
        <w:rPr>
          <w:rFonts w:ascii="Arial" w:hAnsi="Arial" w:cs="Arial"/>
          <w:snapToGrid w:val="0"/>
          <w:color w:val="auto"/>
        </w:rPr>
        <w:t xml:space="preserve"> must not be administered by intravenous or intramuscular injection.</w:t>
      </w:r>
    </w:p>
    <w:p w:rsidR="00533C3A" w:rsidRPr="00611F34" w:rsidRDefault="00533C3A" w:rsidP="00533C3A">
      <w:pPr>
        <w:spacing w:line="300" w:lineRule="exact"/>
        <w:rPr>
          <w:rFonts w:ascii="Arial" w:hAnsi="Arial" w:cs="Arial"/>
          <w:strike/>
          <w:snapToGrid w:val="0"/>
          <w:color w:val="auto"/>
        </w:rPr>
      </w:pPr>
    </w:p>
    <w:p w:rsidR="00323C73" w:rsidRPr="00611F34" w:rsidRDefault="00174A04" w:rsidP="00DA1AEE">
      <w:pPr>
        <w:pStyle w:val="BodyText"/>
        <w:jc w:val="both"/>
        <w:rPr>
          <w:rFonts w:ascii="Arial" w:hAnsi="Arial" w:cs="Arial"/>
          <w:color w:val="auto"/>
        </w:rPr>
      </w:pPr>
      <w:r w:rsidRPr="00611F34">
        <w:rPr>
          <w:rFonts w:ascii="Arial" w:hAnsi="Arial" w:cs="Arial"/>
        </w:rPr>
        <w:t>Exenatide</w:t>
      </w:r>
      <w:r w:rsidR="00323C73" w:rsidRPr="00611F34">
        <w:rPr>
          <w:rFonts w:ascii="Arial" w:hAnsi="Arial" w:cs="Arial"/>
        </w:rPr>
        <w:t xml:space="preserve"> has not been studied in patients with severe gastrointestinal disease, including </w:t>
      </w:r>
      <w:proofErr w:type="spellStart"/>
      <w:r w:rsidR="00323C73" w:rsidRPr="00611F34">
        <w:rPr>
          <w:rFonts w:ascii="Arial" w:hAnsi="Arial" w:cs="Arial"/>
        </w:rPr>
        <w:t>gastroparesis</w:t>
      </w:r>
      <w:proofErr w:type="spellEnd"/>
      <w:r w:rsidR="00323C73" w:rsidRPr="00611F34">
        <w:rPr>
          <w:rFonts w:ascii="Arial" w:hAnsi="Arial" w:cs="Arial"/>
        </w:rPr>
        <w:t xml:space="preserve">. Its use is commonly associated with gastrointestinal adverse effects, including nausea, vomiting, and diarrhoea. Therefore, the use of </w:t>
      </w:r>
      <w:r w:rsidR="00881BF7" w:rsidRPr="00611F34">
        <w:rPr>
          <w:rFonts w:ascii="Arial" w:hAnsi="Arial" w:cs="Arial"/>
        </w:rPr>
        <w:t>e</w:t>
      </w:r>
      <w:r w:rsidRPr="00611F34">
        <w:rPr>
          <w:rFonts w:ascii="Arial" w:hAnsi="Arial" w:cs="Arial"/>
        </w:rPr>
        <w:t>xenatide</w:t>
      </w:r>
      <w:r w:rsidR="00323C73" w:rsidRPr="00611F34">
        <w:rPr>
          <w:rFonts w:ascii="Arial" w:hAnsi="Arial" w:cs="Arial"/>
        </w:rPr>
        <w:t xml:space="preserve"> is not recommended in patients with severe gastrointestinal disease</w:t>
      </w:r>
      <w:r w:rsidR="00BC2554" w:rsidRPr="00611F34">
        <w:rPr>
          <w:rFonts w:ascii="Arial" w:hAnsi="Arial" w:cs="Arial"/>
          <w:color w:val="auto"/>
        </w:rPr>
        <w:t xml:space="preserve"> including </w:t>
      </w:r>
      <w:proofErr w:type="spellStart"/>
      <w:r w:rsidR="00BC2554" w:rsidRPr="00611F34">
        <w:rPr>
          <w:rFonts w:ascii="Arial" w:hAnsi="Arial" w:cs="Arial"/>
          <w:color w:val="auto"/>
        </w:rPr>
        <w:t>gastroparesis</w:t>
      </w:r>
      <w:proofErr w:type="spellEnd"/>
      <w:r w:rsidR="00BC2554" w:rsidRPr="00611F34">
        <w:rPr>
          <w:rFonts w:ascii="Arial" w:hAnsi="Arial" w:cs="Arial"/>
          <w:color w:val="auto"/>
        </w:rPr>
        <w:t xml:space="preserve"> and dumping sy</w:t>
      </w:r>
      <w:r w:rsidR="007A6F02" w:rsidRPr="00611F34">
        <w:rPr>
          <w:rFonts w:ascii="Arial" w:hAnsi="Arial" w:cs="Arial"/>
          <w:color w:val="auto"/>
        </w:rPr>
        <w:t>n</w:t>
      </w:r>
      <w:r w:rsidR="00BC2554" w:rsidRPr="00611F34">
        <w:rPr>
          <w:rFonts w:ascii="Arial" w:hAnsi="Arial" w:cs="Arial"/>
          <w:color w:val="auto"/>
        </w:rPr>
        <w:t>drome.</w:t>
      </w:r>
    </w:p>
    <w:p w:rsidR="00703009" w:rsidRPr="00611F34" w:rsidRDefault="00703009" w:rsidP="00DA1AEE">
      <w:pPr>
        <w:pStyle w:val="BodyText"/>
        <w:jc w:val="both"/>
        <w:rPr>
          <w:rFonts w:ascii="Arial" w:hAnsi="Arial" w:cs="Arial"/>
        </w:rPr>
      </w:pPr>
    </w:p>
    <w:p w:rsidR="00EA7575" w:rsidRPr="006276ED" w:rsidRDefault="00EA7575" w:rsidP="00EA7575">
      <w:pPr>
        <w:pStyle w:val="BodyText"/>
        <w:jc w:val="both"/>
        <w:rPr>
          <w:rFonts w:ascii="Arial" w:hAnsi="Arial" w:cs="Arial"/>
        </w:rPr>
      </w:pPr>
      <w:r w:rsidRPr="006276ED">
        <w:rPr>
          <w:rFonts w:ascii="Arial" w:hAnsi="Arial" w:cs="Arial"/>
        </w:rPr>
        <w:t xml:space="preserve">The concurrent use of </w:t>
      </w:r>
      <w:r w:rsidR="00767975">
        <w:rPr>
          <w:rFonts w:ascii="Arial" w:hAnsi="Arial" w:cs="Arial"/>
        </w:rPr>
        <w:t>e</w:t>
      </w:r>
      <w:r w:rsidR="00767975" w:rsidRPr="006276ED">
        <w:rPr>
          <w:rFonts w:ascii="Arial" w:hAnsi="Arial" w:cs="Arial"/>
        </w:rPr>
        <w:t xml:space="preserve">xenatide </w:t>
      </w:r>
      <w:r w:rsidRPr="006276ED">
        <w:rPr>
          <w:rFonts w:ascii="Arial" w:hAnsi="Arial" w:cs="Arial"/>
        </w:rPr>
        <w:t xml:space="preserve">with insulin, </w:t>
      </w:r>
      <w:r w:rsidRPr="006276ED">
        <w:rPr>
          <w:rFonts w:ascii="Arial" w:hAnsi="Arial" w:cs="Arial"/>
          <w:smallCaps/>
        </w:rPr>
        <w:t>D</w:t>
      </w:r>
      <w:r w:rsidRPr="006276ED">
        <w:rPr>
          <w:rFonts w:ascii="Arial" w:hAnsi="Arial" w:cs="Arial"/>
        </w:rPr>
        <w:t xml:space="preserve">-phenylalanine derivatives, </w:t>
      </w:r>
      <w:proofErr w:type="spellStart"/>
      <w:r w:rsidRPr="006276ED">
        <w:rPr>
          <w:rFonts w:ascii="Arial" w:hAnsi="Arial" w:cs="Arial"/>
        </w:rPr>
        <w:t>meglitinides</w:t>
      </w:r>
      <w:proofErr w:type="spellEnd"/>
      <w:r w:rsidRPr="006276ED">
        <w:rPr>
          <w:rFonts w:ascii="Arial" w:hAnsi="Arial" w:cs="Arial"/>
        </w:rPr>
        <w:t>, alpha-</w:t>
      </w:r>
      <w:proofErr w:type="spellStart"/>
      <w:r w:rsidRPr="006276ED">
        <w:rPr>
          <w:rFonts w:ascii="Arial" w:hAnsi="Arial" w:cs="Arial"/>
        </w:rPr>
        <w:t>glucosidase</w:t>
      </w:r>
      <w:proofErr w:type="spellEnd"/>
      <w:r w:rsidRPr="006276ED">
        <w:rPr>
          <w:rFonts w:ascii="Arial" w:hAnsi="Arial" w:cs="Arial"/>
        </w:rPr>
        <w:t xml:space="preserve"> inhibitors, </w:t>
      </w:r>
      <w:proofErr w:type="spellStart"/>
      <w:r w:rsidR="00C43118">
        <w:rPr>
          <w:rFonts w:ascii="Arial" w:hAnsi="Arial" w:cs="Arial"/>
        </w:rPr>
        <w:t>dipeptidyl</w:t>
      </w:r>
      <w:proofErr w:type="spellEnd"/>
      <w:r w:rsidR="00C43118">
        <w:rPr>
          <w:rFonts w:ascii="Arial" w:hAnsi="Arial" w:cs="Arial"/>
        </w:rPr>
        <w:t xml:space="preserve"> peptidase 4 (“gliptins”)</w:t>
      </w:r>
      <w:r w:rsidR="00C73FDA">
        <w:rPr>
          <w:rFonts w:ascii="Arial" w:hAnsi="Arial" w:cs="Arial"/>
        </w:rPr>
        <w:t xml:space="preserve">, </w:t>
      </w:r>
      <w:r w:rsidRPr="006276ED">
        <w:rPr>
          <w:rFonts w:ascii="Arial" w:hAnsi="Arial" w:cs="Arial"/>
        </w:rPr>
        <w:t>orlistat, opioids, and anticholinergics has not</w:t>
      </w:r>
      <w:r w:rsidRPr="006276ED">
        <w:rPr>
          <w:rFonts w:ascii="Arial" w:hAnsi="Arial" w:cs="Arial"/>
          <w:b/>
          <w:bCs/>
        </w:rPr>
        <w:t xml:space="preserve"> </w:t>
      </w:r>
      <w:r w:rsidRPr="006276ED">
        <w:rPr>
          <w:rFonts w:ascii="Arial" w:hAnsi="Arial" w:cs="Arial"/>
        </w:rPr>
        <w:t xml:space="preserve">been studied. </w:t>
      </w:r>
      <w:r w:rsidR="00C63435">
        <w:rPr>
          <w:rFonts w:ascii="Arial" w:hAnsi="Arial" w:cs="Arial"/>
        </w:rPr>
        <w:t>The concomitant use of exenatide once weekly and exenatide twice daily is not recommended.</w:t>
      </w:r>
    </w:p>
    <w:p w:rsidR="00330A2E" w:rsidRPr="00611F34" w:rsidRDefault="00330A2E" w:rsidP="00DA1AEE">
      <w:pPr>
        <w:pStyle w:val="BodyText"/>
        <w:jc w:val="both"/>
        <w:rPr>
          <w:rFonts w:ascii="Arial" w:hAnsi="Arial" w:cs="Arial"/>
          <w:color w:val="FF0000"/>
        </w:rPr>
      </w:pPr>
    </w:p>
    <w:p w:rsidR="00805954" w:rsidRPr="00611F34" w:rsidRDefault="00805954" w:rsidP="00805954">
      <w:pPr>
        <w:jc w:val="both"/>
        <w:rPr>
          <w:rFonts w:ascii="Arial" w:hAnsi="Arial" w:cs="Arial"/>
          <w:b/>
          <w:bCs/>
          <w:color w:val="auto"/>
        </w:rPr>
      </w:pPr>
      <w:r w:rsidRPr="00611F34">
        <w:rPr>
          <w:rFonts w:ascii="Arial" w:hAnsi="Arial" w:cs="Arial"/>
          <w:b/>
          <w:bCs/>
          <w:color w:val="auto"/>
        </w:rPr>
        <w:t>Hypoglycaemia</w:t>
      </w:r>
    </w:p>
    <w:p w:rsidR="00805954" w:rsidRPr="00611F34" w:rsidRDefault="00805954" w:rsidP="00805954">
      <w:pPr>
        <w:pStyle w:val="BodyText"/>
        <w:jc w:val="both"/>
        <w:rPr>
          <w:rFonts w:ascii="Arial" w:hAnsi="Arial" w:cs="Arial"/>
          <w:color w:val="auto"/>
        </w:rPr>
      </w:pPr>
      <w:r w:rsidRPr="00611F34">
        <w:rPr>
          <w:rFonts w:ascii="Arial" w:hAnsi="Arial" w:cs="Arial"/>
          <w:bCs/>
          <w:color w:val="auto"/>
        </w:rPr>
        <w:t>As would be expected for a blood glucose lowering agent, w</w:t>
      </w:r>
      <w:r w:rsidRPr="00611F34">
        <w:rPr>
          <w:rFonts w:ascii="Arial" w:hAnsi="Arial" w:cs="Arial"/>
          <w:color w:val="auto"/>
        </w:rPr>
        <w:t xml:space="preserve">hen exenatide was used in combination with a sulfonylurea; the incidence of hypoglycaemia was increased over that of placebo in combination with a sulfonylurea. </w:t>
      </w:r>
      <w:r w:rsidRPr="00611F34">
        <w:rPr>
          <w:rFonts w:ascii="Arial" w:hAnsi="Arial" w:cs="Arial"/>
        </w:rPr>
        <w:t xml:space="preserve">In the clinical studies patients on a sulfonylurea combination, with mild renal impairment had an increased incidence of hypoglycaemia compared to patients with normal renal function. </w:t>
      </w:r>
      <w:r w:rsidRPr="00611F34">
        <w:rPr>
          <w:rFonts w:ascii="Arial" w:hAnsi="Arial" w:cs="Arial"/>
          <w:color w:val="auto"/>
        </w:rPr>
        <w:t xml:space="preserve">To reduce the risk of </w:t>
      </w:r>
      <w:r w:rsidRPr="00611F34">
        <w:rPr>
          <w:rFonts w:ascii="Arial" w:hAnsi="Arial" w:cs="Arial"/>
          <w:color w:val="auto"/>
        </w:rPr>
        <w:lastRenderedPageBreak/>
        <w:t xml:space="preserve">hypoglycaemia associated with the use of a sulfonylurea, reduction in the dose of sulfonylurea may be considered (see </w:t>
      </w:r>
      <w:r w:rsidRPr="00611F34">
        <w:rPr>
          <w:rFonts w:ascii="Arial" w:hAnsi="Arial" w:cs="Arial"/>
          <w:b/>
          <w:color w:val="auto"/>
        </w:rPr>
        <w:t>DOSAGE AND ADMINISTRATION</w:t>
      </w:r>
      <w:r w:rsidRPr="00611F34">
        <w:rPr>
          <w:rFonts w:ascii="Arial" w:hAnsi="Arial" w:cs="Arial"/>
          <w:color w:val="auto"/>
        </w:rPr>
        <w:t xml:space="preserve"> and </w:t>
      </w:r>
      <w:r w:rsidRPr="00611F34">
        <w:rPr>
          <w:rFonts w:ascii="Arial" w:hAnsi="Arial" w:cs="Arial"/>
          <w:b/>
          <w:color w:val="auto"/>
        </w:rPr>
        <w:t>ADVERSE EFFECTS</w:t>
      </w:r>
      <w:r w:rsidRPr="00611F34">
        <w:rPr>
          <w:rFonts w:ascii="Arial" w:hAnsi="Arial" w:cs="Arial"/>
          <w:color w:val="auto"/>
        </w:rPr>
        <w:t xml:space="preserve">). </w:t>
      </w:r>
    </w:p>
    <w:p w:rsidR="00805954" w:rsidRPr="00611F34" w:rsidRDefault="00805954" w:rsidP="00805954">
      <w:pPr>
        <w:pStyle w:val="BodyText"/>
        <w:jc w:val="both"/>
        <w:rPr>
          <w:rFonts w:ascii="Arial" w:hAnsi="Arial" w:cs="Arial"/>
          <w:color w:val="auto"/>
        </w:rPr>
      </w:pPr>
    </w:p>
    <w:p w:rsidR="00805954" w:rsidRPr="00611F34" w:rsidRDefault="00805954" w:rsidP="00805954">
      <w:pPr>
        <w:pStyle w:val="BodyText"/>
        <w:jc w:val="both"/>
        <w:rPr>
          <w:rFonts w:ascii="Arial" w:hAnsi="Arial" w:cs="Arial"/>
        </w:rPr>
      </w:pPr>
      <w:r w:rsidRPr="00611F34">
        <w:rPr>
          <w:rFonts w:ascii="Arial" w:hAnsi="Arial" w:cs="Arial"/>
        </w:rPr>
        <w:t>Exenatide did not alter the counter-regulatory hormone response to insulin-induced hypoglycaemia in a randomised, double-blind, controlled study in healthy subjects.</w:t>
      </w:r>
    </w:p>
    <w:p w:rsidR="00805954" w:rsidRPr="00611F34" w:rsidRDefault="00805954" w:rsidP="00DA1AEE">
      <w:pPr>
        <w:pStyle w:val="BodyText"/>
        <w:jc w:val="both"/>
        <w:rPr>
          <w:rFonts w:ascii="Arial" w:hAnsi="Arial" w:cs="Arial"/>
          <w:b/>
          <w:color w:val="auto"/>
        </w:rPr>
      </w:pPr>
    </w:p>
    <w:p w:rsidR="00087056" w:rsidRPr="00611F34" w:rsidRDefault="00087056" w:rsidP="00DA1AEE">
      <w:pPr>
        <w:pStyle w:val="BodyText"/>
        <w:jc w:val="both"/>
        <w:rPr>
          <w:rFonts w:ascii="Arial" w:hAnsi="Arial" w:cs="Arial"/>
          <w:b/>
          <w:color w:val="auto"/>
        </w:rPr>
      </w:pPr>
      <w:r w:rsidRPr="00611F34">
        <w:rPr>
          <w:rFonts w:ascii="Arial" w:hAnsi="Arial" w:cs="Arial"/>
          <w:b/>
          <w:color w:val="auto"/>
        </w:rPr>
        <w:t>Interaction with Warfarin</w:t>
      </w:r>
    </w:p>
    <w:p w:rsidR="002C79C3" w:rsidRPr="00611F34" w:rsidRDefault="002C79C3" w:rsidP="00A15B85">
      <w:pPr>
        <w:pStyle w:val="NormalWeb"/>
        <w:spacing w:before="0" w:beforeAutospacing="0" w:after="0" w:afterAutospacing="0"/>
        <w:jc w:val="both"/>
        <w:rPr>
          <w:rFonts w:ascii="Arial" w:hAnsi="Arial" w:cs="Arial"/>
          <w:b/>
          <w:bCs/>
          <w:color w:val="auto"/>
          <w:lang w:val="en-AU"/>
        </w:rPr>
      </w:pPr>
      <w:r w:rsidRPr="00611F34">
        <w:rPr>
          <w:rFonts w:ascii="Arial" w:hAnsi="Arial" w:cs="Arial"/>
          <w:color w:val="auto"/>
          <w:lang w:val="en-AU"/>
        </w:rPr>
        <w:t xml:space="preserve">Since market introduction there have been some spontaneously reported cases of increased INR (International Normalized Ratio) with concomitant use of warfarin and </w:t>
      </w:r>
      <w:r w:rsidR="00087056" w:rsidRPr="00611F34">
        <w:rPr>
          <w:rFonts w:ascii="Arial" w:hAnsi="Arial" w:cs="Arial"/>
          <w:color w:val="auto"/>
          <w:lang w:val="en-AU"/>
        </w:rPr>
        <w:t>e</w:t>
      </w:r>
      <w:r w:rsidR="00174A04" w:rsidRPr="00611F34">
        <w:rPr>
          <w:rFonts w:ascii="Arial" w:hAnsi="Arial" w:cs="Arial"/>
          <w:color w:val="auto"/>
          <w:lang w:val="en-AU"/>
        </w:rPr>
        <w:t>xenatide</w:t>
      </w:r>
      <w:r w:rsidRPr="00611F34">
        <w:rPr>
          <w:rFonts w:ascii="Arial" w:hAnsi="Arial" w:cs="Arial"/>
          <w:color w:val="auto"/>
          <w:lang w:val="en-AU"/>
        </w:rPr>
        <w:t>, sometimes associated with bleeding (</w:t>
      </w:r>
      <w:r w:rsidR="00C37B5C" w:rsidRPr="00611F34">
        <w:rPr>
          <w:rFonts w:ascii="Arial" w:hAnsi="Arial" w:cs="Arial"/>
          <w:color w:val="auto"/>
          <w:lang w:val="en-AU"/>
        </w:rPr>
        <w:t>see</w:t>
      </w:r>
      <w:r w:rsidR="00C37B5C" w:rsidRPr="00611F34">
        <w:rPr>
          <w:rFonts w:ascii="Arial" w:hAnsi="Arial" w:cs="Arial"/>
          <w:i/>
          <w:color w:val="auto"/>
          <w:lang w:val="en-AU"/>
        </w:rPr>
        <w:t xml:space="preserve"> </w:t>
      </w:r>
      <w:r w:rsidR="00C37B5C" w:rsidRPr="00611F34">
        <w:rPr>
          <w:rFonts w:ascii="Arial" w:hAnsi="Arial" w:cs="Arial"/>
          <w:b/>
          <w:color w:val="auto"/>
          <w:lang w:val="en-AU"/>
        </w:rPr>
        <w:t>Interaction</w:t>
      </w:r>
      <w:r w:rsidRPr="00611F34">
        <w:rPr>
          <w:rFonts w:ascii="Arial" w:hAnsi="Arial" w:cs="Arial"/>
          <w:b/>
          <w:color w:val="auto"/>
          <w:lang w:val="en-AU"/>
        </w:rPr>
        <w:t xml:space="preserve"> With Other Medic</w:t>
      </w:r>
      <w:r w:rsidR="00C37B5C" w:rsidRPr="00611F34">
        <w:rPr>
          <w:rFonts w:ascii="Arial" w:hAnsi="Arial" w:cs="Arial"/>
          <w:b/>
          <w:color w:val="auto"/>
          <w:lang w:val="en-AU"/>
        </w:rPr>
        <w:t>ines</w:t>
      </w:r>
      <w:r w:rsidR="00C37B5C" w:rsidRPr="00611F34">
        <w:rPr>
          <w:rFonts w:ascii="Arial" w:hAnsi="Arial" w:cs="Arial"/>
          <w:color w:val="auto"/>
          <w:lang w:val="en-AU"/>
        </w:rPr>
        <w:t xml:space="preserve"> a</w:t>
      </w:r>
      <w:r w:rsidRPr="00611F34">
        <w:rPr>
          <w:rFonts w:ascii="Arial" w:hAnsi="Arial" w:cs="Arial"/>
          <w:color w:val="auto"/>
          <w:lang w:val="en-AU"/>
        </w:rPr>
        <w:t xml:space="preserve">nd </w:t>
      </w:r>
      <w:r w:rsidRPr="00611F34">
        <w:rPr>
          <w:rFonts w:ascii="Arial" w:hAnsi="Arial" w:cs="Arial"/>
          <w:b/>
          <w:color w:val="auto"/>
          <w:lang w:val="en-AU"/>
        </w:rPr>
        <w:t xml:space="preserve"> </w:t>
      </w:r>
      <w:r w:rsidR="00C37B5C" w:rsidRPr="00611F34">
        <w:rPr>
          <w:rFonts w:ascii="Arial" w:hAnsi="Arial" w:cs="Arial"/>
          <w:b/>
          <w:color w:val="auto"/>
          <w:lang w:val="en-AU"/>
        </w:rPr>
        <w:t>A</w:t>
      </w:r>
      <w:r w:rsidR="00DA1AEE" w:rsidRPr="00611F34">
        <w:rPr>
          <w:rFonts w:ascii="Arial" w:hAnsi="Arial" w:cs="Arial"/>
          <w:b/>
          <w:color w:val="auto"/>
          <w:lang w:val="en-AU"/>
        </w:rPr>
        <w:t>DVERSE EFFECTS</w:t>
      </w:r>
      <w:r w:rsidRPr="00611F34">
        <w:rPr>
          <w:rFonts w:ascii="Arial" w:hAnsi="Arial" w:cs="Arial"/>
          <w:bCs/>
          <w:color w:val="auto"/>
          <w:lang w:val="en-AU"/>
        </w:rPr>
        <w:t xml:space="preserve">, </w:t>
      </w:r>
      <w:r w:rsidRPr="00611F34">
        <w:rPr>
          <w:rFonts w:ascii="Arial" w:hAnsi="Arial" w:cs="Arial"/>
          <w:b/>
          <w:bCs/>
          <w:color w:val="auto"/>
          <w:lang w:val="en-AU"/>
        </w:rPr>
        <w:t>Spontaneous Data)</w:t>
      </w:r>
      <w:r w:rsidR="00A34065" w:rsidRPr="00611F34">
        <w:rPr>
          <w:rFonts w:ascii="Arial" w:hAnsi="Arial" w:cs="Arial"/>
          <w:b/>
          <w:bCs/>
          <w:color w:val="auto"/>
          <w:lang w:val="en-AU"/>
        </w:rPr>
        <w:t>.</w:t>
      </w:r>
      <w:r w:rsidRPr="00611F34">
        <w:rPr>
          <w:rFonts w:ascii="Arial" w:hAnsi="Arial" w:cs="Arial"/>
          <w:b/>
          <w:bCs/>
          <w:color w:val="auto"/>
          <w:lang w:val="en-AU"/>
        </w:rPr>
        <w:t xml:space="preserve"> </w:t>
      </w:r>
    </w:p>
    <w:p w:rsidR="00087056" w:rsidRPr="00611F34" w:rsidRDefault="00087056" w:rsidP="00A15B85">
      <w:pPr>
        <w:pStyle w:val="NormalWeb"/>
        <w:spacing w:before="0" w:beforeAutospacing="0" w:after="0" w:afterAutospacing="0"/>
        <w:jc w:val="both"/>
        <w:rPr>
          <w:rFonts w:ascii="Arial" w:hAnsi="Arial" w:cs="Arial"/>
          <w:b/>
          <w:bCs/>
          <w:color w:val="auto"/>
          <w:lang w:val="en-AU"/>
        </w:rPr>
      </w:pPr>
    </w:p>
    <w:p w:rsidR="007B34D0" w:rsidRPr="00611F34" w:rsidRDefault="007B34D0" w:rsidP="00087056">
      <w:pPr>
        <w:rPr>
          <w:rFonts w:ascii="Arial" w:hAnsi="Arial" w:cs="Arial"/>
          <w:b/>
        </w:rPr>
      </w:pPr>
      <w:r w:rsidRPr="00611F34">
        <w:rPr>
          <w:rFonts w:ascii="Arial" w:hAnsi="Arial" w:cs="Arial"/>
          <w:b/>
        </w:rPr>
        <w:t xml:space="preserve">Altered Renal Function </w:t>
      </w:r>
    </w:p>
    <w:p w:rsidR="00311174" w:rsidRPr="006276ED" w:rsidRDefault="00311174" w:rsidP="00311174">
      <w:pPr>
        <w:rPr>
          <w:rFonts w:ascii="Arial" w:hAnsi="Arial" w:cs="Arial"/>
          <w:color w:val="auto"/>
          <w:u w:val="single"/>
        </w:rPr>
      </w:pPr>
      <w:r w:rsidRPr="006276ED">
        <w:rPr>
          <w:rFonts w:ascii="Arial" w:hAnsi="Arial" w:cs="Arial"/>
          <w:color w:val="auto"/>
        </w:rPr>
        <w:t xml:space="preserve">There have been rare, spontaneously reported events of acute renal failure, worsened chronic renal failure, renal impairment, or increased serum creatinine among patients using </w:t>
      </w:r>
      <w:r w:rsidR="00767975">
        <w:rPr>
          <w:rFonts w:ascii="Arial" w:hAnsi="Arial" w:cs="Arial"/>
          <w:color w:val="auto"/>
        </w:rPr>
        <w:t>e</w:t>
      </w:r>
      <w:r w:rsidR="00767975" w:rsidRPr="006276ED">
        <w:rPr>
          <w:rFonts w:ascii="Arial" w:hAnsi="Arial" w:cs="Arial"/>
          <w:color w:val="auto"/>
        </w:rPr>
        <w:t>xenatide</w:t>
      </w:r>
      <w:r w:rsidRPr="006276ED">
        <w:rPr>
          <w:rFonts w:ascii="Arial" w:hAnsi="Arial" w:cs="Arial"/>
          <w:color w:val="auto"/>
        </w:rPr>
        <w:t xml:space="preserve">. These events mostly occurred in patients also receiving one or more pharmacologic agents known to potentially affect renal function or hydration status and/or experiencing events of nausea, vomiting, diarrhoea, and/or dehydration. </w:t>
      </w:r>
      <w:r>
        <w:rPr>
          <w:rFonts w:ascii="Arial" w:hAnsi="Arial" w:cs="Arial"/>
          <w:color w:val="auto"/>
        </w:rPr>
        <w:t xml:space="preserve">Concomitant agents included angiotensin converting enzyme inhibitors, </w:t>
      </w:r>
      <w:proofErr w:type="spellStart"/>
      <w:r>
        <w:rPr>
          <w:rFonts w:ascii="Arial" w:hAnsi="Arial" w:cs="Arial"/>
          <w:color w:val="auto"/>
        </w:rPr>
        <w:t>nonsteroidal</w:t>
      </w:r>
      <w:proofErr w:type="spellEnd"/>
      <w:r>
        <w:rPr>
          <w:rFonts w:ascii="Arial" w:hAnsi="Arial" w:cs="Arial"/>
          <w:color w:val="auto"/>
        </w:rPr>
        <w:t xml:space="preserve"> anti-inflammatory drugs, and diuretics. </w:t>
      </w:r>
      <w:r w:rsidR="00C63435">
        <w:rPr>
          <w:rFonts w:ascii="Arial" w:hAnsi="Arial" w:cs="Arial"/>
          <w:color w:val="auto"/>
        </w:rPr>
        <w:t>Reversibility of altered renal function has been observed with supportive treatment and discontinuation of potentially causative agents, including exenatide</w:t>
      </w:r>
      <w:r w:rsidRPr="006276ED">
        <w:rPr>
          <w:rFonts w:ascii="Arial" w:hAnsi="Arial" w:cs="Arial"/>
          <w:color w:val="auto"/>
        </w:rPr>
        <w:t xml:space="preserve"> (see </w:t>
      </w:r>
      <w:r w:rsidRPr="006276ED">
        <w:rPr>
          <w:rFonts w:ascii="Arial" w:hAnsi="Arial" w:cs="Arial"/>
          <w:b/>
          <w:color w:val="auto"/>
        </w:rPr>
        <w:t>ADVERSE EFFECTS, Spontaneous Data).</w:t>
      </w:r>
    </w:p>
    <w:p w:rsidR="001F43B6" w:rsidRPr="00611F34" w:rsidRDefault="001F43B6" w:rsidP="00DA1AEE">
      <w:pPr>
        <w:jc w:val="both"/>
        <w:rPr>
          <w:rFonts w:ascii="Arial" w:hAnsi="Arial" w:cs="Arial"/>
          <w:b/>
        </w:rPr>
      </w:pPr>
    </w:p>
    <w:p w:rsidR="002F54FB" w:rsidRPr="00611F34" w:rsidRDefault="002F54FB" w:rsidP="00DA1AEE">
      <w:pPr>
        <w:jc w:val="both"/>
        <w:rPr>
          <w:rFonts w:ascii="Arial" w:hAnsi="Arial" w:cs="Arial"/>
        </w:rPr>
      </w:pPr>
      <w:r w:rsidRPr="00611F34">
        <w:rPr>
          <w:rFonts w:ascii="Arial" w:hAnsi="Arial" w:cs="Arial"/>
          <w:b/>
        </w:rPr>
        <w:t>Pancreatitis</w:t>
      </w:r>
    </w:p>
    <w:p w:rsidR="002F54FB" w:rsidRPr="00611F34" w:rsidRDefault="004B324F" w:rsidP="00DA1AEE">
      <w:pPr>
        <w:jc w:val="both"/>
        <w:rPr>
          <w:rFonts w:ascii="Arial" w:hAnsi="Arial" w:cs="Arial"/>
        </w:rPr>
      </w:pPr>
      <w:r w:rsidRPr="00611F34">
        <w:rPr>
          <w:rFonts w:ascii="Arial" w:hAnsi="Arial" w:cs="Arial"/>
        </w:rPr>
        <w:t xml:space="preserve">Recognised risk factors for pancreatitis include a past history of pancreatitis, gallstones, alcoholism and severe hypertriglyceridaemia. Clinical judgement should be exercised when selecting anti-diabetic treatments, including </w:t>
      </w:r>
      <w:r w:rsidR="00624930" w:rsidRPr="00611F34">
        <w:rPr>
          <w:rFonts w:ascii="Arial" w:hAnsi="Arial" w:cs="Arial"/>
        </w:rPr>
        <w:t>exenatide</w:t>
      </w:r>
      <w:r w:rsidRPr="00611F34">
        <w:rPr>
          <w:rFonts w:ascii="Arial" w:hAnsi="Arial" w:cs="Arial"/>
        </w:rPr>
        <w:t xml:space="preserve">, for these patients. The change in risk of recurrent pancreatitis in patients with a past history of pancreatitis who receive </w:t>
      </w:r>
      <w:r w:rsidR="00624930" w:rsidRPr="00611F34">
        <w:rPr>
          <w:rFonts w:ascii="Arial" w:hAnsi="Arial" w:cs="Arial"/>
        </w:rPr>
        <w:t>exenatide</w:t>
      </w:r>
      <w:r w:rsidRPr="00611F34">
        <w:rPr>
          <w:rFonts w:ascii="Arial" w:hAnsi="Arial" w:cs="Arial"/>
        </w:rPr>
        <w:t xml:space="preserve"> is not known. </w:t>
      </w:r>
      <w:r w:rsidR="002F54FB" w:rsidRPr="00611F34">
        <w:rPr>
          <w:rFonts w:ascii="Arial" w:hAnsi="Arial" w:cs="Arial"/>
        </w:rPr>
        <w:t xml:space="preserve">There have been </w:t>
      </w:r>
      <w:r w:rsidR="00FC093B" w:rsidRPr="00611F34">
        <w:rPr>
          <w:rFonts w:ascii="Arial" w:hAnsi="Arial" w:cs="Arial"/>
        </w:rPr>
        <w:t>rare,</w:t>
      </w:r>
      <w:r w:rsidR="002F54FB" w:rsidRPr="00611F34">
        <w:rPr>
          <w:rFonts w:ascii="Arial" w:hAnsi="Arial" w:cs="Arial"/>
        </w:rPr>
        <w:t xml:space="preserve"> spontaneously reported events of acute pancreatitis</w:t>
      </w:r>
      <w:r w:rsidRPr="00611F34">
        <w:rPr>
          <w:rFonts w:ascii="Arial" w:hAnsi="Arial" w:cs="Arial"/>
        </w:rPr>
        <w:t xml:space="preserve">, including fatal cases of haemorrhagic or necrotising pancreatitis in patients who have received </w:t>
      </w:r>
      <w:r w:rsidR="00624930" w:rsidRPr="00611F34">
        <w:rPr>
          <w:rFonts w:ascii="Arial" w:hAnsi="Arial" w:cs="Arial"/>
        </w:rPr>
        <w:t>exenatide twice daily</w:t>
      </w:r>
      <w:r w:rsidRPr="00611F34">
        <w:rPr>
          <w:rFonts w:ascii="Arial" w:hAnsi="Arial" w:cs="Arial"/>
        </w:rPr>
        <w:t xml:space="preserve">. Cases of haemorrhagic or necrotising pancreatitis have been reported across the adult age range (18 years and over, including the elderly). There are no early signs or symptoms that distinguish cases that will become acute haemorrhagic or necrotising pancreatitis from the less severe form of pancreatitis. This potential should be considered in patients treated with </w:t>
      </w:r>
      <w:r w:rsidR="00507E1E" w:rsidRPr="00611F34">
        <w:rPr>
          <w:rFonts w:ascii="Arial" w:hAnsi="Arial" w:cs="Arial"/>
        </w:rPr>
        <w:t>exenatide once weekly</w:t>
      </w:r>
      <w:r w:rsidRPr="00611F34">
        <w:rPr>
          <w:rFonts w:ascii="Arial" w:hAnsi="Arial" w:cs="Arial"/>
        </w:rPr>
        <w:t xml:space="preserve"> who manifest symptoms and signs suggestive of pancreatitis</w:t>
      </w:r>
      <w:r w:rsidR="002F54FB" w:rsidRPr="00611F34">
        <w:rPr>
          <w:rFonts w:ascii="Arial" w:hAnsi="Arial" w:cs="Arial"/>
        </w:rPr>
        <w:t xml:space="preserve">. Patients should be informed of the characteristic symptom of acute pancreatitis: persistent, severe abdominal pain. </w:t>
      </w:r>
      <w:r w:rsidRPr="00611F34">
        <w:rPr>
          <w:rFonts w:ascii="Arial" w:hAnsi="Arial" w:cs="Arial"/>
        </w:rPr>
        <w:t>Patients and their caregivers should be advised to report immediately to their doctor such abdominal pain particularly if associated with vomiting or diarrhoea. Generally, r</w:t>
      </w:r>
      <w:r w:rsidR="002F54FB" w:rsidRPr="00611F34">
        <w:rPr>
          <w:rFonts w:ascii="Arial" w:hAnsi="Arial" w:cs="Arial"/>
        </w:rPr>
        <w:t>esolution of pancreatitis has been observed with supportive treatment.</w:t>
      </w:r>
      <w:r w:rsidR="006A5D42" w:rsidRPr="00611F34">
        <w:rPr>
          <w:rFonts w:ascii="Arial" w:hAnsi="Arial" w:cs="Arial"/>
        </w:rPr>
        <w:t xml:space="preserve"> If pancreatitis is suspected, </w:t>
      </w:r>
      <w:r w:rsidR="00624930" w:rsidRPr="00611F34">
        <w:rPr>
          <w:rFonts w:ascii="Arial" w:hAnsi="Arial" w:cs="Arial"/>
        </w:rPr>
        <w:t>exenatide</w:t>
      </w:r>
      <w:r w:rsidR="006A5D42" w:rsidRPr="00611F34">
        <w:rPr>
          <w:rFonts w:ascii="Arial" w:hAnsi="Arial" w:cs="Arial"/>
        </w:rPr>
        <w:t xml:space="preserve"> and other potentially suspect medications should be discontinued</w:t>
      </w:r>
      <w:r w:rsidRPr="00611F34">
        <w:rPr>
          <w:rFonts w:ascii="Arial" w:hAnsi="Arial" w:cs="Arial"/>
        </w:rPr>
        <w:t xml:space="preserve"> and not recommenced unless pancreatitis has been excluded</w:t>
      </w:r>
      <w:r w:rsidR="006A5D42" w:rsidRPr="00611F34">
        <w:rPr>
          <w:rFonts w:ascii="Arial" w:hAnsi="Arial" w:cs="Arial"/>
        </w:rPr>
        <w:t>.</w:t>
      </w:r>
    </w:p>
    <w:p w:rsidR="006263A0" w:rsidRDefault="006263A0" w:rsidP="00DA1AEE">
      <w:pPr>
        <w:jc w:val="both"/>
        <w:rPr>
          <w:rFonts w:ascii="Arial" w:hAnsi="Arial" w:cs="Arial"/>
          <w:b/>
        </w:rPr>
      </w:pPr>
    </w:p>
    <w:p w:rsidR="005B296D" w:rsidRDefault="005B296D" w:rsidP="005B296D">
      <w:pPr>
        <w:jc w:val="both"/>
        <w:rPr>
          <w:rFonts w:ascii="Arial" w:hAnsi="Arial" w:cs="Arial"/>
          <w:b/>
        </w:rPr>
      </w:pPr>
      <w:r>
        <w:rPr>
          <w:rFonts w:ascii="Arial" w:hAnsi="Arial" w:cs="Arial"/>
          <w:b/>
        </w:rPr>
        <w:t>Weight Loss</w:t>
      </w:r>
    </w:p>
    <w:p w:rsidR="005B296D" w:rsidRDefault="005B296D" w:rsidP="005B296D">
      <w:pPr>
        <w:jc w:val="both"/>
        <w:rPr>
          <w:rFonts w:ascii="Arial" w:hAnsi="Arial" w:cs="Arial"/>
          <w:color w:val="auto"/>
          <w:lang w:eastAsia="en-AU"/>
        </w:rPr>
      </w:pPr>
      <w:r w:rsidRPr="004B5A10">
        <w:rPr>
          <w:rFonts w:ascii="Arial" w:hAnsi="Arial" w:cs="Arial"/>
          <w:color w:val="auto"/>
          <w:lang w:eastAsia="en-AU"/>
        </w:rPr>
        <w:t>Rapid weight loss at a rate of &gt; 1.5 kg per week has been reported in</w:t>
      </w:r>
      <w:r>
        <w:rPr>
          <w:rFonts w:ascii="Arial" w:hAnsi="Arial" w:cs="Arial"/>
          <w:color w:val="auto"/>
          <w:lang w:eastAsia="en-AU"/>
        </w:rPr>
        <w:t xml:space="preserve"> </w:t>
      </w:r>
      <w:r w:rsidRPr="004B5A10">
        <w:rPr>
          <w:rFonts w:ascii="Arial" w:hAnsi="Arial" w:cs="Arial"/>
          <w:color w:val="auto"/>
          <w:lang w:eastAsia="en-AU"/>
        </w:rPr>
        <w:t>patients treated with exenatide. Weight loss of this rate may have harmful</w:t>
      </w:r>
      <w:r>
        <w:rPr>
          <w:rFonts w:ascii="Arial" w:hAnsi="Arial" w:cs="Arial"/>
          <w:color w:val="auto"/>
          <w:lang w:eastAsia="en-AU"/>
        </w:rPr>
        <w:t xml:space="preserve"> </w:t>
      </w:r>
      <w:r w:rsidRPr="004B5A10">
        <w:rPr>
          <w:rFonts w:ascii="Arial" w:hAnsi="Arial" w:cs="Arial"/>
          <w:color w:val="auto"/>
          <w:lang w:eastAsia="en-AU"/>
        </w:rPr>
        <w:t>consequences.</w:t>
      </w:r>
    </w:p>
    <w:p w:rsidR="005B296D" w:rsidRDefault="005B296D" w:rsidP="00DA1AEE">
      <w:pPr>
        <w:jc w:val="both"/>
        <w:rPr>
          <w:rFonts w:ascii="Arial" w:hAnsi="Arial" w:cs="Arial"/>
          <w:b/>
        </w:rPr>
      </w:pPr>
    </w:p>
    <w:p w:rsidR="008A4D23" w:rsidRDefault="008A4D23">
      <w:pPr>
        <w:rPr>
          <w:rFonts w:ascii="Arial" w:hAnsi="Arial" w:cs="Arial"/>
          <w:b/>
        </w:rPr>
      </w:pPr>
      <w:r>
        <w:rPr>
          <w:rFonts w:ascii="Arial" w:hAnsi="Arial" w:cs="Arial"/>
          <w:b/>
        </w:rPr>
        <w:br w:type="page"/>
      </w:r>
    </w:p>
    <w:p w:rsidR="00323C73" w:rsidRPr="00611F34" w:rsidRDefault="00323C73" w:rsidP="00DA1AEE">
      <w:pPr>
        <w:jc w:val="both"/>
        <w:rPr>
          <w:rFonts w:ascii="Arial" w:hAnsi="Arial" w:cs="Arial"/>
          <w:b/>
        </w:rPr>
      </w:pPr>
      <w:r w:rsidRPr="00611F34">
        <w:rPr>
          <w:rFonts w:ascii="Arial" w:hAnsi="Arial" w:cs="Arial"/>
          <w:b/>
        </w:rPr>
        <w:lastRenderedPageBreak/>
        <w:t>Effect on Fertility</w:t>
      </w:r>
    </w:p>
    <w:p w:rsidR="00014273" w:rsidRPr="00611F34" w:rsidRDefault="00323C73" w:rsidP="00DA1AEE">
      <w:pPr>
        <w:jc w:val="both"/>
        <w:rPr>
          <w:rFonts w:ascii="Arial" w:hAnsi="Arial" w:cs="Arial"/>
        </w:rPr>
      </w:pPr>
      <w:r w:rsidRPr="00611F34">
        <w:rPr>
          <w:rFonts w:ascii="Arial" w:hAnsi="Arial" w:cs="Arial"/>
        </w:rPr>
        <w:t>Animal studies did not indicate direct harmful effects with respect to fertility.</w:t>
      </w:r>
      <w:r w:rsidR="00014273" w:rsidRPr="00611F34">
        <w:rPr>
          <w:rFonts w:ascii="Arial" w:hAnsi="Arial" w:cs="Arial"/>
        </w:rPr>
        <w:t xml:space="preserve"> Male and female fertility </w:t>
      </w:r>
      <w:r w:rsidR="002A19AE">
        <w:rPr>
          <w:rFonts w:ascii="Arial" w:hAnsi="Arial" w:cs="Arial"/>
        </w:rPr>
        <w:t>were</w:t>
      </w:r>
      <w:r w:rsidR="002A19AE" w:rsidRPr="00611F34">
        <w:rPr>
          <w:rFonts w:ascii="Arial" w:hAnsi="Arial" w:cs="Arial"/>
        </w:rPr>
        <w:t xml:space="preserve"> </w:t>
      </w:r>
      <w:r w:rsidR="00014273" w:rsidRPr="00611F34">
        <w:rPr>
          <w:rFonts w:ascii="Arial" w:hAnsi="Arial" w:cs="Arial"/>
        </w:rPr>
        <w:t xml:space="preserve">unaffected in mice treated with </w:t>
      </w:r>
      <w:r w:rsidR="00676795" w:rsidRPr="00611F34">
        <w:rPr>
          <w:rFonts w:ascii="Arial" w:hAnsi="Arial" w:cs="Arial"/>
        </w:rPr>
        <w:t>e</w:t>
      </w:r>
      <w:r w:rsidR="00AF5FCC" w:rsidRPr="00611F34">
        <w:rPr>
          <w:rFonts w:ascii="Arial" w:hAnsi="Arial" w:cs="Arial"/>
        </w:rPr>
        <w:t>xenatide</w:t>
      </w:r>
      <w:r w:rsidR="00B52202" w:rsidRPr="00611F34">
        <w:rPr>
          <w:rFonts w:ascii="Arial" w:hAnsi="Arial" w:cs="Arial"/>
        </w:rPr>
        <w:t xml:space="preserve"> </w:t>
      </w:r>
      <w:r w:rsidR="00014273" w:rsidRPr="00611F34">
        <w:rPr>
          <w:rFonts w:ascii="Arial" w:hAnsi="Arial" w:cs="Arial"/>
        </w:rPr>
        <w:t xml:space="preserve">at SC doses up to 760 </w:t>
      </w:r>
      <w:r w:rsidR="00014273" w:rsidRPr="00611F34">
        <w:rPr>
          <w:rFonts w:ascii="Arial" w:hAnsi="Arial" w:cs="Arial"/>
        </w:rPr>
        <w:sym w:font="Symbol" w:char="F06D"/>
      </w:r>
      <w:r w:rsidR="00014273" w:rsidRPr="00611F34">
        <w:rPr>
          <w:rFonts w:ascii="Arial" w:hAnsi="Arial" w:cs="Arial"/>
        </w:rPr>
        <w:t xml:space="preserve">g/kg/day, </w:t>
      </w:r>
      <w:r w:rsidR="002A19AE">
        <w:rPr>
          <w:rFonts w:ascii="Arial" w:hAnsi="Arial" w:cs="Arial"/>
        </w:rPr>
        <w:t>almost 150</w:t>
      </w:r>
      <w:r w:rsidR="00014273" w:rsidRPr="00611F34">
        <w:rPr>
          <w:rFonts w:ascii="Arial" w:hAnsi="Arial" w:cs="Arial"/>
        </w:rPr>
        <w:t xml:space="preserve"> times the clinical exposure at </w:t>
      </w:r>
      <w:r w:rsidR="002A19AE">
        <w:rPr>
          <w:rFonts w:ascii="Arial" w:hAnsi="Arial" w:cs="Arial"/>
        </w:rPr>
        <w:t>2 mg/week</w:t>
      </w:r>
      <w:r w:rsidR="00014273" w:rsidRPr="00611F34">
        <w:rPr>
          <w:rFonts w:ascii="Arial" w:hAnsi="Arial" w:cs="Arial"/>
        </w:rPr>
        <w:t xml:space="preserve"> based on AUC</w:t>
      </w:r>
      <w:r w:rsidR="00A34065" w:rsidRPr="00611F34">
        <w:rPr>
          <w:rFonts w:ascii="Arial" w:hAnsi="Arial" w:cs="Arial"/>
        </w:rPr>
        <w:t>.</w:t>
      </w:r>
    </w:p>
    <w:p w:rsidR="00676795" w:rsidRPr="00611F34" w:rsidRDefault="00676795" w:rsidP="00DA1AEE">
      <w:pPr>
        <w:jc w:val="both"/>
        <w:rPr>
          <w:rFonts w:ascii="Arial" w:hAnsi="Arial" w:cs="Arial"/>
        </w:rPr>
      </w:pPr>
    </w:p>
    <w:p w:rsidR="00676795" w:rsidRDefault="00676795" w:rsidP="00DA1AEE">
      <w:pPr>
        <w:jc w:val="both"/>
        <w:rPr>
          <w:rFonts w:ascii="Arial" w:hAnsi="Arial" w:cs="Arial"/>
        </w:rPr>
      </w:pPr>
      <w:r w:rsidRPr="00611F34">
        <w:rPr>
          <w:rFonts w:ascii="Arial" w:hAnsi="Arial" w:cs="Arial"/>
        </w:rPr>
        <w:t>No fertility studies in humans have been conducted.</w:t>
      </w:r>
    </w:p>
    <w:p w:rsidR="008A4D23" w:rsidRPr="00611F34" w:rsidRDefault="008A4D23" w:rsidP="00DA1AEE">
      <w:pPr>
        <w:jc w:val="both"/>
        <w:rPr>
          <w:rFonts w:ascii="Arial" w:hAnsi="Arial" w:cs="Arial"/>
        </w:rPr>
      </w:pPr>
    </w:p>
    <w:p w:rsidR="00323C73" w:rsidRPr="006263A0" w:rsidRDefault="00323C73" w:rsidP="002942B7">
      <w:pPr>
        <w:pStyle w:val="Heading3"/>
      </w:pPr>
      <w:r w:rsidRPr="006263A0">
        <w:t xml:space="preserve">Use in Pregnancy </w:t>
      </w:r>
    </w:p>
    <w:p w:rsidR="00323C73" w:rsidRPr="00611F34" w:rsidRDefault="00323C73" w:rsidP="00DA1AEE">
      <w:pPr>
        <w:jc w:val="both"/>
        <w:rPr>
          <w:rFonts w:ascii="Arial" w:hAnsi="Arial" w:cs="Arial"/>
        </w:rPr>
      </w:pPr>
      <w:r w:rsidRPr="00611F34">
        <w:rPr>
          <w:rFonts w:ascii="Arial" w:hAnsi="Arial" w:cs="Arial"/>
        </w:rPr>
        <w:t xml:space="preserve">Pregnancy Category </w:t>
      </w:r>
      <w:r w:rsidR="00A82A10" w:rsidRPr="00611F34">
        <w:rPr>
          <w:rFonts w:ascii="Arial" w:hAnsi="Arial" w:cs="Arial"/>
        </w:rPr>
        <w:t>C</w:t>
      </w:r>
    </w:p>
    <w:p w:rsidR="00EC0239" w:rsidRPr="00611F34" w:rsidRDefault="00EC0239" w:rsidP="00DA1AEE">
      <w:pPr>
        <w:pStyle w:val="BodyTextIndent3"/>
        <w:ind w:firstLine="0"/>
        <w:jc w:val="both"/>
        <w:rPr>
          <w:rFonts w:ascii="Arial" w:hAnsi="Arial" w:cs="Arial"/>
          <w:lang w:val="en-AU"/>
        </w:rPr>
      </w:pPr>
    </w:p>
    <w:p w:rsidR="00A82A10" w:rsidRPr="00611F34" w:rsidRDefault="00174A04" w:rsidP="00DA1AEE">
      <w:pPr>
        <w:pStyle w:val="BodyTextIndent3"/>
        <w:ind w:firstLine="0"/>
        <w:jc w:val="both"/>
        <w:rPr>
          <w:rFonts w:ascii="Arial" w:hAnsi="Arial" w:cs="Arial"/>
          <w:lang w:val="en-AU"/>
        </w:rPr>
      </w:pPr>
      <w:r w:rsidRPr="00611F34">
        <w:rPr>
          <w:rFonts w:ascii="Arial" w:hAnsi="Arial" w:cs="Arial"/>
          <w:lang w:val="en-AU"/>
        </w:rPr>
        <w:t xml:space="preserve">Exenatide is not recommended for use during pregnancy. No specific studies have been conducted in pregnant women.  </w:t>
      </w:r>
    </w:p>
    <w:p w:rsidR="00EC0239" w:rsidRPr="00611F34" w:rsidRDefault="00EC0239" w:rsidP="00DA1AEE">
      <w:pPr>
        <w:pStyle w:val="BodyTextIndent3"/>
        <w:ind w:firstLine="0"/>
        <w:jc w:val="both"/>
        <w:rPr>
          <w:rFonts w:ascii="Arial" w:hAnsi="Arial" w:cs="Arial"/>
          <w:lang w:val="en-AU"/>
        </w:rPr>
      </w:pPr>
    </w:p>
    <w:p w:rsidR="00323C73" w:rsidRPr="00611F34" w:rsidRDefault="00323C73" w:rsidP="00DA1AEE">
      <w:pPr>
        <w:pStyle w:val="BodyTextIndent3"/>
        <w:ind w:firstLine="0"/>
        <w:jc w:val="both"/>
        <w:rPr>
          <w:rFonts w:ascii="Arial" w:hAnsi="Arial" w:cs="Arial"/>
          <w:lang w:val="en-AU"/>
        </w:rPr>
      </w:pPr>
      <w:r w:rsidRPr="00611F34">
        <w:rPr>
          <w:rFonts w:ascii="Arial" w:hAnsi="Arial" w:cs="Arial"/>
          <w:lang w:val="en-AU"/>
        </w:rPr>
        <w:t xml:space="preserve">Data on a limited number of exposed pregnancies indicate no adverse effects of </w:t>
      </w:r>
      <w:r w:rsidR="001564B0" w:rsidRPr="00611F34">
        <w:rPr>
          <w:rFonts w:ascii="Arial" w:hAnsi="Arial" w:cs="Arial"/>
          <w:lang w:val="en-AU"/>
        </w:rPr>
        <w:t>e</w:t>
      </w:r>
      <w:r w:rsidR="00AF5FCC" w:rsidRPr="00611F34">
        <w:rPr>
          <w:rFonts w:ascii="Arial" w:hAnsi="Arial" w:cs="Arial"/>
          <w:lang w:val="en-AU"/>
        </w:rPr>
        <w:t>xenatide</w:t>
      </w:r>
      <w:r w:rsidR="00C909F8" w:rsidRPr="00611F34">
        <w:rPr>
          <w:rFonts w:ascii="Arial" w:hAnsi="Arial" w:cs="Arial"/>
          <w:lang w:val="en-AU"/>
        </w:rPr>
        <w:t xml:space="preserve"> </w:t>
      </w:r>
      <w:r w:rsidRPr="00611F34">
        <w:rPr>
          <w:rFonts w:ascii="Arial" w:hAnsi="Arial" w:cs="Arial"/>
          <w:lang w:val="en-AU"/>
        </w:rPr>
        <w:t xml:space="preserve">on pregnancy or on the health of the foetus/new born child. To date, no other relevant epidemiological data are available. </w:t>
      </w:r>
    </w:p>
    <w:p w:rsidR="001F43B6" w:rsidRPr="00611F34" w:rsidRDefault="001F43B6" w:rsidP="00DA1AEE">
      <w:pPr>
        <w:pStyle w:val="BodyTextIndent3"/>
        <w:ind w:firstLine="0"/>
        <w:jc w:val="both"/>
        <w:rPr>
          <w:rFonts w:ascii="Arial" w:hAnsi="Arial" w:cs="Arial"/>
          <w:lang w:val="en-AU"/>
        </w:rPr>
      </w:pPr>
    </w:p>
    <w:p w:rsidR="00991F75" w:rsidRPr="00611F34" w:rsidRDefault="00434BD1" w:rsidP="00DA1AEE">
      <w:pPr>
        <w:pStyle w:val="BodyTextIndent3"/>
        <w:ind w:firstLine="0"/>
        <w:jc w:val="both"/>
        <w:rPr>
          <w:rFonts w:ascii="Arial" w:hAnsi="Arial" w:cs="Arial"/>
          <w:lang w:val="en-AU"/>
        </w:rPr>
      </w:pPr>
      <w:r w:rsidRPr="00611F34">
        <w:rPr>
          <w:rFonts w:ascii="Arial" w:hAnsi="Arial" w:cs="Arial"/>
          <w:lang w:val="en-AU"/>
        </w:rPr>
        <w:t xml:space="preserve">Potential embryofetal effects were assessed with SC doses of </w:t>
      </w:r>
      <w:r w:rsidR="001564B0" w:rsidRPr="00611F34">
        <w:rPr>
          <w:rFonts w:ascii="Arial" w:hAnsi="Arial" w:cs="Arial"/>
          <w:lang w:val="en-AU"/>
        </w:rPr>
        <w:t>e</w:t>
      </w:r>
      <w:r w:rsidR="00AF5FCC" w:rsidRPr="00611F34">
        <w:rPr>
          <w:rFonts w:ascii="Arial" w:hAnsi="Arial" w:cs="Arial"/>
          <w:lang w:val="en-AU"/>
        </w:rPr>
        <w:t>xenatide</w:t>
      </w:r>
      <w:r w:rsidR="00C909F8" w:rsidRPr="00611F34">
        <w:rPr>
          <w:rFonts w:ascii="Arial" w:hAnsi="Arial" w:cs="Arial"/>
          <w:lang w:val="en-AU"/>
        </w:rPr>
        <w:t xml:space="preserve"> </w:t>
      </w:r>
      <w:r w:rsidRPr="00611F34">
        <w:rPr>
          <w:rFonts w:ascii="Arial" w:hAnsi="Arial" w:cs="Arial"/>
          <w:lang w:val="en-AU"/>
        </w:rPr>
        <w:t xml:space="preserve">during organogenesis in mice at 6, 68 and 760 </w:t>
      </w:r>
      <w:r w:rsidRPr="00611F34">
        <w:rPr>
          <w:rFonts w:ascii="Arial" w:hAnsi="Arial" w:cs="Arial"/>
          <w:lang w:val="en-AU"/>
        </w:rPr>
        <w:sym w:font="Symbol" w:char="F06D"/>
      </w:r>
      <w:r w:rsidRPr="00611F34">
        <w:rPr>
          <w:rFonts w:ascii="Arial" w:hAnsi="Arial" w:cs="Arial"/>
          <w:lang w:val="en-AU"/>
        </w:rPr>
        <w:t xml:space="preserve">g/kg/day and in rabbits at 0.2, 2, 22, 156 and 260 </w:t>
      </w:r>
      <w:r w:rsidR="001564B0" w:rsidRPr="00611F34">
        <w:rPr>
          <w:rFonts w:ascii="Arial" w:hAnsi="Arial" w:cs="Arial"/>
          <w:lang w:val="en-AU"/>
        </w:rPr>
        <w:t>µ</w:t>
      </w:r>
      <w:r w:rsidRPr="00611F34">
        <w:rPr>
          <w:rFonts w:ascii="Arial" w:hAnsi="Arial" w:cs="Arial"/>
          <w:lang w:val="en-AU"/>
        </w:rPr>
        <w:t xml:space="preserve">g/kg/day, giving respective exposures approximately </w:t>
      </w:r>
      <w:r w:rsidR="002A19AE">
        <w:rPr>
          <w:rFonts w:ascii="Arial" w:hAnsi="Arial" w:cs="Arial"/>
          <w:lang w:val="en-AU"/>
        </w:rPr>
        <w:t>1.2</w:t>
      </w:r>
      <w:r w:rsidRPr="00611F34">
        <w:rPr>
          <w:rFonts w:ascii="Arial" w:hAnsi="Arial" w:cs="Arial"/>
          <w:lang w:val="en-AU"/>
        </w:rPr>
        <w:t xml:space="preserve">, </w:t>
      </w:r>
      <w:r w:rsidR="002A19AE">
        <w:rPr>
          <w:rFonts w:ascii="Arial" w:hAnsi="Arial" w:cs="Arial"/>
          <w:lang w:val="en-AU"/>
        </w:rPr>
        <w:t>8.6</w:t>
      </w:r>
      <w:r w:rsidRPr="00611F34">
        <w:rPr>
          <w:rFonts w:ascii="Arial" w:hAnsi="Arial" w:cs="Arial"/>
          <w:lang w:val="en-AU"/>
        </w:rPr>
        <w:t xml:space="preserve"> and </w:t>
      </w:r>
      <w:r w:rsidR="002A19AE">
        <w:rPr>
          <w:rFonts w:ascii="Arial" w:hAnsi="Arial" w:cs="Arial"/>
          <w:lang w:val="en-AU"/>
        </w:rPr>
        <w:t>148</w:t>
      </w:r>
      <w:r w:rsidRPr="00611F34">
        <w:rPr>
          <w:rFonts w:ascii="Arial" w:hAnsi="Arial" w:cs="Arial"/>
          <w:lang w:val="en-AU"/>
        </w:rPr>
        <w:t xml:space="preserve"> times (mouse) and 0.</w:t>
      </w:r>
      <w:r w:rsidR="002A19AE">
        <w:rPr>
          <w:rFonts w:ascii="Arial" w:hAnsi="Arial" w:cs="Arial"/>
          <w:lang w:val="en-AU"/>
        </w:rPr>
        <w:t>1</w:t>
      </w:r>
      <w:r w:rsidRPr="00611F34">
        <w:rPr>
          <w:rFonts w:ascii="Arial" w:hAnsi="Arial" w:cs="Arial"/>
          <w:lang w:val="en-AU"/>
        </w:rPr>
        <w:t xml:space="preserve">, </w:t>
      </w:r>
      <w:r w:rsidR="00650F34">
        <w:rPr>
          <w:rFonts w:ascii="Arial" w:hAnsi="Arial" w:cs="Arial"/>
          <w:lang w:val="en-AU"/>
        </w:rPr>
        <w:t>1.7</w:t>
      </w:r>
      <w:r w:rsidRPr="00611F34">
        <w:rPr>
          <w:rFonts w:ascii="Arial" w:hAnsi="Arial" w:cs="Arial"/>
          <w:lang w:val="en-AU"/>
        </w:rPr>
        <w:t xml:space="preserve">, </w:t>
      </w:r>
      <w:r w:rsidR="002A19AE">
        <w:rPr>
          <w:rFonts w:ascii="Arial" w:hAnsi="Arial" w:cs="Arial"/>
          <w:lang w:val="en-AU"/>
        </w:rPr>
        <w:t>79</w:t>
      </w:r>
      <w:r w:rsidRPr="00611F34">
        <w:rPr>
          <w:rFonts w:ascii="Arial" w:hAnsi="Arial" w:cs="Arial"/>
          <w:lang w:val="en-AU"/>
        </w:rPr>
        <w:t xml:space="preserve">, </w:t>
      </w:r>
      <w:r w:rsidR="002A19AE">
        <w:rPr>
          <w:rFonts w:ascii="Arial" w:hAnsi="Arial" w:cs="Arial"/>
          <w:lang w:val="en-AU"/>
        </w:rPr>
        <w:t>545</w:t>
      </w:r>
      <w:r w:rsidRPr="00611F34">
        <w:rPr>
          <w:rFonts w:ascii="Arial" w:hAnsi="Arial" w:cs="Arial"/>
          <w:lang w:val="en-AU"/>
        </w:rPr>
        <w:t xml:space="preserve"> and </w:t>
      </w:r>
      <w:r w:rsidR="002A19AE">
        <w:rPr>
          <w:rFonts w:ascii="Arial" w:hAnsi="Arial" w:cs="Arial"/>
          <w:lang w:val="en-AU"/>
        </w:rPr>
        <w:t>1323</w:t>
      </w:r>
      <w:r w:rsidRPr="00611F34">
        <w:rPr>
          <w:rFonts w:ascii="Arial" w:hAnsi="Arial" w:cs="Arial"/>
          <w:lang w:val="en-AU"/>
        </w:rPr>
        <w:t xml:space="preserve"> times (rabbit) the clinical exposure at </w:t>
      </w:r>
      <w:r w:rsidR="002A19AE">
        <w:rPr>
          <w:rFonts w:ascii="Arial" w:hAnsi="Arial" w:cs="Arial"/>
          <w:lang w:val="en-AU"/>
        </w:rPr>
        <w:t>2 mg/week</w:t>
      </w:r>
      <w:r w:rsidRPr="00611F34">
        <w:rPr>
          <w:rFonts w:ascii="Arial" w:hAnsi="Arial" w:cs="Arial"/>
          <w:lang w:val="en-AU"/>
        </w:rPr>
        <w:t xml:space="preserve">. A low incidence of abortions and decreased fetal growth occurred in mice and rabbits at ≥ 68 and 22 </w:t>
      </w:r>
      <w:r w:rsidR="001564B0" w:rsidRPr="00611F34">
        <w:rPr>
          <w:rFonts w:ascii="Arial" w:hAnsi="Arial" w:cs="Arial"/>
          <w:lang w:val="en-AU"/>
        </w:rPr>
        <w:t>µ</w:t>
      </w:r>
      <w:r w:rsidRPr="00611F34">
        <w:rPr>
          <w:rFonts w:ascii="Arial" w:hAnsi="Arial" w:cs="Arial"/>
          <w:lang w:val="en-AU"/>
        </w:rPr>
        <w:t>g/day, respectively, which also caused a dec</w:t>
      </w:r>
      <w:r w:rsidR="001F43B6" w:rsidRPr="00611F34">
        <w:rPr>
          <w:rFonts w:ascii="Arial" w:hAnsi="Arial" w:cs="Arial"/>
          <w:lang w:val="en-AU"/>
        </w:rPr>
        <w:t>r</w:t>
      </w:r>
      <w:r w:rsidRPr="00611F34">
        <w:rPr>
          <w:rFonts w:ascii="Arial" w:hAnsi="Arial" w:cs="Arial"/>
          <w:lang w:val="en-AU"/>
        </w:rPr>
        <w:t xml:space="preserve">ease in food consumption and body weight gain in dams. Alterations of skeletal ossification were observed in rabbits at ≥ 2 </w:t>
      </w:r>
      <w:r w:rsidR="001564B0" w:rsidRPr="00611F34">
        <w:rPr>
          <w:rFonts w:ascii="Arial" w:hAnsi="Arial" w:cs="Arial"/>
          <w:lang w:val="en-AU"/>
        </w:rPr>
        <w:t>µ</w:t>
      </w:r>
      <w:r w:rsidRPr="00611F34">
        <w:rPr>
          <w:rFonts w:ascii="Arial" w:hAnsi="Arial" w:cs="Arial"/>
          <w:lang w:val="en-AU"/>
        </w:rPr>
        <w:t xml:space="preserve">g/kg/day as a result of decreased food intake. Wavy ribs were seen in mice at 760 </w:t>
      </w:r>
      <w:r w:rsidR="001564B0" w:rsidRPr="00611F34">
        <w:rPr>
          <w:rFonts w:ascii="Arial" w:hAnsi="Arial" w:cs="Arial"/>
          <w:lang w:val="en-AU"/>
        </w:rPr>
        <w:t>µ</w:t>
      </w:r>
      <w:r w:rsidRPr="00611F34">
        <w:rPr>
          <w:rFonts w:ascii="Arial" w:hAnsi="Arial" w:cs="Arial"/>
          <w:lang w:val="en-AU"/>
        </w:rPr>
        <w:t xml:space="preserve">g/kg/day. Fetal umbilical hernias were increased in rabbits at ≥ 22 </w:t>
      </w:r>
      <w:r w:rsidR="001564B0" w:rsidRPr="00611F34">
        <w:rPr>
          <w:rFonts w:ascii="Arial" w:hAnsi="Arial" w:cs="Arial"/>
          <w:lang w:val="en-AU"/>
        </w:rPr>
        <w:t>µ</w:t>
      </w:r>
      <w:r w:rsidRPr="00611F34">
        <w:rPr>
          <w:rFonts w:ascii="Arial" w:hAnsi="Arial" w:cs="Arial"/>
          <w:lang w:val="en-AU"/>
        </w:rPr>
        <w:t>g/kg/day. There was minimal placenta</w:t>
      </w:r>
      <w:r w:rsidR="003F0C4D" w:rsidRPr="00611F34">
        <w:rPr>
          <w:rFonts w:ascii="Arial" w:hAnsi="Arial" w:cs="Arial"/>
          <w:lang w:val="en-AU"/>
        </w:rPr>
        <w:t>l</w:t>
      </w:r>
      <w:r w:rsidRPr="00611F34">
        <w:rPr>
          <w:rFonts w:ascii="Arial" w:hAnsi="Arial" w:cs="Arial"/>
          <w:lang w:val="en-AU"/>
        </w:rPr>
        <w:t xml:space="preserve"> transfer of </w:t>
      </w:r>
      <w:r w:rsidR="001564B0" w:rsidRPr="00611F34">
        <w:rPr>
          <w:rFonts w:ascii="Arial" w:hAnsi="Arial" w:cs="Arial"/>
          <w:lang w:val="en-AU"/>
        </w:rPr>
        <w:t>e</w:t>
      </w:r>
      <w:r w:rsidR="00AF5FCC" w:rsidRPr="00611F34">
        <w:rPr>
          <w:rFonts w:ascii="Arial" w:hAnsi="Arial" w:cs="Arial"/>
          <w:lang w:val="en-AU"/>
        </w:rPr>
        <w:t>xenatide</w:t>
      </w:r>
      <w:r w:rsidR="00B52202" w:rsidRPr="00611F34">
        <w:rPr>
          <w:rFonts w:ascii="Arial" w:hAnsi="Arial" w:cs="Arial"/>
          <w:lang w:val="en-AU"/>
        </w:rPr>
        <w:t xml:space="preserve"> </w:t>
      </w:r>
      <w:r w:rsidRPr="00611F34">
        <w:rPr>
          <w:rFonts w:ascii="Arial" w:hAnsi="Arial" w:cs="Arial"/>
          <w:lang w:val="en-AU"/>
        </w:rPr>
        <w:t xml:space="preserve">in animal studies </w:t>
      </w:r>
      <w:r w:rsidRPr="00611F34">
        <w:rPr>
          <w:rFonts w:ascii="Arial" w:hAnsi="Arial" w:cs="Arial"/>
          <w:i/>
          <w:lang w:val="en-AU"/>
        </w:rPr>
        <w:t>in vivo</w:t>
      </w:r>
      <w:r w:rsidRPr="00611F34">
        <w:rPr>
          <w:rFonts w:ascii="Arial" w:hAnsi="Arial" w:cs="Arial"/>
          <w:lang w:val="en-AU"/>
        </w:rPr>
        <w:t xml:space="preserve"> or in human placental tissues </w:t>
      </w:r>
      <w:r w:rsidRPr="00611F34">
        <w:rPr>
          <w:rFonts w:ascii="Arial" w:hAnsi="Arial" w:cs="Arial"/>
          <w:i/>
          <w:lang w:val="en-AU"/>
        </w:rPr>
        <w:t>in vitro</w:t>
      </w:r>
      <w:r w:rsidRPr="00611F34">
        <w:rPr>
          <w:rFonts w:ascii="Arial" w:hAnsi="Arial" w:cs="Arial"/>
          <w:lang w:val="en-AU"/>
        </w:rPr>
        <w:t>. The fetal findings were probably secondary to effects on the dam</w:t>
      </w:r>
      <w:r w:rsidR="00A34065" w:rsidRPr="00611F34">
        <w:rPr>
          <w:rFonts w:ascii="Arial" w:hAnsi="Arial" w:cs="Arial"/>
          <w:lang w:val="en-AU"/>
        </w:rPr>
        <w:t>.</w:t>
      </w:r>
    </w:p>
    <w:p w:rsidR="00434BD1" w:rsidRPr="00611F34" w:rsidRDefault="00434BD1" w:rsidP="00DA1AEE">
      <w:pPr>
        <w:pStyle w:val="BodyTextIndent3"/>
        <w:ind w:firstLine="0"/>
        <w:jc w:val="both"/>
        <w:rPr>
          <w:rFonts w:ascii="Arial" w:hAnsi="Arial" w:cs="Arial"/>
          <w:lang w:val="en-AU"/>
        </w:rPr>
      </w:pPr>
    </w:p>
    <w:p w:rsidR="00323C73" w:rsidRPr="00611F34" w:rsidRDefault="00323C73" w:rsidP="00DA1AEE">
      <w:pPr>
        <w:pStyle w:val="BodyTextIndent3"/>
        <w:ind w:firstLine="0"/>
        <w:jc w:val="both"/>
        <w:rPr>
          <w:rFonts w:ascii="Arial" w:hAnsi="Arial" w:cs="Arial"/>
          <w:b/>
          <w:lang w:val="en-AU"/>
        </w:rPr>
      </w:pPr>
      <w:r w:rsidRPr="00611F34">
        <w:rPr>
          <w:rFonts w:ascii="Arial" w:hAnsi="Arial" w:cs="Arial"/>
          <w:lang w:val="en-AU"/>
        </w:rPr>
        <w:t xml:space="preserve">High doses of </w:t>
      </w:r>
      <w:r w:rsidR="001564B0" w:rsidRPr="00611F34">
        <w:rPr>
          <w:rFonts w:ascii="Arial" w:hAnsi="Arial" w:cs="Arial"/>
          <w:lang w:val="en-AU"/>
        </w:rPr>
        <w:t>e</w:t>
      </w:r>
      <w:r w:rsidR="00AF5FCC" w:rsidRPr="00611F34">
        <w:rPr>
          <w:rFonts w:ascii="Arial" w:hAnsi="Arial" w:cs="Arial"/>
          <w:lang w:val="en-AU"/>
        </w:rPr>
        <w:t>xenatide</w:t>
      </w:r>
      <w:r w:rsidR="00B52202" w:rsidRPr="00611F34">
        <w:rPr>
          <w:rFonts w:ascii="Arial" w:hAnsi="Arial" w:cs="Arial"/>
          <w:lang w:val="en-AU"/>
        </w:rPr>
        <w:t xml:space="preserve"> </w:t>
      </w:r>
      <w:r w:rsidR="00434BD1" w:rsidRPr="00611F34">
        <w:rPr>
          <w:rFonts w:ascii="Arial" w:hAnsi="Arial" w:cs="Arial"/>
          <w:lang w:val="en-AU"/>
        </w:rPr>
        <w:t xml:space="preserve">administered to mice </w:t>
      </w:r>
      <w:r w:rsidRPr="00611F34">
        <w:rPr>
          <w:rFonts w:ascii="Arial" w:hAnsi="Arial" w:cs="Arial"/>
          <w:lang w:val="en-AU"/>
        </w:rPr>
        <w:t xml:space="preserve">during gestation </w:t>
      </w:r>
      <w:r w:rsidR="00434BD1" w:rsidRPr="00611F34">
        <w:rPr>
          <w:rFonts w:ascii="Arial" w:hAnsi="Arial" w:cs="Arial"/>
          <w:lang w:val="en-AU"/>
        </w:rPr>
        <w:t xml:space="preserve">and lactation </w:t>
      </w:r>
      <w:r w:rsidRPr="00611F34">
        <w:rPr>
          <w:rFonts w:ascii="Arial" w:hAnsi="Arial" w:cs="Arial"/>
          <w:lang w:val="en-AU"/>
        </w:rPr>
        <w:t xml:space="preserve">caused </w:t>
      </w:r>
      <w:r w:rsidR="00434BD1" w:rsidRPr="00611F34">
        <w:rPr>
          <w:rFonts w:ascii="Arial" w:hAnsi="Arial" w:cs="Arial"/>
          <w:lang w:val="en-AU"/>
        </w:rPr>
        <w:t xml:space="preserve">stillbirths, an increase in neonatal deaths and a decrease in neonatal growth at exposures </w:t>
      </w:r>
      <w:r w:rsidR="002A19AE">
        <w:rPr>
          <w:rFonts w:ascii="Arial" w:hAnsi="Arial" w:cs="Arial"/>
          <w:lang w:val="en-AU"/>
        </w:rPr>
        <w:t>almost 150</w:t>
      </w:r>
      <w:r w:rsidR="00434BD1" w:rsidRPr="00611F34">
        <w:rPr>
          <w:rFonts w:ascii="Arial" w:hAnsi="Arial" w:cs="Arial"/>
          <w:lang w:val="en-AU"/>
        </w:rPr>
        <w:t xml:space="preserve"> times the clinical exposure at </w:t>
      </w:r>
      <w:r w:rsidR="002A19AE">
        <w:rPr>
          <w:rFonts w:ascii="Arial" w:hAnsi="Arial" w:cs="Arial"/>
          <w:lang w:val="en-AU"/>
        </w:rPr>
        <w:t>2 mg/week</w:t>
      </w:r>
      <w:r w:rsidR="00434BD1" w:rsidRPr="00611F34">
        <w:rPr>
          <w:rFonts w:ascii="Arial" w:hAnsi="Arial" w:cs="Arial"/>
          <w:lang w:val="en-AU"/>
        </w:rPr>
        <w:t xml:space="preserve">. The no observable effect level for peri-neonatal effects was 68 </w:t>
      </w:r>
      <w:r w:rsidR="001564B0" w:rsidRPr="00611F34">
        <w:rPr>
          <w:rFonts w:ascii="Arial" w:hAnsi="Arial" w:cs="Arial"/>
          <w:lang w:val="en-AU"/>
        </w:rPr>
        <w:t>µ</w:t>
      </w:r>
      <w:r w:rsidR="00434BD1" w:rsidRPr="00611F34">
        <w:rPr>
          <w:rFonts w:ascii="Arial" w:hAnsi="Arial" w:cs="Arial"/>
          <w:lang w:val="en-AU"/>
        </w:rPr>
        <w:t xml:space="preserve">g/kg/day, giving exposures </w:t>
      </w:r>
      <w:r w:rsidR="002A19AE">
        <w:rPr>
          <w:rFonts w:ascii="Arial" w:hAnsi="Arial" w:cs="Arial"/>
          <w:lang w:val="en-AU"/>
        </w:rPr>
        <w:t>18</w:t>
      </w:r>
      <w:r w:rsidR="00434BD1" w:rsidRPr="00611F34">
        <w:rPr>
          <w:rFonts w:ascii="Arial" w:hAnsi="Arial" w:cs="Arial"/>
          <w:lang w:val="en-AU"/>
        </w:rPr>
        <w:t xml:space="preserve"> times the clinical exposure</w:t>
      </w:r>
      <w:r w:rsidRPr="00611F34">
        <w:rPr>
          <w:rFonts w:ascii="Arial" w:hAnsi="Arial" w:cs="Arial"/>
          <w:b/>
          <w:lang w:val="en-AU"/>
        </w:rPr>
        <w:t xml:space="preserve">. </w:t>
      </w:r>
    </w:p>
    <w:p w:rsidR="00323C73" w:rsidRPr="00611F34" w:rsidRDefault="00323C73" w:rsidP="00DA1AEE">
      <w:pPr>
        <w:pStyle w:val="BodyTextIndent3"/>
        <w:ind w:firstLine="0"/>
        <w:jc w:val="both"/>
        <w:rPr>
          <w:rFonts w:ascii="Arial" w:hAnsi="Arial" w:cs="Arial"/>
          <w:lang w:val="en-AU"/>
        </w:rPr>
      </w:pPr>
    </w:p>
    <w:p w:rsidR="00323C73" w:rsidRPr="00611F34" w:rsidRDefault="00323C73" w:rsidP="00DA1AEE">
      <w:pPr>
        <w:jc w:val="both"/>
        <w:rPr>
          <w:rFonts w:ascii="Arial" w:hAnsi="Arial" w:cs="Arial"/>
          <w:b/>
        </w:rPr>
      </w:pPr>
      <w:r w:rsidRPr="00611F34">
        <w:rPr>
          <w:rFonts w:ascii="Arial" w:hAnsi="Arial" w:cs="Arial"/>
          <w:b/>
        </w:rPr>
        <w:t>Use in Lactation</w:t>
      </w:r>
    </w:p>
    <w:p w:rsidR="00323C73" w:rsidRPr="00611F34" w:rsidRDefault="00323C73" w:rsidP="00DA1AEE">
      <w:pPr>
        <w:pStyle w:val="BodyTextIndent3"/>
        <w:ind w:firstLine="0"/>
        <w:jc w:val="both"/>
        <w:rPr>
          <w:rFonts w:ascii="Arial" w:hAnsi="Arial" w:cs="Arial"/>
          <w:lang w:val="en-AU"/>
        </w:rPr>
      </w:pPr>
      <w:r w:rsidRPr="00611F34">
        <w:rPr>
          <w:rFonts w:ascii="Arial" w:hAnsi="Arial" w:cs="Arial"/>
          <w:lang w:val="en-AU"/>
        </w:rPr>
        <w:t xml:space="preserve">It is unknown whether </w:t>
      </w:r>
      <w:r w:rsidR="001564B0" w:rsidRPr="00611F34">
        <w:rPr>
          <w:rFonts w:ascii="Arial" w:hAnsi="Arial" w:cs="Arial"/>
          <w:lang w:val="en-AU"/>
        </w:rPr>
        <w:t>e</w:t>
      </w:r>
      <w:r w:rsidR="00174A04" w:rsidRPr="00611F34">
        <w:rPr>
          <w:rFonts w:ascii="Arial" w:hAnsi="Arial" w:cs="Arial"/>
          <w:lang w:val="en-AU"/>
        </w:rPr>
        <w:t>xenatide</w:t>
      </w:r>
      <w:r w:rsidRPr="00611F34">
        <w:rPr>
          <w:rFonts w:ascii="Arial" w:hAnsi="Arial" w:cs="Arial"/>
          <w:lang w:val="en-AU"/>
        </w:rPr>
        <w:t xml:space="preserve"> is excreted in human milk. In lactating mice given high doses of </w:t>
      </w:r>
      <w:r w:rsidR="001564B0" w:rsidRPr="00611F34">
        <w:rPr>
          <w:rFonts w:ascii="Arial" w:hAnsi="Arial" w:cs="Arial"/>
          <w:lang w:val="en-AU"/>
        </w:rPr>
        <w:t>e</w:t>
      </w:r>
      <w:r w:rsidR="00AF5FCC" w:rsidRPr="00611F34">
        <w:rPr>
          <w:rFonts w:ascii="Arial" w:hAnsi="Arial" w:cs="Arial"/>
          <w:lang w:val="en-AU"/>
        </w:rPr>
        <w:t>xenatide</w:t>
      </w:r>
      <w:r w:rsidRPr="00611F34">
        <w:rPr>
          <w:rFonts w:ascii="Arial" w:hAnsi="Arial" w:cs="Arial"/>
          <w:lang w:val="en-AU"/>
        </w:rPr>
        <w:t xml:space="preserve">, low concentrations of </w:t>
      </w:r>
      <w:r w:rsidR="001564B0" w:rsidRPr="00611F34">
        <w:rPr>
          <w:rFonts w:ascii="Arial" w:hAnsi="Arial" w:cs="Arial"/>
          <w:lang w:val="en-AU"/>
        </w:rPr>
        <w:t>e</w:t>
      </w:r>
      <w:r w:rsidR="00AF5FCC" w:rsidRPr="00611F34">
        <w:rPr>
          <w:rFonts w:ascii="Arial" w:hAnsi="Arial" w:cs="Arial"/>
          <w:lang w:val="en-AU"/>
        </w:rPr>
        <w:t>xenatide</w:t>
      </w:r>
      <w:r w:rsidRPr="00611F34">
        <w:rPr>
          <w:rFonts w:ascii="Arial" w:hAnsi="Arial" w:cs="Arial"/>
          <w:lang w:val="en-AU"/>
        </w:rPr>
        <w:t xml:space="preserve"> were detected in milk</w:t>
      </w:r>
      <w:r w:rsidR="00937B57" w:rsidRPr="00611F34">
        <w:rPr>
          <w:rFonts w:ascii="Arial" w:hAnsi="Arial" w:cs="Arial"/>
          <w:lang w:val="en-AU"/>
        </w:rPr>
        <w:t xml:space="preserve"> </w:t>
      </w:r>
      <w:r w:rsidR="00014273" w:rsidRPr="00611F34">
        <w:rPr>
          <w:rFonts w:ascii="Arial" w:hAnsi="Arial" w:cs="Arial"/>
          <w:lang w:val="en-AU"/>
        </w:rPr>
        <w:t xml:space="preserve">(2.5% of plasma level). Neonatal deaths were increased in </w:t>
      </w:r>
      <w:r w:rsidR="00F50776" w:rsidRPr="00611F34">
        <w:rPr>
          <w:rFonts w:ascii="Arial" w:hAnsi="Arial" w:cs="Arial"/>
          <w:lang w:val="en-AU"/>
        </w:rPr>
        <w:t xml:space="preserve">lactating </w:t>
      </w:r>
      <w:r w:rsidR="00014273" w:rsidRPr="00611F34">
        <w:rPr>
          <w:rFonts w:ascii="Arial" w:hAnsi="Arial" w:cs="Arial"/>
          <w:lang w:val="en-AU"/>
        </w:rPr>
        <w:t xml:space="preserve">mice at high doses (see </w:t>
      </w:r>
      <w:r w:rsidR="00014273" w:rsidRPr="00611F34">
        <w:rPr>
          <w:rFonts w:ascii="Arial" w:hAnsi="Arial" w:cs="Arial"/>
          <w:b/>
          <w:lang w:val="en-AU"/>
        </w:rPr>
        <w:t>Use in Pregnancy</w:t>
      </w:r>
      <w:r w:rsidR="00014273" w:rsidRPr="00611F34">
        <w:rPr>
          <w:rStyle w:val="CommentReference"/>
          <w:rFonts w:ascii="Arial" w:hAnsi="Arial" w:cs="Arial"/>
          <w:snapToGrid/>
          <w:lang w:val="en-AU"/>
        </w:rPr>
        <w:t>)</w:t>
      </w:r>
      <w:r w:rsidR="00937B57" w:rsidRPr="00611F34">
        <w:rPr>
          <w:rFonts w:ascii="Arial" w:hAnsi="Arial" w:cs="Arial"/>
          <w:lang w:val="en-AU"/>
        </w:rPr>
        <w:t xml:space="preserve">. </w:t>
      </w:r>
      <w:r w:rsidR="00174A04" w:rsidRPr="00611F34">
        <w:rPr>
          <w:rFonts w:ascii="Arial" w:hAnsi="Arial" w:cs="Arial"/>
          <w:lang w:val="en-AU"/>
        </w:rPr>
        <w:t>Exenatide</w:t>
      </w:r>
      <w:r w:rsidRPr="00611F34">
        <w:rPr>
          <w:rFonts w:ascii="Arial" w:hAnsi="Arial" w:cs="Arial"/>
          <w:lang w:val="en-AU"/>
        </w:rPr>
        <w:t xml:space="preserve"> should be administered to nursing women only if the potential benefit to the mother justifies the potential risk to the infant.</w:t>
      </w:r>
    </w:p>
    <w:p w:rsidR="0086503E" w:rsidRPr="00611F34" w:rsidRDefault="0086503E" w:rsidP="00DA1AEE">
      <w:pPr>
        <w:jc w:val="both"/>
        <w:rPr>
          <w:rFonts w:ascii="Arial" w:hAnsi="Arial" w:cs="Arial"/>
        </w:rPr>
      </w:pPr>
    </w:p>
    <w:p w:rsidR="00014273" w:rsidRPr="00611F34" w:rsidRDefault="00014273" w:rsidP="00DA1AEE">
      <w:pPr>
        <w:jc w:val="both"/>
        <w:rPr>
          <w:rFonts w:ascii="Arial" w:hAnsi="Arial" w:cs="Arial"/>
          <w:b/>
        </w:rPr>
      </w:pPr>
      <w:r w:rsidRPr="00611F34">
        <w:rPr>
          <w:rFonts w:ascii="Arial" w:hAnsi="Arial" w:cs="Arial"/>
          <w:b/>
        </w:rPr>
        <w:t>Genotoxicity</w:t>
      </w:r>
    </w:p>
    <w:p w:rsidR="0086503E" w:rsidRPr="00611F34" w:rsidRDefault="00174A04" w:rsidP="00DA1AEE">
      <w:pPr>
        <w:jc w:val="both"/>
        <w:rPr>
          <w:rFonts w:ascii="Arial" w:hAnsi="Arial" w:cs="Arial"/>
        </w:rPr>
      </w:pPr>
      <w:r w:rsidRPr="00611F34">
        <w:rPr>
          <w:rFonts w:ascii="Arial" w:hAnsi="Arial" w:cs="Arial"/>
        </w:rPr>
        <w:t>Exenatide</w:t>
      </w:r>
      <w:r w:rsidR="00014273" w:rsidRPr="00611F34">
        <w:rPr>
          <w:rFonts w:ascii="Arial" w:hAnsi="Arial" w:cs="Arial"/>
        </w:rPr>
        <w:t xml:space="preserve"> was not genotoxic in bacterial reverse mutation assays, </w:t>
      </w:r>
      <w:r w:rsidR="00014273" w:rsidRPr="00611F34">
        <w:rPr>
          <w:rFonts w:ascii="Arial" w:hAnsi="Arial" w:cs="Arial"/>
          <w:i/>
        </w:rPr>
        <w:t>in vitro</w:t>
      </w:r>
      <w:r w:rsidR="00014273" w:rsidRPr="00611F34">
        <w:rPr>
          <w:rFonts w:ascii="Arial" w:hAnsi="Arial" w:cs="Arial"/>
        </w:rPr>
        <w:t xml:space="preserve"> chromosomal aberration tests in Chinese hamster ovary cells or a mouse micronucleus assay</w:t>
      </w:r>
      <w:r w:rsidR="00A34065" w:rsidRPr="00611F34">
        <w:rPr>
          <w:rFonts w:ascii="Arial" w:hAnsi="Arial" w:cs="Arial"/>
        </w:rPr>
        <w:t>.</w:t>
      </w:r>
    </w:p>
    <w:p w:rsidR="00521616" w:rsidRPr="00611F34" w:rsidRDefault="00521616" w:rsidP="00DA1AEE">
      <w:pPr>
        <w:jc w:val="both"/>
        <w:rPr>
          <w:rFonts w:ascii="Arial" w:hAnsi="Arial" w:cs="Arial"/>
          <w:b/>
        </w:rPr>
      </w:pPr>
    </w:p>
    <w:p w:rsidR="00014273" w:rsidRPr="00611F34" w:rsidRDefault="00014273" w:rsidP="00DA1AEE">
      <w:pPr>
        <w:jc w:val="both"/>
        <w:rPr>
          <w:rFonts w:ascii="Arial" w:hAnsi="Arial" w:cs="Arial"/>
          <w:b/>
        </w:rPr>
      </w:pPr>
      <w:r w:rsidRPr="00611F34">
        <w:rPr>
          <w:rFonts w:ascii="Arial" w:hAnsi="Arial" w:cs="Arial"/>
          <w:b/>
        </w:rPr>
        <w:t xml:space="preserve">Carcinogenicity </w:t>
      </w:r>
    </w:p>
    <w:p w:rsidR="0072457D" w:rsidRPr="00611F34" w:rsidRDefault="0072457D" w:rsidP="0072457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rPr>
      </w:pPr>
      <w:r w:rsidRPr="00611F34">
        <w:rPr>
          <w:rFonts w:ascii="Arial" w:hAnsi="Arial" w:cs="Arial"/>
        </w:rPr>
        <w:t xml:space="preserve">In a 104 week carcinogenicity study with </w:t>
      </w:r>
      <w:r w:rsidR="002A19AE">
        <w:rPr>
          <w:rFonts w:ascii="Arial" w:hAnsi="Arial" w:cs="Arial"/>
        </w:rPr>
        <w:t>the extended release formulation of exenatide,</w:t>
      </w:r>
      <w:r w:rsidRPr="00611F34">
        <w:rPr>
          <w:rFonts w:ascii="Arial" w:hAnsi="Arial" w:cs="Arial"/>
        </w:rPr>
        <w:t xml:space="preserve"> a statistically significant increase in thyroid c-cell tumour incidence (adenomas and / or carcinomas) was observed in rats at all doses (</w:t>
      </w:r>
      <w:r w:rsidR="002A19AE">
        <w:rPr>
          <w:rFonts w:ascii="Arial" w:hAnsi="Arial" w:cs="Arial"/>
        </w:rPr>
        <w:t xml:space="preserve">0.3 to 3 mg/kg/fortnight subcutaneously; </w:t>
      </w:r>
      <w:r w:rsidRPr="00611F34">
        <w:rPr>
          <w:rFonts w:ascii="Arial" w:hAnsi="Arial" w:cs="Arial"/>
        </w:rPr>
        <w:lastRenderedPageBreak/>
        <w:t xml:space="preserve">1.4 to 26 fold the human clinical exposure with </w:t>
      </w:r>
      <w:r w:rsidR="00507E1E" w:rsidRPr="00611F34">
        <w:rPr>
          <w:rFonts w:ascii="Arial" w:hAnsi="Arial" w:cs="Arial"/>
        </w:rPr>
        <w:t>exenatide once weekly</w:t>
      </w:r>
      <w:r w:rsidRPr="00611F34">
        <w:rPr>
          <w:rFonts w:ascii="Arial" w:hAnsi="Arial" w:cs="Arial"/>
        </w:rPr>
        <w:t xml:space="preserve">). </w:t>
      </w:r>
      <w:r w:rsidR="002A19AE">
        <w:rPr>
          <w:rFonts w:ascii="Arial" w:hAnsi="Arial" w:cs="Arial"/>
        </w:rPr>
        <w:t xml:space="preserve">The available evidence indicates that these tumours are mediated by a specific GLP-1 receptor mechanism to which rodents are particularly sensitive. </w:t>
      </w:r>
      <w:r w:rsidRPr="00611F34">
        <w:rPr>
          <w:rFonts w:ascii="Arial" w:hAnsi="Arial" w:cs="Arial"/>
        </w:rPr>
        <w:t>The human relevance of these findings is currently unknown</w:t>
      </w:r>
      <w:r w:rsidR="002A19AE">
        <w:rPr>
          <w:rFonts w:ascii="Arial" w:hAnsi="Arial" w:cs="Arial"/>
        </w:rPr>
        <w:t xml:space="preserve"> but predicted to be low</w:t>
      </w:r>
      <w:r w:rsidRPr="00611F34">
        <w:rPr>
          <w:rFonts w:ascii="Arial" w:hAnsi="Arial" w:cs="Arial"/>
        </w:rPr>
        <w:t>.</w:t>
      </w:r>
      <w:r w:rsidR="002A19AE">
        <w:rPr>
          <w:rFonts w:ascii="Arial" w:hAnsi="Arial" w:cs="Arial"/>
        </w:rPr>
        <w:t xml:space="preserve"> </w:t>
      </w:r>
    </w:p>
    <w:p w:rsidR="00170ADE" w:rsidRPr="00611F34" w:rsidRDefault="00170ADE" w:rsidP="00DA1AEE">
      <w:pPr>
        <w:pStyle w:val="BodyTextIndent3"/>
        <w:ind w:firstLine="0"/>
        <w:jc w:val="both"/>
        <w:rPr>
          <w:rFonts w:ascii="Arial" w:hAnsi="Arial" w:cs="Arial"/>
          <w:snapToGrid/>
          <w:lang w:val="en-AU"/>
        </w:rPr>
      </w:pPr>
    </w:p>
    <w:p w:rsidR="00323C73" w:rsidRPr="00611F34" w:rsidRDefault="00323C73" w:rsidP="00DA1AEE">
      <w:pPr>
        <w:pStyle w:val="BodyTextIndent3"/>
        <w:ind w:firstLine="0"/>
        <w:jc w:val="both"/>
        <w:rPr>
          <w:rFonts w:ascii="Arial" w:hAnsi="Arial" w:cs="Arial"/>
          <w:b/>
          <w:lang w:val="en-AU"/>
        </w:rPr>
      </w:pPr>
      <w:r w:rsidRPr="00611F34">
        <w:rPr>
          <w:rFonts w:ascii="Arial" w:hAnsi="Arial" w:cs="Arial"/>
          <w:b/>
          <w:lang w:val="en-AU"/>
        </w:rPr>
        <w:t>Paediatrics</w:t>
      </w:r>
    </w:p>
    <w:p w:rsidR="0051488F" w:rsidRPr="00611F34" w:rsidRDefault="0051488F" w:rsidP="0051488F">
      <w:pPr>
        <w:pStyle w:val="BodyText"/>
        <w:spacing w:line="276" w:lineRule="auto"/>
        <w:rPr>
          <w:rFonts w:ascii="Arial" w:hAnsi="Arial" w:cs="Arial"/>
        </w:rPr>
      </w:pPr>
      <w:r w:rsidRPr="00611F34">
        <w:rPr>
          <w:rFonts w:ascii="Arial" w:hAnsi="Arial" w:cs="Arial"/>
        </w:rPr>
        <w:t xml:space="preserve">The safety and effectiveness of </w:t>
      </w:r>
      <w:r w:rsidR="003C2A6B" w:rsidRPr="00611F34">
        <w:rPr>
          <w:rFonts w:ascii="Arial" w:hAnsi="Arial" w:cs="Arial"/>
        </w:rPr>
        <w:t>exenatide</w:t>
      </w:r>
      <w:r w:rsidRPr="00611F34">
        <w:rPr>
          <w:rFonts w:ascii="Arial" w:hAnsi="Arial" w:cs="Arial"/>
        </w:rPr>
        <w:t xml:space="preserve"> ha</w:t>
      </w:r>
      <w:r w:rsidR="000F1251" w:rsidRPr="00611F34">
        <w:rPr>
          <w:rFonts w:ascii="Arial" w:hAnsi="Arial" w:cs="Arial"/>
        </w:rPr>
        <w:t>s</w:t>
      </w:r>
      <w:r w:rsidRPr="00611F34">
        <w:rPr>
          <w:rFonts w:ascii="Arial" w:hAnsi="Arial" w:cs="Arial"/>
        </w:rPr>
        <w:t xml:space="preserve"> not been </w:t>
      </w:r>
      <w:r w:rsidR="000F1251" w:rsidRPr="00611F34">
        <w:rPr>
          <w:rFonts w:ascii="Arial" w:hAnsi="Arial" w:cs="Arial"/>
        </w:rPr>
        <w:t xml:space="preserve">established </w:t>
      </w:r>
      <w:r w:rsidRPr="00611F34">
        <w:rPr>
          <w:rFonts w:ascii="Arial" w:hAnsi="Arial" w:cs="Arial"/>
        </w:rPr>
        <w:t xml:space="preserve">in </w:t>
      </w:r>
      <w:r w:rsidR="009F67A1" w:rsidRPr="00611F34">
        <w:rPr>
          <w:rFonts w:ascii="Arial" w:hAnsi="Arial" w:cs="Arial"/>
        </w:rPr>
        <w:t xml:space="preserve">children under </w:t>
      </w:r>
      <w:r w:rsidR="000F1251" w:rsidRPr="00611F34">
        <w:rPr>
          <w:rFonts w:ascii="Arial" w:hAnsi="Arial" w:cs="Arial"/>
        </w:rPr>
        <w:t>18 years of age</w:t>
      </w:r>
      <w:r w:rsidR="009F67A1" w:rsidRPr="00611F34">
        <w:rPr>
          <w:rFonts w:ascii="Arial" w:hAnsi="Arial" w:cs="Arial"/>
        </w:rPr>
        <w:t>.</w:t>
      </w:r>
    </w:p>
    <w:p w:rsidR="00323C73" w:rsidRPr="00611F34" w:rsidRDefault="00323C73" w:rsidP="00DA1AEE">
      <w:pPr>
        <w:pStyle w:val="BodyTextIndent3"/>
        <w:ind w:firstLine="0"/>
        <w:jc w:val="both"/>
        <w:rPr>
          <w:rFonts w:ascii="Arial" w:hAnsi="Arial" w:cs="Arial"/>
          <w:b/>
          <w:lang w:val="en-AU"/>
        </w:rPr>
      </w:pPr>
    </w:p>
    <w:p w:rsidR="00323C73" w:rsidRPr="00611F34" w:rsidRDefault="00323C73" w:rsidP="00DA1AEE">
      <w:pPr>
        <w:pStyle w:val="BodyTextIndent3"/>
        <w:ind w:firstLine="0"/>
        <w:jc w:val="both"/>
        <w:rPr>
          <w:rFonts w:ascii="Arial" w:hAnsi="Arial" w:cs="Arial"/>
          <w:lang w:val="en-AU"/>
        </w:rPr>
      </w:pPr>
      <w:r w:rsidRPr="00611F34">
        <w:rPr>
          <w:rFonts w:ascii="Arial" w:hAnsi="Arial" w:cs="Arial"/>
          <w:b/>
          <w:lang w:val="en-AU"/>
        </w:rPr>
        <w:t>Use in the elderly</w:t>
      </w:r>
    </w:p>
    <w:p w:rsidR="0051488F" w:rsidRPr="00611F34" w:rsidRDefault="0051488F" w:rsidP="0051488F">
      <w:pPr>
        <w:pStyle w:val="BodyText"/>
        <w:spacing w:line="276" w:lineRule="auto"/>
        <w:rPr>
          <w:rFonts w:ascii="Arial" w:hAnsi="Arial" w:cs="Arial"/>
        </w:rPr>
      </w:pPr>
      <w:r w:rsidRPr="00611F34">
        <w:rPr>
          <w:rFonts w:ascii="Arial" w:hAnsi="Arial" w:cs="Arial"/>
        </w:rPr>
        <w:t xml:space="preserve">Population pharmacokinetic analysis of patients ranging from 22 to 73 years of age suggests that age does not influence the pharmacokinetic properties of exenatide </w:t>
      </w:r>
      <w:r w:rsidR="004661CD" w:rsidRPr="00611F34">
        <w:rPr>
          <w:rFonts w:ascii="Arial" w:hAnsi="Arial" w:cs="Arial"/>
        </w:rPr>
        <w:t>(</w:t>
      </w:r>
      <w:r w:rsidRPr="00611F34">
        <w:rPr>
          <w:rFonts w:ascii="Arial" w:hAnsi="Arial" w:cs="Arial"/>
        </w:rPr>
        <w:t>see</w:t>
      </w:r>
      <w:r w:rsidRPr="00611F34">
        <w:rPr>
          <w:rFonts w:ascii="Arial" w:hAnsi="Arial" w:cs="Arial"/>
          <w:i/>
        </w:rPr>
        <w:t xml:space="preserve"> </w:t>
      </w:r>
      <w:r w:rsidRPr="00611F34">
        <w:rPr>
          <w:rFonts w:ascii="Arial" w:hAnsi="Arial" w:cs="Arial"/>
          <w:b/>
          <w:caps/>
        </w:rPr>
        <w:t>Clinical Pharmacology</w:t>
      </w:r>
      <w:r w:rsidRPr="00611F34">
        <w:rPr>
          <w:rFonts w:ascii="Arial" w:hAnsi="Arial" w:cs="Arial"/>
        </w:rPr>
        <w:t>). In the 30</w:t>
      </w:r>
      <w:r w:rsidR="004661CD" w:rsidRPr="00611F34">
        <w:rPr>
          <w:rFonts w:ascii="Arial" w:hAnsi="Arial" w:cs="Arial"/>
        </w:rPr>
        <w:t xml:space="preserve"> </w:t>
      </w:r>
      <w:r w:rsidRPr="00611F34">
        <w:rPr>
          <w:rFonts w:ascii="Arial" w:hAnsi="Arial" w:cs="Arial"/>
        </w:rPr>
        <w:t>week and 26</w:t>
      </w:r>
      <w:r w:rsidR="004661CD" w:rsidRPr="00611F34">
        <w:rPr>
          <w:rFonts w:ascii="Arial" w:hAnsi="Arial" w:cs="Arial"/>
        </w:rPr>
        <w:t xml:space="preserve"> </w:t>
      </w:r>
      <w:r w:rsidRPr="00611F34">
        <w:rPr>
          <w:rFonts w:ascii="Arial" w:hAnsi="Arial" w:cs="Arial"/>
        </w:rPr>
        <w:t xml:space="preserve">week trials, </w:t>
      </w:r>
      <w:r w:rsidR="00507E1E" w:rsidRPr="00611F34">
        <w:rPr>
          <w:rFonts w:ascii="Arial" w:hAnsi="Arial" w:cs="Arial"/>
        </w:rPr>
        <w:t>exenatide once weekly</w:t>
      </w:r>
      <w:r w:rsidRPr="00611F34">
        <w:rPr>
          <w:rFonts w:ascii="Arial" w:hAnsi="Arial" w:cs="Arial"/>
        </w:rPr>
        <w:t xml:space="preserve"> was studied in 46 patients and </w:t>
      </w:r>
      <w:r w:rsidR="00507E1E" w:rsidRPr="00611F34">
        <w:rPr>
          <w:rFonts w:ascii="Arial" w:hAnsi="Arial" w:cs="Arial"/>
        </w:rPr>
        <w:t xml:space="preserve">exenatide twice daily </w:t>
      </w:r>
      <w:r w:rsidRPr="00611F34">
        <w:rPr>
          <w:rFonts w:ascii="Arial" w:hAnsi="Arial" w:cs="Arial"/>
        </w:rPr>
        <w:t xml:space="preserve">in 24 patients, who were at least 65 years old. In separate trials, </w:t>
      </w:r>
      <w:r w:rsidR="004661CD" w:rsidRPr="00611F34">
        <w:rPr>
          <w:rFonts w:ascii="Arial" w:hAnsi="Arial" w:cs="Arial"/>
        </w:rPr>
        <w:t>exenatide twice daily</w:t>
      </w:r>
      <w:r w:rsidRPr="00611F34">
        <w:rPr>
          <w:rFonts w:ascii="Arial" w:hAnsi="Arial" w:cs="Arial"/>
        </w:rPr>
        <w:t xml:space="preserve"> was studied in 282 patients at least 65 years old, and in 16 patients at least 75 years old. No differences in safety or effectiveness were observed between these patients and younger patients. Because elderly patients are more likely to have decreased renal function, care should be taken </w:t>
      </w:r>
      <w:r w:rsidR="00507E1E" w:rsidRPr="00611F34">
        <w:rPr>
          <w:rFonts w:ascii="Arial" w:hAnsi="Arial" w:cs="Arial"/>
        </w:rPr>
        <w:t xml:space="preserve">when </w:t>
      </w:r>
      <w:r w:rsidRPr="00611F34">
        <w:rPr>
          <w:rFonts w:ascii="Arial" w:hAnsi="Arial" w:cs="Arial"/>
        </w:rPr>
        <w:t xml:space="preserve">initiating </w:t>
      </w:r>
      <w:r w:rsidR="009E3EE3">
        <w:rPr>
          <w:rFonts w:ascii="Arial" w:hAnsi="Arial" w:cs="Arial"/>
        </w:rPr>
        <w:t xml:space="preserve">2 mg </w:t>
      </w:r>
      <w:r w:rsidR="00507E1E" w:rsidRPr="00611F34">
        <w:rPr>
          <w:rFonts w:ascii="Arial" w:hAnsi="Arial" w:cs="Arial"/>
        </w:rPr>
        <w:t>exenatide once weekly</w:t>
      </w:r>
      <w:r w:rsidRPr="00611F34">
        <w:rPr>
          <w:rFonts w:ascii="Arial" w:hAnsi="Arial" w:cs="Arial"/>
        </w:rPr>
        <w:t xml:space="preserve"> in the elderly based on renal function.</w:t>
      </w:r>
    </w:p>
    <w:p w:rsidR="00DA1AEE" w:rsidRPr="00611F34" w:rsidRDefault="00DA1AEE" w:rsidP="00DA1AEE">
      <w:pPr>
        <w:pStyle w:val="BodyText"/>
        <w:jc w:val="both"/>
        <w:rPr>
          <w:rFonts w:ascii="Arial" w:hAnsi="Arial" w:cs="Arial"/>
          <w:b/>
        </w:rPr>
      </w:pPr>
    </w:p>
    <w:p w:rsidR="002D57CB" w:rsidRPr="00611F34" w:rsidRDefault="002D57CB" w:rsidP="00DA1AEE">
      <w:pPr>
        <w:pStyle w:val="BodyText"/>
        <w:jc w:val="both"/>
        <w:rPr>
          <w:rFonts w:ascii="Arial" w:hAnsi="Arial" w:cs="Arial"/>
          <w:b/>
        </w:rPr>
      </w:pPr>
      <w:r w:rsidRPr="00611F34">
        <w:rPr>
          <w:rFonts w:ascii="Arial" w:hAnsi="Arial" w:cs="Arial"/>
          <w:b/>
        </w:rPr>
        <w:t>U</w:t>
      </w:r>
      <w:r w:rsidR="000D4C03" w:rsidRPr="00611F34">
        <w:rPr>
          <w:rFonts w:ascii="Arial" w:hAnsi="Arial" w:cs="Arial"/>
          <w:b/>
        </w:rPr>
        <w:t xml:space="preserve">se in </w:t>
      </w:r>
      <w:r w:rsidRPr="00611F34">
        <w:rPr>
          <w:rFonts w:ascii="Arial" w:hAnsi="Arial" w:cs="Arial"/>
          <w:b/>
        </w:rPr>
        <w:t>Renal Impairment</w:t>
      </w:r>
    </w:p>
    <w:p w:rsidR="002D57CB" w:rsidRPr="00611F34" w:rsidRDefault="00C63435" w:rsidP="00DA1AEE">
      <w:pPr>
        <w:pStyle w:val="BodyText"/>
        <w:jc w:val="both"/>
        <w:rPr>
          <w:rFonts w:ascii="Arial" w:hAnsi="Arial" w:cs="Arial"/>
          <w:highlight w:val="yellow"/>
        </w:rPr>
      </w:pPr>
      <w:r>
        <w:rPr>
          <w:rFonts w:ascii="Arial" w:hAnsi="Arial" w:cs="Arial"/>
        </w:rPr>
        <w:t xml:space="preserve">No clinically meaningful differences were observed in steady state exenatide concentrations or tolerability in </w:t>
      </w:r>
      <w:r w:rsidRPr="006276ED">
        <w:rPr>
          <w:rFonts w:ascii="Arial" w:hAnsi="Arial" w:cs="Arial"/>
        </w:rPr>
        <w:t>patients with mild to moderate renal impairment (creatinine clearance 30 to 80 mL/min)</w:t>
      </w:r>
      <w:r>
        <w:rPr>
          <w:rFonts w:ascii="Arial" w:hAnsi="Arial" w:cs="Arial"/>
        </w:rPr>
        <w:t xml:space="preserve"> compared to those with normal renal function. No dosage adjustment of 2 mg exenatide once weekly is required for patients with mild to moderate renal impairment. Exenatide once weekly is not recommended for patients with severe renal impairment (creatinine clearance &lt;30 mL/min) or for patients with end-stage renal disease receiving dialysis</w:t>
      </w:r>
      <w:r w:rsidR="00B6721C" w:rsidRPr="00611F34">
        <w:rPr>
          <w:rFonts w:ascii="Arial" w:hAnsi="Arial" w:cs="Arial"/>
        </w:rPr>
        <w:t xml:space="preserve"> </w:t>
      </w:r>
      <w:r w:rsidR="00647CCA" w:rsidRPr="00611F34">
        <w:rPr>
          <w:rFonts w:ascii="Arial" w:hAnsi="Arial" w:cs="Arial"/>
          <w:b/>
        </w:rPr>
        <w:t>(</w:t>
      </w:r>
      <w:r w:rsidR="00647CCA" w:rsidRPr="00611F34">
        <w:rPr>
          <w:rFonts w:ascii="Arial" w:hAnsi="Arial" w:cs="Arial"/>
        </w:rPr>
        <w:t xml:space="preserve">see </w:t>
      </w:r>
      <w:r w:rsidR="00647CCA" w:rsidRPr="00611F34">
        <w:rPr>
          <w:rFonts w:ascii="Arial" w:hAnsi="Arial" w:cs="Arial"/>
          <w:b/>
        </w:rPr>
        <w:t>CONTRAINDICATIONS)</w:t>
      </w:r>
      <w:r w:rsidR="00A0382D" w:rsidRPr="00611F34">
        <w:rPr>
          <w:rFonts w:ascii="Arial" w:hAnsi="Arial" w:cs="Arial"/>
          <w:b/>
        </w:rPr>
        <w:t xml:space="preserve">. </w:t>
      </w:r>
    </w:p>
    <w:p w:rsidR="00796432" w:rsidRPr="00611F34" w:rsidRDefault="00796432" w:rsidP="00DA1AEE">
      <w:pPr>
        <w:ind w:left="567" w:hanging="567"/>
        <w:jc w:val="both"/>
        <w:rPr>
          <w:rFonts w:ascii="Arial" w:hAnsi="Arial" w:cs="Arial"/>
          <w:i/>
          <w:strike/>
          <w:highlight w:val="yellow"/>
        </w:rPr>
      </w:pPr>
    </w:p>
    <w:p w:rsidR="0028401B" w:rsidRPr="00611F34" w:rsidRDefault="0028401B" w:rsidP="0028401B">
      <w:pPr>
        <w:jc w:val="both"/>
        <w:rPr>
          <w:rFonts w:ascii="Arial" w:hAnsi="Arial" w:cs="Arial"/>
          <w:b/>
        </w:rPr>
      </w:pPr>
      <w:r w:rsidRPr="00611F34">
        <w:rPr>
          <w:rFonts w:ascii="Arial" w:hAnsi="Arial" w:cs="Arial"/>
          <w:b/>
        </w:rPr>
        <w:t>Effects on ability to drive and use machines</w:t>
      </w:r>
    </w:p>
    <w:p w:rsidR="0028401B" w:rsidRPr="00611F34" w:rsidRDefault="0028401B" w:rsidP="0028401B">
      <w:pPr>
        <w:rPr>
          <w:rFonts w:ascii="Arial" w:hAnsi="Arial" w:cs="Arial"/>
        </w:rPr>
      </w:pPr>
      <w:r w:rsidRPr="00611F34">
        <w:rPr>
          <w:rFonts w:ascii="Arial" w:hAnsi="Arial" w:cs="Arial"/>
        </w:rPr>
        <w:t>No studies on the effects of the ability to drive and use machines have been performed. When exenatide is used in combination with a sulfonylurea, patients should be advised to take precautions to avoid hypoglycaemia while driving and using machines.</w:t>
      </w:r>
    </w:p>
    <w:p w:rsidR="0028401B" w:rsidRDefault="0028401B" w:rsidP="00DA1AEE">
      <w:pPr>
        <w:ind w:left="567" w:hanging="567"/>
        <w:jc w:val="both"/>
        <w:rPr>
          <w:rFonts w:ascii="Arial" w:hAnsi="Arial" w:cs="Arial"/>
          <w:b/>
        </w:rPr>
      </w:pPr>
    </w:p>
    <w:p w:rsidR="00323C73" w:rsidRPr="00611F34" w:rsidRDefault="005B296D" w:rsidP="00DA1AEE">
      <w:pPr>
        <w:ind w:left="567" w:hanging="567"/>
        <w:jc w:val="both"/>
        <w:rPr>
          <w:rFonts w:ascii="Arial" w:hAnsi="Arial" w:cs="Arial"/>
        </w:rPr>
      </w:pPr>
      <w:r w:rsidRPr="00611F34">
        <w:rPr>
          <w:rFonts w:ascii="Arial" w:hAnsi="Arial" w:cs="Arial"/>
          <w:b/>
        </w:rPr>
        <w:t>INTERACTION WITH OTHER MEDICINES</w:t>
      </w:r>
    </w:p>
    <w:p w:rsidR="00087056" w:rsidRPr="00611F34" w:rsidRDefault="00087056" w:rsidP="00DA1AEE">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Arial" w:hAnsi="Arial" w:cs="Arial"/>
        </w:rPr>
      </w:pPr>
      <w:r w:rsidRPr="00611F34">
        <w:rPr>
          <w:rFonts w:ascii="Arial" w:hAnsi="Arial" w:cs="Arial"/>
        </w:rPr>
        <w:t xml:space="preserve">The results of a study using paracetamol as a marker of gastric emptying suggest that the effect of </w:t>
      </w:r>
      <w:r w:rsidR="00507E1E" w:rsidRPr="00611F34">
        <w:rPr>
          <w:rFonts w:ascii="Arial" w:hAnsi="Arial" w:cs="Arial"/>
        </w:rPr>
        <w:t>exenatide once weekly</w:t>
      </w:r>
      <w:r w:rsidRPr="00611F34">
        <w:rPr>
          <w:rFonts w:ascii="Arial" w:hAnsi="Arial" w:cs="Arial"/>
        </w:rPr>
        <w:t xml:space="preserve"> to slow gastric emptying is not expected to cause clinically significant relevant changes in C</w:t>
      </w:r>
      <w:r w:rsidRPr="00611F34">
        <w:rPr>
          <w:rFonts w:ascii="Arial" w:hAnsi="Arial" w:cs="Arial"/>
          <w:vertAlign w:val="subscript"/>
        </w:rPr>
        <w:t>max</w:t>
      </w:r>
      <w:r w:rsidRPr="00611F34">
        <w:rPr>
          <w:rFonts w:ascii="Arial" w:hAnsi="Arial" w:cs="Arial"/>
        </w:rPr>
        <w:t xml:space="preserve"> or AUC of concomitantly administered oral medicines. Therefore no dose adjustments of oral medicines are necessary when used concomitantly with </w:t>
      </w:r>
      <w:r w:rsidR="00507E1E" w:rsidRPr="00611F34">
        <w:rPr>
          <w:rFonts w:ascii="Arial" w:hAnsi="Arial" w:cs="Arial"/>
        </w:rPr>
        <w:t>exenatide once weekly</w:t>
      </w:r>
      <w:r w:rsidR="00F546D6" w:rsidRPr="00611F34">
        <w:rPr>
          <w:rFonts w:ascii="Arial" w:hAnsi="Arial" w:cs="Arial"/>
        </w:rPr>
        <w:t xml:space="preserve">. However, the dose of a </w:t>
      </w:r>
      <w:r w:rsidR="005834C3" w:rsidRPr="00611F34">
        <w:rPr>
          <w:rFonts w:ascii="Arial" w:hAnsi="Arial" w:cs="Arial"/>
        </w:rPr>
        <w:t>sulfonylurea</w:t>
      </w:r>
      <w:r w:rsidR="00F546D6" w:rsidRPr="00611F34">
        <w:rPr>
          <w:rFonts w:ascii="Arial" w:hAnsi="Arial" w:cs="Arial"/>
        </w:rPr>
        <w:t xml:space="preserve"> may require adjustment due to the increased risk of hypoglycaemia associated with </w:t>
      </w:r>
      <w:r w:rsidR="005834C3" w:rsidRPr="00611F34">
        <w:rPr>
          <w:rFonts w:ascii="Arial" w:hAnsi="Arial" w:cs="Arial"/>
        </w:rPr>
        <w:t>sulfonylurea</w:t>
      </w:r>
      <w:r w:rsidR="00F546D6" w:rsidRPr="00611F34">
        <w:rPr>
          <w:rFonts w:ascii="Arial" w:hAnsi="Arial" w:cs="Arial"/>
        </w:rPr>
        <w:t xml:space="preserve"> therapy (see </w:t>
      </w:r>
      <w:r w:rsidR="00F546D6" w:rsidRPr="00611F34">
        <w:rPr>
          <w:rFonts w:ascii="Arial" w:hAnsi="Arial" w:cs="Arial"/>
          <w:b/>
        </w:rPr>
        <w:t xml:space="preserve">PRECAUTIONS, Hypoglycaemia </w:t>
      </w:r>
      <w:r w:rsidR="00F546D6" w:rsidRPr="00611F34">
        <w:rPr>
          <w:rFonts w:ascii="Arial" w:hAnsi="Arial" w:cs="Arial"/>
        </w:rPr>
        <w:t xml:space="preserve">and </w:t>
      </w:r>
      <w:r w:rsidR="00F546D6" w:rsidRPr="00611F34">
        <w:rPr>
          <w:rFonts w:ascii="Arial" w:hAnsi="Arial" w:cs="Arial"/>
          <w:b/>
        </w:rPr>
        <w:t>DOSAGE AND ADMINISTRATION</w:t>
      </w:r>
      <w:r w:rsidR="00F546D6" w:rsidRPr="00611F34">
        <w:rPr>
          <w:rFonts w:ascii="Arial" w:hAnsi="Arial" w:cs="Arial"/>
        </w:rPr>
        <w:t>).</w:t>
      </w:r>
    </w:p>
    <w:p w:rsidR="00087056" w:rsidRPr="00611F34" w:rsidRDefault="00087056" w:rsidP="00DA1AEE">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Arial" w:hAnsi="Arial" w:cs="Arial"/>
        </w:rPr>
      </w:pPr>
    </w:p>
    <w:p w:rsidR="00A61E07" w:rsidRPr="00611F34" w:rsidRDefault="00A61E07" w:rsidP="00DA1AEE">
      <w:pPr>
        <w:pStyle w:val="BodyText"/>
        <w:jc w:val="both"/>
        <w:rPr>
          <w:rFonts w:ascii="Arial" w:hAnsi="Arial" w:cs="Arial"/>
          <w:i/>
          <w:iCs/>
        </w:rPr>
      </w:pPr>
      <w:r w:rsidRPr="00611F34">
        <w:rPr>
          <w:rFonts w:ascii="Arial" w:hAnsi="Arial" w:cs="Arial"/>
          <w:i/>
          <w:iCs/>
        </w:rPr>
        <w:t>Paracetamol</w:t>
      </w:r>
    </w:p>
    <w:p w:rsidR="00A61E07" w:rsidRPr="00611F34" w:rsidRDefault="00A61E07" w:rsidP="00DA1AEE">
      <w:pPr>
        <w:pStyle w:val="BodyText"/>
        <w:jc w:val="both"/>
        <w:rPr>
          <w:rFonts w:ascii="Arial" w:hAnsi="Arial" w:cs="Arial"/>
          <w:iCs/>
        </w:rPr>
      </w:pPr>
      <w:r w:rsidRPr="00611F34">
        <w:rPr>
          <w:rFonts w:ascii="Arial" w:hAnsi="Arial" w:cs="Arial"/>
          <w:iCs/>
        </w:rPr>
        <w:t>Paracetamol was used as a model medicinal product to evaluate the effect of exenatide on gastric emptying.</w:t>
      </w:r>
    </w:p>
    <w:p w:rsidR="00A61E07" w:rsidRPr="00611F34" w:rsidRDefault="00A61E07" w:rsidP="00DA1AEE">
      <w:pPr>
        <w:pStyle w:val="BodyText"/>
        <w:jc w:val="both"/>
        <w:rPr>
          <w:rFonts w:ascii="Arial" w:hAnsi="Arial" w:cs="Arial"/>
          <w:iCs/>
        </w:rPr>
      </w:pPr>
    </w:p>
    <w:p w:rsidR="00A61E07" w:rsidRPr="00611F34" w:rsidRDefault="00A61E07" w:rsidP="00DA1AEE">
      <w:pPr>
        <w:pStyle w:val="BodyText"/>
        <w:jc w:val="both"/>
        <w:rPr>
          <w:rFonts w:ascii="Arial" w:hAnsi="Arial" w:cs="Arial"/>
          <w:iCs/>
        </w:rPr>
      </w:pPr>
      <w:r w:rsidRPr="00611F34">
        <w:rPr>
          <w:rFonts w:ascii="Arial" w:hAnsi="Arial" w:cs="Arial"/>
          <w:iCs/>
        </w:rPr>
        <w:t xml:space="preserve">When 1000 mg paracetamol tablets were administered, either with or without a meal, following 14 weeks of </w:t>
      </w:r>
      <w:r w:rsidR="00507E1E" w:rsidRPr="00611F34">
        <w:rPr>
          <w:rFonts w:ascii="Arial" w:hAnsi="Arial" w:cs="Arial"/>
          <w:iCs/>
        </w:rPr>
        <w:t>2</w:t>
      </w:r>
      <w:r w:rsidR="009E3EE3">
        <w:rPr>
          <w:rFonts w:ascii="Arial" w:hAnsi="Arial" w:cs="Arial"/>
          <w:iCs/>
        </w:rPr>
        <w:t xml:space="preserve"> </w:t>
      </w:r>
      <w:r w:rsidR="00507E1E" w:rsidRPr="00611F34">
        <w:rPr>
          <w:rFonts w:ascii="Arial" w:hAnsi="Arial" w:cs="Arial"/>
          <w:iCs/>
        </w:rPr>
        <w:t>mg exenatide once weekly</w:t>
      </w:r>
      <w:r w:rsidRPr="00611F34">
        <w:rPr>
          <w:rFonts w:ascii="Arial" w:hAnsi="Arial" w:cs="Arial"/>
          <w:iCs/>
        </w:rPr>
        <w:t xml:space="preserve"> therapy, no significant changes in </w:t>
      </w:r>
      <w:r w:rsidRPr="00611F34">
        <w:rPr>
          <w:rFonts w:ascii="Arial" w:hAnsi="Arial" w:cs="Arial"/>
          <w:iCs/>
        </w:rPr>
        <w:lastRenderedPageBreak/>
        <w:t>paracetamol AUC were observed compared to the control period. Paracetamol C</w:t>
      </w:r>
      <w:r w:rsidRPr="00611F34">
        <w:rPr>
          <w:rFonts w:ascii="Arial" w:hAnsi="Arial" w:cs="Arial"/>
          <w:iCs/>
          <w:vertAlign w:val="subscript"/>
        </w:rPr>
        <w:t>max</w:t>
      </w:r>
      <w:r w:rsidRPr="00611F34">
        <w:rPr>
          <w:rFonts w:ascii="Arial" w:hAnsi="Arial" w:cs="Arial"/>
          <w:iCs/>
        </w:rPr>
        <w:t xml:space="preserve"> decreased by 16% (fasting) and 5% (fed) and t</w:t>
      </w:r>
      <w:r w:rsidRPr="00611F34">
        <w:rPr>
          <w:rFonts w:ascii="Arial" w:hAnsi="Arial" w:cs="Arial"/>
          <w:iCs/>
          <w:vertAlign w:val="subscript"/>
        </w:rPr>
        <w:t>max</w:t>
      </w:r>
      <w:r w:rsidRPr="00611F34">
        <w:rPr>
          <w:rFonts w:ascii="Arial" w:hAnsi="Arial" w:cs="Arial"/>
          <w:iCs/>
        </w:rPr>
        <w:t xml:space="preserve"> was increased from approximately 1 hour in the control period to 1.4 hours (fasting) and 1.3 hours (fed). In the same study, when paracetamol was administered with a meal 15 minutes after </w:t>
      </w:r>
      <w:r w:rsidR="00507E1E" w:rsidRPr="00611F34">
        <w:rPr>
          <w:rFonts w:ascii="Arial" w:hAnsi="Arial" w:cs="Arial"/>
          <w:iCs/>
        </w:rPr>
        <w:t>10 µg exenatide twice daily</w:t>
      </w:r>
      <w:r w:rsidRPr="00611F34">
        <w:rPr>
          <w:rFonts w:ascii="Arial" w:hAnsi="Arial" w:cs="Arial"/>
          <w:iCs/>
        </w:rPr>
        <w:t>, AUC and C</w:t>
      </w:r>
      <w:r w:rsidRPr="00611F34">
        <w:rPr>
          <w:rFonts w:ascii="Arial" w:hAnsi="Arial" w:cs="Arial"/>
          <w:iCs/>
          <w:vertAlign w:val="subscript"/>
        </w:rPr>
        <w:t>max</w:t>
      </w:r>
      <w:r w:rsidRPr="00611F34">
        <w:rPr>
          <w:rFonts w:ascii="Arial" w:hAnsi="Arial" w:cs="Arial"/>
          <w:iCs/>
        </w:rPr>
        <w:t xml:space="preserve"> decreased by 20% and 21% respectively, and t</w:t>
      </w:r>
      <w:r w:rsidRPr="00611F34">
        <w:rPr>
          <w:rFonts w:ascii="Arial" w:hAnsi="Arial" w:cs="Arial"/>
          <w:iCs/>
          <w:vertAlign w:val="subscript"/>
        </w:rPr>
        <w:t>max</w:t>
      </w:r>
      <w:r w:rsidRPr="00611F34">
        <w:rPr>
          <w:rFonts w:ascii="Arial" w:hAnsi="Arial" w:cs="Arial"/>
          <w:iCs/>
        </w:rPr>
        <w:t xml:space="preserve"> increased to 2 hours. Given that concomitant </w:t>
      </w:r>
      <w:r w:rsidR="009E3EE3">
        <w:rPr>
          <w:rFonts w:ascii="Arial" w:hAnsi="Arial" w:cs="Arial"/>
          <w:iCs/>
        </w:rPr>
        <w:t xml:space="preserve">2 mg </w:t>
      </w:r>
      <w:r w:rsidR="00507E1E" w:rsidRPr="00611F34">
        <w:rPr>
          <w:rFonts w:ascii="Arial" w:hAnsi="Arial" w:cs="Arial"/>
          <w:iCs/>
        </w:rPr>
        <w:t>exenatide once weekly</w:t>
      </w:r>
      <w:r w:rsidRPr="00611F34">
        <w:rPr>
          <w:rFonts w:ascii="Arial" w:hAnsi="Arial" w:cs="Arial"/>
          <w:iCs/>
        </w:rPr>
        <w:t xml:space="preserve"> administration with oral paracetamol, a marker of gastric emptying, did not alter AUC and resulted in a minor reduction in C</w:t>
      </w:r>
      <w:r w:rsidRPr="00611F34">
        <w:rPr>
          <w:rFonts w:ascii="Arial" w:hAnsi="Arial" w:cs="Arial"/>
          <w:iCs/>
          <w:vertAlign w:val="subscript"/>
        </w:rPr>
        <w:t>max</w:t>
      </w:r>
      <w:r w:rsidRPr="00611F34">
        <w:rPr>
          <w:rFonts w:ascii="Arial" w:hAnsi="Arial" w:cs="Arial"/>
          <w:iCs/>
        </w:rPr>
        <w:t xml:space="preserve">, no dosage adjustments are recommended with concomitant oral drugs, except when used with a </w:t>
      </w:r>
      <w:r w:rsidR="005834C3" w:rsidRPr="00611F34">
        <w:rPr>
          <w:rFonts w:ascii="Arial" w:hAnsi="Arial" w:cs="Arial"/>
          <w:iCs/>
        </w:rPr>
        <w:t>sulfonylurea</w:t>
      </w:r>
      <w:r w:rsidRPr="00611F34">
        <w:rPr>
          <w:rFonts w:ascii="Arial" w:hAnsi="Arial" w:cs="Arial"/>
          <w:iCs/>
        </w:rPr>
        <w:t>.</w:t>
      </w:r>
    </w:p>
    <w:p w:rsidR="00B5225F" w:rsidRPr="00611F34" w:rsidRDefault="00B5225F" w:rsidP="00DA1AEE">
      <w:pPr>
        <w:pStyle w:val="BodyText"/>
        <w:jc w:val="both"/>
        <w:rPr>
          <w:rFonts w:ascii="Arial" w:hAnsi="Arial" w:cs="Arial"/>
          <w:iCs/>
        </w:rPr>
      </w:pPr>
    </w:p>
    <w:p w:rsidR="00B5225F" w:rsidRPr="00611F34" w:rsidRDefault="00B5225F" w:rsidP="00DA1AEE">
      <w:pPr>
        <w:pStyle w:val="BodyText"/>
        <w:jc w:val="both"/>
        <w:rPr>
          <w:rFonts w:ascii="Arial" w:hAnsi="Arial" w:cs="Arial"/>
          <w:iCs/>
        </w:rPr>
      </w:pPr>
      <w:r w:rsidRPr="00611F34">
        <w:rPr>
          <w:rFonts w:ascii="Arial" w:hAnsi="Arial" w:cs="Arial"/>
          <w:iCs/>
        </w:rPr>
        <w:t xml:space="preserve">The following interaction studies have been conducted using 10 µg exenatide twice daily but not </w:t>
      </w:r>
      <w:r w:rsidR="009E3EE3">
        <w:rPr>
          <w:rFonts w:ascii="Arial" w:hAnsi="Arial" w:cs="Arial"/>
          <w:iCs/>
        </w:rPr>
        <w:t xml:space="preserve">2 mg </w:t>
      </w:r>
      <w:r w:rsidR="00507E1E" w:rsidRPr="00611F34">
        <w:rPr>
          <w:rFonts w:ascii="Arial" w:hAnsi="Arial" w:cs="Arial"/>
          <w:iCs/>
        </w:rPr>
        <w:t>exenatide once weekly</w:t>
      </w:r>
      <w:r w:rsidRPr="00611F34">
        <w:rPr>
          <w:rFonts w:ascii="Arial" w:hAnsi="Arial" w:cs="Arial"/>
          <w:iCs/>
        </w:rPr>
        <w:t>.</w:t>
      </w:r>
    </w:p>
    <w:p w:rsidR="00A61E07" w:rsidRPr="00611F34" w:rsidRDefault="00A61E07" w:rsidP="00DA1AEE">
      <w:pPr>
        <w:pStyle w:val="BodyText"/>
        <w:jc w:val="both"/>
        <w:rPr>
          <w:rFonts w:ascii="Arial" w:hAnsi="Arial" w:cs="Arial"/>
          <w:i/>
          <w:iCs/>
        </w:rPr>
      </w:pPr>
    </w:p>
    <w:p w:rsidR="00323C73" w:rsidRPr="00611F34" w:rsidRDefault="00323C73" w:rsidP="00DA1AEE">
      <w:pPr>
        <w:pStyle w:val="BodyText"/>
        <w:jc w:val="both"/>
        <w:rPr>
          <w:rFonts w:ascii="Arial" w:hAnsi="Arial" w:cs="Arial"/>
          <w:i/>
          <w:iCs/>
        </w:rPr>
      </w:pPr>
      <w:r w:rsidRPr="00611F34">
        <w:rPr>
          <w:rFonts w:ascii="Arial" w:hAnsi="Arial" w:cs="Arial"/>
          <w:i/>
          <w:iCs/>
        </w:rPr>
        <w:t>HMG CoA reductase inhibitors</w:t>
      </w:r>
    </w:p>
    <w:p w:rsidR="00323C73" w:rsidRPr="00611F34" w:rsidRDefault="00A34065" w:rsidP="00DA1AEE">
      <w:pPr>
        <w:pStyle w:val="BodyText"/>
        <w:jc w:val="both"/>
        <w:rPr>
          <w:rFonts w:ascii="Arial" w:hAnsi="Arial" w:cs="Arial"/>
        </w:rPr>
      </w:pPr>
      <w:r w:rsidRPr="00611F34">
        <w:rPr>
          <w:rFonts w:ascii="Arial" w:hAnsi="Arial" w:cs="Arial"/>
        </w:rPr>
        <w:t>The AUC and C</w:t>
      </w:r>
      <w:r w:rsidRPr="00611F34">
        <w:rPr>
          <w:rFonts w:ascii="Arial" w:hAnsi="Arial" w:cs="Arial"/>
          <w:vertAlign w:val="subscript"/>
        </w:rPr>
        <w:t>max</w:t>
      </w:r>
      <w:r w:rsidRPr="00611F34">
        <w:rPr>
          <w:rFonts w:ascii="Arial" w:hAnsi="Arial" w:cs="Arial"/>
        </w:rPr>
        <w:t xml:space="preserve"> of </w:t>
      </w:r>
      <w:r w:rsidR="00E45AD1" w:rsidRPr="00611F34">
        <w:rPr>
          <w:rFonts w:ascii="Arial" w:hAnsi="Arial" w:cs="Arial"/>
        </w:rPr>
        <w:t>l</w:t>
      </w:r>
      <w:r w:rsidR="00323C73" w:rsidRPr="00611F34">
        <w:rPr>
          <w:rFonts w:ascii="Arial" w:hAnsi="Arial" w:cs="Arial"/>
        </w:rPr>
        <w:t>ovastatin</w:t>
      </w:r>
      <w:r w:rsidRPr="00611F34">
        <w:rPr>
          <w:rFonts w:ascii="Arial" w:hAnsi="Arial" w:cs="Arial"/>
        </w:rPr>
        <w:t>, a HMG CoA reductase inhibitor,</w:t>
      </w:r>
      <w:r w:rsidR="00C37768" w:rsidRPr="00611F34">
        <w:rPr>
          <w:rFonts w:ascii="Arial" w:hAnsi="Arial" w:cs="Arial"/>
        </w:rPr>
        <w:t xml:space="preserve"> </w:t>
      </w:r>
      <w:r w:rsidR="00323C73" w:rsidRPr="00611F34">
        <w:rPr>
          <w:rFonts w:ascii="Arial" w:hAnsi="Arial" w:cs="Arial"/>
        </w:rPr>
        <w:t>were decreased approximately 40% and 28%, respectively, and T</w:t>
      </w:r>
      <w:r w:rsidR="00323C73" w:rsidRPr="00611F34">
        <w:rPr>
          <w:rFonts w:ascii="Arial" w:hAnsi="Arial" w:cs="Arial"/>
          <w:vertAlign w:val="subscript"/>
        </w:rPr>
        <w:t>max</w:t>
      </w:r>
      <w:r w:rsidR="00323C73" w:rsidRPr="00611F34">
        <w:rPr>
          <w:rFonts w:ascii="Arial" w:hAnsi="Arial" w:cs="Arial"/>
        </w:rPr>
        <w:t xml:space="preserve"> was delayed by about 4 h when </w:t>
      </w:r>
      <w:r w:rsidR="00981229" w:rsidRPr="00611F34">
        <w:rPr>
          <w:rFonts w:ascii="Arial" w:hAnsi="Arial" w:cs="Arial"/>
        </w:rPr>
        <w:t>e</w:t>
      </w:r>
      <w:r w:rsidR="00AF5FCC" w:rsidRPr="00611F34">
        <w:rPr>
          <w:rFonts w:ascii="Arial" w:hAnsi="Arial" w:cs="Arial"/>
        </w:rPr>
        <w:t>xenatide</w:t>
      </w:r>
      <w:r w:rsidR="00323C73" w:rsidRPr="00611F34">
        <w:rPr>
          <w:rFonts w:ascii="Arial" w:hAnsi="Arial" w:cs="Arial"/>
        </w:rPr>
        <w:t xml:space="preserve"> was administered concomitantly with a single dose of lovastatin (40 mg) compared with lovastatin administered alone.</w:t>
      </w:r>
      <w:r w:rsidR="00323C73" w:rsidRPr="00611F34">
        <w:rPr>
          <w:rFonts w:ascii="Arial" w:hAnsi="Arial" w:cs="Arial"/>
          <w:vertAlign w:val="subscript"/>
        </w:rPr>
        <w:softHyphen/>
      </w:r>
      <w:r w:rsidR="00323C73" w:rsidRPr="00611F34">
        <w:rPr>
          <w:rFonts w:ascii="Arial" w:hAnsi="Arial" w:cs="Arial"/>
        </w:rPr>
        <w:t xml:space="preserve"> In </w:t>
      </w:r>
      <w:r w:rsidR="00981229" w:rsidRPr="00611F34">
        <w:rPr>
          <w:rFonts w:ascii="Arial" w:hAnsi="Arial" w:cs="Arial"/>
        </w:rPr>
        <w:t>exenatide twice daily</w:t>
      </w:r>
      <w:r w:rsidR="00323C73" w:rsidRPr="00611F34">
        <w:rPr>
          <w:rFonts w:ascii="Arial" w:hAnsi="Arial" w:cs="Arial"/>
        </w:rPr>
        <w:t xml:space="preserve"> 30</w:t>
      </w:r>
      <w:r w:rsidR="00BE3A8F">
        <w:rPr>
          <w:rFonts w:ascii="Arial" w:hAnsi="Arial" w:cs="Arial"/>
        </w:rPr>
        <w:t xml:space="preserve"> </w:t>
      </w:r>
      <w:r w:rsidR="00323C73" w:rsidRPr="00611F34">
        <w:rPr>
          <w:rFonts w:ascii="Arial" w:hAnsi="Arial" w:cs="Arial"/>
        </w:rPr>
        <w:t xml:space="preserve">week placebo controlled clinical trials, concomitant use of </w:t>
      </w:r>
      <w:r w:rsidR="00981229" w:rsidRPr="00611F34">
        <w:rPr>
          <w:rFonts w:ascii="Arial" w:hAnsi="Arial" w:cs="Arial"/>
        </w:rPr>
        <w:t>e</w:t>
      </w:r>
      <w:r w:rsidR="00AF5FCC" w:rsidRPr="00611F34">
        <w:rPr>
          <w:rFonts w:ascii="Arial" w:hAnsi="Arial" w:cs="Arial"/>
        </w:rPr>
        <w:t>xenatide</w:t>
      </w:r>
      <w:r w:rsidR="00323C73" w:rsidRPr="00611F34">
        <w:rPr>
          <w:rFonts w:ascii="Arial" w:hAnsi="Arial" w:cs="Arial"/>
        </w:rPr>
        <w:t xml:space="preserve"> and HMG CoA reductase inhibitors was not associated with consistent changes in lipid profiles</w:t>
      </w:r>
      <w:r w:rsidR="00981229" w:rsidRPr="00611F34">
        <w:rPr>
          <w:rFonts w:ascii="Arial" w:hAnsi="Arial" w:cs="Arial"/>
        </w:rPr>
        <w:t xml:space="preserve"> (see </w:t>
      </w:r>
      <w:r w:rsidR="00981229" w:rsidRPr="00611F34">
        <w:rPr>
          <w:rFonts w:ascii="Arial" w:hAnsi="Arial" w:cs="Arial"/>
          <w:b/>
        </w:rPr>
        <w:t>PHARMACODYNAMIC PROPERTIES</w:t>
      </w:r>
      <w:r w:rsidR="00981229" w:rsidRPr="00611F34">
        <w:rPr>
          <w:rFonts w:ascii="Arial" w:hAnsi="Arial" w:cs="Arial"/>
        </w:rPr>
        <w:t>)</w:t>
      </w:r>
      <w:r w:rsidR="00323C73" w:rsidRPr="00611F34">
        <w:rPr>
          <w:rFonts w:ascii="Arial" w:hAnsi="Arial" w:cs="Arial"/>
        </w:rPr>
        <w:t>.</w:t>
      </w:r>
      <w:r w:rsidR="00981229" w:rsidRPr="00611F34">
        <w:rPr>
          <w:rFonts w:ascii="Arial" w:hAnsi="Arial" w:cs="Arial"/>
        </w:rPr>
        <w:t xml:space="preserve"> No predetermined dose adjustment is required; however lipid profiles should be monitored as appropriate.</w:t>
      </w:r>
    </w:p>
    <w:p w:rsidR="00323C73" w:rsidRPr="00611F34" w:rsidRDefault="00323C73" w:rsidP="00DA1AEE">
      <w:pPr>
        <w:pStyle w:val="BodyText"/>
        <w:jc w:val="both"/>
        <w:rPr>
          <w:rFonts w:ascii="Arial" w:hAnsi="Arial" w:cs="Arial"/>
        </w:rPr>
      </w:pPr>
    </w:p>
    <w:p w:rsidR="00981229" w:rsidRPr="00611F34" w:rsidRDefault="00C37B5C" w:rsidP="00DA1AEE">
      <w:pPr>
        <w:jc w:val="both"/>
        <w:rPr>
          <w:rFonts w:ascii="Arial" w:hAnsi="Arial" w:cs="Arial"/>
        </w:rPr>
      </w:pPr>
      <w:r w:rsidRPr="00611F34">
        <w:rPr>
          <w:rFonts w:ascii="Arial" w:hAnsi="Arial" w:cs="Arial"/>
          <w:i/>
        </w:rPr>
        <w:t>Warfarin</w:t>
      </w:r>
    </w:p>
    <w:p w:rsidR="00981229" w:rsidRPr="00611F34" w:rsidRDefault="00BD510A" w:rsidP="00BD510A">
      <w:pPr>
        <w:jc w:val="both"/>
        <w:rPr>
          <w:rFonts w:ascii="Arial" w:hAnsi="Arial" w:cs="Arial"/>
        </w:rPr>
      </w:pPr>
      <w:r w:rsidRPr="006276ED">
        <w:rPr>
          <w:rFonts w:ascii="Arial" w:hAnsi="Arial" w:cs="Arial"/>
        </w:rPr>
        <w:t>In a controlled clinical pharmacology study in healthy volunteers, a delay in warfarin T</w:t>
      </w:r>
      <w:r w:rsidRPr="006276ED">
        <w:rPr>
          <w:rFonts w:ascii="Arial" w:hAnsi="Arial" w:cs="Arial"/>
          <w:vertAlign w:val="subscript"/>
        </w:rPr>
        <w:t>max</w:t>
      </w:r>
      <w:r w:rsidRPr="006276ED">
        <w:rPr>
          <w:rFonts w:ascii="Arial" w:hAnsi="Arial" w:cs="Arial"/>
        </w:rPr>
        <w:t xml:space="preserve"> of about 2 h was observed when warfarin was administered </w:t>
      </w:r>
      <w:r w:rsidR="00E7625D" w:rsidRPr="006276ED">
        <w:rPr>
          <w:rFonts w:ascii="Arial" w:hAnsi="Arial" w:cs="Arial"/>
        </w:rPr>
        <w:t>3</w:t>
      </w:r>
      <w:r w:rsidR="00E7625D">
        <w:rPr>
          <w:rFonts w:ascii="Arial" w:hAnsi="Arial" w:cs="Arial"/>
        </w:rPr>
        <w:t>5</w:t>
      </w:r>
      <w:r w:rsidR="00E7625D" w:rsidRPr="006276ED">
        <w:rPr>
          <w:rFonts w:ascii="Arial" w:hAnsi="Arial" w:cs="Arial"/>
        </w:rPr>
        <w:t xml:space="preserve"> </w:t>
      </w:r>
      <w:r w:rsidRPr="006276ED">
        <w:rPr>
          <w:rFonts w:ascii="Arial" w:hAnsi="Arial" w:cs="Arial"/>
        </w:rPr>
        <w:t>min after Exenatide. No clinically relevant effects on C</w:t>
      </w:r>
      <w:r w:rsidRPr="006276ED">
        <w:rPr>
          <w:rFonts w:ascii="Arial" w:hAnsi="Arial" w:cs="Arial"/>
          <w:vertAlign w:val="subscript"/>
        </w:rPr>
        <w:t>max</w:t>
      </w:r>
      <w:r w:rsidRPr="006276ED">
        <w:rPr>
          <w:rFonts w:ascii="Arial" w:hAnsi="Arial" w:cs="Arial"/>
        </w:rPr>
        <w:t xml:space="preserve"> or AUC were observed (</w:t>
      </w:r>
      <w:r w:rsidRPr="006276ED">
        <w:rPr>
          <w:rFonts w:ascii="Arial" w:hAnsi="Arial" w:cs="Arial"/>
          <w:i/>
        </w:rPr>
        <w:t>see</w:t>
      </w:r>
      <w:r w:rsidRPr="006276ED">
        <w:rPr>
          <w:rFonts w:ascii="Arial" w:hAnsi="Arial" w:cs="Arial"/>
        </w:rPr>
        <w:t xml:space="preserve"> </w:t>
      </w:r>
      <w:r w:rsidRPr="006276ED">
        <w:rPr>
          <w:rFonts w:ascii="Arial" w:hAnsi="Arial" w:cs="Arial"/>
          <w:b/>
          <w:bCs/>
        </w:rPr>
        <w:t>PRECAUTIONS</w:t>
      </w:r>
      <w:r w:rsidRPr="006276ED">
        <w:rPr>
          <w:rFonts w:ascii="Arial" w:hAnsi="Arial" w:cs="Arial"/>
          <w:bCs/>
        </w:rPr>
        <w:t xml:space="preserve"> </w:t>
      </w:r>
      <w:r w:rsidRPr="006276ED">
        <w:rPr>
          <w:rFonts w:ascii="Arial" w:hAnsi="Arial" w:cs="Arial"/>
        </w:rPr>
        <w:t xml:space="preserve">and </w:t>
      </w:r>
      <w:r w:rsidRPr="006276ED">
        <w:rPr>
          <w:rFonts w:ascii="Arial" w:hAnsi="Arial" w:cs="Arial"/>
          <w:b/>
          <w:bCs/>
        </w:rPr>
        <w:t>ADVERSE EFFECTS, Spontaneous Data</w:t>
      </w:r>
      <w:r w:rsidRPr="006276ED">
        <w:rPr>
          <w:rFonts w:ascii="Arial" w:hAnsi="Arial" w:cs="Arial"/>
          <w:bCs/>
        </w:rPr>
        <w:t>).</w:t>
      </w:r>
      <w:r w:rsidRPr="006276ED" w:rsidDel="00631690">
        <w:rPr>
          <w:rFonts w:ascii="Arial" w:hAnsi="Arial" w:cs="Arial"/>
        </w:rPr>
        <w:t xml:space="preserve"> </w:t>
      </w:r>
      <w:r w:rsidR="00981229" w:rsidRPr="00611F34">
        <w:rPr>
          <w:rFonts w:ascii="Arial" w:hAnsi="Arial" w:cs="Arial"/>
        </w:rPr>
        <w:t xml:space="preserve">INR should be monitored during initiation of </w:t>
      </w:r>
      <w:r w:rsidR="00E2372A">
        <w:rPr>
          <w:rFonts w:ascii="Arial" w:hAnsi="Arial" w:cs="Arial"/>
        </w:rPr>
        <w:t>exenatide once weekly</w:t>
      </w:r>
      <w:r w:rsidR="00E2372A" w:rsidRPr="00611F34">
        <w:rPr>
          <w:rFonts w:ascii="Arial" w:hAnsi="Arial" w:cs="Arial"/>
        </w:rPr>
        <w:t xml:space="preserve"> </w:t>
      </w:r>
      <w:r w:rsidR="00981229" w:rsidRPr="00611F34">
        <w:rPr>
          <w:rFonts w:ascii="Arial" w:hAnsi="Arial" w:cs="Arial"/>
        </w:rPr>
        <w:t xml:space="preserve">therapy in patients on </w:t>
      </w:r>
      <w:proofErr w:type="spellStart"/>
      <w:r w:rsidR="00981229" w:rsidRPr="00611F34">
        <w:rPr>
          <w:rFonts w:ascii="Arial" w:hAnsi="Arial" w:cs="Arial"/>
        </w:rPr>
        <w:t>warfarin</w:t>
      </w:r>
      <w:proofErr w:type="spellEnd"/>
      <w:r w:rsidR="00981229" w:rsidRPr="00611F34">
        <w:rPr>
          <w:rFonts w:ascii="Arial" w:hAnsi="Arial" w:cs="Arial"/>
        </w:rPr>
        <w:t xml:space="preserve"> and/or </w:t>
      </w:r>
      <w:proofErr w:type="spellStart"/>
      <w:r w:rsidR="00981229" w:rsidRPr="00611F34">
        <w:rPr>
          <w:rFonts w:ascii="Arial" w:hAnsi="Arial" w:cs="Arial"/>
        </w:rPr>
        <w:t>cumarol</w:t>
      </w:r>
      <w:proofErr w:type="spellEnd"/>
      <w:r w:rsidR="00981229" w:rsidRPr="00611F34">
        <w:rPr>
          <w:rFonts w:ascii="Arial" w:hAnsi="Arial" w:cs="Arial"/>
        </w:rPr>
        <w:t xml:space="preserve"> derivatives (see </w:t>
      </w:r>
      <w:r w:rsidR="00981229" w:rsidRPr="00611F34">
        <w:rPr>
          <w:rFonts w:ascii="Arial" w:hAnsi="Arial" w:cs="Arial"/>
          <w:b/>
        </w:rPr>
        <w:t>PRECATUIONS</w:t>
      </w:r>
      <w:r w:rsidR="00981229" w:rsidRPr="00611F34">
        <w:rPr>
          <w:rFonts w:ascii="Arial" w:hAnsi="Arial" w:cs="Arial"/>
        </w:rPr>
        <w:t xml:space="preserve"> and </w:t>
      </w:r>
      <w:r w:rsidR="00981229" w:rsidRPr="00611F34">
        <w:rPr>
          <w:rFonts w:ascii="Arial" w:hAnsi="Arial" w:cs="Arial"/>
          <w:b/>
        </w:rPr>
        <w:t>ADVERSE EFFECTS, Spontaneous Data</w:t>
      </w:r>
      <w:r w:rsidR="00981229" w:rsidRPr="00611F34">
        <w:rPr>
          <w:rFonts w:ascii="Arial" w:hAnsi="Arial" w:cs="Arial"/>
        </w:rPr>
        <w:t>).</w:t>
      </w:r>
    </w:p>
    <w:p w:rsidR="00981229" w:rsidRPr="00611F34" w:rsidRDefault="00981229" w:rsidP="00DA1AEE">
      <w:pPr>
        <w:jc w:val="both"/>
        <w:rPr>
          <w:rFonts w:ascii="Arial" w:hAnsi="Arial" w:cs="Arial"/>
        </w:rPr>
      </w:pPr>
    </w:p>
    <w:p w:rsidR="00A3348B" w:rsidRPr="00611F34" w:rsidRDefault="000240AB" w:rsidP="00DA1AEE">
      <w:pPr>
        <w:jc w:val="both"/>
        <w:rPr>
          <w:rFonts w:ascii="Arial" w:hAnsi="Arial" w:cs="Arial"/>
          <w:i/>
        </w:rPr>
      </w:pPr>
      <w:proofErr w:type="spellStart"/>
      <w:r w:rsidRPr="00611F34">
        <w:rPr>
          <w:rFonts w:ascii="Arial" w:hAnsi="Arial" w:cs="Arial"/>
          <w:i/>
        </w:rPr>
        <w:t>Digoxin</w:t>
      </w:r>
      <w:proofErr w:type="spellEnd"/>
      <w:r w:rsidR="00981229" w:rsidRPr="00611F34">
        <w:rPr>
          <w:rFonts w:ascii="Arial" w:hAnsi="Arial" w:cs="Arial"/>
          <w:i/>
        </w:rPr>
        <w:t xml:space="preserve"> and</w:t>
      </w:r>
      <w:r w:rsidRPr="00611F34">
        <w:rPr>
          <w:rFonts w:ascii="Arial" w:hAnsi="Arial" w:cs="Arial"/>
          <w:i/>
        </w:rPr>
        <w:t xml:space="preserve"> </w:t>
      </w:r>
      <w:proofErr w:type="spellStart"/>
      <w:r w:rsidRPr="00611F34">
        <w:rPr>
          <w:rFonts w:ascii="Arial" w:hAnsi="Arial" w:cs="Arial"/>
          <w:i/>
        </w:rPr>
        <w:t>Lisinopril</w:t>
      </w:r>
      <w:proofErr w:type="spellEnd"/>
    </w:p>
    <w:p w:rsidR="00C37B5C" w:rsidRPr="00611F34" w:rsidRDefault="00981229" w:rsidP="00DA1AEE">
      <w:pPr>
        <w:jc w:val="both"/>
        <w:rPr>
          <w:rFonts w:ascii="Arial" w:hAnsi="Arial" w:cs="Arial"/>
        </w:rPr>
      </w:pPr>
      <w:r w:rsidRPr="00611F34">
        <w:rPr>
          <w:rFonts w:ascii="Arial" w:hAnsi="Arial" w:cs="Arial"/>
        </w:rPr>
        <w:t xml:space="preserve">In interaction studies of the effect of </w:t>
      </w:r>
      <w:proofErr w:type="spellStart"/>
      <w:r w:rsidRPr="00611F34">
        <w:rPr>
          <w:rFonts w:ascii="Arial" w:hAnsi="Arial" w:cs="Arial"/>
        </w:rPr>
        <w:t>exenatide</w:t>
      </w:r>
      <w:proofErr w:type="spellEnd"/>
      <w:r w:rsidRPr="00611F34">
        <w:rPr>
          <w:rFonts w:ascii="Arial" w:hAnsi="Arial" w:cs="Arial"/>
        </w:rPr>
        <w:t xml:space="preserve"> on </w:t>
      </w:r>
      <w:proofErr w:type="spellStart"/>
      <w:r w:rsidRPr="00611F34">
        <w:rPr>
          <w:rFonts w:ascii="Arial" w:hAnsi="Arial" w:cs="Arial"/>
        </w:rPr>
        <w:t>digoxin</w:t>
      </w:r>
      <w:proofErr w:type="spellEnd"/>
      <w:r w:rsidRPr="00611F34">
        <w:rPr>
          <w:rFonts w:ascii="Arial" w:hAnsi="Arial" w:cs="Arial"/>
        </w:rPr>
        <w:t xml:space="preserve"> and </w:t>
      </w:r>
      <w:proofErr w:type="spellStart"/>
      <w:r w:rsidRPr="00611F34">
        <w:rPr>
          <w:rFonts w:ascii="Arial" w:hAnsi="Arial" w:cs="Arial"/>
        </w:rPr>
        <w:t>lisinopril</w:t>
      </w:r>
      <w:proofErr w:type="spellEnd"/>
      <w:r w:rsidRPr="00611F34">
        <w:rPr>
          <w:rFonts w:ascii="Arial" w:hAnsi="Arial" w:cs="Arial"/>
        </w:rPr>
        <w:t xml:space="preserve"> there were no clinical relevant effects on C</w:t>
      </w:r>
      <w:r w:rsidRPr="00611F34">
        <w:rPr>
          <w:rFonts w:ascii="Arial" w:hAnsi="Arial" w:cs="Arial"/>
          <w:vertAlign w:val="subscript"/>
        </w:rPr>
        <w:t>max</w:t>
      </w:r>
      <w:r w:rsidRPr="00611F34">
        <w:rPr>
          <w:rFonts w:ascii="Arial" w:hAnsi="Arial" w:cs="Arial"/>
          <w:lang w:eastAsia="en-GB"/>
        </w:rPr>
        <w:t xml:space="preserve"> or AUC, however </w:t>
      </w:r>
      <w:r w:rsidRPr="00611F34">
        <w:rPr>
          <w:rFonts w:ascii="Arial" w:hAnsi="Arial" w:cs="Arial"/>
        </w:rPr>
        <w:t>a delay in t</w:t>
      </w:r>
      <w:r w:rsidRPr="00611F34">
        <w:rPr>
          <w:rFonts w:ascii="Arial" w:hAnsi="Arial" w:cs="Arial"/>
          <w:vertAlign w:val="subscript"/>
        </w:rPr>
        <w:t>max</w:t>
      </w:r>
      <w:r w:rsidRPr="00611F34">
        <w:rPr>
          <w:rFonts w:ascii="Arial" w:hAnsi="Arial" w:cs="Arial"/>
        </w:rPr>
        <w:t xml:space="preserve"> of about 2 h was observed.</w:t>
      </w:r>
      <w:r w:rsidR="00C37B5C" w:rsidRPr="00611F34" w:rsidDel="00631690">
        <w:rPr>
          <w:rFonts w:ascii="Arial" w:hAnsi="Arial" w:cs="Arial"/>
        </w:rPr>
        <w:t xml:space="preserve"> </w:t>
      </w:r>
    </w:p>
    <w:p w:rsidR="00C37B5C" w:rsidRPr="00611F34" w:rsidRDefault="00C37B5C" w:rsidP="00DA1AEE">
      <w:pPr>
        <w:pStyle w:val="BodyText"/>
        <w:jc w:val="both"/>
        <w:rPr>
          <w:rFonts w:ascii="Arial" w:hAnsi="Arial" w:cs="Arial"/>
        </w:rPr>
      </w:pPr>
    </w:p>
    <w:p w:rsidR="00981229" w:rsidRPr="00611F34" w:rsidRDefault="00981229" w:rsidP="00981229">
      <w:pPr>
        <w:keepNext/>
        <w:jc w:val="both"/>
        <w:rPr>
          <w:rFonts w:ascii="Arial" w:hAnsi="Arial" w:cs="Arial"/>
          <w:i/>
        </w:rPr>
      </w:pPr>
      <w:proofErr w:type="spellStart"/>
      <w:r w:rsidRPr="00611F34">
        <w:rPr>
          <w:rFonts w:ascii="Arial" w:hAnsi="Arial" w:cs="Arial"/>
          <w:i/>
        </w:rPr>
        <w:t>Ethinyl</w:t>
      </w:r>
      <w:proofErr w:type="spellEnd"/>
      <w:r w:rsidRPr="00611F34">
        <w:rPr>
          <w:rFonts w:ascii="Arial" w:hAnsi="Arial" w:cs="Arial"/>
          <w:i/>
        </w:rPr>
        <w:t xml:space="preserve"> </w:t>
      </w:r>
      <w:proofErr w:type="spellStart"/>
      <w:r w:rsidRPr="00611F34">
        <w:rPr>
          <w:rFonts w:ascii="Arial" w:hAnsi="Arial" w:cs="Arial"/>
          <w:i/>
        </w:rPr>
        <w:t>estradiol</w:t>
      </w:r>
      <w:proofErr w:type="spellEnd"/>
      <w:r w:rsidRPr="00611F34">
        <w:rPr>
          <w:rFonts w:ascii="Arial" w:hAnsi="Arial" w:cs="Arial"/>
          <w:i/>
        </w:rPr>
        <w:t xml:space="preserve"> and </w:t>
      </w:r>
      <w:proofErr w:type="spellStart"/>
      <w:r w:rsidRPr="00611F34">
        <w:rPr>
          <w:rFonts w:ascii="Arial" w:hAnsi="Arial" w:cs="Arial"/>
          <w:i/>
        </w:rPr>
        <w:t>levonorgestrel</w:t>
      </w:r>
      <w:proofErr w:type="spellEnd"/>
    </w:p>
    <w:p w:rsidR="00981229" w:rsidRPr="00611F34" w:rsidRDefault="00981229" w:rsidP="00981229">
      <w:pPr>
        <w:rPr>
          <w:rFonts w:ascii="Arial" w:hAnsi="Arial" w:cs="Arial"/>
        </w:rPr>
      </w:pPr>
      <w:r w:rsidRPr="00611F34">
        <w:rPr>
          <w:rFonts w:ascii="Arial" w:hAnsi="Arial" w:cs="Arial"/>
        </w:rPr>
        <w:t xml:space="preserve">Administration of a combination oral contraceptive (30 µg ethinyl estradiol plus 150 µg levonorgestrel) one hour before exenatide did not alter the AUC, </w:t>
      </w:r>
      <w:proofErr w:type="spellStart"/>
      <w:r w:rsidRPr="00611F34">
        <w:rPr>
          <w:rFonts w:ascii="Arial" w:hAnsi="Arial" w:cs="Arial"/>
        </w:rPr>
        <w:t>C</w:t>
      </w:r>
      <w:r w:rsidRPr="00611F34">
        <w:rPr>
          <w:rFonts w:ascii="Arial" w:hAnsi="Arial" w:cs="Arial"/>
          <w:vertAlign w:val="subscript"/>
        </w:rPr>
        <w:t>max</w:t>
      </w:r>
      <w:proofErr w:type="spellEnd"/>
      <w:r w:rsidRPr="00611F34">
        <w:rPr>
          <w:rFonts w:ascii="Arial" w:hAnsi="Arial" w:cs="Arial"/>
        </w:rPr>
        <w:t xml:space="preserve"> or </w:t>
      </w:r>
      <w:proofErr w:type="spellStart"/>
      <w:r w:rsidRPr="00611F34">
        <w:rPr>
          <w:rFonts w:ascii="Arial" w:hAnsi="Arial" w:cs="Arial"/>
        </w:rPr>
        <w:t>C</w:t>
      </w:r>
      <w:r w:rsidRPr="00611F34">
        <w:rPr>
          <w:rFonts w:ascii="Arial" w:hAnsi="Arial" w:cs="Arial"/>
          <w:vertAlign w:val="subscript"/>
        </w:rPr>
        <w:t>min</w:t>
      </w:r>
      <w:proofErr w:type="spellEnd"/>
      <w:r w:rsidRPr="00611F34">
        <w:rPr>
          <w:rFonts w:ascii="Arial" w:hAnsi="Arial" w:cs="Arial"/>
        </w:rPr>
        <w:t xml:space="preserve"> of either </w:t>
      </w:r>
      <w:proofErr w:type="spellStart"/>
      <w:r w:rsidRPr="00611F34">
        <w:rPr>
          <w:rFonts w:ascii="Arial" w:hAnsi="Arial" w:cs="Arial"/>
        </w:rPr>
        <w:t>ethinyl</w:t>
      </w:r>
      <w:proofErr w:type="spellEnd"/>
      <w:r w:rsidRPr="00611F34">
        <w:rPr>
          <w:rFonts w:ascii="Arial" w:hAnsi="Arial" w:cs="Arial"/>
        </w:rPr>
        <w:t xml:space="preserve"> </w:t>
      </w:r>
      <w:proofErr w:type="spellStart"/>
      <w:r w:rsidRPr="00611F34">
        <w:rPr>
          <w:rFonts w:ascii="Arial" w:hAnsi="Arial" w:cs="Arial"/>
        </w:rPr>
        <w:t>estradiol</w:t>
      </w:r>
      <w:proofErr w:type="spellEnd"/>
      <w:r w:rsidRPr="00611F34">
        <w:rPr>
          <w:rFonts w:ascii="Arial" w:hAnsi="Arial" w:cs="Arial"/>
        </w:rPr>
        <w:t xml:space="preserve"> or </w:t>
      </w:r>
      <w:proofErr w:type="spellStart"/>
      <w:r w:rsidRPr="00611F34">
        <w:rPr>
          <w:rFonts w:ascii="Arial" w:hAnsi="Arial" w:cs="Arial"/>
        </w:rPr>
        <w:t>levonorgestrel</w:t>
      </w:r>
      <w:proofErr w:type="spellEnd"/>
      <w:r w:rsidRPr="00611F34">
        <w:rPr>
          <w:rFonts w:ascii="Arial" w:hAnsi="Arial" w:cs="Arial"/>
        </w:rPr>
        <w:t>. Administration of the oral contraceptive 30 minutes after exenatide did not affect AUC but resulted in a reduction of the C</w:t>
      </w:r>
      <w:r w:rsidRPr="00611F34">
        <w:rPr>
          <w:rFonts w:ascii="Arial" w:hAnsi="Arial" w:cs="Arial"/>
          <w:vertAlign w:val="subscript"/>
        </w:rPr>
        <w:t>max</w:t>
      </w:r>
      <w:r w:rsidRPr="00611F34">
        <w:rPr>
          <w:rFonts w:ascii="Arial" w:hAnsi="Arial" w:cs="Arial"/>
        </w:rPr>
        <w:t xml:space="preserve"> of ethinyl estradiol by 45%, and C</w:t>
      </w:r>
      <w:r w:rsidRPr="00611F34">
        <w:rPr>
          <w:rFonts w:ascii="Arial" w:hAnsi="Arial" w:cs="Arial"/>
          <w:vertAlign w:val="subscript"/>
        </w:rPr>
        <w:t>max</w:t>
      </w:r>
      <w:r w:rsidRPr="00611F34">
        <w:rPr>
          <w:rFonts w:ascii="Arial" w:hAnsi="Arial" w:cs="Arial"/>
        </w:rPr>
        <w:t xml:space="preserve"> of levonorgestrel by 27-41%, and a delay in t</w:t>
      </w:r>
      <w:r w:rsidRPr="00611F34">
        <w:rPr>
          <w:rFonts w:ascii="Arial" w:hAnsi="Arial" w:cs="Arial"/>
          <w:vertAlign w:val="subscript"/>
        </w:rPr>
        <w:t>max</w:t>
      </w:r>
      <w:r w:rsidRPr="00611F34">
        <w:rPr>
          <w:rFonts w:ascii="Arial" w:hAnsi="Arial" w:cs="Arial"/>
        </w:rPr>
        <w:t xml:space="preserve"> by 2-4 h due to delayed gastric emptying. The reduction in C</w:t>
      </w:r>
      <w:r w:rsidRPr="00611F34">
        <w:rPr>
          <w:rFonts w:ascii="Arial" w:hAnsi="Arial" w:cs="Arial"/>
          <w:vertAlign w:val="subscript"/>
        </w:rPr>
        <w:t>max</w:t>
      </w:r>
      <w:r w:rsidRPr="00611F34">
        <w:rPr>
          <w:rFonts w:ascii="Arial" w:hAnsi="Arial" w:cs="Arial"/>
        </w:rPr>
        <w:t xml:space="preserve"> is of limited clinical relevance and no adjustment of dosing of oral contraceptives is required.</w:t>
      </w:r>
    </w:p>
    <w:p w:rsidR="00981229" w:rsidRPr="00611F34" w:rsidRDefault="00981229" w:rsidP="00DA1AEE">
      <w:pPr>
        <w:pStyle w:val="BodyText"/>
        <w:jc w:val="both"/>
        <w:rPr>
          <w:rFonts w:ascii="Arial" w:hAnsi="Arial" w:cs="Arial"/>
        </w:rPr>
      </w:pPr>
    </w:p>
    <w:p w:rsidR="00323C73" w:rsidRPr="00611F34" w:rsidRDefault="00323C73" w:rsidP="002942B7">
      <w:pPr>
        <w:pStyle w:val="Heading3"/>
      </w:pPr>
      <w:r w:rsidRPr="00611F34">
        <w:t>ADVERSE EFFECTS</w:t>
      </w:r>
    </w:p>
    <w:p w:rsidR="0027244C" w:rsidRPr="00611F34" w:rsidRDefault="00323C73" w:rsidP="0027244C">
      <w:pPr>
        <w:rPr>
          <w:rFonts w:ascii="Arial" w:hAnsi="Arial" w:cs="Arial"/>
          <w:b/>
        </w:rPr>
      </w:pPr>
      <w:r w:rsidRPr="00611F34">
        <w:rPr>
          <w:rFonts w:ascii="Arial" w:hAnsi="Arial" w:cs="Arial"/>
        </w:rPr>
        <w:cr/>
      </w:r>
      <w:r w:rsidR="0027244C" w:rsidRPr="00611F34">
        <w:rPr>
          <w:rFonts w:ascii="Arial" w:hAnsi="Arial" w:cs="Arial"/>
          <w:b/>
        </w:rPr>
        <w:t>Summary of the safety profile</w:t>
      </w:r>
    </w:p>
    <w:p w:rsidR="0027244C" w:rsidRPr="00611F34" w:rsidRDefault="0027244C" w:rsidP="0027244C">
      <w:pPr>
        <w:rPr>
          <w:rFonts w:ascii="Arial" w:hAnsi="Arial" w:cs="Arial"/>
        </w:rPr>
      </w:pPr>
      <w:r w:rsidRPr="00611F34">
        <w:rPr>
          <w:rFonts w:ascii="Arial" w:hAnsi="Arial" w:cs="Arial"/>
        </w:rPr>
        <w:t xml:space="preserve">The most common adverse reactions ≥ 5% of </w:t>
      </w:r>
      <w:r w:rsidR="003C2A6B" w:rsidRPr="00611F34">
        <w:rPr>
          <w:rFonts w:ascii="Arial" w:hAnsi="Arial" w:cs="Arial"/>
        </w:rPr>
        <w:t>exenatide</w:t>
      </w:r>
      <w:r w:rsidRPr="00611F34">
        <w:rPr>
          <w:rFonts w:ascii="Arial" w:hAnsi="Arial" w:cs="Arial"/>
        </w:rPr>
        <w:t xml:space="preserve"> treatment were gastrointestinal related (nausea, vomiting, diarrhoea and constipation). The most frequently reported </w:t>
      </w:r>
      <w:r w:rsidRPr="00611F34">
        <w:rPr>
          <w:rFonts w:ascii="Arial" w:hAnsi="Arial" w:cs="Arial"/>
        </w:rPr>
        <w:lastRenderedPageBreak/>
        <w:t xml:space="preserve">adverse reaction was nausea which was associated with the initiation of treatment and decreased over time. In addition, injection site pruritis, hypoglycaemia and headache were common. Most adverse reactions associated with </w:t>
      </w:r>
      <w:r w:rsidR="003C2A6B" w:rsidRPr="00611F34">
        <w:rPr>
          <w:rFonts w:ascii="Arial" w:hAnsi="Arial" w:cs="Arial"/>
        </w:rPr>
        <w:t>exenatide</w:t>
      </w:r>
      <w:r w:rsidRPr="00611F34">
        <w:rPr>
          <w:rFonts w:ascii="Arial" w:hAnsi="Arial" w:cs="Arial"/>
        </w:rPr>
        <w:t xml:space="preserve"> were mild to moderate in intensity.</w:t>
      </w:r>
    </w:p>
    <w:p w:rsidR="0027244C" w:rsidRPr="00611F34" w:rsidRDefault="0027244C" w:rsidP="0027244C">
      <w:pPr>
        <w:rPr>
          <w:sz w:val="22"/>
          <w:szCs w:val="22"/>
        </w:rPr>
      </w:pPr>
    </w:p>
    <w:p w:rsidR="0027244C" w:rsidRPr="00611F34" w:rsidRDefault="0027244C" w:rsidP="0027244C">
      <w:pPr>
        <w:rPr>
          <w:rFonts w:ascii="Arial" w:hAnsi="Arial" w:cs="Arial"/>
        </w:rPr>
      </w:pPr>
      <w:r w:rsidRPr="00611F34">
        <w:rPr>
          <w:rFonts w:ascii="Arial" w:hAnsi="Arial" w:cs="Arial"/>
        </w:rPr>
        <w:t xml:space="preserve">Acute pancreatitis and acute renal failure have been reported rarely since exenatide twice daily has been marketed (see </w:t>
      </w:r>
      <w:r w:rsidRPr="00611F34">
        <w:rPr>
          <w:rFonts w:ascii="Arial" w:hAnsi="Arial" w:cs="Arial"/>
          <w:b/>
        </w:rPr>
        <w:t>PRECAUTIONS</w:t>
      </w:r>
      <w:r w:rsidRPr="00611F34">
        <w:rPr>
          <w:rFonts w:ascii="Arial" w:hAnsi="Arial" w:cs="Arial"/>
        </w:rPr>
        <w:t>).</w:t>
      </w:r>
    </w:p>
    <w:p w:rsidR="0027244C" w:rsidRPr="00611F34" w:rsidRDefault="0027244C" w:rsidP="0027244C">
      <w:pPr>
        <w:keepNext/>
        <w:rPr>
          <w:rFonts w:ascii="Arial" w:hAnsi="Arial" w:cs="Arial"/>
        </w:rPr>
      </w:pPr>
    </w:p>
    <w:p w:rsidR="0027244C" w:rsidRPr="00611F34" w:rsidRDefault="0027244C" w:rsidP="0027244C">
      <w:pPr>
        <w:keepNext/>
        <w:rPr>
          <w:rFonts w:ascii="Arial" w:hAnsi="Arial" w:cs="Arial"/>
          <w:b/>
        </w:rPr>
      </w:pPr>
      <w:r w:rsidRPr="00611F34">
        <w:rPr>
          <w:rFonts w:ascii="Arial" w:hAnsi="Arial" w:cs="Arial"/>
          <w:b/>
        </w:rPr>
        <w:t>Tabulated summary of adverse reactions</w:t>
      </w:r>
    </w:p>
    <w:p w:rsidR="0027244C" w:rsidRPr="00611F34" w:rsidRDefault="0027244C" w:rsidP="0027244C">
      <w:pPr>
        <w:autoSpaceDE w:val="0"/>
        <w:autoSpaceDN w:val="0"/>
        <w:adjustRightInd w:val="0"/>
        <w:rPr>
          <w:rFonts w:ascii="Arial" w:hAnsi="Arial" w:cs="Arial"/>
        </w:rPr>
      </w:pPr>
      <w:r w:rsidRPr="00611F34">
        <w:rPr>
          <w:rFonts w:ascii="Arial" w:hAnsi="Arial" w:cs="Arial"/>
        </w:rPr>
        <w:t xml:space="preserve">The frequency of adverse reactions of </w:t>
      </w:r>
      <w:r w:rsidR="0062507A" w:rsidRPr="00611F34">
        <w:rPr>
          <w:rFonts w:ascii="Arial" w:hAnsi="Arial" w:cs="Arial"/>
        </w:rPr>
        <w:t>2</w:t>
      </w:r>
      <w:r w:rsidR="009E3EE3">
        <w:rPr>
          <w:rFonts w:ascii="Arial" w:hAnsi="Arial" w:cs="Arial"/>
        </w:rPr>
        <w:t xml:space="preserve"> </w:t>
      </w:r>
      <w:r w:rsidR="0062507A" w:rsidRPr="00611F34">
        <w:rPr>
          <w:rFonts w:ascii="Arial" w:hAnsi="Arial" w:cs="Arial"/>
        </w:rPr>
        <w:t xml:space="preserve">mg exenatide once weekly </w:t>
      </w:r>
      <w:r w:rsidRPr="00611F34">
        <w:rPr>
          <w:rFonts w:ascii="Arial" w:hAnsi="Arial" w:cs="Arial"/>
        </w:rPr>
        <w:t xml:space="preserve">and </w:t>
      </w:r>
      <w:r w:rsidR="0062507A" w:rsidRPr="00611F34">
        <w:rPr>
          <w:rFonts w:ascii="Arial" w:hAnsi="Arial" w:cs="Arial"/>
        </w:rPr>
        <w:t xml:space="preserve">10 µg </w:t>
      </w:r>
      <w:r w:rsidRPr="00611F34">
        <w:rPr>
          <w:rFonts w:ascii="Arial" w:hAnsi="Arial" w:cs="Arial"/>
        </w:rPr>
        <w:t xml:space="preserve">exenatide twice daily </w:t>
      </w:r>
      <w:r w:rsidRPr="00611F34">
        <w:rPr>
          <w:rFonts w:ascii="Arial" w:hAnsi="Arial" w:cs="Arial"/>
          <w:lang w:eastAsia="en-GB"/>
        </w:rPr>
        <w:t>with an incidence of ≥ </w:t>
      </w:r>
      <w:r w:rsidR="0062507A" w:rsidRPr="00611F34">
        <w:rPr>
          <w:rFonts w:ascii="Arial" w:hAnsi="Arial" w:cs="Arial"/>
          <w:lang w:eastAsia="en-GB"/>
        </w:rPr>
        <w:t>2</w:t>
      </w:r>
      <w:r w:rsidRPr="00611F34">
        <w:rPr>
          <w:rFonts w:ascii="Arial" w:hAnsi="Arial" w:cs="Arial"/>
          <w:lang w:eastAsia="en-GB"/>
        </w:rPr>
        <w:t xml:space="preserve">% are summarised in the table below. </w:t>
      </w:r>
    </w:p>
    <w:p w:rsidR="0027244C" w:rsidRPr="00611F34" w:rsidRDefault="0027244C" w:rsidP="0027244C">
      <w:pPr>
        <w:rPr>
          <w:rFonts w:ascii="Arial" w:hAnsi="Arial" w:cs="Arial"/>
        </w:rPr>
      </w:pPr>
    </w:p>
    <w:p w:rsidR="0027244C" w:rsidRPr="00611F34" w:rsidRDefault="0027244C" w:rsidP="0027244C">
      <w:pPr>
        <w:rPr>
          <w:rFonts w:ascii="Arial" w:hAnsi="Arial" w:cs="Arial"/>
          <w:lang w:eastAsia="en-GB"/>
        </w:rPr>
      </w:pPr>
      <w:r w:rsidRPr="00611F34">
        <w:rPr>
          <w:rFonts w:ascii="Arial" w:hAnsi="Arial" w:cs="Arial"/>
        </w:rPr>
        <w:t xml:space="preserve">The </w:t>
      </w:r>
      <w:r w:rsidR="0062507A" w:rsidRPr="00611F34">
        <w:rPr>
          <w:rFonts w:ascii="Arial" w:hAnsi="Arial" w:cs="Arial"/>
        </w:rPr>
        <w:t>tabulation summarises event data from</w:t>
      </w:r>
      <w:r w:rsidR="009E3EE3">
        <w:rPr>
          <w:rFonts w:ascii="Arial" w:hAnsi="Arial" w:cs="Arial"/>
        </w:rPr>
        <w:t xml:space="preserve"> </w:t>
      </w:r>
      <w:r w:rsidR="002075CB">
        <w:rPr>
          <w:rFonts w:ascii="Arial" w:hAnsi="Arial" w:cs="Arial"/>
        </w:rPr>
        <w:t>5</w:t>
      </w:r>
      <w:r w:rsidR="002075CB" w:rsidRPr="00611F34">
        <w:rPr>
          <w:rFonts w:ascii="Arial" w:hAnsi="Arial" w:cs="Arial"/>
        </w:rPr>
        <w:t xml:space="preserve"> </w:t>
      </w:r>
      <w:r w:rsidRPr="00611F34">
        <w:rPr>
          <w:rFonts w:ascii="Arial" w:hAnsi="Arial" w:cs="Arial"/>
        </w:rPr>
        <w:t xml:space="preserve">trials </w:t>
      </w:r>
      <w:r w:rsidRPr="00611F34">
        <w:rPr>
          <w:rFonts w:ascii="Arial" w:hAnsi="Arial" w:cs="Arial"/>
          <w:iCs/>
        </w:rPr>
        <w:t xml:space="preserve">comparing </w:t>
      </w:r>
      <w:r w:rsidR="0062507A" w:rsidRPr="00611F34">
        <w:rPr>
          <w:rFonts w:ascii="Arial" w:hAnsi="Arial" w:cs="Arial"/>
          <w:iCs/>
        </w:rPr>
        <w:t>2</w:t>
      </w:r>
      <w:r w:rsidR="009E3EE3">
        <w:rPr>
          <w:rFonts w:ascii="Arial" w:hAnsi="Arial" w:cs="Arial"/>
          <w:iCs/>
        </w:rPr>
        <w:t xml:space="preserve"> </w:t>
      </w:r>
      <w:r w:rsidR="0062507A" w:rsidRPr="00611F34">
        <w:rPr>
          <w:rFonts w:ascii="Arial" w:hAnsi="Arial" w:cs="Arial"/>
          <w:iCs/>
        </w:rPr>
        <w:t xml:space="preserve">mg exenatide once weekly </w:t>
      </w:r>
      <w:r w:rsidRPr="00611F34">
        <w:rPr>
          <w:rFonts w:ascii="Arial" w:hAnsi="Arial" w:cs="Arial"/>
          <w:iCs/>
        </w:rPr>
        <w:t xml:space="preserve">to either </w:t>
      </w:r>
      <w:r w:rsidR="0062507A" w:rsidRPr="00611F34">
        <w:rPr>
          <w:rFonts w:ascii="Arial" w:hAnsi="Arial" w:cs="Arial"/>
        </w:rPr>
        <w:t xml:space="preserve">10 µg </w:t>
      </w:r>
      <w:r w:rsidRPr="00611F34">
        <w:rPr>
          <w:rFonts w:ascii="Arial" w:hAnsi="Arial" w:cs="Arial"/>
          <w:iCs/>
        </w:rPr>
        <w:t>exenatide twice daily</w:t>
      </w:r>
      <w:r w:rsidRPr="00611F34">
        <w:rPr>
          <w:rFonts w:ascii="Arial" w:hAnsi="Arial" w:cs="Arial"/>
          <w:i/>
          <w:iCs/>
        </w:rPr>
        <w:t xml:space="preserve"> </w:t>
      </w:r>
      <w:r w:rsidRPr="00611F34">
        <w:rPr>
          <w:rFonts w:ascii="Arial" w:hAnsi="Arial" w:cs="Arial"/>
        </w:rPr>
        <w:t>(a 30 week study), sitagliptin and pioglitazone (a 26 week study)</w:t>
      </w:r>
      <w:r w:rsidR="00CD286D" w:rsidRPr="00611F34">
        <w:rPr>
          <w:rFonts w:ascii="Arial" w:hAnsi="Arial" w:cs="Arial"/>
        </w:rPr>
        <w:t>,</w:t>
      </w:r>
      <w:r w:rsidRPr="00611F34">
        <w:rPr>
          <w:rFonts w:ascii="Arial" w:hAnsi="Arial" w:cs="Arial"/>
        </w:rPr>
        <w:t xml:space="preserve"> and insulin glargine (a 26 week study). Background therapies included diet and exercise, metformin, a </w:t>
      </w:r>
      <w:r w:rsidR="005834C3" w:rsidRPr="00611F34">
        <w:rPr>
          <w:rFonts w:ascii="Arial" w:hAnsi="Arial" w:cs="Arial"/>
        </w:rPr>
        <w:t>sulfonylurea</w:t>
      </w:r>
      <w:r w:rsidRPr="00611F34">
        <w:rPr>
          <w:rFonts w:ascii="Arial" w:hAnsi="Arial" w:cs="Arial"/>
        </w:rPr>
        <w:t xml:space="preserve"> or a combination of oral anti-diabetic agents. </w:t>
      </w:r>
    </w:p>
    <w:p w:rsidR="0027244C" w:rsidRPr="00611F34" w:rsidRDefault="0027244C" w:rsidP="0027244C">
      <w:pPr>
        <w:rPr>
          <w:rFonts w:asciiTheme="minorHAnsi" w:hAnsiTheme="minorHAnsi"/>
        </w:rPr>
      </w:pPr>
    </w:p>
    <w:p w:rsidR="00323C73" w:rsidRPr="00611F34" w:rsidRDefault="00323C73" w:rsidP="00C507AC">
      <w:pPr>
        <w:jc w:val="center"/>
        <w:rPr>
          <w:rFonts w:ascii="Arial" w:hAnsi="Arial" w:cs="Arial"/>
          <w:b/>
          <w:sz w:val="22"/>
          <w:szCs w:val="22"/>
        </w:rPr>
      </w:pPr>
      <w:r w:rsidRPr="00611F34">
        <w:rPr>
          <w:rFonts w:ascii="Arial" w:hAnsi="Arial" w:cs="Arial"/>
          <w:b/>
          <w:sz w:val="22"/>
          <w:szCs w:val="22"/>
        </w:rPr>
        <w:t xml:space="preserve">Table </w:t>
      </w:r>
      <w:r w:rsidR="00316671">
        <w:rPr>
          <w:rFonts w:ascii="Arial" w:hAnsi="Arial" w:cs="Arial"/>
          <w:b/>
          <w:sz w:val="22"/>
          <w:szCs w:val="22"/>
        </w:rPr>
        <w:t>4</w:t>
      </w:r>
      <w:r w:rsidRPr="00611F34">
        <w:rPr>
          <w:rFonts w:ascii="Arial" w:hAnsi="Arial" w:cs="Arial"/>
          <w:b/>
          <w:sz w:val="22"/>
          <w:szCs w:val="22"/>
        </w:rPr>
        <w:t xml:space="preserve">: </w:t>
      </w:r>
      <w:r w:rsidR="00905F50" w:rsidRPr="00611F34">
        <w:rPr>
          <w:rFonts w:ascii="Arial" w:hAnsi="Arial" w:cs="Arial"/>
          <w:b/>
          <w:sz w:val="22"/>
          <w:szCs w:val="22"/>
        </w:rPr>
        <w:t xml:space="preserve">Summary of Treatment Emergent </w:t>
      </w:r>
      <w:r w:rsidRPr="00611F34">
        <w:rPr>
          <w:rFonts w:ascii="Arial" w:hAnsi="Arial" w:cs="Arial"/>
          <w:b/>
          <w:sz w:val="22"/>
          <w:szCs w:val="22"/>
        </w:rPr>
        <w:t xml:space="preserve">Adverse </w:t>
      </w:r>
      <w:r w:rsidR="00905F50" w:rsidRPr="00611F34">
        <w:rPr>
          <w:rFonts w:ascii="Arial" w:hAnsi="Arial" w:cs="Arial"/>
          <w:b/>
          <w:sz w:val="22"/>
          <w:szCs w:val="22"/>
        </w:rPr>
        <w:t xml:space="preserve">Events </w:t>
      </w:r>
      <w:r w:rsidRPr="00611F34">
        <w:rPr>
          <w:rFonts w:ascii="Arial" w:hAnsi="Arial" w:cs="Arial"/>
          <w:b/>
          <w:sz w:val="22"/>
          <w:szCs w:val="22"/>
        </w:rPr>
        <w:t xml:space="preserve">Reported in </w:t>
      </w:r>
      <w:r w:rsidR="00905F50" w:rsidRPr="00611F34">
        <w:rPr>
          <w:rFonts w:ascii="Arial" w:hAnsi="Arial" w:cs="Arial"/>
          <w:b/>
          <w:sz w:val="22"/>
          <w:szCs w:val="22"/>
        </w:rPr>
        <w:t>≥2% Exenatide Treated Patients (</w:t>
      </w:r>
      <w:r w:rsidR="009E3EE3">
        <w:rPr>
          <w:rFonts w:ascii="Arial" w:hAnsi="Arial" w:cs="Arial"/>
          <w:b/>
          <w:sz w:val="22"/>
          <w:szCs w:val="22"/>
        </w:rPr>
        <w:t xml:space="preserve">2 mg </w:t>
      </w:r>
      <w:r w:rsidR="00905F50" w:rsidRPr="00611F34">
        <w:rPr>
          <w:rFonts w:ascii="Arial" w:hAnsi="Arial" w:cs="Arial"/>
          <w:b/>
          <w:sz w:val="22"/>
          <w:szCs w:val="22"/>
        </w:rPr>
        <w:t xml:space="preserve">Once Weekly or </w:t>
      </w:r>
      <w:r w:rsidR="009E3EE3" w:rsidRPr="009E3EE3">
        <w:rPr>
          <w:rFonts w:ascii="Arial" w:hAnsi="Arial" w:cs="Arial"/>
          <w:b/>
          <w:sz w:val="22"/>
          <w:szCs w:val="22"/>
        </w:rPr>
        <w:t xml:space="preserve">10 </w:t>
      </w:r>
      <w:r w:rsidR="009E3EE3" w:rsidRPr="009E3EE3">
        <w:rPr>
          <w:rFonts w:ascii="Arial" w:hAnsi="Arial" w:cs="Arial"/>
          <w:b/>
        </w:rPr>
        <w:t>µg</w:t>
      </w:r>
      <w:r w:rsidR="009E3EE3" w:rsidRPr="00611F34">
        <w:rPr>
          <w:rFonts w:ascii="Arial" w:hAnsi="Arial" w:cs="Arial"/>
          <w:b/>
          <w:sz w:val="22"/>
          <w:szCs w:val="22"/>
        </w:rPr>
        <w:t xml:space="preserve"> </w:t>
      </w:r>
      <w:r w:rsidR="00905F50" w:rsidRPr="00611F34">
        <w:rPr>
          <w:rFonts w:ascii="Arial" w:hAnsi="Arial" w:cs="Arial"/>
          <w:b/>
          <w:sz w:val="22"/>
          <w:szCs w:val="22"/>
        </w:rPr>
        <w:t>Twice Daily)</w:t>
      </w:r>
      <w:r w:rsidR="00CD286D" w:rsidRPr="00611F34">
        <w:rPr>
          <w:rFonts w:ascii="Arial" w:hAnsi="Arial" w:cs="Arial"/>
          <w:b/>
          <w:sz w:val="22"/>
          <w:szCs w:val="22"/>
        </w:rPr>
        <w:t>,</w:t>
      </w:r>
      <w:r w:rsidR="00F53320" w:rsidRPr="00611F34">
        <w:rPr>
          <w:rFonts w:ascii="Arial" w:hAnsi="Arial" w:cs="Arial"/>
          <w:b/>
          <w:sz w:val="22"/>
          <w:szCs w:val="22"/>
        </w:rPr>
        <w:t xml:space="preserve"> </w:t>
      </w:r>
      <w:r w:rsidRPr="00611F34">
        <w:rPr>
          <w:rFonts w:ascii="Arial" w:hAnsi="Arial" w:cs="Arial"/>
          <w:b/>
          <w:sz w:val="22"/>
          <w:szCs w:val="22"/>
        </w:rPr>
        <w:t>Active Comparator-Controlled Studies</w:t>
      </w:r>
      <w:r w:rsidR="00905F50" w:rsidRPr="00611F34">
        <w:rPr>
          <w:rFonts w:ascii="Arial" w:hAnsi="Arial" w:cs="Arial"/>
          <w:b/>
          <w:sz w:val="22"/>
          <w:szCs w:val="22"/>
        </w:rPr>
        <w:t xml:space="preserve"> (intent to treat patients)</w:t>
      </w:r>
    </w:p>
    <w:p w:rsidR="00905F50" w:rsidRPr="00611F34" w:rsidRDefault="00905F50" w:rsidP="0027244C">
      <w:pPr>
        <w:jc w:val="both"/>
        <w:rPr>
          <w:rFonts w:ascii="Arial" w:hAnsi="Arial" w:cs="Arial"/>
          <w:b/>
          <w:sz w:val="22"/>
          <w:szCs w:val="22"/>
        </w:rPr>
      </w:pPr>
    </w:p>
    <w:tbl>
      <w:tblPr>
        <w:tblStyle w:val="TableGrid"/>
        <w:tblW w:w="0" w:type="auto"/>
        <w:tblLook w:val="04A0"/>
      </w:tblPr>
      <w:tblGrid>
        <w:gridCol w:w="2845"/>
        <w:gridCol w:w="1304"/>
        <w:gridCol w:w="1305"/>
        <w:gridCol w:w="1352"/>
        <w:gridCol w:w="1305"/>
        <w:gridCol w:w="1301"/>
      </w:tblGrid>
      <w:tr w:rsidR="00CD286D" w:rsidRPr="00BE3A8F" w:rsidTr="007743D9">
        <w:trPr>
          <w:tblHeader/>
        </w:trPr>
        <w:tc>
          <w:tcPr>
            <w:tcW w:w="2863" w:type="dxa"/>
            <w:tcMar>
              <w:left w:w="28" w:type="dxa"/>
              <w:right w:w="28" w:type="dxa"/>
            </w:tcMar>
          </w:tcPr>
          <w:p w:rsidR="00F53320" w:rsidRPr="00BE3A8F" w:rsidRDefault="00CD286D" w:rsidP="00CD286D">
            <w:pPr>
              <w:jc w:val="center"/>
              <w:rPr>
                <w:rFonts w:ascii="Arial" w:hAnsi="Arial" w:cs="Arial"/>
                <w:b/>
                <w:sz w:val="22"/>
                <w:szCs w:val="22"/>
              </w:rPr>
            </w:pPr>
            <w:r w:rsidRPr="00BE3A8F">
              <w:rPr>
                <w:rFonts w:ascii="Arial" w:hAnsi="Arial" w:cs="Arial"/>
                <w:b/>
                <w:sz w:val="22"/>
                <w:szCs w:val="22"/>
              </w:rPr>
              <w:t>System Organ Class</w:t>
            </w:r>
          </w:p>
          <w:p w:rsidR="00CD286D" w:rsidRPr="00BE3A8F" w:rsidRDefault="00CD286D" w:rsidP="00CD286D">
            <w:pPr>
              <w:jc w:val="center"/>
              <w:rPr>
                <w:rFonts w:ascii="Arial" w:hAnsi="Arial" w:cs="Arial"/>
                <w:b/>
                <w:sz w:val="22"/>
                <w:szCs w:val="22"/>
              </w:rPr>
            </w:pPr>
            <w:r w:rsidRPr="00BE3A8F">
              <w:rPr>
                <w:rFonts w:ascii="Arial" w:hAnsi="Arial" w:cs="Arial"/>
                <w:b/>
                <w:sz w:val="22"/>
                <w:szCs w:val="22"/>
              </w:rPr>
              <w:t>Preferred Term</w:t>
            </w:r>
          </w:p>
        </w:tc>
        <w:tc>
          <w:tcPr>
            <w:tcW w:w="1309" w:type="dxa"/>
            <w:tcMar>
              <w:left w:w="28" w:type="dxa"/>
              <w:right w:w="28" w:type="dxa"/>
            </w:tcMar>
          </w:tcPr>
          <w:p w:rsidR="00CD286D" w:rsidRPr="00BE3A8F" w:rsidRDefault="00CD286D" w:rsidP="00CD286D">
            <w:pPr>
              <w:jc w:val="center"/>
              <w:rPr>
                <w:rFonts w:ascii="Arial" w:hAnsi="Arial" w:cs="Arial"/>
                <w:b/>
                <w:sz w:val="22"/>
                <w:szCs w:val="22"/>
              </w:rPr>
            </w:pPr>
            <w:r w:rsidRPr="00BE3A8F">
              <w:rPr>
                <w:rFonts w:ascii="Arial" w:hAnsi="Arial" w:cs="Arial"/>
                <w:b/>
                <w:sz w:val="22"/>
                <w:szCs w:val="22"/>
              </w:rPr>
              <w:t>Exenatide</w:t>
            </w:r>
          </w:p>
          <w:p w:rsidR="00F53320" w:rsidRPr="00BE3A8F" w:rsidRDefault="00CD286D" w:rsidP="00CD286D">
            <w:pPr>
              <w:jc w:val="center"/>
              <w:rPr>
                <w:rFonts w:ascii="Arial" w:hAnsi="Arial" w:cs="Arial"/>
                <w:b/>
                <w:sz w:val="22"/>
                <w:szCs w:val="22"/>
              </w:rPr>
            </w:pPr>
            <w:r w:rsidRPr="00BE3A8F">
              <w:rPr>
                <w:rFonts w:ascii="Arial" w:hAnsi="Arial" w:cs="Arial"/>
                <w:b/>
                <w:sz w:val="22"/>
                <w:szCs w:val="22"/>
              </w:rPr>
              <w:t>QW</w:t>
            </w:r>
          </w:p>
          <w:p w:rsidR="00781C35" w:rsidRPr="00BE3A8F" w:rsidRDefault="00781C35" w:rsidP="00CD286D">
            <w:pPr>
              <w:jc w:val="center"/>
              <w:rPr>
                <w:rFonts w:ascii="Arial" w:hAnsi="Arial" w:cs="Arial"/>
                <w:b/>
                <w:sz w:val="22"/>
                <w:szCs w:val="22"/>
              </w:rPr>
            </w:pPr>
            <w:r w:rsidRPr="00BE3A8F">
              <w:rPr>
                <w:rFonts w:ascii="Arial" w:hAnsi="Arial" w:cs="Arial"/>
                <w:b/>
                <w:sz w:val="22"/>
                <w:szCs w:val="22"/>
              </w:rPr>
              <w:t>N=592 (%)</w:t>
            </w:r>
          </w:p>
        </w:tc>
        <w:tc>
          <w:tcPr>
            <w:tcW w:w="1310" w:type="dxa"/>
            <w:tcMar>
              <w:left w:w="28" w:type="dxa"/>
              <w:right w:w="28" w:type="dxa"/>
            </w:tcMar>
          </w:tcPr>
          <w:p w:rsidR="00CD286D" w:rsidRPr="00BE3A8F" w:rsidRDefault="00CD286D" w:rsidP="00CD286D">
            <w:pPr>
              <w:jc w:val="center"/>
              <w:rPr>
                <w:rFonts w:ascii="Arial" w:hAnsi="Arial" w:cs="Arial"/>
                <w:b/>
                <w:sz w:val="22"/>
                <w:szCs w:val="22"/>
              </w:rPr>
            </w:pPr>
            <w:r w:rsidRPr="00BE3A8F">
              <w:rPr>
                <w:rFonts w:ascii="Arial" w:hAnsi="Arial" w:cs="Arial"/>
                <w:b/>
                <w:sz w:val="22"/>
                <w:szCs w:val="22"/>
              </w:rPr>
              <w:t>Exenatide</w:t>
            </w:r>
          </w:p>
          <w:p w:rsidR="00F53320" w:rsidRPr="00BE3A8F" w:rsidRDefault="00CD286D" w:rsidP="00CD286D">
            <w:pPr>
              <w:jc w:val="center"/>
              <w:rPr>
                <w:rFonts w:ascii="Arial" w:hAnsi="Arial" w:cs="Arial"/>
                <w:b/>
                <w:sz w:val="22"/>
                <w:szCs w:val="22"/>
              </w:rPr>
            </w:pPr>
            <w:r w:rsidRPr="00BE3A8F">
              <w:rPr>
                <w:rFonts w:ascii="Arial" w:hAnsi="Arial" w:cs="Arial"/>
                <w:b/>
                <w:sz w:val="22"/>
                <w:szCs w:val="22"/>
              </w:rPr>
              <w:t>BID</w:t>
            </w:r>
          </w:p>
          <w:p w:rsidR="00781C35" w:rsidRPr="00BE3A8F" w:rsidRDefault="00781C35" w:rsidP="00CD286D">
            <w:pPr>
              <w:jc w:val="center"/>
              <w:rPr>
                <w:rFonts w:ascii="Arial" w:hAnsi="Arial" w:cs="Arial"/>
                <w:b/>
                <w:sz w:val="22"/>
                <w:szCs w:val="22"/>
              </w:rPr>
            </w:pPr>
            <w:r w:rsidRPr="00BE3A8F">
              <w:rPr>
                <w:rFonts w:ascii="Arial" w:hAnsi="Arial" w:cs="Arial"/>
                <w:b/>
                <w:sz w:val="22"/>
                <w:szCs w:val="22"/>
              </w:rPr>
              <w:t>N=145 (%)</w:t>
            </w:r>
          </w:p>
        </w:tc>
        <w:tc>
          <w:tcPr>
            <w:tcW w:w="1310" w:type="dxa"/>
            <w:tcMar>
              <w:left w:w="28" w:type="dxa"/>
              <w:right w:w="28" w:type="dxa"/>
            </w:tcMar>
          </w:tcPr>
          <w:p w:rsidR="00F53320" w:rsidRPr="00BE3A8F" w:rsidRDefault="00CD286D" w:rsidP="00CD286D">
            <w:pPr>
              <w:jc w:val="center"/>
              <w:rPr>
                <w:rFonts w:ascii="Arial" w:hAnsi="Arial" w:cs="Arial"/>
                <w:b/>
                <w:sz w:val="22"/>
                <w:szCs w:val="22"/>
              </w:rPr>
            </w:pPr>
            <w:r w:rsidRPr="00BE3A8F">
              <w:rPr>
                <w:rFonts w:ascii="Arial" w:hAnsi="Arial" w:cs="Arial"/>
                <w:b/>
                <w:sz w:val="22"/>
                <w:szCs w:val="22"/>
              </w:rPr>
              <w:t>Pioglitazone</w:t>
            </w:r>
          </w:p>
          <w:p w:rsidR="00781C35" w:rsidRPr="00BE3A8F" w:rsidRDefault="00781C35" w:rsidP="00CD286D">
            <w:pPr>
              <w:jc w:val="center"/>
              <w:rPr>
                <w:rFonts w:ascii="Arial" w:hAnsi="Arial" w:cs="Arial"/>
                <w:b/>
                <w:sz w:val="22"/>
                <w:szCs w:val="22"/>
              </w:rPr>
            </w:pPr>
          </w:p>
          <w:p w:rsidR="00781C35" w:rsidRPr="00BE3A8F" w:rsidRDefault="00781C35" w:rsidP="00CD286D">
            <w:pPr>
              <w:jc w:val="center"/>
              <w:rPr>
                <w:rFonts w:ascii="Arial" w:hAnsi="Arial" w:cs="Arial"/>
                <w:b/>
                <w:sz w:val="22"/>
                <w:szCs w:val="22"/>
              </w:rPr>
            </w:pPr>
            <w:r w:rsidRPr="00BE3A8F">
              <w:rPr>
                <w:rFonts w:ascii="Arial" w:hAnsi="Arial" w:cs="Arial"/>
                <w:b/>
                <w:sz w:val="22"/>
                <w:szCs w:val="22"/>
              </w:rPr>
              <w:t>N=165 (%)</w:t>
            </w:r>
          </w:p>
        </w:tc>
        <w:tc>
          <w:tcPr>
            <w:tcW w:w="1310" w:type="dxa"/>
            <w:tcMar>
              <w:left w:w="28" w:type="dxa"/>
              <w:right w:w="28" w:type="dxa"/>
            </w:tcMar>
          </w:tcPr>
          <w:p w:rsidR="00F53320" w:rsidRPr="00BE3A8F" w:rsidRDefault="00CD286D" w:rsidP="00CD286D">
            <w:pPr>
              <w:jc w:val="center"/>
              <w:rPr>
                <w:rFonts w:ascii="Arial" w:hAnsi="Arial" w:cs="Arial"/>
                <w:b/>
                <w:sz w:val="22"/>
                <w:szCs w:val="22"/>
              </w:rPr>
            </w:pPr>
            <w:r w:rsidRPr="00BE3A8F">
              <w:rPr>
                <w:rFonts w:ascii="Arial" w:hAnsi="Arial" w:cs="Arial"/>
                <w:b/>
                <w:sz w:val="22"/>
                <w:szCs w:val="22"/>
              </w:rPr>
              <w:t>Sitagliptin</w:t>
            </w:r>
          </w:p>
          <w:p w:rsidR="00781C35" w:rsidRPr="00BE3A8F" w:rsidRDefault="00781C35" w:rsidP="00CD286D">
            <w:pPr>
              <w:jc w:val="center"/>
              <w:rPr>
                <w:rFonts w:ascii="Arial" w:hAnsi="Arial" w:cs="Arial"/>
                <w:b/>
                <w:sz w:val="22"/>
                <w:szCs w:val="22"/>
              </w:rPr>
            </w:pPr>
          </w:p>
          <w:p w:rsidR="00781C35" w:rsidRPr="00BE3A8F" w:rsidRDefault="00781C35" w:rsidP="00CD286D">
            <w:pPr>
              <w:jc w:val="center"/>
              <w:rPr>
                <w:rFonts w:ascii="Arial" w:hAnsi="Arial" w:cs="Arial"/>
                <w:b/>
                <w:sz w:val="22"/>
                <w:szCs w:val="22"/>
              </w:rPr>
            </w:pPr>
            <w:r w:rsidRPr="00BE3A8F">
              <w:rPr>
                <w:rFonts w:ascii="Arial" w:hAnsi="Arial" w:cs="Arial"/>
                <w:b/>
                <w:sz w:val="22"/>
                <w:szCs w:val="22"/>
              </w:rPr>
              <w:t>N=166 (%)</w:t>
            </w:r>
          </w:p>
        </w:tc>
        <w:tc>
          <w:tcPr>
            <w:tcW w:w="1310" w:type="dxa"/>
            <w:tcMar>
              <w:left w:w="28" w:type="dxa"/>
              <w:right w:w="28" w:type="dxa"/>
            </w:tcMar>
          </w:tcPr>
          <w:p w:rsidR="00F53320" w:rsidRPr="00BE3A8F" w:rsidRDefault="00CD286D" w:rsidP="00CD286D">
            <w:pPr>
              <w:jc w:val="center"/>
              <w:rPr>
                <w:rFonts w:ascii="Arial" w:hAnsi="Arial" w:cs="Arial"/>
                <w:b/>
                <w:sz w:val="22"/>
                <w:szCs w:val="22"/>
              </w:rPr>
            </w:pPr>
            <w:r w:rsidRPr="00BE3A8F">
              <w:rPr>
                <w:rFonts w:ascii="Arial" w:hAnsi="Arial" w:cs="Arial"/>
                <w:b/>
                <w:sz w:val="22"/>
                <w:szCs w:val="22"/>
              </w:rPr>
              <w:t>Insulin Glargine</w:t>
            </w:r>
          </w:p>
          <w:p w:rsidR="00781C35" w:rsidRPr="00BE3A8F" w:rsidRDefault="00781C35" w:rsidP="00CD286D">
            <w:pPr>
              <w:jc w:val="center"/>
              <w:rPr>
                <w:rFonts w:ascii="Arial" w:hAnsi="Arial" w:cs="Arial"/>
                <w:b/>
                <w:sz w:val="22"/>
                <w:szCs w:val="22"/>
              </w:rPr>
            </w:pPr>
            <w:r w:rsidRPr="00BE3A8F">
              <w:rPr>
                <w:rFonts w:ascii="Arial" w:hAnsi="Arial" w:cs="Arial"/>
                <w:b/>
                <w:sz w:val="22"/>
                <w:szCs w:val="22"/>
              </w:rPr>
              <w:t>N=223 (%)</w:t>
            </w:r>
          </w:p>
        </w:tc>
      </w:tr>
      <w:tr w:rsidR="005A671C" w:rsidRPr="00BE3A8F" w:rsidTr="005A671C">
        <w:tc>
          <w:tcPr>
            <w:tcW w:w="9412" w:type="dxa"/>
            <w:gridSpan w:val="6"/>
            <w:tcMar>
              <w:left w:w="28" w:type="dxa"/>
              <w:right w:w="28" w:type="dxa"/>
            </w:tcMar>
          </w:tcPr>
          <w:p w:rsidR="005A671C" w:rsidRPr="00BE3A8F" w:rsidRDefault="005A671C" w:rsidP="0027244C">
            <w:pPr>
              <w:jc w:val="both"/>
              <w:rPr>
                <w:rFonts w:ascii="Arial" w:hAnsi="Arial" w:cs="Arial"/>
                <w:sz w:val="22"/>
                <w:szCs w:val="22"/>
              </w:rPr>
            </w:pPr>
            <w:r w:rsidRPr="00BE3A8F">
              <w:rPr>
                <w:rFonts w:ascii="Arial" w:hAnsi="Arial" w:cs="Arial"/>
                <w:sz w:val="22"/>
                <w:szCs w:val="22"/>
              </w:rPr>
              <w:t>Gastrointestinal Disorders</w:t>
            </w:r>
          </w:p>
        </w:tc>
      </w:tr>
      <w:tr w:rsidR="00CD286D" w:rsidRPr="00BE3A8F" w:rsidTr="00BD59B8">
        <w:tc>
          <w:tcPr>
            <w:tcW w:w="2863" w:type="dxa"/>
            <w:tcMar>
              <w:left w:w="28" w:type="dxa"/>
              <w:right w:w="28" w:type="dxa"/>
            </w:tcMar>
          </w:tcPr>
          <w:p w:rsidR="00F53320" w:rsidRPr="00BE3A8F" w:rsidRDefault="00CD286D" w:rsidP="00CD286D">
            <w:pPr>
              <w:ind w:left="142"/>
              <w:jc w:val="both"/>
              <w:rPr>
                <w:rFonts w:ascii="Arial" w:hAnsi="Arial" w:cs="Arial"/>
                <w:sz w:val="22"/>
                <w:szCs w:val="22"/>
              </w:rPr>
            </w:pPr>
            <w:r w:rsidRPr="00BE3A8F">
              <w:rPr>
                <w:rFonts w:ascii="Arial" w:hAnsi="Arial" w:cs="Arial"/>
                <w:sz w:val="22"/>
                <w:szCs w:val="22"/>
              </w:rPr>
              <w:t>Nausea</w:t>
            </w:r>
          </w:p>
        </w:tc>
        <w:tc>
          <w:tcPr>
            <w:tcW w:w="1309"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118 (20)</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50 (34)</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8 (5)</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16 (10)</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4 (2)</w:t>
            </w:r>
          </w:p>
        </w:tc>
      </w:tr>
      <w:tr w:rsidR="00CD286D" w:rsidRPr="00BE3A8F" w:rsidTr="00BD59B8">
        <w:tc>
          <w:tcPr>
            <w:tcW w:w="2863" w:type="dxa"/>
            <w:tcMar>
              <w:left w:w="28" w:type="dxa"/>
              <w:right w:w="28" w:type="dxa"/>
            </w:tcMar>
          </w:tcPr>
          <w:p w:rsidR="00F53320" w:rsidRPr="00BE3A8F" w:rsidRDefault="00CD286D" w:rsidP="00CD286D">
            <w:pPr>
              <w:ind w:left="142"/>
              <w:jc w:val="both"/>
              <w:rPr>
                <w:rFonts w:ascii="Arial" w:hAnsi="Arial" w:cs="Arial"/>
                <w:sz w:val="22"/>
                <w:szCs w:val="22"/>
              </w:rPr>
            </w:pPr>
            <w:r w:rsidRPr="00BE3A8F">
              <w:rPr>
                <w:rFonts w:ascii="Arial" w:hAnsi="Arial" w:cs="Arial"/>
                <w:sz w:val="22"/>
                <w:szCs w:val="22"/>
              </w:rPr>
              <w:t>Diarrhoea</w:t>
            </w:r>
          </w:p>
        </w:tc>
        <w:tc>
          <w:tcPr>
            <w:tcW w:w="1309"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76 (13)</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19 (13)</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12 (7)</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16 (10)</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8 (4)</w:t>
            </w:r>
          </w:p>
        </w:tc>
      </w:tr>
      <w:tr w:rsidR="00CD286D" w:rsidRPr="00BE3A8F" w:rsidTr="00BD59B8">
        <w:tc>
          <w:tcPr>
            <w:tcW w:w="2863" w:type="dxa"/>
            <w:tcMar>
              <w:left w:w="28" w:type="dxa"/>
              <w:right w:w="28" w:type="dxa"/>
            </w:tcMar>
          </w:tcPr>
          <w:p w:rsidR="00F53320" w:rsidRPr="00BE3A8F" w:rsidRDefault="00CD286D" w:rsidP="00CD286D">
            <w:pPr>
              <w:ind w:left="142"/>
              <w:jc w:val="both"/>
              <w:rPr>
                <w:rFonts w:ascii="Arial" w:hAnsi="Arial" w:cs="Arial"/>
                <w:sz w:val="22"/>
                <w:szCs w:val="22"/>
              </w:rPr>
            </w:pPr>
            <w:r w:rsidRPr="00BE3A8F">
              <w:rPr>
                <w:rFonts w:ascii="Arial" w:hAnsi="Arial" w:cs="Arial"/>
                <w:sz w:val="22"/>
                <w:szCs w:val="22"/>
              </w:rPr>
              <w:t>Vomiting</w:t>
            </w:r>
          </w:p>
        </w:tc>
        <w:tc>
          <w:tcPr>
            <w:tcW w:w="1309"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46 (8)</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27 (19)</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5 (3)</w:t>
            </w:r>
          </w:p>
        </w:tc>
        <w:tc>
          <w:tcPr>
            <w:tcW w:w="1310" w:type="dxa"/>
            <w:tcMar>
              <w:left w:w="28" w:type="dxa"/>
              <w:right w:w="28" w:type="dxa"/>
            </w:tcMar>
            <w:vAlign w:val="center"/>
          </w:tcPr>
          <w:p w:rsidR="00F53320" w:rsidRPr="00BE3A8F" w:rsidRDefault="00CD286D" w:rsidP="00BD59B8">
            <w:pPr>
              <w:jc w:val="center"/>
              <w:rPr>
                <w:rFonts w:ascii="Arial" w:hAnsi="Arial" w:cs="Arial"/>
                <w:sz w:val="22"/>
                <w:szCs w:val="22"/>
              </w:rPr>
            </w:pPr>
            <w:r w:rsidRPr="00BE3A8F">
              <w:rPr>
                <w:rFonts w:ascii="Arial" w:hAnsi="Arial" w:cs="Arial"/>
                <w:sz w:val="22"/>
                <w:szCs w:val="22"/>
              </w:rPr>
              <w:t>4 (2)</w:t>
            </w:r>
          </w:p>
        </w:tc>
        <w:tc>
          <w:tcPr>
            <w:tcW w:w="1310" w:type="dxa"/>
            <w:tcMar>
              <w:left w:w="28" w:type="dxa"/>
              <w:right w:w="28" w:type="dxa"/>
            </w:tcMar>
            <w:vAlign w:val="center"/>
          </w:tcPr>
          <w:p w:rsidR="00F53320" w:rsidRPr="00BE3A8F" w:rsidRDefault="00673A13" w:rsidP="00BD59B8">
            <w:pPr>
              <w:jc w:val="center"/>
              <w:rPr>
                <w:rFonts w:ascii="Arial" w:hAnsi="Arial" w:cs="Arial"/>
                <w:sz w:val="22"/>
                <w:szCs w:val="22"/>
              </w:rPr>
            </w:pPr>
            <w:r w:rsidRPr="00BE3A8F">
              <w:rPr>
                <w:rFonts w:ascii="Arial" w:hAnsi="Arial" w:cs="Arial"/>
                <w:sz w:val="22"/>
                <w:szCs w:val="22"/>
              </w:rPr>
              <w:t>3 (1)</w:t>
            </w:r>
          </w:p>
        </w:tc>
      </w:tr>
      <w:tr w:rsidR="00CD286D" w:rsidRPr="00BE3A8F" w:rsidTr="00BD59B8">
        <w:tc>
          <w:tcPr>
            <w:tcW w:w="2863" w:type="dxa"/>
            <w:tcMar>
              <w:left w:w="28" w:type="dxa"/>
              <w:right w:w="28" w:type="dxa"/>
            </w:tcMar>
          </w:tcPr>
          <w:p w:rsidR="00F53320" w:rsidRPr="00BE3A8F" w:rsidRDefault="00673A13" w:rsidP="00CD286D">
            <w:pPr>
              <w:ind w:left="142"/>
              <w:jc w:val="both"/>
              <w:rPr>
                <w:rFonts w:ascii="Arial" w:hAnsi="Arial" w:cs="Arial"/>
                <w:sz w:val="22"/>
                <w:szCs w:val="22"/>
              </w:rPr>
            </w:pPr>
            <w:r w:rsidRPr="00BE3A8F">
              <w:rPr>
                <w:rFonts w:ascii="Arial" w:hAnsi="Arial" w:cs="Arial"/>
                <w:sz w:val="22"/>
                <w:szCs w:val="22"/>
              </w:rPr>
              <w:t>Constipation</w:t>
            </w:r>
          </w:p>
        </w:tc>
        <w:tc>
          <w:tcPr>
            <w:tcW w:w="1309" w:type="dxa"/>
            <w:tcMar>
              <w:left w:w="28" w:type="dxa"/>
              <w:right w:w="28" w:type="dxa"/>
            </w:tcMar>
            <w:vAlign w:val="center"/>
          </w:tcPr>
          <w:p w:rsidR="00F53320" w:rsidRPr="00BE3A8F" w:rsidRDefault="00673A13" w:rsidP="00BD59B8">
            <w:pPr>
              <w:jc w:val="center"/>
              <w:rPr>
                <w:rFonts w:ascii="Arial" w:hAnsi="Arial" w:cs="Arial"/>
                <w:sz w:val="22"/>
                <w:szCs w:val="22"/>
              </w:rPr>
            </w:pPr>
            <w:r w:rsidRPr="00BE3A8F">
              <w:rPr>
                <w:rFonts w:ascii="Arial" w:hAnsi="Arial" w:cs="Arial"/>
                <w:sz w:val="22"/>
                <w:szCs w:val="22"/>
              </w:rPr>
              <w:t>34 (6)</w:t>
            </w:r>
          </w:p>
        </w:tc>
        <w:tc>
          <w:tcPr>
            <w:tcW w:w="1310" w:type="dxa"/>
            <w:tcMar>
              <w:left w:w="28" w:type="dxa"/>
              <w:right w:w="28" w:type="dxa"/>
            </w:tcMar>
            <w:vAlign w:val="center"/>
          </w:tcPr>
          <w:p w:rsidR="00F53320" w:rsidRPr="00BE3A8F" w:rsidRDefault="00673A13" w:rsidP="00BD59B8">
            <w:pPr>
              <w:jc w:val="center"/>
              <w:rPr>
                <w:rFonts w:ascii="Arial" w:hAnsi="Arial" w:cs="Arial"/>
                <w:sz w:val="22"/>
                <w:szCs w:val="22"/>
              </w:rPr>
            </w:pPr>
            <w:r w:rsidRPr="00BE3A8F">
              <w:rPr>
                <w:rFonts w:ascii="Arial" w:hAnsi="Arial" w:cs="Arial"/>
                <w:sz w:val="22"/>
                <w:szCs w:val="22"/>
              </w:rPr>
              <w:t>9 (6)</w:t>
            </w:r>
          </w:p>
        </w:tc>
        <w:tc>
          <w:tcPr>
            <w:tcW w:w="1310" w:type="dxa"/>
            <w:tcMar>
              <w:left w:w="28" w:type="dxa"/>
              <w:right w:w="28" w:type="dxa"/>
            </w:tcMar>
            <w:vAlign w:val="center"/>
          </w:tcPr>
          <w:p w:rsidR="00F53320" w:rsidRPr="00BE3A8F" w:rsidRDefault="00673A13"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F53320" w:rsidRPr="00BE3A8F" w:rsidRDefault="00673A13" w:rsidP="00BD59B8">
            <w:pPr>
              <w:jc w:val="center"/>
              <w:rPr>
                <w:rFonts w:ascii="Arial" w:hAnsi="Arial" w:cs="Arial"/>
                <w:sz w:val="22"/>
                <w:szCs w:val="22"/>
              </w:rPr>
            </w:pPr>
            <w:r w:rsidRPr="00BE3A8F">
              <w:rPr>
                <w:rFonts w:ascii="Arial" w:hAnsi="Arial" w:cs="Arial"/>
                <w:sz w:val="22"/>
                <w:szCs w:val="22"/>
              </w:rPr>
              <w:t>3 (2)</w:t>
            </w:r>
          </w:p>
        </w:tc>
        <w:tc>
          <w:tcPr>
            <w:tcW w:w="1310" w:type="dxa"/>
            <w:tcMar>
              <w:left w:w="28" w:type="dxa"/>
              <w:right w:w="28" w:type="dxa"/>
            </w:tcMar>
            <w:vAlign w:val="center"/>
          </w:tcPr>
          <w:p w:rsidR="00F53320" w:rsidRPr="00BE3A8F" w:rsidRDefault="00673A13" w:rsidP="00BD59B8">
            <w:pPr>
              <w:jc w:val="center"/>
              <w:rPr>
                <w:rFonts w:ascii="Arial" w:hAnsi="Arial" w:cs="Arial"/>
                <w:sz w:val="22"/>
                <w:szCs w:val="22"/>
              </w:rPr>
            </w:pPr>
            <w:r w:rsidRPr="00BE3A8F">
              <w:rPr>
                <w:rFonts w:ascii="Arial" w:hAnsi="Arial" w:cs="Arial"/>
                <w:sz w:val="22"/>
                <w:szCs w:val="22"/>
              </w:rPr>
              <w:t>4 (2)</w:t>
            </w:r>
          </w:p>
        </w:tc>
      </w:tr>
      <w:tr w:rsidR="00673A13" w:rsidRPr="00BE3A8F" w:rsidTr="00BD59B8">
        <w:tc>
          <w:tcPr>
            <w:tcW w:w="2863" w:type="dxa"/>
            <w:tcMar>
              <w:left w:w="28" w:type="dxa"/>
              <w:right w:w="28" w:type="dxa"/>
            </w:tcMar>
          </w:tcPr>
          <w:p w:rsidR="00673A13" w:rsidRPr="00BE3A8F" w:rsidRDefault="00673A13" w:rsidP="00673A13">
            <w:pPr>
              <w:ind w:left="142"/>
              <w:jc w:val="both"/>
              <w:rPr>
                <w:rFonts w:ascii="Arial" w:hAnsi="Arial" w:cs="Arial"/>
                <w:sz w:val="22"/>
                <w:szCs w:val="22"/>
              </w:rPr>
            </w:pPr>
            <w:r w:rsidRPr="00BE3A8F">
              <w:rPr>
                <w:rFonts w:ascii="Arial" w:hAnsi="Arial" w:cs="Arial"/>
                <w:sz w:val="22"/>
                <w:szCs w:val="22"/>
              </w:rPr>
              <w:t>Dyspepsia</w:t>
            </w:r>
          </w:p>
        </w:tc>
        <w:tc>
          <w:tcPr>
            <w:tcW w:w="1309"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24 (4)</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4 (3)</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4 (2)</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6 (4)</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2 (1)</w:t>
            </w:r>
          </w:p>
        </w:tc>
      </w:tr>
      <w:tr w:rsidR="00673A13" w:rsidRPr="00BE3A8F" w:rsidTr="00781C35">
        <w:tc>
          <w:tcPr>
            <w:tcW w:w="2863" w:type="dxa"/>
            <w:tcMar>
              <w:left w:w="28" w:type="dxa"/>
              <w:right w:w="28" w:type="dxa"/>
            </w:tcMar>
            <w:vAlign w:val="center"/>
          </w:tcPr>
          <w:p w:rsidR="00673A13" w:rsidRPr="00BE3A8F" w:rsidRDefault="00673A13" w:rsidP="00781C35">
            <w:pPr>
              <w:ind w:left="142"/>
              <w:rPr>
                <w:rFonts w:ascii="Arial" w:hAnsi="Arial" w:cs="Arial"/>
                <w:sz w:val="22"/>
                <w:szCs w:val="22"/>
              </w:rPr>
            </w:pPr>
            <w:proofErr w:type="spellStart"/>
            <w:r w:rsidRPr="00BE3A8F">
              <w:rPr>
                <w:rFonts w:ascii="Arial" w:hAnsi="Arial" w:cs="Arial"/>
                <w:sz w:val="22"/>
                <w:szCs w:val="22"/>
              </w:rPr>
              <w:t>Gastrooesophageal</w:t>
            </w:r>
            <w:proofErr w:type="spellEnd"/>
            <w:r w:rsidRPr="00BE3A8F">
              <w:rPr>
                <w:rFonts w:ascii="Arial" w:hAnsi="Arial" w:cs="Arial"/>
                <w:sz w:val="22"/>
                <w:szCs w:val="22"/>
              </w:rPr>
              <w:t xml:space="preserve"> Reflux</w:t>
            </w:r>
            <w:r w:rsidR="00AC1B70" w:rsidRPr="00BE3A8F">
              <w:rPr>
                <w:rFonts w:ascii="Arial" w:hAnsi="Arial" w:cs="Arial"/>
                <w:sz w:val="22"/>
                <w:szCs w:val="22"/>
              </w:rPr>
              <w:t xml:space="preserve"> Disease</w:t>
            </w:r>
          </w:p>
        </w:tc>
        <w:tc>
          <w:tcPr>
            <w:tcW w:w="1309"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19 (3)</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6 (4)</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2 (1)</w:t>
            </w:r>
          </w:p>
        </w:tc>
      </w:tr>
      <w:tr w:rsidR="00673A13" w:rsidRPr="00BE3A8F" w:rsidTr="00BD59B8">
        <w:tc>
          <w:tcPr>
            <w:tcW w:w="2863" w:type="dxa"/>
            <w:tcMar>
              <w:left w:w="28" w:type="dxa"/>
              <w:right w:w="28" w:type="dxa"/>
            </w:tcMar>
          </w:tcPr>
          <w:p w:rsidR="00673A13" w:rsidRPr="00BE3A8F" w:rsidRDefault="00673A13" w:rsidP="00673A13">
            <w:pPr>
              <w:ind w:left="142"/>
              <w:jc w:val="both"/>
              <w:rPr>
                <w:rFonts w:ascii="Arial" w:hAnsi="Arial" w:cs="Arial"/>
                <w:sz w:val="22"/>
                <w:szCs w:val="22"/>
              </w:rPr>
            </w:pPr>
            <w:r w:rsidRPr="00BE3A8F">
              <w:rPr>
                <w:rFonts w:ascii="Arial" w:hAnsi="Arial" w:cs="Arial"/>
                <w:sz w:val="22"/>
                <w:szCs w:val="22"/>
              </w:rPr>
              <w:t>Abdominal Discomfort</w:t>
            </w:r>
          </w:p>
        </w:tc>
        <w:tc>
          <w:tcPr>
            <w:tcW w:w="1309"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13 (2)</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1 (&lt;1)</w:t>
            </w:r>
          </w:p>
        </w:tc>
      </w:tr>
      <w:tr w:rsidR="00673A13" w:rsidRPr="00BE3A8F" w:rsidTr="00BD59B8">
        <w:tc>
          <w:tcPr>
            <w:tcW w:w="2863" w:type="dxa"/>
            <w:tcMar>
              <w:left w:w="28" w:type="dxa"/>
              <w:right w:w="28" w:type="dxa"/>
            </w:tcMar>
          </w:tcPr>
          <w:p w:rsidR="00673A13" w:rsidRPr="00BE3A8F" w:rsidRDefault="00673A13" w:rsidP="00673A13">
            <w:pPr>
              <w:ind w:left="142"/>
              <w:jc w:val="both"/>
              <w:rPr>
                <w:rFonts w:ascii="Arial" w:hAnsi="Arial" w:cs="Arial"/>
                <w:sz w:val="22"/>
                <w:szCs w:val="22"/>
              </w:rPr>
            </w:pPr>
            <w:r w:rsidRPr="00BE3A8F">
              <w:rPr>
                <w:rFonts w:ascii="Arial" w:hAnsi="Arial" w:cs="Arial"/>
                <w:sz w:val="22"/>
                <w:szCs w:val="22"/>
              </w:rPr>
              <w:t>Abdominal Pain</w:t>
            </w:r>
          </w:p>
        </w:tc>
        <w:tc>
          <w:tcPr>
            <w:tcW w:w="1309"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13 (2)</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3 (2)</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6 (4)</w:t>
            </w:r>
          </w:p>
        </w:tc>
        <w:tc>
          <w:tcPr>
            <w:tcW w:w="1310"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2 (1)</w:t>
            </w:r>
          </w:p>
        </w:tc>
      </w:tr>
      <w:tr w:rsidR="00673A13" w:rsidRPr="00BE3A8F" w:rsidTr="00BD59B8">
        <w:tc>
          <w:tcPr>
            <w:tcW w:w="2863" w:type="dxa"/>
            <w:tcMar>
              <w:left w:w="28" w:type="dxa"/>
              <w:right w:w="28" w:type="dxa"/>
            </w:tcMar>
          </w:tcPr>
          <w:p w:rsidR="00673A13" w:rsidRPr="00BE3A8F" w:rsidRDefault="00673A13" w:rsidP="00673A13">
            <w:pPr>
              <w:ind w:left="142"/>
              <w:jc w:val="both"/>
              <w:rPr>
                <w:rFonts w:ascii="Arial" w:hAnsi="Arial" w:cs="Arial"/>
                <w:sz w:val="22"/>
                <w:szCs w:val="22"/>
              </w:rPr>
            </w:pPr>
            <w:r w:rsidRPr="00BE3A8F">
              <w:rPr>
                <w:rFonts w:ascii="Arial" w:hAnsi="Arial" w:cs="Arial"/>
                <w:sz w:val="22"/>
                <w:szCs w:val="22"/>
              </w:rPr>
              <w:t>Abdominal Pain Upper</w:t>
            </w:r>
          </w:p>
        </w:tc>
        <w:tc>
          <w:tcPr>
            <w:tcW w:w="1309" w:type="dxa"/>
            <w:tcMar>
              <w:left w:w="28" w:type="dxa"/>
              <w:right w:w="28" w:type="dxa"/>
            </w:tcMar>
            <w:vAlign w:val="center"/>
          </w:tcPr>
          <w:p w:rsidR="00673A13" w:rsidRPr="00BE3A8F" w:rsidRDefault="00673A13" w:rsidP="00BD59B8">
            <w:pPr>
              <w:jc w:val="center"/>
              <w:rPr>
                <w:rFonts w:ascii="Arial" w:hAnsi="Arial" w:cs="Arial"/>
                <w:sz w:val="22"/>
                <w:szCs w:val="22"/>
              </w:rPr>
            </w:pPr>
            <w:r w:rsidRPr="00BE3A8F">
              <w:rPr>
                <w:rFonts w:ascii="Arial" w:hAnsi="Arial" w:cs="Arial"/>
                <w:sz w:val="22"/>
                <w:szCs w:val="22"/>
              </w:rPr>
              <w:t>12 (2)</w:t>
            </w:r>
          </w:p>
        </w:tc>
        <w:tc>
          <w:tcPr>
            <w:tcW w:w="1310" w:type="dxa"/>
            <w:tcMar>
              <w:left w:w="28" w:type="dxa"/>
              <w:right w:w="28" w:type="dxa"/>
            </w:tcMar>
            <w:vAlign w:val="center"/>
          </w:tcPr>
          <w:p w:rsidR="00673A13" w:rsidRPr="00BE3A8F" w:rsidRDefault="00BD59B8"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673A13" w:rsidRPr="00BE3A8F" w:rsidRDefault="00BD59B8"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673A13" w:rsidRPr="00BE3A8F" w:rsidRDefault="00BD59B8" w:rsidP="00BD59B8">
            <w:pPr>
              <w:jc w:val="center"/>
              <w:rPr>
                <w:rFonts w:ascii="Arial" w:hAnsi="Arial" w:cs="Arial"/>
                <w:sz w:val="22"/>
                <w:szCs w:val="22"/>
              </w:rPr>
            </w:pPr>
            <w:r w:rsidRPr="00BE3A8F">
              <w:rPr>
                <w:rFonts w:ascii="Arial" w:hAnsi="Arial" w:cs="Arial"/>
                <w:sz w:val="22"/>
                <w:szCs w:val="22"/>
              </w:rPr>
              <w:t>6 (4)</w:t>
            </w:r>
          </w:p>
        </w:tc>
        <w:tc>
          <w:tcPr>
            <w:tcW w:w="1310" w:type="dxa"/>
            <w:tcMar>
              <w:left w:w="28" w:type="dxa"/>
              <w:right w:w="28" w:type="dxa"/>
            </w:tcMar>
            <w:vAlign w:val="center"/>
          </w:tcPr>
          <w:p w:rsidR="00673A13" w:rsidRPr="00BE3A8F" w:rsidRDefault="00BD59B8" w:rsidP="00BD59B8">
            <w:pPr>
              <w:jc w:val="center"/>
              <w:rPr>
                <w:rFonts w:ascii="Arial" w:hAnsi="Arial" w:cs="Arial"/>
                <w:sz w:val="22"/>
                <w:szCs w:val="22"/>
              </w:rPr>
            </w:pPr>
            <w:r w:rsidRPr="00BE3A8F">
              <w:rPr>
                <w:rFonts w:ascii="Arial" w:hAnsi="Arial" w:cs="Arial"/>
                <w:sz w:val="22"/>
                <w:szCs w:val="22"/>
              </w:rPr>
              <w:t>2 (1)</w:t>
            </w:r>
          </w:p>
        </w:tc>
      </w:tr>
      <w:tr w:rsidR="00BD59B8" w:rsidRPr="00BE3A8F" w:rsidTr="00BD59B8">
        <w:tc>
          <w:tcPr>
            <w:tcW w:w="2863" w:type="dxa"/>
            <w:tcMar>
              <w:left w:w="28" w:type="dxa"/>
              <w:right w:w="28" w:type="dxa"/>
            </w:tcMar>
          </w:tcPr>
          <w:p w:rsidR="00BD59B8" w:rsidRPr="00BE3A8F" w:rsidRDefault="00BD59B8" w:rsidP="00673A13">
            <w:pPr>
              <w:ind w:left="142"/>
              <w:jc w:val="both"/>
              <w:rPr>
                <w:rFonts w:ascii="Arial" w:hAnsi="Arial" w:cs="Arial"/>
                <w:sz w:val="22"/>
                <w:szCs w:val="22"/>
              </w:rPr>
            </w:pPr>
            <w:r w:rsidRPr="00BE3A8F">
              <w:rPr>
                <w:rFonts w:ascii="Arial" w:hAnsi="Arial" w:cs="Arial"/>
                <w:sz w:val="22"/>
                <w:szCs w:val="22"/>
              </w:rPr>
              <w:t>Toothache</w:t>
            </w:r>
          </w:p>
        </w:tc>
        <w:tc>
          <w:tcPr>
            <w:tcW w:w="1309"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6 (1)</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3 (2)</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4 (2)</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4 (2)</w:t>
            </w:r>
          </w:p>
        </w:tc>
      </w:tr>
      <w:tr w:rsidR="005A671C" w:rsidRPr="00BE3A8F" w:rsidTr="005A671C">
        <w:tc>
          <w:tcPr>
            <w:tcW w:w="9412" w:type="dxa"/>
            <w:gridSpan w:val="6"/>
            <w:tcMar>
              <w:left w:w="28" w:type="dxa"/>
              <w:right w:w="28" w:type="dxa"/>
            </w:tcMar>
            <w:vAlign w:val="center"/>
          </w:tcPr>
          <w:p w:rsidR="005A671C" w:rsidRPr="00BE3A8F" w:rsidRDefault="005A671C" w:rsidP="005A671C">
            <w:pPr>
              <w:rPr>
                <w:rFonts w:ascii="Arial" w:hAnsi="Arial" w:cs="Arial"/>
                <w:sz w:val="22"/>
                <w:szCs w:val="22"/>
              </w:rPr>
            </w:pPr>
            <w:r w:rsidRPr="00BE3A8F">
              <w:rPr>
                <w:rFonts w:ascii="Arial" w:hAnsi="Arial" w:cs="Arial"/>
                <w:sz w:val="22"/>
                <w:szCs w:val="22"/>
              </w:rPr>
              <w:t>General Disorders and Administration Site Conditions</w:t>
            </w:r>
          </w:p>
        </w:tc>
      </w:tr>
      <w:tr w:rsidR="00BD59B8" w:rsidRPr="00BE3A8F" w:rsidTr="00BD59B8">
        <w:tc>
          <w:tcPr>
            <w:tcW w:w="2863" w:type="dxa"/>
            <w:tcMar>
              <w:left w:w="28" w:type="dxa"/>
              <w:right w:w="28" w:type="dxa"/>
            </w:tcMar>
            <w:vAlign w:val="center"/>
          </w:tcPr>
          <w:p w:rsidR="00BD59B8" w:rsidRPr="00BE3A8F" w:rsidRDefault="00BD59B8" w:rsidP="00BD59B8">
            <w:pPr>
              <w:ind w:left="142"/>
              <w:rPr>
                <w:rFonts w:ascii="Arial" w:hAnsi="Arial" w:cs="Arial"/>
                <w:sz w:val="22"/>
                <w:szCs w:val="22"/>
              </w:rPr>
            </w:pPr>
            <w:r w:rsidRPr="00BE3A8F">
              <w:rPr>
                <w:rFonts w:ascii="Arial" w:hAnsi="Arial" w:cs="Arial"/>
                <w:sz w:val="22"/>
                <w:szCs w:val="22"/>
              </w:rPr>
              <w:t>Injection Site Pruritus</w:t>
            </w:r>
          </w:p>
        </w:tc>
        <w:tc>
          <w:tcPr>
            <w:tcW w:w="1309"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47 (8)</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8 (5)</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1 (&lt;1)</w:t>
            </w:r>
          </w:p>
        </w:tc>
      </w:tr>
      <w:tr w:rsidR="00BD59B8" w:rsidRPr="00BE3A8F" w:rsidTr="00BD59B8">
        <w:tc>
          <w:tcPr>
            <w:tcW w:w="2863" w:type="dxa"/>
            <w:tcMar>
              <w:left w:w="28" w:type="dxa"/>
              <w:right w:w="28" w:type="dxa"/>
            </w:tcMar>
            <w:vAlign w:val="center"/>
          </w:tcPr>
          <w:p w:rsidR="00BD59B8" w:rsidRPr="00BE3A8F" w:rsidRDefault="00BD59B8" w:rsidP="00BD59B8">
            <w:pPr>
              <w:ind w:left="142"/>
              <w:rPr>
                <w:rFonts w:ascii="Arial" w:hAnsi="Arial" w:cs="Arial"/>
                <w:sz w:val="22"/>
                <w:szCs w:val="22"/>
              </w:rPr>
            </w:pPr>
            <w:r w:rsidRPr="00BE3A8F">
              <w:rPr>
                <w:rFonts w:ascii="Arial" w:hAnsi="Arial" w:cs="Arial"/>
                <w:sz w:val="22"/>
                <w:szCs w:val="22"/>
              </w:rPr>
              <w:t>Injection Site Erythema</w:t>
            </w:r>
          </w:p>
        </w:tc>
        <w:tc>
          <w:tcPr>
            <w:tcW w:w="1309"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24 (4)</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4 (2)</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1 (&lt;1)</w:t>
            </w:r>
          </w:p>
        </w:tc>
      </w:tr>
      <w:tr w:rsidR="00BD59B8" w:rsidRPr="00BE3A8F" w:rsidTr="00BD59B8">
        <w:tc>
          <w:tcPr>
            <w:tcW w:w="2863" w:type="dxa"/>
            <w:tcMar>
              <w:left w:w="28" w:type="dxa"/>
              <w:right w:w="28" w:type="dxa"/>
            </w:tcMar>
            <w:vAlign w:val="center"/>
          </w:tcPr>
          <w:p w:rsidR="00BD59B8" w:rsidRPr="00BE3A8F" w:rsidRDefault="00BD59B8" w:rsidP="00BD59B8">
            <w:pPr>
              <w:ind w:left="142"/>
              <w:rPr>
                <w:rFonts w:ascii="Arial" w:hAnsi="Arial" w:cs="Arial"/>
                <w:sz w:val="22"/>
                <w:szCs w:val="22"/>
              </w:rPr>
            </w:pPr>
            <w:r w:rsidRPr="00BE3A8F">
              <w:rPr>
                <w:rFonts w:ascii="Arial" w:hAnsi="Arial" w:cs="Arial"/>
                <w:sz w:val="22"/>
                <w:szCs w:val="22"/>
              </w:rPr>
              <w:t>Fatigue</w:t>
            </w:r>
          </w:p>
        </w:tc>
        <w:tc>
          <w:tcPr>
            <w:tcW w:w="1309"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23 (4)</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4 (3)</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5 (3)</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1 (&lt;1)</w:t>
            </w:r>
          </w:p>
        </w:tc>
      </w:tr>
      <w:tr w:rsidR="00BD59B8" w:rsidRPr="00BE3A8F" w:rsidTr="00BD59B8">
        <w:tc>
          <w:tcPr>
            <w:tcW w:w="2863" w:type="dxa"/>
            <w:tcMar>
              <w:left w:w="28" w:type="dxa"/>
              <w:right w:w="28" w:type="dxa"/>
            </w:tcMar>
            <w:vAlign w:val="center"/>
          </w:tcPr>
          <w:p w:rsidR="00BD59B8" w:rsidRPr="00BE3A8F" w:rsidRDefault="00BD59B8" w:rsidP="00BD59B8">
            <w:pPr>
              <w:ind w:left="142"/>
              <w:rPr>
                <w:rFonts w:ascii="Arial" w:hAnsi="Arial" w:cs="Arial"/>
                <w:sz w:val="22"/>
                <w:szCs w:val="22"/>
              </w:rPr>
            </w:pPr>
            <w:r w:rsidRPr="00BE3A8F">
              <w:rPr>
                <w:rFonts w:ascii="Arial" w:hAnsi="Arial" w:cs="Arial"/>
                <w:sz w:val="22"/>
                <w:szCs w:val="22"/>
              </w:rPr>
              <w:t>Injection Site Haematoma</w:t>
            </w:r>
          </w:p>
        </w:tc>
        <w:tc>
          <w:tcPr>
            <w:tcW w:w="1309"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14 (2)</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16 (11)</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4 (2)</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2 (1)</w:t>
            </w:r>
          </w:p>
        </w:tc>
      </w:tr>
      <w:tr w:rsidR="00BD59B8" w:rsidRPr="00BE3A8F" w:rsidTr="00BD59B8">
        <w:tc>
          <w:tcPr>
            <w:tcW w:w="2863" w:type="dxa"/>
            <w:tcMar>
              <w:left w:w="28" w:type="dxa"/>
              <w:right w:w="28" w:type="dxa"/>
            </w:tcMar>
            <w:vAlign w:val="center"/>
          </w:tcPr>
          <w:p w:rsidR="00BD59B8" w:rsidRPr="00BE3A8F" w:rsidRDefault="00BD59B8" w:rsidP="00BD59B8">
            <w:pPr>
              <w:ind w:left="142"/>
              <w:rPr>
                <w:rFonts w:ascii="Arial" w:hAnsi="Arial" w:cs="Arial"/>
                <w:sz w:val="22"/>
                <w:szCs w:val="22"/>
              </w:rPr>
            </w:pPr>
            <w:r w:rsidRPr="00BE3A8F">
              <w:rPr>
                <w:rFonts w:ascii="Arial" w:hAnsi="Arial" w:cs="Arial"/>
                <w:sz w:val="22"/>
                <w:szCs w:val="22"/>
              </w:rPr>
              <w:t>Injection Site Induration</w:t>
            </w:r>
          </w:p>
        </w:tc>
        <w:tc>
          <w:tcPr>
            <w:tcW w:w="1309"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23 (4)</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0 (0)</w:t>
            </w:r>
          </w:p>
        </w:tc>
      </w:tr>
      <w:tr w:rsidR="00BD59B8" w:rsidRPr="00BE3A8F" w:rsidTr="00BD59B8">
        <w:tc>
          <w:tcPr>
            <w:tcW w:w="2863" w:type="dxa"/>
            <w:tcMar>
              <w:left w:w="28" w:type="dxa"/>
              <w:right w:w="28" w:type="dxa"/>
            </w:tcMar>
            <w:vAlign w:val="center"/>
          </w:tcPr>
          <w:p w:rsidR="00BD59B8" w:rsidRPr="00BE3A8F" w:rsidRDefault="00BD59B8" w:rsidP="00BD59B8">
            <w:pPr>
              <w:ind w:left="142"/>
              <w:rPr>
                <w:rFonts w:ascii="Arial" w:hAnsi="Arial" w:cs="Arial"/>
                <w:sz w:val="22"/>
                <w:szCs w:val="22"/>
              </w:rPr>
            </w:pPr>
            <w:r w:rsidRPr="00BE3A8F">
              <w:rPr>
                <w:rFonts w:ascii="Arial" w:hAnsi="Arial" w:cs="Arial"/>
                <w:sz w:val="22"/>
                <w:szCs w:val="22"/>
              </w:rPr>
              <w:t>Injection Site Nodule</w:t>
            </w:r>
          </w:p>
        </w:tc>
        <w:tc>
          <w:tcPr>
            <w:tcW w:w="1309"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19 (3)</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BD59B8" w:rsidRPr="00BE3A8F" w:rsidRDefault="00BD59B8" w:rsidP="00BD59B8">
            <w:pPr>
              <w:jc w:val="center"/>
              <w:rPr>
                <w:rFonts w:ascii="Arial" w:hAnsi="Arial" w:cs="Arial"/>
                <w:sz w:val="22"/>
                <w:szCs w:val="22"/>
              </w:rPr>
            </w:pPr>
            <w:r w:rsidRPr="00BE3A8F">
              <w:rPr>
                <w:rFonts w:ascii="Arial" w:hAnsi="Arial" w:cs="Arial"/>
                <w:sz w:val="22"/>
                <w:szCs w:val="22"/>
              </w:rPr>
              <w:t>0 (0)</w:t>
            </w:r>
          </w:p>
        </w:tc>
      </w:tr>
      <w:tr w:rsidR="00BD59B8" w:rsidRPr="00BE3A8F" w:rsidTr="00BD59B8">
        <w:tc>
          <w:tcPr>
            <w:tcW w:w="2863" w:type="dxa"/>
            <w:tcMar>
              <w:left w:w="28" w:type="dxa"/>
              <w:right w:w="28" w:type="dxa"/>
            </w:tcMar>
            <w:vAlign w:val="center"/>
          </w:tcPr>
          <w:p w:rsidR="00BD59B8" w:rsidRPr="00BE3A8F" w:rsidRDefault="005A671C" w:rsidP="00BD59B8">
            <w:pPr>
              <w:ind w:left="142"/>
              <w:rPr>
                <w:rFonts w:ascii="Arial" w:hAnsi="Arial" w:cs="Arial"/>
                <w:sz w:val="22"/>
                <w:szCs w:val="22"/>
              </w:rPr>
            </w:pPr>
            <w:r w:rsidRPr="00BE3A8F">
              <w:rPr>
                <w:rFonts w:ascii="Arial" w:hAnsi="Arial" w:cs="Arial"/>
                <w:sz w:val="22"/>
                <w:szCs w:val="22"/>
              </w:rPr>
              <w:t>Injection Site Pain</w:t>
            </w:r>
          </w:p>
        </w:tc>
        <w:tc>
          <w:tcPr>
            <w:tcW w:w="1309" w:type="dxa"/>
            <w:tcMar>
              <w:left w:w="28" w:type="dxa"/>
              <w:right w:w="28" w:type="dxa"/>
            </w:tcMar>
            <w:vAlign w:val="center"/>
          </w:tcPr>
          <w:p w:rsidR="00BD59B8" w:rsidRPr="00BE3A8F" w:rsidRDefault="005A671C" w:rsidP="00BD59B8">
            <w:pPr>
              <w:jc w:val="center"/>
              <w:rPr>
                <w:rFonts w:ascii="Arial" w:hAnsi="Arial" w:cs="Arial"/>
                <w:sz w:val="22"/>
                <w:szCs w:val="22"/>
              </w:rPr>
            </w:pPr>
            <w:r w:rsidRPr="00BE3A8F">
              <w:rPr>
                <w:rFonts w:ascii="Arial" w:hAnsi="Arial" w:cs="Arial"/>
                <w:sz w:val="22"/>
                <w:szCs w:val="22"/>
              </w:rPr>
              <w:t>6 (1)</w:t>
            </w:r>
          </w:p>
        </w:tc>
        <w:tc>
          <w:tcPr>
            <w:tcW w:w="1310" w:type="dxa"/>
            <w:tcMar>
              <w:left w:w="28" w:type="dxa"/>
              <w:right w:w="28" w:type="dxa"/>
            </w:tcMar>
            <w:vAlign w:val="center"/>
          </w:tcPr>
          <w:p w:rsidR="00BD59B8" w:rsidRPr="00BE3A8F" w:rsidRDefault="005A671C" w:rsidP="00BD59B8">
            <w:pPr>
              <w:jc w:val="center"/>
              <w:rPr>
                <w:rFonts w:ascii="Arial" w:hAnsi="Arial" w:cs="Arial"/>
                <w:sz w:val="22"/>
                <w:szCs w:val="22"/>
              </w:rPr>
            </w:pPr>
            <w:r w:rsidRPr="00BE3A8F">
              <w:rPr>
                <w:rFonts w:ascii="Arial" w:hAnsi="Arial" w:cs="Arial"/>
                <w:sz w:val="22"/>
                <w:szCs w:val="22"/>
              </w:rPr>
              <w:t>3 (2)</w:t>
            </w:r>
          </w:p>
        </w:tc>
        <w:tc>
          <w:tcPr>
            <w:tcW w:w="1310" w:type="dxa"/>
            <w:tcMar>
              <w:left w:w="28" w:type="dxa"/>
              <w:right w:w="28" w:type="dxa"/>
            </w:tcMar>
            <w:vAlign w:val="center"/>
          </w:tcPr>
          <w:p w:rsidR="00BD59B8" w:rsidRPr="00BE3A8F" w:rsidRDefault="005A671C"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BD59B8" w:rsidRPr="00BE3A8F" w:rsidRDefault="005A671C"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BD59B8" w:rsidRPr="00BE3A8F" w:rsidRDefault="005A671C" w:rsidP="00BD59B8">
            <w:pPr>
              <w:jc w:val="center"/>
              <w:rPr>
                <w:rFonts w:ascii="Arial" w:hAnsi="Arial" w:cs="Arial"/>
                <w:sz w:val="22"/>
                <w:szCs w:val="22"/>
              </w:rPr>
            </w:pPr>
            <w:r w:rsidRPr="00BE3A8F">
              <w:rPr>
                <w:rFonts w:ascii="Arial" w:hAnsi="Arial" w:cs="Arial"/>
                <w:sz w:val="22"/>
                <w:szCs w:val="22"/>
              </w:rPr>
              <w:t>1 (&lt;1)</w:t>
            </w:r>
          </w:p>
        </w:tc>
      </w:tr>
      <w:tr w:rsidR="005A671C" w:rsidRPr="00BE3A8F" w:rsidTr="005A671C">
        <w:tc>
          <w:tcPr>
            <w:tcW w:w="9412" w:type="dxa"/>
            <w:gridSpan w:val="6"/>
            <w:tcMar>
              <w:left w:w="28" w:type="dxa"/>
              <w:right w:w="28" w:type="dxa"/>
            </w:tcMar>
            <w:vAlign w:val="center"/>
          </w:tcPr>
          <w:p w:rsidR="005A671C" w:rsidRPr="00BE3A8F" w:rsidRDefault="00D31270" w:rsidP="005A671C">
            <w:pPr>
              <w:rPr>
                <w:rFonts w:ascii="Arial" w:hAnsi="Arial" w:cs="Arial"/>
                <w:sz w:val="22"/>
                <w:szCs w:val="22"/>
              </w:rPr>
            </w:pPr>
            <w:r w:rsidRPr="00BE3A8F">
              <w:rPr>
                <w:rFonts w:ascii="Arial" w:hAnsi="Arial" w:cs="Arial"/>
                <w:sz w:val="22"/>
                <w:szCs w:val="22"/>
              </w:rPr>
              <w:t>Infections and Infestations</w:t>
            </w:r>
          </w:p>
        </w:tc>
      </w:tr>
      <w:tr w:rsidR="005A671C" w:rsidRPr="00BE3A8F" w:rsidTr="00BD59B8">
        <w:tc>
          <w:tcPr>
            <w:tcW w:w="2863" w:type="dxa"/>
            <w:tcMar>
              <w:left w:w="28" w:type="dxa"/>
              <w:right w:w="28" w:type="dxa"/>
            </w:tcMar>
            <w:vAlign w:val="center"/>
          </w:tcPr>
          <w:p w:rsidR="005A671C" w:rsidRPr="00BE3A8F" w:rsidRDefault="00D31270" w:rsidP="00D31270">
            <w:pPr>
              <w:ind w:left="142"/>
              <w:rPr>
                <w:rFonts w:ascii="Arial" w:hAnsi="Arial" w:cs="Arial"/>
                <w:sz w:val="22"/>
                <w:szCs w:val="22"/>
              </w:rPr>
            </w:pPr>
            <w:r w:rsidRPr="00BE3A8F">
              <w:rPr>
                <w:rFonts w:ascii="Arial" w:hAnsi="Arial" w:cs="Arial"/>
                <w:sz w:val="22"/>
                <w:szCs w:val="22"/>
              </w:rPr>
              <w:t>Nasopharyngitis</w:t>
            </w:r>
          </w:p>
        </w:tc>
        <w:tc>
          <w:tcPr>
            <w:tcW w:w="1309" w:type="dxa"/>
            <w:tcMar>
              <w:left w:w="28" w:type="dxa"/>
              <w:right w:w="28" w:type="dxa"/>
            </w:tcMar>
            <w:vAlign w:val="center"/>
          </w:tcPr>
          <w:p w:rsidR="005A671C" w:rsidRPr="00BE3A8F" w:rsidRDefault="00AC1B70" w:rsidP="00BD59B8">
            <w:pPr>
              <w:jc w:val="center"/>
              <w:rPr>
                <w:rFonts w:ascii="Arial" w:hAnsi="Arial" w:cs="Arial"/>
                <w:sz w:val="22"/>
                <w:szCs w:val="22"/>
              </w:rPr>
            </w:pPr>
            <w:r w:rsidRPr="00BE3A8F">
              <w:rPr>
                <w:rFonts w:ascii="Arial" w:hAnsi="Arial" w:cs="Arial"/>
                <w:sz w:val="22"/>
                <w:szCs w:val="22"/>
              </w:rPr>
              <w:t>51 (19)</w:t>
            </w:r>
          </w:p>
        </w:tc>
        <w:tc>
          <w:tcPr>
            <w:tcW w:w="1310" w:type="dxa"/>
            <w:tcMar>
              <w:left w:w="28" w:type="dxa"/>
              <w:right w:w="28" w:type="dxa"/>
            </w:tcMar>
            <w:vAlign w:val="center"/>
          </w:tcPr>
          <w:p w:rsidR="005A671C" w:rsidRPr="00BE3A8F" w:rsidRDefault="00AC1B70" w:rsidP="00BD59B8">
            <w:pPr>
              <w:jc w:val="center"/>
              <w:rPr>
                <w:rFonts w:ascii="Arial" w:hAnsi="Arial" w:cs="Arial"/>
                <w:sz w:val="22"/>
                <w:szCs w:val="22"/>
              </w:rPr>
            </w:pPr>
            <w:r w:rsidRPr="00BE3A8F">
              <w:rPr>
                <w:rFonts w:ascii="Arial" w:hAnsi="Arial" w:cs="Arial"/>
                <w:sz w:val="22"/>
                <w:szCs w:val="22"/>
              </w:rPr>
              <w:t>8 (6)</w:t>
            </w:r>
          </w:p>
        </w:tc>
        <w:tc>
          <w:tcPr>
            <w:tcW w:w="1310" w:type="dxa"/>
            <w:tcMar>
              <w:left w:w="28" w:type="dxa"/>
              <w:right w:w="28" w:type="dxa"/>
            </w:tcMar>
            <w:vAlign w:val="center"/>
          </w:tcPr>
          <w:p w:rsidR="005A671C" w:rsidRPr="00BE3A8F" w:rsidRDefault="00AC1B70" w:rsidP="00BD59B8">
            <w:pPr>
              <w:jc w:val="center"/>
              <w:rPr>
                <w:rFonts w:ascii="Arial" w:hAnsi="Arial" w:cs="Arial"/>
                <w:sz w:val="22"/>
                <w:szCs w:val="22"/>
              </w:rPr>
            </w:pPr>
            <w:r w:rsidRPr="00BE3A8F">
              <w:rPr>
                <w:rFonts w:ascii="Arial" w:hAnsi="Arial" w:cs="Arial"/>
                <w:sz w:val="22"/>
                <w:szCs w:val="22"/>
              </w:rPr>
              <w:t>5 (3)</w:t>
            </w:r>
          </w:p>
        </w:tc>
        <w:tc>
          <w:tcPr>
            <w:tcW w:w="1310" w:type="dxa"/>
            <w:tcMar>
              <w:left w:w="28" w:type="dxa"/>
              <w:right w:w="28" w:type="dxa"/>
            </w:tcMar>
            <w:vAlign w:val="center"/>
          </w:tcPr>
          <w:p w:rsidR="005A671C" w:rsidRPr="00BE3A8F" w:rsidRDefault="00AC1B70" w:rsidP="00BD59B8">
            <w:pPr>
              <w:jc w:val="center"/>
              <w:rPr>
                <w:rFonts w:ascii="Arial" w:hAnsi="Arial" w:cs="Arial"/>
                <w:sz w:val="22"/>
                <w:szCs w:val="22"/>
              </w:rPr>
            </w:pPr>
            <w:r w:rsidRPr="00BE3A8F">
              <w:rPr>
                <w:rFonts w:ascii="Arial" w:hAnsi="Arial" w:cs="Arial"/>
                <w:sz w:val="22"/>
                <w:szCs w:val="22"/>
              </w:rPr>
              <w:t>4 (2)</w:t>
            </w:r>
          </w:p>
        </w:tc>
        <w:tc>
          <w:tcPr>
            <w:tcW w:w="1310" w:type="dxa"/>
            <w:tcMar>
              <w:left w:w="28" w:type="dxa"/>
              <w:right w:w="28" w:type="dxa"/>
            </w:tcMar>
            <w:vAlign w:val="center"/>
          </w:tcPr>
          <w:p w:rsidR="005A671C" w:rsidRPr="00BE3A8F" w:rsidRDefault="00AC1B70" w:rsidP="00BD59B8">
            <w:pPr>
              <w:jc w:val="center"/>
              <w:rPr>
                <w:rFonts w:ascii="Arial" w:hAnsi="Arial" w:cs="Arial"/>
                <w:sz w:val="22"/>
                <w:szCs w:val="22"/>
              </w:rPr>
            </w:pPr>
            <w:r w:rsidRPr="00BE3A8F">
              <w:rPr>
                <w:rFonts w:ascii="Arial" w:hAnsi="Arial" w:cs="Arial"/>
                <w:sz w:val="22"/>
                <w:szCs w:val="22"/>
              </w:rPr>
              <w:t>40 (18)</w:t>
            </w:r>
          </w:p>
        </w:tc>
      </w:tr>
      <w:tr w:rsidR="00AC1B70" w:rsidRPr="00BE3A8F" w:rsidTr="00BD59B8">
        <w:tc>
          <w:tcPr>
            <w:tcW w:w="2863" w:type="dxa"/>
            <w:tcMar>
              <w:left w:w="28" w:type="dxa"/>
              <w:right w:w="28" w:type="dxa"/>
            </w:tcMar>
            <w:vAlign w:val="center"/>
          </w:tcPr>
          <w:p w:rsidR="00AC1B70" w:rsidRPr="00BE3A8F" w:rsidRDefault="00AC1B70" w:rsidP="00D31270">
            <w:pPr>
              <w:ind w:left="142"/>
              <w:rPr>
                <w:rFonts w:ascii="Arial" w:hAnsi="Arial" w:cs="Arial"/>
                <w:sz w:val="22"/>
                <w:szCs w:val="22"/>
              </w:rPr>
            </w:pPr>
            <w:r w:rsidRPr="00BE3A8F">
              <w:rPr>
                <w:rFonts w:ascii="Arial" w:hAnsi="Arial" w:cs="Arial"/>
                <w:sz w:val="22"/>
                <w:szCs w:val="22"/>
              </w:rPr>
              <w:t>Upper Respiratory Tract Infection</w:t>
            </w:r>
          </w:p>
        </w:tc>
        <w:tc>
          <w:tcPr>
            <w:tcW w:w="1309"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23 (4)</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25 (17)</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17 (10)</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15 (9)</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3 (1)</w:t>
            </w:r>
          </w:p>
        </w:tc>
      </w:tr>
      <w:tr w:rsidR="00AC1B70" w:rsidRPr="00BE3A8F" w:rsidTr="00BD59B8">
        <w:tc>
          <w:tcPr>
            <w:tcW w:w="2863" w:type="dxa"/>
            <w:tcMar>
              <w:left w:w="28" w:type="dxa"/>
              <w:right w:w="28" w:type="dxa"/>
            </w:tcMar>
            <w:vAlign w:val="center"/>
          </w:tcPr>
          <w:p w:rsidR="00AC1B70" w:rsidRPr="00BE3A8F" w:rsidRDefault="00AC1B70" w:rsidP="00D31270">
            <w:pPr>
              <w:ind w:left="142"/>
              <w:rPr>
                <w:rFonts w:ascii="Arial" w:hAnsi="Arial" w:cs="Arial"/>
                <w:sz w:val="22"/>
                <w:szCs w:val="22"/>
              </w:rPr>
            </w:pPr>
            <w:r w:rsidRPr="00BE3A8F">
              <w:rPr>
                <w:rFonts w:ascii="Arial" w:hAnsi="Arial" w:cs="Arial"/>
                <w:sz w:val="22"/>
                <w:szCs w:val="22"/>
              </w:rPr>
              <w:t>Sinusitis</w:t>
            </w:r>
          </w:p>
        </w:tc>
        <w:tc>
          <w:tcPr>
            <w:tcW w:w="1309"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17 (3)</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10 (7)</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11 (7)</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5 (2)</w:t>
            </w:r>
          </w:p>
        </w:tc>
      </w:tr>
      <w:tr w:rsidR="00AC1B70" w:rsidRPr="00BE3A8F" w:rsidTr="00BD59B8">
        <w:tc>
          <w:tcPr>
            <w:tcW w:w="2863" w:type="dxa"/>
            <w:tcMar>
              <w:left w:w="28" w:type="dxa"/>
              <w:right w:w="28" w:type="dxa"/>
            </w:tcMar>
            <w:vAlign w:val="center"/>
          </w:tcPr>
          <w:p w:rsidR="00AC1B70" w:rsidRPr="00BE3A8F" w:rsidRDefault="00AC1B70" w:rsidP="00AC1B70">
            <w:pPr>
              <w:ind w:left="142"/>
              <w:rPr>
                <w:rFonts w:ascii="Arial" w:hAnsi="Arial" w:cs="Arial"/>
                <w:sz w:val="22"/>
                <w:szCs w:val="22"/>
              </w:rPr>
            </w:pPr>
            <w:r w:rsidRPr="00BE3A8F">
              <w:rPr>
                <w:rFonts w:ascii="Arial" w:hAnsi="Arial" w:cs="Arial"/>
                <w:sz w:val="22"/>
                <w:szCs w:val="22"/>
              </w:rPr>
              <w:t>Urinary Tract Infection</w:t>
            </w:r>
          </w:p>
        </w:tc>
        <w:tc>
          <w:tcPr>
            <w:tcW w:w="1309"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30 (5)</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12 (8)</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6 (4)</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9 (5)</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 (&lt;1)</w:t>
            </w:r>
          </w:p>
        </w:tc>
      </w:tr>
      <w:tr w:rsidR="00AC1B70" w:rsidRPr="00BE3A8F" w:rsidTr="00BD59B8">
        <w:tc>
          <w:tcPr>
            <w:tcW w:w="2863" w:type="dxa"/>
            <w:tcMar>
              <w:left w:w="28" w:type="dxa"/>
              <w:right w:w="28" w:type="dxa"/>
            </w:tcMar>
            <w:vAlign w:val="center"/>
          </w:tcPr>
          <w:p w:rsidR="00AC1B70" w:rsidRPr="00BE3A8F" w:rsidRDefault="00AC1B70" w:rsidP="00AC1B70">
            <w:pPr>
              <w:ind w:left="142"/>
              <w:rPr>
                <w:rFonts w:ascii="Arial" w:hAnsi="Arial" w:cs="Arial"/>
                <w:sz w:val="22"/>
                <w:szCs w:val="22"/>
              </w:rPr>
            </w:pPr>
            <w:r w:rsidRPr="00BE3A8F">
              <w:rPr>
                <w:rFonts w:ascii="Arial" w:hAnsi="Arial" w:cs="Arial"/>
                <w:sz w:val="22"/>
                <w:szCs w:val="22"/>
              </w:rPr>
              <w:t>Gastroenteritis Viral</w:t>
            </w:r>
          </w:p>
        </w:tc>
        <w:tc>
          <w:tcPr>
            <w:tcW w:w="1309"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17 (3)</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8 (6)</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 xml:space="preserve">2 (1) </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9 (&lt;1)</w:t>
            </w:r>
          </w:p>
        </w:tc>
      </w:tr>
      <w:tr w:rsidR="00AC1B70" w:rsidRPr="00BE3A8F" w:rsidTr="00BD59B8">
        <w:tc>
          <w:tcPr>
            <w:tcW w:w="2863" w:type="dxa"/>
            <w:tcMar>
              <w:left w:w="28" w:type="dxa"/>
              <w:right w:w="28" w:type="dxa"/>
            </w:tcMar>
            <w:vAlign w:val="center"/>
          </w:tcPr>
          <w:p w:rsidR="00AC1B70" w:rsidRPr="00BE3A8F" w:rsidRDefault="00AC1B70" w:rsidP="00AC1B70">
            <w:pPr>
              <w:ind w:left="142"/>
              <w:rPr>
                <w:rFonts w:ascii="Arial" w:hAnsi="Arial" w:cs="Arial"/>
                <w:sz w:val="22"/>
                <w:szCs w:val="22"/>
              </w:rPr>
            </w:pPr>
            <w:r w:rsidRPr="00BE3A8F">
              <w:rPr>
                <w:rFonts w:ascii="Arial" w:hAnsi="Arial" w:cs="Arial"/>
                <w:sz w:val="22"/>
                <w:szCs w:val="22"/>
              </w:rPr>
              <w:t>Influenza</w:t>
            </w:r>
          </w:p>
        </w:tc>
        <w:tc>
          <w:tcPr>
            <w:tcW w:w="1309"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13 (2)</w:t>
            </w:r>
          </w:p>
        </w:tc>
        <w:tc>
          <w:tcPr>
            <w:tcW w:w="1310" w:type="dxa"/>
            <w:tcMar>
              <w:left w:w="28" w:type="dxa"/>
              <w:right w:w="28" w:type="dxa"/>
            </w:tcMar>
            <w:vAlign w:val="center"/>
          </w:tcPr>
          <w:p w:rsidR="00AC1B70" w:rsidRPr="00BE3A8F" w:rsidRDefault="00C63435" w:rsidP="00C63435">
            <w:pPr>
              <w:jc w:val="center"/>
              <w:rPr>
                <w:rFonts w:ascii="Arial" w:hAnsi="Arial" w:cs="Arial"/>
                <w:sz w:val="22"/>
                <w:szCs w:val="22"/>
              </w:rPr>
            </w:pPr>
            <w:r>
              <w:rPr>
                <w:rFonts w:ascii="Arial" w:hAnsi="Arial" w:cs="Arial"/>
                <w:sz w:val="22"/>
                <w:szCs w:val="22"/>
              </w:rPr>
              <w:t>3</w:t>
            </w:r>
            <w:r w:rsidRPr="00BE3A8F">
              <w:rPr>
                <w:rFonts w:ascii="Arial" w:hAnsi="Arial" w:cs="Arial"/>
                <w:sz w:val="22"/>
                <w:szCs w:val="22"/>
              </w:rPr>
              <w:t xml:space="preserve"> </w:t>
            </w:r>
            <w:r w:rsidR="00AC1B70" w:rsidRPr="00BE3A8F">
              <w:rPr>
                <w:rFonts w:ascii="Arial" w:hAnsi="Arial" w:cs="Arial"/>
                <w:sz w:val="22"/>
                <w:szCs w:val="22"/>
              </w:rPr>
              <w:t>(</w:t>
            </w:r>
            <w:r>
              <w:rPr>
                <w:rFonts w:ascii="Arial" w:hAnsi="Arial" w:cs="Arial"/>
                <w:sz w:val="22"/>
                <w:szCs w:val="22"/>
              </w:rPr>
              <w:t>2</w:t>
            </w:r>
            <w:r w:rsidR="00AC1B70" w:rsidRPr="00BE3A8F">
              <w:rPr>
                <w:rFonts w:ascii="Arial" w:hAnsi="Arial" w:cs="Arial"/>
                <w:sz w:val="22"/>
                <w:szCs w:val="22"/>
              </w:rPr>
              <w:t>)</w:t>
            </w:r>
          </w:p>
        </w:tc>
        <w:tc>
          <w:tcPr>
            <w:tcW w:w="1310" w:type="dxa"/>
            <w:tcMar>
              <w:left w:w="28" w:type="dxa"/>
              <w:right w:w="28" w:type="dxa"/>
            </w:tcMar>
            <w:vAlign w:val="center"/>
          </w:tcPr>
          <w:p w:rsidR="00AC1B70" w:rsidRPr="00BE3A8F" w:rsidRDefault="00C63435" w:rsidP="00C63435">
            <w:pPr>
              <w:jc w:val="center"/>
              <w:rPr>
                <w:rFonts w:ascii="Arial" w:hAnsi="Arial" w:cs="Arial"/>
                <w:sz w:val="22"/>
                <w:szCs w:val="22"/>
              </w:rPr>
            </w:pPr>
            <w:r>
              <w:rPr>
                <w:rFonts w:ascii="Arial" w:hAnsi="Arial" w:cs="Arial"/>
                <w:sz w:val="22"/>
                <w:szCs w:val="22"/>
              </w:rPr>
              <w:t>5</w:t>
            </w:r>
            <w:r w:rsidR="00AC1B70" w:rsidRPr="00BE3A8F">
              <w:rPr>
                <w:rFonts w:ascii="Arial" w:hAnsi="Arial" w:cs="Arial"/>
                <w:sz w:val="22"/>
                <w:szCs w:val="22"/>
              </w:rPr>
              <w:t>(</w:t>
            </w:r>
            <w:r>
              <w:rPr>
                <w:rFonts w:ascii="Arial" w:hAnsi="Arial" w:cs="Arial"/>
                <w:sz w:val="22"/>
                <w:szCs w:val="22"/>
              </w:rPr>
              <w:t>3</w:t>
            </w:r>
            <w:r w:rsidR="00AC1B70" w:rsidRPr="00BE3A8F">
              <w:rPr>
                <w:rFonts w:ascii="Arial" w:hAnsi="Arial" w:cs="Arial"/>
                <w:sz w:val="22"/>
                <w:szCs w:val="22"/>
              </w:rPr>
              <w:t>)</w:t>
            </w:r>
          </w:p>
        </w:tc>
        <w:tc>
          <w:tcPr>
            <w:tcW w:w="1310" w:type="dxa"/>
            <w:tcMar>
              <w:left w:w="28" w:type="dxa"/>
              <w:right w:w="28" w:type="dxa"/>
            </w:tcMar>
            <w:vAlign w:val="center"/>
          </w:tcPr>
          <w:p w:rsidR="00AC1B70" w:rsidRPr="00BE3A8F" w:rsidRDefault="00C63435" w:rsidP="00C63435">
            <w:pPr>
              <w:jc w:val="center"/>
              <w:rPr>
                <w:rFonts w:ascii="Arial" w:hAnsi="Arial" w:cs="Arial"/>
                <w:sz w:val="22"/>
                <w:szCs w:val="22"/>
              </w:rPr>
            </w:pPr>
            <w:r>
              <w:rPr>
                <w:rFonts w:ascii="Arial" w:hAnsi="Arial" w:cs="Arial"/>
                <w:sz w:val="22"/>
                <w:szCs w:val="22"/>
              </w:rPr>
              <w:t>2</w:t>
            </w:r>
            <w:r w:rsidR="00AC1B70" w:rsidRPr="00BE3A8F">
              <w:rPr>
                <w:rFonts w:ascii="Arial" w:hAnsi="Arial" w:cs="Arial"/>
                <w:sz w:val="22"/>
                <w:szCs w:val="22"/>
              </w:rPr>
              <w:t xml:space="preserve"> (</w:t>
            </w:r>
            <w:r>
              <w:rPr>
                <w:rFonts w:ascii="Arial" w:hAnsi="Arial" w:cs="Arial"/>
                <w:sz w:val="22"/>
                <w:szCs w:val="22"/>
              </w:rPr>
              <w:t>1</w:t>
            </w:r>
            <w:r w:rsidR="00AC1B70" w:rsidRPr="00BE3A8F">
              <w:rPr>
                <w:rFonts w:ascii="Arial" w:hAnsi="Arial" w:cs="Arial"/>
                <w:sz w:val="22"/>
                <w:szCs w:val="22"/>
              </w:rPr>
              <w:t>)</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7 (3)</w:t>
            </w:r>
          </w:p>
        </w:tc>
      </w:tr>
      <w:tr w:rsidR="00AC1B70" w:rsidRPr="00BE3A8F" w:rsidTr="00BD59B8">
        <w:tc>
          <w:tcPr>
            <w:tcW w:w="2863" w:type="dxa"/>
            <w:tcMar>
              <w:left w:w="28" w:type="dxa"/>
              <w:right w:w="28" w:type="dxa"/>
            </w:tcMar>
            <w:vAlign w:val="center"/>
          </w:tcPr>
          <w:p w:rsidR="00AC1B70" w:rsidRPr="00BE3A8F" w:rsidRDefault="00AC1B70" w:rsidP="00AC1B70">
            <w:pPr>
              <w:ind w:left="142"/>
              <w:rPr>
                <w:rFonts w:ascii="Arial" w:hAnsi="Arial" w:cs="Arial"/>
                <w:sz w:val="22"/>
                <w:szCs w:val="22"/>
              </w:rPr>
            </w:pPr>
            <w:r w:rsidRPr="00BE3A8F">
              <w:rPr>
                <w:rFonts w:ascii="Arial" w:hAnsi="Arial" w:cs="Arial"/>
                <w:sz w:val="22"/>
                <w:szCs w:val="22"/>
              </w:rPr>
              <w:lastRenderedPageBreak/>
              <w:t>Gastroenteritis</w:t>
            </w:r>
          </w:p>
        </w:tc>
        <w:tc>
          <w:tcPr>
            <w:tcW w:w="1309"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12 (2)</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3 (2)</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4 (2)</w:t>
            </w:r>
          </w:p>
        </w:tc>
      </w:tr>
      <w:tr w:rsidR="00AC1B70" w:rsidRPr="00BE3A8F" w:rsidTr="00AC1B70">
        <w:tc>
          <w:tcPr>
            <w:tcW w:w="9412" w:type="dxa"/>
            <w:gridSpan w:val="6"/>
            <w:tcMar>
              <w:left w:w="28" w:type="dxa"/>
              <w:right w:w="28" w:type="dxa"/>
            </w:tcMar>
            <w:vAlign w:val="center"/>
          </w:tcPr>
          <w:p w:rsidR="00AC1B70" w:rsidRPr="00BE3A8F" w:rsidRDefault="00AC1B70" w:rsidP="00AC1B70">
            <w:pPr>
              <w:rPr>
                <w:rFonts w:ascii="Arial" w:hAnsi="Arial" w:cs="Arial"/>
                <w:sz w:val="22"/>
                <w:szCs w:val="22"/>
              </w:rPr>
            </w:pPr>
            <w:r w:rsidRPr="00BE3A8F">
              <w:rPr>
                <w:rFonts w:ascii="Arial" w:hAnsi="Arial" w:cs="Arial"/>
                <w:sz w:val="22"/>
                <w:szCs w:val="22"/>
              </w:rPr>
              <w:t>Injury Poisoning and Procedural Complications</w:t>
            </w:r>
          </w:p>
        </w:tc>
      </w:tr>
      <w:tr w:rsidR="00AC1B70" w:rsidRPr="00BE3A8F" w:rsidTr="00BD59B8">
        <w:tc>
          <w:tcPr>
            <w:tcW w:w="2863" w:type="dxa"/>
            <w:tcMar>
              <w:left w:w="28" w:type="dxa"/>
              <w:right w:w="28" w:type="dxa"/>
            </w:tcMar>
            <w:vAlign w:val="center"/>
          </w:tcPr>
          <w:p w:rsidR="00AC1B70" w:rsidRPr="00BE3A8F" w:rsidRDefault="00AC1B70" w:rsidP="00AC1B70">
            <w:pPr>
              <w:ind w:left="142"/>
              <w:rPr>
                <w:rFonts w:ascii="Arial" w:hAnsi="Arial" w:cs="Arial"/>
                <w:sz w:val="22"/>
                <w:szCs w:val="22"/>
              </w:rPr>
            </w:pPr>
            <w:r w:rsidRPr="00BE3A8F">
              <w:rPr>
                <w:rFonts w:ascii="Arial" w:hAnsi="Arial" w:cs="Arial"/>
                <w:sz w:val="22"/>
                <w:szCs w:val="22"/>
              </w:rPr>
              <w:t>Joint Pain</w:t>
            </w:r>
          </w:p>
        </w:tc>
        <w:tc>
          <w:tcPr>
            <w:tcW w:w="1309"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3 (1)</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3 (2)</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0 (0)</w:t>
            </w:r>
          </w:p>
        </w:tc>
      </w:tr>
      <w:tr w:rsidR="00AC1B70" w:rsidRPr="00BE3A8F" w:rsidTr="00BD59B8">
        <w:tc>
          <w:tcPr>
            <w:tcW w:w="2863" w:type="dxa"/>
            <w:tcMar>
              <w:left w:w="28" w:type="dxa"/>
              <w:right w:w="28" w:type="dxa"/>
            </w:tcMar>
            <w:vAlign w:val="center"/>
          </w:tcPr>
          <w:p w:rsidR="00AC1B70" w:rsidRPr="00BE3A8F" w:rsidRDefault="00AC1B70" w:rsidP="00AC1B70">
            <w:pPr>
              <w:ind w:left="142"/>
              <w:rPr>
                <w:rFonts w:ascii="Arial" w:hAnsi="Arial" w:cs="Arial"/>
                <w:sz w:val="22"/>
                <w:szCs w:val="22"/>
              </w:rPr>
            </w:pPr>
            <w:r w:rsidRPr="00BE3A8F">
              <w:rPr>
                <w:rFonts w:ascii="Arial" w:hAnsi="Arial" w:cs="Arial"/>
                <w:sz w:val="22"/>
                <w:szCs w:val="22"/>
              </w:rPr>
              <w:t>Procedural Pain</w:t>
            </w:r>
          </w:p>
        </w:tc>
        <w:tc>
          <w:tcPr>
            <w:tcW w:w="1309"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 (&lt;1)</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5 (3)</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 (&lt;1)</w:t>
            </w:r>
          </w:p>
        </w:tc>
      </w:tr>
      <w:tr w:rsidR="00AC1B70" w:rsidRPr="00BE3A8F" w:rsidTr="00AC1B70">
        <w:tc>
          <w:tcPr>
            <w:tcW w:w="9412" w:type="dxa"/>
            <w:gridSpan w:val="6"/>
            <w:tcMar>
              <w:left w:w="28" w:type="dxa"/>
              <w:right w:w="28" w:type="dxa"/>
            </w:tcMar>
            <w:vAlign w:val="center"/>
          </w:tcPr>
          <w:p w:rsidR="00AC1B70" w:rsidRPr="00BE3A8F" w:rsidRDefault="00AC1B70" w:rsidP="00AC1B70">
            <w:pPr>
              <w:rPr>
                <w:rFonts w:ascii="Arial" w:hAnsi="Arial" w:cs="Arial"/>
                <w:sz w:val="22"/>
                <w:szCs w:val="22"/>
              </w:rPr>
            </w:pPr>
            <w:r w:rsidRPr="00BE3A8F">
              <w:rPr>
                <w:rFonts w:ascii="Arial" w:hAnsi="Arial" w:cs="Arial"/>
                <w:sz w:val="22"/>
                <w:szCs w:val="22"/>
              </w:rPr>
              <w:t>Metabolism and Nutrition Disorders</w:t>
            </w:r>
          </w:p>
        </w:tc>
      </w:tr>
      <w:tr w:rsidR="00AC1B70" w:rsidRPr="00BE3A8F" w:rsidTr="00BD59B8">
        <w:tc>
          <w:tcPr>
            <w:tcW w:w="2863" w:type="dxa"/>
            <w:tcMar>
              <w:left w:w="28" w:type="dxa"/>
              <w:right w:w="28" w:type="dxa"/>
            </w:tcMar>
            <w:vAlign w:val="center"/>
          </w:tcPr>
          <w:p w:rsidR="00AC1B70" w:rsidRPr="00BE3A8F" w:rsidRDefault="00AC1B70" w:rsidP="00AC1B70">
            <w:pPr>
              <w:ind w:left="142"/>
              <w:rPr>
                <w:rFonts w:ascii="Arial" w:hAnsi="Arial" w:cs="Arial"/>
                <w:sz w:val="22"/>
                <w:szCs w:val="22"/>
              </w:rPr>
            </w:pPr>
            <w:r w:rsidRPr="00BE3A8F">
              <w:rPr>
                <w:rFonts w:ascii="Arial" w:hAnsi="Arial" w:cs="Arial"/>
                <w:sz w:val="22"/>
                <w:szCs w:val="22"/>
              </w:rPr>
              <w:t>Hypoglycaemia</w:t>
            </w:r>
          </w:p>
        </w:tc>
        <w:tc>
          <w:tcPr>
            <w:tcW w:w="1309"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90 (15)</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28 (19)</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10 (6)</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15 (9)</w:t>
            </w:r>
          </w:p>
        </w:tc>
        <w:tc>
          <w:tcPr>
            <w:tcW w:w="1310"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97 (43)</w:t>
            </w:r>
          </w:p>
        </w:tc>
      </w:tr>
      <w:tr w:rsidR="00AC1B70" w:rsidRPr="00BE3A8F" w:rsidTr="00BD59B8">
        <w:tc>
          <w:tcPr>
            <w:tcW w:w="2863" w:type="dxa"/>
            <w:tcMar>
              <w:left w:w="28" w:type="dxa"/>
              <w:right w:w="28" w:type="dxa"/>
            </w:tcMar>
            <w:vAlign w:val="center"/>
          </w:tcPr>
          <w:p w:rsidR="00AC1B70" w:rsidRPr="00BE3A8F" w:rsidRDefault="00AC1B70" w:rsidP="00AC1B70">
            <w:pPr>
              <w:ind w:left="142"/>
              <w:rPr>
                <w:rFonts w:ascii="Arial" w:hAnsi="Arial" w:cs="Arial"/>
                <w:sz w:val="22"/>
                <w:szCs w:val="22"/>
              </w:rPr>
            </w:pPr>
            <w:r w:rsidRPr="00BE3A8F">
              <w:rPr>
                <w:rFonts w:ascii="Arial" w:hAnsi="Arial" w:cs="Arial"/>
                <w:sz w:val="22"/>
                <w:szCs w:val="22"/>
              </w:rPr>
              <w:t>Decreased Appetite</w:t>
            </w:r>
          </w:p>
        </w:tc>
        <w:tc>
          <w:tcPr>
            <w:tcW w:w="1309" w:type="dxa"/>
            <w:tcMar>
              <w:left w:w="28" w:type="dxa"/>
              <w:right w:w="28" w:type="dxa"/>
            </w:tcMar>
            <w:vAlign w:val="center"/>
          </w:tcPr>
          <w:p w:rsidR="00AC1B70" w:rsidRPr="00BE3A8F" w:rsidRDefault="00AC1B70" w:rsidP="00BD59B8">
            <w:pPr>
              <w:jc w:val="center"/>
              <w:rPr>
                <w:rFonts w:ascii="Arial" w:hAnsi="Arial" w:cs="Arial"/>
                <w:sz w:val="22"/>
                <w:szCs w:val="22"/>
              </w:rPr>
            </w:pPr>
            <w:r w:rsidRPr="00BE3A8F">
              <w:rPr>
                <w:rFonts w:ascii="Arial" w:hAnsi="Arial" w:cs="Arial"/>
                <w:sz w:val="22"/>
                <w:szCs w:val="22"/>
              </w:rPr>
              <w:t>15 (3)</w:t>
            </w:r>
          </w:p>
        </w:tc>
        <w:tc>
          <w:tcPr>
            <w:tcW w:w="1310" w:type="dxa"/>
            <w:tcMar>
              <w:left w:w="28" w:type="dxa"/>
              <w:right w:w="28" w:type="dxa"/>
            </w:tcMar>
            <w:vAlign w:val="center"/>
          </w:tcPr>
          <w:p w:rsidR="00AC1B70" w:rsidRPr="00BE3A8F" w:rsidRDefault="00AC1B70" w:rsidP="00AC1B70">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AC1B70" w:rsidRPr="00BE3A8F" w:rsidRDefault="00781C35"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AC1B70" w:rsidRPr="00BE3A8F" w:rsidRDefault="00781C35"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AC1B70" w:rsidRPr="00BE3A8F" w:rsidRDefault="00781C35" w:rsidP="00BD59B8">
            <w:pPr>
              <w:jc w:val="center"/>
              <w:rPr>
                <w:rFonts w:ascii="Arial" w:hAnsi="Arial" w:cs="Arial"/>
                <w:sz w:val="22"/>
                <w:szCs w:val="22"/>
              </w:rPr>
            </w:pPr>
            <w:r w:rsidRPr="00BE3A8F">
              <w:rPr>
                <w:rFonts w:ascii="Arial" w:hAnsi="Arial" w:cs="Arial"/>
                <w:sz w:val="22"/>
                <w:szCs w:val="22"/>
              </w:rPr>
              <w:t>0 (0)</w:t>
            </w:r>
          </w:p>
        </w:tc>
      </w:tr>
      <w:tr w:rsidR="00781C35" w:rsidRPr="00BE3A8F" w:rsidTr="00BD59B8">
        <w:tc>
          <w:tcPr>
            <w:tcW w:w="2863" w:type="dxa"/>
            <w:tcMar>
              <w:left w:w="28" w:type="dxa"/>
              <w:right w:w="28" w:type="dxa"/>
            </w:tcMar>
            <w:vAlign w:val="center"/>
          </w:tcPr>
          <w:p w:rsidR="00781C35" w:rsidRPr="00BE3A8F" w:rsidRDefault="00781C35" w:rsidP="00AC1B70">
            <w:pPr>
              <w:ind w:left="142"/>
              <w:rPr>
                <w:rFonts w:ascii="Arial" w:hAnsi="Arial" w:cs="Arial"/>
                <w:sz w:val="22"/>
                <w:szCs w:val="22"/>
              </w:rPr>
            </w:pPr>
            <w:r w:rsidRPr="00BE3A8F">
              <w:rPr>
                <w:rFonts w:ascii="Arial" w:hAnsi="Arial" w:cs="Arial"/>
                <w:sz w:val="22"/>
                <w:szCs w:val="22"/>
              </w:rPr>
              <w:t>Anorexia</w:t>
            </w:r>
          </w:p>
        </w:tc>
        <w:tc>
          <w:tcPr>
            <w:tcW w:w="1309"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12 (2)</w:t>
            </w:r>
          </w:p>
        </w:tc>
        <w:tc>
          <w:tcPr>
            <w:tcW w:w="1310" w:type="dxa"/>
            <w:tcMar>
              <w:left w:w="28" w:type="dxa"/>
              <w:right w:w="28" w:type="dxa"/>
            </w:tcMar>
            <w:vAlign w:val="center"/>
          </w:tcPr>
          <w:p w:rsidR="00781C35" w:rsidRPr="00BE3A8F" w:rsidRDefault="00781C35" w:rsidP="00AC1B70">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0 (0)</w:t>
            </w:r>
          </w:p>
        </w:tc>
      </w:tr>
      <w:tr w:rsidR="00781C35" w:rsidRPr="00BE3A8F" w:rsidTr="00BD59B8">
        <w:tc>
          <w:tcPr>
            <w:tcW w:w="2863" w:type="dxa"/>
            <w:tcMar>
              <w:left w:w="28" w:type="dxa"/>
              <w:right w:w="28" w:type="dxa"/>
            </w:tcMar>
            <w:vAlign w:val="center"/>
          </w:tcPr>
          <w:p w:rsidR="00781C35" w:rsidRPr="00BE3A8F" w:rsidRDefault="00781C35" w:rsidP="00AC1B70">
            <w:pPr>
              <w:ind w:left="142"/>
              <w:rPr>
                <w:rFonts w:ascii="Arial" w:hAnsi="Arial" w:cs="Arial"/>
                <w:sz w:val="22"/>
                <w:szCs w:val="22"/>
              </w:rPr>
            </w:pPr>
            <w:r w:rsidRPr="00BE3A8F">
              <w:rPr>
                <w:rFonts w:ascii="Arial" w:hAnsi="Arial" w:cs="Arial"/>
                <w:sz w:val="22"/>
                <w:szCs w:val="22"/>
              </w:rPr>
              <w:t>Hypokalaemia</w:t>
            </w:r>
          </w:p>
        </w:tc>
        <w:tc>
          <w:tcPr>
            <w:tcW w:w="1309"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3 (1)</w:t>
            </w:r>
          </w:p>
        </w:tc>
        <w:tc>
          <w:tcPr>
            <w:tcW w:w="1310" w:type="dxa"/>
            <w:tcMar>
              <w:left w:w="28" w:type="dxa"/>
              <w:right w:w="28" w:type="dxa"/>
            </w:tcMar>
            <w:vAlign w:val="center"/>
          </w:tcPr>
          <w:p w:rsidR="00781C35" w:rsidRPr="00BE3A8F" w:rsidRDefault="00781C35" w:rsidP="00AC1B70">
            <w:pPr>
              <w:jc w:val="center"/>
              <w:rPr>
                <w:rFonts w:ascii="Arial" w:hAnsi="Arial" w:cs="Arial"/>
                <w:sz w:val="22"/>
                <w:szCs w:val="22"/>
              </w:rPr>
            </w:pPr>
            <w:r w:rsidRPr="00BE3A8F">
              <w:rPr>
                <w:rFonts w:ascii="Arial" w:hAnsi="Arial" w:cs="Arial"/>
                <w:sz w:val="22"/>
                <w:szCs w:val="22"/>
              </w:rPr>
              <w:t>4 (3)</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0 (0)</w:t>
            </w:r>
          </w:p>
        </w:tc>
      </w:tr>
      <w:tr w:rsidR="00781C35" w:rsidRPr="00BE3A8F" w:rsidTr="00781C35">
        <w:tc>
          <w:tcPr>
            <w:tcW w:w="9412" w:type="dxa"/>
            <w:gridSpan w:val="6"/>
            <w:tcMar>
              <w:left w:w="28" w:type="dxa"/>
              <w:right w:w="28" w:type="dxa"/>
            </w:tcMar>
            <w:vAlign w:val="center"/>
          </w:tcPr>
          <w:p w:rsidR="00781C35" w:rsidRPr="00BE3A8F" w:rsidRDefault="00781C35" w:rsidP="00781C35">
            <w:pPr>
              <w:rPr>
                <w:rFonts w:ascii="Arial" w:hAnsi="Arial" w:cs="Arial"/>
                <w:sz w:val="22"/>
                <w:szCs w:val="22"/>
              </w:rPr>
            </w:pPr>
            <w:r w:rsidRPr="00BE3A8F">
              <w:rPr>
                <w:rFonts w:ascii="Arial" w:hAnsi="Arial" w:cs="Arial"/>
                <w:sz w:val="22"/>
                <w:szCs w:val="22"/>
              </w:rPr>
              <w:t>Musculoskeletal and Connective Tissue Disorders</w:t>
            </w:r>
          </w:p>
        </w:tc>
      </w:tr>
      <w:tr w:rsidR="00781C35" w:rsidRPr="00BE3A8F" w:rsidTr="00BD59B8">
        <w:tc>
          <w:tcPr>
            <w:tcW w:w="2863" w:type="dxa"/>
            <w:tcMar>
              <w:left w:w="28" w:type="dxa"/>
              <w:right w:w="28" w:type="dxa"/>
            </w:tcMar>
            <w:vAlign w:val="center"/>
          </w:tcPr>
          <w:p w:rsidR="00781C35" w:rsidRPr="00BE3A8F" w:rsidRDefault="00781C35" w:rsidP="00AC1B70">
            <w:pPr>
              <w:ind w:left="142"/>
              <w:rPr>
                <w:rFonts w:ascii="Arial" w:hAnsi="Arial" w:cs="Arial"/>
                <w:sz w:val="22"/>
                <w:szCs w:val="22"/>
              </w:rPr>
            </w:pPr>
            <w:r w:rsidRPr="00BE3A8F">
              <w:rPr>
                <w:rFonts w:ascii="Arial" w:hAnsi="Arial" w:cs="Arial"/>
                <w:sz w:val="22"/>
                <w:szCs w:val="22"/>
              </w:rPr>
              <w:t>Back Pain</w:t>
            </w:r>
          </w:p>
        </w:tc>
        <w:tc>
          <w:tcPr>
            <w:tcW w:w="1309"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24 (4)</w:t>
            </w:r>
          </w:p>
        </w:tc>
        <w:tc>
          <w:tcPr>
            <w:tcW w:w="1310" w:type="dxa"/>
            <w:tcMar>
              <w:left w:w="28" w:type="dxa"/>
              <w:right w:w="28" w:type="dxa"/>
            </w:tcMar>
            <w:vAlign w:val="center"/>
          </w:tcPr>
          <w:p w:rsidR="00781C35" w:rsidRPr="00BE3A8F" w:rsidRDefault="00781C35" w:rsidP="00AC1B70">
            <w:pPr>
              <w:jc w:val="center"/>
              <w:rPr>
                <w:rFonts w:ascii="Arial" w:hAnsi="Arial" w:cs="Arial"/>
                <w:sz w:val="22"/>
                <w:szCs w:val="22"/>
              </w:rPr>
            </w:pPr>
            <w:r w:rsidRPr="00BE3A8F">
              <w:rPr>
                <w:rFonts w:ascii="Arial" w:hAnsi="Arial" w:cs="Arial"/>
                <w:sz w:val="22"/>
                <w:szCs w:val="22"/>
              </w:rPr>
              <w:t>6 (4)</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5 (3)</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7 (4)</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7 (3)</w:t>
            </w:r>
          </w:p>
        </w:tc>
      </w:tr>
      <w:tr w:rsidR="00781C35" w:rsidRPr="00BE3A8F" w:rsidTr="00BD59B8">
        <w:tc>
          <w:tcPr>
            <w:tcW w:w="2863" w:type="dxa"/>
            <w:tcMar>
              <w:left w:w="28" w:type="dxa"/>
              <w:right w:w="28" w:type="dxa"/>
            </w:tcMar>
            <w:vAlign w:val="center"/>
          </w:tcPr>
          <w:p w:rsidR="00781C35" w:rsidRPr="00BE3A8F" w:rsidRDefault="00781C35" w:rsidP="00AC1B70">
            <w:pPr>
              <w:ind w:left="142"/>
              <w:rPr>
                <w:rFonts w:ascii="Arial" w:hAnsi="Arial" w:cs="Arial"/>
                <w:sz w:val="22"/>
                <w:szCs w:val="22"/>
              </w:rPr>
            </w:pPr>
            <w:r w:rsidRPr="00BE3A8F">
              <w:rPr>
                <w:rFonts w:ascii="Arial" w:hAnsi="Arial" w:cs="Arial"/>
                <w:sz w:val="22"/>
                <w:szCs w:val="22"/>
              </w:rPr>
              <w:t>Arthralgia</w:t>
            </w:r>
          </w:p>
        </w:tc>
        <w:tc>
          <w:tcPr>
            <w:tcW w:w="1309"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21 (4)</w:t>
            </w:r>
          </w:p>
        </w:tc>
        <w:tc>
          <w:tcPr>
            <w:tcW w:w="1310" w:type="dxa"/>
            <w:tcMar>
              <w:left w:w="28" w:type="dxa"/>
              <w:right w:w="28" w:type="dxa"/>
            </w:tcMar>
            <w:vAlign w:val="center"/>
          </w:tcPr>
          <w:p w:rsidR="00781C35" w:rsidRPr="00BE3A8F" w:rsidRDefault="00781C35" w:rsidP="00AC1B70">
            <w:pPr>
              <w:jc w:val="center"/>
              <w:rPr>
                <w:rFonts w:ascii="Arial" w:hAnsi="Arial" w:cs="Arial"/>
                <w:sz w:val="22"/>
                <w:szCs w:val="22"/>
              </w:rPr>
            </w:pPr>
            <w:r w:rsidRPr="00BE3A8F">
              <w:rPr>
                <w:rFonts w:ascii="Arial" w:hAnsi="Arial" w:cs="Arial"/>
                <w:sz w:val="22"/>
                <w:szCs w:val="22"/>
              </w:rPr>
              <w:t>6 (4)</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3 (2)</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8 (5)</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6 (3)</w:t>
            </w:r>
          </w:p>
        </w:tc>
      </w:tr>
      <w:tr w:rsidR="00781C35" w:rsidRPr="00BE3A8F" w:rsidTr="00BD59B8">
        <w:tc>
          <w:tcPr>
            <w:tcW w:w="2863" w:type="dxa"/>
            <w:tcMar>
              <w:left w:w="28" w:type="dxa"/>
              <w:right w:w="28" w:type="dxa"/>
            </w:tcMar>
            <w:vAlign w:val="center"/>
          </w:tcPr>
          <w:p w:rsidR="00781C35" w:rsidRPr="00BE3A8F" w:rsidRDefault="00781C35" w:rsidP="00AC1B70">
            <w:pPr>
              <w:ind w:left="142"/>
              <w:rPr>
                <w:rFonts w:ascii="Arial" w:hAnsi="Arial" w:cs="Arial"/>
                <w:sz w:val="22"/>
                <w:szCs w:val="22"/>
              </w:rPr>
            </w:pPr>
            <w:r w:rsidRPr="00BE3A8F">
              <w:rPr>
                <w:rFonts w:ascii="Arial" w:hAnsi="Arial" w:cs="Arial"/>
                <w:sz w:val="22"/>
                <w:szCs w:val="22"/>
              </w:rPr>
              <w:t>Pain in Extremity</w:t>
            </w:r>
          </w:p>
        </w:tc>
        <w:tc>
          <w:tcPr>
            <w:tcW w:w="1309"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13 (2)</w:t>
            </w:r>
          </w:p>
        </w:tc>
        <w:tc>
          <w:tcPr>
            <w:tcW w:w="1310" w:type="dxa"/>
            <w:tcMar>
              <w:left w:w="28" w:type="dxa"/>
              <w:right w:w="28" w:type="dxa"/>
            </w:tcMar>
            <w:vAlign w:val="center"/>
          </w:tcPr>
          <w:p w:rsidR="00781C35" w:rsidRPr="00BE3A8F" w:rsidRDefault="00781C35" w:rsidP="00AC1B70">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4 (2)</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2 (1)</w:t>
            </w:r>
          </w:p>
        </w:tc>
      </w:tr>
      <w:tr w:rsidR="00781C35" w:rsidRPr="00BE3A8F" w:rsidTr="00BD59B8">
        <w:tc>
          <w:tcPr>
            <w:tcW w:w="2863" w:type="dxa"/>
            <w:tcMar>
              <w:left w:w="28" w:type="dxa"/>
              <w:right w:w="28" w:type="dxa"/>
            </w:tcMar>
            <w:vAlign w:val="center"/>
          </w:tcPr>
          <w:p w:rsidR="00781C35" w:rsidRPr="00BE3A8F" w:rsidRDefault="00781C35" w:rsidP="00AC1B70">
            <w:pPr>
              <w:ind w:left="142"/>
              <w:rPr>
                <w:rFonts w:ascii="Arial" w:hAnsi="Arial" w:cs="Arial"/>
                <w:sz w:val="22"/>
                <w:szCs w:val="22"/>
              </w:rPr>
            </w:pPr>
            <w:r w:rsidRPr="00BE3A8F">
              <w:rPr>
                <w:rFonts w:ascii="Arial" w:hAnsi="Arial" w:cs="Arial"/>
                <w:sz w:val="22"/>
                <w:szCs w:val="22"/>
              </w:rPr>
              <w:t>Musculoskeletal Pain</w:t>
            </w:r>
          </w:p>
        </w:tc>
        <w:tc>
          <w:tcPr>
            <w:tcW w:w="1309"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11 (2)</w:t>
            </w:r>
          </w:p>
        </w:tc>
        <w:tc>
          <w:tcPr>
            <w:tcW w:w="1310" w:type="dxa"/>
            <w:tcMar>
              <w:left w:w="28" w:type="dxa"/>
              <w:right w:w="28" w:type="dxa"/>
            </w:tcMar>
            <w:vAlign w:val="center"/>
          </w:tcPr>
          <w:p w:rsidR="00781C35" w:rsidRPr="00BE3A8F" w:rsidRDefault="00781C35" w:rsidP="00AC1B70">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3 (2)</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7 (3)</w:t>
            </w:r>
          </w:p>
        </w:tc>
      </w:tr>
      <w:tr w:rsidR="00781C35" w:rsidRPr="00BE3A8F" w:rsidTr="00BD59B8">
        <w:tc>
          <w:tcPr>
            <w:tcW w:w="2863" w:type="dxa"/>
            <w:tcMar>
              <w:left w:w="28" w:type="dxa"/>
              <w:right w:w="28" w:type="dxa"/>
            </w:tcMar>
            <w:vAlign w:val="center"/>
          </w:tcPr>
          <w:p w:rsidR="00781C35" w:rsidRPr="00BE3A8F" w:rsidRDefault="00781C35" w:rsidP="00AC1B70">
            <w:pPr>
              <w:ind w:left="142"/>
              <w:rPr>
                <w:rFonts w:ascii="Arial" w:hAnsi="Arial" w:cs="Arial"/>
                <w:sz w:val="22"/>
                <w:szCs w:val="22"/>
              </w:rPr>
            </w:pPr>
            <w:r w:rsidRPr="00BE3A8F">
              <w:rPr>
                <w:rFonts w:ascii="Arial" w:hAnsi="Arial" w:cs="Arial"/>
                <w:sz w:val="22"/>
                <w:szCs w:val="22"/>
              </w:rPr>
              <w:t>Muscle Spasms</w:t>
            </w:r>
          </w:p>
        </w:tc>
        <w:tc>
          <w:tcPr>
            <w:tcW w:w="1309"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5 (1)</w:t>
            </w:r>
          </w:p>
        </w:tc>
        <w:tc>
          <w:tcPr>
            <w:tcW w:w="1310" w:type="dxa"/>
            <w:tcMar>
              <w:left w:w="28" w:type="dxa"/>
              <w:right w:w="28" w:type="dxa"/>
            </w:tcMar>
            <w:vAlign w:val="center"/>
          </w:tcPr>
          <w:p w:rsidR="00781C35" w:rsidRPr="00BE3A8F" w:rsidRDefault="00781C35" w:rsidP="00AC1B70">
            <w:pPr>
              <w:jc w:val="center"/>
              <w:rPr>
                <w:rFonts w:ascii="Arial" w:hAnsi="Arial" w:cs="Arial"/>
                <w:sz w:val="22"/>
                <w:szCs w:val="22"/>
              </w:rPr>
            </w:pPr>
            <w:r w:rsidRPr="00BE3A8F">
              <w:rPr>
                <w:rFonts w:ascii="Arial" w:hAnsi="Arial" w:cs="Arial"/>
                <w:sz w:val="22"/>
                <w:szCs w:val="22"/>
              </w:rPr>
              <w:t xml:space="preserve"> 3 (2)</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781C35" w:rsidRPr="00BE3A8F" w:rsidRDefault="00781C35" w:rsidP="00BD59B8">
            <w:pPr>
              <w:jc w:val="center"/>
              <w:rPr>
                <w:rFonts w:ascii="Arial" w:hAnsi="Arial" w:cs="Arial"/>
                <w:sz w:val="22"/>
                <w:szCs w:val="22"/>
              </w:rPr>
            </w:pPr>
            <w:r w:rsidRPr="00BE3A8F">
              <w:rPr>
                <w:rFonts w:ascii="Arial" w:hAnsi="Arial" w:cs="Arial"/>
                <w:sz w:val="22"/>
                <w:szCs w:val="22"/>
              </w:rPr>
              <w:t>1 (&lt;1)</w:t>
            </w:r>
          </w:p>
        </w:tc>
      </w:tr>
      <w:tr w:rsidR="00781C35" w:rsidRPr="00BE3A8F" w:rsidTr="00781C35">
        <w:tc>
          <w:tcPr>
            <w:tcW w:w="9412" w:type="dxa"/>
            <w:gridSpan w:val="6"/>
            <w:tcMar>
              <w:left w:w="28" w:type="dxa"/>
              <w:right w:w="28" w:type="dxa"/>
            </w:tcMar>
            <w:vAlign w:val="center"/>
          </w:tcPr>
          <w:p w:rsidR="00781C35" w:rsidRPr="00BE3A8F" w:rsidRDefault="00781C35" w:rsidP="00781C35">
            <w:pPr>
              <w:rPr>
                <w:rFonts w:ascii="Arial" w:hAnsi="Arial" w:cs="Arial"/>
                <w:sz w:val="22"/>
                <w:szCs w:val="22"/>
              </w:rPr>
            </w:pPr>
            <w:r w:rsidRPr="00BE3A8F">
              <w:rPr>
                <w:rFonts w:ascii="Arial" w:hAnsi="Arial" w:cs="Arial"/>
                <w:sz w:val="22"/>
                <w:szCs w:val="22"/>
              </w:rPr>
              <w:t>Nervous System Disorders</w:t>
            </w:r>
          </w:p>
        </w:tc>
      </w:tr>
      <w:tr w:rsidR="00781C35" w:rsidRPr="00BE3A8F" w:rsidTr="00BD59B8">
        <w:tc>
          <w:tcPr>
            <w:tcW w:w="2863" w:type="dxa"/>
            <w:tcMar>
              <w:left w:w="28" w:type="dxa"/>
              <w:right w:w="28" w:type="dxa"/>
            </w:tcMar>
            <w:vAlign w:val="center"/>
          </w:tcPr>
          <w:p w:rsidR="00781C35" w:rsidRPr="00BE3A8F" w:rsidRDefault="00D25A2B" w:rsidP="00AC1B70">
            <w:pPr>
              <w:ind w:left="142"/>
              <w:rPr>
                <w:rFonts w:ascii="Arial" w:hAnsi="Arial" w:cs="Arial"/>
                <w:sz w:val="22"/>
                <w:szCs w:val="22"/>
              </w:rPr>
            </w:pPr>
            <w:r w:rsidRPr="00BE3A8F">
              <w:rPr>
                <w:rFonts w:ascii="Arial" w:hAnsi="Arial" w:cs="Arial"/>
                <w:sz w:val="22"/>
                <w:szCs w:val="22"/>
              </w:rPr>
              <w:t>Headache</w:t>
            </w:r>
          </w:p>
        </w:tc>
        <w:tc>
          <w:tcPr>
            <w:tcW w:w="1309" w:type="dxa"/>
            <w:tcMar>
              <w:left w:w="28" w:type="dxa"/>
              <w:right w:w="28" w:type="dxa"/>
            </w:tcMar>
            <w:vAlign w:val="center"/>
          </w:tcPr>
          <w:p w:rsidR="00781C35" w:rsidRPr="00BE3A8F" w:rsidRDefault="00D25A2B" w:rsidP="00BD59B8">
            <w:pPr>
              <w:jc w:val="center"/>
              <w:rPr>
                <w:rFonts w:ascii="Arial" w:hAnsi="Arial" w:cs="Arial"/>
                <w:sz w:val="22"/>
                <w:szCs w:val="22"/>
              </w:rPr>
            </w:pPr>
            <w:r w:rsidRPr="00BE3A8F">
              <w:rPr>
                <w:rFonts w:ascii="Arial" w:hAnsi="Arial" w:cs="Arial"/>
                <w:sz w:val="22"/>
                <w:szCs w:val="22"/>
              </w:rPr>
              <w:t>50 (8)</w:t>
            </w:r>
          </w:p>
        </w:tc>
        <w:tc>
          <w:tcPr>
            <w:tcW w:w="1310" w:type="dxa"/>
            <w:tcMar>
              <w:left w:w="28" w:type="dxa"/>
              <w:right w:w="28" w:type="dxa"/>
            </w:tcMar>
            <w:vAlign w:val="center"/>
          </w:tcPr>
          <w:p w:rsidR="00781C35" w:rsidRPr="00BE3A8F" w:rsidRDefault="00D25A2B" w:rsidP="00AC1B70">
            <w:pPr>
              <w:jc w:val="center"/>
              <w:rPr>
                <w:rFonts w:ascii="Arial" w:hAnsi="Arial" w:cs="Arial"/>
                <w:sz w:val="22"/>
                <w:szCs w:val="22"/>
              </w:rPr>
            </w:pPr>
            <w:r w:rsidRPr="00BE3A8F">
              <w:rPr>
                <w:rFonts w:ascii="Arial" w:hAnsi="Arial" w:cs="Arial"/>
                <w:sz w:val="22"/>
                <w:szCs w:val="22"/>
              </w:rPr>
              <w:t>7 (5)</w:t>
            </w:r>
          </w:p>
        </w:tc>
        <w:tc>
          <w:tcPr>
            <w:tcW w:w="1310" w:type="dxa"/>
            <w:tcMar>
              <w:left w:w="28" w:type="dxa"/>
              <w:right w:w="28" w:type="dxa"/>
            </w:tcMar>
            <w:vAlign w:val="center"/>
          </w:tcPr>
          <w:p w:rsidR="00781C35" w:rsidRPr="00BE3A8F" w:rsidRDefault="00D25A2B" w:rsidP="00BD59B8">
            <w:pPr>
              <w:jc w:val="center"/>
              <w:rPr>
                <w:rFonts w:ascii="Arial" w:hAnsi="Arial" w:cs="Arial"/>
                <w:sz w:val="22"/>
                <w:szCs w:val="22"/>
              </w:rPr>
            </w:pPr>
            <w:r w:rsidRPr="00BE3A8F">
              <w:rPr>
                <w:rFonts w:ascii="Arial" w:hAnsi="Arial" w:cs="Arial"/>
                <w:sz w:val="22"/>
                <w:szCs w:val="22"/>
              </w:rPr>
              <w:t>7 (4)</w:t>
            </w:r>
          </w:p>
        </w:tc>
        <w:tc>
          <w:tcPr>
            <w:tcW w:w="1310" w:type="dxa"/>
            <w:tcMar>
              <w:left w:w="28" w:type="dxa"/>
              <w:right w:w="28" w:type="dxa"/>
            </w:tcMar>
            <w:vAlign w:val="center"/>
          </w:tcPr>
          <w:p w:rsidR="00781C35" w:rsidRPr="00BE3A8F" w:rsidRDefault="00D25A2B" w:rsidP="00BD59B8">
            <w:pPr>
              <w:jc w:val="center"/>
              <w:rPr>
                <w:rFonts w:ascii="Arial" w:hAnsi="Arial" w:cs="Arial"/>
                <w:sz w:val="22"/>
                <w:szCs w:val="22"/>
              </w:rPr>
            </w:pPr>
            <w:r w:rsidRPr="00BE3A8F">
              <w:rPr>
                <w:rFonts w:ascii="Arial" w:hAnsi="Arial" w:cs="Arial"/>
                <w:sz w:val="22"/>
                <w:szCs w:val="22"/>
              </w:rPr>
              <w:t>15 (9)</w:t>
            </w:r>
          </w:p>
        </w:tc>
        <w:tc>
          <w:tcPr>
            <w:tcW w:w="1310" w:type="dxa"/>
            <w:tcMar>
              <w:left w:w="28" w:type="dxa"/>
              <w:right w:w="28" w:type="dxa"/>
            </w:tcMar>
            <w:vAlign w:val="center"/>
          </w:tcPr>
          <w:p w:rsidR="00781C35" w:rsidRPr="00BE3A8F" w:rsidRDefault="00D25A2B" w:rsidP="00BD59B8">
            <w:pPr>
              <w:jc w:val="center"/>
              <w:rPr>
                <w:rFonts w:ascii="Arial" w:hAnsi="Arial" w:cs="Arial"/>
                <w:sz w:val="22"/>
                <w:szCs w:val="22"/>
              </w:rPr>
            </w:pPr>
            <w:r w:rsidRPr="00BE3A8F">
              <w:rPr>
                <w:rFonts w:ascii="Arial" w:hAnsi="Arial" w:cs="Arial"/>
                <w:sz w:val="22"/>
                <w:szCs w:val="22"/>
              </w:rPr>
              <w:t>20 (9)</w:t>
            </w:r>
          </w:p>
        </w:tc>
      </w:tr>
      <w:tr w:rsidR="00D25A2B" w:rsidRPr="00BE3A8F" w:rsidTr="00BD59B8">
        <w:tc>
          <w:tcPr>
            <w:tcW w:w="2863" w:type="dxa"/>
            <w:tcMar>
              <w:left w:w="28" w:type="dxa"/>
              <w:right w:w="28" w:type="dxa"/>
            </w:tcMar>
            <w:vAlign w:val="center"/>
          </w:tcPr>
          <w:p w:rsidR="00D25A2B" w:rsidRPr="00BE3A8F" w:rsidRDefault="00D25A2B" w:rsidP="00AC1B70">
            <w:pPr>
              <w:ind w:left="142"/>
              <w:rPr>
                <w:rFonts w:ascii="Arial" w:hAnsi="Arial" w:cs="Arial"/>
                <w:sz w:val="22"/>
                <w:szCs w:val="22"/>
              </w:rPr>
            </w:pPr>
            <w:r w:rsidRPr="00BE3A8F">
              <w:rPr>
                <w:rFonts w:ascii="Arial" w:hAnsi="Arial" w:cs="Arial"/>
                <w:sz w:val="22"/>
                <w:szCs w:val="22"/>
              </w:rPr>
              <w:t>Dizziness</w:t>
            </w:r>
          </w:p>
        </w:tc>
        <w:tc>
          <w:tcPr>
            <w:tcW w:w="1309"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15 (3)</w:t>
            </w:r>
          </w:p>
        </w:tc>
        <w:tc>
          <w:tcPr>
            <w:tcW w:w="1310" w:type="dxa"/>
            <w:tcMar>
              <w:left w:w="28" w:type="dxa"/>
              <w:right w:w="28" w:type="dxa"/>
            </w:tcMar>
            <w:vAlign w:val="center"/>
          </w:tcPr>
          <w:p w:rsidR="00D25A2B" w:rsidRPr="00BE3A8F" w:rsidRDefault="00D25A2B" w:rsidP="00AC1B70">
            <w:pPr>
              <w:jc w:val="center"/>
              <w:rPr>
                <w:rFonts w:ascii="Arial" w:hAnsi="Arial" w:cs="Arial"/>
                <w:sz w:val="22"/>
                <w:szCs w:val="22"/>
              </w:rPr>
            </w:pPr>
            <w:r w:rsidRPr="00BE3A8F">
              <w:rPr>
                <w:rFonts w:ascii="Arial" w:hAnsi="Arial" w:cs="Arial"/>
                <w:sz w:val="22"/>
                <w:szCs w:val="22"/>
              </w:rPr>
              <w:t>9 (6)</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6 (4)</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8 (5)</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3 (1)</w:t>
            </w:r>
          </w:p>
        </w:tc>
      </w:tr>
      <w:tr w:rsidR="00D25A2B" w:rsidRPr="00BE3A8F" w:rsidTr="00BD59B8">
        <w:tc>
          <w:tcPr>
            <w:tcW w:w="2863" w:type="dxa"/>
            <w:tcMar>
              <w:left w:w="28" w:type="dxa"/>
              <w:right w:w="28" w:type="dxa"/>
            </w:tcMar>
            <w:vAlign w:val="center"/>
          </w:tcPr>
          <w:p w:rsidR="00D25A2B" w:rsidRPr="00BE3A8F" w:rsidRDefault="00D25A2B" w:rsidP="00AC1B70">
            <w:pPr>
              <w:ind w:left="142"/>
              <w:rPr>
                <w:rFonts w:ascii="Arial" w:hAnsi="Arial" w:cs="Arial"/>
                <w:sz w:val="22"/>
                <w:szCs w:val="22"/>
              </w:rPr>
            </w:pPr>
            <w:r w:rsidRPr="00BE3A8F">
              <w:rPr>
                <w:rFonts w:ascii="Arial" w:hAnsi="Arial" w:cs="Arial"/>
                <w:sz w:val="22"/>
                <w:szCs w:val="22"/>
              </w:rPr>
              <w:t>Diabetic Neuropathy</w:t>
            </w:r>
          </w:p>
        </w:tc>
        <w:tc>
          <w:tcPr>
            <w:tcW w:w="1309"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2 (&lt;1)</w:t>
            </w:r>
          </w:p>
        </w:tc>
        <w:tc>
          <w:tcPr>
            <w:tcW w:w="1310" w:type="dxa"/>
            <w:tcMar>
              <w:left w:w="28" w:type="dxa"/>
              <w:right w:w="28" w:type="dxa"/>
            </w:tcMar>
            <w:vAlign w:val="center"/>
          </w:tcPr>
          <w:p w:rsidR="00D25A2B" w:rsidRPr="00BE3A8F" w:rsidRDefault="00D25A2B" w:rsidP="00AC1B70">
            <w:pPr>
              <w:jc w:val="center"/>
              <w:rPr>
                <w:rFonts w:ascii="Arial" w:hAnsi="Arial" w:cs="Arial"/>
                <w:sz w:val="22"/>
                <w:szCs w:val="22"/>
              </w:rPr>
            </w:pPr>
            <w:r w:rsidRPr="00BE3A8F">
              <w:rPr>
                <w:rFonts w:ascii="Arial" w:hAnsi="Arial" w:cs="Arial"/>
                <w:sz w:val="22"/>
                <w:szCs w:val="22"/>
              </w:rPr>
              <w:t>3 (2)</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0 (0)</w:t>
            </w:r>
          </w:p>
        </w:tc>
      </w:tr>
      <w:tr w:rsidR="00D25A2B" w:rsidRPr="00BE3A8F" w:rsidTr="00D25A2B">
        <w:tc>
          <w:tcPr>
            <w:tcW w:w="9412" w:type="dxa"/>
            <w:gridSpan w:val="6"/>
            <w:tcMar>
              <w:left w:w="28" w:type="dxa"/>
              <w:right w:w="28" w:type="dxa"/>
            </w:tcMar>
            <w:vAlign w:val="center"/>
          </w:tcPr>
          <w:p w:rsidR="00D25A2B" w:rsidRPr="00BE3A8F" w:rsidRDefault="00D25A2B" w:rsidP="00D25A2B">
            <w:pPr>
              <w:rPr>
                <w:rFonts w:ascii="Arial" w:hAnsi="Arial" w:cs="Arial"/>
                <w:sz w:val="22"/>
                <w:szCs w:val="22"/>
              </w:rPr>
            </w:pPr>
            <w:r w:rsidRPr="00BE3A8F">
              <w:rPr>
                <w:rFonts w:ascii="Arial" w:hAnsi="Arial" w:cs="Arial"/>
                <w:sz w:val="22"/>
                <w:szCs w:val="22"/>
              </w:rPr>
              <w:t>Psychiatric Disorders</w:t>
            </w:r>
          </w:p>
        </w:tc>
      </w:tr>
      <w:tr w:rsidR="00D25A2B" w:rsidRPr="00BE3A8F" w:rsidTr="00BD59B8">
        <w:tc>
          <w:tcPr>
            <w:tcW w:w="2863" w:type="dxa"/>
            <w:tcMar>
              <w:left w:w="28" w:type="dxa"/>
              <w:right w:w="28" w:type="dxa"/>
            </w:tcMar>
            <w:vAlign w:val="center"/>
          </w:tcPr>
          <w:p w:rsidR="00D25A2B" w:rsidRPr="00BE3A8F" w:rsidRDefault="00D25A2B" w:rsidP="00AC1B70">
            <w:pPr>
              <w:ind w:left="142"/>
              <w:rPr>
                <w:rFonts w:ascii="Arial" w:hAnsi="Arial" w:cs="Arial"/>
                <w:sz w:val="22"/>
                <w:szCs w:val="22"/>
              </w:rPr>
            </w:pPr>
            <w:r w:rsidRPr="00BE3A8F">
              <w:rPr>
                <w:rFonts w:ascii="Arial" w:hAnsi="Arial" w:cs="Arial"/>
                <w:sz w:val="22"/>
                <w:szCs w:val="22"/>
              </w:rPr>
              <w:t>Depression</w:t>
            </w:r>
          </w:p>
        </w:tc>
        <w:tc>
          <w:tcPr>
            <w:tcW w:w="1309"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6 (1)</w:t>
            </w:r>
          </w:p>
        </w:tc>
        <w:tc>
          <w:tcPr>
            <w:tcW w:w="1310" w:type="dxa"/>
            <w:tcMar>
              <w:left w:w="28" w:type="dxa"/>
              <w:right w:w="28" w:type="dxa"/>
            </w:tcMar>
            <w:vAlign w:val="center"/>
          </w:tcPr>
          <w:p w:rsidR="00D25A2B" w:rsidRPr="00BE3A8F" w:rsidRDefault="00D25A2B" w:rsidP="00AC1B70">
            <w:pPr>
              <w:jc w:val="center"/>
              <w:rPr>
                <w:rFonts w:ascii="Arial" w:hAnsi="Arial" w:cs="Arial"/>
                <w:sz w:val="22"/>
                <w:szCs w:val="22"/>
              </w:rPr>
            </w:pPr>
            <w:r w:rsidRPr="00BE3A8F">
              <w:rPr>
                <w:rFonts w:ascii="Arial" w:hAnsi="Arial" w:cs="Arial"/>
                <w:sz w:val="22"/>
                <w:szCs w:val="22"/>
              </w:rPr>
              <w:t>4 (3)</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3 (2)</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 (&lt;1)</w:t>
            </w:r>
          </w:p>
        </w:tc>
      </w:tr>
      <w:tr w:rsidR="00D25A2B" w:rsidRPr="00BE3A8F" w:rsidTr="00BD59B8">
        <w:tc>
          <w:tcPr>
            <w:tcW w:w="2863" w:type="dxa"/>
            <w:tcMar>
              <w:left w:w="28" w:type="dxa"/>
              <w:right w:w="28" w:type="dxa"/>
            </w:tcMar>
            <w:vAlign w:val="center"/>
          </w:tcPr>
          <w:p w:rsidR="00D25A2B" w:rsidRPr="00BE3A8F" w:rsidRDefault="00D25A2B" w:rsidP="00AC1B70">
            <w:pPr>
              <w:ind w:left="142"/>
              <w:rPr>
                <w:rFonts w:ascii="Arial" w:hAnsi="Arial" w:cs="Arial"/>
                <w:sz w:val="22"/>
                <w:szCs w:val="22"/>
              </w:rPr>
            </w:pPr>
            <w:r w:rsidRPr="00BE3A8F">
              <w:rPr>
                <w:rFonts w:ascii="Arial" w:hAnsi="Arial" w:cs="Arial"/>
                <w:sz w:val="22"/>
                <w:szCs w:val="22"/>
              </w:rPr>
              <w:t>Insomnia</w:t>
            </w:r>
          </w:p>
        </w:tc>
        <w:tc>
          <w:tcPr>
            <w:tcW w:w="1309"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4 (1)</w:t>
            </w:r>
          </w:p>
        </w:tc>
        <w:tc>
          <w:tcPr>
            <w:tcW w:w="1310" w:type="dxa"/>
            <w:tcMar>
              <w:left w:w="28" w:type="dxa"/>
              <w:right w:w="28" w:type="dxa"/>
            </w:tcMar>
            <w:vAlign w:val="center"/>
          </w:tcPr>
          <w:p w:rsidR="00D25A2B" w:rsidRPr="00BE3A8F" w:rsidRDefault="00D25A2B" w:rsidP="00AC1B70">
            <w:pPr>
              <w:jc w:val="center"/>
              <w:rPr>
                <w:rFonts w:ascii="Arial" w:hAnsi="Arial" w:cs="Arial"/>
                <w:sz w:val="22"/>
                <w:szCs w:val="22"/>
              </w:rPr>
            </w:pPr>
            <w:r w:rsidRPr="00BE3A8F">
              <w:rPr>
                <w:rFonts w:ascii="Arial" w:hAnsi="Arial" w:cs="Arial"/>
                <w:sz w:val="22"/>
                <w:szCs w:val="22"/>
              </w:rPr>
              <w:t>4 (3)</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D25A2B" w:rsidRPr="00BE3A8F" w:rsidRDefault="00D25A2B" w:rsidP="00D25A2B">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 (&lt;1)</w:t>
            </w:r>
          </w:p>
        </w:tc>
      </w:tr>
      <w:tr w:rsidR="00D25A2B" w:rsidRPr="00BE3A8F" w:rsidTr="00BD59B8">
        <w:tc>
          <w:tcPr>
            <w:tcW w:w="2863" w:type="dxa"/>
            <w:tcMar>
              <w:left w:w="28" w:type="dxa"/>
              <w:right w:w="28" w:type="dxa"/>
            </w:tcMar>
            <w:vAlign w:val="center"/>
          </w:tcPr>
          <w:p w:rsidR="00D25A2B" w:rsidRPr="00BE3A8F" w:rsidRDefault="00D25A2B" w:rsidP="00AC1B70">
            <w:pPr>
              <w:ind w:left="142"/>
              <w:rPr>
                <w:rFonts w:ascii="Arial" w:hAnsi="Arial" w:cs="Arial"/>
                <w:sz w:val="22"/>
                <w:szCs w:val="22"/>
              </w:rPr>
            </w:pPr>
            <w:r w:rsidRPr="00BE3A8F">
              <w:rPr>
                <w:rFonts w:ascii="Arial" w:hAnsi="Arial" w:cs="Arial"/>
                <w:sz w:val="22"/>
                <w:szCs w:val="22"/>
              </w:rPr>
              <w:t>Anxiety</w:t>
            </w:r>
          </w:p>
        </w:tc>
        <w:tc>
          <w:tcPr>
            <w:tcW w:w="1309"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5 (1)</w:t>
            </w:r>
          </w:p>
        </w:tc>
        <w:tc>
          <w:tcPr>
            <w:tcW w:w="1310" w:type="dxa"/>
            <w:tcMar>
              <w:left w:w="28" w:type="dxa"/>
              <w:right w:w="28" w:type="dxa"/>
            </w:tcMar>
            <w:vAlign w:val="center"/>
          </w:tcPr>
          <w:p w:rsidR="00D25A2B" w:rsidRPr="00BE3A8F" w:rsidRDefault="00D25A2B" w:rsidP="00AC1B70">
            <w:pPr>
              <w:jc w:val="center"/>
              <w:rPr>
                <w:rFonts w:ascii="Arial" w:hAnsi="Arial" w:cs="Arial"/>
                <w:sz w:val="22"/>
                <w:szCs w:val="22"/>
              </w:rPr>
            </w:pPr>
            <w:r w:rsidRPr="00BE3A8F">
              <w:rPr>
                <w:rFonts w:ascii="Arial" w:hAnsi="Arial" w:cs="Arial"/>
                <w:sz w:val="22"/>
                <w:szCs w:val="22"/>
              </w:rPr>
              <w:t xml:space="preserve"> 3 (2)</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D25A2B" w:rsidRPr="00BE3A8F" w:rsidRDefault="00D25A2B" w:rsidP="00D25A2B">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3 (1)</w:t>
            </w:r>
          </w:p>
        </w:tc>
      </w:tr>
      <w:tr w:rsidR="00D25A2B" w:rsidRPr="00BE3A8F" w:rsidTr="00D25A2B">
        <w:tc>
          <w:tcPr>
            <w:tcW w:w="9412" w:type="dxa"/>
            <w:gridSpan w:val="6"/>
            <w:tcMar>
              <w:left w:w="28" w:type="dxa"/>
              <w:right w:w="28" w:type="dxa"/>
            </w:tcMar>
            <w:vAlign w:val="center"/>
          </w:tcPr>
          <w:p w:rsidR="00D25A2B" w:rsidRPr="00BE3A8F" w:rsidRDefault="00D25A2B" w:rsidP="00D25A2B">
            <w:pPr>
              <w:rPr>
                <w:rFonts w:ascii="Arial" w:hAnsi="Arial" w:cs="Arial"/>
                <w:sz w:val="22"/>
                <w:szCs w:val="22"/>
              </w:rPr>
            </w:pPr>
            <w:r w:rsidRPr="00BE3A8F">
              <w:rPr>
                <w:rFonts w:ascii="Arial" w:hAnsi="Arial" w:cs="Arial"/>
                <w:sz w:val="22"/>
                <w:szCs w:val="22"/>
              </w:rPr>
              <w:t>Reproductive System and Breast Disorders</w:t>
            </w:r>
          </w:p>
        </w:tc>
      </w:tr>
      <w:tr w:rsidR="00D25A2B" w:rsidRPr="00BE3A8F" w:rsidTr="00BD59B8">
        <w:tc>
          <w:tcPr>
            <w:tcW w:w="2863" w:type="dxa"/>
            <w:tcMar>
              <w:left w:w="28" w:type="dxa"/>
              <w:right w:w="28" w:type="dxa"/>
            </w:tcMar>
            <w:vAlign w:val="center"/>
          </w:tcPr>
          <w:p w:rsidR="00D25A2B" w:rsidRPr="00BE3A8F" w:rsidRDefault="00D25A2B" w:rsidP="00AC1B70">
            <w:pPr>
              <w:ind w:left="142"/>
              <w:rPr>
                <w:rFonts w:ascii="Arial" w:hAnsi="Arial" w:cs="Arial"/>
                <w:sz w:val="22"/>
                <w:szCs w:val="22"/>
              </w:rPr>
            </w:pPr>
            <w:r w:rsidRPr="00BE3A8F">
              <w:rPr>
                <w:rFonts w:ascii="Arial" w:hAnsi="Arial" w:cs="Arial"/>
                <w:sz w:val="22"/>
                <w:szCs w:val="22"/>
              </w:rPr>
              <w:t>Erectile Dysfunction</w:t>
            </w:r>
          </w:p>
        </w:tc>
        <w:tc>
          <w:tcPr>
            <w:tcW w:w="1309"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 (&lt;1)</w:t>
            </w:r>
          </w:p>
        </w:tc>
        <w:tc>
          <w:tcPr>
            <w:tcW w:w="1310" w:type="dxa"/>
            <w:tcMar>
              <w:left w:w="28" w:type="dxa"/>
              <w:right w:w="28" w:type="dxa"/>
            </w:tcMar>
            <w:vAlign w:val="center"/>
          </w:tcPr>
          <w:p w:rsidR="00D25A2B" w:rsidRPr="00BE3A8F" w:rsidRDefault="00D25A2B" w:rsidP="00AC1B70">
            <w:pPr>
              <w:jc w:val="center"/>
              <w:rPr>
                <w:rFonts w:ascii="Arial" w:hAnsi="Arial" w:cs="Arial"/>
                <w:sz w:val="22"/>
                <w:szCs w:val="22"/>
              </w:rPr>
            </w:pPr>
            <w:r w:rsidRPr="00BE3A8F">
              <w:rPr>
                <w:rFonts w:ascii="Arial" w:hAnsi="Arial" w:cs="Arial"/>
                <w:sz w:val="22"/>
                <w:szCs w:val="22"/>
              </w:rPr>
              <w:t>4 (3)</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D25A2B" w:rsidRPr="00BE3A8F" w:rsidRDefault="00D25A2B" w:rsidP="00D25A2B">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0 (0)</w:t>
            </w:r>
          </w:p>
        </w:tc>
      </w:tr>
      <w:tr w:rsidR="00D25A2B" w:rsidRPr="00BE3A8F" w:rsidTr="00D25A2B">
        <w:tc>
          <w:tcPr>
            <w:tcW w:w="9412" w:type="dxa"/>
            <w:gridSpan w:val="6"/>
            <w:tcMar>
              <w:left w:w="28" w:type="dxa"/>
              <w:right w:w="28" w:type="dxa"/>
            </w:tcMar>
            <w:vAlign w:val="center"/>
          </w:tcPr>
          <w:p w:rsidR="00D25A2B" w:rsidRPr="00BE3A8F" w:rsidRDefault="00D25A2B" w:rsidP="00D25A2B">
            <w:pPr>
              <w:rPr>
                <w:rFonts w:ascii="Arial" w:hAnsi="Arial" w:cs="Arial"/>
                <w:sz w:val="22"/>
                <w:szCs w:val="22"/>
              </w:rPr>
            </w:pPr>
            <w:r w:rsidRPr="00BE3A8F">
              <w:rPr>
                <w:rFonts w:ascii="Arial" w:hAnsi="Arial" w:cs="Arial"/>
                <w:sz w:val="22"/>
                <w:szCs w:val="22"/>
              </w:rPr>
              <w:t>Respiratory, Thoracic and Mediastinal Disorders</w:t>
            </w:r>
          </w:p>
        </w:tc>
      </w:tr>
      <w:tr w:rsidR="00D25A2B" w:rsidRPr="00BE3A8F" w:rsidTr="00BD59B8">
        <w:tc>
          <w:tcPr>
            <w:tcW w:w="2863" w:type="dxa"/>
            <w:tcMar>
              <w:left w:w="28" w:type="dxa"/>
              <w:right w:w="28" w:type="dxa"/>
            </w:tcMar>
            <w:vAlign w:val="center"/>
          </w:tcPr>
          <w:p w:rsidR="00D25A2B" w:rsidRPr="00BE3A8F" w:rsidRDefault="00D25A2B" w:rsidP="00AC1B70">
            <w:pPr>
              <w:ind w:left="142"/>
              <w:rPr>
                <w:rFonts w:ascii="Arial" w:hAnsi="Arial" w:cs="Arial"/>
                <w:sz w:val="22"/>
                <w:szCs w:val="22"/>
              </w:rPr>
            </w:pPr>
            <w:r w:rsidRPr="00BE3A8F">
              <w:rPr>
                <w:rFonts w:ascii="Arial" w:hAnsi="Arial" w:cs="Arial"/>
                <w:sz w:val="22"/>
                <w:szCs w:val="22"/>
              </w:rPr>
              <w:t>Cough</w:t>
            </w:r>
          </w:p>
        </w:tc>
        <w:tc>
          <w:tcPr>
            <w:tcW w:w="1309"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11 (2)</w:t>
            </w:r>
          </w:p>
        </w:tc>
        <w:tc>
          <w:tcPr>
            <w:tcW w:w="1310" w:type="dxa"/>
            <w:tcMar>
              <w:left w:w="28" w:type="dxa"/>
              <w:right w:w="28" w:type="dxa"/>
            </w:tcMar>
            <w:vAlign w:val="center"/>
          </w:tcPr>
          <w:p w:rsidR="00D25A2B" w:rsidRPr="00BE3A8F" w:rsidRDefault="00D25A2B" w:rsidP="00AC1B70">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 xml:space="preserve"> 5 (3)</w:t>
            </w:r>
          </w:p>
        </w:tc>
        <w:tc>
          <w:tcPr>
            <w:tcW w:w="1310" w:type="dxa"/>
            <w:tcMar>
              <w:left w:w="28" w:type="dxa"/>
              <w:right w:w="28" w:type="dxa"/>
            </w:tcMar>
            <w:vAlign w:val="center"/>
          </w:tcPr>
          <w:p w:rsidR="00D25A2B" w:rsidRPr="00BE3A8F" w:rsidRDefault="00D25A2B" w:rsidP="00D25A2B">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8 (4)</w:t>
            </w:r>
          </w:p>
        </w:tc>
      </w:tr>
      <w:tr w:rsidR="00D25A2B" w:rsidRPr="00BE3A8F" w:rsidTr="00BD59B8">
        <w:tc>
          <w:tcPr>
            <w:tcW w:w="2863" w:type="dxa"/>
            <w:tcMar>
              <w:left w:w="28" w:type="dxa"/>
              <w:right w:w="28" w:type="dxa"/>
            </w:tcMar>
            <w:vAlign w:val="center"/>
          </w:tcPr>
          <w:p w:rsidR="00D25A2B" w:rsidRPr="00BE3A8F" w:rsidRDefault="00D25A2B" w:rsidP="00AC1B70">
            <w:pPr>
              <w:ind w:left="142"/>
              <w:rPr>
                <w:rFonts w:ascii="Arial" w:hAnsi="Arial" w:cs="Arial"/>
                <w:sz w:val="22"/>
                <w:szCs w:val="22"/>
              </w:rPr>
            </w:pPr>
            <w:r w:rsidRPr="00BE3A8F">
              <w:rPr>
                <w:rFonts w:ascii="Arial" w:hAnsi="Arial" w:cs="Arial"/>
                <w:sz w:val="22"/>
                <w:szCs w:val="22"/>
              </w:rPr>
              <w:t>Oropharyngeal Pain</w:t>
            </w:r>
          </w:p>
        </w:tc>
        <w:tc>
          <w:tcPr>
            <w:tcW w:w="1309"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12 (2)</w:t>
            </w:r>
          </w:p>
        </w:tc>
        <w:tc>
          <w:tcPr>
            <w:tcW w:w="1310" w:type="dxa"/>
            <w:tcMar>
              <w:left w:w="28" w:type="dxa"/>
              <w:right w:w="28" w:type="dxa"/>
            </w:tcMar>
            <w:vAlign w:val="center"/>
          </w:tcPr>
          <w:p w:rsidR="00D25A2B" w:rsidRPr="00BE3A8F" w:rsidRDefault="00D25A2B" w:rsidP="00AC1B70">
            <w:pPr>
              <w:jc w:val="center"/>
              <w:rPr>
                <w:rFonts w:ascii="Arial" w:hAnsi="Arial" w:cs="Arial"/>
                <w:sz w:val="22"/>
                <w:szCs w:val="22"/>
              </w:rPr>
            </w:pPr>
            <w:r w:rsidRPr="00BE3A8F">
              <w:rPr>
                <w:rFonts w:ascii="Arial" w:hAnsi="Arial" w:cs="Arial"/>
                <w:sz w:val="22"/>
                <w:szCs w:val="22"/>
              </w:rPr>
              <w:t xml:space="preserve"> 2(1)</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 xml:space="preserve"> 1 (1)</w:t>
            </w:r>
          </w:p>
        </w:tc>
        <w:tc>
          <w:tcPr>
            <w:tcW w:w="1310" w:type="dxa"/>
            <w:tcMar>
              <w:left w:w="28" w:type="dxa"/>
              <w:right w:w="28" w:type="dxa"/>
            </w:tcMar>
            <w:vAlign w:val="center"/>
          </w:tcPr>
          <w:p w:rsidR="00D25A2B" w:rsidRPr="00BE3A8F" w:rsidRDefault="00D25A2B" w:rsidP="00D25A2B">
            <w:pPr>
              <w:jc w:val="center"/>
              <w:rPr>
                <w:rFonts w:ascii="Arial" w:hAnsi="Arial" w:cs="Arial"/>
                <w:sz w:val="22"/>
                <w:szCs w:val="22"/>
              </w:rPr>
            </w:pPr>
            <w:r w:rsidRPr="00BE3A8F">
              <w:rPr>
                <w:rFonts w:ascii="Arial" w:hAnsi="Arial" w:cs="Arial"/>
                <w:sz w:val="22"/>
                <w:szCs w:val="22"/>
              </w:rPr>
              <w:t>1 (1)</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8 (4)</w:t>
            </w:r>
          </w:p>
        </w:tc>
      </w:tr>
      <w:tr w:rsidR="00D25A2B" w:rsidRPr="00BE3A8F" w:rsidTr="00D25A2B">
        <w:tc>
          <w:tcPr>
            <w:tcW w:w="9412" w:type="dxa"/>
            <w:gridSpan w:val="6"/>
            <w:tcMar>
              <w:left w:w="28" w:type="dxa"/>
              <w:right w:w="28" w:type="dxa"/>
            </w:tcMar>
            <w:vAlign w:val="center"/>
          </w:tcPr>
          <w:p w:rsidR="00D25A2B" w:rsidRPr="00BE3A8F" w:rsidRDefault="00D25A2B" w:rsidP="00D25A2B">
            <w:pPr>
              <w:rPr>
                <w:rFonts w:ascii="Arial" w:hAnsi="Arial" w:cs="Arial"/>
                <w:sz w:val="22"/>
                <w:szCs w:val="22"/>
              </w:rPr>
            </w:pPr>
            <w:r w:rsidRPr="00BE3A8F">
              <w:rPr>
                <w:rFonts w:ascii="Arial" w:hAnsi="Arial" w:cs="Arial"/>
                <w:sz w:val="22"/>
                <w:szCs w:val="22"/>
              </w:rPr>
              <w:t>Skin and Subcutaneous Tissue Disorders</w:t>
            </w:r>
          </w:p>
        </w:tc>
      </w:tr>
      <w:tr w:rsidR="00D25A2B" w:rsidRPr="00BE3A8F" w:rsidTr="00BD59B8">
        <w:tc>
          <w:tcPr>
            <w:tcW w:w="2863" w:type="dxa"/>
            <w:tcMar>
              <w:left w:w="28" w:type="dxa"/>
              <w:right w:w="28" w:type="dxa"/>
            </w:tcMar>
            <w:vAlign w:val="center"/>
          </w:tcPr>
          <w:p w:rsidR="00D25A2B" w:rsidRPr="00BE3A8F" w:rsidRDefault="00D25A2B" w:rsidP="00AC1B70">
            <w:pPr>
              <w:ind w:left="142"/>
              <w:rPr>
                <w:rFonts w:ascii="Arial" w:hAnsi="Arial" w:cs="Arial"/>
                <w:sz w:val="22"/>
                <w:szCs w:val="22"/>
              </w:rPr>
            </w:pPr>
            <w:r w:rsidRPr="00BE3A8F">
              <w:rPr>
                <w:rFonts w:ascii="Arial" w:hAnsi="Arial" w:cs="Arial"/>
                <w:sz w:val="22"/>
                <w:szCs w:val="22"/>
              </w:rPr>
              <w:t>Alopecia</w:t>
            </w:r>
          </w:p>
        </w:tc>
        <w:tc>
          <w:tcPr>
            <w:tcW w:w="1309"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 (&lt;1)</w:t>
            </w:r>
          </w:p>
        </w:tc>
        <w:tc>
          <w:tcPr>
            <w:tcW w:w="1310" w:type="dxa"/>
            <w:tcMar>
              <w:left w:w="28" w:type="dxa"/>
              <w:right w:w="28" w:type="dxa"/>
            </w:tcMar>
            <w:vAlign w:val="center"/>
          </w:tcPr>
          <w:p w:rsidR="00D25A2B" w:rsidRPr="00BE3A8F" w:rsidRDefault="00D25A2B" w:rsidP="00AC1B70">
            <w:pPr>
              <w:jc w:val="center"/>
              <w:rPr>
                <w:rFonts w:ascii="Arial" w:hAnsi="Arial" w:cs="Arial"/>
                <w:sz w:val="22"/>
                <w:szCs w:val="22"/>
              </w:rPr>
            </w:pPr>
            <w:r w:rsidRPr="00BE3A8F">
              <w:rPr>
                <w:rFonts w:ascii="Arial" w:hAnsi="Arial" w:cs="Arial"/>
                <w:sz w:val="22"/>
                <w:szCs w:val="22"/>
              </w:rPr>
              <w:t xml:space="preserve"> 3 (2)</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D25A2B" w:rsidRPr="00BE3A8F" w:rsidRDefault="00D25A2B" w:rsidP="00D25A2B">
            <w:pPr>
              <w:jc w:val="center"/>
              <w:rPr>
                <w:rFonts w:ascii="Arial" w:hAnsi="Arial" w:cs="Arial"/>
                <w:sz w:val="22"/>
                <w:szCs w:val="22"/>
              </w:rPr>
            </w:pPr>
            <w:r w:rsidRPr="00BE3A8F">
              <w:rPr>
                <w:rFonts w:ascii="Arial" w:hAnsi="Arial" w:cs="Arial"/>
                <w:sz w:val="22"/>
                <w:szCs w:val="22"/>
              </w:rPr>
              <w:t>0 (0)</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0 (0)</w:t>
            </w:r>
          </w:p>
        </w:tc>
      </w:tr>
      <w:tr w:rsidR="00D25A2B" w:rsidRPr="00BE3A8F" w:rsidTr="00D25A2B">
        <w:tc>
          <w:tcPr>
            <w:tcW w:w="9412" w:type="dxa"/>
            <w:gridSpan w:val="6"/>
            <w:tcMar>
              <w:left w:w="28" w:type="dxa"/>
              <w:right w:w="28" w:type="dxa"/>
            </w:tcMar>
            <w:vAlign w:val="center"/>
          </w:tcPr>
          <w:p w:rsidR="00D25A2B" w:rsidRPr="00BE3A8F" w:rsidRDefault="00D25A2B" w:rsidP="00D25A2B">
            <w:pPr>
              <w:rPr>
                <w:rFonts w:ascii="Arial" w:hAnsi="Arial" w:cs="Arial"/>
                <w:sz w:val="22"/>
                <w:szCs w:val="22"/>
              </w:rPr>
            </w:pPr>
            <w:r w:rsidRPr="00BE3A8F">
              <w:rPr>
                <w:rFonts w:ascii="Arial" w:hAnsi="Arial" w:cs="Arial"/>
                <w:sz w:val="22"/>
                <w:szCs w:val="22"/>
              </w:rPr>
              <w:t>Vascular Disorders</w:t>
            </w:r>
          </w:p>
        </w:tc>
      </w:tr>
      <w:tr w:rsidR="00D25A2B" w:rsidRPr="00BE3A8F" w:rsidTr="00BD59B8">
        <w:tc>
          <w:tcPr>
            <w:tcW w:w="2863" w:type="dxa"/>
            <w:tcMar>
              <w:left w:w="28" w:type="dxa"/>
              <w:right w:w="28" w:type="dxa"/>
            </w:tcMar>
            <w:vAlign w:val="center"/>
          </w:tcPr>
          <w:p w:rsidR="00D25A2B" w:rsidRPr="00BE3A8F" w:rsidRDefault="00D25A2B" w:rsidP="00AC1B70">
            <w:pPr>
              <w:ind w:left="142"/>
              <w:rPr>
                <w:rFonts w:ascii="Arial" w:hAnsi="Arial" w:cs="Arial"/>
                <w:sz w:val="22"/>
                <w:szCs w:val="22"/>
              </w:rPr>
            </w:pPr>
            <w:r w:rsidRPr="00BE3A8F">
              <w:rPr>
                <w:rFonts w:ascii="Arial" w:hAnsi="Arial" w:cs="Arial"/>
                <w:sz w:val="22"/>
                <w:szCs w:val="22"/>
              </w:rPr>
              <w:t>Hypertension</w:t>
            </w:r>
          </w:p>
        </w:tc>
        <w:tc>
          <w:tcPr>
            <w:tcW w:w="1309"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16 (3)</w:t>
            </w:r>
          </w:p>
        </w:tc>
        <w:tc>
          <w:tcPr>
            <w:tcW w:w="1310" w:type="dxa"/>
            <w:tcMar>
              <w:left w:w="28" w:type="dxa"/>
              <w:right w:w="28" w:type="dxa"/>
            </w:tcMar>
            <w:vAlign w:val="center"/>
          </w:tcPr>
          <w:p w:rsidR="00D25A2B" w:rsidRPr="00BE3A8F" w:rsidRDefault="00D25A2B" w:rsidP="00AC1B70">
            <w:pPr>
              <w:jc w:val="center"/>
              <w:rPr>
                <w:rFonts w:ascii="Arial" w:hAnsi="Arial" w:cs="Arial"/>
                <w:sz w:val="22"/>
                <w:szCs w:val="22"/>
              </w:rPr>
            </w:pPr>
            <w:r w:rsidRPr="00BE3A8F">
              <w:rPr>
                <w:rFonts w:ascii="Arial" w:hAnsi="Arial" w:cs="Arial"/>
                <w:sz w:val="22"/>
                <w:szCs w:val="22"/>
              </w:rPr>
              <w:t>4 (3)</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2 (1)</w:t>
            </w:r>
          </w:p>
        </w:tc>
        <w:tc>
          <w:tcPr>
            <w:tcW w:w="1310" w:type="dxa"/>
            <w:tcMar>
              <w:left w:w="28" w:type="dxa"/>
              <w:right w:w="28" w:type="dxa"/>
            </w:tcMar>
            <w:vAlign w:val="center"/>
          </w:tcPr>
          <w:p w:rsidR="00D25A2B" w:rsidRPr="00BE3A8F" w:rsidRDefault="00D25A2B" w:rsidP="00D25A2B">
            <w:pPr>
              <w:jc w:val="center"/>
              <w:rPr>
                <w:rFonts w:ascii="Arial" w:hAnsi="Arial" w:cs="Arial"/>
                <w:sz w:val="22"/>
                <w:szCs w:val="22"/>
              </w:rPr>
            </w:pPr>
            <w:r w:rsidRPr="00BE3A8F">
              <w:rPr>
                <w:rFonts w:ascii="Arial" w:hAnsi="Arial" w:cs="Arial"/>
                <w:sz w:val="22"/>
                <w:szCs w:val="22"/>
              </w:rPr>
              <w:t>5 (3)</w:t>
            </w:r>
          </w:p>
        </w:tc>
        <w:tc>
          <w:tcPr>
            <w:tcW w:w="1310" w:type="dxa"/>
            <w:tcMar>
              <w:left w:w="28" w:type="dxa"/>
              <w:right w:w="28" w:type="dxa"/>
            </w:tcMar>
            <w:vAlign w:val="center"/>
          </w:tcPr>
          <w:p w:rsidR="00D25A2B" w:rsidRPr="00BE3A8F" w:rsidRDefault="00D25A2B" w:rsidP="00BD59B8">
            <w:pPr>
              <w:jc w:val="center"/>
              <w:rPr>
                <w:rFonts w:ascii="Arial" w:hAnsi="Arial" w:cs="Arial"/>
                <w:sz w:val="22"/>
                <w:szCs w:val="22"/>
              </w:rPr>
            </w:pPr>
            <w:r w:rsidRPr="00BE3A8F">
              <w:rPr>
                <w:rFonts w:ascii="Arial" w:hAnsi="Arial" w:cs="Arial"/>
                <w:sz w:val="22"/>
                <w:szCs w:val="22"/>
              </w:rPr>
              <w:t>7 (3)</w:t>
            </w:r>
          </w:p>
        </w:tc>
      </w:tr>
    </w:tbl>
    <w:p w:rsidR="00A0382D" w:rsidRDefault="0059221F" w:rsidP="00DA1AEE">
      <w:pPr>
        <w:pStyle w:val="BodyText"/>
        <w:jc w:val="both"/>
        <w:rPr>
          <w:rFonts w:ascii="Arial" w:hAnsi="Arial" w:cs="Arial"/>
          <w:sz w:val="18"/>
          <w:szCs w:val="18"/>
        </w:rPr>
      </w:pPr>
      <w:r w:rsidRPr="00611F34">
        <w:rPr>
          <w:rFonts w:ascii="Arial" w:hAnsi="Arial" w:cs="Arial"/>
          <w:sz w:val="18"/>
          <w:szCs w:val="18"/>
        </w:rPr>
        <w:t xml:space="preserve">Abbreviations: </w:t>
      </w:r>
      <w:r>
        <w:rPr>
          <w:rFonts w:ascii="Arial" w:hAnsi="Arial" w:cs="Arial"/>
          <w:sz w:val="18"/>
          <w:szCs w:val="18"/>
        </w:rPr>
        <w:t>QW: once weekly; BID: twice daily</w:t>
      </w:r>
    </w:p>
    <w:p w:rsidR="0059221F" w:rsidRPr="00611F34" w:rsidRDefault="0059221F" w:rsidP="00DA1AEE">
      <w:pPr>
        <w:pStyle w:val="BodyText"/>
        <w:jc w:val="both"/>
        <w:rPr>
          <w:rFonts w:ascii="Arial" w:hAnsi="Arial" w:cs="Arial"/>
          <w:b/>
          <w:bCs/>
        </w:rPr>
      </w:pPr>
    </w:p>
    <w:p w:rsidR="00323C73" w:rsidRPr="00611F34" w:rsidRDefault="00323C73" w:rsidP="00DA1AEE">
      <w:pPr>
        <w:pStyle w:val="BodyText"/>
        <w:jc w:val="both"/>
        <w:rPr>
          <w:rFonts w:ascii="Arial" w:hAnsi="Arial" w:cs="Arial"/>
          <w:b/>
          <w:bCs/>
        </w:rPr>
      </w:pPr>
      <w:r w:rsidRPr="00611F34">
        <w:rPr>
          <w:rFonts w:ascii="Arial" w:hAnsi="Arial" w:cs="Arial"/>
          <w:b/>
          <w:bCs/>
        </w:rPr>
        <w:t>Hypoglycaemia</w:t>
      </w:r>
    </w:p>
    <w:p w:rsidR="000712F5" w:rsidRPr="00611F34" w:rsidRDefault="00BE3A8F" w:rsidP="00D17712">
      <w:pPr>
        <w:autoSpaceDE w:val="0"/>
        <w:autoSpaceDN w:val="0"/>
        <w:adjustRightInd w:val="0"/>
        <w:rPr>
          <w:rFonts w:ascii="Arial" w:hAnsi="Arial" w:cs="Arial"/>
        </w:rPr>
      </w:pPr>
      <w:r>
        <w:rPr>
          <w:rFonts w:ascii="Arial" w:hAnsi="Arial" w:cs="Arial"/>
        </w:rPr>
        <w:t>As would be expected, t</w:t>
      </w:r>
      <w:r w:rsidR="00D17712" w:rsidRPr="00611F34">
        <w:rPr>
          <w:rFonts w:ascii="Arial" w:hAnsi="Arial" w:cs="Arial"/>
        </w:rPr>
        <w:t xml:space="preserve">he incidence of hypoglycaemia was increased when </w:t>
      </w:r>
      <w:r w:rsidR="003C2A6B" w:rsidRPr="00611F34">
        <w:rPr>
          <w:rFonts w:ascii="Arial" w:hAnsi="Arial" w:cs="Arial"/>
        </w:rPr>
        <w:t xml:space="preserve">exenatide </w:t>
      </w:r>
      <w:r w:rsidR="00D17712" w:rsidRPr="00611F34">
        <w:rPr>
          <w:rFonts w:ascii="Arial" w:hAnsi="Arial" w:cs="Arial"/>
        </w:rPr>
        <w:t xml:space="preserve">was used in combination with a </w:t>
      </w:r>
      <w:r w:rsidR="005834C3" w:rsidRPr="00611F34">
        <w:rPr>
          <w:rFonts w:ascii="Arial" w:hAnsi="Arial" w:cs="Arial"/>
        </w:rPr>
        <w:t>sulfonylurea</w:t>
      </w:r>
      <w:r w:rsidR="00D17712" w:rsidRPr="00611F34">
        <w:rPr>
          <w:rFonts w:ascii="Arial" w:hAnsi="Arial" w:cs="Arial"/>
        </w:rPr>
        <w:t xml:space="preserve"> (see </w:t>
      </w:r>
      <w:r w:rsidR="004A7DE9" w:rsidRPr="00611F34">
        <w:rPr>
          <w:rFonts w:ascii="Arial" w:hAnsi="Arial" w:cs="Arial"/>
          <w:b/>
        </w:rPr>
        <w:t>PRECAUTIONS</w:t>
      </w:r>
      <w:r w:rsidR="00D17712" w:rsidRPr="00611F34">
        <w:rPr>
          <w:rFonts w:ascii="Arial" w:hAnsi="Arial" w:cs="Arial"/>
        </w:rPr>
        <w:t xml:space="preserve">). </w:t>
      </w:r>
      <w:r w:rsidR="00D17712" w:rsidRPr="00611F34">
        <w:rPr>
          <w:rFonts w:ascii="Arial" w:hAnsi="Arial" w:cs="Arial"/>
          <w:lang w:eastAsia="en-GB"/>
        </w:rPr>
        <w:t xml:space="preserve">To reduce the risk of hypoglycaemia associated with the use of a </w:t>
      </w:r>
      <w:r w:rsidR="005834C3" w:rsidRPr="00611F34">
        <w:rPr>
          <w:rFonts w:ascii="Arial" w:hAnsi="Arial" w:cs="Arial"/>
          <w:lang w:eastAsia="en-GB"/>
        </w:rPr>
        <w:t>sulfonylurea</w:t>
      </w:r>
      <w:r w:rsidR="00D17712" w:rsidRPr="00611F34">
        <w:rPr>
          <w:rFonts w:ascii="Arial" w:hAnsi="Arial" w:cs="Arial"/>
          <w:lang w:eastAsia="en-GB"/>
        </w:rPr>
        <w:t xml:space="preserve">, reduction in the dose of </w:t>
      </w:r>
      <w:r w:rsidR="005834C3" w:rsidRPr="00611F34">
        <w:rPr>
          <w:rFonts w:ascii="Arial" w:hAnsi="Arial" w:cs="Arial"/>
          <w:lang w:eastAsia="en-GB"/>
        </w:rPr>
        <w:t>sulfonylurea</w:t>
      </w:r>
      <w:r w:rsidR="00D17712" w:rsidRPr="00611F34">
        <w:rPr>
          <w:rFonts w:ascii="Arial" w:hAnsi="Arial" w:cs="Arial"/>
          <w:lang w:eastAsia="en-GB"/>
        </w:rPr>
        <w:t xml:space="preserve"> may be considered (</w:t>
      </w:r>
      <w:r w:rsidR="00D17712" w:rsidRPr="00611F34">
        <w:rPr>
          <w:rFonts w:ascii="Arial" w:hAnsi="Arial" w:cs="Arial"/>
          <w:iCs/>
          <w:lang w:eastAsia="en-GB"/>
        </w:rPr>
        <w:t xml:space="preserve">see </w:t>
      </w:r>
      <w:r w:rsidR="004A7DE9" w:rsidRPr="00611F34">
        <w:rPr>
          <w:rFonts w:ascii="Arial" w:hAnsi="Arial" w:cs="Arial"/>
          <w:b/>
          <w:iCs/>
          <w:lang w:eastAsia="en-GB"/>
        </w:rPr>
        <w:t xml:space="preserve">PRECAUTIONS </w:t>
      </w:r>
      <w:r w:rsidR="004A7DE9" w:rsidRPr="00611F34">
        <w:rPr>
          <w:rFonts w:ascii="Arial" w:hAnsi="Arial" w:cs="Arial"/>
          <w:iCs/>
          <w:lang w:eastAsia="en-GB"/>
        </w:rPr>
        <w:t xml:space="preserve">and </w:t>
      </w:r>
      <w:r w:rsidR="004A7DE9" w:rsidRPr="00611F34">
        <w:rPr>
          <w:rFonts w:ascii="Arial" w:hAnsi="Arial" w:cs="Arial"/>
          <w:b/>
          <w:iCs/>
          <w:lang w:eastAsia="en-GB"/>
        </w:rPr>
        <w:t>DOSAGE AND ADMINISTRATION</w:t>
      </w:r>
      <w:r w:rsidR="00D17712" w:rsidRPr="00611F34">
        <w:rPr>
          <w:rFonts w:ascii="Arial" w:hAnsi="Arial" w:cs="Arial"/>
          <w:lang w:eastAsia="en-GB"/>
        </w:rPr>
        <w:t>).</w:t>
      </w:r>
      <w:r w:rsidR="00D17712" w:rsidRPr="00611F34">
        <w:rPr>
          <w:rFonts w:ascii="Arial" w:hAnsi="Arial" w:cs="Arial"/>
        </w:rPr>
        <w:t xml:space="preserve"> Most episodes of hypoglycaemia were mild to moderate in intensity, and all resolved with oral administration of carbohydrate.</w:t>
      </w:r>
    </w:p>
    <w:p w:rsidR="00C507AC" w:rsidRPr="00611F34" w:rsidRDefault="00C507AC" w:rsidP="00D17712">
      <w:pPr>
        <w:autoSpaceDE w:val="0"/>
        <w:autoSpaceDN w:val="0"/>
        <w:adjustRightInd w:val="0"/>
        <w:rPr>
          <w:rFonts w:ascii="Arial" w:hAnsi="Arial" w:cs="Arial"/>
        </w:rPr>
      </w:pPr>
    </w:p>
    <w:p w:rsidR="00D17712" w:rsidRPr="00611F34" w:rsidRDefault="003C2A6B" w:rsidP="00D17712">
      <w:pPr>
        <w:rPr>
          <w:rFonts w:ascii="Arial" w:hAnsi="Arial" w:cs="Arial"/>
        </w:rPr>
      </w:pPr>
      <w:r w:rsidRPr="00611F34">
        <w:rPr>
          <w:rFonts w:ascii="Arial" w:hAnsi="Arial" w:cs="Arial"/>
        </w:rPr>
        <w:t>Exenatide</w:t>
      </w:r>
      <w:r w:rsidR="00D17712" w:rsidRPr="00611F34">
        <w:rPr>
          <w:rFonts w:ascii="Arial" w:hAnsi="Arial" w:cs="Arial"/>
        </w:rPr>
        <w:t xml:space="preserve"> was associated with a significantly lower incidence of episodes of hypoglycaemia than insulin glargine in patients receiving metformin therapy alone (3% versus 19%) and in patients receiving metformin plus </w:t>
      </w:r>
      <w:r w:rsidR="005834C3" w:rsidRPr="00611F34">
        <w:rPr>
          <w:rFonts w:ascii="Arial" w:hAnsi="Arial" w:cs="Arial"/>
        </w:rPr>
        <w:t>sulfonylurea</w:t>
      </w:r>
      <w:r w:rsidR="00D17712" w:rsidRPr="00611F34">
        <w:rPr>
          <w:rFonts w:ascii="Arial" w:hAnsi="Arial" w:cs="Arial"/>
        </w:rPr>
        <w:t xml:space="preserve"> therapy (20% versus 42%).  </w:t>
      </w:r>
    </w:p>
    <w:p w:rsidR="00AA0CAC" w:rsidRPr="00611F34" w:rsidRDefault="00AA0CAC" w:rsidP="00DA1AEE">
      <w:pPr>
        <w:pStyle w:val="BodyText"/>
        <w:jc w:val="both"/>
        <w:rPr>
          <w:rFonts w:ascii="Arial" w:hAnsi="Arial" w:cs="Arial"/>
          <w:b/>
          <w:bCs/>
        </w:rPr>
      </w:pPr>
    </w:p>
    <w:p w:rsidR="00C507AC" w:rsidRPr="00611F34" w:rsidRDefault="0059221F" w:rsidP="0059221F">
      <w:pPr>
        <w:autoSpaceDE w:val="0"/>
        <w:autoSpaceDN w:val="0"/>
        <w:adjustRightInd w:val="0"/>
        <w:rPr>
          <w:rFonts w:ascii="Arial" w:hAnsi="Arial" w:cs="Arial"/>
        </w:rPr>
      </w:pPr>
      <w:r w:rsidRPr="0059221F">
        <w:rPr>
          <w:rFonts w:ascii="Arial" w:hAnsi="Arial" w:cs="Arial"/>
          <w:color w:val="auto"/>
          <w:lang w:eastAsia="en-AU"/>
        </w:rPr>
        <w:t xml:space="preserve">Table </w:t>
      </w:r>
      <w:r w:rsidR="00316671">
        <w:rPr>
          <w:rFonts w:ascii="Arial" w:hAnsi="Arial" w:cs="Arial"/>
          <w:color w:val="auto"/>
          <w:lang w:eastAsia="en-AU"/>
        </w:rPr>
        <w:t>5</w:t>
      </w:r>
      <w:r w:rsidRPr="0059221F">
        <w:rPr>
          <w:rFonts w:ascii="Arial" w:hAnsi="Arial" w:cs="Arial"/>
          <w:color w:val="auto"/>
          <w:lang w:eastAsia="en-AU"/>
        </w:rPr>
        <w:t xml:space="preserve"> summarises the occurrence of treatment-emergent hypoglycaemia by sulfonylurea use in</w:t>
      </w:r>
      <w:r>
        <w:rPr>
          <w:color w:val="auto"/>
          <w:lang w:eastAsia="en-AU"/>
        </w:rPr>
        <w:t xml:space="preserve"> </w:t>
      </w:r>
      <w:r w:rsidR="00C507AC" w:rsidRPr="00611F34">
        <w:rPr>
          <w:rFonts w:ascii="Arial" w:hAnsi="Arial" w:cs="Arial"/>
        </w:rPr>
        <w:t xml:space="preserve">clinical trials </w:t>
      </w:r>
      <w:r>
        <w:rPr>
          <w:rFonts w:ascii="Arial" w:hAnsi="Arial" w:cs="Arial"/>
        </w:rPr>
        <w:t xml:space="preserve">of </w:t>
      </w:r>
      <w:r w:rsidR="009E3EE3">
        <w:rPr>
          <w:rFonts w:ascii="Arial" w:hAnsi="Arial" w:cs="Arial"/>
        </w:rPr>
        <w:t xml:space="preserve">2 mg </w:t>
      </w:r>
      <w:r w:rsidR="00C507AC" w:rsidRPr="00611F34">
        <w:rPr>
          <w:rFonts w:ascii="Arial" w:hAnsi="Arial" w:cs="Arial"/>
        </w:rPr>
        <w:t>exenatide once weekly.</w:t>
      </w:r>
    </w:p>
    <w:p w:rsidR="00C507AC" w:rsidRPr="00611F34" w:rsidRDefault="00C507AC" w:rsidP="00C507AC">
      <w:pPr>
        <w:autoSpaceDE w:val="0"/>
        <w:autoSpaceDN w:val="0"/>
        <w:adjustRightInd w:val="0"/>
        <w:rPr>
          <w:rFonts w:ascii="Arial" w:hAnsi="Arial" w:cs="Arial"/>
        </w:rPr>
      </w:pPr>
    </w:p>
    <w:p w:rsidR="009E3EE3" w:rsidRDefault="00C507AC" w:rsidP="00C507AC">
      <w:pPr>
        <w:jc w:val="center"/>
        <w:rPr>
          <w:rFonts w:ascii="Arial" w:hAnsi="Arial" w:cs="Arial"/>
          <w:b/>
          <w:sz w:val="22"/>
          <w:szCs w:val="22"/>
        </w:rPr>
      </w:pPr>
      <w:r w:rsidRPr="00611F34">
        <w:rPr>
          <w:rFonts w:ascii="Arial" w:hAnsi="Arial" w:cs="Arial"/>
          <w:b/>
          <w:sz w:val="22"/>
          <w:szCs w:val="22"/>
        </w:rPr>
        <w:lastRenderedPageBreak/>
        <w:t xml:space="preserve">Table </w:t>
      </w:r>
      <w:r w:rsidR="00316671">
        <w:rPr>
          <w:rFonts w:ascii="Arial" w:hAnsi="Arial" w:cs="Arial"/>
          <w:b/>
          <w:sz w:val="22"/>
          <w:szCs w:val="22"/>
        </w:rPr>
        <w:t>5</w:t>
      </w:r>
      <w:r w:rsidRPr="00611F34">
        <w:rPr>
          <w:rFonts w:ascii="Arial" w:hAnsi="Arial" w:cs="Arial"/>
          <w:b/>
          <w:sz w:val="22"/>
          <w:szCs w:val="22"/>
        </w:rPr>
        <w:t xml:space="preserve">: </w:t>
      </w:r>
      <w:r w:rsidR="007743D9">
        <w:rPr>
          <w:rFonts w:ascii="Arial" w:hAnsi="Arial" w:cs="Arial"/>
          <w:b/>
          <w:sz w:val="22"/>
          <w:szCs w:val="22"/>
        </w:rPr>
        <w:t>I</w:t>
      </w:r>
      <w:r w:rsidR="007743D9" w:rsidRPr="00611F34">
        <w:rPr>
          <w:rFonts w:ascii="Arial" w:hAnsi="Arial" w:cs="Arial"/>
          <w:b/>
          <w:sz w:val="22"/>
          <w:szCs w:val="22"/>
        </w:rPr>
        <w:t xml:space="preserve">ncidence </w:t>
      </w:r>
      <w:r w:rsidRPr="00611F34">
        <w:rPr>
          <w:rFonts w:ascii="Arial" w:hAnsi="Arial" w:cs="Arial"/>
          <w:b/>
          <w:sz w:val="22"/>
          <w:szCs w:val="22"/>
        </w:rPr>
        <w:t xml:space="preserve">(%) of Hypoglycaemia by Concomitant Sulfonylurea Use in Exenatide </w:t>
      </w:r>
      <w:r w:rsidR="009E3EE3" w:rsidRPr="00611F34">
        <w:rPr>
          <w:rFonts w:ascii="Arial" w:hAnsi="Arial" w:cs="Arial"/>
          <w:b/>
          <w:sz w:val="22"/>
          <w:szCs w:val="22"/>
        </w:rPr>
        <w:t>Treated Patients (</w:t>
      </w:r>
      <w:r w:rsidR="009E3EE3">
        <w:rPr>
          <w:rFonts w:ascii="Arial" w:hAnsi="Arial" w:cs="Arial"/>
          <w:b/>
          <w:sz w:val="22"/>
          <w:szCs w:val="22"/>
        </w:rPr>
        <w:t xml:space="preserve">2 mg </w:t>
      </w:r>
      <w:r w:rsidR="009E3EE3" w:rsidRPr="00611F34">
        <w:rPr>
          <w:rFonts w:ascii="Arial" w:hAnsi="Arial" w:cs="Arial"/>
          <w:b/>
          <w:sz w:val="22"/>
          <w:szCs w:val="22"/>
        </w:rPr>
        <w:t xml:space="preserve">Once Weekly or </w:t>
      </w:r>
      <w:r w:rsidR="009E3EE3" w:rsidRPr="009E3EE3">
        <w:rPr>
          <w:rFonts w:ascii="Arial" w:hAnsi="Arial" w:cs="Arial"/>
          <w:b/>
          <w:sz w:val="22"/>
          <w:szCs w:val="22"/>
        </w:rPr>
        <w:t xml:space="preserve">10 </w:t>
      </w:r>
      <w:r w:rsidR="009E3EE3" w:rsidRPr="009E3EE3">
        <w:rPr>
          <w:rFonts w:ascii="Arial" w:hAnsi="Arial" w:cs="Arial"/>
          <w:b/>
        </w:rPr>
        <w:t>µg</w:t>
      </w:r>
      <w:r w:rsidR="009E3EE3" w:rsidRPr="00611F34">
        <w:rPr>
          <w:rFonts w:ascii="Arial" w:hAnsi="Arial" w:cs="Arial"/>
          <w:b/>
          <w:sz w:val="22"/>
          <w:szCs w:val="22"/>
        </w:rPr>
        <w:t xml:space="preserve"> Twice Daily), </w:t>
      </w:r>
    </w:p>
    <w:p w:rsidR="00A96572" w:rsidRPr="00611F34" w:rsidRDefault="00C507AC" w:rsidP="00E6235E">
      <w:pPr>
        <w:jc w:val="center"/>
        <w:rPr>
          <w:rFonts w:ascii="Arial" w:hAnsi="Arial" w:cs="Arial"/>
          <w:b/>
          <w:sz w:val="22"/>
          <w:szCs w:val="22"/>
        </w:rPr>
      </w:pPr>
      <w:r w:rsidRPr="00611F34">
        <w:rPr>
          <w:rFonts w:ascii="Arial" w:hAnsi="Arial" w:cs="Arial"/>
          <w:b/>
          <w:sz w:val="22"/>
          <w:szCs w:val="22"/>
        </w:rPr>
        <w:t>Comparator Controlled Studies</w:t>
      </w:r>
    </w:p>
    <w:tbl>
      <w:tblPr>
        <w:tblStyle w:val="TableGrid"/>
        <w:tblW w:w="0" w:type="auto"/>
        <w:tblLook w:val="04A0"/>
      </w:tblPr>
      <w:tblGrid>
        <w:gridCol w:w="1872"/>
        <w:gridCol w:w="1540"/>
        <w:gridCol w:w="1540"/>
        <w:gridCol w:w="1540"/>
        <w:gridCol w:w="1540"/>
        <w:gridCol w:w="1540"/>
      </w:tblGrid>
      <w:tr w:rsidR="0059221F" w:rsidRPr="00611F34" w:rsidTr="0059221F">
        <w:tc>
          <w:tcPr>
            <w:tcW w:w="1872" w:type="dxa"/>
          </w:tcPr>
          <w:p w:rsidR="0059221F" w:rsidRPr="00611F34" w:rsidRDefault="0059221F" w:rsidP="00C507AC">
            <w:pPr>
              <w:autoSpaceDE w:val="0"/>
              <w:autoSpaceDN w:val="0"/>
              <w:adjustRightInd w:val="0"/>
              <w:rPr>
                <w:rFonts w:ascii="Arial" w:hAnsi="Arial" w:cs="Arial"/>
              </w:rPr>
            </w:pPr>
          </w:p>
        </w:tc>
        <w:tc>
          <w:tcPr>
            <w:tcW w:w="1540" w:type="dxa"/>
          </w:tcPr>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 xml:space="preserve">exenatide </w:t>
            </w:r>
          </w:p>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QW</w:t>
            </w:r>
          </w:p>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N=592</w:t>
            </w:r>
          </w:p>
        </w:tc>
        <w:tc>
          <w:tcPr>
            <w:tcW w:w="1540" w:type="dxa"/>
          </w:tcPr>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 xml:space="preserve">exenatide </w:t>
            </w:r>
          </w:p>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BID</w:t>
            </w:r>
          </w:p>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N=145</w:t>
            </w:r>
          </w:p>
        </w:tc>
        <w:tc>
          <w:tcPr>
            <w:tcW w:w="1540" w:type="dxa"/>
          </w:tcPr>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Pioglitazone</w:t>
            </w:r>
          </w:p>
          <w:p w:rsidR="0059221F" w:rsidRPr="00240F8B" w:rsidRDefault="0059221F" w:rsidP="004122E1">
            <w:pPr>
              <w:autoSpaceDE w:val="0"/>
              <w:autoSpaceDN w:val="0"/>
              <w:adjustRightInd w:val="0"/>
              <w:jc w:val="center"/>
              <w:rPr>
                <w:rFonts w:ascii="Arial" w:hAnsi="Arial" w:cs="Arial"/>
                <w:b/>
                <w:sz w:val="22"/>
                <w:szCs w:val="22"/>
              </w:rPr>
            </w:pPr>
          </w:p>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N=165</w:t>
            </w:r>
          </w:p>
        </w:tc>
        <w:tc>
          <w:tcPr>
            <w:tcW w:w="1540" w:type="dxa"/>
          </w:tcPr>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Sitagliptin</w:t>
            </w:r>
          </w:p>
          <w:p w:rsidR="0059221F" w:rsidRPr="00240F8B" w:rsidRDefault="0059221F" w:rsidP="004122E1">
            <w:pPr>
              <w:autoSpaceDE w:val="0"/>
              <w:autoSpaceDN w:val="0"/>
              <w:adjustRightInd w:val="0"/>
              <w:jc w:val="center"/>
              <w:rPr>
                <w:rFonts w:ascii="Arial" w:hAnsi="Arial" w:cs="Arial"/>
                <w:b/>
                <w:sz w:val="22"/>
                <w:szCs w:val="22"/>
              </w:rPr>
            </w:pPr>
          </w:p>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N=166</w:t>
            </w:r>
          </w:p>
        </w:tc>
        <w:tc>
          <w:tcPr>
            <w:tcW w:w="1540" w:type="dxa"/>
          </w:tcPr>
          <w:p w:rsidR="0059221F" w:rsidRPr="00240F8B"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Insulin</w:t>
            </w:r>
          </w:p>
          <w:p w:rsidR="0059221F" w:rsidRPr="00240F8B" w:rsidRDefault="0059221F" w:rsidP="004122E1">
            <w:pPr>
              <w:autoSpaceDE w:val="0"/>
              <w:autoSpaceDN w:val="0"/>
              <w:adjustRightInd w:val="0"/>
              <w:jc w:val="center"/>
              <w:rPr>
                <w:rFonts w:ascii="Arial" w:hAnsi="Arial" w:cs="Arial"/>
                <w:b/>
                <w:sz w:val="22"/>
                <w:szCs w:val="22"/>
              </w:rPr>
            </w:pPr>
          </w:p>
          <w:p w:rsidR="0059221F" w:rsidRPr="00240F8B" w:rsidDel="0059221F" w:rsidRDefault="0059221F" w:rsidP="004122E1">
            <w:pPr>
              <w:autoSpaceDE w:val="0"/>
              <w:autoSpaceDN w:val="0"/>
              <w:adjustRightInd w:val="0"/>
              <w:jc w:val="center"/>
              <w:rPr>
                <w:rFonts w:ascii="Arial" w:hAnsi="Arial" w:cs="Arial"/>
                <w:b/>
                <w:sz w:val="22"/>
                <w:szCs w:val="22"/>
              </w:rPr>
            </w:pPr>
            <w:r w:rsidRPr="00240F8B">
              <w:rPr>
                <w:rFonts w:ascii="Arial" w:hAnsi="Arial" w:cs="Arial"/>
                <w:b/>
                <w:sz w:val="22"/>
                <w:szCs w:val="22"/>
              </w:rPr>
              <w:t>N=223</w:t>
            </w:r>
          </w:p>
        </w:tc>
      </w:tr>
      <w:tr w:rsidR="0059221F" w:rsidRPr="00611F34" w:rsidTr="0059221F">
        <w:tc>
          <w:tcPr>
            <w:tcW w:w="9572" w:type="dxa"/>
            <w:gridSpan w:val="6"/>
          </w:tcPr>
          <w:p w:rsidR="0059221F" w:rsidRPr="00240F8B" w:rsidRDefault="0059221F" w:rsidP="0059221F">
            <w:pPr>
              <w:autoSpaceDE w:val="0"/>
              <w:autoSpaceDN w:val="0"/>
              <w:adjustRightInd w:val="0"/>
              <w:rPr>
                <w:rFonts w:ascii="Arial" w:hAnsi="Arial" w:cs="Arial"/>
                <w:b/>
                <w:sz w:val="22"/>
                <w:szCs w:val="22"/>
              </w:rPr>
            </w:pPr>
            <w:r w:rsidRPr="00240F8B">
              <w:rPr>
                <w:rFonts w:ascii="Arial" w:hAnsi="Arial" w:cs="Arial"/>
                <w:b/>
                <w:sz w:val="22"/>
                <w:szCs w:val="22"/>
              </w:rPr>
              <w:t>With Sulfonylurea</w:t>
            </w:r>
          </w:p>
        </w:tc>
      </w:tr>
      <w:tr w:rsidR="0059221F" w:rsidRPr="00611F34" w:rsidTr="0059221F">
        <w:tc>
          <w:tcPr>
            <w:tcW w:w="1872" w:type="dxa"/>
          </w:tcPr>
          <w:p w:rsidR="0059221F" w:rsidRPr="0059221F" w:rsidRDefault="0059221F" w:rsidP="0059221F">
            <w:pPr>
              <w:autoSpaceDE w:val="0"/>
              <w:autoSpaceDN w:val="0"/>
              <w:adjustRightInd w:val="0"/>
              <w:rPr>
                <w:rFonts w:ascii="Arial" w:hAnsi="Arial" w:cs="Arial"/>
                <w:sz w:val="20"/>
                <w:szCs w:val="20"/>
              </w:rPr>
            </w:pPr>
            <w:r w:rsidRPr="0059221F">
              <w:rPr>
                <w:rFonts w:ascii="Arial" w:hAnsi="Arial" w:cs="Arial"/>
                <w:sz w:val="20"/>
                <w:szCs w:val="20"/>
              </w:rPr>
              <w:t>Major Hypoglycaemia</w:t>
            </w:r>
          </w:p>
        </w:tc>
        <w:tc>
          <w:tcPr>
            <w:tcW w:w="1540" w:type="dxa"/>
          </w:tcPr>
          <w:p w:rsidR="0059221F" w:rsidRPr="0059221F" w:rsidRDefault="0059221F" w:rsidP="004122E1">
            <w:pPr>
              <w:autoSpaceDE w:val="0"/>
              <w:autoSpaceDN w:val="0"/>
              <w:adjustRightInd w:val="0"/>
              <w:jc w:val="center"/>
              <w:rPr>
                <w:rFonts w:ascii="Arial" w:hAnsi="Arial" w:cs="Arial"/>
                <w:sz w:val="20"/>
                <w:szCs w:val="20"/>
              </w:rPr>
            </w:pPr>
            <w:r>
              <w:rPr>
                <w:rFonts w:ascii="Arial" w:hAnsi="Arial" w:cs="Arial"/>
                <w:sz w:val="20"/>
                <w:szCs w:val="20"/>
              </w:rPr>
              <w:t>0 (0.0)</w:t>
            </w:r>
          </w:p>
        </w:tc>
        <w:tc>
          <w:tcPr>
            <w:tcW w:w="1540" w:type="dxa"/>
          </w:tcPr>
          <w:p w:rsidR="0059221F" w:rsidRPr="0059221F" w:rsidRDefault="00240F8B" w:rsidP="004122E1">
            <w:pPr>
              <w:autoSpaceDE w:val="0"/>
              <w:autoSpaceDN w:val="0"/>
              <w:adjustRightInd w:val="0"/>
              <w:jc w:val="center"/>
              <w:rPr>
                <w:rFonts w:ascii="Arial" w:hAnsi="Arial" w:cs="Arial"/>
                <w:sz w:val="20"/>
                <w:szCs w:val="20"/>
              </w:rPr>
            </w:pPr>
            <w:r>
              <w:rPr>
                <w:rFonts w:ascii="Arial" w:hAnsi="Arial" w:cs="Arial"/>
                <w:sz w:val="20"/>
                <w:szCs w:val="20"/>
              </w:rPr>
              <w:t>0 (0.0)</w:t>
            </w:r>
          </w:p>
        </w:tc>
        <w:tc>
          <w:tcPr>
            <w:tcW w:w="1540" w:type="dxa"/>
          </w:tcPr>
          <w:p w:rsidR="0059221F" w:rsidRPr="0059221F" w:rsidRDefault="00240F8B" w:rsidP="004122E1">
            <w:pPr>
              <w:autoSpaceDE w:val="0"/>
              <w:autoSpaceDN w:val="0"/>
              <w:adjustRightInd w:val="0"/>
              <w:jc w:val="center"/>
              <w:rPr>
                <w:rFonts w:ascii="Arial" w:hAnsi="Arial" w:cs="Arial"/>
                <w:sz w:val="20"/>
                <w:szCs w:val="20"/>
              </w:rPr>
            </w:pPr>
            <w:r>
              <w:rPr>
                <w:rFonts w:ascii="Arial" w:hAnsi="Arial" w:cs="Arial"/>
                <w:sz w:val="20"/>
                <w:szCs w:val="20"/>
              </w:rPr>
              <w:t>0 (0.0)</w:t>
            </w:r>
          </w:p>
        </w:tc>
        <w:tc>
          <w:tcPr>
            <w:tcW w:w="1540" w:type="dxa"/>
          </w:tcPr>
          <w:p w:rsidR="0059221F" w:rsidRPr="0059221F" w:rsidRDefault="00240F8B" w:rsidP="004122E1">
            <w:pPr>
              <w:autoSpaceDE w:val="0"/>
              <w:autoSpaceDN w:val="0"/>
              <w:adjustRightInd w:val="0"/>
              <w:jc w:val="center"/>
              <w:rPr>
                <w:rFonts w:ascii="Arial" w:hAnsi="Arial" w:cs="Arial"/>
                <w:sz w:val="20"/>
                <w:szCs w:val="20"/>
              </w:rPr>
            </w:pPr>
            <w:r>
              <w:rPr>
                <w:rFonts w:ascii="Arial" w:hAnsi="Arial" w:cs="Arial"/>
                <w:sz w:val="20"/>
                <w:szCs w:val="20"/>
              </w:rPr>
              <w:t>0 (0.0)</w:t>
            </w:r>
          </w:p>
        </w:tc>
        <w:tc>
          <w:tcPr>
            <w:tcW w:w="1540" w:type="dxa"/>
          </w:tcPr>
          <w:p w:rsidR="0059221F" w:rsidRPr="0059221F" w:rsidRDefault="00240F8B" w:rsidP="004122E1">
            <w:pPr>
              <w:autoSpaceDE w:val="0"/>
              <w:autoSpaceDN w:val="0"/>
              <w:adjustRightInd w:val="0"/>
              <w:jc w:val="center"/>
              <w:rPr>
                <w:rFonts w:ascii="Arial" w:hAnsi="Arial" w:cs="Arial"/>
                <w:sz w:val="20"/>
                <w:szCs w:val="20"/>
              </w:rPr>
            </w:pPr>
            <w:r>
              <w:rPr>
                <w:rFonts w:ascii="Arial" w:hAnsi="Arial" w:cs="Arial"/>
                <w:sz w:val="20"/>
                <w:szCs w:val="20"/>
              </w:rPr>
              <w:t>1 (1.5)</w:t>
            </w:r>
          </w:p>
        </w:tc>
      </w:tr>
      <w:tr w:rsidR="00240F8B" w:rsidRPr="00611F34" w:rsidTr="0059221F">
        <w:tc>
          <w:tcPr>
            <w:tcW w:w="1872" w:type="dxa"/>
          </w:tcPr>
          <w:p w:rsidR="00240F8B" w:rsidRPr="0059221F" w:rsidRDefault="00240F8B" w:rsidP="0059221F">
            <w:pPr>
              <w:autoSpaceDE w:val="0"/>
              <w:autoSpaceDN w:val="0"/>
              <w:adjustRightInd w:val="0"/>
              <w:rPr>
                <w:rFonts w:ascii="Arial" w:hAnsi="Arial" w:cs="Arial"/>
                <w:sz w:val="20"/>
                <w:szCs w:val="20"/>
              </w:rPr>
            </w:pPr>
            <w:r>
              <w:rPr>
                <w:rFonts w:ascii="Arial" w:hAnsi="Arial" w:cs="Arial"/>
                <w:sz w:val="20"/>
                <w:szCs w:val="20"/>
              </w:rPr>
              <w:t>Minor Hypoglycaemia</w:t>
            </w:r>
          </w:p>
        </w:tc>
        <w:tc>
          <w:tcPr>
            <w:tcW w:w="1540" w:type="dxa"/>
          </w:tcPr>
          <w:p w:rsid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22 (15.9)</w:t>
            </w:r>
          </w:p>
        </w:tc>
        <w:tc>
          <w:tcPr>
            <w:tcW w:w="1540" w:type="dxa"/>
          </w:tcPr>
          <w:p w:rsid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10 (18.9)</w:t>
            </w:r>
          </w:p>
        </w:tc>
        <w:tc>
          <w:tcPr>
            <w:tcW w:w="1540" w:type="dxa"/>
          </w:tcPr>
          <w:p w:rsid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0 (0.0)</w:t>
            </w:r>
          </w:p>
        </w:tc>
        <w:tc>
          <w:tcPr>
            <w:tcW w:w="1540" w:type="dxa"/>
          </w:tcPr>
          <w:p w:rsid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0 (0.0)</w:t>
            </w:r>
          </w:p>
        </w:tc>
        <w:tc>
          <w:tcPr>
            <w:tcW w:w="1540" w:type="dxa"/>
          </w:tcPr>
          <w:p w:rsid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28 (41.8)</w:t>
            </w:r>
          </w:p>
        </w:tc>
      </w:tr>
      <w:tr w:rsidR="00240F8B" w:rsidRPr="00611F34" w:rsidTr="00966186">
        <w:tc>
          <w:tcPr>
            <w:tcW w:w="9572" w:type="dxa"/>
            <w:gridSpan w:val="6"/>
          </w:tcPr>
          <w:p w:rsidR="00240F8B" w:rsidRPr="00611F34" w:rsidRDefault="00240F8B" w:rsidP="004122E1">
            <w:pPr>
              <w:autoSpaceDE w:val="0"/>
              <w:autoSpaceDN w:val="0"/>
              <w:adjustRightInd w:val="0"/>
              <w:rPr>
                <w:rFonts w:ascii="Arial" w:hAnsi="Arial" w:cs="Arial"/>
                <w:b/>
                <w:sz w:val="22"/>
                <w:szCs w:val="22"/>
              </w:rPr>
            </w:pPr>
            <w:r>
              <w:rPr>
                <w:rFonts w:ascii="Arial" w:hAnsi="Arial" w:cs="Arial"/>
                <w:b/>
                <w:sz w:val="22"/>
                <w:szCs w:val="22"/>
              </w:rPr>
              <w:t>Without Sulfonylurea</w:t>
            </w:r>
          </w:p>
        </w:tc>
      </w:tr>
      <w:tr w:rsidR="0059221F" w:rsidRPr="00611F34" w:rsidTr="00240F8B">
        <w:tc>
          <w:tcPr>
            <w:tcW w:w="1872" w:type="dxa"/>
            <w:vAlign w:val="center"/>
          </w:tcPr>
          <w:p w:rsidR="0059221F" w:rsidRPr="00611F34" w:rsidRDefault="00240F8B" w:rsidP="00240F8B">
            <w:pPr>
              <w:autoSpaceDE w:val="0"/>
              <w:autoSpaceDN w:val="0"/>
              <w:adjustRightInd w:val="0"/>
              <w:rPr>
                <w:rFonts w:ascii="Arial" w:hAnsi="Arial" w:cs="Arial"/>
              </w:rPr>
            </w:pPr>
            <w:r w:rsidRPr="0059221F">
              <w:rPr>
                <w:rFonts w:ascii="Arial" w:hAnsi="Arial" w:cs="Arial"/>
                <w:sz w:val="20"/>
                <w:szCs w:val="20"/>
              </w:rPr>
              <w:t>Major Hypoglycaemia</w:t>
            </w:r>
          </w:p>
        </w:tc>
        <w:tc>
          <w:tcPr>
            <w:tcW w:w="1540" w:type="dxa"/>
            <w:vAlign w:val="center"/>
          </w:tcPr>
          <w:p w:rsidR="0059221F" w:rsidRP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1 (0.2)</w:t>
            </w:r>
          </w:p>
        </w:tc>
        <w:tc>
          <w:tcPr>
            <w:tcW w:w="1540" w:type="dxa"/>
            <w:vAlign w:val="center"/>
          </w:tcPr>
          <w:p w:rsidR="0059221F" w:rsidRP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0 (0.0)</w:t>
            </w:r>
          </w:p>
        </w:tc>
        <w:tc>
          <w:tcPr>
            <w:tcW w:w="1540" w:type="dxa"/>
            <w:vAlign w:val="center"/>
          </w:tcPr>
          <w:p w:rsidR="0059221F" w:rsidRP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0 (0.0)</w:t>
            </w:r>
          </w:p>
        </w:tc>
        <w:tc>
          <w:tcPr>
            <w:tcW w:w="1540" w:type="dxa"/>
            <w:vAlign w:val="center"/>
          </w:tcPr>
          <w:p w:rsidR="0059221F" w:rsidRP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0 (0.0)</w:t>
            </w:r>
          </w:p>
        </w:tc>
        <w:tc>
          <w:tcPr>
            <w:tcW w:w="1540" w:type="dxa"/>
          </w:tcPr>
          <w:p w:rsidR="0059221F" w:rsidRP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1 (0.6)</w:t>
            </w:r>
          </w:p>
        </w:tc>
      </w:tr>
      <w:tr w:rsidR="0059221F" w:rsidRPr="00611F34" w:rsidTr="00240F8B">
        <w:tc>
          <w:tcPr>
            <w:tcW w:w="1872" w:type="dxa"/>
            <w:vAlign w:val="center"/>
          </w:tcPr>
          <w:p w:rsidR="0059221F" w:rsidRPr="00611F34" w:rsidRDefault="00240F8B" w:rsidP="00240F8B">
            <w:pPr>
              <w:autoSpaceDE w:val="0"/>
              <w:autoSpaceDN w:val="0"/>
              <w:adjustRightInd w:val="0"/>
              <w:rPr>
                <w:rFonts w:ascii="Arial" w:hAnsi="Arial" w:cs="Arial"/>
              </w:rPr>
            </w:pPr>
            <w:r>
              <w:rPr>
                <w:rFonts w:ascii="Arial" w:hAnsi="Arial" w:cs="Arial"/>
                <w:sz w:val="20"/>
                <w:szCs w:val="20"/>
              </w:rPr>
              <w:t>Minor Hypoglycaemia</w:t>
            </w:r>
          </w:p>
        </w:tc>
        <w:tc>
          <w:tcPr>
            <w:tcW w:w="1540" w:type="dxa"/>
            <w:vAlign w:val="center"/>
          </w:tcPr>
          <w:p w:rsidR="0059221F" w:rsidRP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9 (2.0)</w:t>
            </w:r>
          </w:p>
        </w:tc>
        <w:tc>
          <w:tcPr>
            <w:tcW w:w="1540" w:type="dxa"/>
            <w:vAlign w:val="center"/>
          </w:tcPr>
          <w:p w:rsidR="0059221F" w:rsidRP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1 (1.1)</w:t>
            </w:r>
          </w:p>
        </w:tc>
        <w:tc>
          <w:tcPr>
            <w:tcW w:w="1540" w:type="dxa"/>
            <w:vAlign w:val="center"/>
          </w:tcPr>
          <w:p w:rsidR="0059221F" w:rsidRP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1 (0.6)</w:t>
            </w:r>
          </w:p>
        </w:tc>
        <w:tc>
          <w:tcPr>
            <w:tcW w:w="1540" w:type="dxa"/>
            <w:vAlign w:val="center"/>
          </w:tcPr>
          <w:p w:rsidR="0059221F" w:rsidRP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5 (3.0)</w:t>
            </w:r>
          </w:p>
        </w:tc>
        <w:tc>
          <w:tcPr>
            <w:tcW w:w="1540" w:type="dxa"/>
          </w:tcPr>
          <w:p w:rsidR="0059221F" w:rsidRPr="00240F8B" w:rsidRDefault="00240F8B" w:rsidP="004122E1">
            <w:pPr>
              <w:autoSpaceDE w:val="0"/>
              <w:autoSpaceDN w:val="0"/>
              <w:adjustRightInd w:val="0"/>
              <w:jc w:val="center"/>
              <w:rPr>
                <w:rFonts w:ascii="Arial" w:hAnsi="Arial" w:cs="Arial"/>
                <w:sz w:val="20"/>
                <w:szCs w:val="20"/>
              </w:rPr>
            </w:pPr>
            <w:r>
              <w:rPr>
                <w:rFonts w:ascii="Arial" w:hAnsi="Arial" w:cs="Arial"/>
                <w:sz w:val="20"/>
                <w:szCs w:val="20"/>
              </w:rPr>
              <w:t>30 (19.2)</w:t>
            </w:r>
          </w:p>
        </w:tc>
      </w:tr>
    </w:tbl>
    <w:p w:rsidR="00C507AC" w:rsidRPr="009E3EE3" w:rsidRDefault="009E3EE3" w:rsidP="009E3EE3">
      <w:pPr>
        <w:pStyle w:val="BodyText"/>
        <w:jc w:val="both"/>
        <w:rPr>
          <w:rFonts w:ascii="Arial" w:hAnsi="Arial" w:cs="Arial"/>
          <w:sz w:val="18"/>
          <w:szCs w:val="18"/>
        </w:rPr>
      </w:pPr>
      <w:r w:rsidRPr="00611F34">
        <w:rPr>
          <w:rFonts w:ascii="Arial" w:hAnsi="Arial" w:cs="Arial"/>
          <w:sz w:val="18"/>
          <w:szCs w:val="18"/>
        </w:rPr>
        <w:t xml:space="preserve">Abbreviations: </w:t>
      </w:r>
      <w:r>
        <w:rPr>
          <w:rFonts w:ascii="Arial" w:hAnsi="Arial" w:cs="Arial"/>
          <w:sz w:val="18"/>
          <w:szCs w:val="18"/>
        </w:rPr>
        <w:t>QW: once weekly; BID: twice daily</w:t>
      </w:r>
    </w:p>
    <w:p w:rsidR="00C507AC" w:rsidRPr="00611F34" w:rsidRDefault="00C507AC" w:rsidP="00DA1AEE">
      <w:pPr>
        <w:pStyle w:val="BodyText"/>
        <w:jc w:val="both"/>
        <w:rPr>
          <w:rFonts w:ascii="Arial" w:hAnsi="Arial" w:cs="Arial"/>
          <w:b/>
          <w:bCs/>
        </w:rPr>
      </w:pPr>
    </w:p>
    <w:p w:rsidR="00323C73" w:rsidRPr="00611F34" w:rsidRDefault="00323C73" w:rsidP="00DA1AEE">
      <w:pPr>
        <w:pStyle w:val="BodyText"/>
        <w:jc w:val="both"/>
        <w:rPr>
          <w:rFonts w:ascii="Arial" w:hAnsi="Arial" w:cs="Arial"/>
          <w:b/>
          <w:bCs/>
        </w:rPr>
      </w:pPr>
      <w:r w:rsidRPr="00611F34">
        <w:rPr>
          <w:rFonts w:ascii="Arial" w:hAnsi="Arial" w:cs="Arial"/>
          <w:b/>
          <w:bCs/>
        </w:rPr>
        <w:t>Nausea</w:t>
      </w:r>
    </w:p>
    <w:p w:rsidR="00A73A15" w:rsidRPr="00611F34" w:rsidRDefault="008D53CC" w:rsidP="00A73A15">
      <w:pPr>
        <w:rPr>
          <w:rFonts w:ascii="Arial" w:hAnsi="Arial" w:cs="Arial"/>
        </w:rPr>
      </w:pPr>
      <w:r>
        <w:rPr>
          <w:rFonts w:ascii="Arial" w:hAnsi="Arial" w:cs="Arial"/>
        </w:rPr>
        <w:t xml:space="preserve">Nausea has been described in studies of GLP-1 agonists. In clinical trials of </w:t>
      </w:r>
      <w:r w:rsidR="009E3EE3">
        <w:rPr>
          <w:rFonts w:ascii="Arial" w:hAnsi="Arial" w:cs="Arial"/>
        </w:rPr>
        <w:t xml:space="preserve">2 mg </w:t>
      </w:r>
      <w:r>
        <w:rPr>
          <w:rFonts w:ascii="Arial" w:hAnsi="Arial" w:cs="Arial"/>
        </w:rPr>
        <w:t>exenatide once weekly, t</w:t>
      </w:r>
      <w:r w:rsidR="00A73A15" w:rsidRPr="00611F34">
        <w:rPr>
          <w:rFonts w:ascii="Arial" w:hAnsi="Arial" w:cs="Arial"/>
        </w:rPr>
        <w:t xml:space="preserve">he most frequently reported adverse reaction was nausea. In patients treated with </w:t>
      </w:r>
      <w:r w:rsidR="009E3EE3">
        <w:rPr>
          <w:rFonts w:ascii="Arial" w:hAnsi="Arial" w:cs="Arial"/>
        </w:rPr>
        <w:t xml:space="preserve">2 mg </w:t>
      </w:r>
      <w:r>
        <w:rPr>
          <w:rFonts w:ascii="Arial" w:hAnsi="Arial" w:cs="Arial"/>
        </w:rPr>
        <w:t>exenatide once weekly</w:t>
      </w:r>
      <w:r w:rsidR="00A73A15" w:rsidRPr="00611F34">
        <w:rPr>
          <w:rFonts w:ascii="Arial" w:hAnsi="Arial" w:cs="Arial"/>
        </w:rPr>
        <w:t xml:space="preserve">, generally 20% reported at least one episode of nausea compared to 34% of </w:t>
      </w:r>
      <w:r w:rsidR="009E3EE3">
        <w:rPr>
          <w:rFonts w:ascii="Arial" w:hAnsi="Arial" w:cs="Arial"/>
        </w:rPr>
        <w:t xml:space="preserve">10 µg </w:t>
      </w:r>
      <w:r w:rsidR="00A73A15" w:rsidRPr="00611F34">
        <w:rPr>
          <w:rFonts w:ascii="Arial" w:hAnsi="Arial" w:cs="Arial"/>
        </w:rPr>
        <w:t xml:space="preserve">exenatide twice daily patients. Most episodes of nausea were mild to moderate. With continued therapy, the frequency decreased in most patients who initially experienced nausea. </w:t>
      </w:r>
    </w:p>
    <w:p w:rsidR="00A73A15" w:rsidRPr="00611F34" w:rsidRDefault="00A73A15" w:rsidP="00A73A15">
      <w:pPr>
        <w:rPr>
          <w:rFonts w:ascii="Arial" w:hAnsi="Arial" w:cs="Arial"/>
        </w:rPr>
      </w:pPr>
    </w:p>
    <w:p w:rsidR="00A73A15" w:rsidRPr="00611F34" w:rsidRDefault="00A73A15" w:rsidP="00A73A15">
      <w:pPr>
        <w:rPr>
          <w:rFonts w:ascii="Arial" w:hAnsi="Arial" w:cs="Arial"/>
        </w:rPr>
      </w:pPr>
      <w:r w:rsidRPr="00611F34">
        <w:rPr>
          <w:rFonts w:ascii="Arial" w:hAnsi="Arial" w:cs="Arial"/>
        </w:rPr>
        <w:t xml:space="preserve">The incidence of withdrawal </w:t>
      </w:r>
      <w:r w:rsidR="00E04AE5">
        <w:rPr>
          <w:rFonts w:ascii="Arial" w:hAnsi="Arial" w:cs="Arial"/>
        </w:rPr>
        <w:t xml:space="preserve">from clinical trials </w:t>
      </w:r>
      <w:r w:rsidRPr="00611F34">
        <w:rPr>
          <w:rFonts w:ascii="Arial" w:hAnsi="Arial" w:cs="Arial"/>
        </w:rPr>
        <w:t xml:space="preserve">due to adverse events </w:t>
      </w:r>
      <w:r w:rsidR="00E04AE5">
        <w:rPr>
          <w:rFonts w:ascii="Arial" w:hAnsi="Arial" w:cs="Arial"/>
        </w:rPr>
        <w:t>was approximately 5% for exenatide once weekly treated patients and for exenatide twice daily treated patients.</w:t>
      </w:r>
      <w:r w:rsidRPr="00611F34">
        <w:rPr>
          <w:rFonts w:ascii="Arial" w:hAnsi="Arial" w:cs="Arial"/>
        </w:rPr>
        <w:t xml:space="preserve"> The most common adverse events leading to withdrawal in either treatment group were nausea and vomiting. Withdrawal due to nausea or vomiting each occurred in </w:t>
      </w:r>
      <w:r w:rsidR="00E04AE5">
        <w:rPr>
          <w:rFonts w:ascii="Arial" w:hAnsi="Arial" w:cs="Arial"/>
        </w:rPr>
        <w:t>approximately</w:t>
      </w:r>
      <w:r w:rsidRPr="00611F34">
        <w:rPr>
          <w:rFonts w:ascii="Arial" w:hAnsi="Arial" w:cs="Arial"/>
        </w:rPr>
        <w:t xml:space="preserve"> 1% for </w:t>
      </w:r>
      <w:r w:rsidR="008D53CC">
        <w:rPr>
          <w:rFonts w:ascii="Arial" w:hAnsi="Arial" w:cs="Arial"/>
        </w:rPr>
        <w:t xml:space="preserve">exenatide once weekly </w:t>
      </w:r>
      <w:r w:rsidRPr="00611F34">
        <w:rPr>
          <w:rFonts w:ascii="Arial" w:hAnsi="Arial" w:cs="Arial"/>
        </w:rPr>
        <w:t xml:space="preserve">treated patients and exenatide twice daily treated patients. </w:t>
      </w:r>
    </w:p>
    <w:p w:rsidR="00A73A15" w:rsidRPr="00611F34" w:rsidRDefault="00A73A15" w:rsidP="00A73A15">
      <w:pPr>
        <w:rPr>
          <w:rFonts w:ascii="Arial" w:hAnsi="Arial" w:cs="Arial"/>
        </w:rPr>
      </w:pPr>
    </w:p>
    <w:p w:rsidR="00323C73" w:rsidRPr="00611F34" w:rsidRDefault="00323C73" w:rsidP="00DA1AEE">
      <w:pPr>
        <w:pStyle w:val="BodyText"/>
        <w:jc w:val="both"/>
        <w:rPr>
          <w:rFonts w:ascii="Arial" w:hAnsi="Arial" w:cs="Arial"/>
          <w:b/>
          <w:bCs/>
        </w:rPr>
      </w:pPr>
      <w:r w:rsidRPr="00611F34">
        <w:rPr>
          <w:rFonts w:ascii="Arial" w:hAnsi="Arial" w:cs="Arial"/>
          <w:b/>
          <w:bCs/>
        </w:rPr>
        <w:t>Immunogenicity</w:t>
      </w:r>
    </w:p>
    <w:p w:rsidR="00A73A15" w:rsidRPr="00611F34" w:rsidRDefault="00A73A15" w:rsidP="00A73A15">
      <w:pPr>
        <w:autoSpaceDE w:val="0"/>
        <w:autoSpaceDN w:val="0"/>
        <w:adjustRightInd w:val="0"/>
        <w:rPr>
          <w:rFonts w:ascii="Arial" w:hAnsi="Arial" w:cs="Arial"/>
        </w:rPr>
      </w:pPr>
      <w:r w:rsidRPr="00611F34">
        <w:rPr>
          <w:rFonts w:ascii="Arial" w:hAnsi="Arial" w:cs="Arial"/>
        </w:rPr>
        <w:t xml:space="preserve">Consistent with the potentially immunogenic properties of protein and peptide pharmaceuticals, patients may develop antibodies to exenatide following treatment with </w:t>
      </w:r>
      <w:r w:rsidR="008E16A5">
        <w:rPr>
          <w:rFonts w:ascii="Arial" w:hAnsi="Arial" w:cs="Arial"/>
        </w:rPr>
        <w:t>exenatide</w:t>
      </w:r>
      <w:r w:rsidRPr="00611F34">
        <w:rPr>
          <w:rFonts w:ascii="Arial" w:hAnsi="Arial" w:cs="Arial"/>
        </w:rPr>
        <w:t xml:space="preserve">. In most patients who develop antibodies, antibody titres diminish over time. </w:t>
      </w:r>
    </w:p>
    <w:p w:rsidR="00A73A15" w:rsidRPr="00611F34" w:rsidRDefault="00A73A15" w:rsidP="00A73A15">
      <w:pPr>
        <w:autoSpaceDE w:val="0"/>
        <w:autoSpaceDN w:val="0"/>
        <w:adjustRightInd w:val="0"/>
        <w:rPr>
          <w:rFonts w:ascii="Arial" w:hAnsi="Arial" w:cs="Arial"/>
        </w:rPr>
      </w:pPr>
    </w:p>
    <w:p w:rsidR="00A73A15" w:rsidRPr="00611F34" w:rsidRDefault="00A73A15" w:rsidP="00A73A15">
      <w:pPr>
        <w:autoSpaceDE w:val="0"/>
        <w:autoSpaceDN w:val="0"/>
        <w:adjustRightInd w:val="0"/>
        <w:rPr>
          <w:rFonts w:ascii="Arial" w:hAnsi="Arial" w:cs="Arial"/>
        </w:rPr>
      </w:pPr>
      <w:r w:rsidRPr="00611F34">
        <w:rPr>
          <w:rFonts w:ascii="Arial" w:hAnsi="Arial" w:cs="Arial"/>
        </w:rPr>
        <w:t xml:space="preserve">In the </w:t>
      </w:r>
      <w:r w:rsidR="00E04AE5">
        <w:rPr>
          <w:rFonts w:ascii="Arial" w:hAnsi="Arial" w:cs="Arial"/>
        </w:rPr>
        <w:t>clinical trials of</w:t>
      </w:r>
      <w:r w:rsidR="009E3EE3">
        <w:rPr>
          <w:rFonts w:ascii="Arial" w:hAnsi="Arial" w:cs="Arial"/>
        </w:rPr>
        <w:t xml:space="preserve"> </w:t>
      </w:r>
      <w:r w:rsidR="008D53CC">
        <w:rPr>
          <w:rFonts w:ascii="Arial" w:hAnsi="Arial" w:cs="Arial"/>
        </w:rPr>
        <w:t>exenatide once weekly</w:t>
      </w:r>
      <w:r w:rsidRPr="00611F34">
        <w:rPr>
          <w:rFonts w:ascii="Arial" w:hAnsi="Arial" w:cs="Arial"/>
        </w:rPr>
        <w:t xml:space="preserve">, </w:t>
      </w:r>
      <w:r w:rsidR="00E04AE5">
        <w:rPr>
          <w:rFonts w:ascii="Arial" w:hAnsi="Arial" w:cs="Arial"/>
        </w:rPr>
        <w:t xml:space="preserve">approximately </w:t>
      </w:r>
      <w:r w:rsidRPr="00611F34">
        <w:rPr>
          <w:rFonts w:ascii="Arial" w:hAnsi="Arial" w:cs="Arial"/>
        </w:rPr>
        <w:t>4</w:t>
      </w:r>
      <w:r w:rsidR="00E04AE5">
        <w:rPr>
          <w:rFonts w:ascii="Arial" w:hAnsi="Arial" w:cs="Arial"/>
        </w:rPr>
        <w:t>5</w:t>
      </w:r>
      <w:r w:rsidRPr="00611F34">
        <w:rPr>
          <w:rFonts w:ascii="Arial" w:hAnsi="Arial" w:cs="Arial"/>
        </w:rPr>
        <w:t xml:space="preserve">% of patients had low titre antibodies to exenatide at </w:t>
      </w:r>
      <w:r w:rsidR="00E04AE5">
        <w:rPr>
          <w:rFonts w:ascii="Arial" w:hAnsi="Arial" w:cs="Arial"/>
        </w:rPr>
        <w:t>study endpoint</w:t>
      </w:r>
      <w:r w:rsidRPr="00611F34">
        <w:rPr>
          <w:rFonts w:ascii="Arial" w:hAnsi="Arial" w:cs="Arial"/>
        </w:rPr>
        <w:t>. Consistent with exenatide twice daily clinical trial results, the level of glycaemic control (HbA</w:t>
      </w:r>
      <w:r w:rsidRPr="00611F34">
        <w:rPr>
          <w:rFonts w:ascii="Arial" w:hAnsi="Arial" w:cs="Arial"/>
          <w:vertAlign w:val="subscript"/>
        </w:rPr>
        <w:t>1c</w:t>
      </w:r>
      <w:r w:rsidRPr="00611F34">
        <w:rPr>
          <w:rFonts w:ascii="Arial" w:hAnsi="Arial" w:cs="Arial"/>
        </w:rPr>
        <w:t xml:space="preserve">) was generally comparable to that observed in those without antibody titres (51% of patients). </w:t>
      </w:r>
      <w:r w:rsidR="00E04AE5">
        <w:rPr>
          <w:rFonts w:ascii="Arial" w:hAnsi="Arial" w:cs="Arial"/>
        </w:rPr>
        <w:t>Approximately 5</w:t>
      </w:r>
      <w:r w:rsidRPr="00611F34">
        <w:rPr>
          <w:rFonts w:ascii="Arial" w:hAnsi="Arial" w:cs="Arial"/>
        </w:rPr>
        <w:t xml:space="preserve">% of patients had higher titre antibodies at </w:t>
      </w:r>
      <w:r w:rsidR="00E04AE5">
        <w:rPr>
          <w:rFonts w:ascii="Arial" w:hAnsi="Arial" w:cs="Arial"/>
        </w:rPr>
        <w:t>study endpoint</w:t>
      </w:r>
      <w:r w:rsidRPr="00611F34">
        <w:rPr>
          <w:rFonts w:ascii="Arial" w:hAnsi="Arial" w:cs="Arial"/>
        </w:rPr>
        <w:t xml:space="preserve">. In one-third of these (2% overall), the glycaemic response to </w:t>
      </w:r>
      <w:r w:rsidR="008D53CC">
        <w:rPr>
          <w:rFonts w:ascii="Arial" w:hAnsi="Arial" w:cs="Arial"/>
        </w:rPr>
        <w:t xml:space="preserve">exenatide once weekly </w:t>
      </w:r>
      <w:r w:rsidRPr="00611F34">
        <w:rPr>
          <w:rFonts w:ascii="Arial" w:hAnsi="Arial" w:cs="Arial"/>
        </w:rPr>
        <w:t>was attenuated; the remaining 4% had a glycaemic response comparable to that of patients without antibodies.</w:t>
      </w:r>
    </w:p>
    <w:p w:rsidR="00A73A15" w:rsidRPr="00611F34" w:rsidRDefault="00A73A15" w:rsidP="00A73A15">
      <w:pPr>
        <w:autoSpaceDE w:val="0"/>
        <w:autoSpaceDN w:val="0"/>
        <w:adjustRightInd w:val="0"/>
        <w:rPr>
          <w:rFonts w:ascii="Arial" w:hAnsi="Arial" w:cs="Arial"/>
        </w:rPr>
      </w:pPr>
    </w:p>
    <w:p w:rsidR="00A73A15" w:rsidRPr="00611F34" w:rsidRDefault="00A73A15" w:rsidP="00A73A15">
      <w:pPr>
        <w:autoSpaceDE w:val="0"/>
        <w:autoSpaceDN w:val="0"/>
        <w:adjustRightInd w:val="0"/>
        <w:rPr>
          <w:rFonts w:ascii="Arial" w:hAnsi="Arial" w:cs="Arial"/>
        </w:rPr>
      </w:pPr>
      <w:r w:rsidRPr="00611F34">
        <w:rPr>
          <w:rFonts w:ascii="Arial" w:hAnsi="Arial" w:cs="Arial"/>
        </w:rPr>
        <w:t xml:space="preserve">Overall the percentage of antibody positive patients was consistent across clinical trials. Patients who developed antibodies to exenatide tend to have more injection site reactions (for example: redness of skin and itching), but otherwise similar rates and types of adverse events as those with no antibodies to exenatide. </w:t>
      </w:r>
    </w:p>
    <w:p w:rsidR="00A73A15" w:rsidRPr="00611F34" w:rsidRDefault="00A73A15" w:rsidP="00A73A15">
      <w:pPr>
        <w:autoSpaceDE w:val="0"/>
        <w:autoSpaceDN w:val="0"/>
        <w:adjustRightInd w:val="0"/>
        <w:rPr>
          <w:rFonts w:ascii="Arial" w:hAnsi="Arial" w:cs="Arial"/>
        </w:rPr>
      </w:pPr>
    </w:p>
    <w:p w:rsidR="00A73A15" w:rsidRPr="00611F34" w:rsidRDefault="00A73A15" w:rsidP="00A73A15">
      <w:pPr>
        <w:autoSpaceDE w:val="0"/>
        <w:autoSpaceDN w:val="0"/>
        <w:adjustRightInd w:val="0"/>
        <w:rPr>
          <w:rFonts w:ascii="Arial" w:hAnsi="Arial" w:cs="Arial"/>
        </w:rPr>
      </w:pPr>
      <w:r w:rsidRPr="00611F34">
        <w:rPr>
          <w:rFonts w:ascii="Arial" w:hAnsi="Arial" w:cs="Arial"/>
        </w:rPr>
        <w:t xml:space="preserve">For </w:t>
      </w:r>
      <w:r w:rsidR="008E16A5">
        <w:rPr>
          <w:rFonts w:ascii="Arial" w:hAnsi="Arial" w:cs="Arial"/>
        </w:rPr>
        <w:t>exenatide once weekly</w:t>
      </w:r>
      <w:r w:rsidR="008E16A5" w:rsidRPr="00611F34">
        <w:rPr>
          <w:rFonts w:ascii="Arial" w:hAnsi="Arial" w:cs="Arial"/>
        </w:rPr>
        <w:t xml:space="preserve"> </w:t>
      </w:r>
      <w:r w:rsidRPr="00611F34">
        <w:rPr>
          <w:rFonts w:ascii="Arial" w:hAnsi="Arial" w:cs="Arial"/>
        </w:rPr>
        <w:t>treated patients, the incidence of potentially immunogenic injection site reactions (most commonly pruritus with or without erythema) during the 30</w:t>
      </w:r>
      <w:r w:rsidR="008D53CC">
        <w:rPr>
          <w:rFonts w:ascii="Arial" w:hAnsi="Arial" w:cs="Arial"/>
        </w:rPr>
        <w:t xml:space="preserve"> </w:t>
      </w:r>
      <w:r w:rsidRPr="00611F34">
        <w:rPr>
          <w:rFonts w:ascii="Arial" w:hAnsi="Arial" w:cs="Arial"/>
        </w:rPr>
        <w:lastRenderedPageBreak/>
        <w:t>week and 26</w:t>
      </w:r>
      <w:r w:rsidR="008D53CC">
        <w:rPr>
          <w:rFonts w:ascii="Arial" w:hAnsi="Arial" w:cs="Arial"/>
        </w:rPr>
        <w:t xml:space="preserve"> </w:t>
      </w:r>
      <w:r w:rsidRPr="00611F34">
        <w:rPr>
          <w:rFonts w:ascii="Arial" w:hAnsi="Arial" w:cs="Arial"/>
        </w:rPr>
        <w:t xml:space="preserve">week studies was </w:t>
      </w:r>
      <w:r w:rsidR="00E04AE5">
        <w:rPr>
          <w:rFonts w:ascii="Arial" w:hAnsi="Arial" w:cs="Arial"/>
        </w:rPr>
        <w:t>approximately 10</w:t>
      </w:r>
      <w:r w:rsidRPr="00611F34">
        <w:rPr>
          <w:rFonts w:ascii="Arial" w:hAnsi="Arial" w:cs="Arial"/>
        </w:rPr>
        <w:t>%. These reactions were less commonly observed in antibody-negative patients (4%) compared with antibody-positive patients (13%), with a greater incidence in those with higher titre antibodies.</w:t>
      </w:r>
    </w:p>
    <w:p w:rsidR="00A73A15" w:rsidRPr="00611F34" w:rsidRDefault="00A73A15" w:rsidP="00A73A15">
      <w:pPr>
        <w:autoSpaceDE w:val="0"/>
        <w:autoSpaceDN w:val="0"/>
        <w:adjustRightInd w:val="0"/>
        <w:rPr>
          <w:rFonts w:ascii="Arial" w:hAnsi="Arial" w:cs="Arial"/>
        </w:rPr>
      </w:pPr>
    </w:p>
    <w:p w:rsidR="00A73A15" w:rsidRPr="00611F34" w:rsidRDefault="00A73A15" w:rsidP="00A73A15">
      <w:pPr>
        <w:autoSpaceDE w:val="0"/>
        <w:autoSpaceDN w:val="0"/>
        <w:adjustRightInd w:val="0"/>
        <w:rPr>
          <w:rFonts w:ascii="Arial" w:hAnsi="Arial" w:cs="Arial"/>
        </w:rPr>
      </w:pPr>
      <w:r w:rsidRPr="00611F34">
        <w:rPr>
          <w:rFonts w:ascii="Arial" w:hAnsi="Arial" w:cs="Arial"/>
        </w:rPr>
        <w:t xml:space="preserve">Examination of antibody-positive specimens revealed no significant cross-reactivity with similar endogenous peptides (glucagon or GLP-1).   </w:t>
      </w:r>
    </w:p>
    <w:p w:rsidR="00BE66E3" w:rsidRDefault="00BE66E3" w:rsidP="00DA1AEE">
      <w:pPr>
        <w:pStyle w:val="NormalWeb"/>
        <w:autoSpaceDE w:val="0"/>
        <w:autoSpaceDN w:val="0"/>
        <w:adjustRightInd w:val="0"/>
        <w:spacing w:before="0" w:beforeAutospacing="0" w:after="0" w:afterAutospacing="0"/>
        <w:jc w:val="both"/>
        <w:rPr>
          <w:rFonts w:ascii="Arial" w:hAnsi="Arial" w:cs="Arial"/>
          <w:b/>
          <w:lang w:val="en-AU"/>
        </w:rPr>
      </w:pPr>
    </w:p>
    <w:p w:rsidR="00323C73" w:rsidRPr="00611F34" w:rsidRDefault="00323C73" w:rsidP="00DA1AEE">
      <w:pPr>
        <w:pStyle w:val="NormalWeb"/>
        <w:autoSpaceDE w:val="0"/>
        <w:autoSpaceDN w:val="0"/>
        <w:adjustRightInd w:val="0"/>
        <w:spacing w:before="0" w:beforeAutospacing="0" w:after="0" w:afterAutospacing="0"/>
        <w:jc w:val="both"/>
        <w:rPr>
          <w:rFonts w:ascii="Arial" w:hAnsi="Arial" w:cs="Arial"/>
          <w:b/>
          <w:lang w:val="en-AU"/>
        </w:rPr>
      </w:pPr>
      <w:r w:rsidRPr="00611F34">
        <w:rPr>
          <w:rFonts w:ascii="Arial" w:hAnsi="Arial" w:cs="Arial"/>
          <w:b/>
          <w:lang w:val="en-AU"/>
        </w:rPr>
        <w:t>Injection site reactions</w:t>
      </w:r>
    </w:p>
    <w:p w:rsidR="00A73A15" w:rsidRDefault="00A73A15" w:rsidP="00A73A15">
      <w:pPr>
        <w:rPr>
          <w:rFonts w:ascii="Arial" w:hAnsi="Arial" w:cs="Arial"/>
          <w:lang w:eastAsia="en-GB"/>
        </w:rPr>
      </w:pPr>
      <w:r w:rsidRPr="00611F34">
        <w:rPr>
          <w:rFonts w:ascii="Arial" w:hAnsi="Arial" w:cs="Arial"/>
          <w:lang w:eastAsia="en-GB"/>
        </w:rPr>
        <w:t xml:space="preserve">Injection site reactions were observed more frequently (approximately 2-fold) in </w:t>
      </w:r>
      <w:r w:rsidR="003B06F8" w:rsidRPr="00611F34">
        <w:rPr>
          <w:rFonts w:ascii="Arial" w:hAnsi="Arial" w:cs="Arial"/>
          <w:lang w:eastAsia="en-GB"/>
        </w:rPr>
        <w:t xml:space="preserve">exenatide </w:t>
      </w:r>
      <w:r w:rsidRPr="00611F34">
        <w:rPr>
          <w:rFonts w:ascii="Arial" w:hAnsi="Arial" w:cs="Arial"/>
          <w:lang w:eastAsia="en-GB"/>
        </w:rPr>
        <w:t>treated patients versus comparator treated patients. These injection site reactions were generally mild and usually did not lead to withdrawal from studies.</w:t>
      </w:r>
    </w:p>
    <w:p w:rsidR="00261572" w:rsidRDefault="00261572" w:rsidP="00A73A15">
      <w:pPr>
        <w:rPr>
          <w:rFonts w:ascii="Arial" w:hAnsi="Arial" w:cs="Arial"/>
          <w:lang w:eastAsia="en-GB"/>
        </w:rPr>
      </w:pPr>
    </w:p>
    <w:p w:rsidR="00261572" w:rsidRPr="00611F34" w:rsidRDefault="00261572" w:rsidP="00A73A15">
      <w:pPr>
        <w:rPr>
          <w:rFonts w:ascii="Arial" w:hAnsi="Arial" w:cs="Arial"/>
          <w:lang w:eastAsia="en-GB"/>
        </w:rPr>
      </w:pPr>
      <w:r>
        <w:rPr>
          <w:rFonts w:ascii="Arial" w:hAnsi="Arial" w:cs="Arial"/>
          <w:lang w:eastAsia="en-GB"/>
        </w:rPr>
        <w:t xml:space="preserve">Injection site reactions were higher in exenatide once weekly treated patients (16%) compared exenatide BID treated patients (2%-7%). The reactions were pruritus (8%), erythema (4%), induration (4%) and nodule (3%). There was also asymptomatic nodule formation (up to 77%). </w:t>
      </w:r>
      <w:r w:rsidR="00172753">
        <w:rPr>
          <w:rFonts w:ascii="Arial" w:hAnsi="Arial" w:cs="Arial"/>
          <w:lang w:eastAsia="en-GB"/>
        </w:rPr>
        <w:t>A</w:t>
      </w:r>
      <w:r>
        <w:rPr>
          <w:rFonts w:ascii="Arial" w:hAnsi="Arial" w:cs="Arial"/>
          <w:lang w:eastAsia="en-GB"/>
        </w:rPr>
        <w:t xml:space="preserve">pproximately 73% </w:t>
      </w:r>
      <w:r w:rsidR="00172753">
        <w:rPr>
          <w:rFonts w:ascii="Arial" w:hAnsi="Arial" w:cs="Arial"/>
          <w:lang w:eastAsia="en-GB"/>
        </w:rPr>
        <w:t xml:space="preserve">of </w:t>
      </w:r>
      <w:r>
        <w:rPr>
          <w:rFonts w:ascii="Arial" w:hAnsi="Arial" w:cs="Arial"/>
          <w:lang w:eastAsia="en-GB"/>
        </w:rPr>
        <w:t>the first incidence of treatment emergent injection site reactions resolved within 60 days.</w:t>
      </w:r>
    </w:p>
    <w:p w:rsidR="00A73A15" w:rsidRPr="00611F34" w:rsidRDefault="00A73A15" w:rsidP="00A73A15">
      <w:pPr>
        <w:autoSpaceDE w:val="0"/>
        <w:autoSpaceDN w:val="0"/>
        <w:adjustRightInd w:val="0"/>
        <w:rPr>
          <w:rFonts w:ascii="Arial" w:hAnsi="Arial" w:cs="Arial"/>
          <w:lang w:eastAsia="en-GB"/>
        </w:rPr>
      </w:pPr>
    </w:p>
    <w:p w:rsidR="00A73A15" w:rsidRPr="00611F34" w:rsidRDefault="00A73A15" w:rsidP="00A73A15">
      <w:pPr>
        <w:autoSpaceDE w:val="0"/>
        <w:autoSpaceDN w:val="0"/>
        <w:adjustRightInd w:val="0"/>
        <w:rPr>
          <w:rFonts w:ascii="Arial" w:hAnsi="Arial" w:cs="Arial"/>
        </w:rPr>
      </w:pPr>
      <w:r w:rsidRPr="00611F34">
        <w:rPr>
          <w:rFonts w:ascii="Arial" w:hAnsi="Arial" w:cs="Arial"/>
          <w:lang w:eastAsia="en-GB"/>
        </w:rPr>
        <w:t>Small subcutaneous injection site nodules were observed very frequently in clinical trials, consistent with the known properties of poly (D,L-lactide co-glycolide) polymer microsphere formulations. Most individual nodules were asymptomatic, did not interfere with study participation and resolved over 4 to 8 weeks.</w:t>
      </w:r>
    </w:p>
    <w:p w:rsidR="00307651" w:rsidRPr="00611F34" w:rsidRDefault="00307651" w:rsidP="00307651">
      <w:pPr>
        <w:pStyle w:val="Heading2"/>
        <w:spacing w:before="0"/>
        <w:jc w:val="both"/>
        <w:rPr>
          <w:rFonts w:cs="Arial"/>
          <w:bCs/>
          <w:caps/>
        </w:rPr>
      </w:pPr>
    </w:p>
    <w:p w:rsidR="00323C73" w:rsidRPr="00611F34" w:rsidRDefault="00307651" w:rsidP="00307651">
      <w:pPr>
        <w:pStyle w:val="Heading2"/>
        <w:spacing w:before="0"/>
        <w:jc w:val="both"/>
        <w:rPr>
          <w:rFonts w:cs="Arial"/>
          <w:bCs/>
          <w:caps/>
        </w:rPr>
      </w:pPr>
      <w:r w:rsidRPr="00611F34">
        <w:rPr>
          <w:rFonts w:cs="Arial"/>
          <w:bCs/>
          <w:caps/>
        </w:rPr>
        <w:t>S</w:t>
      </w:r>
      <w:r w:rsidR="00323C73" w:rsidRPr="00611F34">
        <w:rPr>
          <w:rFonts w:cs="Arial"/>
          <w:bCs/>
          <w:caps/>
        </w:rPr>
        <w:t>pontaneous Data</w:t>
      </w:r>
    </w:p>
    <w:p w:rsidR="00323C73" w:rsidRPr="00611F34" w:rsidRDefault="00323C73" w:rsidP="00DA1AEE">
      <w:pPr>
        <w:jc w:val="both"/>
        <w:rPr>
          <w:rFonts w:ascii="Arial" w:hAnsi="Arial" w:cs="Arial"/>
        </w:rPr>
      </w:pPr>
    </w:p>
    <w:p w:rsidR="00323C73" w:rsidRPr="00611F34" w:rsidRDefault="00323C73" w:rsidP="00DA1AEE">
      <w:pPr>
        <w:jc w:val="both"/>
        <w:rPr>
          <w:rFonts w:ascii="Arial" w:hAnsi="Arial" w:cs="Arial"/>
        </w:rPr>
      </w:pPr>
      <w:r w:rsidRPr="00611F34">
        <w:rPr>
          <w:rFonts w:ascii="Arial" w:hAnsi="Arial" w:cs="Arial"/>
          <w:b/>
          <w:bCs/>
        </w:rPr>
        <w:t>General:</w:t>
      </w:r>
      <w:r w:rsidR="00D00E26" w:rsidRPr="00611F34">
        <w:rPr>
          <w:rFonts w:ascii="Arial" w:hAnsi="Arial" w:cs="Arial"/>
          <w:b/>
          <w:bCs/>
        </w:rPr>
        <w:t xml:space="preserve"> </w:t>
      </w:r>
      <w:r w:rsidRPr="00611F34">
        <w:rPr>
          <w:rFonts w:ascii="Arial" w:hAnsi="Arial" w:cs="Arial"/>
        </w:rPr>
        <w:t>Common (</w:t>
      </w:r>
      <w:r w:rsidRPr="00611F34">
        <w:rPr>
          <w:rFonts w:ascii="Arial" w:hAnsi="Arial" w:cs="Arial"/>
          <w:position w:val="-4"/>
        </w:rPr>
        <w:object w:dxaOrig="200" w:dyaOrig="240">
          <v:shape id="_x0000_i1026" type="#_x0000_t75" style="width:10pt;height:10pt" o:ole="">
            <v:imagedata r:id="rId19" o:title=""/>
          </v:shape>
          <o:OLEObject Type="Embed" ProgID="Equation.3" ShapeID="_x0000_i1026" DrawAspect="Content" ObjectID="_1425806748" r:id="rId20"/>
        </w:object>
      </w:r>
      <w:r w:rsidRPr="00611F34">
        <w:rPr>
          <w:rFonts w:ascii="Arial" w:hAnsi="Arial" w:cs="Arial"/>
        </w:rPr>
        <w:t>1% and &lt;10%): injection-site reactions</w:t>
      </w:r>
      <w:r w:rsidR="005D326D" w:rsidRPr="00611F34">
        <w:rPr>
          <w:rFonts w:ascii="Arial" w:hAnsi="Arial" w:cs="Arial"/>
        </w:rPr>
        <w:t>.</w:t>
      </w:r>
    </w:p>
    <w:p w:rsidR="00F025DF" w:rsidRPr="00611F34" w:rsidRDefault="00F025DF" w:rsidP="00DA1AEE">
      <w:pPr>
        <w:jc w:val="both"/>
        <w:rPr>
          <w:rFonts w:ascii="Arial" w:hAnsi="Arial" w:cs="Arial"/>
          <w:b/>
        </w:rPr>
      </w:pPr>
    </w:p>
    <w:p w:rsidR="00323C73" w:rsidRPr="00611F34" w:rsidRDefault="0017503C" w:rsidP="00DA1AEE">
      <w:pPr>
        <w:jc w:val="both"/>
        <w:rPr>
          <w:rFonts w:ascii="Arial" w:hAnsi="Arial" w:cs="Arial"/>
        </w:rPr>
      </w:pPr>
      <w:r w:rsidRPr="00611F34">
        <w:rPr>
          <w:rFonts w:ascii="Arial" w:hAnsi="Arial" w:cs="Arial"/>
          <w:b/>
        </w:rPr>
        <w:t xml:space="preserve">Gastrointestinal disorders: </w:t>
      </w:r>
      <w:r w:rsidR="00323C73" w:rsidRPr="00611F34">
        <w:rPr>
          <w:rFonts w:ascii="Arial" w:hAnsi="Arial" w:cs="Arial"/>
        </w:rPr>
        <w:t>Uncommon (</w:t>
      </w:r>
      <w:r w:rsidR="00323C73" w:rsidRPr="00611F34">
        <w:rPr>
          <w:rFonts w:ascii="Arial" w:hAnsi="Arial" w:cs="Arial"/>
          <w:position w:val="-4"/>
        </w:rPr>
        <w:object w:dxaOrig="200" w:dyaOrig="240">
          <v:shape id="_x0000_i1027" type="#_x0000_t75" style="width:10pt;height:10pt" o:ole="">
            <v:imagedata r:id="rId19" o:title=""/>
          </v:shape>
          <o:OLEObject Type="Embed" ProgID="Equation.3" ShapeID="_x0000_i1027" DrawAspect="Content" ObjectID="_1425806749" r:id="rId21"/>
        </w:object>
      </w:r>
      <w:r w:rsidR="00323C73" w:rsidRPr="00611F34">
        <w:rPr>
          <w:rFonts w:ascii="Arial" w:hAnsi="Arial" w:cs="Arial"/>
        </w:rPr>
        <w:t xml:space="preserve">0.1% and &lt; 1%): abdominal distension, </w:t>
      </w:r>
      <w:r w:rsidR="00916B0D">
        <w:rPr>
          <w:rFonts w:ascii="Arial" w:hAnsi="Arial" w:cs="Arial"/>
        </w:rPr>
        <w:t xml:space="preserve">abdominal pain, </w:t>
      </w:r>
      <w:r w:rsidR="00323C73" w:rsidRPr="00611F34">
        <w:rPr>
          <w:rFonts w:ascii="Arial" w:hAnsi="Arial" w:cs="Arial"/>
        </w:rPr>
        <w:t>eructation, constipation</w:t>
      </w:r>
      <w:r w:rsidR="00F025DF" w:rsidRPr="00611F34">
        <w:rPr>
          <w:rFonts w:ascii="Arial" w:hAnsi="Arial" w:cs="Arial"/>
        </w:rPr>
        <w:t>,</w:t>
      </w:r>
      <w:r w:rsidR="00D00E26" w:rsidRPr="00611F34">
        <w:rPr>
          <w:rFonts w:ascii="Arial" w:hAnsi="Arial" w:cs="Arial"/>
        </w:rPr>
        <w:t xml:space="preserve"> </w:t>
      </w:r>
      <w:r w:rsidR="00323C73" w:rsidRPr="00611F34">
        <w:rPr>
          <w:rFonts w:ascii="Arial" w:hAnsi="Arial" w:cs="Arial"/>
        </w:rPr>
        <w:t>flatulence</w:t>
      </w:r>
      <w:r w:rsidR="00D74410" w:rsidRPr="00611F34">
        <w:rPr>
          <w:rFonts w:ascii="Arial" w:hAnsi="Arial" w:cs="Arial"/>
        </w:rPr>
        <w:t xml:space="preserve">. </w:t>
      </w:r>
      <w:r w:rsidR="00DF7D99" w:rsidRPr="00611F34">
        <w:rPr>
          <w:rFonts w:ascii="Arial" w:hAnsi="Arial" w:cs="Arial"/>
        </w:rPr>
        <w:t>Rare (</w:t>
      </w:r>
      <w:r w:rsidR="00DF7D99" w:rsidRPr="00611F34">
        <w:rPr>
          <w:rFonts w:ascii="Arial" w:hAnsi="Arial" w:cs="Arial"/>
          <w:position w:val="-4"/>
        </w:rPr>
        <w:object w:dxaOrig="200" w:dyaOrig="240">
          <v:shape id="_x0000_i1028" type="#_x0000_t75" style="width:10pt;height:11.9pt" o:ole="">
            <v:imagedata r:id="rId22" o:title=""/>
          </v:shape>
          <o:OLEObject Type="Embed" ProgID="Equation.3" ShapeID="_x0000_i1028" DrawAspect="Content" ObjectID="_1425806750" r:id="rId23"/>
        </w:object>
      </w:r>
      <w:r w:rsidR="00DF7D99" w:rsidRPr="00611F34">
        <w:rPr>
          <w:rFonts w:ascii="Arial" w:hAnsi="Arial" w:cs="Arial"/>
        </w:rPr>
        <w:t xml:space="preserve">0.01% </w:t>
      </w:r>
      <w:r w:rsidR="00F3485C" w:rsidRPr="00611F34">
        <w:rPr>
          <w:rFonts w:ascii="Arial" w:hAnsi="Arial" w:cs="Arial"/>
        </w:rPr>
        <w:t xml:space="preserve">and </w:t>
      </w:r>
      <w:r w:rsidR="00DF7D99" w:rsidRPr="00611F34">
        <w:rPr>
          <w:rFonts w:ascii="Arial" w:hAnsi="Arial" w:cs="Arial"/>
        </w:rPr>
        <w:t xml:space="preserve">&lt;0.1%): acute pancreatitis. </w:t>
      </w:r>
      <w:r w:rsidR="00735122" w:rsidRPr="00611F34">
        <w:rPr>
          <w:rFonts w:ascii="Arial" w:hAnsi="Arial" w:cs="Arial"/>
        </w:rPr>
        <w:t>Very rare (&lt;0.01%): Cases of ileus</w:t>
      </w:r>
      <w:r w:rsidR="004B324F" w:rsidRPr="00611F34">
        <w:rPr>
          <w:rFonts w:ascii="Arial" w:hAnsi="Arial" w:cs="Arial"/>
        </w:rPr>
        <w:t>, ischaemic colitis</w:t>
      </w:r>
      <w:r w:rsidR="00735122" w:rsidRPr="00611F34">
        <w:rPr>
          <w:rFonts w:ascii="Arial" w:hAnsi="Arial" w:cs="Arial"/>
        </w:rPr>
        <w:t xml:space="preserve"> and gut ischaemia have been reported.  </w:t>
      </w:r>
    </w:p>
    <w:p w:rsidR="008C7CFF" w:rsidRPr="00611F34" w:rsidRDefault="008C7CFF" w:rsidP="00DA1AEE">
      <w:pPr>
        <w:jc w:val="both"/>
        <w:rPr>
          <w:rFonts w:ascii="Arial" w:hAnsi="Arial" w:cs="Arial"/>
          <w:b/>
        </w:rPr>
      </w:pPr>
    </w:p>
    <w:p w:rsidR="0017503C" w:rsidRPr="00611F34" w:rsidRDefault="0017503C" w:rsidP="00DA1AEE">
      <w:pPr>
        <w:jc w:val="both"/>
        <w:rPr>
          <w:rFonts w:ascii="Arial" w:hAnsi="Arial" w:cs="Arial"/>
        </w:rPr>
      </w:pPr>
      <w:r w:rsidRPr="00611F34">
        <w:rPr>
          <w:rFonts w:ascii="Arial" w:hAnsi="Arial" w:cs="Arial"/>
          <w:b/>
        </w:rPr>
        <w:t>Nervous System diso</w:t>
      </w:r>
      <w:r w:rsidR="00F025DF" w:rsidRPr="00611F34">
        <w:rPr>
          <w:rFonts w:ascii="Arial" w:hAnsi="Arial" w:cs="Arial"/>
          <w:b/>
        </w:rPr>
        <w:t>r</w:t>
      </w:r>
      <w:r w:rsidRPr="00611F34">
        <w:rPr>
          <w:rFonts w:ascii="Arial" w:hAnsi="Arial" w:cs="Arial"/>
          <w:b/>
        </w:rPr>
        <w:t>ders</w:t>
      </w:r>
      <w:r w:rsidR="00D00E26" w:rsidRPr="00611F34">
        <w:rPr>
          <w:rFonts w:ascii="Arial" w:hAnsi="Arial" w:cs="Arial"/>
          <w:b/>
        </w:rPr>
        <w:t xml:space="preserve">: </w:t>
      </w:r>
      <w:r w:rsidRPr="00611F34">
        <w:rPr>
          <w:rFonts w:ascii="Arial" w:hAnsi="Arial" w:cs="Arial"/>
        </w:rPr>
        <w:t>Uncommon (</w:t>
      </w:r>
      <w:r w:rsidRPr="00611F34">
        <w:rPr>
          <w:rFonts w:ascii="Arial" w:hAnsi="Arial" w:cs="Arial"/>
          <w:position w:val="-4"/>
        </w:rPr>
        <w:object w:dxaOrig="200" w:dyaOrig="240">
          <v:shape id="_x0000_i1029" type="#_x0000_t75" style="width:10pt;height:10pt" o:ole="">
            <v:imagedata r:id="rId19" o:title=""/>
          </v:shape>
          <o:OLEObject Type="Embed" ProgID="Equation.3" ShapeID="_x0000_i1029" DrawAspect="Content" ObjectID="_1425806751" r:id="rId24"/>
        </w:object>
      </w:r>
      <w:r w:rsidRPr="00611F34">
        <w:rPr>
          <w:rFonts w:ascii="Arial" w:hAnsi="Arial" w:cs="Arial"/>
        </w:rPr>
        <w:t>0.1% and &lt; 1%): dysgeusia</w:t>
      </w:r>
      <w:r w:rsidR="00D00E26" w:rsidRPr="00611F34">
        <w:rPr>
          <w:rFonts w:ascii="Arial" w:hAnsi="Arial" w:cs="Arial"/>
        </w:rPr>
        <w:t>.</w:t>
      </w:r>
    </w:p>
    <w:p w:rsidR="0017503C" w:rsidRPr="00611F34" w:rsidRDefault="00323C73" w:rsidP="00DA1AEE">
      <w:pPr>
        <w:jc w:val="both"/>
        <w:rPr>
          <w:rFonts w:ascii="Arial" w:hAnsi="Arial" w:cs="Arial"/>
        </w:rPr>
      </w:pPr>
      <w:r w:rsidRPr="00611F34">
        <w:rPr>
          <w:rFonts w:ascii="Arial" w:hAnsi="Arial" w:cs="Arial"/>
        </w:rPr>
        <w:t>Rare (</w:t>
      </w:r>
      <w:r w:rsidRPr="00611F34">
        <w:rPr>
          <w:rFonts w:ascii="Arial" w:hAnsi="Arial" w:cs="Arial"/>
          <w:position w:val="-4"/>
        </w:rPr>
        <w:object w:dxaOrig="200" w:dyaOrig="240">
          <v:shape id="_x0000_i1030" type="#_x0000_t75" style="width:10pt;height:11.9pt" o:ole="">
            <v:imagedata r:id="rId22" o:title=""/>
          </v:shape>
          <o:OLEObject Type="Embed" ProgID="Equation.3" ShapeID="_x0000_i1030" DrawAspect="Content" ObjectID="_1425806752" r:id="rId25"/>
        </w:object>
      </w:r>
      <w:r w:rsidRPr="00611F34">
        <w:rPr>
          <w:rFonts w:ascii="Arial" w:hAnsi="Arial" w:cs="Arial"/>
        </w:rPr>
        <w:t>0.01% &lt;0.1%): somnolence</w:t>
      </w:r>
      <w:r w:rsidR="00D00E26" w:rsidRPr="00611F34">
        <w:rPr>
          <w:rFonts w:ascii="Arial" w:hAnsi="Arial" w:cs="Arial"/>
        </w:rPr>
        <w:t>.</w:t>
      </w:r>
    </w:p>
    <w:p w:rsidR="0017503C" w:rsidRPr="00611F34" w:rsidRDefault="0017503C" w:rsidP="00DA1AEE">
      <w:pPr>
        <w:jc w:val="both"/>
        <w:rPr>
          <w:rFonts w:ascii="Arial" w:hAnsi="Arial" w:cs="Arial"/>
        </w:rPr>
      </w:pPr>
    </w:p>
    <w:p w:rsidR="00323C73" w:rsidRPr="00611F34" w:rsidRDefault="0017503C" w:rsidP="00DA1AEE">
      <w:pPr>
        <w:jc w:val="both"/>
        <w:rPr>
          <w:rFonts w:ascii="Arial" w:hAnsi="Arial" w:cs="Arial"/>
        </w:rPr>
      </w:pPr>
      <w:r w:rsidRPr="00611F34">
        <w:rPr>
          <w:rFonts w:ascii="Arial" w:hAnsi="Arial" w:cs="Arial"/>
          <w:b/>
        </w:rPr>
        <w:t>Investigations</w:t>
      </w:r>
      <w:r w:rsidR="00D00E26" w:rsidRPr="00611F34">
        <w:rPr>
          <w:rFonts w:ascii="Arial" w:hAnsi="Arial" w:cs="Arial"/>
          <w:b/>
        </w:rPr>
        <w:t xml:space="preserve">: </w:t>
      </w:r>
      <w:r w:rsidR="00656383" w:rsidRPr="00611F34">
        <w:rPr>
          <w:rFonts w:ascii="Arial" w:hAnsi="Arial" w:cs="Arial"/>
        </w:rPr>
        <w:t>Rare (</w:t>
      </w:r>
      <w:r w:rsidR="00656383" w:rsidRPr="00611F34">
        <w:rPr>
          <w:rFonts w:ascii="Arial" w:hAnsi="Arial" w:cs="Arial"/>
          <w:position w:val="-4"/>
        </w:rPr>
        <w:object w:dxaOrig="200" w:dyaOrig="240">
          <v:shape id="_x0000_i1031" type="#_x0000_t75" style="width:10pt;height:11.9pt" o:ole="">
            <v:imagedata r:id="rId22" o:title=""/>
          </v:shape>
          <o:OLEObject Type="Embed" ProgID="Equation.3" ShapeID="_x0000_i1031" DrawAspect="Content" ObjectID="_1425806753" r:id="rId26"/>
        </w:object>
      </w:r>
      <w:r w:rsidR="00656383" w:rsidRPr="00611F34">
        <w:rPr>
          <w:rFonts w:ascii="Arial" w:hAnsi="Arial" w:cs="Arial"/>
        </w:rPr>
        <w:t>0.01% &lt;0.1%)</w:t>
      </w:r>
      <w:r w:rsidR="007A6F02" w:rsidRPr="00611F34">
        <w:rPr>
          <w:rFonts w:ascii="Arial" w:hAnsi="Arial" w:cs="Arial"/>
        </w:rPr>
        <w:t xml:space="preserve"> </w:t>
      </w:r>
      <w:r w:rsidR="002A1ECE" w:rsidRPr="00611F34">
        <w:rPr>
          <w:rFonts w:ascii="Arial" w:hAnsi="Arial" w:cs="Arial"/>
          <w:color w:val="auto"/>
        </w:rPr>
        <w:t>INR increased with concomitant warfarin use</w:t>
      </w:r>
      <w:r w:rsidR="002A1ECE" w:rsidRPr="00611F34">
        <w:rPr>
          <w:rFonts w:ascii="Arial" w:hAnsi="Arial" w:cs="Arial"/>
        </w:rPr>
        <w:t xml:space="preserve">, </w:t>
      </w:r>
      <w:r w:rsidR="002A1ECE" w:rsidRPr="00611F34">
        <w:rPr>
          <w:rFonts w:ascii="Arial" w:hAnsi="Arial" w:cs="Arial"/>
          <w:color w:val="auto"/>
        </w:rPr>
        <w:t>some reports associated with bleeding (</w:t>
      </w:r>
      <w:r w:rsidR="002A1ECE" w:rsidRPr="00611F34">
        <w:rPr>
          <w:rFonts w:ascii="Arial" w:hAnsi="Arial" w:cs="Arial"/>
          <w:i/>
          <w:color w:val="auto"/>
        </w:rPr>
        <w:t>see</w:t>
      </w:r>
      <w:r w:rsidR="002A1ECE" w:rsidRPr="00611F34">
        <w:rPr>
          <w:rFonts w:ascii="Arial" w:hAnsi="Arial" w:cs="Arial"/>
          <w:color w:val="auto"/>
        </w:rPr>
        <w:t xml:space="preserve"> </w:t>
      </w:r>
      <w:r w:rsidR="002A1ECE" w:rsidRPr="00611F34">
        <w:rPr>
          <w:rFonts w:ascii="Arial" w:hAnsi="Arial" w:cs="Arial"/>
          <w:b/>
        </w:rPr>
        <w:t>P</w:t>
      </w:r>
      <w:r w:rsidR="00DA1AEE" w:rsidRPr="00611F34">
        <w:rPr>
          <w:rFonts w:ascii="Arial" w:hAnsi="Arial" w:cs="Arial"/>
          <w:b/>
        </w:rPr>
        <w:t>RECAUTIONS</w:t>
      </w:r>
      <w:r w:rsidR="002A1ECE" w:rsidRPr="00611F34">
        <w:rPr>
          <w:rFonts w:ascii="Arial" w:hAnsi="Arial" w:cs="Arial"/>
        </w:rPr>
        <w:t xml:space="preserve"> and </w:t>
      </w:r>
      <w:r w:rsidR="002A1ECE" w:rsidRPr="00611F34">
        <w:rPr>
          <w:rFonts w:ascii="Arial" w:hAnsi="Arial" w:cs="Arial"/>
          <w:b/>
          <w:bCs/>
        </w:rPr>
        <w:t>Interaction With Other Medicines</w:t>
      </w:r>
      <w:r w:rsidR="002A1ECE" w:rsidRPr="00611F34">
        <w:rPr>
          <w:rFonts w:ascii="Arial" w:hAnsi="Arial" w:cs="Arial"/>
          <w:color w:val="auto"/>
        </w:rPr>
        <w:t>)</w:t>
      </w:r>
      <w:r w:rsidR="002A1ECE" w:rsidRPr="00611F34">
        <w:rPr>
          <w:rFonts w:ascii="Arial" w:hAnsi="Arial" w:cs="Arial"/>
          <w:color w:val="0000FF"/>
        </w:rPr>
        <w:t>.</w:t>
      </w:r>
    </w:p>
    <w:p w:rsidR="00323C73" w:rsidRPr="00611F34" w:rsidRDefault="00323C73" w:rsidP="00DA1AEE">
      <w:pPr>
        <w:jc w:val="both"/>
        <w:rPr>
          <w:rFonts w:ascii="Arial" w:hAnsi="Arial" w:cs="Arial"/>
        </w:rPr>
      </w:pPr>
    </w:p>
    <w:p w:rsidR="00323C73" w:rsidRPr="00611F34" w:rsidRDefault="00656383" w:rsidP="00DA1AEE">
      <w:pPr>
        <w:jc w:val="both"/>
        <w:rPr>
          <w:rFonts w:ascii="Arial" w:hAnsi="Arial" w:cs="Arial"/>
        </w:rPr>
      </w:pPr>
      <w:r w:rsidRPr="00611F34">
        <w:rPr>
          <w:rFonts w:ascii="Arial" w:hAnsi="Arial" w:cs="Arial"/>
          <w:b/>
        </w:rPr>
        <w:t>Immune system disorder</w:t>
      </w:r>
      <w:r w:rsidR="00D00E26" w:rsidRPr="00611F34">
        <w:rPr>
          <w:rFonts w:ascii="Arial" w:hAnsi="Arial" w:cs="Arial"/>
          <w:b/>
        </w:rPr>
        <w:t xml:space="preserve">: </w:t>
      </w:r>
      <w:r w:rsidR="00323C73" w:rsidRPr="00611F34">
        <w:rPr>
          <w:rFonts w:ascii="Arial" w:hAnsi="Arial" w:cs="Arial"/>
        </w:rPr>
        <w:t>Very rare (&lt;0.01%): anaphylactic reaction</w:t>
      </w:r>
      <w:r w:rsidR="005D326D" w:rsidRPr="00611F34">
        <w:rPr>
          <w:rFonts w:ascii="Arial" w:hAnsi="Arial" w:cs="Arial"/>
        </w:rPr>
        <w:t>.</w:t>
      </w:r>
      <w:r w:rsidR="00323C73" w:rsidRPr="00611F34">
        <w:rPr>
          <w:rFonts w:ascii="Arial" w:hAnsi="Arial" w:cs="Arial"/>
        </w:rPr>
        <w:t xml:space="preserve"> </w:t>
      </w:r>
    </w:p>
    <w:p w:rsidR="00690C35" w:rsidRPr="00611F34" w:rsidRDefault="00690C35" w:rsidP="00DA1AEE">
      <w:pPr>
        <w:jc w:val="both"/>
        <w:rPr>
          <w:rFonts w:ascii="Arial" w:hAnsi="Arial" w:cs="Arial"/>
          <w:b/>
        </w:rPr>
      </w:pPr>
    </w:p>
    <w:p w:rsidR="00323C73" w:rsidRPr="00611F34" w:rsidRDefault="0017503C" w:rsidP="00DA1AEE">
      <w:pPr>
        <w:jc w:val="both"/>
        <w:rPr>
          <w:rFonts w:ascii="Arial" w:hAnsi="Arial" w:cs="Arial"/>
        </w:rPr>
      </w:pPr>
      <w:r w:rsidRPr="00611F34">
        <w:rPr>
          <w:rFonts w:ascii="Arial" w:hAnsi="Arial" w:cs="Arial"/>
          <w:b/>
        </w:rPr>
        <w:t>Skin and subcutaneous disorders</w:t>
      </w:r>
      <w:r w:rsidR="00D00E26" w:rsidRPr="00611F34">
        <w:rPr>
          <w:rFonts w:ascii="Arial" w:hAnsi="Arial" w:cs="Arial"/>
          <w:b/>
        </w:rPr>
        <w:t xml:space="preserve">: </w:t>
      </w:r>
      <w:r w:rsidRPr="00611F34">
        <w:rPr>
          <w:rFonts w:ascii="Arial" w:hAnsi="Arial" w:cs="Arial"/>
        </w:rPr>
        <w:t>Rare (</w:t>
      </w:r>
      <w:r w:rsidRPr="00611F34">
        <w:rPr>
          <w:rFonts w:ascii="Arial" w:hAnsi="Arial" w:cs="Arial"/>
          <w:position w:val="-4"/>
        </w:rPr>
        <w:object w:dxaOrig="200" w:dyaOrig="240">
          <v:shape id="_x0000_i1032" type="#_x0000_t75" style="width:10pt;height:11.9pt" o:ole="">
            <v:imagedata r:id="rId22" o:title=""/>
          </v:shape>
          <o:OLEObject Type="Embed" ProgID="Equation.3" ShapeID="_x0000_i1032" DrawAspect="Content" ObjectID="_1425806754" r:id="rId27"/>
        </w:object>
      </w:r>
      <w:r w:rsidRPr="00611F34">
        <w:rPr>
          <w:rFonts w:ascii="Arial" w:hAnsi="Arial" w:cs="Arial"/>
        </w:rPr>
        <w:t xml:space="preserve">0.01% and &lt;0.1%): </w:t>
      </w:r>
      <w:proofErr w:type="spellStart"/>
      <w:r w:rsidRPr="00611F34">
        <w:rPr>
          <w:rFonts w:ascii="Arial" w:hAnsi="Arial" w:cs="Arial"/>
        </w:rPr>
        <w:t>angioedema</w:t>
      </w:r>
      <w:proofErr w:type="spellEnd"/>
      <w:r w:rsidR="00F025DF" w:rsidRPr="00611F34">
        <w:rPr>
          <w:rFonts w:ascii="Arial" w:hAnsi="Arial" w:cs="Arial"/>
        </w:rPr>
        <w:t xml:space="preserve">, </w:t>
      </w:r>
      <w:r w:rsidRPr="00611F34">
        <w:rPr>
          <w:rFonts w:ascii="Arial" w:hAnsi="Arial" w:cs="Arial"/>
        </w:rPr>
        <w:t>generalized pruritus and/or urticaria, macular or papular rash</w:t>
      </w:r>
      <w:r w:rsidR="00E034CC" w:rsidRPr="00611F34">
        <w:rPr>
          <w:rFonts w:ascii="Arial" w:hAnsi="Arial" w:cs="Arial"/>
        </w:rPr>
        <w:t>, alopecia</w:t>
      </w:r>
      <w:r w:rsidR="005D326D" w:rsidRPr="00611F34">
        <w:rPr>
          <w:rFonts w:ascii="Arial" w:hAnsi="Arial" w:cs="Arial"/>
        </w:rPr>
        <w:t>.</w:t>
      </w:r>
    </w:p>
    <w:p w:rsidR="0017503C" w:rsidRPr="00611F34" w:rsidRDefault="0017503C" w:rsidP="00DA1AEE">
      <w:pPr>
        <w:jc w:val="both"/>
        <w:rPr>
          <w:rFonts w:ascii="Arial" w:hAnsi="Arial" w:cs="Arial"/>
        </w:rPr>
      </w:pPr>
    </w:p>
    <w:p w:rsidR="00323C73" w:rsidRPr="00611F34" w:rsidRDefault="0017503C" w:rsidP="00DA1AEE">
      <w:pPr>
        <w:pStyle w:val="BodyText"/>
        <w:jc w:val="both"/>
        <w:rPr>
          <w:rFonts w:ascii="Arial" w:hAnsi="Arial" w:cs="Arial"/>
          <w:strike/>
          <w:color w:val="auto"/>
        </w:rPr>
      </w:pPr>
      <w:r w:rsidRPr="00611F34">
        <w:rPr>
          <w:rFonts w:ascii="Arial" w:hAnsi="Arial" w:cs="Arial"/>
          <w:b/>
          <w:bCs/>
        </w:rPr>
        <w:t>Metabolism and nutritional disorders</w:t>
      </w:r>
      <w:r w:rsidR="00D00E26" w:rsidRPr="00611F34">
        <w:rPr>
          <w:rFonts w:ascii="Arial" w:hAnsi="Arial" w:cs="Arial"/>
          <w:b/>
          <w:bCs/>
        </w:rPr>
        <w:t xml:space="preserve">: </w:t>
      </w:r>
      <w:r w:rsidR="00F025DF" w:rsidRPr="00611F34">
        <w:rPr>
          <w:rFonts w:ascii="Arial" w:hAnsi="Arial" w:cs="Arial"/>
        </w:rPr>
        <w:t>Rare (</w:t>
      </w:r>
      <w:r w:rsidR="00F025DF" w:rsidRPr="00611F34">
        <w:rPr>
          <w:rFonts w:ascii="Arial" w:hAnsi="Arial" w:cs="Arial"/>
          <w:position w:val="-4"/>
        </w:rPr>
        <w:object w:dxaOrig="200" w:dyaOrig="240">
          <v:shape id="_x0000_i1033" type="#_x0000_t75" style="width:10pt;height:11.9pt" o:ole="">
            <v:imagedata r:id="rId22" o:title=""/>
          </v:shape>
          <o:OLEObject Type="Embed" ProgID="Equation.3" ShapeID="_x0000_i1033" DrawAspect="Content" ObjectID="_1425806755" r:id="rId28"/>
        </w:object>
      </w:r>
      <w:r w:rsidR="00F025DF" w:rsidRPr="00611F34">
        <w:rPr>
          <w:rFonts w:ascii="Arial" w:hAnsi="Arial" w:cs="Arial"/>
        </w:rPr>
        <w:t xml:space="preserve">0.01% and &lt;0.1%): </w:t>
      </w:r>
      <w:r w:rsidR="00323C73" w:rsidRPr="00611F34">
        <w:rPr>
          <w:rFonts w:ascii="Arial" w:hAnsi="Arial" w:cs="Arial"/>
        </w:rPr>
        <w:t>dehydration, generally associated with nausea, vomiting, and/or diarrhoea</w:t>
      </w:r>
      <w:r w:rsidR="005662E0">
        <w:rPr>
          <w:rFonts w:ascii="Arial" w:hAnsi="Arial" w:cs="Arial"/>
        </w:rPr>
        <w:t xml:space="preserve">, weight decreased (see </w:t>
      </w:r>
      <w:r w:rsidR="005662E0" w:rsidRPr="004B5A10">
        <w:rPr>
          <w:rFonts w:ascii="Arial" w:hAnsi="Arial" w:cs="Arial"/>
          <w:b/>
        </w:rPr>
        <w:t>PRECAUTIONS, Weight Loss</w:t>
      </w:r>
      <w:r w:rsidR="005662E0">
        <w:rPr>
          <w:rFonts w:ascii="Arial" w:hAnsi="Arial" w:cs="Arial"/>
        </w:rPr>
        <w:t>)</w:t>
      </w:r>
      <w:r w:rsidR="0035177C" w:rsidRPr="00611F34">
        <w:rPr>
          <w:rFonts w:ascii="Arial" w:hAnsi="Arial" w:cs="Arial"/>
        </w:rPr>
        <w:t>.</w:t>
      </w:r>
    </w:p>
    <w:p w:rsidR="009E3B6A" w:rsidRPr="00611F34" w:rsidRDefault="009E3B6A" w:rsidP="009E3B6A">
      <w:pPr>
        <w:rPr>
          <w:rFonts w:ascii="Arial" w:hAnsi="Arial" w:cs="Arial"/>
          <w:strike/>
        </w:rPr>
      </w:pPr>
    </w:p>
    <w:p w:rsidR="00447107" w:rsidRPr="00611F34" w:rsidRDefault="00447107" w:rsidP="00447107">
      <w:pPr>
        <w:rPr>
          <w:rFonts w:ascii="Arial" w:hAnsi="Arial" w:cs="Arial"/>
          <w:b/>
          <w:color w:val="auto"/>
        </w:rPr>
      </w:pPr>
      <w:r w:rsidRPr="00611F34">
        <w:rPr>
          <w:rFonts w:ascii="Arial" w:hAnsi="Arial" w:cs="Arial"/>
          <w:b/>
          <w:color w:val="auto"/>
        </w:rPr>
        <w:t xml:space="preserve">Renal and urinary disorders:  </w:t>
      </w:r>
      <w:r w:rsidRPr="00611F34">
        <w:rPr>
          <w:rFonts w:ascii="Arial" w:hAnsi="Arial" w:cs="Arial"/>
          <w:color w:val="auto"/>
        </w:rPr>
        <w:t xml:space="preserve">Rare (&gt;0.01% and &lt;0.1%):  acute renal failure, chronic renal failure, renal impairment, </w:t>
      </w:r>
      <w:r w:rsidR="004B1989" w:rsidRPr="00611F34">
        <w:rPr>
          <w:rFonts w:ascii="Arial" w:hAnsi="Arial" w:cs="Arial"/>
          <w:color w:val="auto"/>
        </w:rPr>
        <w:t xml:space="preserve">increased serum </w:t>
      </w:r>
      <w:r w:rsidRPr="00611F34">
        <w:rPr>
          <w:rFonts w:ascii="Arial" w:hAnsi="Arial" w:cs="Arial"/>
          <w:color w:val="auto"/>
        </w:rPr>
        <w:t xml:space="preserve">creatinine.  See </w:t>
      </w:r>
      <w:r w:rsidRPr="00611F34">
        <w:rPr>
          <w:rFonts w:ascii="Arial" w:hAnsi="Arial" w:cs="Arial"/>
          <w:b/>
          <w:color w:val="auto"/>
        </w:rPr>
        <w:t>P</w:t>
      </w:r>
      <w:r w:rsidR="003171BC" w:rsidRPr="00611F34">
        <w:rPr>
          <w:rFonts w:ascii="Arial" w:hAnsi="Arial" w:cs="Arial"/>
          <w:b/>
          <w:color w:val="auto"/>
        </w:rPr>
        <w:t>RECAUTIONS</w:t>
      </w:r>
      <w:r w:rsidRPr="00611F34">
        <w:rPr>
          <w:rFonts w:ascii="Arial" w:hAnsi="Arial" w:cs="Arial"/>
          <w:b/>
          <w:color w:val="auto"/>
        </w:rPr>
        <w:t>.</w:t>
      </w:r>
    </w:p>
    <w:p w:rsidR="00BC4CC4" w:rsidRPr="00611F34" w:rsidRDefault="00BC4CC4" w:rsidP="00447107">
      <w:pPr>
        <w:rPr>
          <w:rFonts w:ascii="Arial" w:hAnsi="Arial" w:cs="Arial"/>
          <w:b/>
          <w:color w:val="auto"/>
        </w:rPr>
      </w:pPr>
    </w:p>
    <w:p w:rsidR="00323C73" w:rsidRPr="00611F34" w:rsidRDefault="00323C73" w:rsidP="002942B7">
      <w:pPr>
        <w:pStyle w:val="Heading3"/>
      </w:pPr>
      <w:r w:rsidRPr="00611F34">
        <w:lastRenderedPageBreak/>
        <w:t>DOSAGE AND ADMINISTRATION</w:t>
      </w:r>
    </w:p>
    <w:p w:rsidR="00326799" w:rsidRPr="00611F34" w:rsidRDefault="00326799" w:rsidP="00DA1AEE">
      <w:pPr>
        <w:jc w:val="both"/>
        <w:rPr>
          <w:rFonts w:ascii="Arial" w:hAnsi="Arial" w:cs="Arial"/>
        </w:rPr>
      </w:pPr>
    </w:p>
    <w:p w:rsidR="004863CB" w:rsidRPr="00611F34" w:rsidRDefault="004863CB" w:rsidP="004863CB">
      <w:pPr>
        <w:keepNext/>
        <w:rPr>
          <w:rFonts w:ascii="Arial" w:hAnsi="Arial" w:cs="Arial"/>
        </w:rPr>
      </w:pPr>
      <w:r w:rsidRPr="00611F34">
        <w:rPr>
          <w:rFonts w:ascii="Arial" w:hAnsi="Arial" w:cs="Arial"/>
        </w:rPr>
        <w:t>The recommended BYDUREON dose is 2</w:t>
      </w:r>
      <w:r w:rsidR="001F3379" w:rsidRPr="00611F34">
        <w:rPr>
          <w:rFonts w:ascii="Arial" w:hAnsi="Arial" w:cs="Arial"/>
        </w:rPr>
        <w:t xml:space="preserve"> </w:t>
      </w:r>
      <w:r w:rsidRPr="00611F34">
        <w:rPr>
          <w:rFonts w:ascii="Arial" w:hAnsi="Arial" w:cs="Arial"/>
        </w:rPr>
        <w:t xml:space="preserve">mg exenatide once weekly. </w:t>
      </w:r>
      <w:r w:rsidR="005F4FF6">
        <w:rPr>
          <w:rFonts w:ascii="Arial" w:hAnsi="Arial" w:cs="Arial"/>
        </w:rPr>
        <w:t>Titration is not required.</w:t>
      </w:r>
    </w:p>
    <w:p w:rsidR="004863CB" w:rsidRPr="00611F34" w:rsidRDefault="004863CB" w:rsidP="004863CB">
      <w:pPr>
        <w:rPr>
          <w:rFonts w:ascii="Arial" w:hAnsi="Arial" w:cs="Arial"/>
        </w:rPr>
      </w:pPr>
    </w:p>
    <w:p w:rsidR="004863CB" w:rsidRPr="00611F34" w:rsidRDefault="004863CB" w:rsidP="004863CB">
      <w:pPr>
        <w:rPr>
          <w:rFonts w:ascii="Arial" w:hAnsi="Arial" w:cs="Arial"/>
        </w:rPr>
      </w:pPr>
      <w:r w:rsidRPr="00611F34">
        <w:rPr>
          <w:rFonts w:ascii="Arial" w:hAnsi="Arial" w:cs="Arial"/>
        </w:rPr>
        <w:t xml:space="preserve">BYDUREON can be administered at any time of day, with or without meals. </w:t>
      </w:r>
    </w:p>
    <w:p w:rsidR="004863CB" w:rsidRPr="00611F34" w:rsidRDefault="004863CB" w:rsidP="004863CB">
      <w:pPr>
        <w:rPr>
          <w:rFonts w:ascii="Arial" w:hAnsi="Arial" w:cs="Arial"/>
        </w:rPr>
      </w:pPr>
    </w:p>
    <w:p w:rsidR="004863CB" w:rsidRPr="00611F34" w:rsidRDefault="004863CB" w:rsidP="004863CB">
      <w:pPr>
        <w:rPr>
          <w:rFonts w:ascii="Arial" w:hAnsi="Arial" w:cs="Arial"/>
        </w:rPr>
      </w:pPr>
      <w:r w:rsidRPr="00611F34">
        <w:rPr>
          <w:rFonts w:ascii="Arial" w:hAnsi="Arial" w:cs="Arial"/>
        </w:rPr>
        <w:t>After suspension, use BYDUREON only if the mixture is white to off white and cloudy. Each dose should be administered in the abdomen</w:t>
      </w:r>
      <w:r w:rsidRPr="00611F34" w:rsidDel="00AB0D0C">
        <w:rPr>
          <w:rFonts w:ascii="Arial" w:hAnsi="Arial" w:cs="Arial"/>
        </w:rPr>
        <w:t xml:space="preserve"> </w:t>
      </w:r>
      <w:r w:rsidRPr="00611F34">
        <w:rPr>
          <w:rFonts w:ascii="Arial" w:hAnsi="Arial" w:cs="Arial"/>
        </w:rPr>
        <w:t xml:space="preserve">as a subcutaneous injection immediately after suspension of the powder in the </w:t>
      </w:r>
      <w:r w:rsidR="00BC130C">
        <w:rPr>
          <w:rFonts w:ascii="Arial" w:hAnsi="Arial" w:cs="Arial"/>
        </w:rPr>
        <w:t>diluent</w:t>
      </w:r>
      <w:r w:rsidRPr="00611F34">
        <w:rPr>
          <w:rFonts w:ascii="Arial" w:hAnsi="Arial" w:cs="Arial"/>
        </w:rPr>
        <w:t xml:space="preserve">. </w:t>
      </w:r>
      <w:r w:rsidR="0028401B">
        <w:rPr>
          <w:rFonts w:ascii="Arial" w:hAnsi="Arial" w:cs="Arial"/>
        </w:rPr>
        <w:t>BYDUREON must not be administered intravenously or intramuscularly.</w:t>
      </w:r>
    </w:p>
    <w:p w:rsidR="004863CB" w:rsidRPr="00611F34" w:rsidRDefault="004863CB" w:rsidP="004863CB">
      <w:pPr>
        <w:rPr>
          <w:rFonts w:ascii="Arial" w:hAnsi="Arial" w:cs="Arial"/>
        </w:rPr>
      </w:pPr>
    </w:p>
    <w:p w:rsidR="004863CB" w:rsidRPr="00611F34" w:rsidRDefault="004863CB" w:rsidP="004863CB">
      <w:pPr>
        <w:rPr>
          <w:rFonts w:ascii="Arial" w:hAnsi="Arial" w:cs="Arial"/>
        </w:rPr>
      </w:pPr>
      <w:r w:rsidRPr="00611F34">
        <w:rPr>
          <w:rFonts w:ascii="Arial" w:hAnsi="Arial" w:cs="Arial"/>
        </w:rPr>
        <w:t>The day of weekly administration can be changed if necessary as long as the next dose is administered at least one day later</w:t>
      </w:r>
      <w:r w:rsidR="005F4FF6">
        <w:rPr>
          <w:rFonts w:ascii="Arial" w:hAnsi="Arial" w:cs="Arial"/>
        </w:rPr>
        <w:t xml:space="preserve"> than the last dose</w:t>
      </w:r>
      <w:r w:rsidRPr="00611F34">
        <w:rPr>
          <w:rFonts w:ascii="Arial" w:hAnsi="Arial" w:cs="Arial"/>
        </w:rPr>
        <w:t>.</w:t>
      </w:r>
    </w:p>
    <w:p w:rsidR="004C0492" w:rsidRPr="00611F34" w:rsidRDefault="004C0492" w:rsidP="004C0492">
      <w:pPr>
        <w:rPr>
          <w:rFonts w:ascii="Arial" w:hAnsi="Arial" w:cs="Arial"/>
          <w:i/>
        </w:rPr>
      </w:pPr>
    </w:p>
    <w:p w:rsidR="004863CB" w:rsidRPr="00611F34" w:rsidRDefault="004863CB" w:rsidP="004863CB">
      <w:pPr>
        <w:rPr>
          <w:rFonts w:ascii="Arial" w:hAnsi="Arial" w:cs="Arial"/>
        </w:rPr>
      </w:pPr>
      <w:r w:rsidRPr="00611F34">
        <w:rPr>
          <w:rFonts w:ascii="Arial" w:hAnsi="Arial" w:cs="Arial"/>
        </w:rPr>
        <w:t>If a dose is missed, it should be administered as soon as noticed. Thereafter, patients can resume their once weekly dosing schedule</w:t>
      </w:r>
      <w:r w:rsidR="00310571">
        <w:rPr>
          <w:rFonts w:ascii="Arial" w:hAnsi="Arial" w:cs="Arial"/>
        </w:rPr>
        <w:t xml:space="preserve"> on next preferred day of the week</w:t>
      </w:r>
      <w:r w:rsidRPr="00611F34">
        <w:rPr>
          <w:rFonts w:ascii="Arial" w:hAnsi="Arial" w:cs="Arial"/>
        </w:rPr>
        <w:t>, as long as the next dose is administered at least one day later</w:t>
      </w:r>
      <w:r w:rsidR="005F4FF6">
        <w:rPr>
          <w:rFonts w:ascii="Arial" w:hAnsi="Arial" w:cs="Arial"/>
        </w:rPr>
        <w:t xml:space="preserve"> than the last dose</w:t>
      </w:r>
      <w:r w:rsidRPr="00611F34">
        <w:rPr>
          <w:rFonts w:ascii="Arial" w:hAnsi="Arial" w:cs="Arial"/>
        </w:rPr>
        <w:t>. Two injections should not be given on the same day.</w:t>
      </w:r>
    </w:p>
    <w:p w:rsidR="004863CB" w:rsidRPr="00611F34" w:rsidRDefault="004863CB" w:rsidP="004863CB">
      <w:pPr>
        <w:rPr>
          <w:rFonts w:ascii="Arial" w:hAnsi="Arial" w:cs="Arial"/>
        </w:rPr>
      </w:pPr>
    </w:p>
    <w:p w:rsidR="005F4FF6" w:rsidRDefault="00561FA5" w:rsidP="004863CB">
      <w:pPr>
        <w:rPr>
          <w:rFonts w:ascii="Arial" w:hAnsi="Arial" w:cs="Arial"/>
        </w:rPr>
      </w:pPr>
      <w:r>
        <w:rPr>
          <w:rFonts w:ascii="Arial" w:hAnsi="Arial" w:cs="Arial"/>
        </w:rPr>
        <w:t>Exenatide once weekly</w:t>
      </w:r>
      <w:r w:rsidRPr="00611F34">
        <w:rPr>
          <w:rFonts w:ascii="Arial" w:hAnsi="Arial" w:cs="Arial"/>
        </w:rPr>
        <w:t xml:space="preserve"> </w:t>
      </w:r>
      <w:r w:rsidR="004863CB" w:rsidRPr="00611F34">
        <w:rPr>
          <w:rFonts w:ascii="Arial" w:hAnsi="Arial" w:cs="Arial"/>
        </w:rPr>
        <w:t xml:space="preserve">is recommended for use in patients with type 2 diabetes mellitus who are already receiving metformin and/or a </w:t>
      </w:r>
      <w:r w:rsidR="005834C3" w:rsidRPr="00611F34">
        <w:rPr>
          <w:rFonts w:ascii="Arial" w:hAnsi="Arial" w:cs="Arial"/>
        </w:rPr>
        <w:t>sulfonylurea</w:t>
      </w:r>
      <w:r w:rsidR="004863CB" w:rsidRPr="00611F34">
        <w:rPr>
          <w:rFonts w:ascii="Arial" w:hAnsi="Arial" w:cs="Arial"/>
        </w:rPr>
        <w:t xml:space="preserve">. </w:t>
      </w:r>
    </w:p>
    <w:p w:rsidR="005F4FF6" w:rsidRDefault="005F4FF6" w:rsidP="004863CB">
      <w:pPr>
        <w:rPr>
          <w:rFonts w:ascii="Arial" w:hAnsi="Arial" w:cs="Arial"/>
        </w:rPr>
      </w:pPr>
    </w:p>
    <w:p w:rsidR="005F4FF6" w:rsidRDefault="004863CB" w:rsidP="004863CB">
      <w:pPr>
        <w:rPr>
          <w:rFonts w:ascii="Arial" w:hAnsi="Arial" w:cs="Arial"/>
        </w:rPr>
      </w:pPr>
      <w:r w:rsidRPr="00611F34">
        <w:rPr>
          <w:rFonts w:ascii="Arial" w:hAnsi="Arial" w:cs="Arial"/>
        </w:rPr>
        <w:t xml:space="preserve">When </w:t>
      </w:r>
      <w:r w:rsidR="00561FA5">
        <w:rPr>
          <w:rFonts w:ascii="Arial" w:hAnsi="Arial" w:cs="Arial"/>
        </w:rPr>
        <w:t xml:space="preserve">exenatide once weekly </w:t>
      </w:r>
      <w:r w:rsidRPr="00611F34">
        <w:rPr>
          <w:rFonts w:ascii="Arial" w:hAnsi="Arial" w:cs="Arial"/>
        </w:rPr>
        <w:t xml:space="preserve">is added to existing metformin and therapy, the current dose of metformin can be continued as no increased risk of hypoglycaemia is anticipated, compared to metformin alone. </w:t>
      </w:r>
    </w:p>
    <w:p w:rsidR="005F4FF6" w:rsidRDefault="005F4FF6" w:rsidP="004863CB">
      <w:pPr>
        <w:rPr>
          <w:rFonts w:ascii="Arial" w:hAnsi="Arial" w:cs="Arial"/>
        </w:rPr>
      </w:pPr>
    </w:p>
    <w:p w:rsidR="004863CB" w:rsidRDefault="004863CB" w:rsidP="004863CB">
      <w:pPr>
        <w:rPr>
          <w:rFonts w:ascii="Arial" w:hAnsi="Arial" w:cs="Arial"/>
        </w:rPr>
      </w:pPr>
      <w:r w:rsidRPr="00611F34">
        <w:rPr>
          <w:rFonts w:ascii="Arial" w:hAnsi="Arial" w:cs="Arial"/>
        </w:rPr>
        <w:t xml:space="preserve">When </w:t>
      </w:r>
      <w:r w:rsidR="00561FA5">
        <w:rPr>
          <w:rFonts w:ascii="Arial" w:hAnsi="Arial" w:cs="Arial"/>
        </w:rPr>
        <w:t>exenatide once weekly</w:t>
      </w:r>
      <w:r w:rsidR="00561FA5" w:rsidRPr="00611F34">
        <w:rPr>
          <w:rFonts w:ascii="Arial" w:hAnsi="Arial" w:cs="Arial"/>
        </w:rPr>
        <w:t xml:space="preserve"> </w:t>
      </w:r>
      <w:r w:rsidRPr="00611F34">
        <w:rPr>
          <w:rFonts w:ascii="Arial" w:hAnsi="Arial" w:cs="Arial"/>
        </w:rPr>
        <w:t xml:space="preserve">is added to </w:t>
      </w:r>
      <w:r w:rsidR="005834C3" w:rsidRPr="00611F34">
        <w:rPr>
          <w:rFonts w:ascii="Arial" w:hAnsi="Arial" w:cs="Arial"/>
        </w:rPr>
        <w:t>sulfonylurea</w:t>
      </w:r>
      <w:r w:rsidRPr="00611F34">
        <w:rPr>
          <w:rFonts w:ascii="Arial" w:hAnsi="Arial" w:cs="Arial"/>
        </w:rPr>
        <w:t xml:space="preserve"> therapy, a reduction in the dose of </w:t>
      </w:r>
      <w:r w:rsidR="005834C3" w:rsidRPr="00611F34">
        <w:rPr>
          <w:rFonts w:ascii="Arial" w:hAnsi="Arial" w:cs="Arial"/>
        </w:rPr>
        <w:t>sulfonylurea</w:t>
      </w:r>
      <w:r w:rsidRPr="00611F34">
        <w:rPr>
          <w:rFonts w:ascii="Arial" w:hAnsi="Arial" w:cs="Arial"/>
        </w:rPr>
        <w:t xml:space="preserve"> should be considered to reduce the risk of hypoglycaemia (see </w:t>
      </w:r>
      <w:r w:rsidR="004C0492" w:rsidRPr="00611F34">
        <w:rPr>
          <w:rFonts w:ascii="Arial" w:hAnsi="Arial" w:cs="Arial"/>
          <w:b/>
        </w:rPr>
        <w:t>PRECAUTIONS</w:t>
      </w:r>
      <w:r w:rsidRPr="00611F34">
        <w:rPr>
          <w:rFonts w:ascii="Arial" w:hAnsi="Arial" w:cs="Arial"/>
        </w:rPr>
        <w:t>).</w:t>
      </w:r>
    </w:p>
    <w:p w:rsidR="006A3B53" w:rsidRDefault="006A3B53" w:rsidP="004863CB">
      <w:pPr>
        <w:rPr>
          <w:rFonts w:ascii="Arial" w:hAnsi="Arial" w:cs="Arial"/>
        </w:rPr>
      </w:pPr>
    </w:p>
    <w:p w:rsidR="006A3B53" w:rsidRPr="00611F34" w:rsidRDefault="00316671" w:rsidP="004863CB">
      <w:pPr>
        <w:rPr>
          <w:rFonts w:ascii="Arial" w:hAnsi="Arial" w:cs="Arial"/>
        </w:rPr>
      </w:pPr>
      <w:r>
        <w:rPr>
          <w:rFonts w:ascii="Arial" w:hAnsi="Arial" w:cs="Arial"/>
        </w:rPr>
        <w:t>BYDUREON’ s  safety and efficacy in use with thiazolidinediones has not been shown.</w:t>
      </w:r>
    </w:p>
    <w:p w:rsidR="005F4FF6" w:rsidRDefault="005F4FF6" w:rsidP="005F4FF6">
      <w:pPr>
        <w:rPr>
          <w:rFonts w:ascii="Arial" w:hAnsi="Arial" w:cs="Arial"/>
        </w:rPr>
      </w:pPr>
    </w:p>
    <w:p w:rsidR="005F4FF6" w:rsidRPr="00611F34" w:rsidRDefault="005F4FF6" w:rsidP="005F4FF6">
      <w:pPr>
        <w:rPr>
          <w:rFonts w:ascii="Arial" w:hAnsi="Arial" w:cs="Arial"/>
        </w:rPr>
      </w:pPr>
      <w:r w:rsidRPr="00611F34">
        <w:rPr>
          <w:rFonts w:ascii="Arial" w:hAnsi="Arial" w:cs="Arial"/>
        </w:rPr>
        <w:t xml:space="preserve">Patients switching from </w:t>
      </w:r>
      <w:r w:rsidR="004C5EEF">
        <w:rPr>
          <w:rFonts w:ascii="Arial" w:hAnsi="Arial" w:cs="Arial"/>
        </w:rPr>
        <w:t xml:space="preserve">10 µg </w:t>
      </w:r>
      <w:r w:rsidRPr="00611F34">
        <w:rPr>
          <w:rFonts w:ascii="Arial" w:hAnsi="Arial" w:cs="Arial"/>
        </w:rPr>
        <w:t xml:space="preserve">exenatide twice daily to </w:t>
      </w:r>
      <w:r w:rsidR="004C5EEF">
        <w:rPr>
          <w:rFonts w:ascii="Arial" w:hAnsi="Arial" w:cs="Arial"/>
        </w:rPr>
        <w:t xml:space="preserve">2 mg </w:t>
      </w:r>
      <w:r>
        <w:rPr>
          <w:rFonts w:ascii="Arial" w:hAnsi="Arial" w:cs="Arial"/>
        </w:rPr>
        <w:t xml:space="preserve">exenatide once weekly </w:t>
      </w:r>
      <w:r w:rsidRPr="00611F34">
        <w:rPr>
          <w:rFonts w:ascii="Arial" w:hAnsi="Arial" w:cs="Arial"/>
        </w:rPr>
        <w:t>may experience transient elevations in blood glucose concentrations, which generally improve within the first two weeks after initiation of therapy.</w:t>
      </w:r>
    </w:p>
    <w:p w:rsidR="004863CB" w:rsidRPr="00611F34" w:rsidRDefault="004863CB" w:rsidP="004863CB">
      <w:pPr>
        <w:rPr>
          <w:rFonts w:ascii="Arial" w:hAnsi="Arial" w:cs="Arial"/>
        </w:rPr>
      </w:pPr>
    </w:p>
    <w:p w:rsidR="004863CB" w:rsidRPr="00611F34" w:rsidRDefault="004863CB" w:rsidP="004863CB">
      <w:pPr>
        <w:rPr>
          <w:rFonts w:ascii="Arial" w:hAnsi="Arial" w:cs="Arial"/>
        </w:rPr>
      </w:pPr>
      <w:r w:rsidRPr="00611F34">
        <w:rPr>
          <w:rFonts w:ascii="Arial" w:hAnsi="Arial" w:cs="Arial"/>
        </w:rPr>
        <w:t xml:space="preserve">The use of </w:t>
      </w:r>
      <w:r w:rsidR="004C5EEF">
        <w:rPr>
          <w:rFonts w:ascii="Arial" w:hAnsi="Arial" w:cs="Arial"/>
        </w:rPr>
        <w:t xml:space="preserve">2 mg </w:t>
      </w:r>
      <w:r w:rsidR="00561FA5">
        <w:rPr>
          <w:rFonts w:ascii="Arial" w:hAnsi="Arial" w:cs="Arial"/>
        </w:rPr>
        <w:t>exenatide once weekly</w:t>
      </w:r>
      <w:r w:rsidR="00561FA5" w:rsidRPr="00611F34">
        <w:rPr>
          <w:rFonts w:ascii="Arial" w:hAnsi="Arial" w:cs="Arial"/>
        </w:rPr>
        <w:t xml:space="preserve"> </w:t>
      </w:r>
      <w:r w:rsidRPr="00611F34">
        <w:rPr>
          <w:rFonts w:ascii="Arial" w:hAnsi="Arial" w:cs="Arial"/>
        </w:rPr>
        <w:t xml:space="preserve">does not require additional self-monitoring. </w:t>
      </w:r>
      <w:r w:rsidR="008D53CC">
        <w:rPr>
          <w:rFonts w:ascii="Arial" w:hAnsi="Arial" w:cs="Arial"/>
        </w:rPr>
        <w:t>When used in combination with a sulfonylurea, b</w:t>
      </w:r>
      <w:r w:rsidRPr="00611F34">
        <w:rPr>
          <w:rFonts w:ascii="Arial" w:hAnsi="Arial" w:cs="Arial"/>
        </w:rPr>
        <w:t xml:space="preserve">lood glucose self-monitoring may be necessary to adjust the dose of </w:t>
      </w:r>
      <w:r w:rsidR="005834C3" w:rsidRPr="00611F34">
        <w:rPr>
          <w:rFonts w:ascii="Arial" w:hAnsi="Arial" w:cs="Arial"/>
        </w:rPr>
        <w:t>sulfonylurea</w:t>
      </w:r>
      <w:r w:rsidRPr="00611F34">
        <w:rPr>
          <w:rFonts w:ascii="Arial" w:hAnsi="Arial" w:cs="Arial"/>
        </w:rPr>
        <w:t xml:space="preserve">. </w:t>
      </w:r>
    </w:p>
    <w:p w:rsidR="004863CB" w:rsidRPr="00611F34" w:rsidRDefault="004863CB" w:rsidP="004863CB">
      <w:pPr>
        <w:rPr>
          <w:rFonts w:ascii="Arial" w:hAnsi="Arial" w:cs="Arial"/>
        </w:rPr>
      </w:pPr>
    </w:p>
    <w:p w:rsidR="004863CB" w:rsidRPr="00611F34" w:rsidRDefault="004863CB" w:rsidP="004863CB">
      <w:pPr>
        <w:rPr>
          <w:rFonts w:ascii="Arial" w:hAnsi="Arial" w:cs="Arial"/>
        </w:rPr>
      </w:pPr>
      <w:r w:rsidRPr="00611F34">
        <w:rPr>
          <w:rFonts w:ascii="Arial" w:hAnsi="Arial" w:cs="Arial"/>
        </w:rPr>
        <w:t>Following discontinuation</w:t>
      </w:r>
      <w:r w:rsidR="003B06F8" w:rsidRPr="00611F34">
        <w:rPr>
          <w:rFonts w:ascii="Arial" w:hAnsi="Arial" w:cs="Arial"/>
        </w:rPr>
        <w:t>,</w:t>
      </w:r>
      <w:r w:rsidRPr="00611F34">
        <w:rPr>
          <w:rFonts w:ascii="Arial" w:hAnsi="Arial" w:cs="Arial"/>
        </w:rPr>
        <w:t xml:space="preserve"> consideration should be given to the prolonged release of </w:t>
      </w:r>
      <w:r w:rsidR="00561FA5">
        <w:rPr>
          <w:rFonts w:ascii="Arial" w:hAnsi="Arial" w:cs="Arial"/>
        </w:rPr>
        <w:t>exenatide</w:t>
      </w:r>
      <w:r w:rsidR="00561FA5" w:rsidRPr="00611F34">
        <w:rPr>
          <w:rFonts w:ascii="Arial" w:hAnsi="Arial" w:cs="Arial"/>
        </w:rPr>
        <w:t xml:space="preserve"> </w:t>
      </w:r>
      <w:r w:rsidRPr="00611F34">
        <w:rPr>
          <w:rFonts w:ascii="Arial" w:hAnsi="Arial" w:cs="Arial"/>
        </w:rPr>
        <w:t xml:space="preserve">(see </w:t>
      </w:r>
      <w:r w:rsidR="004C0492" w:rsidRPr="00611F34">
        <w:rPr>
          <w:rFonts w:ascii="Arial" w:hAnsi="Arial" w:cs="Arial"/>
          <w:b/>
        </w:rPr>
        <w:t>PHARMACOKINETICS</w:t>
      </w:r>
      <w:r w:rsidRPr="00611F34">
        <w:rPr>
          <w:rFonts w:ascii="Arial" w:hAnsi="Arial" w:cs="Arial"/>
        </w:rPr>
        <w:t>).</w:t>
      </w:r>
    </w:p>
    <w:p w:rsidR="00616B7D" w:rsidRPr="00611F34" w:rsidRDefault="00616B7D" w:rsidP="00DA1AEE">
      <w:pPr>
        <w:pStyle w:val="BodyText"/>
        <w:jc w:val="both"/>
        <w:outlineLvl w:val="0"/>
        <w:rPr>
          <w:rFonts w:ascii="Arial" w:hAnsi="Arial" w:cs="Arial"/>
          <w:b/>
          <w:bCs/>
        </w:rPr>
      </w:pPr>
    </w:p>
    <w:p w:rsidR="00323C73" w:rsidRPr="00611F34" w:rsidRDefault="00323C73" w:rsidP="00DA1AEE">
      <w:pPr>
        <w:pStyle w:val="BodyText"/>
        <w:jc w:val="both"/>
        <w:outlineLvl w:val="0"/>
        <w:rPr>
          <w:rFonts w:ascii="Arial" w:hAnsi="Arial" w:cs="Arial"/>
          <w:b/>
          <w:bCs/>
        </w:rPr>
      </w:pPr>
      <w:r w:rsidRPr="00611F34">
        <w:rPr>
          <w:rFonts w:ascii="Arial" w:hAnsi="Arial" w:cs="Arial"/>
          <w:b/>
          <w:bCs/>
        </w:rPr>
        <w:t>Specific patient groups</w:t>
      </w:r>
    </w:p>
    <w:p w:rsidR="001F3379" w:rsidRPr="00611F34" w:rsidRDefault="001F3379" w:rsidP="001F3379">
      <w:pPr>
        <w:keepNext/>
        <w:rPr>
          <w:rFonts w:ascii="Arial" w:hAnsi="Arial" w:cs="Arial"/>
          <w:i/>
        </w:rPr>
      </w:pPr>
      <w:r w:rsidRPr="00611F34">
        <w:rPr>
          <w:rFonts w:ascii="Arial" w:hAnsi="Arial" w:cs="Arial"/>
          <w:i/>
        </w:rPr>
        <w:t xml:space="preserve">Elderly </w:t>
      </w:r>
    </w:p>
    <w:p w:rsidR="001F3379" w:rsidRPr="00611F34" w:rsidRDefault="003B06F8" w:rsidP="001F3379">
      <w:pPr>
        <w:rPr>
          <w:rFonts w:ascii="Arial" w:hAnsi="Arial" w:cs="Arial"/>
        </w:rPr>
      </w:pPr>
      <w:r w:rsidRPr="00611F34">
        <w:rPr>
          <w:rFonts w:ascii="Arial" w:hAnsi="Arial" w:cs="Arial"/>
        </w:rPr>
        <w:t>Exenatide</w:t>
      </w:r>
      <w:r w:rsidR="001F3379" w:rsidRPr="00611F34">
        <w:rPr>
          <w:rFonts w:ascii="Arial" w:hAnsi="Arial" w:cs="Arial"/>
        </w:rPr>
        <w:t xml:space="preserve"> can be given to adults of all ages including the elderly (&gt; 65 years of age). The clinical experience in patients &gt; 75 years is very limited (see </w:t>
      </w:r>
      <w:r w:rsidR="001F3379" w:rsidRPr="00611F34">
        <w:rPr>
          <w:rFonts w:ascii="Arial" w:hAnsi="Arial" w:cs="Arial"/>
          <w:b/>
        </w:rPr>
        <w:t>PHARMACOKINETICS</w:t>
      </w:r>
      <w:r w:rsidR="001F3379" w:rsidRPr="00611F34">
        <w:rPr>
          <w:rFonts w:ascii="Arial" w:hAnsi="Arial" w:cs="Arial"/>
        </w:rPr>
        <w:t>).</w:t>
      </w:r>
    </w:p>
    <w:p w:rsidR="00323C73" w:rsidRPr="00611F34" w:rsidRDefault="00323C73" w:rsidP="002942B7">
      <w:pPr>
        <w:pStyle w:val="Heading3"/>
      </w:pPr>
      <w:r w:rsidRPr="00561FA5">
        <w:lastRenderedPageBreak/>
        <w:t>Patients with renal impairment</w:t>
      </w:r>
    </w:p>
    <w:p w:rsidR="001F3379" w:rsidRPr="00611F34" w:rsidRDefault="003B06F8" w:rsidP="001F3379">
      <w:pPr>
        <w:rPr>
          <w:rFonts w:ascii="Arial" w:hAnsi="Arial" w:cs="Arial"/>
        </w:rPr>
      </w:pPr>
      <w:r w:rsidRPr="00611F34">
        <w:rPr>
          <w:rFonts w:ascii="Arial" w:hAnsi="Arial" w:cs="Arial"/>
        </w:rPr>
        <w:t>Exenatide</w:t>
      </w:r>
      <w:r w:rsidR="001F3379" w:rsidRPr="00611F34">
        <w:rPr>
          <w:rFonts w:ascii="Arial" w:hAnsi="Arial" w:cs="Arial"/>
        </w:rPr>
        <w:t xml:space="preserve"> can be given to patients with mild or moderate renal impairment (creatinine clearance 30 – 80 ml/min) (see </w:t>
      </w:r>
      <w:r w:rsidR="001F3379" w:rsidRPr="00611F34">
        <w:rPr>
          <w:rFonts w:ascii="Arial" w:hAnsi="Arial" w:cs="Arial"/>
          <w:b/>
        </w:rPr>
        <w:t>PHARMACOKINETICS</w:t>
      </w:r>
      <w:r w:rsidR="001F3379" w:rsidRPr="00611F34">
        <w:rPr>
          <w:rFonts w:ascii="Arial" w:hAnsi="Arial" w:cs="Arial"/>
        </w:rPr>
        <w:t>).</w:t>
      </w:r>
    </w:p>
    <w:p w:rsidR="001F3379" w:rsidRPr="00611F34" w:rsidRDefault="001F3379" w:rsidP="001F3379">
      <w:pPr>
        <w:rPr>
          <w:rFonts w:ascii="Arial" w:hAnsi="Arial" w:cs="Arial"/>
          <w:highlight w:val="lightGray"/>
        </w:rPr>
      </w:pPr>
      <w:r w:rsidRPr="00611F34">
        <w:rPr>
          <w:rFonts w:ascii="Arial" w:hAnsi="Arial" w:cs="Arial"/>
          <w:highlight w:val="lightGray"/>
        </w:rPr>
        <w:t xml:space="preserve"> </w:t>
      </w:r>
    </w:p>
    <w:p w:rsidR="001F3379" w:rsidRPr="00611F34" w:rsidRDefault="003B06F8" w:rsidP="001F3379">
      <w:pPr>
        <w:rPr>
          <w:rFonts w:ascii="Arial" w:hAnsi="Arial" w:cs="Arial"/>
        </w:rPr>
      </w:pPr>
      <w:r w:rsidRPr="00611F34">
        <w:rPr>
          <w:rFonts w:ascii="Arial" w:hAnsi="Arial" w:cs="Arial"/>
        </w:rPr>
        <w:t>Exenatide</w:t>
      </w:r>
      <w:r w:rsidR="001F3379" w:rsidRPr="00611F34">
        <w:rPr>
          <w:rFonts w:ascii="Arial" w:hAnsi="Arial" w:cs="Arial"/>
        </w:rPr>
        <w:t xml:space="preserve"> is not recommended for use in patients with end</w:t>
      </w:r>
      <w:r w:rsidR="001F3379" w:rsidRPr="00611F34">
        <w:rPr>
          <w:rFonts w:ascii="Arial" w:hAnsi="Arial" w:cs="Arial"/>
        </w:rPr>
        <w:noBreakHyphen/>
        <w:t xml:space="preserve">stage renal disease or severe renal impairment (creatinine clearance &lt; 30 ml/min) (see </w:t>
      </w:r>
      <w:r w:rsidR="001F3379" w:rsidRPr="00611F34">
        <w:rPr>
          <w:rFonts w:ascii="Arial" w:hAnsi="Arial" w:cs="Arial"/>
          <w:b/>
        </w:rPr>
        <w:t>PRECAUTIONS</w:t>
      </w:r>
      <w:r w:rsidR="001F3379" w:rsidRPr="00611F34">
        <w:rPr>
          <w:rFonts w:ascii="Arial" w:hAnsi="Arial" w:cs="Arial"/>
        </w:rPr>
        <w:t>).</w:t>
      </w:r>
    </w:p>
    <w:p w:rsidR="00561FA5" w:rsidRDefault="00561FA5" w:rsidP="002942B7">
      <w:pPr>
        <w:pStyle w:val="Heading3"/>
      </w:pPr>
    </w:p>
    <w:p w:rsidR="00323C73" w:rsidRPr="00561FA5" w:rsidRDefault="00323C73" w:rsidP="002942B7">
      <w:pPr>
        <w:pStyle w:val="Heading3"/>
      </w:pPr>
      <w:r w:rsidRPr="00561FA5">
        <w:t>Patients with hepatic impairment</w:t>
      </w:r>
    </w:p>
    <w:p w:rsidR="00323C73" w:rsidRPr="00611F34" w:rsidRDefault="003B06F8" w:rsidP="001F3379">
      <w:pPr>
        <w:rPr>
          <w:rFonts w:ascii="Arial" w:hAnsi="Arial" w:cs="Arial"/>
        </w:rPr>
      </w:pPr>
      <w:r w:rsidRPr="00611F34">
        <w:rPr>
          <w:rFonts w:ascii="Arial" w:hAnsi="Arial" w:cs="Arial"/>
        </w:rPr>
        <w:t>Exenatide</w:t>
      </w:r>
      <w:r w:rsidR="001F3379" w:rsidRPr="00611F34">
        <w:rPr>
          <w:rFonts w:ascii="Arial" w:hAnsi="Arial" w:cs="Arial"/>
        </w:rPr>
        <w:t xml:space="preserve"> can be given to patients with hepatic impairment </w:t>
      </w:r>
      <w:r w:rsidR="00323C73" w:rsidRPr="00611F34">
        <w:rPr>
          <w:rFonts w:ascii="Arial" w:hAnsi="Arial" w:cs="Arial"/>
        </w:rPr>
        <w:t xml:space="preserve">(see </w:t>
      </w:r>
      <w:r w:rsidR="00323C73" w:rsidRPr="00611F34">
        <w:rPr>
          <w:rFonts w:ascii="Arial" w:hAnsi="Arial" w:cs="Arial"/>
          <w:b/>
          <w:caps/>
        </w:rPr>
        <w:t>Pharmacokinetics</w:t>
      </w:r>
      <w:r w:rsidR="00323C73" w:rsidRPr="00611F34">
        <w:rPr>
          <w:rFonts w:ascii="Arial" w:hAnsi="Arial" w:cs="Arial"/>
        </w:rPr>
        <w:t>).</w:t>
      </w:r>
    </w:p>
    <w:p w:rsidR="00561FA5" w:rsidRDefault="00561FA5" w:rsidP="002942B7">
      <w:pPr>
        <w:pStyle w:val="Heading3"/>
      </w:pPr>
    </w:p>
    <w:p w:rsidR="00323C73" w:rsidRPr="00611F34" w:rsidRDefault="00323C73" w:rsidP="002942B7">
      <w:pPr>
        <w:pStyle w:val="Heading3"/>
      </w:pPr>
      <w:r w:rsidRPr="00611F34">
        <w:t>Children and adolescents</w:t>
      </w:r>
    </w:p>
    <w:p w:rsidR="001F3379" w:rsidRPr="00611F34" w:rsidRDefault="001F3379" w:rsidP="001F3379">
      <w:pPr>
        <w:rPr>
          <w:rFonts w:ascii="Arial" w:hAnsi="Arial" w:cs="Arial"/>
        </w:rPr>
      </w:pPr>
      <w:r w:rsidRPr="00611F34">
        <w:rPr>
          <w:rFonts w:ascii="Arial" w:hAnsi="Arial" w:cs="Arial"/>
        </w:rPr>
        <w:t>The safety and efficacy of exenatide have</w:t>
      </w:r>
      <w:r w:rsidRPr="00611F34" w:rsidDel="00252580">
        <w:rPr>
          <w:rFonts w:ascii="Arial" w:hAnsi="Arial" w:cs="Arial"/>
        </w:rPr>
        <w:t xml:space="preserve"> </w:t>
      </w:r>
      <w:r w:rsidRPr="00611F34">
        <w:rPr>
          <w:rFonts w:ascii="Arial" w:hAnsi="Arial" w:cs="Arial"/>
        </w:rPr>
        <w:t xml:space="preserve">not yet been established in children under 18 years of age (see </w:t>
      </w:r>
      <w:r w:rsidRPr="00611F34">
        <w:rPr>
          <w:rFonts w:ascii="Arial" w:hAnsi="Arial" w:cs="Arial"/>
          <w:b/>
        </w:rPr>
        <w:t>PHARMACOKINETICS</w:t>
      </w:r>
      <w:r w:rsidRPr="00611F34">
        <w:rPr>
          <w:rFonts w:ascii="Arial" w:hAnsi="Arial" w:cs="Arial"/>
        </w:rPr>
        <w:t>).</w:t>
      </w:r>
    </w:p>
    <w:p w:rsidR="00326799" w:rsidRPr="00611F34" w:rsidRDefault="00326799" w:rsidP="00326799">
      <w:pPr>
        <w:keepNext/>
        <w:keepLines/>
        <w:jc w:val="both"/>
        <w:rPr>
          <w:rFonts w:ascii="Arial" w:hAnsi="Arial" w:cs="Arial"/>
          <w:b/>
        </w:rPr>
      </w:pPr>
    </w:p>
    <w:p w:rsidR="00323C73" w:rsidRPr="00611F34" w:rsidRDefault="00323C73" w:rsidP="00326799">
      <w:pPr>
        <w:keepNext/>
        <w:keepLines/>
        <w:jc w:val="both"/>
        <w:rPr>
          <w:rFonts w:ascii="Arial" w:hAnsi="Arial" w:cs="Arial"/>
        </w:rPr>
      </w:pPr>
      <w:r w:rsidRPr="00611F34">
        <w:rPr>
          <w:rFonts w:ascii="Arial" w:hAnsi="Arial" w:cs="Arial"/>
          <w:b/>
        </w:rPr>
        <w:t xml:space="preserve">Instructions for use and handling </w:t>
      </w:r>
    </w:p>
    <w:p w:rsidR="00D13E5A" w:rsidRPr="00611F34" w:rsidRDefault="00D13E5A" w:rsidP="00D13E5A">
      <w:pPr>
        <w:rPr>
          <w:rFonts w:ascii="Arial" w:hAnsi="Arial" w:cs="Arial"/>
        </w:rPr>
      </w:pPr>
      <w:r w:rsidRPr="00611F34">
        <w:rPr>
          <w:rFonts w:ascii="Arial" w:hAnsi="Arial" w:cs="Arial"/>
        </w:rPr>
        <w:t>BYDUREON is for use by one person only.</w:t>
      </w:r>
    </w:p>
    <w:p w:rsidR="00D13E5A" w:rsidRPr="00611F34" w:rsidRDefault="00D13E5A" w:rsidP="00D13E5A">
      <w:pPr>
        <w:rPr>
          <w:rFonts w:ascii="Arial" w:hAnsi="Arial" w:cs="Arial"/>
        </w:rPr>
      </w:pPr>
      <w:r w:rsidRPr="00611F34">
        <w:rPr>
          <w:rFonts w:ascii="Arial" w:hAnsi="Arial" w:cs="Arial"/>
        </w:rPr>
        <w:t xml:space="preserve"> </w:t>
      </w:r>
    </w:p>
    <w:p w:rsidR="00D13E5A" w:rsidRPr="00611F34" w:rsidRDefault="00D13E5A" w:rsidP="00D13E5A">
      <w:pPr>
        <w:rPr>
          <w:rFonts w:ascii="Arial" w:hAnsi="Arial" w:cs="Arial"/>
        </w:rPr>
      </w:pPr>
      <w:r w:rsidRPr="00611F34">
        <w:rPr>
          <w:rFonts w:ascii="Arial" w:hAnsi="Arial" w:cs="Arial"/>
        </w:rPr>
        <w:t xml:space="preserve">The instructions for the user containing the complete preparation and administration instructions must be followed carefully. </w:t>
      </w:r>
    </w:p>
    <w:p w:rsidR="00D13E5A" w:rsidRPr="00611F34" w:rsidRDefault="00D13E5A" w:rsidP="00D13E5A">
      <w:pPr>
        <w:rPr>
          <w:rFonts w:ascii="Arial" w:hAnsi="Arial" w:cs="Arial"/>
        </w:rPr>
      </w:pPr>
    </w:p>
    <w:p w:rsidR="00D13E5A" w:rsidRPr="00611F34" w:rsidRDefault="00D13E5A" w:rsidP="00D13E5A">
      <w:pPr>
        <w:rPr>
          <w:rFonts w:ascii="Arial" w:hAnsi="Arial" w:cs="Arial"/>
        </w:rPr>
      </w:pPr>
      <w:r w:rsidRPr="00611F34">
        <w:rPr>
          <w:rFonts w:ascii="Arial" w:hAnsi="Arial" w:cs="Arial"/>
        </w:rPr>
        <w:t xml:space="preserve">The </w:t>
      </w:r>
      <w:r w:rsidR="00CF790C">
        <w:rPr>
          <w:rFonts w:ascii="Arial" w:hAnsi="Arial" w:cs="Arial"/>
        </w:rPr>
        <w:t>diluent s</w:t>
      </w:r>
      <w:r w:rsidRPr="00611F34">
        <w:rPr>
          <w:rFonts w:ascii="Arial" w:hAnsi="Arial" w:cs="Arial"/>
        </w:rPr>
        <w:t xml:space="preserve">hould be visually inspected prior to use. Use the </w:t>
      </w:r>
      <w:r w:rsidR="00CF790C">
        <w:rPr>
          <w:rFonts w:ascii="Arial" w:hAnsi="Arial" w:cs="Arial"/>
        </w:rPr>
        <w:t>diluent</w:t>
      </w:r>
      <w:r w:rsidR="00CF790C" w:rsidRPr="00611F34">
        <w:rPr>
          <w:rFonts w:ascii="Arial" w:hAnsi="Arial" w:cs="Arial"/>
        </w:rPr>
        <w:t xml:space="preserve"> </w:t>
      </w:r>
      <w:r w:rsidRPr="00611F34">
        <w:rPr>
          <w:rFonts w:ascii="Arial" w:hAnsi="Arial" w:cs="Arial"/>
        </w:rPr>
        <w:t>only if it is clear and free of particulate matter. After suspension, use BYDUREON only if the mixture is white to off white and cloudy.</w:t>
      </w:r>
    </w:p>
    <w:p w:rsidR="00D13E5A" w:rsidRPr="00611F34" w:rsidRDefault="00D13E5A" w:rsidP="00D13E5A">
      <w:pPr>
        <w:rPr>
          <w:rFonts w:ascii="Arial" w:hAnsi="Arial" w:cs="Arial"/>
        </w:rPr>
      </w:pPr>
    </w:p>
    <w:p w:rsidR="00D13E5A" w:rsidRPr="00611F34" w:rsidRDefault="00D13E5A" w:rsidP="00D13E5A">
      <w:pPr>
        <w:rPr>
          <w:rFonts w:ascii="Arial" w:hAnsi="Arial" w:cs="Arial"/>
        </w:rPr>
      </w:pPr>
      <w:r w:rsidRPr="00611F34">
        <w:rPr>
          <w:rFonts w:ascii="Arial" w:hAnsi="Arial" w:cs="Arial"/>
        </w:rPr>
        <w:t xml:space="preserve">BYDUREON must be injected immediately after suspension of the powder in the </w:t>
      </w:r>
      <w:r w:rsidR="00CF790C">
        <w:rPr>
          <w:rFonts w:ascii="Arial" w:hAnsi="Arial" w:cs="Arial"/>
        </w:rPr>
        <w:t>diluent</w:t>
      </w:r>
      <w:r w:rsidRPr="00611F34">
        <w:rPr>
          <w:rFonts w:ascii="Arial" w:hAnsi="Arial" w:cs="Arial"/>
        </w:rPr>
        <w:t>.</w:t>
      </w:r>
    </w:p>
    <w:p w:rsidR="00D13E5A" w:rsidRPr="00611F34" w:rsidRDefault="00D13E5A" w:rsidP="00D13E5A">
      <w:pPr>
        <w:rPr>
          <w:rFonts w:ascii="Arial" w:hAnsi="Arial" w:cs="Arial"/>
        </w:rPr>
      </w:pPr>
    </w:p>
    <w:p w:rsidR="00D13E5A" w:rsidRDefault="00E04AE5" w:rsidP="00D13E5A">
      <w:pPr>
        <w:rPr>
          <w:rFonts w:ascii="Arial" w:hAnsi="Arial" w:cs="Arial"/>
        </w:rPr>
      </w:pPr>
      <w:r>
        <w:rPr>
          <w:rFonts w:ascii="Arial" w:hAnsi="Arial" w:cs="Arial"/>
        </w:rPr>
        <w:t>BYDUREON</w:t>
      </w:r>
      <w:r w:rsidR="00CF790C">
        <w:rPr>
          <w:rFonts w:ascii="Arial" w:hAnsi="Arial" w:cs="Arial"/>
        </w:rPr>
        <w:t xml:space="preserve"> </w:t>
      </w:r>
      <w:r w:rsidR="00D13E5A" w:rsidRPr="00611F34">
        <w:rPr>
          <w:rFonts w:ascii="Arial" w:hAnsi="Arial" w:cs="Arial"/>
        </w:rPr>
        <w:t xml:space="preserve">that has been frozen must not be used. </w:t>
      </w:r>
    </w:p>
    <w:p w:rsidR="00CF790C" w:rsidRDefault="00CF790C" w:rsidP="00D13E5A">
      <w:pPr>
        <w:rPr>
          <w:rFonts w:ascii="Arial" w:hAnsi="Arial" w:cs="Arial"/>
        </w:rPr>
      </w:pPr>
    </w:p>
    <w:p w:rsidR="00CF790C" w:rsidRPr="00611F34" w:rsidRDefault="00E04AE5" w:rsidP="00D13E5A">
      <w:pPr>
        <w:rPr>
          <w:rFonts w:ascii="Arial" w:hAnsi="Arial" w:cs="Arial"/>
        </w:rPr>
      </w:pPr>
      <w:r>
        <w:rPr>
          <w:rFonts w:ascii="Arial" w:hAnsi="Arial" w:cs="Arial"/>
        </w:rPr>
        <w:t xml:space="preserve">BYDUREON </w:t>
      </w:r>
      <w:r w:rsidR="00CF790C">
        <w:rPr>
          <w:rFonts w:ascii="Arial" w:hAnsi="Arial" w:cs="Arial"/>
        </w:rPr>
        <w:t>should not be used past the expiration date.</w:t>
      </w:r>
    </w:p>
    <w:p w:rsidR="00323C73" w:rsidRPr="00611F34" w:rsidRDefault="00323C73" w:rsidP="00DA1AEE">
      <w:pPr>
        <w:pStyle w:val="BodyText"/>
        <w:jc w:val="both"/>
        <w:rPr>
          <w:rFonts w:ascii="Arial" w:hAnsi="Arial" w:cs="Arial"/>
        </w:rPr>
      </w:pPr>
    </w:p>
    <w:p w:rsidR="00D13E5A" w:rsidRPr="00611F34" w:rsidRDefault="00D13E5A" w:rsidP="00D13E5A">
      <w:pPr>
        <w:rPr>
          <w:rFonts w:ascii="Arial" w:hAnsi="Arial" w:cs="Arial"/>
        </w:rPr>
      </w:pPr>
      <w:r w:rsidRPr="00611F34">
        <w:rPr>
          <w:rFonts w:ascii="Arial" w:hAnsi="Arial" w:cs="Arial"/>
        </w:rPr>
        <w:t>The patient should be instructed to discard the syringe with the needle still attached after each injection</w:t>
      </w:r>
      <w:r w:rsidR="000224A4" w:rsidRPr="00611F34">
        <w:rPr>
          <w:rFonts w:ascii="Arial" w:hAnsi="Arial" w:cs="Arial"/>
        </w:rPr>
        <w:t xml:space="preserve"> in an appropriate needle bin and return, along with any unused medicinal product or waste material to pharmacists or diabetes nurse educators for disposal</w:t>
      </w:r>
      <w:r w:rsidRPr="00611F34">
        <w:rPr>
          <w:rFonts w:ascii="Arial" w:hAnsi="Arial" w:cs="Arial"/>
        </w:rPr>
        <w:t>. The patient does not need to put the cover back on the needle or to save any part of the single-use kit.</w:t>
      </w:r>
    </w:p>
    <w:p w:rsidR="00D13E5A" w:rsidRPr="00611F34" w:rsidRDefault="00D13E5A" w:rsidP="00D13E5A">
      <w:pPr>
        <w:rPr>
          <w:rFonts w:ascii="Arial" w:hAnsi="Arial" w:cs="Arial"/>
        </w:rPr>
      </w:pPr>
    </w:p>
    <w:p w:rsidR="00323C73" w:rsidRPr="00611F34" w:rsidRDefault="00323C73" w:rsidP="00DA1AEE">
      <w:pPr>
        <w:ind w:left="567" w:hanging="567"/>
        <w:jc w:val="both"/>
        <w:rPr>
          <w:rFonts w:ascii="Arial" w:hAnsi="Arial" w:cs="Arial"/>
        </w:rPr>
      </w:pPr>
      <w:r w:rsidRPr="00611F34">
        <w:rPr>
          <w:rFonts w:ascii="Arial" w:hAnsi="Arial" w:cs="Arial"/>
          <w:b/>
        </w:rPr>
        <w:t>Incompatibilities</w:t>
      </w:r>
    </w:p>
    <w:p w:rsidR="00634EC0" w:rsidRPr="00611F34" w:rsidRDefault="00634EC0" w:rsidP="00634EC0">
      <w:pPr>
        <w:outlineLvl w:val="0"/>
        <w:rPr>
          <w:rFonts w:ascii="Arial" w:hAnsi="Arial" w:cs="Arial"/>
        </w:rPr>
      </w:pPr>
      <w:r w:rsidRPr="00611F34">
        <w:rPr>
          <w:rFonts w:ascii="Arial" w:hAnsi="Arial" w:cs="Arial"/>
        </w:rPr>
        <w:t>In the absence of compatibility studies this medicinal product must not be mixed with other medicinal products.</w:t>
      </w:r>
    </w:p>
    <w:p w:rsidR="007B279C" w:rsidRPr="00611F34" w:rsidRDefault="007B279C" w:rsidP="00BC73E2">
      <w:pPr>
        <w:pStyle w:val="Header"/>
        <w:tabs>
          <w:tab w:val="clear" w:pos="4153"/>
          <w:tab w:val="clear" w:pos="8306"/>
        </w:tabs>
        <w:jc w:val="both"/>
        <w:rPr>
          <w:rFonts w:ascii="Arial" w:hAnsi="Arial" w:cs="Arial"/>
          <w:b/>
        </w:rPr>
      </w:pPr>
    </w:p>
    <w:p w:rsidR="00323C73" w:rsidRPr="00611F34" w:rsidRDefault="00323C73" w:rsidP="002942B7">
      <w:pPr>
        <w:pStyle w:val="Heading3"/>
      </w:pPr>
      <w:r w:rsidRPr="00611F34">
        <w:t>OVERDOSAGE</w:t>
      </w:r>
    </w:p>
    <w:p w:rsidR="00326799" w:rsidRPr="00611F34" w:rsidRDefault="00326799" w:rsidP="00D74410">
      <w:pPr>
        <w:autoSpaceDE w:val="0"/>
        <w:autoSpaceDN w:val="0"/>
        <w:adjustRightInd w:val="0"/>
        <w:rPr>
          <w:rFonts w:ascii="Arial" w:hAnsi="Arial" w:cs="Arial"/>
          <w:color w:val="auto"/>
        </w:rPr>
      </w:pPr>
    </w:p>
    <w:p w:rsidR="00634EC0" w:rsidRPr="00611F34" w:rsidRDefault="00634EC0" w:rsidP="00634EC0">
      <w:pPr>
        <w:pStyle w:val="BodyText"/>
        <w:spacing w:line="276" w:lineRule="auto"/>
      </w:pPr>
      <w:r w:rsidRPr="00611F34">
        <w:rPr>
          <w:rFonts w:ascii="Arial" w:hAnsi="Arial" w:cs="Arial"/>
        </w:rPr>
        <w:t xml:space="preserve">Effects of overdoses with </w:t>
      </w:r>
      <w:r w:rsidR="004C5EEF">
        <w:rPr>
          <w:rFonts w:ascii="Arial" w:hAnsi="Arial" w:cs="Arial"/>
        </w:rPr>
        <w:t xml:space="preserve">10 µg </w:t>
      </w:r>
      <w:r w:rsidRPr="00611F34">
        <w:rPr>
          <w:rFonts w:ascii="Arial" w:hAnsi="Arial" w:cs="Arial"/>
        </w:rPr>
        <w:t>exenatide twice daily in clinical studies included severe nausea, severe vomiting, and rapidly declining blood glucose concentrations.  In the event of overdose, appropriate supportive treatment should be initiated according to the patient’s clinical signs and symptoms</w:t>
      </w:r>
      <w:r w:rsidRPr="00611F34">
        <w:t xml:space="preserve">.  </w:t>
      </w:r>
    </w:p>
    <w:p w:rsidR="008A4D23" w:rsidRDefault="008A4D23">
      <w:pPr>
        <w:rPr>
          <w:rFonts w:ascii="Arial" w:hAnsi="Arial" w:cs="Arial"/>
          <w:b/>
          <w:snapToGrid w:val="0"/>
        </w:rPr>
      </w:pPr>
      <w:r>
        <w:rPr>
          <w:b/>
          <w:iCs/>
          <w:snapToGrid w:val="0"/>
        </w:rPr>
        <w:br w:type="page"/>
      </w:r>
    </w:p>
    <w:p w:rsidR="00323C73" w:rsidRPr="00611F34" w:rsidRDefault="00323C73" w:rsidP="002942B7">
      <w:pPr>
        <w:pStyle w:val="Heading3"/>
      </w:pPr>
      <w:r w:rsidRPr="00611F34">
        <w:lastRenderedPageBreak/>
        <w:t>PRESENTATION AND STORAGE CONDITIONS</w:t>
      </w:r>
    </w:p>
    <w:p w:rsidR="00323C73" w:rsidRPr="00611F34" w:rsidRDefault="00323C73" w:rsidP="00DA1AEE">
      <w:pPr>
        <w:pStyle w:val="BodyText"/>
        <w:jc w:val="both"/>
        <w:rPr>
          <w:rFonts w:ascii="Arial" w:hAnsi="Arial" w:cs="Arial"/>
          <w:b/>
        </w:rPr>
      </w:pPr>
    </w:p>
    <w:p w:rsidR="00323C73" w:rsidRPr="00611F34" w:rsidRDefault="00BA1A07" w:rsidP="00DA1AEE">
      <w:pPr>
        <w:pStyle w:val="BodyText"/>
        <w:jc w:val="both"/>
        <w:rPr>
          <w:rFonts w:ascii="Arial" w:hAnsi="Arial" w:cs="Arial"/>
        </w:rPr>
      </w:pPr>
      <w:r w:rsidRPr="00611F34">
        <w:rPr>
          <w:rFonts w:ascii="Arial" w:hAnsi="Arial" w:cs="Arial"/>
        </w:rPr>
        <w:t>BYDUREON (exenatide</w:t>
      </w:r>
      <w:r w:rsidR="00E405B9">
        <w:rPr>
          <w:rFonts w:ascii="Arial" w:hAnsi="Arial" w:cs="Arial"/>
        </w:rPr>
        <w:t xml:space="preserve"> powder</w:t>
      </w:r>
      <w:r w:rsidRPr="00611F34">
        <w:rPr>
          <w:rFonts w:ascii="Arial" w:hAnsi="Arial" w:cs="Arial"/>
        </w:rPr>
        <w:t xml:space="preserve"> for inject</w:t>
      </w:r>
      <w:r w:rsidR="00E405B9">
        <w:rPr>
          <w:rFonts w:ascii="Arial" w:hAnsi="Arial" w:cs="Arial"/>
        </w:rPr>
        <w:t>ion vial with diluent syringe</w:t>
      </w:r>
      <w:r w:rsidRPr="00611F34">
        <w:rPr>
          <w:rFonts w:ascii="Arial" w:hAnsi="Arial" w:cs="Arial"/>
        </w:rPr>
        <w:t xml:space="preserve">) for weekly subcutaneous administration is supplied in cartons </w:t>
      </w:r>
      <w:r w:rsidR="00E405B9">
        <w:rPr>
          <w:rFonts w:ascii="Arial" w:hAnsi="Arial" w:cs="Arial"/>
        </w:rPr>
        <w:t>containing</w:t>
      </w:r>
      <w:r w:rsidRPr="00611F34">
        <w:rPr>
          <w:rFonts w:ascii="Arial" w:hAnsi="Arial" w:cs="Arial"/>
        </w:rPr>
        <w:t xml:space="preserve"> 4 single dose kits.</w:t>
      </w:r>
    </w:p>
    <w:p w:rsidR="00323C73" w:rsidRPr="00611F34" w:rsidRDefault="00323C73" w:rsidP="00DA1AEE">
      <w:pPr>
        <w:pStyle w:val="BodyText"/>
        <w:jc w:val="both"/>
        <w:outlineLvl w:val="0"/>
        <w:rPr>
          <w:rFonts w:ascii="Arial" w:hAnsi="Arial" w:cs="Arial"/>
        </w:rPr>
      </w:pPr>
    </w:p>
    <w:p w:rsidR="00BA1A07" w:rsidRPr="00611F34" w:rsidRDefault="00BA1A07" w:rsidP="00BA1A07">
      <w:pPr>
        <w:autoSpaceDE w:val="0"/>
        <w:autoSpaceDN w:val="0"/>
        <w:adjustRightInd w:val="0"/>
        <w:rPr>
          <w:rFonts w:ascii="Arial" w:hAnsi="Arial" w:cs="Arial"/>
        </w:rPr>
      </w:pPr>
      <w:r w:rsidRPr="00611F34">
        <w:rPr>
          <w:rFonts w:ascii="Arial" w:hAnsi="Arial" w:cs="Arial"/>
        </w:rPr>
        <w:t>Exenatide powder for injection is packaged in a 3 mL Type I glass vial sealed with a rubber stopper and an aluminum seal with a plastic flip-off cap.</w:t>
      </w:r>
    </w:p>
    <w:p w:rsidR="00BA1A07" w:rsidRPr="00611F34" w:rsidRDefault="00BA1A07" w:rsidP="00BA1A07">
      <w:pPr>
        <w:autoSpaceDE w:val="0"/>
        <w:autoSpaceDN w:val="0"/>
        <w:adjustRightInd w:val="0"/>
        <w:rPr>
          <w:rFonts w:ascii="Arial" w:hAnsi="Arial" w:cs="Arial"/>
        </w:rPr>
      </w:pPr>
    </w:p>
    <w:p w:rsidR="00BA1A07" w:rsidRPr="00611F34" w:rsidRDefault="00BA1A07" w:rsidP="00BA1A07">
      <w:pPr>
        <w:autoSpaceDE w:val="0"/>
        <w:autoSpaceDN w:val="0"/>
        <w:adjustRightInd w:val="0"/>
        <w:rPr>
          <w:rFonts w:ascii="Arial" w:hAnsi="Arial" w:cs="Arial"/>
        </w:rPr>
      </w:pPr>
      <w:r w:rsidRPr="00611F34">
        <w:rPr>
          <w:rFonts w:ascii="Arial" w:hAnsi="Arial" w:cs="Arial"/>
        </w:rPr>
        <w:t xml:space="preserve">The </w:t>
      </w:r>
      <w:r w:rsidR="00CF790C">
        <w:rPr>
          <w:rFonts w:ascii="Arial" w:hAnsi="Arial" w:cs="Arial"/>
        </w:rPr>
        <w:t>diluent</w:t>
      </w:r>
      <w:r w:rsidR="00CF790C" w:rsidRPr="00611F34">
        <w:rPr>
          <w:rFonts w:ascii="Arial" w:hAnsi="Arial" w:cs="Arial"/>
        </w:rPr>
        <w:t xml:space="preserve"> </w:t>
      </w:r>
      <w:r w:rsidRPr="00611F34">
        <w:rPr>
          <w:rFonts w:ascii="Arial" w:hAnsi="Arial" w:cs="Arial"/>
        </w:rPr>
        <w:t>is packaged in a 1.5 mL Type 1 glass syringe sealed with a rubber tip cap and a rubber plunger.</w:t>
      </w:r>
    </w:p>
    <w:p w:rsidR="00BA1A07" w:rsidRPr="00611F34" w:rsidRDefault="00BA1A07" w:rsidP="00BA1A07">
      <w:pPr>
        <w:rPr>
          <w:rFonts w:ascii="Arial" w:hAnsi="Arial" w:cs="Arial"/>
        </w:rPr>
      </w:pPr>
    </w:p>
    <w:p w:rsidR="00BA1A07" w:rsidRPr="00611F34" w:rsidRDefault="00BA1A07" w:rsidP="00BA1A07">
      <w:pPr>
        <w:rPr>
          <w:rFonts w:ascii="Arial" w:hAnsi="Arial" w:cs="Arial"/>
        </w:rPr>
      </w:pPr>
      <w:r w:rsidRPr="00611F34">
        <w:rPr>
          <w:rFonts w:ascii="Arial" w:hAnsi="Arial" w:cs="Arial"/>
        </w:rPr>
        <w:t xml:space="preserve">Each single-dose kit contains one vial of exenatide powder for suspension for injection, one pre-filled syringe of </w:t>
      </w:r>
      <w:r w:rsidR="00CF790C">
        <w:rPr>
          <w:rFonts w:ascii="Arial" w:hAnsi="Arial" w:cs="Arial"/>
        </w:rPr>
        <w:t xml:space="preserve">diluent </w:t>
      </w:r>
      <w:r w:rsidRPr="00611F34">
        <w:rPr>
          <w:rFonts w:ascii="Arial" w:hAnsi="Arial" w:cs="Arial"/>
        </w:rPr>
        <w:t xml:space="preserve">for injection, one vial connector, and two needles (one spare). </w:t>
      </w:r>
    </w:p>
    <w:p w:rsidR="000240AB" w:rsidRPr="00611F34" w:rsidRDefault="000240AB" w:rsidP="00DA1AEE">
      <w:pPr>
        <w:jc w:val="both"/>
        <w:outlineLvl w:val="0"/>
        <w:rPr>
          <w:rFonts w:ascii="Arial" w:hAnsi="Arial" w:cs="Arial"/>
          <w:b/>
        </w:rPr>
      </w:pPr>
    </w:p>
    <w:p w:rsidR="00323C73" w:rsidRPr="00611F34" w:rsidRDefault="00323C73" w:rsidP="00DA1AEE">
      <w:pPr>
        <w:jc w:val="both"/>
        <w:outlineLvl w:val="0"/>
        <w:rPr>
          <w:rFonts w:ascii="Arial" w:hAnsi="Arial" w:cs="Arial"/>
          <w:b/>
        </w:rPr>
      </w:pPr>
      <w:r w:rsidRPr="00611F34">
        <w:rPr>
          <w:rFonts w:ascii="Arial" w:hAnsi="Arial" w:cs="Arial"/>
          <w:b/>
        </w:rPr>
        <w:t>Storage</w:t>
      </w:r>
    </w:p>
    <w:p w:rsidR="00323C73" w:rsidRPr="00611F34" w:rsidRDefault="00323C73" w:rsidP="00DA1AEE">
      <w:pPr>
        <w:jc w:val="both"/>
        <w:outlineLvl w:val="0"/>
        <w:rPr>
          <w:rFonts w:ascii="Arial" w:hAnsi="Arial" w:cs="Arial"/>
        </w:rPr>
      </w:pPr>
    </w:p>
    <w:p w:rsidR="00CF790C" w:rsidRPr="00611F34" w:rsidRDefault="00CF790C" w:rsidP="00DA1AEE">
      <w:pPr>
        <w:jc w:val="both"/>
        <w:outlineLvl w:val="0"/>
        <w:rPr>
          <w:rFonts w:ascii="Arial" w:hAnsi="Arial" w:cs="Arial"/>
        </w:rPr>
      </w:pPr>
      <w:r>
        <w:rPr>
          <w:rFonts w:ascii="Arial" w:hAnsi="Arial" w:cs="Arial"/>
        </w:rPr>
        <w:t>During the 2 year shelf life, the entire kit should be s</w:t>
      </w:r>
      <w:r w:rsidR="00323C73" w:rsidRPr="00611F34">
        <w:rPr>
          <w:rFonts w:ascii="Arial" w:hAnsi="Arial" w:cs="Arial"/>
        </w:rPr>
        <w:t>tore</w:t>
      </w:r>
      <w:r>
        <w:rPr>
          <w:rFonts w:ascii="Arial" w:hAnsi="Arial" w:cs="Arial"/>
        </w:rPr>
        <w:t>d</w:t>
      </w:r>
      <w:r w:rsidR="00323C73" w:rsidRPr="00611F34">
        <w:rPr>
          <w:rFonts w:ascii="Arial" w:hAnsi="Arial" w:cs="Arial"/>
        </w:rPr>
        <w:t xml:space="preserve"> at 2ºC to 8ºC. </w:t>
      </w:r>
      <w:r>
        <w:rPr>
          <w:rFonts w:ascii="Arial" w:hAnsi="Arial" w:cs="Arial"/>
        </w:rPr>
        <w:t>However, the kit may be kept for 4 weeks below 30</w:t>
      </w:r>
      <w:r w:rsidRPr="00611F34">
        <w:rPr>
          <w:rFonts w:ascii="Arial" w:hAnsi="Arial" w:cs="Arial"/>
        </w:rPr>
        <w:t xml:space="preserve">ºC </w:t>
      </w:r>
      <w:r>
        <w:rPr>
          <w:rFonts w:ascii="Arial" w:hAnsi="Arial" w:cs="Arial"/>
        </w:rPr>
        <w:t xml:space="preserve">during the 2 year shelf life. </w:t>
      </w:r>
      <w:r w:rsidR="00323C73" w:rsidRPr="00611F34">
        <w:rPr>
          <w:rFonts w:ascii="Arial" w:hAnsi="Arial" w:cs="Arial"/>
        </w:rPr>
        <w:t>Refrigerate. Do not freeze.</w:t>
      </w:r>
      <w:r w:rsidR="000240AB" w:rsidRPr="00611F34">
        <w:rPr>
          <w:rFonts w:ascii="Arial" w:hAnsi="Arial" w:cs="Arial"/>
        </w:rPr>
        <w:t xml:space="preserve"> </w:t>
      </w:r>
      <w:r w:rsidR="00882F51" w:rsidRPr="00611F34">
        <w:rPr>
          <w:rFonts w:ascii="Arial" w:hAnsi="Arial" w:cs="Arial"/>
        </w:rPr>
        <w:t>Store in the original pack to p</w:t>
      </w:r>
      <w:r w:rsidR="00323C73" w:rsidRPr="00611F34">
        <w:rPr>
          <w:rFonts w:ascii="Arial" w:hAnsi="Arial" w:cs="Arial"/>
        </w:rPr>
        <w:t>rotect from light.</w:t>
      </w:r>
    </w:p>
    <w:p w:rsidR="00323C73" w:rsidRPr="00611F34" w:rsidRDefault="00323C73" w:rsidP="00DA1AEE">
      <w:pPr>
        <w:jc w:val="both"/>
        <w:rPr>
          <w:rFonts w:ascii="Arial" w:hAnsi="Arial" w:cs="Arial"/>
        </w:rPr>
      </w:pPr>
    </w:p>
    <w:p w:rsidR="00882F51" w:rsidRPr="00611F34" w:rsidRDefault="00882F51" w:rsidP="00882F51">
      <w:pPr>
        <w:rPr>
          <w:rFonts w:ascii="Arial" w:hAnsi="Arial" w:cs="Arial"/>
        </w:rPr>
      </w:pPr>
      <w:r w:rsidRPr="00611F34">
        <w:rPr>
          <w:rFonts w:ascii="Arial" w:hAnsi="Arial" w:cs="Arial"/>
        </w:rPr>
        <w:t xml:space="preserve">BYDUREON must be injected immediately after suspension of the powder in the </w:t>
      </w:r>
      <w:r w:rsidR="00BC130C">
        <w:rPr>
          <w:rFonts w:ascii="Arial" w:hAnsi="Arial" w:cs="Arial"/>
        </w:rPr>
        <w:t>diluent</w:t>
      </w:r>
      <w:r w:rsidRPr="00611F34">
        <w:rPr>
          <w:rFonts w:ascii="Arial" w:hAnsi="Arial" w:cs="Arial"/>
        </w:rPr>
        <w:t>.</w:t>
      </w:r>
    </w:p>
    <w:p w:rsidR="00BC4CC4" w:rsidRPr="00611F34" w:rsidRDefault="00BC4CC4" w:rsidP="00DA1AEE">
      <w:pPr>
        <w:jc w:val="both"/>
        <w:rPr>
          <w:rFonts w:ascii="Arial" w:hAnsi="Arial" w:cs="Arial"/>
        </w:rPr>
      </w:pPr>
    </w:p>
    <w:p w:rsidR="00316671" w:rsidRDefault="00316671" w:rsidP="00DA1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rsidR="00323C73" w:rsidRPr="00611F34" w:rsidRDefault="00323C73" w:rsidP="00DA1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611F34">
        <w:rPr>
          <w:rFonts w:ascii="Arial" w:hAnsi="Arial" w:cs="Arial"/>
          <w:b/>
        </w:rPr>
        <w:t>NAME AND ADDRESS OF SPONSOR</w:t>
      </w:r>
    </w:p>
    <w:p w:rsidR="00323C73" w:rsidRPr="00611F34" w:rsidRDefault="00323C73" w:rsidP="00DA1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323C73" w:rsidRPr="00611F34" w:rsidRDefault="00323C73" w:rsidP="00DA1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11F34">
        <w:rPr>
          <w:rFonts w:ascii="Arial" w:hAnsi="Arial" w:cs="Arial"/>
        </w:rPr>
        <w:t>Eli Lilly Australia Pty. Limited</w:t>
      </w:r>
    </w:p>
    <w:p w:rsidR="00323C73" w:rsidRPr="00611F34" w:rsidRDefault="00323C73" w:rsidP="00DA1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11F34">
        <w:rPr>
          <w:rFonts w:ascii="Arial" w:hAnsi="Arial" w:cs="Arial"/>
        </w:rPr>
        <w:t>112 Wharf Road, West Ryde, NSW 2114</w:t>
      </w:r>
    </w:p>
    <w:p w:rsidR="00323C73" w:rsidRPr="00611F34" w:rsidRDefault="00323C73" w:rsidP="00DA1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11F34">
        <w:rPr>
          <w:rFonts w:ascii="Arial" w:hAnsi="Arial" w:cs="Arial"/>
        </w:rPr>
        <w:t>AUSTRALIA</w:t>
      </w:r>
    </w:p>
    <w:p w:rsidR="00983D31" w:rsidRPr="00611F34" w:rsidRDefault="00983D31" w:rsidP="00DA1AEE">
      <w:pPr>
        <w:pStyle w:val="BodyText2"/>
        <w:jc w:val="both"/>
        <w:rPr>
          <w:rFonts w:ascii="Arial" w:hAnsi="Arial" w:cs="Arial"/>
          <w:b/>
          <w:sz w:val="24"/>
          <w:lang w:val="en-AU"/>
        </w:rPr>
      </w:pPr>
    </w:p>
    <w:p w:rsidR="00323C73" w:rsidRPr="00611F34" w:rsidRDefault="00323C73" w:rsidP="00DA1AEE">
      <w:pPr>
        <w:pStyle w:val="BodyText2"/>
        <w:jc w:val="both"/>
        <w:rPr>
          <w:rFonts w:ascii="Arial" w:hAnsi="Arial" w:cs="Arial"/>
          <w:b/>
          <w:sz w:val="24"/>
          <w:lang w:val="en-AU"/>
        </w:rPr>
      </w:pPr>
      <w:r w:rsidRPr="00611F34">
        <w:rPr>
          <w:rFonts w:ascii="Arial" w:hAnsi="Arial" w:cs="Arial"/>
          <w:b/>
          <w:sz w:val="24"/>
          <w:lang w:val="en-AU"/>
        </w:rPr>
        <w:t>POISON SCHEDULE OF MEDICINE</w:t>
      </w:r>
    </w:p>
    <w:p w:rsidR="00323C73" w:rsidRPr="00611F34" w:rsidRDefault="00323C73" w:rsidP="00DA1AEE">
      <w:pPr>
        <w:pStyle w:val="BodyText2"/>
        <w:jc w:val="both"/>
        <w:rPr>
          <w:rFonts w:ascii="Arial" w:hAnsi="Arial" w:cs="Arial"/>
          <w:b/>
          <w:sz w:val="24"/>
          <w:lang w:val="en-AU"/>
        </w:rPr>
      </w:pPr>
    </w:p>
    <w:p w:rsidR="00323C73" w:rsidRPr="00611F34" w:rsidRDefault="00323C73" w:rsidP="00DA1AEE">
      <w:pPr>
        <w:pStyle w:val="BodyText2"/>
        <w:jc w:val="both"/>
        <w:rPr>
          <w:rFonts w:ascii="Arial" w:hAnsi="Arial" w:cs="Arial"/>
          <w:sz w:val="24"/>
          <w:lang w:val="en-AU"/>
        </w:rPr>
      </w:pPr>
      <w:r w:rsidRPr="00611F34">
        <w:rPr>
          <w:rFonts w:ascii="Arial" w:hAnsi="Arial" w:cs="Arial"/>
          <w:sz w:val="24"/>
          <w:lang w:val="en-AU"/>
        </w:rPr>
        <w:t>S4</w:t>
      </w:r>
    </w:p>
    <w:p w:rsidR="00A0382D" w:rsidRPr="00611F34" w:rsidRDefault="00A0382D" w:rsidP="00DA1AEE">
      <w:pPr>
        <w:pStyle w:val="Header"/>
        <w:tabs>
          <w:tab w:val="clear" w:pos="4153"/>
          <w:tab w:val="clear" w:pos="8306"/>
        </w:tabs>
        <w:jc w:val="both"/>
        <w:rPr>
          <w:rFonts w:ascii="Arial" w:hAnsi="Arial" w:cs="Arial"/>
          <w:b/>
          <w:bCs/>
        </w:rPr>
      </w:pPr>
    </w:p>
    <w:p w:rsidR="00323C73" w:rsidRPr="00611F34" w:rsidRDefault="0012615A" w:rsidP="00DA1AEE">
      <w:pPr>
        <w:pStyle w:val="Header"/>
        <w:tabs>
          <w:tab w:val="clear" w:pos="4153"/>
          <w:tab w:val="clear" w:pos="8306"/>
        </w:tabs>
        <w:jc w:val="both"/>
        <w:rPr>
          <w:rFonts w:ascii="Arial" w:hAnsi="Arial" w:cs="Arial"/>
          <w:b/>
          <w:bCs/>
        </w:rPr>
      </w:pPr>
      <w:r w:rsidRPr="006276ED">
        <w:rPr>
          <w:rFonts w:ascii="Arial" w:hAnsi="Arial" w:cs="Arial"/>
          <w:b/>
          <w:bCs/>
        </w:rPr>
        <w:t xml:space="preserve">DATE OF </w:t>
      </w:r>
      <w:r>
        <w:rPr>
          <w:rFonts w:ascii="Arial" w:hAnsi="Arial" w:cs="Arial"/>
          <w:b/>
          <w:bCs/>
        </w:rPr>
        <w:t>FIRST INCLUSION IN THE AUSTRALIAN REGISTER OF THERAPEUTIC GOODS (ARTG)</w:t>
      </w:r>
    </w:p>
    <w:p w:rsidR="00323C73" w:rsidRPr="00611F34" w:rsidRDefault="0006444E" w:rsidP="00DA1AEE">
      <w:pPr>
        <w:pStyle w:val="Header"/>
        <w:tabs>
          <w:tab w:val="clear" w:pos="4153"/>
          <w:tab w:val="clear" w:pos="8306"/>
        </w:tabs>
        <w:jc w:val="both"/>
        <w:rPr>
          <w:rFonts w:ascii="Arial" w:hAnsi="Arial" w:cs="Arial"/>
        </w:rPr>
      </w:pPr>
      <w:r>
        <w:rPr>
          <w:rFonts w:ascii="Arial" w:hAnsi="Arial" w:cs="Arial"/>
        </w:rPr>
        <w:t>20 December 2012</w:t>
      </w:r>
    </w:p>
    <w:p w:rsidR="004C457B" w:rsidRPr="00611F34" w:rsidRDefault="004C457B" w:rsidP="00DA1AEE">
      <w:pPr>
        <w:pStyle w:val="BodyText2"/>
        <w:jc w:val="both"/>
        <w:rPr>
          <w:rFonts w:ascii="Arial" w:hAnsi="Arial" w:cs="Arial"/>
          <w:sz w:val="24"/>
          <w:lang w:val="en-AU"/>
        </w:rPr>
      </w:pPr>
    </w:p>
    <w:p w:rsidR="00BC4CC4" w:rsidRPr="00611F34" w:rsidRDefault="00BC4CC4" w:rsidP="00DA1AEE">
      <w:pPr>
        <w:pStyle w:val="BodyText2"/>
        <w:jc w:val="both"/>
        <w:rPr>
          <w:rFonts w:ascii="Arial" w:hAnsi="Arial" w:cs="Arial"/>
          <w:b/>
          <w:sz w:val="24"/>
          <w:lang w:val="en-AU"/>
        </w:rPr>
      </w:pPr>
    </w:p>
    <w:p w:rsidR="00323C73" w:rsidRPr="00611F34" w:rsidRDefault="00882F51" w:rsidP="00DA1AEE">
      <w:pPr>
        <w:pStyle w:val="BodyText2"/>
        <w:jc w:val="both"/>
        <w:rPr>
          <w:rFonts w:ascii="Arial" w:hAnsi="Arial" w:cs="Arial"/>
          <w:sz w:val="20"/>
          <w:szCs w:val="20"/>
          <w:lang w:val="en-AU"/>
        </w:rPr>
      </w:pPr>
      <w:r w:rsidRPr="00611F34">
        <w:rPr>
          <w:rFonts w:ascii="Arial" w:hAnsi="Arial" w:cs="Arial"/>
          <w:sz w:val="20"/>
          <w:szCs w:val="20"/>
          <w:lang w:val="en-AU"/>
        </w:rPr>
        <w:t>BYDUREON</w:t>
      </w:r>
      <w:r w:rsidR="004C457B" w:rsidRPr="00611F34">
        <w:rPr>
          <w:rFonts w:ascii="Arial" w:hAnsi="Arial" w:cs="Arial"/>
          <w:sz w:val="20"/>
          <w:szCs w:val="20"/>
          <w:vertAlign w:val="superscript"/>
          <w:lang w:val="en-AU"/>
        </w:rPr>
        <w:t>®</w:t>
      </w:r>
      <w:r w:rsidR="004C457B" w:rsidRPr="00611F34">
        <w:rPr>
          <w:rFonts w:ascii="Arial" w:hAnsi="Arial" w:cs="Arial"/>
          <w:sz w:val="20"/>
          <w:szCs w:val="20"/>
          <w:lang w:val="en-AU"/>
        </w:rPr>
        <w:t xml:space="preserve"> is a registered trademark of Amylin Pharmaceuticals, Inc. and is used under licence by Eli Lilly Australia Pty Limited and Eli Lilly and Company (NZ) Limited.</w:t>
      </w:r>
    </w:p>
    <w:sectPr w:rsidR="00323C73" w:rsidRPr="00611F34" w:rsidSect="00326799">
      <w:type w:val="continuous"/>
      <w:pgSz w:w="11906" w:h="16838" w:code="9"/>
      <w:pgMar w:top="1170" w:right="1274" w:bottom="709" w:left="1276" w:header="720" w:footer="5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6C6" w:rsidRDefault="000E46C6">
      <w:r>
        <w:separator/>
      </w:r>
    </w:p>
  </w:endnote>
  <w:endnote w:type="continuationSeparator" w:id="0">
    <w:p w:rsidR="000E46C6" w:rsidRDefault="000E4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12" w:rsidRDefault="001A08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6C6" w:rsidRDefault="000E46C6" w:rsidP="006276ED">
    <w:pPr>
      <w:pStyle w:val="Footer"/>
      <w:tabs>
        <w:tab w:val="left" w:pos="975"/>
        <w:tab w:val="left" w:pos="8100"/>
      </w:tabs>
    </w:pPr>
    <w:r>
      <w:rPr>
        <w:rFonts w:ascii="Arial" w:hAnsi="Arial" w:cs="Arial"/>
        <w:sz w:val="18"/>
        <w:szCs w:val="18"/>
      </w:rPr>
      <w:t>BYDUREON PI_</w:t>
    </w:r>
    <w:r w:rsidR="00266EA3">
      <w:rPr>
        <w:rFonts w:ascii="Arial" w:hAnsi="Arial" w:cs="Arial"/>
        <w:sz w:val="18"/>
        <w:szCs w:val="18"/>
      </w:rPr>
      <w:t>v</w:t>
    </w:r>
    <w:r w:rsidR="0006444E">
      <w:rPr>
        <w:rFonts w:ascii="Arial" w:hAnsi="Arial" w:cs="Arial"/>
        <w:sz w:val="18"/>
        <w:szCs w:val="18"/>
      </w:rPr>
      <w:t>1.0</w:t>
    </w:r>
    <w:r>
      <w:rPr>
        <w:rFonts w:ascii="Arial" w:hAnsi="Arial" w:cs="Arial"/>
        <w:sz w:val="18"/>
        <w:szCs w:val="18"/>
      </w:rPr>
      <w:t>_</w:t>
    </w:r>
    <w:r w:rsidR="0006444E">
      <w:rPr>
        <w:rFonts w:ascii="Arial" w:hAnsi="Arial" w:cs="Arial"/>
        <w:sz w:val="18"/>
        <w:szCs w:val="18"/>
      </w:rPr>
      <w:t>06Dec</w:t>
    </w:r>
    <w:r>
      <w:rPr>
        <w:rFonts w:ascii="Arial" w:hAnsi="Arial" w:cs="Arial"/>
        <w:sz w:val="18"/>
        <w:szCs w:val="18"/>
      </w:rPr>
      <w:t>t12</w:t>
    </w:r>
    <w:r>
      <w:rPr>
        <w:rFonts w:ascii="Arial" w:hAnsi="Arial" w:cs="Arial"/>
        <w:sz w:val="18"/>
        <w:szCs w:val="18"/>
      </w:rPr>
      <w:tab/>
    </w:r>
    <w:r>
      <w:rPr>
        <w:rFonts w:ascii="Arial" w:hAnsi="Arial" w:cs="Arial"/>
        <w:sz w:val="18"/>
        <w:szCs w:val="18"/>
      </w:rPr>
      <w:tab/>
    </w:r>
    <w:r w:rsidRPr="006276ED">
      <w:rPr>
        <w:rFonts w:ascii="Arial" w:hAnsi="Arial" w:cs="Arial"/>
        <w:sz w:val="18"/>
        <w:szCs w:val="18"/>
      </w:rPr>
      <w:t xml:space="preserve">Page </w:t>
    </w:r>
    <w:r w:rsidR="00ED7CDF" w:rsidRPr="006276ED">
      <w:rPr>
        <w:rFonts w:ascii="Arial" w:hAnsi="Arial" w:cs="Arial"/>
        <w:sz w:val="18"/>
        <w:szCs w:val="18"/>
      </w:rPr>
      <w:fldChar w:fldCharType="begin"/>
    </w:r>
    <w:r w:rsidRPr="006276ED">
      <w:rPr>
        <w:rFonts w:ascii="Arial" w:hAnsi="Arial" w:cs="Arial"/>
        <w:sz w:val="18"/>
        <w:szCs w:val="18"/>
      </w:rPr>
      <w:instrText xml:space="preserve"> PAGE </w:instrText>
    </w:r>
    <w:r w:rsidR="00ED7CDF" w:rsidRPr="006276ED">
      <w:rPr>
        <w:rFonts w:ascii="Arial" w:hAnsi="Arial" w:cs="Arial"/>
        <w:sz w:val="18"/>
        <w:szCs w:val="18"/>
      </w:rPr>
      <w:fldChar w:fldCharType="separate"/>
    </w:r>
    <w:r w:rsidR="008A4D23">
      <w:rPr>
        <w:rFonts w:ascii="Arial" w:hAnsi="Arial" w:cs="Arial"/>
        <w:noProof/>
        <w:sz w:val="18"/>
        <w:szCs w:val="18"/>
      </w:rPr>
      <w:t>1</w:t>
    </w:r>
    <w:r w:rsidR="00ED7CDF" w:rsidRPr="006276ED">
      <w:rPr>
        <w:rFonts w:ascii="Arial" w:hAnsi="Arial" w:cs="Arial"/>
        <w:sz w:val="18"/>
        <w:szCs w:val="18"/>
      </w:rPr>
      <w:fldChar w:fldCharType="end"/>
    </w:r>
    <w:r w:rsidRPr="006276ED">
      <w:rPr>
        <w:rFonts w:ascii="Arial" w:hAnsi="Arial" w:cs="Arial"/>
        <w:sz w:val="18"/>
        <w:szCs w:val="18"/>
      </w:rPr>
      <w:t xml:space="preserve"> of </w:t>
    </w:r>
    <w:r w:rsidR="00ED7CDF" w:rsidRPr="006276ED">
      <w:rPr>
        <w:rFonts w:ascii="Arial" w:hAnsi="Arial" w:cs="Arial"/>
        <w:sz w:val="18"/>
        <w:szCs w:val="18"/>
      </w:rPr>
      <w:fldChar w:fldCharType="begin"/>
    </w:r>
    <w:r w:rsidRPr="006276ED">
      <w:rPr>
        <w:rFonts w:ascii="Arial" w:hAnsi="Arial" w:cs="Arial"/>
        <w:sz w:val="18"/>
        <w:szCs w:val="18"/>
      </w:rPr>
      <w:instrText xml:space="preserve"> NUMPAGES </w:instrText>
    </w:r>
    <w:r w:rsidR="00ED7CDF" w:rsidRPr="006276ED">
      <w:rPr>
        <w:rFonts w:ascii="Arial" w:hAnsi="Arial" w:cs="Arial"/>
        <w:sz w:val="18"/>
        <w:szCs w:val="18"/>
      </w:rPr>
      <w:fldChar w:fldCharType="separate"/>
    </w:r>
    <w:r w:rsidR="008A4D23">
      <w:rPr>
        <w:rFonts w:ascii="Arial" w:hAnsi="Arial" w:cs="Arial"/>
        <w:noProof/>
        <w:sz w:val="18"/>
        <w:szCs w:val="18"/>
      </w:rPr>
      <w:t>21</w:t>
    </w:r>
    <w:r w:rsidR="00ED7CDF" w:rsidRPr="006276ED">
      <w:rPr>
        <w:rFonts w:ascii="Arial" w:hAnsi="Arial" w:cs="Arial"/>
        <w:sz w:val="18"/>
        <w:szCs w:val="18"/>
      </w:rPr>
      <w:fldChar w:fldCharType="end"/>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12" w:rsidRDefault="001A08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6C6" w:rsidRDefault="000E46C6">
      <w:r>
        <w:separator/>
      </w:r>
    </w:p>
  </w:footnote>
  <w:footnote w:type="continuationSeparator" w:id="0">
    <w:p w:rsidR="000E46C6" w:rsidRDefault="000E4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12" w:rsidRDefault="001A08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shd w:val="clear" w:color="auto" w:fill="E4F2E0"/>
      <w:tblLook w:val="04A0"/>
    </w:tblPr>
    <w:tblGrid>
      <w:gridCol w:w="8720"/>
    </w:tblGrid>
    <w:tr w:rsidR="001A0812" w:rsidTr="004A084D">
      <w:tc>
        <w:tcPr>
          <w:tcW w:w="8720" w:type="dxa"/>
          <w:shd w:val="clear" w:color="auto" w:fill="E4F2E0"/>
        </w:tcPr>
        <w:p w:rsidR="001A0812" w:rsidRPr="00D361CA" w:rsidRDefault="001A0812" w:rsidP="004A084D">
          <w:pPr>
            <w:spacing w:before="40" w:after="40"/>
            <w:rPr>
              <w:b/>
              <w:sz w:val="20"/>
              <w:szCs w:val="20"/>
            </w:rPr>
          </w:pPr>
          <w:r w:rsidRPr="00D361CA">
            <w:rPr>
              <w:b/>
              <w:sz w:val="20"/>
              <w:szCs w:val="20"/>
            </w:rPr>
            <w:t xml:space="preserve">Attachment 1: Product information for </w:t>
          </w:r>
          <w:proofErr w:type="spellStart"/>
          <w:r w:rsidRPr="001739BA">
            <w:rPr>
              <w:b/>
              <w:sz w:val="20"/>
              <w:szCs w:val="20"/>
            </w:rPr>
            <w:t>AusPAR</w:t>
          </w:r>
          <w:proofErr w:type="spellEnd"/>
          <w:r w:rsidRPr="001739BA">
            <w:rPr>
              <w:b/>
              <w:sz w:val="20"/>
              <w:szCs w:val="20"/>
            </w:rPr>
            <w:t xml:space="preserve"> </w:t>
          </w:r>
          <w:proofErr w:type="spellStart"/>
          <w:r w:rsidRPr="001739BA">
            <w:rPr>
              <w:b/>
              <w:sz w:val="20"/>
              <w:szCs w:val="20"/>
            </w:rPr>
            <w:t>Byetta</w:t>
          </w:r>
          <w:proofErr w:type="spellEnd"/>
          <w:r w:rsidRPr="001739BA">
            <w:rPr>
              <w:b/>
              <w:sz w:val="20"/>
              <w:szCs w:val="20"/>
            </w:rPr>
            <w:t xml:space="preserve"> and </w:t>
          </w:r>
          <w:proofErr w:type="spellStart"/>
          <w:r w:rsidRPr="001739BA">
            <w:rPr>
              <w:b/>
              <w:sz w:val="20"/>
              <w:szCs w:val="20"/>
            </w:rPr>
            <w:t>Bydureon</w:t>
          </w:r>
          <w:proofErr w:type="spellEnd"/>
          <w:r w:rsidRPr="001739BA">
            <w:rPr>
              <w:b/>
              <w:sz w:val="20"/>
              <w:szCs w:val="20"/>
            </w:rPr>
            <w:t xml:space="preserve"> </w:t>
          </w:r>
          <w:proofErr w:type="spellStart"/>
          <w:r w:rsidRPr="001739BA">
            <w:rPr>
              <w:b/>
              <w:sz w:val="20"/>
              <w:szCs w:val="20"/>
            </w:rPr>
            <w:t>Exenatide</w:t>
          </w:r>
          <w:proofErr w:type="spellEnd"/>
          <w:r w:rsidRPr="001739BA">
            <w:rPr>
              <w:b/>
              <w:sz w:val="20"/>
              <w:szCs w:val="20"/>
            </w:rPr>
            <w:t xml:space="preserve"> Eli Lilly Australia Pty Ltd PM-2010-02389-3-5 Final 5 February 2013</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rsidR="001A0812" w:rsidRDefault="001A08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12" w:rsidRDefault="001A08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024254"/>
    <w:lvl w:ilvl="0">
      <w:start w:val="1"/>
      <w:numFmt w:val="decimal"/>
      <w:pStyle w:val="ListNumber3"/>
      <w:lvlText w:val="%1."/>
      <w:lvlJc w:val="left"/>
      <w:pPr>
        <w:tabs>
          <w:tab w:val="num" w:pos="926"/>
        </w:tabs>
        <w:ind w:left="926" w:hanging="360"/>
      </w:pPr>
    </w:lvl>
  </w:abstractNum>
  <w:abstractNum w:abstractNumId="1">
    <w:nsid w:val="162A765D"/>
    <w:multiLevelType w:val="hybridMultilevel"/>
    <w:tmpl w:val="2D047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8FA5675"/>
    <w:multiLevelType w:val="multilevel"/>
    <w:tmpl w:val="F740FDF2"/>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B7F056A"/>
    <w:multiLevelType w:val="hybridMultilevel"/>
    <w:tmpl w:val="476447E2"/>
    <w:lvl w:ilvl="0" w:tplc="71CCF8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1A2F86"/>
    <w:multiLevelType w:val="hybridMultilevel"/>
    <w:tmpl w:val="CD8AB972"/>
    <w:lvl w:ilvl="0" w:tplc="7CF2D324">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nsid w:val="37C012A9"/>
    <w:multiLevelType w:val="multilevel"/>
    <w:tmpl w:val="1E5E7C04"/>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EA506F7"/>
    <w:multiLevelType w:val="hybridMultilevel"/>
    <w:tmpl w:val="BD12FC48"/>
    <w:lvl w:ilvl="0" w:tplc="97EE02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3178FF"/>
    <w:multiLevelType w:val="hybridMultilevel"/>
    <w:tmpl w:val="67103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840E11"/>
    <w:multiLevelType w:val="hybridMultilevel"/>
    <w:tmpl w:val="735C2312"/>
    <w:lvl w:ilvl="0" w:tplc="2C5ABFD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3AE1EB9"/>
    <w:multiLevelType w:val="hybridMultilevel"/>
    <w:tmpl w:val="7BE8D8AC"/>
    <w:lvl w:ilvl="0" w:tplc="AA724402">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9644420"/>
    <w:multiLevelType w:val="hybridMultilevel"/>
    <w:tmpl w:val="9F4CB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F15B05"/>
    <w:multiLevelType w:val="hybridMultilevel"/>
    <w:tmpl w:val="3402C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83289B"/>
    <w:multiLevelType w:val="hybridMultilevel"/>
    <w:tmpl w:val="ECF4F252"/>
    <w:lvl w:ilvl="0" w:tplc="F08020FC">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5"/>
  </w:num>
  <w:num w:numId="5">
    <w:abstractNumId w:val="0"/>
  </w:num>
  <w:num w:numId="6">
    <w:abstractNumId w:val="6"/>
  </w:num>
  <w:num w:numId="7">
    <w:abstractNumId w:val="1"/>
  </w:num>
  <w:num w:numId="8">
    <w:abstractNumId w:val="3"/>
  </w:num>
  <w:num w:numId="9">
    <w:abstractNumId w:val="4"/>
  </w:num>
  <w:num w:numId="10">
    <w:abstractNumId w:val="8"/>
  </w:num>
  <w:num w:numId="11">
    <w:abstractNumId w:val="9"/>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505" fillcolor="white" stroke="f">
      <v:fill color="white"/>
      <v:stroke on="f"/>
    </o:shapedefaults>
  </w:hdrShapeDefaults>
  <w:footnotePr>
    <w:footnote w:id="-1"/>
    <w:footnote w:id="0"/>
  </w:footnotePr>
  <w:endnotePr>
    <w:endnote w:id="-1"/>
    <w:endnote w:id="0"/>
  </w:endnotePr>
  <w:compat/>
  <w:rsids>
    <w:rsidRoot w:val="00A82A10"/>
    <w:rsid w:val="000014A1"/>
    <w:rsid w:val="0000560A"/>
    <w:rsid w:val="0000588F"/>
    <w:rsid w:val="00006056"/>
    <w:rsid w:val="00007A78"/>
    <w:rsid w:val="0001095F"/>
    <w:rsid w:val="00014273"/>
    <w:rsid w:val="00015D7B"/>
    <w:rsid w:val="000179C0"/>
    <w:rsid w:val="00020FD4"/>
    <w:rsid w:val="00022140"/>
    <w:rsid w:val="000224A4"/>
    <w:rsid w:val="0002291A"/>
    <w:rsid w:val="00022AAF"/>
    <w:rsid w:val="000234BB"/>
    <w:rsid w:val="000240AB"/>
    <w:rsid w:val="00025BFD"/>
    <w:rsid w:val="00026FD6"/>
    <w:rsid w:val="00030C87"/>
    <w:rsid w:val="00035109"/>
    <w:rsid w:val="00040FD5"/>
    <w:rsid w:val="00041127"/>
    <w:rsid w:val="00042189"/>
    <w:rsid w:val="0004327E"/>
    <w:rsid w:val="00043E31"/>
    <w:rsid w:val="000474C4"/>
    <w:rsid w:val="00051801"/>
    <w:rsid w:val="00053BBF"/>
    <w:rsid w:val="00057FF1"/>
    <w:rsid w:val="00061A28"/>
    <w:rsid w:val="00061CAF"/>
    <w:rsid w:val="0006444E"/>
    <w:rsid w:val="00065A6F"/>
    <w:rsid w:val="00067BE6"/>
    <w:rsid w:val="00070F97"/>
    <w:rsid w:val="000712F5"/>
    <w:rsid w:val="00071E5B"/>
    <w:rsid w:val="00076306"/>
    <w:rsid w:val="000818CB"/>
    <w:rsid w:val="000838D7"/>
    <w:rsid w:val="000840C8"/>
    <w:rsid w:val="000843D5"/>
    <w:rsid w:val="00087056"/>
    <w:rsid w:val="000913EE"/>
    <w:rsid w:val="000916D6"/>
    <w:rsid w:val="00093852"/>
    <w:rsid w:val="000947B2"/>
    <w:rsid w:val="0009510C"/>
    <w:rsid w:val="00095788"/>
    <w:rsid w:val="000A35E3"/>
    <w:rsid w:val="000A5314"/>
    <w:rsid w:val="000B0BFD"/>
    <w:rsid w:val="000B1BD0"/>
    <w:rsid w:val="000B43E5"/>
    <w:rsid w:val="000B47E0"/>
    <w:rsid w:val="000B6520"/>
    <w:rsid w:val="000B74FE"/>
    <w:rsid w:val="000C6DEE"/>
    <w:rsid w:val="000C78CD"/>
    <w:rsid w:val="000D11B2"/>
    <w:rsid w:val="000D1732"/>
    <w:rsid w:val="000D18AD"/>
    <w:rsid w:val="000D3C1F"/>
    <w:rsid w:val="000D4464"/>
    <w:rsid w:val="000D4C03"/>
    <w:rsid w:val="000D4ECE"/>
    <w:rsid w:val="000D6201"/>
    <w:rsid w:val="000D75DC"/>
    <w:rsid w:val="000E1021"/>
    <w:rsid w:val="000E2AE0"/>
    <w:rsid w:val="000E46C6"/>
    <w:rsid w:val="000E527A"/>
    <w:rsid w:val="000E5EA9"/>
    <w:rsid w:val="000F106A"/>
    <w:rsid w:val="000F1251"/>
    <w:rsid w:val="000F1B78"/>
    <w:rsid w:val="000F3EBF"/>
    <w:rsid w:val="000F6A04"/>
    <w:rsid w:val="0010053A"/>
    <w:rsid w:val="001006EB"/>
    <w:rsid w:val="001011EE"/>
    <w:rsid w:val="00102069"/>
    <w:rsid w:val="00102BAC"/>
    <w:rsid w:val="00102CC8"/>
    <w:rsid w:val="00105CE0"/>
    <w:rsid w:val="00107F95"/>
    <w:rsid w:val="00110013"/>
    <w:rsid w:val="00111A50"/>
    <w:rsid w:val="00113C45"/>
    <w:rsid w:val="00114721"/>
    <w:rsid w:val="00114A9F"/>
    <w:rsid w:val="00116A8E"/>
    <w:rsid w:val="001170BD"/>
    <w:rsid w:val="00117FA3"/>
    <w:rsid w:val="00121789"/>
    <w:rsid w:val="00123CE3"/>
    <w:rsid w:val="0012615A"/>
    <w:rsid w:val="0013076F"/>
    <w:rsid w:val="0013144A"/>
    <w:rsid w:val="00137AB7"/>
    <w:rsid w:val="00140DF4"/>
    <w:rsid w:val="0014661E"/>
    <w:rsid w:val="00150E9E"/>
    <w:rsid w:val="001533BC"/>
    <w:rsid w:val="00153525"/>
    <w:rsid w:val="001564B0"/>
    <w:rsid w:val="00161F07"/>
    <w:rsid w:val="00165179"/>
    <w:rsid w:val="0016601A"/>
    <w:rsid w:val="00166115"/>
    <w:rsid w:val="00170ADE"/>
    <w:rsid w:val="00172753"/>
    <w:rsid w:val="00174A04"/>
    <w:rsid w:val="0017503C"/>
    <w:rsid w:val="00175A1A"/>
    <w:rsid w:val="0017683C"/>
    <w:rsid w:val="00177B69"/>
    <w:rsid w:val="00180B8A"/>
    <w:rsid w:val="001814B7"/>
    <w:rsid w:val="001827FF"/>
    <w:rsid w:val="00183CB5"/>
    <w:rsid w:val="00193FC3"/>
    <w:rsid w:val="0019630D"/>
    <w:rsid w:val="0019697C"/>
    <w:rsid w:val="001976E3"/>
    <w:rsid w:val="001A0812"/>
    <w:rsid w:val="001B0A82"/>
    <w:rsid w:val="001B136D"/>
    <w:rsid w:val="001B166B"/>
    <w:rsid w:val="001B3790"/>
    <w:rsid w:val="001B4E7C"/>
    <w:rsid w:val="001B5011"/>
    <w:rsid w:val="001C08CB"/>
    <w:rsid w:val="001C1DF9"/>
    <w:rsid w:val="001C4D5A"/>
    <w:rsid w:val="001C6BF9"/>
    <w:rsid w:val="001C6FB3"/>
    <w:rsid w:val="001C75DB"/>
    <w:rsid w:val="001E1989"/>
    <w:rsid w:val="001E3103"/>
    <w:rsid w:val="001E6912"/>
    <w:rsid w:val="001F101F"/>
    <w:rsid w:val="001F3379"/>
    <w:rsid w:val="001F3935"/>
    <w:rsid w:val="001F43B6"/>
    <w:rsid w:val="001F51F7"/>
    <w:rsid w:val="001F5ED0"/>
    <w:rsid w:val="002037E0"/>
    <w:rsid w:val="00203CA7"/>
    <w:rsid w:val="002046B4"/>
    <w:rsid w:val="0020519B"/>
    <w:rsid w:val="002054EB"/>
    <w:rsid w:val="00205593"/>
    <w:rsid w:val="00205A40"/>
    <w:rsid w:val="0020672E"/>
    <w:rsid w:val="0020672F"/>
    <w:rsid w:val="002075CB"/>
    <w:rsid w:val="00210CE7"/>
    <w:rsid w:val="00213C5B"/>
    <w:rsid w:val="00215182"/>
    <w:rsid w:val="00215835"/>
    <w:rsid w:val="002161D5"/>
    <w:rsid w:val="00217E21"/>
    <w:rsid w:val="00221E3A"/>
    <w:rsid w:val="00227C0B"/>
    <w:rsid w:val="0023671A"/>
    <w:rsid w:val="00240962"/>
    <w:rsid w:val="00240F8B"/>
    <w:rsid w:val="002457D5"/>
    <w:rsid w:val="00247B2B"/>
    <w:rsid w:val="00250834"/>
    <w:rsid w:val="00252A27"/>
    <w:rsid w:val="002534D2"/>
    <w:rsid w:val="002550D6"/>
    <w:rsid w:val="00257B1F"/>
    <w:rsid w:val="00261572"/>
    <w:rsid w:val="00263CD0"/>
    <w:rsid w:val="002645B1"/>
    <w:rsid w:val="002650AE"/>
    <w:rsid w:val="00266EA3"/>
    <w:rsid w:val="0027244C"/>
    <w:rsid w:val="002744E2"/>
    <w:rsid w:val="00281A59"/>
    <w:rsid w:val="0028401B"/>
    <w:rsid w:val="00285A84"/>
    <w:rsid w:val="00286009"/>
    <w:rsid w:val="002915A8"/>
    <w:rsid w:val="002942B7"/>
    <w:rsid w:val="00294A77"/>
    <w:rsid w:val="002A10BC"/>
    <w:rsid w:val="002A19AE"/>
    <w:rsid w:val="002A1ECE"/>
    <w:rsid w:val="002A308C"/>
    <w:rsid w:val="002A3FD0"/>
    <w:rsid w:val="002A65DB"/>
    <w:rsid w:val="002A6A4A"/>
    <w:rsid w:val="002B115A"/>
    <w:rsid w:val="002B76C7"/>
    <w:rsid w:val="002C0C87"/>
    <w:rsid w:val="002C0EED"/>
    <w:rsid w:val="002C1A4C"/>
    <w:rsid w:val="002C4B0E"/>
    <w:rsid w:val="002C53B8"/>
    <w:rsid w:val="002C79C3"/>
    <w:rsid w:val="002D0AC3"/>
    <w:rsid w:val="002D1B4E"/>
    <w:rsid w:val="002D237F"/>
    <w:rsid w:val="002D33F4"/>
    <w:rsid w:val="002D3F75"/>
    <w:rsid w:val="002D57CB"/>
    <w:rsid w:val="002D5EF8"/>
    <w:rsid w:val="002E063D"/>
    <w:rsid w:val="002E100C"/>
    <w:rsid w:val="002E1E13"/>
    <w:rsid w:val="002E4571"/>
    <w:rsid w:val="002E6EAC"/>
    <w:rsid w:val="002F04A9"/>
    <w:rsid w:val="002F1070"/>
    <w:rsid w:val="002F2A88"/>
    <w:rsid w:val="002F54FB"/>
    <w:rsid w:val="00304931"/>
    <w:rsid w:val="00307651"/>
    <w:rsid w:val="00310571"/>
    <w:rsid w:val="00311174"/>
    <w:rsid w:val="00313099"/>
    <w:rsid w:val="00316671"/>
    <w:rsid w:val="003171BC"/>
    <w:rsid w:val="00320A0D"/>
    <w:rsid w:val="00321FB0"/>
    <w:rsid w:val="003230DC"/>
    <w:rsid w:val="00323C73"/>
    <w:rsid w:val="00323CE5"/>
    <w:rsid w:val="00325AB4"/>
    <w:rsid w:val="00326799"/>
    <w:rsid w:val="00326BE0"/>
    <w:rsid w:val="00330A2E"/>
    <w:rsid w:val="00331078"/>
    <w:rsid w:val="00331340"/>
    <w:rsid w:val="003323DE"/>
    <w:rsid w:val="003331D6"/>
    <w:rsid w:val="00333808"/>
    <w:rsid w:val="003345D5"/>
    <w:rsid w:val="003354D3"/>
    <w:rsid w:val="00337B1C"/>
    <w:rsid w:val="003409C2"/>
    <w:rsid w:val="00340DD8"/>
    <w:rsid w:val="00343575"/>
    <w:rsid w:val="00345BA2"/>
    <w:rsid w:val="0035047F"/>
    <w:rsid w:val="0035177C"/>
    <w:rsid w:val="003522A5"/>
    <w:rsid w:val="00352A71"/>
    <w:rsid w:val="00352BC1"/>
    <w:rsid w:val="0035376B"/>
    <w:rsid w:val="00353832"/>
    <w:rsid w:val="00360606"/>
    <w:rsid w:val="00360E84"/>
    <w:rsid w:val="00361099"/>
    <w:rsid w:val="003616CC"/>
    <w:rsid w:val="00363265"/>
    <w:rsid w:val="003649ED"/>
    <w:rsid w:val="00367DBD"/>
    <w:rsid w:val="003725EB"/>
    <w:rsid w:val="003732EC"/>
    <w:rsid w:val="00373329"/>
    <w:rsid w:val="00375CE2"/>
    <w:rsid w:val="00375E73"/>
    <w:rsid w:val="00376062"/>
    <w:rsid w:val="00376377"/>
    <w:rsid w:val="003772DE"/>
    <w:rsid w:val="0037785B"/>
    <w:rsid w:val="00385E27"/>
    <w:rsid w:val="00387403"/>
    <w:rsid w:val="00387E3F"/>
    <w:rsid w:val="00391827"/>
    <w:rsid w:val="003944A0"/>
    <w:rsid w:val="00394768"/>
    <w:rsid w:val="0039528F"/>
    <w:rsid w:val="00397120"/>
    <w:rsid w:val="00397286"/>
    <w:rsid w:val="003A052F"/>
    <w:rsid w:val="003A13F2"/>
    <w:rsid w:val="003A1F16"/>
    <w:rsid w:val="003A6068"/>
    <w:rsid w:val="003A6A1A"/>
    <w:rsid w:val="003A7159"/>
    <w:rsid w:val="003A781E"/>
    <w:rsid w:val="003B02A2"/>
    <w:rsid w:val="003B06F8"/>
    <w:rsid w:val="003B1FF1"/>
    <w:rsid w:val="003B302C"/>
    <w:rsid w:val="003B3BD1"/>
    <w:rsid w:val="003B5DAC"/>
    <w:rsid w:val="003C2A6B"/>
    <w:rsid w:val="003D1C4E"/>
    <w:rsid w:val="003D45FB"/>
    <w:rsid w:val="003D763E"/>
    <w:rsid w:val="003D7B1C"/>
    <w:rsid w:val="003E0921"/>
    <w:rsid w:val="003E4742"/>
    <w:rsid w:val="003E4B33"/>
    <w:rsid w:val="003E5549"/>
    <w:rsid w:val="003E7F13"/>
    <w:rsid w:val="003F0C4D"/>
    <w:rsid w:val="003F108B"/>
    <w:rsid w:val="003F3AC2"/>
    <w:rsid w:val="003F760C"/>
    <w:rsid w:val="00400C0F"/>
    <w:rsid w:val="004032B0"/>
    <w:rsid w:val="00403B0E"/>
    <w:rsid w:val="004049ED"/>
    <w:rsid w:val="004057D4"/>
    <w:rsid w:val="00410398"/>
    <w:rsid w:val="004122E1"/>
    <w:rsid w:val="00413099"/>
    <w:rsid w:val="00413674"/>
    <w:rsid w:val="0041421F"/>
    <w:rsid w:val="004151DA"/>
    <w:rsid w:val="00416744"/>
    <w:rsid w:val="00421E57"/>
    <w:rsid w:val="004246FA"/>
    <w:rsid w:val="0043005B"/>
    <w:rsid w:val="00430EA1"/>
    <w:rsid w:val="00431DF9"/>
    <w:rsid w:val="00432D8F"/>
    <w:rsid w:val="00433CA1"/>
    <w:rsid w:val="00434BD1"/>
    <w:rsid w:val="004356F9"/>
    <w:rsid w:val="004376FC"/>
    <w:rsid w:val="0044010D"/>
    <w:rsid w:val="00446462"/>
    <w:rsid w:val="004469FE"/>
    <w:rsid w:val="00447107"/>
    <w:rsid w:val="00447848"/>
    <w:rsid w:val="00447CAF"/>
    <w:rsid w:val="00451F43"/>
    <w:rsid w:val="00456370"/>
    <w:rsid w:val="00457511"/>
    <w:rsid w:val="004577E9"/>
    <w:rsid w:val="00457F69"/>
    <w:rsid w:val="0046000D"/>
    <w:rsid w:val="0046248E"/>
    <w:rsid w:val="004661CD"/>
    <w:rsid w:val="00470451"/>
    <w:rsid w:val="004724BC"/>
    <w:rsid w:val="00472681"/>
    <w:rsid w:val="00474CA9"/>
    <w:rsid w:val="00475FBC"/>
    <w:rsid w:val="00481362"/>
    <w:rsid w:val="004863CB"/>
    <w:rsid w:val="00486461"/>
    <w:rsid w:val="00491EB0"/>
    <w:rsid w:val="00494124"/>
    <w:rsid w:val="00494805"/>
    <w:rsid w:val="00494BDE"/>
    <w:rsid w:val="00496D5D"/>
    <w:rsid w:val="004A6919"/>
    <w:rsid w:val="004A6DC0"/>
    <w:rsid w:val="004A7116"/>
    <w:rsid w:val="004A7DE9"/>
    <w:rsid w:val="004B1989"/>
    <w:rsid w:val="004B2D9E"/>
    <w:rsid w:val="004B324F"/>
    <w:rsid w:val="004B3B88"/>
    <w:rsid w:val="004B483B"/>
    <w:rsid w:val="004C01D4"/>
    <w:rsid w:val="004C0492"/>
    <w:rsid w:val="004C2604"/>
    <w:rsid w:val="004C3835"/>
    <w:rsid w:val="004C457B"/>
    <w:rsid w:val="004C5EEF"/>
    <w:rsid w:val="004D1627"/>
    <w:rsid w:val="004D2B4C"/>
    <w:rsid w:val="004D2DA6"/>
    <w:rsid w:val="004D352F"/>
    <w:rsid w:val="004D39E4"/>
    <w:rsid w:val="004D3C83"/>
    <w:rsid w:val="004D48DF"/>
    <w:rsid w:val="004D4AF4"/>
    <w:rsid w:val="004E2E6B"/>
    <w:rsid w:val="004E2E78"/>
    <w:rsid w:val="004E3467"/>
    <w:rsid w:val="004E6494"/>
    <w:rsid w:val="004F4EF8"/>
    <w:rsid w:val="0050402D"/>
    <w:rsid w:val="0050583C"/>
    <w:rsid w:val="005068BD"/>
    <w:rsid w:val="0050742A"/>
    <w:rsid w:val="00507E1E"/>
    <w:rsid w:val="00510CD9"/>
    <w:rsid w:val="0051151C"/>
    <w:rsid w:val="00512E74"/>
    <w:rsid w:val="0051488F"/>
    <w:rsid w:val="005154ED"/>
    <w:rsid w:val="00520BDD"/>
    <w:rsid w:val="00521557"/>
    <w:rsid w:val="00521616"/>
    <w:rsid w:val="00522643"/>
    <w:rsid w:val="00523DE2"/>
    <w:rsid w:val="00525299"/>
    <w:rsid w:val="00525FFC"/>
    <w:rsid w:val="00526550"/>
    <w:rsid w:val="005267DD"/>
    <w:rsid w:val="00533C3A"/>
    <w:rsid w:val="0053778B"/>
    <w:rsid w:val="005379D1"/>
    <w:rsid w:val="00540F29"/>
    <w:rsid w:val="00546916"/>
    <w:rsid w:val="0054731F"/>
    <w:rsid w:val="00550156"/>
    <w:rsid w:val="0055141E"/>
    <w:rsid w:val="005573F8"/>
    <w:rsid w:val="00561FA5"/>
    <w:rsid w:val="00562D3C"/>
    <w:rsid w:val="005662E0"/>
    <w:rsid w:val="0057184F"/>
    <w:rsid w:val="00574B9C"/>
    <w:rsid w:val="00574C24"/>
    <w:rsid w:val="0058329E"/>
    <w:rsid w:val="005834C3"/>
    <w:rsid w:val="0058635D"/>
    <w:rsid w:val="00590234"/>
    <w:rsid w:val="00590DA3"/>
    <w:rsid w:val="00590DFA"/>
    <w:rsid w:val="0059221F"/>
    <w:rsid w:val="00593D34"/>
    <w:rsid w:val="005A19D8"/>
    <w:rsid w:val="005A2D3E"/>
    <w:rsid w:val="005A4CDF"/>
    <w:rsid w:val="005A671C"/>
    <w:rsid w:val="005A700F"/>
    <w:rsid w:val="005B01A2"/>
    <w:rsid w:val="005B296D"/>
    <w:rsid w:val="005C4C81"/>
    <w:rsid w:val="005C5C2B"/>
    <w:rsid w:val="005D2FD2"/>
    <w:rsid w:val="005D305C"/>
    <w:rsid w:val="005D326D"/>
    <w:rsid w:val="005D6398"/>
    <w:rsid w:val="005D7E4B"/>
    <w:rsid w:val="005E0EC7"/>
    <w:rsid w:val="005E1271"/>
    <w:rsid w:val="005E7C79"/>
    <w:rsid w:val="005F21C2"/>
    <w:rsid w:val="005F29C5"/>
    <w:rsid w:val="005F4FF6"/>
    <w:rsid w:val="00601230"/>
    <w:rsid w:val="00603E4D"/>
    <w:rsid w:val="00604829"/>
    <w:rsid w:val="00604C8F"/>
    <w:rsid w:val="00605584"/>
    <w:rsid w:val="00606462"/>
    <w:rsid w:val="00606801"/>
    <w:rsid w:val="00611F34"/>
    <w:rsid w:val="00613237"/>
    <w:rsid w:val="006159C0"/>
    <w:rsid w:val="00616B7D"/>
    <w:rsid w:val="00617EFF"/>
    <w:rsid w:val="0062213D"/>
    <w:rsid w:val="00624930"/>
    <w:rsid w:val="0062494B"/>
    <w:rsid w:val="0062507A"/>
    <w:rsid w:val="0062522E"/>
    <w:rsid w:val="00625A40"/>
    <w:rsid w:val="006263A0"/>
    <w:rsid w:val="00626742"/>
    <w:rsid w:val="006276ED"/>
    <w:rsid w:val="006311C5"/>
    <w:rsid w:val="006336EE"/>
    <w:rsid w:val="00634EC0"/>
    <w:rsid w:val="0063519B"/>
    <w:rsid w:val="00644A54"/>
    <w:rsid w:val="006479F2"/>
    <w:rsid w:val="00647CCA"/>
    <w:rsid w:val="00650F34"/>
    <w:rsid w:val="006522EC"/>
    <w:rsid w:val="00656383"/>
    <w:rsid w:val="006616D5"/>
    <w:rsid w:val="00661D5F"/>
    <w:rsid w:val="00661E84"/>
    <w:rsid w:val="0066208B"/>
    <w:rsid w:val="00664AA2"/>
    <w:rsid w:val="00667175"/>
    <w:rsid w:val="00670333"/>
    <w:rsid w:val="00670E1A"/>
    <w:rsid w:val="006722AD"/>
    <w:rsid w:val="00672B7B"/>
    <w:rsid w:val="00673A13"/>
    <w:rsid w:val="0067440D"/>
    <w:rsid w:val="006748E1"/>
    <w:rsid w:val="0067497E"/>
    <w:rsid w:val="00675735"/>
    <w:rsid w:val="00676275"/>
    <w:rsid w:val="00676795"/>
    <w:rsid w:val="00676A85"/>
    <w:rsid w:val="00677E7F"/>
    <w:rsid w:val="00682E35"/>
    <w:rsid w:val="006863A3"/>
    <w:rsid w:val="00690B5E"/>
    <w:rsid w:val="00690C35"/>
    <w:rsid w:val="00693757"/>
    <w:rsid w:val="0069770C"/>
    <w:rsid w:val="006A2077"/>
    <w:rsid w:val="006A3B53"/>
    <w:rsid w:val="006A3BB6"/>
    <w:rsid w:val="006A52E0"/>
    <w:rsid w:val="006A5D42"/>
    <w:rsid w:val="006A612A"/>
    <w:rsid w:val="006A6A6F"/>
    <w:rsid w:val="006A7AE3"/>
    <w:rsid w:val="006B2D1F"/>
    <w:rsid w:val="006B339E"/>
    <w:rsid w:val="006C0B20"/>
    <w:rsid w:val="006C3625"/>
    <w:rsid w:val="006D627E"/>
    <w:rsid w:val="006E2DE9"/>
    <w:rsid w:val="006E3173"/>
    <w:rsid w:val="006E6BAF"/>
    <w:rsid w:val="006E6F76"/>
    <w:rsid w:val="006E6FA3"/>
    <w:rsid w:val="006E71D1"/>
    <w:rsid w:val="006E76A6"/>
    <w:rsid w:val="006E7F5C"/>
    <w:rsid w:val="006F0E34"/>
    <w:rsid w:val="006F221F"/>
    <w:rsid w:val="006F2336"/>
    <w:rsid w:val="006F3BAF"/>
    <w:rsid w:val="00701845"/>
    <w:rsid w:val="00703009"/>
    <w:rsid w:val="0070397A"/>
    <w:rsid w:val="0070418C"/>
    <w:rsid w:val="0070497D"/>
    <w:rsid w:val="00704E2F"/>
    <w:rsid w:val="007063F8"/>
    <w:rsid w:val="00706E4E"/>
    <w:rsid w:val="00707253"/>
    <w:rsid w:val="007073CB"/>
    <w:rsid w:val="0071366D"/>
    <w:rsid w:val="007145D2"/>
    <w:rsid w:val="00722041"/>
    <w:rsid w:val="0072457D"/>
    <w:rsid w:val="00725364"/>
    <w:rsid w:val="0073392B"/>
    <w:rsid w:val="00735122"/>
    <w:rsid w:val="0073571D"/>
    <w:rsid w:val="00740399"/>
    <w:rsid w:val="00740768"/>
    <w:rsid w:val="007407F7"/>
    <w:rsid w:val="00741115"/>
    <w:rsid w:val="00741F0D"/>
    <w:rsid w:val="00744676"/>
    <w:rsid w:val="0074481A"/>
    <w:rsid w:val="00744AA3"/>
    <w:rsid w:val="00744D74"/>
    <w:rsid w:val="00746615"/>
    <w:rsid w:val="00747219"/>
    <w:rsid w:val="0075008E"/>
    <w:rsid w:val="00750775"/>
    <w:rsid w:val="0075111E"/>
    <w:rsid w:val="00751345"/>
    <w:rsid w:val="00751BC4"/>
    <w:rsid w:val="00752626"/>
    <w:rsid w:val="00752BB8"/>
    <w:rsid w:val="00753574"/>
    <w:rsid w:val="00753D4D"/>
    <w:rsid w:val="007573B9"/>
    <w:rsid w:val="00757AFA"/>
    <w:rsid w:val="00760CAD"/>
    <w:rsid w:val="0076137C"/>
    <w:rsid w:val="007630A2"/>
    <w:rsid w:val="007637DF"/>
    <w:rsid w:val="00764950"/>
    <w:rsid w:val="00767975"/>
    <w:rsid w:val="00771695"/>
    <w:rsid w:val="007743D9"/>
    <w:rsid w:val="00774866"/>
    <w:rsid w:val="00774922"/>
    <w:rsid w:val="00774DB2"/>
    <w:rsid w:val="00780F1E"/>
    <w:rsid w:val="00781793"/>
    <w:rsid w:val="00781C35"/>
    <w:rsid w:val="00785B91"/>
    <w:rsid w:val="00785BDD"/>
    <w:rsid w:val="00786B3B"/>
    <w:rsid w:val="00787B54"/>
    <w:rsid w:val="00793457"/>
    <w:rsid w:val="0079400A"/>
    <w:rsid w:val="0079450A"/>
    <w:rsid w:val="007950DE"/>
    <w:rsid w:val="007960F8"/>
    <w:rsid w:val="00796432"/>
    <w:rsid w:val="007A0FE9"/>
    <w:rsid w:val="007A1A33"/>
    <w:rsid w:val="007A613C"/>
    <w:rsid w:val="007A6F02"/>
    <w:rsid w:val="007A7BA9"/>
    <w:rsid w:val="007B232A"/>
    <w:rsid w:val="007B279C"/>
    <w:rsid w:val="007B324D"/>
    <w:rsid w:val="007B34D0"/>
    <w:rsid w:val="007B4115"/>
    <w:rsid w:val="007B5A7E"/>
    <w:rsid w:val="007B761B"/>
    <w:rsid w:val="007B7709"/>
    <w:rsid w:val="007C0B00"/>
    <w:rsid w:val="007C22F0"/>
    <w:rsid w:val="007C6EF7"/>
    <w:rsid w:val="007C79B5"/>
    <w:rsid w:val="007D1D88"/>
    <w:rsid w:val="007D2594"/>
    <w:rsid w:val="007D35E7"/>
    <w:rsid w:val="007D37AB"/>
    <w:rsid w:val="007D489F"/>
    <w:rsid w:val="007E0803"/>
    <w:rsid w:val="007E3974"/>
    <w:rsid w:val="007E3F60"/>
    <w:rsid w:val="007F0BA0"/>
    <w:rsid w:val="007F488D"/>
    <w:rsid w:val="007F4F8E"/>
    <w:rsid w:val="007F5A9C"/>
    <w:rsid w:val="007F5EA6"/>
    <w:rsid w:val="007F6CCB"/>
    <w:rsid w:val="007F7727"/>
    <w:rsid w:val="0080318C"/>
    <w:rsid w:val="00805954"/>
    <w:rsid w:val="00806F02"/>
    <w:rsid w:val="0081247A"/>
    <w:rsid w:val="00816522"/>
    <w:rsid w:val="00816E46"/>
    <w:rsid w:val="00821013"/>
    <w:rsid w:val="00833D3E"/>
    <w:rsid w:val="00837291"/>
    <w:rsid w:val="008378ED"/>
    <w:rsid w:val="00837AC5"/>
    <w:rsid w:val="0084098A"/>
    <w:rsid w:val="008434AA"/>
    <w:rsid w:val="00844D68"/>
    <w:rsid w:val="008524D7"/>
    <w:rsid w:val="008542A8"/>
    <w:rsid w:val="008576F0"/>
    <w:rsid w:val="00861936"/>
    <w:rsid w:val="0086503E"/>
    <w:rsid w:val="00866700"/>
    <w:rsid w:val="008669F8"/>
    <w:rsid w:val="0087112B"/>
    <w:rsid w:val="0087167C"/>
    <w:rsid w:val="0087443E"/>
    <w:rsid w:val="00880416"/>
    <w:rsid w:val="0088126D"/>
    <w:rsid w:val="00881BF7"/>
    <w:rsid w:val="00882F51"/>
    <w:rsid w:val="00883D17"/>
    <w:rsid w:val="008855BD"/>
    <w:rsid w:val="00893668"/>
    <w:rsid w:val="00893853"/>
    <w:rsid w:val="008942EC"/>
    <w:rsid w:val="0089590D"/>
    <w:rsid w:val="00896283"/>
    <w:rsid w:val="008A0C7D"/>
    <w:rsid w:val="008A4D23"/>
    <w:rsid w:val="008A70AA"/>
    <w:rsid w:val="008A75D5"/>
    <w:rsid w:val="008B0299"/>
    <w:rsid w:val="008B0CF5"/>
    <w:rsid w:val="008B4E76"/>
    <w:rsid w:val="008C0E6D"/>
    <w:rsid w:val="008C1C53"/>
    <w:rsid w:val="008C2D27"/>
    <w:rsid w:val="008C606D"/>
    <w:rsid w:val="008C7152"/>
    <w:rsid w:val="008C7CFF"/>
    <w:rsid w:val="008D0F79"/>
    <w:rsid w:val="008D0FB1"/>
    <w:rsid w:val="008D3758"/>
    <w:rsid w:val="008D53CC"/>
    <w:rsid w:val="008D55C6"/>
    <w:rsid w:val="008D726E"/>
    <w:rsid w:val="008E09A1"/>
    <w:rsid w:val="008E0CCC"/>
    <w:rsid w:val="008E16A5"/>
    <w:rsid w:val="008E1718"/>
    <w:rsid w:val="008E1DF9"/>
    <w:rsid w:val="008E6138"/>
    <w:rsid w:val="008F0A0D"/>
    <w:rsid w:val="008F0E84"/>
    <w:rsid w:val="008F272E"/>
    <w:rsid w:val="008F33D9"/>
    <w:rsid w:val="008F4D4D"/>
    <w:rsid w:val="00901E2C"/>
    <w:rsid w:val="00905B92"/>
    <w:rsid w:val="00905F42"/>
    <w:rsid w:val="00905F50"/>
    <w:rsid w:val="00916B0D"/>
    <w:rsid w:val="009200FA"/>
    <w:rsid w:val="0092106C"/>
    <w:rsid w:val="00923180"/>
    <w:rsid w:val="00927D9D"/>
    <w:rsid w:val="00930997"/>
    <w:rsid w:val="009340CC"/>
    <w:rsid w:val="009345FF"/>
    <w:rsid w:val="00936FA9"/>
    <w:rsid w:val="00937B57"/>
    <w:rsid w:val="00941B64"/>
    <w:rsid w:val="00942F66"/>
    <w:rsid w:val="00942FBF"/>
    <w:rsid w:val="00945BCE"/>
    <w:rsid w:val="00950C87"/>
    <w:rsid w:val="00952165"/>
    <w:rsid w:val="00955586"/>
    <w:rsid w:val="00960235"/>
    <w:rsid w:val="0096294F"/>
    <w:rsid w:val="00966186"/>
    <w:rsid w:val="009678B7"/>
    <w:rsid w:val="00967EED"/>
    <w:rsid w:val="00971510"/>
    <w:rsid w:val="00972212"/>
    <w:rsid w:val="0097225C"/>
    <w:rsid w:val="00972E85"/>
    <w:rsid w:val="00973A7D"/>
    <w:rsid w:val="009766CF"/>
    <w:rsid w:val="00981229"/>
    <w:rsid w:val="00983D31"/>
    <w:rsid w:val="009852EB"/>
    <w:rsid w:val="009875BC"/>
    <w:rsid w:val="0098791C"/>
    <w:rsid w:val="00987D01"/>
    <w:rsid w:val="00991F75"/>
    <w:rsid w:val="009924D3"/>
    <w:rsid w:val="0099442C"/>
    <w:rsid w:val="009959DA"/>
    <w:rsid w:val="00996499"/>
    <w:rsid w:val="009969F1"/>
    <w:rsid w:val="009A00B6"/>
    <w:rsid w:val="009A3536"/>
    <w:rsid w:val="009A3C31"/>
    <w:rsid w:val="009B0A2D"/>
    <w:rsid w:val="009B37EE"/>
    <w:rsid w:val="009B3F32"/>
    <w:rsid w:val="009B4D26"/>
    <w:rsid w:val="009B7256"/>
    <w:rsid w:val="009C0ACE"/>
    <w:rsid w:val="009C1112"/>
    <w:rsid w:val="009C11E8"/>
    <w:rsid w:val="009C2239"/>
    <w:rsid w:val="009C3965"/>
    <w:rsid w:val="009D586A"/>
    <w:rsid w:val="009D59E8"/>
    <w:rsid w:val="009D73BB"/>
    <w:rsid w:val="009E0FCC"/>
    <w:rsid w:val="009E3B6A"/>
    <w:rsid w:val="009E3EE3"/>
    <w:rsid w:val="009E6943"/>
    <w:rsid w:val="009F11D1"/>
    <w:rsid w:val="009F2547"/>
    <w:rsid w:val="009F2DF8"/>
    <w:rsid w:val="009F67A1"/>
    <w:rsid w:val="009F7492"/>
    <w:rsid w:val="00A030DD"/>
    <w:rsid w:val="00A0382D"/>
    <w:rsid w:val="00A06A5B"/>
    <w:rsid w:val="00A0796F"/>
    <w:rsid w:val="00A11D77"/>
    <w:rsid w:val="00A12383"/>
    <w:rsid w:val="00A15B85"/>
    <w:rsid w:val="00A202A1"/>
    <w:rsid w:val="00A26550"/>
    <w:rsid w:val="00A30574"/>
    <w:rsid w:val="00A32CBA"/>
    <w:rsid w:val="00A3348B"/>
    <w:rsid w:val="00A33633"/>
    <w:rsid w:val="00A34065"/>
    <w:rsid w:val="00A343A6"/>
    <w:rsid w:val="00A349D1"/>
    <w:rsid w:val="00A34CF1"/>
    <w:rsid w:val="00A35ACD"/>
    <w:rsid w:val="00A41E46"/>
    <w:rsid w:val="00A42855"/>
    <w:rsid w:val="00A45F90"/>
    <w:rsid w:val="00A4677E"/>
    <w:rsid w:val="00A50004"/>
    <w:rsid w:val="00A52AE1"/>
    <w:rsid w:val="00A54819"/>
    <w:rsid w:val="00A61E07"/>
    <w:rsid w:val="00A62B70"/>
    <w:rsid w:val="00A63019"/>
    <w:rsid w:val="00A63861"/>
    <w:rsid w:val="00A64FBE"/>
    <w:rsid w:val="00A656CC"/>
    <w:rsid w:val="00A65C36"/>
    <w:rsid w:val="00A66C07"/>
    <w:rsid w:val="00A72BA1"/>
    <w:rsid w:val="00A73A15"/>
    <w:rsid w:val="00A74170"/>
    <w:rsid w:val="00A76CFC"/>
    <w:rsid w:val="00A76E13"/>
    <w:rsid w:val="00A81C37"/>
    <w:rsid w:val="00A82A10"/>
    <w:rsid w:val="00A8526A"/>
    <w:rsid w:val="00A8722E"/>
    <w:rsid w:val="00A87FFA"/>
    <w:rsid w:val="00A947AE"/>
    <w:rsid w:val="00A9593D"/>
    <w:rsid w:val="00A95C93"/>
    <w:rsid w:val="00A96572"/>
    <w:rsid w:val="00A966E0"/>
    <w:rsid w:val="00A97851"/>
    <w:rsid w:val="00AA08C3"/>
    <w:rsid w:val="00AA0CAC"/>
    <w:rsid w:val="00AA14D8"/>
    <w:rsid w:val="00AA6EAE"/>
    <w:rsid w:val="00AA7BEB"/>
    <w:rsid w:val="00AB058D"/>
    <w:rsid w:val="00AB12D4"/>
    <w:rsid w:val="00AB15CF"/>
    <w:rsid w:val="00AC1B70"/>
    <w:rsid w:val="00AC2942"/>
    <w:rsid w:val="00AC2C0C"/>
    <w:rsid w:val="00AD0020"/>
    <w:rsid w:val="00AD3974"/>
    <w:rsid w:val="00AD421F"/>
    <w:rsid w:val="00AE0BAA"/>
    <w:rsid w:val="00AE1133"/>
    <w:rsid w:val="00AE645D"/>
    <w:rsid w:val="00AE663C"/>
    <w:rsid w:val="00AE7959"/>
    <w:rsid w:val="00AF276C"/>
    <w:rsid w:val="00AF50D5"/>
    <w:rsid w:val="00AF5FCC"/>
    <w:rsid w:val="00B02E19"/>
    <w:rsid w:val="00B05CA6"/>
    <w:rsid w:val="00B072A1"/>
    <w:rsid w:val="00B075FC"/>
    <w:rsid w:val="00B108B8"/>
    <w:rsid w:val="00B1632F"/>
    <w:rsid w:val="00B16471"/>
    <w:rsid w:val="00B17EB0"/>
    <w:rsid w:val="00B200F5"/>
    <w:rsid w:val="00B2067B"/>
    <w:rsid w:val="00B21870"/>
    <w:rsid w:val="00B26460"/>
    <w:rsid w:val="00B26724"/>
    <w:rsid w:val="00B32387"/>
    <w:rsid w:val="00B3339A"/>
    <w:rsid w:val="00B347D0"/>
    <w:rsid w:val="00B3548B"/>
    <w:rsid w:val="00B37655"/>
    <w:rsid w:val="00B40675"/>
    <w:rsid w:val="00B4142C"/>
    <w:rsid w:val="00B41BAB"/>
    <w:rsid w:val="00B41F71"/>
    <w:rsid w:val="00B41F82"/>
    <w:rsid w:val="00B42232"/>
    <w:rsid w:val="00B4386E"/>
    <w:rsid w:val="00B52202"/>
    <w:rsid w:val="00B5225F"/>
    <w:rsid w:val="00B52B76"/>
    <w:rsid w:val="00B539DA"/>
    <w:rsid w:val="00B53E5F"/>
    <w:rsid w:val="00B54411"/>
    <w:rsid w:val="00B56E58"/>
    <w:rsid w:val="00B60A57"/>
    <w:rsid w:val="00B62440"/>
    <w:rsid w:val="00B6261B"/>
    <w:rsid w:val="00B65CC0"/>
    <w:rsid w:val="00B66242"/>
    <w:rsid w:val="00B6721C"/>
    <w:rsid w:val="00B6727C"/>
    <w:rsid w:val="00B72179"/>
    <w:rsid w:val="00B72815"/>
    <w:rsid w:val="00B766A5"/>
    <w:rsid w:val="00B836CA"/>
    <w:rsid w:val="00B85B59"/>
    <w:rsid w:val="00B87CDD"/>
    <w:rsid w:val="00B9239C"/>
    <w:rsid w:val="00B934AF"/>
    <w:rsid w:val="00B94C68"/>
    <w:rsid w:val="00B9541B"/>
    <w:rsid w:val="00B95522"/>
    <w:rsid w:val="00BA024B"/>
    <w:rsid w:val="00BA0E19"/>
    <w:rsid w:val="00BA1A07"/>
    <w:rsid w:val="00BA4995"/>
    <w:rsid w:val="00BB0FE7"/>
    <w:rsid w:val="00BB4111"/>
    <w:rsid w:val="00BB4AFD"/>
    <w:rsid w:val="00BB75C5"/>
    <w:rsid w:val="00BC130C"/>
    <w:rsid w:val="00BC202A"/>
    <w:rsid w:val="00BC2554"/>
    <w:rsid w:val="00BC3128"/>
    <w:rsid w:val="00BC4CC4"/>
    <w:rsid w:val="00BC5543"/>
    <w:rsid w:val="00BC6941"/>
    <w:rsid w:val="00BC73E2"/>
    <w:rsid w:val="00BC74AD"/>
    <w:rsid w:val="00BD510A"/>
    <w:rsid w:val="00BD59B8"/>
    <w:rsid w:val="00BD5ACC"/>
    <w:rsid w:val="00BD7F64"/>
    <w:rsid w:val="00BE154F"/>
    <w:rsid w:val="00BE3092"/>
    <w:rsid w:val="00BE3A8F"/>
    <w:rsid w:val="00BE40AB"/>
    <w:rsid w:val="00BE46DF"/>
    <w:rsid w:val="00BE587F"/>
    <w:rsid w:val="00BE66E3"/>
    <w:rsid w:val="00BF2ACA"/>
    <w:rsid w:val="00BF6D1F"/>
    <w:rsid w:val="00C00986"/>
    <w:rsid w:val="00C0477A"/>
    <w:rsid w:val="00C04795"/>
    <w:rsid w:val="00C07BCF"/>
    <w:rsid w:val="00C1037F"/>
    <w:rsid w:val="00C1075E"/>
    <w:rsid w:val="00C13245"/>
    <w:rsid w:val="00C1423B"/>
    <w:rsid w:val="00C147C9"/>
    <w:rsid w:val="00C156E1"/>
    <w:rsid w:val="00C15BC8"/>
    <w:rsid w:val="00C161C4"/>
    <w:rsid w:val="00C200B4"/>
    <w:rsid w:val="00C22718"/>
    <w:rsid w:val="00C24854"/>
    <w:rsid w:val="00C315B3"/>
    <w:rsid w:val="00C34CA7"/>
    <w:rsid w:val="00C35CA2"/>
    <w:rsid w:val="00C37768"/>
    <w:rsid w:val="00C37B5C"/>
    <w:rsid w:val="00C429FE"/>
    <w:rsid w:val="00C43118"/>
    <w:rsid w:val="00C43948"/>
    <w:rsid w:val="00C47345"/>
    <w:rsid w:val="00C47A7F"/>
    <w:rsid w:val="00C507AC"/>
    <w:rsid w:val="00C50E2E"/>
    <w:rsid w:val="00C54948"/>
    <w:rsid w:val="00C55E46"/>
    <w:rsid w:val="00C57071"/>
    <w:rsid w:val="00C60E37"/>
    <w:rsid w:val="00C622F9"/>
    <w:rsid w:val="00C62D21"/>
    <w:rsid w:val="00C63435"/>
    <w:rsid w:val="00C63B0F"/>
    <w:rsid w:val="00C6740C"/>
    <w:rsid w:val="00C71345"/>
    <w:rsid w:val="00C73FDA"/>
    <w:rsid w:val="00C74CBF"/>
    <w:rsid w:val="00C7578A"/>
    <w:rsid w:val="00C758BD"/>
    <w:rsid w:val="00C77A54"/>
    <w:rsid w:val="00C81C2C"/>
    <w:rsid w:val="00C855A9"/>
    <w:rsid w:val="00C8640C"/>
    <w:rsid w:val="00C865ED"/>
    <w:rsid w:val="00C86721"/>
    <w:rsid w:val="00C86F43"/>
    <w:rsid w:val="00C875F2"/>
    <w:rsid w:val="00C909F8"/>
    <w:rsid w:val="00C91CE6"/>
    <w:rsid w:val="00C92129"/>
    <w:rsid w:val="00C93131"/>
    <w:rsid w:val="00C944AE"/>
    <w:rsid w:val="00C94CB7"/>
    <w:rsid w:val="00C977C5"/>
    <w:rsid w:val="00CA2705"/>
    <w:rsid w:val="00CA3139"/>
    <w:rsid w:val="00CA53AD"/>
    <w:rsid w:val="00CA5548"/>
    <w:rsid w:val="00CA73F5"/>
    <w:rsid w:val="00CA7727"/>
    <w:rsid w:val="00CB3C08"/>
    <w:rsid w:val="00CB711B"/>
    <w:rsid w:val="00CC0695"/>
    <w:rsid w:val="00CC49F7"/>
    <w:rsid w:val="00CC6166"/>
    <w:rsid w:val="00CC77E1"/>
    <w:rsid w:val="00CC7D8E"/>
    <w:rsid w:val="00CD286D"/>
    <w:rsid w:val="00CD3F7C"/>
    <w:rsid w:val="00CD5121"/>
    <w:rsid w:val="00CD574B"/>
    <w:rsid w:val="00CD5DD5"/>
    <w:rsid w:val="00CE084B"/>
    <w:rsid w:val="00CE1551"/>
    <w:rsid w:val="00CE769F"/>
    <w:rsid w:val="00CF4E00"/>
    <w:rsid w:val="00CF790C"/>
    <w:rsid w:val="00D00E26"/>
    <w:rsid w:val="00D01275"/>
    <w:rsid w:val="00D0201C"/>
    <w:rsid w:val="00D030CE"/>
    <w:rsid w:val="00D03560"/>
    <w:rsid w:val="00D04078"/>
    <w:rsid w:val="00D04864"/>
    <w:rsid w:val="00D048A2"/>
    <w:rsid w:val="00D100CE"/>
    <w:rsid w:val="00D1142A"/>
    <w:rsid w:val="00D12D0D"/>
    <w:rsid w:val="00D13696"/>
    <w:rsid w:val="00D13E5A"/>
    <w:rsid w:val="00D17712"/>
    <w:rsid w:val="00D23C59"/>
    <w:rsid w:val="00D25A2B"/>
    <w:rsid w:val="00D27220"/>
    <w:rsid w:val="00D31270"/>
    <w:rsid w:val="00D32820"/>
    <w:rsid w:val="00D32E61"/>
    <w:rsid w:val="00D33247"/>
    <w:rsid w:val="00D33B79"/>
    <w:rsid w:val="00D34978"/>
    <w:rsid w:val="00D35B42"/>
    <w:rsid w:val="00D40783"/>
    <w:rsid w:val="00D4186D"/>
    <w:rsid w:val="00D4563C"/>
    <w:rsid w:val="00D45D40"/>
    <w:rsid w:val="00D46152"/>
    <w:rsid w:val="00D478AC"/>
    <w:rsid w:val="00D5252A"/>
    <w:rsid w:val="00D528CE"/>
    <w:rsid w:val="00D536CC"/>
    <w:rsid w:val="00D54FDF"/>
    <w:rsid w:val="00D55089"/>
    <w:rsid w:val="00D66004"/>
    <w:rsid w:val="00D665F3"/>
    <w:rsid w:val="00D66F50"/>
    <w:rsid w:val="00D70B64"/>
    <w:rsid w:val="00D72746"/>
    <w:rsid w:val="00D74410"/>
    <w:rsid w:val="00D7706D"/>
    <w:rsid w:val="00D773F3"/>
    <w:rsid w:val="00D77B82"/>
    <w:rsid w:val="00D80682"/>
    <w:rsid w:val="00D82AA8"/>
    <w:rsid w:val="00D83038"/>
    <w:rsid w:val="00D836F0"/>
    <w:rsid w:val="00D83F87"/>
    <w:rsid w:val="00D859C3"/>
    <w:rsid w:val="00D8632D"/>
    <w:rsid w:val="00D86E43"/>
    <w:rsid w:val="00D90047"/>
    <w:rsid w:val="00D9135A"/>
    <w:rsid w:val="00D92268"/>
    <w:rsid w:val="00D96EEE"/>
    <w:rsid w:val="00DA1AEE"/>
    <w:rsid w:val="00DA2C2F"/>
    <w:rsid w:val="00DA2E3D"/>
    <w:rsid w:val="00DB278D"/>
    <w:rsid w:val="00DB5B97"/>
    <w:rsid w:val="00DC2A22"/>
    <w:rsid w:val="00DC2C6D"/>
    <w:rsid w:val="00DC654E"/>
    <w:rsid w:val="00DC7703"/>
    <w:rsid w:val="00DD427C"/>
    <w:rsid w:val="00DD53E8"/>
    <w:rsid w:val="00DE06C9"/>
    <w:rsid w:val="00DE0EEC"/>
    <w:rsid w:val="00DE1547"/>
    <w:rsid w:val="00DE1D1C"/>
    <w:rsid w:val="00DF42CE"/>
    <w:rsid w:val="00DF6CBC"/>
    <w:rsid w:val="00DF7D99"/>
    <w:rsid w:val="00DF7FDD"/>
    <w:rsid w:val="00E0072C"/>
    <w:rsid w:val="00E02094"/>
    <w:rsid w:val="00E034CC"/>
    <w:rsid w:val="00E04AE5"/>
    <w:rsid w:val="00E0602F"/>
    <w:rsid w:val="00E07AA8"/>
    <w:rsid w:val="00E11D94"/>
    <w:rsid w:val="00E1370D"/>
    <w:rsid w:val="00E14A40"/>
    <w:rsid w:val="00E15743"/>
    <w:rsid w:val="00E15B15"/>
    <w:rsid w:val="00E163F3"/>
    <w:rsid w:val="00E16E17"/>
    <w:rsid w:val="00E174EC"/>
    <w:rsid w:val="00E22449"/>
    <w:rsid w:val="00E22FE8"/>
    <w:rsid w:val="00E2372A"/>
    <w:rsid w:val="00E249A1"/>
    <w:rsid w:val="00E250C5"/>
    <w:rsid w:val="00E32E39"/>
    <w:rsid w:val="00E343AE"/>
    <w:rsid w:val="00E34653"/>
    <w:rsid w:val="00E35607"/>
    <w:rsid w:val="00E37093"/>
    <w:rsid w:val="00E40024"/>
    <w:rsid w:val="00E405B9"/>
    <w:rsid w:val="00E40BAE"/>
    <w:rsid w:val="00E45AD1"/>
    <w:rsid w:val="00E50F16"/>
    <w:rsid w:val="00E51C59"/>
    <w:rsid w:val="00E53117"/>
    <w:rsid w:val="00E53713"/>
    <w:rsid w:val="00E5379D"/>
    <w:rsid w:val="00E5384B"/>
    <w:rsid w:val="00E6235E"/>
    <w:rsid w:val="00E6501F"/>
    <w:rsid w:val="00E6603C"/>
    <w:rsid w:val="00E66462"/>
    <w:rsid w:val="00E66F8C"/>
    <w:rsid w:val="00E7010E"/>
    <w:rsid w:val="00E739F4"/>
    <w:rsid w:val="00E7625D"/>
    <w:rsid w:val="00E82B8E"/>
    <w:rsid w:val="00E82EF1"/>
    <w:rsid w:val="00E84895"/>
    <w:rsid w:val="00E855A3"/>
    <w:rsid w:val="00E855A9"/>
    <w:rsid w:val="00E8762F"/>
    <w:rsid w:val="00E91E26"/>
    <w:rsid w:val="00E93530"/>
    <w:rsid w:val="00E95CF4"/>
    <w:rsid w:val="00E96059"/>
    <w:rsid w:val="00E96486"/>
    <w:rsid w:val="00EA0CDB"/>
    <w:rsid w:val="00EA1852"/>
    <w:rsid w:val="00EA2EDB"/>
    <w:rsid w:val="00EA36C3"/>
    <w:rsid w:val="00EA4B77"/>
    <w:rsid w:val="00EA6A43"/>
    <w:rsid w:val="00EA7575"/>
    <w:rsid w:val="00EB02AF"/>
    <w:rsid w:val="00EB2A50"/>
    <w:rsid w:val="00EC0239"/>
    <w:rsid w:val="00EC288F"/>
    <w:rsid w:val="00EC3E5D"/>
    <w:rsid w:val="00ED1556"/>
    <w:rsid w:val="00ED17EB"/>
    <w:rsid w:val="00ED2727"/>
    <w:rsid w:val="00ED3D9D"/>
    <w:rsid w:val="00ED590A"/>
    <w:rsid w:val="00ED6A03"/>
    <w:rsid w:val="00ED7CDF"/>
    <w:rsid w:val="00EE1064"/>
    <w:rsid w:val="00EE27E2"/>
    <w:rsid w:val="00EE2B3E"/>
    <w:rsid w:val="00EE407A"/>
    <w:rsid w:val="00EE7FC3"/>
    <w:rsid w:val="00EF0BB0"/>
    <w:rsid w:val="00EF63A4"/>
    <w:rsid w:val="00F025DF"/>
    <w:rsid w:val="00F06A8B"/>
    <w:rsid w:val="00F10141"/>
    <w:rsid w:val="00F11D88"/>
    <w:rsid w:val="00F12073"/>
    <w:rsid w:val="00F129E3"/>
    <w:rsid w:val="00F13DA9"/>
    <w:rsid w:val="00F163CF"/>
    <w:rsid w:val="00F1677F"/>
    <w:rsid w:val="00F1680F"/>
    <w:rsid w:val="00F170C9"/>
    <w:rsid w:val="00F20394"/>
    <w:rsid w:val="00F21FED"/>
    <w:rsid w:val="00F266D4"/>
    <w:rsid w:val="00F27890"/>
    <w:rsid w:val="00F347BD"/>
    <w:rsid w:val="00F3485C"/>
    <w:rsid w:val="00F36DAE"/>
    <w:rsid w:val="00F41F09"/>
    <w:rsid w:val="00F430F5"/>
    <w:rsid w:val="00F46F67"/>
    <w:rsid w:val="00F50776"/>
    <w:rsid w:val="00F51D4C"/>
    <w:rsid w:val="00F52BE6"/>
    <w:rsid w:val="00F52FBC"/>
    <w:rsid w:val="00F53320"/>
    <w:rsid w:val="00F53BF8"/>
    <w:rsid w:val="00F546D6"/>
    <w:rsid w:val="00F64C66"/>
    <w:rsid w:val="00F66C9D"/>
    <w:rsid w:val="00F6721B"/>
    <w:rsid w:val="00F7647B"/>
    <w:rsid w:val="00F82D26"/>
    <w:rsid w:val="00F87734"/>
    <w:rsid w:val="00F9340B"/>
    <w:rsid w:val="00F952FC"/>
    <w:rsid w:val="00F95753"/>
    <w:rsid w:val="00F96006"/>
    <w:rsid w:val="00FA4C5F"/>
    <w:rsid w:val="00FA6D76"/>
    <w:rsid w:val="00FB1940"/>
    <w:rsid w:val="00FB60CB"/>
    <w:rsid w:val="00FB6858"/>
    <w:rsid w:val="00FB6DE8"/>
    <w:rsid w:val="00FC093B"/>
    <w:rsid w:val="00FC3083"/>
    <w:rsid w:val="00FC7E68"/>
    <w:rsid w:val="00FD2C11"/>
    <w:rsid w:val="00FD3A45"/>
    <w:rsid w:val="00FD409E"/>
    <w:rsid w:val="00FD436E"/>
    <w:rsid w:val="00FD4EB0"/>
    <w:rsid w:val="00FD4FA1"/>
    <w:rsid w:val="00FD531D"/>
    <w:rsid w:val="00FD5AC1"/>
    <w:rsid w:val="00FD6B2E"/>
    <w:rsid w:val="00FE074F"/>
    <w:rsid w:val="00FE172C"/>
    <w:rsid w:val="00FE2297"/>
    <w:rsid w:val="00FE229A"/>
    <w:rsid w:val="00FE2F61"/>
    <w:rsid w:val="00FE51CF"/>
    <w:rsid w:val="00FE5BC7"/>
    <w:rsid w:val="00FE6D23"/>
    <w:rsid w:val="00FF3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FB1"/>
    <w:rPr>
      <w:color w:val="000000"/>
      <w:sz w:val="24"/>
      <w:szCs w:val="24"/>
      <w:lang w:eastAsia="en-US"/>
    </w:rPr>
  </w:style>
  <w:style w:type="paragraph" w:styleId="Heading1">
    <w:name w:val="heading 1"/>
    <w:basedOn w:val="Normal"/>
    <w:next w:val="Normal"/>
    <w:qFormat/>
    <w:rsid w:val="008D0FB1"/>
    <w:pPr>
      <w:keepNext/>
      <w:spacing w:before="240" w:after="60"/>
      <w:outlineLvl w:val="0"/>
    </w:pPr>
    <w:rPr>
      <w:rFonts w:ascii="Arial" w:hAnsi="Arial"/>
      <w:b/>
      <w:kern w:val="28"/>
      <w:sz w:val="28"/>
    </w:rPr>
  </w:style>
  <w:style w:type="paragraph" w:styleId="Heading2">
    <w:name w:val="heading 2"/>
    <w:basedOn w:val="Normal"/>
    <w:next w:val="Normal"/>
    <w:qFormat/>
    <w:rsid w:val="008D0FB1"/>
    <w:pPr>
      <w:keepNext/>
      <w:spacing w:before="240" w:after="60"/>
      <w:outlineLvl w:val="1"/>
    </w:pPr>
    <w:rPr>
      <w:rFonts w:ascii="Arial" w:hAnsi="Arial"/>
      <w:b/>
      <w:i/>
    </w:rPr>
  </w:style>
  <w:style w:type="paragraph" w:styleId="Heading3">
    <w:name w:val="heading 3"/>
    <w:basedOn w:val="Normal"/>
    <w:next w:val="Normal"/>
    <w:autoRedefine/>
    <w:qFormat/>
    <w:rsid w:val="002942B7"/>
    <w:pPr>
      <w:keepNext/>
      <w:spacing w:after="60"/>
      <w:jc w:val="both"/>
      <w:outlineLvl w:val="2"/>
    </w:pPr>
    <w:rPr>
      <w:rFonts w:ascii="Arial" w:hAnsi="Arial" w:cs="Arial"/>
      <w:iCs/>
      <w:lang w:val="en-US"/>
    </w:rPr>
  </w:style>
  <w:style w:type="paragraph" w:styleId="Heading4">
    <w:name w:val="heading 4"/>
    <w:basedOn w:val="Normal"/>
    <w:next w:val="Normal"/>
    <w:qFormat/>
    <w:rsid w:val="008D0FB1"/>
    <w:pPr>
      <w:keepNext/>
      <w:spacing w:before="240" w:after="60"/>
      <w:outlineLvl w:val="3"/>
    </w:pPr>
    <w:rPr>
      <w:rFonts w:ascii="Arial" w:hAnsi="Arial"/>
      <w:b/>
    </w:rPr>
  </w:style>
  <w:style w:type="paragraph" w:styleId="Heading5">
    <w:name w:val="heading 5"/>
    <w:basedOn w:val="Normal"/>
    <w:next w:val="Normal"/>
    <w:autoRedefine/>
    <w:qFormat/>
    <w:rsid w:val="008D0FB1"/>
    <w:pPr>
      <w:spacing w:before="240" w:after="60"/>
      <w:outlineLvl w:val="4"/>
    </w:pPr>
    <w:rPr>
      <w:b/>
    </w:rPr>
  </w:style>
  <w:style w:type="paragraph" w:styleId="Heading6">
    <w:name w:val="heading 6"/>
    <w:basedOn w:val="Normal"/>
    <w:next w:val="Normal"/>
    <w:qFormat/>
    <w:rsid w:val="008D0FB1"/>
    <w:pPr>
      <w:keepNext/>
      <w:outlineLvl w:val="5"/>
    </w:pPr>
    <w:rPr>
      <w:b/>
      <w:sz w:val="20"/>
      <w:lang w:val="en-US"/>
    </w:rPr>
  </w:style>
  <w:style w:type="paragraph" w:styleId="Heading7">
    <w:name w:val="heading 7"/>
    <w:basedOn w:val="Normal"/>
    <w:next w:val="Normal"/>
    <w:qFormat/>
    <w:rsid w:val="008D0FB1"/>
    <w:pPr>
      <w:keepNext/>
      <w:outlineLvl w:val="6"/>
    </w:pPr>
    <w:rPr>
      <w:u w:val="single"/>
    </w:rPr>
  </w:style>
  <w:style w:type="paragraph" w:styleId="Heading8">
    <w:name w:val="heading 8"/>
    <w:basedOn w:val="Normal"/>
    <w:next w:val="Normal"/>
    <w:qFormat/>
    <w:rsid w:val="008D0FB1"/>
    <w:pPr>
      <w:keepNext/>
      <w:ind w:left="150"/>
      <w:outlineLvl w:val="7"/>
    </w:pPr>
    <w:rPr>
      <w:lang w:val="en-US"/>
    </w:rPr>
  </w:style>
  <w:style w:type="paragraph" w:styleId="Heading9">
    <w:name w:val="heading 9"/>
    <w:basedOn w:val="Normal"/>
    <w:next w:val="Normal"/>
    <w:qFormat/>
    <w:rsid w:val="008D0FB1"/>
    <w:pPr>
      <w:keepNext/>
      <w:keepLines/>
      <w:ind w:firstLine="180"/>
      <w:outlineLvl w:val="8"/>
    </w:pPr>
    <w:rPr>
      <w:rFonts w:ascii="Arial" w:hAnsi="Arial"/>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0FB1"/>
    <w:pPr>
      <w:tabs>
        <w:tab w:val="center" w:pos="4153"/>
        <w:tab w:val="right" w:pos="8306"/>
      </w:tabs>
    </w:pPr>
  </w:style>
  <w:style w:type="paragraph" w:styleId="Footer">
    <w:name w:val="footer"/>
    <w:basedOn w:val="Normal"/>
    <w:rsid w:val="008D0FB1"/>
    <w:pPr>
      <w:tabs>
        <w:tab w:val="center" w:pos="4153"/>
        <w:tab w:val="right" w:pos="8306"/>
      </w:tabs>
    </w:pPr>
  </w:style>
  <w:style w:type="paragraph" w:styleId="DocumentMap">
    <w:name w:val="Document Map"/>
    <w:basedOn w:val="Normal"/>
    <w:semiHidden/>
    <w:rsid w:val="008D0FB1"/>
    <w:pPr>
      <w:shd w:val="clear" w:color="auto" w:fill="000080"/>
    </w:pPr>
    <w:rPr>
      <w:rFonts w:ascii="Tahoma" w:hAnsi="Tahoma"/>
    </w:rPr>
  </w:style>
  <w:style w:type="paragraph" w:styleId="BodyTextIndent">
    <w:name w:val="Body Text Indent"/>
    <w:basedOn w:val="Normal"/>
    <w:rsid w:val="008D0FB1"/>
    <w:pPr>
      <w:spacing w:before="120" w:after="120"/>
      <w:ind w:left="619"/>
    </w:pPr>
    <w:rPr>
      <w:snapToGrid w:val="0"/>
    </w:rPr>
  </w:style>
  <w:style w:type="character" w:customStyle="1" w:styleId="ItalicHeading">
    <w:name w:val="Italic Heading"/>
    <w:basedOn w:val="DefaultParagraphFont"/>
    <w:rsid w:val="008D0FB1"/>
    <w:rPr>
      <w:i/>
    </w:rPr>
  </w:style>
  <w:style w:type="paragraph" w:customStyle="1" w:styleId="FlushLeft">
    <w:name w:val="Flush Left"/>
    <w:basedOn w:val="Normal"/>
    <w:rsid w:val="008D0FB1"/>
    <w:pPr>
      <w:spacing w:line="360" w:lineRule="atLeast"/>
    </w:pPr>
    <w:rPr>
      <w:lang w:val="en-US"/>
    </w:rPr>
  </w:style>
  <w:style w:type="paragraph" w:customStyle="1" w:styleId="mdTblEntry">
    <w:name w:val="md_Tbl Entry"/>
    <w:basedOn w:val="Normal"/>
    <w:rsid w:val="008D0FB1"/>
    <w:pPr>
      <w:keepNext/>
      <w:keepLines/>
      <w:spacing w:line="259" w:lineRule="atLeast"/>
    </w:pPr>
    <w:rPr>
      <w:sz w:val="20"/>
      <w:lang w:val="en-US"/>
    </w:rPr>
  </w:style>
  <w:style w:type="paragraph" w:customStyle="1" w:styleId="CenteredLine">
    <w:name w:val="Centered Line"/>
    <w:basedOn w:val="FlushLeft"/>
    <w:next w:val="Normal"/>
    <w:rsid w:val="008D0FB1"/>
    <w:pPr>
      <w:jc w:val="center"/>
    </w:pPr>
  </w:style>
  <w:style w:type="paragraph" w:styleId="BodyTextIndent3">
    <w:name w:val="Body Text Indent 3"/>
    <w:basedOn w:val="Normal"/>
    <w:rsid w:val="008D0FB1"/>
    <w:pPr>
      <w:ind w:firstLine="180"/>
    </w:pPr>
    <w:rPr>
      <w:snapToGrid w:val="0"/>
      <w:lang w:val="en-US"/>
    </w:rPr>
  </w:style>
  <w:style w:type="paragraph" w:styleId="BodyTextIndent2">
    <w:name w:val="Body Text Indent 2"/>
    <w:basedOn w:val="Normal"/>
    <w:rsid w:val="008D0FB1"/>
    <w:pPr>
      <w:ind w:firstLine="180"/>
    </w:pPr>
    <w:rPr>
      <w:snapToGrid w:val="0"/>
      <w:lang w:val="en-US"/>
    </w:rPr>
  </w:style>
  <w:style w:type="paragraph" w:styleId="BodyText">
    <w:name w:val="Body Text"/>
    <w:basedOn w:val="Normal"/>
    <w:rsid w:val="008D0FB1"/>
    <w:rPr>
      <w:snapToGrid w:val="0"/>
    </w:rPr>
  </w:style>
  <w:style w:type="paragraph" w:customStyle="1" w:styleId="mdTblEntryC">
    <w:name w:val="md_Tbl Entry/C"/>
    <w:basedOn w:val="Normal"/>
    <w:rsid w:val="008D0FB1"/>
    <w:pPr>
      <w:keepNext/>
      <w:keepLines/>
      <w:spacing w:line="259" w:lineRule="atLeast"/>
      <w:jc w:val="center"/>
    </w:pPr>
    <w:rPr>
      <w:sz w:val="20"/>
      <w:lang w:val="en-US"/>
    </w:rPr>
  </w:style>
  <w:style w:type="paragraph" w:customStyle="1" w:styleId="mdTblEntryL">
    <w:name w:val="md_Tbl Entry/L"/>
    <w:basedOn w:val="Normal"/>
    <w:rsid w:val="008D0FB1"/>
    <w:pPr>
      <w:keepNext/>
      <w:keepLines/>
      <w:spacing w:line="259" w:lineRule="atLeast"/>
    </w:pPr>
    <w:rPr>
      <w:sz w:val="20"/>
      <w:lang w:val="en-US"/>
    </w:rPr>
  </w:style>
  <w:style w:type="paragraph" w:customStyle="1" w:styleId="TblFootnote">
    <w:name w:val="Tbl Footnote"/>
    <w:basedOn w:val="Normal"/>
    <w:next w:val="Normal"/>
    <w:rsid w:val="008D0FB1"/>
    <w:pPr>
      <w:keepNext/>
      <w:keepLines/>
      <w:tabs>
        <w:tab w:val="left" w:pos="259"/>
      </w:tabs>
      <w:spacing w:line="259" w:lineRule="atLeast"/>
      <w:ind w:left="259" w:hanging="259"/>
    </w:pPr>
    <w:rPr>
      <w:sz w:val="20"/>
      <w:lang w:val="en-US"/>
    </w:rPr>
  </w:style>
  <w:style w:type="paragraph" w:customStyle="1" w:styleId="TblTitle">
    <w:name w:val="Tbl Title"/>
    <w:basedOn w:val="Normal"/>
    <w:next w:val="Normal"/>
    <w:rsid w:val="008D0FB1"/>
    <w:pPr>
      <w:keepNext/>
      <w:keepLines/>
      <w:spacing w:before="240" w:after="120" w:line="259" w:lineRule="atLeast"/>
      <w:ind w:left="2304" w:hanging="2304"/>
    </w:pPr>
    <w:rPr>
      <w:rFonts w:ascii="Arial" w:hAnsi="Arial"/>
      <w:b/>
      <w:sz w:val="22"/>
      <w:lang w:val="en-US"/>
    </w:rPr>
  </w:style>
  <w:style w:type="character" w:styleId="PageNumber">
    <w:name w:val="page number"/>
    <w:basedOn w:val="DefaultParagraphFont"/>
    <w:rsid w:val="008D0FB1"/>
  </w:style>
  <w:style w:type="character" w:styleId="CommentReference">
    <w:name w:val="annotation reference"/>
    <w:basedOn w:val="DefaultParagraphFont"/>
    <w:semiHidden/>
    <w:rsid w:val="008D0FB1"/>
    <w:rPr>
      <w:sz w:val="16"/>
      <w:szCs w:val="16"/>
    </w:rPr>
  </w:style>
  <w:style w:type="paragraph" w:styleId="CommentText">
    <w:name w:val="annotation text"/>
    <w:basedOn w:val="Normal"/>
    <w:link w:val="CommentTextChar"/>
    <w:semiHidden/>
    <w:rsid w:val="008D0FB1"/>
    <w:rPr>
      <w:sz w:val="20"/>
    </w:rPr>
  </w:style>
  <w:style w:type="paragraph" w:customStyle="1" w:styleId="Text">
    <w:name w:val="Text"/>
    <w:basedOn w:val="Normal"/>
    <w:rsid w:val="008D0FB1"/>
    <w:pPr>
      <w:spacing w:before="14" w:after="144" w:line="300" w:lineRule="atLeast"/>
      <w:ind w:left="720" w:right="360" w:hanging="720"/>
    </w:pPr>
    <w:rPr>
      <w:lang w:val="en-GB"/>
    </w:rPr>
  </w:style>
  <w:style w:type="paragraph" w:customStyle="1" w:styleId="LabelingBodyText">
    <w:name w:val="Labeling Body Text"/>
    <w:rsid w:val="008D0FB1"/>
    <w:pPr>
      <w:spacing w:after="40" w:line="250" w:lineRule="exact"/>
      <w:ind w:firstLine="187"/>
    </w:pPr>
    <w:rPr>
      <w:sz w:val="24"/>
      <w:lang w:val="en-US" w:eastAsia="en-US"/>
    </w:rPr>
  </w:style>
  <w:style w:type="paragraph" w:customStyle="1" w:styleId="mdFigure">
    <w:name w:val="md_Figure"/>
    <w:basedOn w:val="Normal"/>
    <w:rsid w:val="008D0FB1"/>
    <w:pPr>
      <w:keepNext/>
      <w:keepLines/>
      <w:tabs>
        <w:tab w:val="left" w:pos="2880"/>
        <w:tab w:val="left" w:pos="3240"/>
      </w:tabs>
      <w:spacing w:line="299" w:lineRule="atLeast"/>
      <w:jc w:val="center"/>
    </w:pPr>
    <w:rPr>
      <w:lang w:val="en-US"/>
    </w:rPr>
  </w:style>
  <w:style w:type="paragraph" w:styleId="NormalWeb">
    <w:name w:val="Normal (Web)"/>
    <w:basedOn w:val="Normal"/>
    <w:rsid w:val="008D0FB1"/>
    <w:pPr>
      <w:spacing w:before="100" w:beforeAutospacing="1" w:after="100" w:afterAutospacing="1"/>
    </w:pPr>
    <w:rPr>
      <w:lang w:val="en-US"/>
    </w:rPr>
  </w:style>
  <w:style w:type="paragraph" w:styleId="EndnoteText">
    <w:name w:val="endnote text"/>
    <w:basedOn w:val="Normal"/>
    <w:semiHidden/>
    <w:rsid w:val="008D0FB1"/>
    <w:pPr>
      <w:tabs>
        <w:tab w:val="left" w:pos="567"/>
      </w:tabs>
    </w:pPr>
    <w:rPr>
      <w:sz w:val="22"/>
      <w:lang w:val="en-GB"/>
    </w:rPr>
  </w:style>
  <w:style w:type="paragraph" w:styleId="ListNumber3">
    <w:name w:val="List Number 3"/>
    <w:basedOn w:val="Normal"/>
    <w:rsid w:val="008D0FB1"/>
    <w:pPr>
      <w:numPr>
        <w:numId w:val="5"/>
      </w:numPr>
      <w:tabs>
        <w:tab w:val="clear" w:pos="926"/>
        <w:tab w:val="num" w:pos="1080"/>
      </w:tabs>
      <w:ind w:left="1080"/>
    </w:pPr>
    <w:rPr>
      <w:lang w:val="en-US"/>
    </w:rPr>
  </w:style>
  <w:style w:type="paragraph" w:styleId="BodyText2">
    <w:name w:val="Body Text 2"/>
    <w:basedOn w:val="Normal"/>
    <w:rsid w:val="008D0FB1"/>
    <w:pPr>
      <w:tabs>
        <w:tab w:val="left" w:pos="567"/>
      </w:tabs>
      <w:spacing w:line="260" w:lineRule="exact"/>
    </w:pPr>
    <w:rPr>
      <w:sz w:val="18"/>
      <w:lang w:val="en-GB"/>
    </w:rPr>
  </w:style>
  <w:style w:type="paragraph" w:styleId="BalloonText">
    <w:name w:val="Balloon Text"/>
    <w:basedOn w:val="Normal"/>
    <w:semiHidden/>
    <w:rsid w:val="008D0FB1"/>
    <w:rPr>
      <w:rFonts w:ascii="Tahoma" w:hAnsi="Tahoma" w:cs="Tahoma"/>
      <w:sz w:val="16"/>
      <w:szCs w:val="16"/>
    </w:rPr>
  </w:style>
  <w:style w:type="paragraph" w:styleId="CommentSubject">
    <w:name w:val="annotation subject"/>
    <w:basedOn w:val="CommentText"/>
    <w:next w:val="CommentText"/>
    <w:semiHidden/>
    <w:rsid w:val="008D0FB1"/>
    <w:rPr>
      <w:b/>
      <w:bCs/>
    </w:rPr>
  </w:style>
  <w:style w:type="paragraph" w:customStyle="1" w:styleId="Footerinformation">
    <w:name w:val="Footer information"/>
    <w:basedOn w:val="Normal"/>
    <w:rsid w:val="00656383"/>
    <w:rPr>
      <w:color w:val="auto"/>
      <w:sz w:val="20"/>
      <w:lang w:val="en-US"/>
    </w:rPr>
  </w:style>
  <w:style w:type="paragraph" w:customStyle="1" w:styleId="FigTitle">
    <w:name w:val="Fig Title"/>
    <w:basedOn w:val="Normal"/>
    <w:next w:val="Normal"/>
    <w:rsid w:val="008D0FB1"/>
    <w:pPr>
      <w:keepLines/>
      <w:spacing w:before="240" w:after="216" w:line="259" w:lineRule="atLeast"/>
      <w:ind w:left="2304" w:hanging="2304"/>
    </w:pPr>
    <w:rPr>
      <w:rFonts w:ascii="Arial" w:hAnsi="Arial"/>
      <w:b/>
      <w:color w:val="auto"/>
      <w:sz w:val="22"/>
      <w:szCs w:val="20"/>
      <w:lang w:val="en-US"/>
    </w:rPr>
  </w:style>
  <w:style w:type="paragraph" w:customStyle="1" w:styleId="Footnote">
    <w:name w:val="Footnote"/>
    <w:rsid w:val="008D0FB1"/>
    <w:pPr>
      <w:keepNext/>
      <w:keepLines/>
      <w:spacing w:line="259" w:lineRule="atLeast"/>
      <w:ind w:left="259" w:hanging="259"/>
    </w:pPr>
    <w:rPr>
      <w:lang w:val="en-US" w:eastAsia="en-US"/>
    </w:rPr>
  </w:style>
  <w:style w:type="paragraph" w:customStyle="1" w:styleId="FigureTitle">
    <w:name w:val="Figure Title"/>
    <w:next w:val="BodyText"/>
    <w:rsid w:val="008D0FB1"/>
    <w:pPr>
      <w:keepNext/>
      <w:keepLines/>
      <w:spacing w:before="240" w:after="120" w:line="259" w:lineRule="atLeast"/>
      <w:ind w:left="2304" w:hanging="2304"/>
    </w:pPr>
    <w:rPr>
      <w:rFonts w:ascii="Arial" w:hAnsi="Arial"/>
      <w:b/>
      <w:bCs/>
      <w:sz w:val="22"/>
      <w:lang w:val="en-US" w:eastAsia="en-US"/>
    </w:rPr>
  </w:style>
  <w:style w:type="character" w:customStyle="1" w:styleId="FigureTitleChar">
    <w:name w:val="Figure Title Char"/>
    <w:basedOn w:val="DefaultParagraphFont"/>
    <w:rsid w:val="008D0FB1"/>
    <w:rPr>
      <w:rFonts w:ascii="Arial" w:hAnsi="Arial"/>
      <w:b/>
      <w:bCs/>
      <w:sz w:val="22"/>
      <w:lang w:val="en-US" w:eastAsia="en-US" w:bidi="ar-SA"/>
    </w:rPr>
  </w:style>
  <w:style w:type="character" w:styleId="FootnoteReference">
    <w:name w:val="footnote reference"/>
    <w:basedOn w:val="DefaultParagraphFont"/>
    <w:semiHidden/>
    <w:rsid w:val="008D0FB1"/>
    <w:rPr>
      <w:vertAlign w:val="superscript"/>
    </w:rPr>
  </w:style>
  <w:style w:type="paragraph" w:customStyle="1" w:styleId="TableFigurefootnote">
    <w:name w:val="Table/Figure footnote"/>
    <w:rsid w:val="008D0FB1"/>
    <w:pPr>
      <w:keepNext/>
      <w:keepLines/>
      <w:ind w:left="245" w:hanging="245"/>
    </w:pPr>
    <w:rPr>
      <w:sz w:val="16"/>
      <w:lang w:val="en-US" w:eastAsia="en-US"/>
    </w:rPr>
  </w:style>
  <w:style w:type="character" w:customStyle="1" w:styleId="TableFigurefootnoteChar">
    <w:name w:val="Table/Figure footnote Char"/>
    <w:basedOn w:val="DefaultParagraphFont"/>
    <w:rsid w:val="008D0FB1"/>
    <w:rPr>
      <w:sz w:val="16"/>
      <w:lang w:val="en-US" w:eastAsia="en-US" w:bidi="ar-SA"/>
    </w:rPr>
  </w:style>
  <w:style w:type="character" w:customStyle="1" w:styleId="mdTblEntryChar">
    <w:name w:val="md_Tbl Entry Char"/>
    <w:basedOn w:val="DefaultParagraphFont"/>
    <w:rsid w:val="008D0FB1"/>
    <w:rPr>
      <w:color w:val="000000"/>
      <w:szCs w:val="24"/>
      <w:lang w:val="en-US" w:eastAsia="en-US" w:bidi="ar-SA"/>
    </w:rPr>
  </w:style>
  <w:style w:type="character" w:customStyle="1" w:styleId="TblTitleChar">
    <w:name w:val="Tbl Title Char"/>
    <w:basedOn w:val="DefaultParagraphFont"/>
    <w:rsid w:val="008D0FB1"/>
    <w:rPr>
      <w:rFonts w:ascii="Arial" w:hAnsi="Arial"/>
      <w:b/>
      <w:color w:val="000000"/>
      <w:sz w:val="22"/>
      <w:szCs w:val="24"/>
      <w:lang w:val="en-US" w:eastAsia="en-US" w:bidi="ar-SA"/>
    </w:rPr>
  </w:style>
  <w:style w:type="paragraph" w:customStyle="1" w:styleId="Default">
    <w:name w:val="Default"/>
    <w:rsid w:val="005C4C81"/>
    <w:pPr>
      <w:autoSpaceDE w:val="0"/>
      <w:autoSpaceDN w:val="0"/>
      <w:adjustRightInd w:val="0"/>
    </w:pPr>
    <w:rPr>
      <w:color w:val="000000"/>
      <w:sz w:val="24"/>
      <w:szCs w:val="24"/>
      <w:lang w:val="en-US" w:eastAsia="en-US"/>
    </w:rPr>
  </w:style>
  <w:style w:type="paragraph" w:customStyle="1" w:styleId="TableText">
    <w:name w:val="Table Text"/>
    <w:link w:val="TableTextChar"/>
    <w:rsid w:val="00A06A5B"/>
    <w:pPr>
      <w:keepNext/>
      <w:keepLines/>
    </w:pPr>
    <w:rPr>
      <w:szCs w:val="24"/>
      <w:lang w:val="en-US" w:eastAsia="en-US"/>
    </w:rPr>
  </w:style>
  <w:style w:type="character" w:customStyle="1" w:styleId="TableTextChar">
    <w:name w:val="Table Text Char"/>
    <w:basedOn w:val="DefaultParagraphFont"/>
    <w:link w:val="TableText"/>
    <w:rsid w:val="00A06A5B"/>
    <w:rPr>
      <w:szCs w:val="24"/>
      <w:lang w:val="en-US" w:eastAsia="en-US" w:bidi="ar-SA"/>
    </w:rPr>
  </w:style>
  <w:style w:type="paragraph" w:styleId="Revision">
    <w:name w:val="Revision"/>
    <w:hidden/>
    <w:uiPriority w:val="99"/>
    <w:semiHidden/>
    <w:rsid w:val="00D46152"/>
    <w:rPr>
      <w:color w:val="000000"/>
      <w:sz w:val="24"/>
      <w:szCs w:val="24"/>
      <w:lang w:eastAsia="en-US"/>
    </w:rPr>
  </w:style>
  <w:style w:type="paragraph" w:customStyle="1" w:styleId="FigureTitleLeft">
    <w:name w:val="Figure Title Left"/>
    <w:next w:val="BodyText"/>
    <w:rsid w:val="00593D34"/>
    <w:pPr>
      <w:keepNext/>
      <w:keepLines/>
      <w:spacing w:after="120"/>
      <w:ind w:left="1080" w:hanging="1080"/>
    </w:pPr>
    <w:rPr>
      <w:rFonts w:ascii="Times New Roman Bold" w:hAnsi="Times New Roman Bold"/>
      <w:b/>
      <w:bCs/>
      <w:lang w:val="en-US" w:eastAsia="en-US"/>
    </w:rPr>
  </w:style>
  <w:style w:type="paragraph" w:styleId="ListParagraph">
    <w:name w:val="List Paragraph"/>
    <w:basedOn w:val="Normal"/>
    <w:uiPriority w:val="34"/>
    <w:qFormat/>
    <w:rsid w:val="00D92268"/>
    <w:pPr>
      <w:ind w:left="720"/>
      <w:contextualSpacing/>
    </w:pPr>
  </w:style>
  <w:style w:type="character" w:customStyle="1" w:styleId="CommentTextChar">
    <w:name w:val="Comment Text Char"/>
    <w:basedOn w:val="DefaultParagraphFont"/>
    <w:link w:val="CommentText"/>
    <w:semiHidden/>
    <w:rsid w:val="00071E5B"/>
    <w:rPr>
      <w:color w:val="000000"/>
      <w:szCs w:val="24"/>
      <w:lang w:eastAsia="en-US"/>
    </w:rPr>
  </w:style>
  <w:style w:type="table" w:styleId="TableGrid">
    <w:name w:val="Table Grid"/>
    <w:basedOn w:val="TableNormal"/>
    <w:uiPriority w:val="59"/>
    <w:rsid w:val="00905F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C54948"/>
    <w:rPr>
      <w:sz w:val="20"/>
      <w:szCs w:val="20"/>
    </w:rPr>
  </w:style>
  <w:style w:type="character" w:customStyle="1" w:styleId="FootnoteTextChar">
    <w:name w:val="Footnote Text Char"/>
    <w:basedOn w:val="DefaultParagraphFont"/>
    <w:link w:val="FootnoteText"/>
    <w:rsid w:val="00C54948"/>
    <w:rPr>
      <w:color w:val="000000"/>
      <w:lang w:eastAsia="en-US"/>
    </w:rPr>
  </w:style>
  <w:style w:type="character" w:styleId="Hyperlink">
    <w:name w:val="Hyperlink"/>
    <w:basedOn w:val="DefaultParagraphFont"/>
    <w:rsid w:val="00F120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824204">
      <w:bodyDiv w:val="1"/>
      <w:marLeft w:val="0"/>
      <w:marRight w:val="0"/>
      <w:marTop w:val="0"/>
      <w:marBottom w:val="0"/>
      <w:divBdr>
        <w:top w:val="none" w:sz="0" w:space="0" w:color="auto"/>
        <w:left w:val="none" w:sz="0" w:space="0" w:color="auto"/>
        <w:bottom w:val="none" w:sz="0" w:space="0" w:color="auto"/>
        <w:right w:val="none" w:sz="0" w:space="0" w:color="auto"/>
      </w:divBdr>
      <w:divsChild>
        <w:div w:id="1455367301">
          <w:marLeft w:val="0"/>
          <w:marRight w:val="0"/>
          <w:marTop w:val="0"/>
          <w:marBottom w:val="0"/>
          <w:divBdr>
            <w:top w:val="none" w:sz="0" w:space="0" w:color="auto"/>
            <w:left w:val="none" w:sz="0" w:space="0" w:color="auto"/>
            <w:bottom w:val="none" w:sz="0" w:space="0" w:color="auto"/>
            <w:right w:val="none" w:sz="0" w:space="0" w:color="auto"/>
          </w:divBdr>
        </w:div>
      </w:divsChild>
    </w:div>
    <w:div w:id="470635176">
      <w:bodyDiv w:val="1"/>
      <w:marLeft w:val="0"/>
      <w:marRight w:val="0"/>
      <w:marTop w:val="0"/>
      <w:marBottom w:val="0"/>
      <w:divBdr>
        <w:top w:val="none" w:sz="0" w:space="0" w:color="auto"/>
        <w:left w:val="none" w:sz="0" w:space="0" w:color="auto"/>
        <w:bottom w:val="none" w:sz="0" w:space="0" w:color="auto"/>
        <w:right w:val="none" w:sz="0" w:space="0" w:color="auto"/>
      </w:divBdr>
      <w:divsChild>
        <w:div w:id="1605307580">
          <w:marLeft w:val="0"/>
          <w:marRight w:val="0"/>
          <w:marTop w:val="0"/>
          <w:marBottom w:val="0"/>
          <w:divBdr>
            <w:top w:val="none" w:sz="0" w:space="0" w:color="auto"/>
            <w:left w:val="none" w:sz="0" w:space="0" w:color="auto"/>
            <w:bottom w:val="none" w:sz="0" w:space="0" w:color="auto"/>
            <w:right w:val="none" w:sz="0" w:space="0" w:color="auto"/>
          </w:divBdr>
        </w:div>
      </w:divsChild>
    </w:div>
    <w:div w:id="1222640412">
      <w:bodyDiv w:val="1"/>
      <w:marLeft w:val="0"/>
      <w:marRight w:val="0"/>
      <w:marTop w:val="0"/>
      <w:marBottom w:val="0"/>
      <w:divBdr>
        <w:top w:val="none" w:sz="0" w:space="0" w:color="auto"/>
        <w:left w:val="none" w:sz="0" w:space="0" w:color="auto"/>
        <w:bottom w:val="none" w:sz="0" w:space="0" w:color="auto"/>
        <w:right w:val="none" w:sz="0" w:space="0" w:color="auto"/>
      </w:divBdr>
      <w:divsChild>
        <w:div w:id="1143623160">
          <w:marLeft w:val="0"/>
          <w:marRight w:val="0"/>
          <w:marTop w:val="0"/>
          <w:marBottom w:val="0"/>
          <w:divBdr>
            <w:top w:val="none" w:sz="0" w:space="0" w:color="auto"/>
            <w:left w:val="none" w:sz="0" w:space="0" w:color="auto"/>
            <w:bottom w:val="none" w:sz="0" w:space="0" w:color="auto"/>
            <w:right w:val="none" w:sz="0" w:space="0" w:color="auto"/>
          </w:divBdr>
        </w:div>
      </w:divsChild>
    </w:div>
    <w:div w:id="1393698909">
      <w:bodyDiv w:val="1"/>
      <w:marLeft w:val="0"/>
      <w:marRight w:val="0"/>
      <w:marTop w:val="0"/>
      <w:marBottom w:val="0"/>
      <w:divBdr>
        <w:top w:val="none" w:sz="0" w:space="0" w:color="auto"/>
        <w:left w:val="none" w:sz="0" w:space="0" w:color="auto"/>
        <w:bottom w:val="none" w:sz="0" w:space="0" w:color="auto"/>
        <w:right w:val="none" w:sz="0" w:space="0" w:color="auto"/>
      </w:divBdr>
    </w:div>
    <w:div w:id="1565339450">
      <w:bodyDiv w:val="1"/>
      <w:marLeft w:val="0"/>
      <w:marRight w:val="0"/>
      <w:marTop w:val="0"/>
      <w:marBottom w:val="0"/>
      <w:divBdr>
        <w:top w:val="none" w:sz="0" w:space="0" w:color="auto"/>
        <w:left w:val="none" w:sz="0" w:space="0" w:color="auto"/>
        <w:bottom w:val="none" w:sz="0" w:space="0" w:color="auto"/>
        <w:right w:val="none" w:sz="0" w:space="0" w:color="auto"/>
      </w:divBdr>
      <w:divsChild>
        <w:div w:id="1103912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oleObject" Target="embeddings/oleObject8.bin"/><Relationship Id="rId10" Type="http://schemas.openxmlformats.org/officeDocument/2006/relationships/header" Target="header1.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C3CC1-1AC1-4B8B-8562-ED59D13B9927}">
  <ds:schemaRefs>
    <ds:schemaRef ds:uri="http://schemas.openxmlformats.org/officeDocument/2006/bibliography"/>
  </ds:schemaRefs>
</ds:datastoreItem>
</file>

<file path=customXml/itemProps2.xml><?xml version="1.0" encoding="utf-8"?>
<ds:datastoreItem xmlns:ds="http://schemas.openxmlformats.org/officeDocument/2006/customXml" ds:itemID="{8EF426E3-B170-471E-846B-AB0F2AA0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7556</Words>
  <Characters>42362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Product Information for: </vt:lpstr>
    </vt:vector>
  </TitlesOfParts>
  <Company>Eli Lilly Australia Pty Ltd</Company>
  <LinksUpToDate>false</LinksUpToDate>
  <CharactersWithSpaces>49819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Exenatide</dc:title>
  <dc:subject>prescription medicine regulation</dc:subject>
  <dc:creator>Eli Lilly Australia Pty Ltd</dc:creator>
  <cp:keywords>product, information, exenatide, prescription, medicine, regulation, bydureon, byetta</cp:keywords>
  <cp:lastModifiedBy>Searson, Lisa</cp:lastModifiedBy>
  <cp:revision>4</cp:revision>
  <cp:lastPrinted>2012-10-12T06:16:00Z</cp:lastPrinted>
  <dcterms:created xsi:type="dcterms:W3CDTF">2013-02-05T01:08:00Z</dcterms:created>
  <dcterms:modified xsi:type="dcterms:W3CDTF">2013-03-26T01:39:00Z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