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643264CC" w14:textId="77777777" w:rsidTr="00BF1190">
        <w:trPr>
          <w:trHeight w:val="1863"/>
        </w:trPr>
        <w:tc>
          <w:tcPr>
            <w:tcW w:w="3652" w:type="dxa"/>
            <w:tcBorders>
              <w:top w:val="nil"/>
              <w:left w:val="nil"/>
              <w:bottom w:val="nil"/>
              <w:right w:val="nil"/>
            </w:tcBorders>
          </w:tcPr>
          <w:p w14:paraId="149CF367" w14:textId="7548BD0B" w:rsidR="008E7846" w:rsidRPr="00096AA7" w:rsidRDefault="00943032" w:rsidP="00096AA7">
            <w:pPr>
              <w:rPr>
                <w:rFonts w:ascii="Arial" w:hAnsi="Arial" w:cs="Arial"/>
                <w:b/>
                <w:color w:val="002C47"/>
                <w:sz w:val="36"/>
                <w:szCs w:val="36"/>
              </w:rPr>
            </w:pPr>
            <w:r>
              <w:rPr>
                <w:rFonts w:ascii="Arial" w:hAnsi="Arial" w:cs="Arial"/>
                <w:b/>
                <w:color w:val="002C47"/>
                <w:sz w:val="36"/>
                <w:szCs w:val="36"/>
              </w:rPr>
              <w:t>July</w:t>
            </w:r>
            <w:r w:rsidR="00CC39CA">
              <w:rPr>
                <w:rFonts w:ascii="Arial" w:hAnsi="Arial" w:cs="Arial"/>
                <w:b/>
                <w:color w:val="002C47"/>
                <w:sz w:val="36"/>
                <w:szCs w:val="36"/>
              </w:rPr>
              <w:t xml:space="preserve"> 201</w:t>
            </w:r>
            <w:r w:rsidR="0050100E">
              <w:rPr>
                <w:rFonts w:ascii="Arial" w:hAnsi="Arial" w:cs="Arial"/>
                <w:b/>
                <w:color w:val="002C47"/>
                <w:sz w:val="36"/>
                <w:szCs w:val="36"/>
              </w:rPr>
              <w:t>7</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69BEA21B" w14:textId="77777777" w:rsidTr="0032583B">
        <w:trPr>
          <w:trHeight w:val="868"/>
        </w:trPr>
        <w:tc>
          <w:tcPr>
            <w:tcW w:w="9079" w:type="dxa"/>
          </w:tcPr>
          <w:p w14:paraId="7C51D0A7" w14:textId="77777777" w:rsidR="0032583B" w:rsidRPr="00A964D1" w:rsidRDefault="0032583B" w:rsidP="00FA64DE">
            <w:pPr>
              <w:pStyle w:val="Title"/>
              <w:rPr>
                <w:color w:val="FFFFFF" w:themeColor="background1"/>
              </w:rPr>
            </w:pPr>
            <w:r w:rsidRPr="00A964D1">
              <w:rPr>
                <w:color w:val="FFFFFF" w:themeColor="background1"/>
              </w:rPr>
              <w:t>Australian Pu</w:t>
            </w:r>
            <w:r w:rsidR="0010304C">
              <w:rPr>
                <w:color w:val="FFFFFF" w:themeColor="background1"/>
              </w:rPr>
              <w:t xml:space="preserve">blic Assessment Report for </w:t>
            </w:r>
            <w:r w:rsidR="00BD37A1">
              <w:rPr>
                <w:color w:val="FFFFFF" w:themeColor="background1"/>
              </w:rPr>
              <w:t>ezetimibe an</w:t>
            </w:r>
            <w:r w:rsidR="00FA64DE">
              <w:rPr>
                <w:color w:val="FFFFFF" w:themeColor="background1"/>
              </w:rPr>
              <w:t>d atorvastatin</w:t>
            </w:r>
          </w:p>
        </w:tc>
      </w:tr>
      <w:tr w:rsidR="0032583B" w:rsidRPr="00B64760" w14:paraId="1A819070" w14:textId="77777777" w:rsidTr="0032583B">
        <w:tc>
          <w:tcPr>
            <w:tcW w:w="9079" w:type="dxa"/>
          </w:tcPr>
          <w:p w14:paraId="515DE75C" w14:textId="77777777" w:rsidR="0032583B" w:rsidRPr="008E7846" w:rsidRDefault="00FA64DE" w:rsidP="00FA64DE">
            <w:pPr>
              <w:pStyle w:val="Subtitle"/>
              <w:rPr>
                <w:color w:val="FFFFFF" w:themeColor="background1"/>
              </w:rPr>
            </w:pPr>
            <w:r>
              <w:rPr>
                <w:color w:val="FFFFFF" w:themeColor="background1"/>
              </w:rPr>
              <w:t>Proprietary Product Name: Atozet / Zeteze</w:t>
            </w:r>
          </w:p>
        </w:tc>
      </w:tr>
      <w:tr w:rsidR="0032583B" w:rsidRPr="00B64760" w14:paraId="3C8BB54F" w14:textId="77777777" w:rsidTr="0032583B">
        <w:trPr>
          <w:trHeight w:val="486"/>
        </w:trPr>
        <w:tc>
          <w:tcPr>
            <w:tcW w:w="9079" w:type="dxa"/>
          </w:tcPr>
          <w:p w14:paraId="778ECE42" w14:textId="77777777" w:rsidR="0032583B" w:rsidRPr="008E7846" w:rsidRDefault="0010304C" w:rsidP="0032583B">
            <w:pPr>
              <w:pStyle w:val="Subtitle"/>
              <w:rPr>
                <w:color w:val="FFFFFF" w:themeColor="background1"/>
              </w:rPr>
            </w:pPr>
            <w:r>
              <w:rPr>
                <w:color w:val="FFFFFF" w:themeColor="background1"/>
              </w:rPr>
              <w:t xml:space="preserve">Sponsor: </w:t>
            </w:r>
            <w:r w:rsidRPr="0010304C">
              <w:rPr>
                <w:color w:val="FFFFFF" w:themeColor="background1"/>
              </w:rPr>
              <w:t>Merck Sharp &amp; Dohme (Australia) Pty Limited</w:t>
            </w:r>
          </w:p>
        </w:tc>
      </w:tr>
    </w:tbl>
    <w:p w14:paraId="56B770F0" w14:textId="77777777" w:rsidR="008E7846" w:rsidRPr="0085156D" w:rsidRDefault="008E7846" w:rsidP="0085156D">
      <w:r w:rsidRPr="0085156D">
        <w:br w:type="page"/>
      </w:r>
    </w:p>
    <w:p w14:paraId="56748DD7" w14:textId="77777777" w:rsidR="008E7846" w:rsidRPr="001F6CBA" w:rsidRDefault="008E7846" w:rsidP="008E7846">
      <w:pPr>
        <w:pStyle w:val="NonTOCHeading2"/>
      </w:pPr>
      <w:r w:rsidRPr="001F6CBA">
        <w:lastRenderedPageBreak/>
        <w:t>About the Therapeutic Goods Administration (TGA)</w:t>
      </w:r>
    </w:p>
    <w:p w14:paraId="50724519"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4AD1C1AC"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6BFFCB68"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4F2B5283"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4C093DA3" w14:textId="77777777"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14:paraId="198E6C16" w14:textId="77777777" w:rsidR="008E7846" w:rsidRDefault="008E7846" w:rsidP="00441C3F">
      <w:pPr>
        <w:pStyle w:val="Heading2"/>
      </w:pPr>
      <w:bookmarkStart w:id="0" w:name="_Toc434232633"/>
      <w:bookmarkStart w:id="1" w:name="_Toc484783868"/>
      <w:r>
        <w:t>About AusPARs</w:t>
      </w:r>
      <w:bookmarkEnd w:id="0"/>
      <w:bookmarkEnd w:id="1"/>
    </w:p>
    <w:p w14:paraId="07D5419E" w14:textId="77777777"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1B42F1AA" w14:textId="77777777" w:rsidR="008E7846" w:rsidRDefault="008E7846" w:rsidP="008E7846">
      <w:pPr>
        <w:pStyle w:val="ListBullet"/>
        <w:numPr>
          <w:ilvl w:val="0"/>
          <w:numId w:val="3"/>
        </w:numPr>
        <w:ind w:left="357" w:hanging="357"/>
      </w:pPr>
      <w:r>
        <w:t>AusPARs are prepared and published by the TGA.</w:t>
      </w:r>
    </w:p>
    <w:p w14:paraId="723DC120" w14:textId="77777777"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14:paraId="4626D592" w14:textId="77777777"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5ADC2013" w14:textId="77777777"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14:paraId="49C7512B" w14:textId="77777777" w:rsidR="00924482" w:rsidRPr="00DF1D7F" w:rsidRDefault="00924482" w:rsidP="00F54B65">
      <w:pPr>
        <w:pStyle w:val="LegalSubheading"/>
        <w:spacing w:before="3120"/>
      </w:pPr>
      <w:r w:rsidRPr="00DF1D7F">
        <w:t>Copyright</w:t>
      </w:r>
    </w:p>
    <w:p w14:paraId="7E81B768" w14:textId="77777777" w:rsidR="00924482" w:rsidRDefault="00924482" w:rsidP="00924482">
      <w:pPr>
        <w:pStyle w:val="LegalCopy"/>
      </w:pPr>
      <w:r w:rsidRPr="00191B3B">
        <w:rPr>
          <w:rFonts w:cs="Arial"/>
          <w:lang w:val="en-GB"/>
        </w:rPr>
        <w:t>© Comm</w:t>
      </w:r>
      <w:r>
        <w:rPr>
          <w:rFonts w:cs="Arial"/>
          <w:lang w:val="en-GB"/>
        </w:rPr>
        <w:t>onwealth of Australia 201</w:t>
      </w:r>
      <w:r w:rsidR="00010C55">
        <w:rPr>
          <w:rFonts w:cs="Arial"/>
          <w:lang w:val="en-GB"/>
        </w:rPr>
        <w:t>7</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14:paraId="51661A59" w14:textId="77777777"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2" w:name="_Toc247691501" w:displacedByCustomXml="next"/>
    <w:bookmarkStart w:id="3"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550DB50D" w14:textId="77777777" w:rsidR="0089635C" w:rsidRPr="0089635C" w:rsidRDefault="0089635C" w:rsidP="0010788A">
          <w:pPr>
            <w:pStyle w:val="Contents"/>
          </w:pPr>
          <w:r w:rsidRPr="0010788A">
            <w:t>Contents</w:t>
          </w:r>
        </w:p>
        <w:p w14:paraId="4726CBD1" w14:textId="22612DEB" w:rsidR="00C9757C"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84783869" w:history="1">
            <w:r w:rsidR="00C9757C" w:rsidRPr="00ED7774">
              <w:rPr>
                <w:rStyle w:val="Hyperlink"/>
                <w:noProof/>
              </w:rPr>
              <w:t>Common abbreviations</w:t>
            </w:r>
            <w:r w:rsidR="00C9757C">
              <w:rPr>
                <w:noProof/>
                <w:webHidden/>
              </w:rPr>
              <w:tab/>
            </w:r>
            <w:r w:rsidR="00C9757C">
              <w:rPr>
                <w:noProof/>
                <w:webHidden/>
              </w:rPr>
              <w:fldChar w:fldCharType="begin"/>
            </w:r>
            <w:r w:rsidR="00C9757C">
              <w:rPr>
                <w:noProof/>
                <w:webHidden/>
              </w:rPr>
              <w:instrText xml:space="preserve"> PAGEREF _Toc484783869 \h </w:instrText>
            </w:r>
            <w:r w:rsidR="00C9757C">
              <w:rPr>
                <w:noProof/>
                <w:webHidden/>
              </w:rPr>
            </w:r>
            <w:r w:rsidR="00C9757C">
              <w:rPr>
                <w:noProof/>
                <w:webHidden/>
              </w:rPr>
              <w:fldChar w:fldCharType="separate"/>
            </w:r>
            <w:r w:rsidR="00E74840">
              <w:rPr>
                <w:noProof/>
                <w:webHidden/>
              </w:rPr>
              <w:t>4</w:t>
            </w:r>
            <w:r w:rsidR="00C9757C">
              <w:rPr>
                <w:noProof/>
                <w:webHidden/>
              </w:rPr>
              <w:fldChar w:fldCharType="end"/>
            </w:r>
          </w:hyperlink>
        </w:p>
        <w:p w14:paraId="3665D8EF" w14:textId="77777777" w:rsidR="00C9757C" w:rsidRDefault="008F361A">
          <w:pPr>
            <w:pStyle w:val="TOC2"/>
            <w:rPr>
              <w:rFonts w:asciiTheme="minorHAnsi" w:eastAsiaTheme="minorEastAsia" w:hAnsiTheme="minorHAnsi" w:cstheme="minorBidi"/>
              <w:b w:val="0"/>
              <w:noProof/>
              <w:sz w:val="22"/>
              <w:lang w:eastAsia="en-AU"/>
            </w:rPr>
          </w:pPr>
          <w:hyperlink w:anchor="_Toc484783870" w:history="1">
            <w:r w:rsidR="00C9757C" w:rsidRPr="00ED7774">
              <w:rPr>
                <w:rStyle w:val="Hyperlink"/>
                <w:noProof/>
              </w:rPr>
              <w:t>I. Introduction to product submission</w:t>
            </w:r>
            <w:r w:rsidR="00C9757C">
              <w:rPr>
                <w:noProof/>
                <w:webHidden/>
              </w:rPr>
              <w:tab/>
            </w:r>
            <w:r w:rsidR="00C9757C">
              <w:rPr>
                <w:noProof/>
                <w:webHidden/>
              </w:rPr>
              <w:fldChar w:fldCharType="begin"/>
            </w:r>
            <w:r w:rsidR="00C9757C">
              <w:rPr>
                <w:noProof/>
                <w:webHidden/>
              </w:rPr>
              <w:instrText xml:space="preserve"> PAGEREF _Toc484783870 \h </w:instrText>
            </w:r>
            <w:r w:rsidR="00C9757C">
              <w:rPr>
                <w:noProof/>
                <w:webHidden/>
              </w:rPr>
            </w:r>
            <w:r w:rsidR="00C9757C">
              <w:rPr>
                <w:noProof/>
                <w:webHidden/>
              </w:rPr>
              <w:fldChar w:fldCharType="separate"/>
            </w:r>
            <w:r w:rsidR="00E74840">
              <w:rPr>
                <w:noProof/>
                <w:webHidden/>
              </w:rPr>
              <w:t>6</w:t>
            </w:r>
            <w:r w:rsidR="00C9757C">
              <w:rPr>
                <w:noProof/>
                <w:webHidden/>
              </w:rPr>
              <w:fldChar w:fldCharType="end"/>
            </w:r>
          </w:hyperlink>
        </w:p>
        <w:p w14:paraId="7C4011A7" w14:textId="77777777" w:rsidR="00C9757C" w:rsidRDefault="008F361A">
          <w:pPr>
            <w:pStyle w:val="TOC3"/>
            <w:rPr>
              <w:rFonts w:asciiTheme="minorHAnsi" w:eastAsiaTheme="minorEastAsia" w:hAnsiTheme="minorHAnsi" w:cstheme="minorBidi"/>
              <w:noProof/>
              <w:lang w:eastAsia="en-AU"/>
            </w:rPr>
          </w:pPr>
          <w:hyperlink w:anchor="_Toc484783871" w:history="1">
            <w:r w:rsidR="00C9757C" w:rsidRPr="00ED7774">
              <w:rPr>
                <w:rStyle w:val="Hyperlink"/>
                <w:noProof/>
                <w:lang w:eastAsia="en-AU"/>
              </w:rPr>
              <w:t>Submission details</w:t>
            </w:r>
            <w:r w:rsidR="00C9757C">
              <w:rPr>
                <w:noProof/>
                <w:webHidden/>
              </w:rPr>
              <w:tab/>
            </w:r>
            <w:r w:rsidR="00C9757C">
              <w:rPr>
                <w:noProof/>
                <w:webHidden/>
              </w:rPr>
              <w:fldChar w:fldCharType="begin"/>
            </w:r>
            <w:r w:rsidR="00C9757C">
              <w:rPr>
                <w:noProof/>
                <w:webHidden/>
              </w:rPr>
              <w:instrText xml:space="preserve"> PAGEREF _Toc484783871 \h </w:instrText>
            </w:r>
            <w:r w:rsidR="00C9757C">
              <w:rPr>
                <w:noProof/>
                <w:webHidden/>
              </w:rPr>
            </w:r>
            <w:r w:rsidR="00C9757C">
              <w:rPr>
                <w:noProof/>
                <w:webHidden/>
              </w:rPr>
              <w:fldChar w:fldCharType="separate"/>
            </w:r>
            <w:r w:rsidR="00E74840">
              <w:rPr>
                <w:noProof/>
                <w:webHidden/>
              </w:rPr>
              <w:t>6</w:t>
            </w:r>
            <w:r w:rsidR="00C9757C">
              <w:rPr>
                <w:noProof/>
                <w:webHidden/>
              </w:rPr>
              <w:fldChar w:fldCharType="end"/>
            </w:r>
          </w:hyperlink>
        </w:p>
        <w:p w14:paraId="40F222C9" w14:textId="77777777" w:rsidR="00C9757C" w:rsidRDefault="008F361A">
          <w:pPr>
            <w:pStyle w:val="TOC3"/>
            <w:rPr>
              <w:rFonts w:asciiTheme="minorHAnsi" w:eastAsiaTheme="minorEastAsia" w:hAnsiTheme="minorHAnsi" w:cstheme="minorBidi"/>
              <w:noProof/>
              <w:lang w:eastAsia="en-AU"/>
            </w:rPr>
          </w:pPr>
          <w:hyperlink w:anchor="_Toc484783872" w:history="1">
            <w:r w:rsidR="00C9757C" w:rsidRPr="00ED7774">
              <w:rPr>
                <w:rStyle w:val="Hyperlink"/>
                <w:noProof/>
              </w:rPr>
              <w:t>Product background</w:t>
            </w:r>
            <w:r w:rsidR="00C9757C">
              <w:rPr>
                <w:noProof/>
                <w:webHidden/>
              </w:rPr>
              <w:tab/>
            </w:r>
            <w:r w:rsidR="00C9757C">
              <w:rPr>
                <w:noProof/>
                <w:webHidden/>
              </w:rPr>
              <w:fldChar w:fldCharType="begin"/>
            </w:r>
            <w:r w:rsidR="00C9757C">
              <w:rPr>
                <w:noProof/>
                <w:webHidden/>
              </w:rPr>
              <w:instrText xml:space="preserve"> PAGEREF _Toc484783872 \h </w:instrText>
            </w:r>
            <w:r w:rsidR="00C9757C">
              <w:rPr>
                <w:noProof/>
                <w:webHidden/>
              </w:rPr>
            </w:r>
            <w:r w:rsidR="00C9757C">
              <w:rPr>
                <w:noProof/>
                <w:webHidden/>
              </w:rPr>
              <w:fldChar w:fldCharType="separate"/>
            </w:r>
            <w:r w:rsidR="00E74840">
              <w:rPr>
                <w:noProof/>
                <w:webHidden/>
              </w:rPr>
              <w:t>7</w:t>
            </w:r>
            <w:r w:rsidR="00C9757C">
              <w:rPr>
                <w:noProof/>
                <w:webHidden/>
              </w:rPr>
              <w:fldChar w:fldCharType="end"/>
            </w:r>
          </w:hyperlink>
        </w:p>
        <w:p w14:paraId="242D613F" w14:textId="77777777" w:rsidR="00C9757C" w:rsidRDefault="008F361A">
          <w:pPr>
            <w:pStyle w:val="TOC3"/>
            <w:rPr>
              <w:rFonts w:asciiTheme="minorHAnsi" w:eastAsiaTheme="minorEastAsia" w:hAnsiTheme="minorHAnsi" w:cstheme="minorBidi"/>
              <w:noProof/>
              <w:lang w:eastAsia="en-AU"/>
            </w:rPr>
          </w:pPr>
          <w:hyperlink w:anchor="_Toc484783873" w:history="1">
            <w:r w:rsidR="00C9757C" w:rsidRPr="00ED7774">
              <w:rPr>
                <w:rStyle w:val="Hyperlink"/>
                <w:noProof/>
              </w:rPr>
              <w:t>Regulatory status</w:t>
            </w:r>
            <w:r w:rsidR="00C9757C">
              <w:rPr>
                <w:noProof/>
                <w:webHidden/>
              </w:rPr>
              <w:tab/>
            </w:r>
            <w:r w:rsidR="00C9757C">
              <w:rPr>
                <w:noProof/>
                <w:webHidden/>
              </w:rPr>
              <w:fldChar w:fldCharType="begin"/>
            </w:r>
            <w:r w:rsidR="00C9757C">
              <w:rPr>
                <w:noProof/>
                <w:webHidden/>
              </w:rPr>
              <w:instrText xml:space="preserve"> PAGEREF _Toc484783873 \h </w:instrText>
            </w:r>
            <w:r w:rsidR="00C9757C">
              <w:rPr>
                <w:noProof/>
                <w:webHidden/>
              </w:rPr>
            </w:r>
            <w:r w:rsidR="00C9757C">
              <w:rPr>
                <w:noProof/>
                <w:webHidden/>
              </w:rPr>
              <w:fldChar w:fldCharType="separate"/>
            </w:r>
            <w:r w:rsidR="00E74840">
              <w:rPr>
                <w:noProof/>
                <w:webHidden/>
              </w:rPr>
              <w:t>9</w:t>
            </w:r>
            <w:r w:rsidR="00C9757C">
              <w:rPr>
                <w:noProof/>
                <w:webHidden/>
              </w:rPr>
              <w:fldChar w:fldCharType="end"/>
            </w:r>
          </w:hyperlink>
        </w:p>
        <w:p w14:paraId="7BF87AC3" w14:textId="77777777" w:rsidR="00C9757C" w:rsidRDefault="008F361A">
          <w:pPr>
            <w:pStyle w:val="TOC3"/>
            <w:rPr>
              <w:rFonts w:asciiTheme="minorHAnsi" w:eastAsiaTheme="minorEastAsia" w:hAnsiTheme="minorHAnsi" w:cstheme="minorBidi"/>
              <w:noProof/>
              <w:lang w:eastAsia="en-AU"/>
            </w:rPr>
          </w:pPr>
          <w:hyperlink w:anchor="_Toc484783874" w:history="1">
            <w:r w:rsidR="00C9757C" w:rsidRPr="00ED7774">
              <w:rPr>
                <w:rStyle w:val="Hyperlink"/>
                <w:noProof/>
              </w:rPr>
              <w:t>Product Information</w:t>
            </w:r>
            <w:r w:rsidR="00C9757C">
              <w:rPr>
                <w:noProof/>
                <w:webHidden/>
              </w:rPr>
              <w:tab/>
            </w:r>
            <w:r w:rsidR="00C9757C">
              <w:rPr>
                <w:noProof/>
                <w:webHidden/>
              </w:rPr>
              <w:fldChar w:fldCharType="begin"/>
            </w:r>
            <w:r w:rsidR="00C9757C">
              <w:rPr>
                <w:noProof/>
                <w:webHidden/>
              </w:rPr>
              <w:instrText xml:space="preserve"> PAGEREF _Toc484783874 \h </w:instrText>
            </w:r>
            <w:r w:rsidR="00C9757C">
              <w:rPr>
                <w:noProof/>
                <w:webHidden/>
              </w:rPr>
            </w:r>
            <w:r w:rsidR="00C9757C">
              <w:rPr>
                <w:noProof/>
                <w:webHidden/>
              </w:rPr>
              <w:fldChar w:fldCharType="separate"/>
            </w:r>
            <w:r w:rsidR="00E74840">
              <w:rPr>
                <w:noProof/>
                <w:webHidden/>
              </w:rPr>
              <w:t>9</w:t>
            </w:r>
            <w:r w:rsidR="00C9757C">
              <w:rPr>
                <w:noProof/>
                <w:webHidden/>
              </w:rPr>
              <w:fldChar w:fldCharType="end"/>
            </w:r>
          </w:hyperlink>
        </w:p>
        <w:p w14:paraId="068A729F" w14:textId="77777777" w:rsidR="00C9757C" w:rsidRDefault="008F361A">
          <w:pPr>
            <w:pStyle w:val="TOC2"/>
            <w:rPr>
              <w:rFonts w:asciiTheme="minorHAnsi" w:eastAsiaTheme="minorEastAsia" w:hAnsiTheme="minorHAnsi" w:cstheme="minorBidi"/>
              <w:b w:val="0"/>
              <w:noProof/>
              <w:sz w:val="22"/>
              <w:lang w:eastAsia="en-AU"/>
            </w:rPr>
          </w:pPr>
          <w:hyperlink w:anchor="_Toc484783875" w:history="1">
            <w:r w:rsidR="00C9757C" w:rsidRPr="00ED7774">
              <w:rPr>
                <w:rStyle w:val="Hyperlink"/>
                <w:noProof/>
              </w:rPr>
              <w:t>II. Quality findings</w:t>
            </w:r>
            <w:r w:rsidR="00C9757C">
              <w:rPr>
                <w:noProof/>
                <w:webHidden/>
              </w:rPr>
              <w:tab/>
            </w:r>
            <w:r w:rsidR="00C9757C">
              <w:rPr>
                <w:noProof/>
                <w:webHidden/>
              </w:rPr>
              <w:fldChar w:fldCharType="begin"/>
            </w:r>
            <w:r w:rsidR="00C9757C">
              <w:rPr>
                <w:noProof/>
                <w:webHidden/>
              </w:rPr>
              <w:instrText xml:space="preserve"> PAGEREF _Toc484783875 \h </w:instrText>
            </w:r>
            <w:r w:rsidR="00C9757C">
              <w:rPr>
                <w:noProof/>
                <w:webHidden/>
              </w:rPr>
            </w:r>
            <w:r w:rsidR="00C9757C">
              <w:rPr>
                <w:noProof/>
                <w:webHidden/>
              </w:rPr>
              <w:fldChar w:fldCharType="separate"/>
            </w:r>
            <w:r w:rsidR="00E74840">
              <w:rPr>
                <w:noProof/>
                <w:webHidden/>
              </w:rPr>
              <w:t>9</w:t>
            </w:r>
            <w:r w:rsidR="00C9757C">
              <w:rPr>
                <w:noProof/>
                <w:webHidden/>
              </w:rPr>
              <w:fldChar w:fldCharType="end"/>
            </w:r>
          </w:hyperlink>
        </w:p>
        <w:p w14:paraId="085BE0E8" w14:textId="77777777" w:rsidR="00C9757C" w:rsidRDefault="008F361A">
          <w:pPr>
            <w:pStyle w:val="TOC2"/>
            <w:rPr>
              <w:rFonts w:asciiTheme="minorHAnsi" w:eastAsiaTheme="minorEastAsia" w:hAnsiTheme="minorHAnsi" w:cstheme="minorBidi"/>
              <w:b w:val="0"/>
              <w:noProof/>
              <w:sz w:val="22"/>
              <w:lang w:eastAsia="en-AU"/>
            </w:rPr>
          </w:pPr>
          <w:hyperlink w:anchor="_Toc484783876" w:history="1">
            <w:r w:rsidR="00C9757C" w:rsidRPr="00ED7774">
              <w:rPr>
                <w:rStyle w:val="Hyperlink"/>
                <w:noProof/>
              </w:rPr>
              <w:t>III. Nonclinical findings</w:t>
            </w:r>
            <w:r w:rsidR="00C9757C">
              <w:rPr>
                <w:noProof/>
                <w:webHidden/>
              </w:rPr>
              <w:tab/>
            </w:r>
            <w:r w:rsidR="00C9757C">
              <w:rPr>
                <w:noProof/>
                <w:webHidden/>
              </w:rPr>
              <w:fldChar w:fldCharType="begin"/>
            </w:r>
            <w:r w:rsidR="00C9757C">
              <w:rPr>
                <w:noProof/>
                <w:webHidden/>
              </w:rPr>
              <w:instrText xml:space="preserve"> PAGEREF _Toc484783876 \h </w:instrText>
            </w:r>
            <w:r w:rsidR="00C9757C">
              <w:rPr>
                <w:noProof/>
                <w:webHidden/>
              </w:rPr>
            </w:r>
            <w:r w:rsidR="00C9757C">
              <w:rPr>
                <w:noProof/>
                <w:webHidden/>
              </w:rPr>
              <w:fldChar w:fldCharType="separate"/>
            </w:r>
            <w:r w:rsidR="00E74840">
              <w:rPr>
                <w:noProof/>
                <w:webHidden/>
              </w:rPr>
              <w:t>9</w:t>
            </w:r>
            <w:r w:rsidR="00C9757C">
              <w:rPr>
                <w:noProof/>
                <w:webHidden/>
              </w:rPr>
              <w:fldChar w:fldCharType="end"/>
            </w:r>
          </w:hyperlink>
        </w:p>
        <w:p w14:paraId="47CFDF06" w14:textId="77777777" w:rsidR="00C9757C" w:rsidRDefault="008F361A">
          <w:pPr>
            <w:pStyle w:val="TOC2"/>
            <w:rPr>
              <w:rFonts w:asciiTheme="minorHAnsi" w:eastAsiaTheme="minorEastAsia" w:hAnsiTheme="minorHAnsi" w:cstheme="minorBidi"/>
              <w:b w:val="0"/>
              <w:noProof/>
              <w:sz w:val="22"/>
              <w:lang w:eastAsia="en-AU"/>
            </w:rPr>
          </w:pPr>
          <w:hyperlink w:anchor="_Toc484783877" w:history="1">
            <w:r w:rsidR="00C9757C" w:rsidRPr="00ED7774">
              <w:rPr>
                <w:rStyle w:val="Hyperlink"/>
                <w:noProof/>
              </w:rPr>
              <w:t>IV. Clinical findings</w:t>
            </w:r>
            <w:r w:rsidR="00C9757C">
              <w:rPr>
                <w:noProof/>
                <w:webHidden/>
              </w:rPr>
              <w:tab/>
            </w:r>
            <w:r w:rsidR="00C9757C">
              <w:rPr>
                <w:noProof/>
                <w:webHidden/>
              </w:rPr>
              <w:fldChar w:fldCharType="begin"/>
            </w:r>
            <w:r w:rsidR="00C9757C">
              <w:rPr>
                <w:noProof/>
                <w:webHidden/>
              </w:rPr>
              <w:instrText xml:space="preserve"> PAGEREF _Toc484783877 \h </w:instrText>
            </w:r>
            <w:r w:rsidR="00C9757C">
              <w:rPr>
                <w:noProof/>
                <w:webHidden/>
              </w:rPr>
            </w:r>
            <w:r w:rsidR="00C9757C">
              <w:rPr>
                <w:noProof/>
                <w:webHidden/>
              </w:rPr>
              <w:fldChar w:fldCharType="separate"/>
            </w:r>
            <w:r w:rsidR="00E74840">
              <w:rPr>
                <w:noProof/>
                <w:webHidden/>
              </w:rPr>
              <w:t>10</w:t>
            </w:r>
            <w:r w:rsidR="00C9757C">
              <w:rPr>
                <w:noProof/>
                <w:webHidden/>
              </w:rPr>
              <w:fldChar w:fldCharType="end"/>
            </w:r>
          </w:hyperlink>
        </w:p>
        <w:p w14:paraId="0CABD29B" w14:textId="77777777" w:rsidR="00C9757C" w:rsidRDefault="008F361A">
          <w:pPr>
            <w:pStyle w:val="TOC3"/>
            <w:rPr>
              <w:rFonts w:asciiTheme="minorHAnsi" w:eastAsiaTheme="minorEastAsia" w:hAnsiTheme="minorHAnsi" w:cstheme="minorBidi"/>
              <w:noProof/>
              <w:lang w:eastAsia="en-AU"/>
            </w:rPr>
          </w:pPr>
          <w:hyperlink w:anchor="_Toc484783878" w:history="1">
            <w:r w:rsidR="00C9757C" w:rsidRPr="00ED7774">
              <w:rPr>
                <w:rStyle w:val="Hyperlink"/>
                <w:noProof/>
              </w:rPr>
              <w:t>Introduction</w:t>
            </w:r>
            <w:r w:rsidR="00C9757C">
              <w:rPr>
                <w:noProof/>
                <w:webHidden/>
              </w:rPr>
              <w:tab/>
            </w:r>
            <w:r w:rsidR="00C9757C">
              <w:rPr>
                <w:noProof/>
                <w:webHidden/>
              </w:rPr>
              <w:fldChar w:fldCharType="begin"/>
            </w:r>
            <w:r w:rsidR="00C9757C">
              <w:rPr>
                <w:noProof/>
                <w:webHidden/>
              </w:rPr>
              <w:instrText xml:space="preserve"> PAGEREF _Toc484783878 \h </w:instrText>
            </w:r>
            <w:r w:rsidR="00C9757C">
              <w:rPr>
                <w:noProof/>
                <w:webHidden/>
              </w:rPr>
            </w:r>
            <w:r w:rsidR="00C9757C">
              <w:rPr>
                <w:noProof/>
                <w:webHidden/>
              </w:rPr>
              <w:fldChar w:fldCharType="separate"/>
            </w:r>
            <w:r w:rsidR="00E74840">
              <w:rPr>
                <w:noProof/>
                <w:webHidden/>
              </w:rPr>
              <w:t>10</w:t>
            </w:r>
            <w:r w:rsidR="00C9757C">
              <w:rPr>
                <w:noProof/>
                <w:webHidden/>
              </w:rPr>
              <w:fldChar w:fldCharType="end"/>
            </w:r>
          </w:hyperlink>
        </w:p>
        <w:p w14:paraId="36BB4D97" w14:textId="77777777" w:rsidR="00C9757C" w:rsidRDefault="008F361A">
          <w:pPr>
            <w:pStyle w:val="TOC3"/>
            <w:rPr>
              <w:rFonts w:asciiTheme="minorHAnsi" w:eastAsiaTheme="minorEastAsia" w:hAnsiTheme="minorHAnsi" w:cstheme="minorBidi"/>
              <w:noProof/>
              <w:lang w:eastAsia="en-AU"/>
            </w:rPr>
          </w:pPr>
          <w:hyperlink w:anchor="_Toc484783879" w:history="1">
            <w:r w:rsidR="00C9757C" w:rsidRPr="00ED7774">
              <w:rPr>
                <w:rStyle w:val="Hyperlink"/>
                <w:noProof/>
              </w:rPr>
              <w:t>Pharmacokinetics</w:t>
            </w:r>
            <w:r w:rsidR="00C9757C">
              <w:rPr>
                <w:noProof/>
                <w:webHidden/>
              </w:rPr>
              <w:tab/>
            </w:r>
            <w:r w:rsidR="00C9757C">
              <w:rPr>
                <w:noProof/>
                <w:webHidden/>
              </w:rPr>
              <w:fldChar w:fldCharType="begin"/>
            </w:r>
            <w:r w:rsidR="00C9757C">
              <w:rPr>
                <w:noProof/>
                <w:webHidden/>
              </w:rPr>
              <w:instrText xml:space="preserve"> PAGEREF _Toc484783879 \h </w:instrText>
            </w:r>
            <w:r w:rsidR="00C9757C">
              <w:rPr>
                <w:noProof/>
                <w:webHidden/>
              </w:rPr>
            </w:r>
            <w:r w:rsidR="00C9757C">
              <w:rPr>
                <w:noProof/>
                <w:webHidden/>
              </w:rPr>
              <w:fldChar w:fldCharType="separate"/>
            </w:r>
            <w:r w:rsidR="00E74840">
              <w:rPr>
                <w:noProof/>
                <w:webHidden/>
              </w:rPr>
              <w:t>12</w:t>
            </w:r>
            <w:r w:rsidR="00C9757C">
              <w:rPr>
                <w:noProof/>
                <w:webHidden/>
              </w:rPr>
              <w:fldChar w:fldCharType="end"/>
            </w:r>
          </w:hyperlink>
        </w:p>
        <w:p w14:paraId="4A9C660F" w14:textId="77777777" w:rsidR="00C9757C" w:rsidRDefault="008F361A">
          <w:pPr>
            <w:pStyle w:val="TOC3"/>
            <w:rPr>
              <w:rFonts w:asciiTheme="minorHAnsi" w:eastAsiaTheme="minorEastAsia" w:hAnsiTheme="minorHAnsi" w:cstheme="minorBidi"/>
              <w:noProof/>
              <w:lang w:eastAsia="en-AU"/>
            </w:rPr>
          </w:pPr>
          <w:hyperlink w:anchor="_Toc484783880" w:history="1">
            <w:r w:rsidR="00C9757C" w:rsidRPr="00ED7774">
              <w:rPr>
                <w:rStyle w:val="Hyperlink"/>
                <w:noProof/>
              </w:rPr>
              <w:t>Pharmacodynamics</w:t>
            </w:r>
            <w:r w:rsidR="00C9757C">
              <w:rPr>
                <w:noProof/>
                <w:webHidden/>
              </w:rPr>
              <w:tab/>
            </w:r>
            <w:r w:rsidR="00C9757C">
              <w:rPr>
                <w:noProof/>
                <w:webHidden/>
              </w:rPr>
              <w:fldChar w:fldCharType="begin"/>
            </w:r>
            <w:r w:rsidR="00C9757C">
              <w:rPr>
                <w:noProof/>
                <w:webHidden/>
              </w:rPr>
              <w:instrText xml:space="preserve"> PAGEREF _Toc484783880 \h </w:instrText>
            </w:r>
            <w:r w:rsidR="00C9757C">
              <w:rPr>
                <w:noProof/>
                <w:webHidden/>
              </w:rPr>
            </w:r>
            <w:r w:rsidR="00C9757C">
              <w:rPr>
                <w:noProof/>
                <w:webHidden/>
              </w:rPr>
              <w:fldChar w:fldCharType="separate"/>
            </w:r>
            <w:r w:rsidR="00E74840">
              <w:rPr>
                <w:noProof/>
                <w:webHidden/>
              </w:rPr>
              <w:t>12</w:t>
            </w:r>
            <w:r w:rsidR="00C9757C">
              <w:rPr>
                <w:noProof/>
                <w:webHidden/>
              </w:rPr>
              <w:fldChar w:fldCharType="end"/>
            </w:r>
          </w:hyperlink>
        </w:p>
        <w:p w14:paraId="6D041CDF" w14:textId="77777777" w:rsidR="00C9757C" w:rsidRDefault="008F361A">
          <w:pPr>
            <w:pStyle w:val="TOC3"/>
            <w:rPr>
              <w:rFonts w:asciiTheme="minorHAnsi" w:eastAsiaTheme="minorEastAsia" w:hAnsiTheme="minorHAnsi" w:cstheme="minorBidi"/>
              <w:noProof/>
              <w:lang w:eastAsia="en-AU"/>
            </w:rPr>
          </w:pPr>
          <w:hyperlink w:anchor="_Toc484783881" w:history="1">
            <w:r w:rsidR="00C9757C" w:rsidRPr="00ED7774">
              <w:rPr>
                <w:rStyle w:val="Hyperlink"/>
                <w:noProof/>
              </w:rPr>
              <w:t>Dosage selection for the pivotal studies</w:t>
            </w:r>
            <w:r w:rsidR="00C9757C">
              <w:rPr>
                <w:noProof/>
                <w:webHidden/>
              </w:rPr>
              <w:tab/>
            </w:r>
            <w:r w:rsidR="00C9757C">
              <w:rPr>
                <w:noProof/>
                <w:webHidden/>
              </w:rPr>
              <w:fldChar w:fldCharType="begin"/>
            </w:r>
            <w:r w:rsidR="00C9757C">
              <w:rPr>
                <w:noProof/>
                <w:webHidden/>
              </w:rPr>
              <w:instrText xml:space="preserve"> PAGEREF _Toc484783881 \h </w:instrText>
            </w:r>
            <w:r w:rsidR="00C9757C">
              <w:rPr>
                <w:noProof/>
                <w:webHidden/>
              </w:rPr>
            </w:r>
            <w:r w:rsidR="00C9757C">
              <w:rPr>
                <w:noProof/>
                <w:webHidden/>
              </w:rPr>
              <w:fldChar w:fldCharType="separate"/>
            </w:r>
            <w:r w:rsidR="00E74840">
              <w:rPr>
                <w:noProof/>
                <w:webHidden/>
              </w:rPr>
              <w:t>12</w:t>
            </w:r>
            <w:r w:rsidR="00C9757C">
              <w:rPr>
                <w:noProof/>
                <w:webHidden/>
              </w:rPr>
              <w:fldChar w:fldCharType="end"/>
            </w:r>
          </w:hyperlink>
        </w:p>
        <w:p w14:paraId="51D48588" w14:textId="77777777" w:rsidR="00C9757C" w:rsidRDefault="008F361A">
          <w:pPr>
            <w:pStyle w:val="TOC3"/>
            <w:rPr>
              <w:rFonts w:asciiTheme="minorHAnsi" w:eastAsiaTheme="minorEastAsia" w:hAnsiTheme="minorHAnsi" w:cstheme="minorBidi"/>
              <w:noProof/>
              <w:lang w:eastAsia="en-AU"/>
            </w:rPr>
          </w:pPr>
          <w:hyperlink w:anchor="_Toc484783882" w:history="1">
            <w:r w:rsidR="00C9757C" w:rsidRPr="00ED7774">
              <w:rPr>
                <w:rStyle w:val="Hyperlink"/>
                <w:noProof/>
              </w:rPr>
              <w:t>Efficacy</w:t>
            </w:r>
            <w:r w:rsidR="00C9757C">
              <w:rPr>
                <w:noProof/>
                <w:webHidden/>
              </w:rPr>
              <w:tab/>
            </w:r>
            <w:r w:rsidR="00C9757C">
              <w:rPr>
                <w:noProof/>
                <w:webHidden/>
              </w:rPr>
              <w:fldChar w:fldCharType="begin"/>
            </w:r>
            <w:r w:rsidR="00C9757C">
              <w:rPr>
                <w:noProof/>
                <w:webHidden/>
              </w:rPr>
              <w:instrText xml:space="preserve"> PAGEREF _Toc484783882 \h </w:instrText>
            </w:r>
            <w:r w:rsidR="00C9757C">
              <w:rPr>
                <w:noProof/>
                <w:webHidden/>
              </w:rPr>
            </w:r>
            <w:r w:rsidR="00C9757C">
              <w:rPr>
                <w:noProof/>
                <w:webHidden/>
              </w:rPr>
              <w:fldChar w:fldCharType="separate"/>
            </w:r>
            <w:r w:rsidR="00E74840">
              <w:rPr>
                <w:noProof/>
                <w:webHidden/>
              </w:rPr>
              <w:t>13</w:t>
            </w:r>
            <w:r w:rsidR="00C9757C">
              <w:rPr>
                <w:noProof/>
                <w:webHidden/>
              </w:rPr>
              <w:fldChar w:fldCharType="end"/>
            </w:r>
          </w:hyperlink>
        </w:p>
        <w:p w14:paraId="6113893F" w14:textId="77777777" w:rsidR="00C9757C" w:rsidRDefault="008F361A">
          <w:pPr>
            <w:pStyle w:val="TOC3"/>
            <w:rPr>
              <w:rFonts w:asciiTheme="minorHAnsi" w:eastAsiaTheme="minorEastAsia" w:hAnsiTheme="minorHAnsi" w:cstheme="minorBidi"/>
              <w:noProof/>
              <w:lang w:eastAsia="en-AU"/>
            </w:rPr>
          </w:pPr>
          <w:hyperlink w:anchor="_Toc484783883" w:history="1">
            <w:r w:rsidR="00C9757C" w:rsidRPr="00ED7774">
              <w:rPr>
                <w:rStyle w:val="Hyperlink"/>
                <w:noProof/>
              </w:rPr>
              <w:t>Safety</w:t>
            </w:r>
            <w:r w:rsidR="00C9757C">
              <w:rPr>
                <w:noProof/>
                <w:webHidden/>
              </w:rPr>
              <w:tab/>
            </w:r>
            <w:r w:rsidR="00C9757C">
              <w:rPr>
                <w:noProof/>
                <w:webHidden/>
              </w:rPr>
              <w:fldChar w:fldCharType="begin"/>
            </w:r>
            <w:r w:rsidR="00C9757C">
              <w:rPr>
                <w:noProof/>
                <w:webHidden/>
              </w:rPr>
              <w:instrText xml:space="preserve"> PAGEREF _Toc484783883 \h </w:instrText>
            </w:r>
            <w:r w:rsidR="00C9757C">
              <w:rPr>
                <w:noProof/>
                <w:webHidden/>
              </w:rPr>
            </w:r>
            <w:r w:rsidR="00C9757C">
              <w:rPr>
                <w:noProof/>
                <w:webHidden/>
              </w:rPr>
              <w:fldChar w:fldCharType="separate"/>
            </w:r>
            <w:r w:rsidR="00E74840">
              <w:rPr>
                <w:noProof/>
                <w:webHidden/>
              </w:rPr>
              <w:t>16</w:t>
            </w:r>
            <w:r w:rsidR="00C9757C">
              <w:rPr>
                <w:noProof/>
                <w:webHidden/>
              </w:rPr>
              <w:fldChar w:fldCharType="end"/>
            </w:r>
          </w:hyperlink>
        </w:p>
        <w:p w14:paraId="458523BB" w14:textId="77777777" w:rsidR="00C9757C" w:rsidRDefault="008F361A">
          <w:pPr>
            <w:pStyle w:val="TOC3"/>
            <w:rPr>
              <w:rFonts w:asciiTheme="minorHAnsi" w:eastAsiaTheme="minorEastAsia" w:hAnsiTheme="minorHAnsi" w:cstheme="minorBidi"/>
              <w:noProof/>
              <w:lang w:eastAsia="en-AU"/>
            </w:rPr>
          </w:pPr>
          <w:hyperlink w:anchor="_Toc484783884" w:history="1">
            <w:r w:rsidR="00C9757C" w:rsidRPr="00ED7774">
              <w:rPr>
                <w:rStyle w:val="Hyperlink"/>
                <w:noProof/>
              </w:rPr>
              <w:t>First round benefit-risk assessment</w:t>
            </w:r>
            <w:r w:rsidR="00C9757C">
              <w:rPr>
                <w:noProof/>
                <w:webHidden/>
              </w:rPr>
              <w:tab/>
            </w:r>
            <w:r w:rsidR="00C9757C">
              <w:rPr>
                <w:noProof/>
                <w:webHidden/>
              </w:rPr>
              <w:fldChar w:fldCharType="begin"/>
            </w:r>
            <w:r w:rsidR="00C9757C">
              <w:rPr>
                <w:noProof/>
                <w:webHidden/>
              </w:rPr>
              <w:instrText xml:space="preserve"> PAGEREF _Toc484783884 \h </w:instrText>
            </w:r>
            <w:r w:rsidR="00C9757C">
              <w:rPr>
                <w:noProof/>
                <w:webHidden/>
              </w:rPr>
            </w:r>
            <w:r w:rsidR="00C9757C">
              <w:rPr>
                <w:noProof/>
                <w:webHidden/>
              </w:rPr>
              <w:fldChar w:fldCharType="separate"/>
            </w:r>
            <w:r w:rsidR="00E74840">
              <w:rPr>
                <w:noProof/>
                <w:webHidden/>
              </w:rPr>
              <w:t>22</w:t>
            </w:r>
            <w:r w:rsidR="00C9757C">
              <w:rPr>
                <w:noProof/>
                <w:webHidden/>
              </w:rPr>
              <w:fldChar w:fldCharType="end"/>
            </w:r>
          </w:hyperlink>
        </w:p>
        <w:p w14:paraId="1FB8A1B7" w14:textId="77777777" w:rsidR="00C9757C" w:rsidRDefault="008F361A">
          <w:pPr>
            <w:pStyle w:val="TOC3"/>
            <w:rPr>
              <w:rFonts w:asciiTheme="minorHAnsi" w:eastAsiaTheme="minorEastAsia" w:hAnsiTheme="minorHAnsi" w:cstheme="minorBidi"/>
              <w:noProof/>
              <w:lang w:eastAsia="en-AU"/>
            </w:rPr>
          </w:pPr>
          <w:hyperlink w:anchor="_Toc484783885" w:history="1">
            <w:r w:rsidR="00C9757C" w:rsidRPr="00ED7774">
              <w:rPr>
                <w:rStyle w:val="Hyperlink"/>
                <w:noProof/>
              </w:rPr>
              <w:t>First round recommendation regarding authorisation</w:t>
            </w:r>
            <w:r w:rsidR="00C9757C">
              <w:rPr>
                <w:noProof/>
                <w:webHidden/>
              </w:rPr>
              <w:tab/>
            </w:r>
            <w:r w:rsidR="00C9757C">
              <w:rPr>
                <w:noProof/>
                <w:webHidden/>
              </w:rPr>
              <w:fldChar w:fldCharType="begin"/>
            </w:r>
            <w:r w:rsidR="00C9757C">
              <w:rPr>
                <w:noProof/>
                <w:webHidden/>
              </w:rPr>
              <w:instrText xml:space="preserve"> PAGEREF _Toc484783885 \h </w:instrText>
            </w:r>
            <w:r w:rsidR="00C9757C">
              <w:rPr>
                <w:noProof/>
                <w:webHidden/>
              </w:rPr>
            </w:r>
            <w:r w:rsidR="00C9757C">
              <w:rPr>
                <w:noProof/>
                <w:webHidden/>
              </w:rPr>
              <w:fldChar w:fldCharType="separate"/>
            </w:r>
            <w:r w:rsidR="00E74840">
              <w:rPr>
                <w:noProof/>
                <w:webHidden/>
              </w:rPr>
              <w:t>24</w:t>
            </w:r>
            <w:r w:rsidR="00C9757C">
              <w:rPr>
                <w:noProof/>
                <w:webHidden/>
              </w:rPr>
              <w:fldChar w:fldCharType="end"/>
            </w:r>
          </w:hyperlink>
        </w:p>
        <w:p w14:paraId="0920A8B9" w14:textId="77777777" w:rsidR="00C9757C" w:rsidRDefault="008F361A">
          <w:pPr>
            <w:pStyle w:val="TOC3"/>
            <w:rPr>
              <w:rFonts w:asciiTheme="minorHAnsi" w:eastAsiaTheme="minorEastAsia" w:hAnsiTheme="minorHAnsi" w:cstheme="minorBidi"/>
              <w:noProof/>
              <w:lang w:eastAsia="en-AU"/>
            </w:rPr>
          </w:pPr>
          <w:hyperlink w:anchor="_Toc484783886" w:history="1">
            <w:r w:rsidR="00C9757C" w:rsidRPr="00ED7774">
              <w:rPr>
                <w:rStyle w:val="Hyperlink"/>
                <w:noProof/>
              </w:rPr>
              <w:t>Clinical questions</w:t>
            </w:r>
            <w:r w:rsidR="00C9757C">
              <w:rPr>
                <w:noProof/>
                <w:webHidden/>
              </w:rPr>
              <w:tab/>
            </w:r>
            <w:r w:rsidR="00C9757C">
              <w:rPr>
                <w:noProof/>
                <w:webHidden/>
              </w:rPr>
              <w:fldChar w:fldCharType="begin"/>
            </w:r>
            <w:r w:rsidR="00C9757C">
              <w:rPr>
                <w:noProof/>
                <w:webHidden/>
              </w:rPr>
              <w:instrText xml:space="preserve"> PAGEREF _Toc484783886 \h </w:instrText>
            </w:r>
            <w:r w:rsidR="00C9757C">
              <w:rPr>
                <w:noProof/>
                <w:webHidden/>
              </w:rPr>
            </w:r>
            <w:r w:rsidR="00C9757C">
              <w:rPr>
                <w:noProof/>
                <w:webHidden/>
              </w:rPr>
              <w:fldChar w:fldCharType="separate"/>
            </w:r>
            <w:r w:rsidR="00E74840">
              <w:rPr>
                <w:noProof/>
                <w:webHidden/>
              </w:rPr>
              <w:t>24</w:t>
            </w:r>
            <w:r w:rsidR="00C9757C">
              <w:rPr>
                <w:noProof/>
                <w:webHidden/>
              </w:rPr>
              <w:fldChar w:fldCharType="end"/>
            </w:r>
          </w:hyperlink>
        </w:p>
        <w:p w14:paraId="44F5805F" w14:textId="77777777" w:rsidR="00C9757C" w:rsidRDefault="008F361A">
          <w:pPr>
            <w:pStyle w:val="TOC3"/>
            <w:rPr>
              <w:rFonts w:asciiTheme="minorHAnsi" w:eastAsiaTheme="minorEastAsia" w:hAnsiTheme="minorHAnsi" w:cstheme="minorBidi"/>
              <w:noProof/>
              <w:lang w:eastAsia="en-AU"/>
            </w:rPr>
          </w:pPr>
          <w:hyperlink w:anchor="_Toc484783887" w:history="1">
            <w:r w:rsidR="00C9757C" w:rsidRPr="00ED7774">
              <w:rPr>
                <w:rStyle w:val="Hyperlink"/>
                <w:noProof/>
              </w:rPr>
              <w:t>Second round evaluation</w:t>
            </w:r>
            <w:r w:rsidR="00C9757C">
              <w:rPr>
                <w:noProof/>
                <w:webHidden/>
              </w:rPr>
              <w:tab/>
            </w:r>
            <w:r w:rsidR="00C9757C">
              <w:rPr>
                <w:noProof/>
                <w:webHidden/>
              </w:rPr>
              <w:fldChar w:fldCharType="begin"/>
            </w:r>
            <w:r w:rsidR="00C9757C">
              <w:rPr>
                <w:noProof/>
                <w:webHidden/>
              </w:rPr>
              <w:instrText xml:space="preserve"> PAGEREF _Toc484783887 \h </w:instrText>
            </w:r>
            <w:r w:rsidR="00C9757C">
              <w:rPr>
                <w:noProof/>
                <w:webHidden/>
              </w:rPr>
            </w:r>
            <w:r w:rsidR="00C9757C">
              <w:rPr>
                <w:noProof/>
                <w:webHidden/>
              </w:rPr>
              <w:fldChar w:fldCharType="separate"/>
            </w:r>
            <w:r w:rsidR="00E74840">
              <w:rPr>
                <w:noProof/>
                <w:webHidden/>
              </w:rPr>
              <w:t>25</w:t>
            </w:r>
            <w:r w:rsidR="00C9757C">
              <w:rPr>
                <w:noProof/>
                <w:webHidden/>
              </w:rPr>
              <w:fldChar w:fldCharType="end"/>
            </w:r>
          </w:hyperlink>
        </w:p>
        <w:p w14:paraId="194A9B13" w14:textId="77777777" w:rsidR="00C9757C" w:rsidRDefault="008F361A">
          <w:pPr>
            <w:pStyle w:val="TOC3"/>
            <w:rPr>
              <w:rFonts w:asciiTheme="minorHAnsi" w:eastAsiaTheme="minorEastAsia" w:hAnsiTheme="minorHAnsi" w:cstheme="minorBidi"/>
              <w:noProof/>
              <w:lang w:eastAsia="en-AU"/>
            </w:rPr>
          </w:pPr>
          <w:hyperlink w:anchor="_Toc484783888" w:history="1">
            <w:r w:rsidR="00C9757C" w:rsidRPr="00ED7774">
              <w:rPr>
                <w:rStyle w:val="Hyperlink"/>
                <w:noProof/>
              </w:rPr>
              <w:t>Second round benefit-risk assessment</w:t>
            </w:r>
            <w:r w:rsidR="00C9757C">
              <w:rPr>
                <w:noProof/>
                <w:webHidden/>
              </w:rPr>
              <w:tab/>
            </w:r>
            <w:r w:rsidR="00C9757C">
              <w:rPr>
                <w:noProof/>
                <w:webHidden/>
              </w:rPr>
              <w:fldChar w:fldCharType="begin"/>
            </w:r>
            <w:r w:rsidR="00C9757C">
              <w:rPr>
                <w:noProof/>
                <w:webHidden/>
              </w:rPr>
              <w:instrText xml:space="preserve"> PAGEREF _Toc484783888 \h </w:instrText>
            </w:r>
            <w:r w:rsidR="00C9757C">
              <w:rPr>
                <w:noProof/>
                <w:webHidden/>
              </w:rPr>
            </w:r>
            <w:r w:rsidR="00C9757C">
              <w:rPr>
                <w:noProof/>
                <w:webHidden/>
              </w:rPr>
              <w:fldChar w:fldCharType="separate"/>
            </w:r>
            <w:r w:rsidR="00E74840">
              <w:rPr>
                <w:noProof/>
                <w:webHidden/>
              </w:rPr>
              <w:t>25</w:t>
            </w:r>
            <w:r w:rsidR="00C9757C">
              <w:rPr>
                <w:noProof/>
                <w:webHidden/>
              </w:rPr>
              <w:fldChar w:fldCharType="end"/>
            </w:r>
          </w:hyperlink>
        </w:p>
        <w:p w14:paraId="5E2BE438" w14:textId="77777777" w:rsidR="00C9757C" w:rsidRDefault="008F361A">
          <w:pPr>
            <w:pStyle w:val="TOC3"/>
            <w:rPr>
              <w:rFonts w:asciiTheme="minorHAnsi" w:eastAsiaTheme="minorEastAsia" w:hAnsiTheme="minorHAnsi" w:cstheme="minorBidi"/>
              <w:noProof/>
              <w:lang w:eastAsia="en-AU"/>
            </w:rPr>
          </w:pPr>
          <w:hyperlink w:anchor="_Toc484783889" w:history="1">
            <w:r w:rsidR="00C9757C" w:rsidRPr="00ED7774">
              <w:rPr>
                <w:rStyle w:val="Hyperlink"/>
                <w:noProof/>
              </w:rPr>
              <w:t>Second round recommendation regarding authorisation</w:t>
            </w:r>
            <w:r w:rsidR="00C9757C">
              <w:rPr>
                <w:noProof/>
                <w:webHidden/>
              </w:rPr>
              <w:tab/>
            </w:r>
            <w:r w:rsidR="00C9757C">
              <w:rPr>
                <w:noProof/>
                <w:webHidden/>
              </w:rPr>
              <w:fldChar w:fldCharType="begin"/>
            </w:r>
            <w:r w:rsidR="00C9757C">
              <w:rPr>
                <w:noProof/>
                <w:webHidden/>
              </w:rPr>
              <w:instrText xml:space="preserve"> PAGEREF _Toc484783889 \h </w:instrText>
            </w:r>
            <w:r w:rsidR="00C9757C">
              <w:rPr>
                <w:noProof/>
                <w:webHidden/>
              </w:rPr>
            </w:r>
            <w:r w:rsidR="00C9757C">
              <w:rPr>
                <w:noProof/>
                <w:webHidden/>
              </w:rPr>
              <w:fldChar w:fldCharType="separate"/>
            </w:r>
            <w:r w:rsidR="00E74840">
              <w:rPr>
                <w:noProof/>
                <w:webHidden/>
              </w:rPr>
              <w:t>26</w:t>
            </w:r>
            <w:r w:rsidR="00C9757C">
              <w:rPr>
                <w:noProof/>
                <w:webHidden/>
              </w:rPr>
              <w:fldChar w:fldCharType="end"/>
            </w:r>
          </w:hyperlink>
        </w:p>
        <w:p w14:paraId="54DF1AA6" w14:textId="77777777" w:rsidR="00C9757C" w:rsidRDefault="008F361A">
          <w:pPr>
            <w:pStyle w:val="TOC2"/>
            <w:rPr>
              <w:rFonts w:asciiTheme="minorHAnsi" w:eastAsiaTheme="minorEastAsia" w:hAnsiTheme="minorHAnsi" w:cstheme="minorBidi"/>
              <w:b w:val="0"/>
              <w:noProof/>
              <w:sz w:val="22"/>
              <w:lang w:eastAsia="en-AU"/>
            </w:rPr>
          </w:pPr>
          <w:hyperlink w:anchor="_Toc484783890" w:history="1">
            <w:r w:rsidR="00C9757C" w:rsidRPr="00ED7774">
              <w:rPr>
                <w:rStyle w:val="Hyperlink"/>
                <w:noProof/>
              </w:rPr>
              <w:t>V. Pharmacovigilance findings</w:t>
            </w:r>
            <w:r w:rsidR="00C9757C">
              <w:rPr>
                <w:noProof/>
                <w:webHidden/>
              </w:rPr>
              <w:tab/>
            </w:r>
            <w:r w:rsidR="00C9757C">
              <w:rPr>
                <w:noProof/>
                <w:webHidden/>
              </w:rPr>
              <w:fldChar w:fldCharType="begin"/>
            </w:r>
            <w:r w:rsidR="00C9757C">
              <w:rPr>
                <w:noProof/>
                <w:webHidden/>
              </w:rPr>
              <w:instrText xml:space="preserve"> PAGEREF _Toc484783890 \h </w:instrText>
            </w:r>
            <w:r w:rsidR="00C9757C">
              <w:rPr>
                <w:noProof/>
                <w:webHidden/>
              </w:rPr>
            </w:r>
            <w:r w:rsidR="00C9757C">
              <w:rPr>
                <w:noProof/>
                <w:webHidden/>
              </w:rPr>
              <w:fldChar w:fldCharType="separate"/>
            </w:r>
            <w:r w:rsidR="00E74840">
              <w:rPr>
                <w:noProof/>
                <w:webHidden/>
              </w:rPr>
              <w:t>26</w:t>
            </w:r>
            <w:r w:rsidR="00C9757C">
              <w:rPr>
                <w:noProof/>
                <w:webHidden/>
              </w:rPr>
              <w:fldChar w:fldCharType="end"/>
            </w:r>
          </w:hyperlink>
        </w:p>
        <w:p w14:paraId="0E0E3823" w14:textId="77777777" w:rsidR="00C9757C" w:rsidRDefault="008F361A">
          <w:pPr>
            <w:pStyle w:val="TOC3"/>
            <w:rPr>
              <w:rFonts w:asciiTheme="minorHAnsi" w:eastAsiaTheme="minorEastAsia" w:hAnsiTheme="minorHAnsi" w:cstheme="minorBidi"/>
              <w:noProof/>
              <w:lang w:eastAsia="en-AU"/>
            </w:rPr>
          </w:pPr>
          <w:hyperlink w:anchor="_Toc484783891" w:history="1">
            <w:r w:rsidR="00C9757C" w:rsidRPr="00ED7774">
              <w:rPr>
                <w:rStyle w:val="Hyperlink"/>
                <w:noProof/>
                <w:lang w:eastAsia="en-AU"/>
              </w:rPr>
              <w:t>Risk management plan</w:t>
            </w:r>
            <w:r w:rsidR="00C9757C">
              <w:rPr>
                <w:noProof/>
                <w:webHidden/>
              </w:rPr>
              <w:tab/>
            </w:r>
            <w:r w:rsidR="00C9757C">
              <w:rPr>
                <w:noProof/>
                <w:webHidden/>
              </w:rPr>
              <w:fldChar w:fldCharType="begin"/>
            </w:r>
            <w:r w:rsidR="00C9757C">
              <w:rPr>
                <w:noProof/>
                <w:webHidden/>
              </w:rPr>
              <w:instrText xml:space="preserve"> PAGEREF _Toc484783891 \h </w:instrText>
            </w:r>
            <w:r w:rsidR="00C9757C">
              <w:rPr>
                <w:noProof/>
                <w:webHidden/>
              </w:rPr>
            </w:r>
            <w:r w:rsidR="00C9757C">
              <w:rPr>
                <w:noProof/>
                <w:webHidden/>
              </w:rPr>
              <w:fldChar w:fldCharType="separate"/>
            </w:r>
            <w:r w:rsidR="00E74840">
              <w:rPr>
                <w:noProof/>
                <w:webHidden/>
              </w:rPr>
              <w:t>26</w:t>
            </w:r>
            <w:r w:rsidR="00C9757C">
              <w:rPr>
                <w:noProof/>
                <w:webHidden/>
              </w:rPr>
              <w:fldChar w:fldCharType="end"/>
            </w:r>
          </w:hyperlink>
        </w:p>
        <w:p w14:paraId="528C446C" w14:textId="77777777" w:rsidR="00C9757C" w:rsidRDefault="008F361A">
          <w:pPr>
            <w:pStyle w:val="TOC2"/>
            <w:rPr>
              <w:rFonts w:asciiTheme="minorHAnsi" w:eastAsiaTheme="minorEastAsia" w:hAnsiTheme="minorHAnsi" w:cstheme="minorBidi"/>
              <w:b w:val="0"/>
              <w:noProof/>
              <w:sz w:val="22"/>
              <w:lang w:eastAsia="en-AU"/>
            </w:rPr>
          </w:pPr>
          <w:hyperlink w:anchor="_Toc484783892" w:history="1">
            <w:r w:rsidR="00C9757C" w:rsidRPr="00ED7774">
              <w:rPr>
                <w:rStyle w:val="Hyperlink"/>
                <w:noProof/>
              </w:rPr>
              <w:t>VI. Overall conclusion and risk/benefit assessment</w:t>
            </w:r>
            <w:r w:rsidR="00C9757C">
              <w:rPr>
                <w:noProof/>
                <w:webHidden/>
              </w:rPr>
              <w:tab/>
            </w:r>
            <w:r w:rsidR="00C9757C">
              <w:rPr>
                <w:noProof/>
                <w:webHidden/>
              </w:rPr>
              <w:fldChar w:fldCharType="begin"/>
            </w:r>
            <w:r w:rsidR="00C9757C">
              <w:rPr>
                <w:noProof/>
                <w:webHidden/>
              </w:rPr>
              <w:instrText xml:space="preserve"> PAGEREF _Toc484783892 \h </w:instrText>
            </w:r>
            <w:r w:rsidR="00C9757C">
              <w:rPr>
                <w:noProof/>
                <w:webHidden/>
              </w:rPr>
            </w:r>
            <w:r w:rsidR="00C9757C">
              <w:rPr>
                <w:noProof/>
                <w:webHidden/>
              </w:rPr>
              <w:fldChar w:fldCharType="separate"/>
            </w:r>
            <w:r w:rsidR="00E74840">
              <w:rPr>
                <w:noProof/>
                <w:webHidden/>
              </w:rPr>
              <w:t>27</w:t>
            </w:r>
            <w:r w:rsidR="00C9757C">
              <w:rPr>
                <w:noProof/>
                <w:webHidden/>
              </w:rPr>
              <w:fldChar w:fldCharType="end"/>
            </w:r>
          </w:hyperlink>
        </w:p>
        <w:p w14:paraId="6A29B56E" w14:textId="77777777" w:rsidR="00C9757C" w:rsidRDefault="008F361A">
          <w:pPr>
            <w:pStyle w:val="TOC3"/>
            <w:rPr>
              <w:rFonts w:asciiTheme="minorHAnsi" w:eastAsiaTheme="minorEastAsia" w:hAnsiTheme="minorHAnsi" w:cstheme="minorBidi"/>
              <w:noProof/>
              <w:lang w:eastAsia="en-AU"/>
            </w:rPr>
          </w:pPr>
          <w:hyperlink w:anchor="_Toc484783893" w:history="1">
            <w:r w:rsidR="00C9757C" w:rsidRPr="00ED7774">
              <w:rPr>
                <w:rStyle w:val="Hyperlink"/>
                <w:noProof/>
              </w:rPr>
              <w:t>Quality</w:t>
            </w:r>
            <w:r w:rsidR="00C9757C">
              <w:rPr>
                <w:noProof/>
                <w:webHidden/>
              </w:rPr>
              <w:tab/>
            </w:r>
            <w:r w:rsidR="00C9757C">
              <w:rPr>
                <w:noProof/>
                <w:webHidden/>
              </w:rPr>
              <w:fldChar w:fldCharType="begin"/>
            </w:r>
            <w:r w:rsidR="00C9757C">
              <w:rPr>
                <w:noProof/>
                <w:webHidden/>
              </w:rPr>
              <w:instrText xml:space="preserve"> PAGEREF _Toc484783893 \h </w:instrText>
            </w:r>
            <w:r w:rsidR="00C9757C">
              <w:rPr>
                <w:noProof/>
                <w:webHidden/>
              </w:rPr>
            </w:r>
            <w:r w:rsidR="00C9757C">
              <w:rPr>
                <w:noProof/>
                <w:webHidden/>
              </w:rPr>
              <w:fldChar w:fldCharType="separate"/>
            </w:r>
            <w:r w:rsidR="00E74840">
              <w:rPr>
                <w:noProof/>
                <w:webHidden/>
              </w:rPr>
              <w:t>28</w:t>
            </w:r>
            <w:r w:rsidR="00C9757C">
              <w:rPr>
                <w:noProof/>
                <w:webHidden/>
              </w:rPr>
              <w:fldChar w:fldCharType="end"/>
            </w:r>
          </w:hyperlink>
        </w:p>
        <w:p w14:paraId="5D2220C4" w14:textId="77777777" w:rsidR="00C9757C" w:rsidRDefault="008F361A">
          <w:pPr>
            <w:pStyle w:val="TOC3"/>
            <w:rPr>
              <w:rFonts w:asciiTheme="minorHAnsi" w:eastAsiaTheme="minorEastAsia" w:hAnsiTheme="minorHAnsi" w:cstheme="minorBidi"/>
              <w:noProof/>
              <w:lang w:eastAsia="en-AU"/>
            </w:rPr>
          </w:pPr>
          <w:hyperlink w:anchor="_Toc484783894" w:history="1">
            <w:r w:rsidR="00C9757C" w:rsidRPr="00ED7774">
              <w:rPr>
                <w:rStyle w:val="Hyperlink"/>
                <w:noProof/>
              </w:rPr>
              <w:t>Nonclinical</w:t>
            </w:r>
            <w:r w:rsidR="00C9757C">
              <w:rPr>
                <w:noProof/>
                <w:webHidden/>
              </w:rPr>
              <w:tab/>
            </w:r>
            <w:r w:rsidR="00C9757C">
              <w:rPr>
                <w:noProof/>
                <w:webHidden/>
              </w:rPr>
              <w:fldChar w:fldCharType="begin"/>
            </w:r>
            <w:r w:rsidR="00C9757C">
              <w:rPr>
                <w:noProof/>
                <w:webHidden/>
              </w:rPr>
              <w:instrText xml:space="preserve"> PAGEREF _Toc484783894 \h </w:instrText>
            </w:r>
            <w:r w:rsidR="00C9757C">
              <w:rPr>
                <w:noProof/>
                <w:webHidden/>
              </w:rPr>
            </w:r>
            <w:r w:rsidR="00C9757C">
              <w:rPr>
                <w:noProof/>
                <w:webHidden/>
              </w:rPr>
              <w:fldChar w:fldCharType="separate"/>
            </w:r>
            <w:r w:rsidR="00E74840">
              <w:rPr>
                <w:noProof/>
                <w:webHidden/>
              </w:rPr>
              <w:t>28</w:t>
            </w:r>
            <w:r w:rsidR="00C9757C">
              <w:rPr>
                <w:noProof/>
                <w:webHidden/>
              </w:rPr>
              <w:fldChar w:fldCharType="end"/>
            </w:r>
          </w:hyperlink>
        </w:p>
        <w:p w14:paraId="014FD6F3" w14:textId="77777777" w:rsidR="00C9757C" w:rsidRDefault="008F361A">
          <w:pPr>
            <w:pStyle w:val="TOC3"/>
            <w:rPr>
              <w:rFonts w:asciiTheme="minorHAnsi" w:eastAsiaTheme="minorEastAsia" w:hAnsiTheme="minorHAnsi" w:cstheme="minorBidi"/>
              <w:noProof/>
              <w:lang w:eastAsia="en-AU"/>
            </w:rPr>
          </w:pPr>
          <w:hyperlink w:anchor="_Toc484783895" w:history="1">
            <w:r w:rsidR="00C9757C" w:rsidRPr="00ED7774">
              <w:rPr>
                <w:rStyle w:val="Hyperlink"/>
                <w:noProof/>
              </w:rPr>
              <w:t>Clinical</w:t>
            </w:r>
            <w:r w:rsidR="00C9757C">
              <w:rPr>
                <w:noProof/>
                <w:webHidden/>
              </w:rPr>
              <w:tab/>
            </w:r>
            <w:r w:rsidR="00C9757C">
              <w:rPr>
                <w:noProof/>
                <w:webHidden/>
              </w:rPr>
              <w:fldChar w:fldCharType="begin"/>
            </w:r>
            <w:r w:rsidR="00C9757C">
              <w:rPr>
                <w:noProof/>
                <w:webHidden/>
              </w:rPr>
              <w:instrText xml:space="preserve"> PAGEREF _Toc484783895 \h </w:instrText>
            </w:r>
            <w:r w:rsidR="00C9757C">
              <w:rPr>
                <w:noProof/>
                <w:webHidden/>
              </w:rPr>
            </w:r>
            <w:r w:rsidR="00C9757C">
              <w:rPr>
                <w:noProof/>
                <w:webHidden/>
              </w:rPr>
              <w:fldChar w:fldCharType="separate"/>
            </w:r>
            <w:r w:rsidR="00E74840">
              <w:rPr>
                <w:noProof/>
                <w:webHidden/>
              </w:rPr>
              <w:t>28</w:t>
            </w:r>
            <w:r w:rsidR="00C9757C">
              <w:rPr>
                <w:noProof/>
                <w:webHidden/>
              </w:rPr>
              <w:fldChar w:fldCharType="end"/>
            </w:r>
          </w:hyperlink>
        </w:p>
        <w:p w14:paraId="6EF5D049" w14:textId="77777777" w:rsidR="00C9757C" w:rsidRDefault="008F361A">
          <w:pPr>
            <w:pStyle w:val="TOC3"/>
            <w:rPr>
              <w:rFonts w:asciiTheme="minorHAnsi" w:eastAsiaTheme="minorEastAsia" w:hAnsiTheme="minorHAnsi" w:cstheme="minorBidi"/>
              <w:noProof/>
              <w:lang w:eastAsia="en-AU"/>
            </w:rPr>
          </w:pPr>
          <w:hyperlink w:anchor="_Toc484783896" w:history="1">
            <w:r w:rsidR="00C9757C" w:rsidRPr="00ED7774">
              <w:rPr>
                <w:rStyle w:val="Hyperlink"/>
                <w:noProof/>
                <w:lang w:eastAsia="en-AU"/>
              </w:rPr>
              <w:t>Risk management plan</w:t>
            </w:r>
            <w:r w:rsidR="00C9757C">
              <w:rPr>
                <w:noProof/>
                <w:webHidden/>
              </w:rPr>
              <w:tab/>
            </w:r>
            <w:r w:rsidR="00C9757C">
              <w:rPr>
                <w:noProof/>
                <w:webHidden/>
              </w:rPr>
              <w:fldChar w:fldCharType="begin"/>
            </w:r>
            <w:r w:rsidR="00C9757C">
              <w:rPr>
                <w:noProof/>
                <w:webHidden/>
              </w:rPr>
              <w:instrText xml:space="preserve"> PAGEREF _Toc484783896 \h </w:instrText>
            </w:r>
            <w:r w:rsidR="00C9757C">
              <w:rPr>
                <w:noProof/>
                <w:webHidden/>
              </w:rPr>
            </w:r>
            <w:r w:rsidR="00C9757C">
              <w:rPr>
                <w:noProof/>
                <w:webHidden/>
              </w:rPr>
              <w:fldChar w:fldCharType="separate"/>
            </w:r>
            <w:r w:rsidR="00E74840">
              <w:rPr>
                <w:noProof/>
                <w:webHidden/>
              </w:rPr>
              <w:t>30</w:t>
            </w:r>
            <w:r w:rsidR="00C9757C">
              <w:rPr>
                <w:noProof/>
                <w:webHidden/>
              </w:rPr>
              <w:fldChar w:fldCharType="end"/>
            </w:r>
          </w:hyperlink>
        </w:p>
        <w:p w14:paraId="67448092" w14:textId="77777777" w:rsidR="00C9757C" w:rsidRDefault="008F361A">
          <w:pPr>
            <w:pStyle w:val="TOC3"/>
            <w:rPr>
              <w:rFonts w:asciiTheme="minorHAnsi" w:eastAsiaTheme="minorEastAsia" w:hAnsiTheme="minorHAnsi" w:cstheme="minorBidi"/>
              <w:noProof/>
              <w:lang w:eastAsia="en-AU"/>
            </w:rPr>
          </w:pPr>
          <w:hyperlink w:anchor="_Toc484783897" w:history="1">
            <w:r w:rsidR="00C9757C" w:rsidRPr="00ED7774">
              <w:rPr>
                <w:rStyle w:val="Hyperlink"/>
                <w:noProof/>
              </w:rPr>
              <w:t>Risk-benefit analysis</w:t>
            </w:r>
            <w:r w:rsidR="00C9757C">
              <w:rPr>
                <w:noProof/>
                <w:webHidden/>
              </w:rPr>
              <w:tab/>
            </w:r>
            <w:r w:rsidR="00C9757C">
              <w:rPr>
                <w:noProof/>
                <w:webHidden/>
              </w:rPr>
              <w:fldChar w:fldCharType="begin"/>
            </w:r>
            <w:r w:rsidR="00C9757C">
              <w:rPr>
                <w:noProof/>
                <w:webHidden/>
              </w:rPr>
              <w:instrText xml:space="preserve"> PAGEREF _Toc484783897 \h </w:instrText>
            </w:r>
            <w:r w:rsidR="00C9757C">
              <w:rPr>
                <w:noProof/>
                <w:webHidden/>
              </w:rPr>
            </w:r>
            <w:r w:rsidR="00C9757C">
              <w:rPr>
                <w:noProof/>
                <w:webHidden/>
              </w:rPr>
              <w:fldChar w:fldCharType="separate"/>
            </w:r>
            <w:r w:rsidR="00E74840">
              <w:rPr>
                <w:noProof/>
                <w:webHidden/>
              </w:rPr>
              <w:t>30</w:t>
            </w:r>
            <w:r w:rsidR="00C9757C">
              <w:rPr>
                <w:noProof/>
                <w:webHidden/>
              </w:rPr>
              <w:fldChar w:fldCharType="end"/>
            </w:r>
          </w:hyperlink>
        </w:p>
        <w:p w14:paraId="4A05569A" w14:textId="77777777" w:rsidR="00C9757C" w:rsidRDefault="008F361A">
          <w:pPr>
            <w:pStyle w:val="TOC3"/>
            <w:rPr>
              <w:rFonts w:asciiTheme="minorHAnsi" w:eastAsiaTheme="minorEastAsia" w:hAnsiTheme="minorHAnsi" w:cstheme="minorBidi"/>
              <w:noProof/>
              <w:lang w:eastAsia="en-AU"/>
            </w:rPr>
          </w:pPr>
          <w:hyperlink w:anchor="_Toc484783898" w:history="1">
            <w:r w:rsidR="00C9757C" w:rsidRPr="00ED7774">
              <w:rPr>
                <w:rStyle w:val="Hyperlink"/>
                <w:noProof/>
              </w:rPr>
              <w:t>Outcome</w:t>
            </w:r>
            <w:r w:rsidR="00C9757C">
              <w:rPr>
                <w:noProof/>
                <w:webHidden/>
              </w:rPr>
              <w:tab/>
            </w:r>
            <w:r w:rsidR="00C9757C">
              <w:rPr>
                <w:noProof/>
                <w:webHidden/>
              </w:rPr>
              <w:fldChar w:fldCharType="begin"/>
            </w:r>
            <w:r w:rsidR="00C9757C">
              <w:rPr>
                <w:noProof/>
                <w:webHidden/>
              </w:rPr>
              <w:instrText xml:space="preserve"> PAGEREF _Toc484783898 \h </w:instrText>
            </w:r>
            <w:r w:rsidR="00C9757C">
              <w:rPr>
                <w:noProof/>
                <w:webHidden/>
              </w:rPr>
            </w:r>
            <w:r w:rsidR="00C9757C">
              <w:rPr>
                <w:noProof/>
                <w:webHidden/>
              </w:rPr>
              <w:fldChar w:fldCharType="separate"/>
            </w:r>
            <w:r w:rsidR="00E74840">
              <w:rPr>
                <w:noProof/>
                <w:webHidden/>
              </w:rPr>
              <w:t>40</w:t>
            </w:r>
            <w:r w:rsidR="00C9757C">
              <w:rPr>
                <w:noProof/>
                <w:webHidden/>
              </w:rPr>
              <w:fldChar w:fldCharType="end"/>
            </w:r>
          </w:hyperlink>
        </w:p>
        <w:p w14:paraId="49D82B8F" w14:textId="77777777" w:rsidR="00C9757C" w:rsidRDefault="008F361A">
          <w:pPr>
            <w:pStyle w:val="TOC2"/>
            <w:rPr>
              <w:rFonts w:asciiTheme="minorHAnsi" w:eastAsiaTheme="minorEastAsia" w:hAnsiTheme="minorHAnsi" w:cstheme="minorBidi"/>
              <w:b w:val="0"/>
              <w:noProof/>
              <w:sz w:val="22"/>
              <w:lang w:eastAsia="en-AU"/>
            </w:rPr>
          </w:pPr>
          <w:hyperlink w:anchor="_Toc484783899" w:history="1">
            <w:r w:rsidR="00C9757C" w:rsidRPr="00ED7774">
              <w:rPr>
                <w:rStyle w:val="Hyperlink"/>
                <w:noProof/>
              </w:rPr>
              <w:t>Attachment 1. Product Information</w:t>
            </w:r>
            <w:r w:rsidR="00C9757C">
              <w:rPr>
                <w:noProof/>
                <w:webHidden/>
              </w:rPr>
              <w:tab/>
            </w:r>
            <w:r w:rsidR="00C9757C">
              <w:rPr>
                <w:noProof/>
                <w:webHidden/>
              </w:rPr>
              <w:fldChar w:fldCharType="begin"/>
            </w:r>
            <w:r w:rsidR="00C9757C">
              <w:rPr>
                <w:noProof/>
                <w:webHidden/>
              </w:rPr>
              <w:instrText xml:space="preserve"> PAGEREF _Toc484783899 \h </w:instrText>
            </w:r>
            <w:r w:rsidR="00C9757C">
              <w:rPr>
                <w:noProof/>
                <w:webHidden/>
              </w:rPr>
            </w:r>
            <w:r w:rsidR="00C9757C">
              <w:rPr>
                <w:noProof/>
                <w:webHidden/>
              </w:rPr>
              <w:fldChar w:fldCharType="separate"/>
            </w:r>
            <w:r w:rsidR="00E74840">
              <w:rPr>
                <w:noProof/>
                <w:webHidden/>
              </w:rPr>
              <w:t>40</w:t>
            </w:r>
            <w:r w:rsidR="00C9757C">
              <w:rPr>
                <w:noProof/>
                <w:webHidden/>
              </w:rPr>
              <w:fldChar w:fldCharType="end"/>
            </w:r>
          </w:hyperlink>
        </w:p>
        <w:p w14:paraId="050BF015" w14:textId="77777777" w:rsidR="00C9757C" w:rsidRDefault="008F361A">
          <w:pPr>
            <w:pStyle w:val="TOC2"/>
            <w:rPr>
              <w:rFonts w:asciiTheme="minorHAnsi" w:eastAsiaTheme="minorEastAsia" w:hAnsiTheme="minorHAnsi" w:cstheme="minorBidi"/>
              <w:b w:val="0"/>
              <w:noProof/>
              <w:sz w:val="22"/>
              <w:lang w:eastAsia="en-AU"/>
            </w:rPr>
          </w:pPr>
          <w:hyperlink w:anchor="_Toc484783900" w:history="1">
            <w:r w:rsidR="00C9757C" w:rsidRPr="00ED7774">
              <w:rPr>
                <w:rStyle w:val="Hyperlink"/>
                <w:noProof/>
                <w:lang w:eastAsia="en-AU"/>
              </w:rPr>
              <w:t>Attachment 2. Extract from the Clinical Evaluation Report</w:t>
            </w:r>
            <w:r w:rsidR="00C9757C">
              <w:rPr>
                <w:noProof/>
                <w:webHidden/>
              </w:rPr>
              <w:tab/>
            </w:r>
            <w:r w:rsidR="00C9757C">
              <w:rPr>
                <w:noProof/>
                <w:webHidden/>
              </w:rPr>
              <w:fldChar w:fldCharType="begin"/>
            </w:r>
            <w:r w:rsidR="00C9757C">
              <w:rPr>
                <w:noProof/>
                <w:webHidden/>
              </w:rPr>
              <w:instrText xml:space="preserve"> PAGEREF _Toc484783900 \h </w:instrText>
            </w:r>
            <w:r w:rsidR="00C9757C">
              <w:rPr>
                <w:noProof/>
                <w:webHidden/>
              </w:rPr>
            </w:r>
            <w:r w:rsidR="00C9757C">
              <w:rPr>
                <w:noProof/>
                <w:webHidden/>
              </w:rPr>
              <w:fldChar w:fldCharType="separate"/>
            </w:r>
            <w:r w:rsidR="00E74840">
              <w:rPr>
                <w:noProof/>
                <w:webHidden/>
              </w:rPr>
              <w:t>40</w:t>
            </w:r>
            <w:r w:rsidR="00C9757C">
              <w:rPr>
                <w:noProof/>
                <w:webHidden/>
              </w:rPr>
              <w:fldChar w:fldCharType="end"/>
            </w:r>
          </w:hyperlink>
        </w:p>
        <w:p w14:paraId="77DCAD59" w14:textId="77777777" w:rsidR="003A7F6C" w:rsidRPr="00B811C6" w:rsidRDefault="00DB6124" w:rsidP="00B811C6">
          <w:pPr>
            <w:pStyle w:val="TOC2"/>
          </w:pPr>
          <w:r>
            <w:fldChar w:fldCharType="end"/>
          </w:r>
        </w:p>
      </w:sdtContent>
    </w:sdt>
    <w:bookmarkStart w:id="4" w:name="_Toc314842482" w:displacedByCustomXml="prev"/>
    <w:p w14:paraId="67F32F62" w14:textId="77777777" w:rsidR="00FD119B" w:rsidRDefault="00FD119B">
      <w:pPr>
        <w:spacing w:before="0" w:after="200" w:line="0" w:lineRule="auto"/>
      </w:pPr>
      <w:r>
        <w:br w:type="page"/>
      </w:r>
    </w:p>
    <w:p w14:paraId="776DACC6" w14:textId="77777777" w:rsidR="00FD119B" w:rsidRPr="00FD119B" w:rsidRDefault="00441C3F" w:rsidP="004F0C4A">
      <w:pPr>
        <w:pStyle w:val="Heading2"/>
      </w:pPr>
      <w:bookmarkStart w:id="5" w:name="_Toc351716269"/>
      <w:bookmarkStart w:id="6" w:name="_Toc351718881"/>
      <w:bookmarkStart w:id="7" w:name="_Toc355338616"/>
      <w:bookmarkStart w:id="8" w:name="_Toc356306144"/>
      <w:bookmarkStart w:id="9" w:name="_Toc484783869"/>
      <w:r>
        <w:lastRenderedPageBreak/>
        <w:t>Common</w:t>
      </w:r>
      <w:r w:rsidR="00FD119B" w:rsidRPr="00FD119B">
        <w:t xml:space="preserve"> abbreviations</w:t>
      </w:r>
      <w:bookmarkEnd w:id="5"/>
      <w:bookmarkEnd w:id="6"/>
      <w:bookmarkEnd w:id="7"/>
      <w:bookmarkEnd w:id="8"/>
      <w:bookmarkEnd w:id="9"/>
    </w:p>
    <w:tbl>
      <w:tblPr>
        <w:tblStyle w:val="TableTGAblue"/>
        <w:tblW w:w="8720" w:type="dxa"/>
        <w:tblLook w:val="04A0" w:firstRow="1" w:lastRow="0" w:firstColumn="1" w:lastColumn="0" w:noHBand="0" w:noVBand="1"/>
      </w:tblPr>
      <w:tblGrid>
        <w:gridCol w:w="1668"/>
        <w:gridCol w:w="141"/>
        <w:gridCol w:w="6911"/>
      </w:tblGrid>
      <w:tr w:rsidR="00FD119B" w:rsidRPr="00FD119B" w14:paraId="59A8DE02" w14:textId="77777777" w:rsidTr="004D74E4">
        <w:trPr>
          <w:cnfStyle w:val="100000000000" w:firstRow="1" w:lastRow="0" w:firstColumn="0" w:lastColumn="0" w:oddVBand="0" w:evenVBand="0" w:oddHBand="0" w:evenHBand="0" w:firstRowFirstColumn="0" w:firstRowLastColumn="0" w:lastRowFirstColumn="0" w:lastRowLastColumn="0"/>
        </w:trPr>
        <w:tc>
          <w:tcPr>
            <w:tcW w:w="1809" w:type="dxa"/>
            <w:gridSpan w:val="2"/>
          </w:tcPr>
          <w:p w14:paraId="458A1088" w14:textId="77777777" w:rsidR="00FD119B" w:rsidRPr="00FD119B" w:rsidRDefault="00FD119B" w:rsidP="00FD119B">
            <w:pPr>
              <w:keepNext w:val="0"/>
              <w:ind w:left="0" w:right="0"/>
              <w:rPr>
                <w:szCs w:val="22"/>
                <w:lang w:eastAsia="en-US"/>
              </w:rPr>
            </w:pPr>
            <w:r w:rsidRPr="00FD119B">
              <w:rPr>
                <w:szCs w:val="22"/>
                <w:lang w:eastAsia="en-US"/>
              </w:rPr>
              <w:t>Abbreviation</w:t>
            </w:r>
          </w:p>
        </w:tc>
        <w:tc>
          <w:tcPr>
            <w:tcW w:w="6911" w:type="dxa"/>
          </w:tcPr>
          <w:p w14:paraId="5CA8FAC2" w14:textId="77777777" w:rsidR="00FD119B" w:rsidRPr="00FD119B" w:rsidRDefault="00FD119B" w:rsidP="00FD119B">
            <w:pPr>
              <w:keepNext w:val="0"/>
              <w:ind w:left="0" w:right="0"/>
              <w:rPr>
                <w:szCs w:val="22"/>
                <w:lang w:eastAsia="en-US"/>
              </w:rPr>
            </w:pPr>
            <w:r w:rsidRPr="00FD119B">
              <w:rPr>
                <w:szCs w:val="22"/>
                <w:lang w:eastAsia="en-US"/>
              </w:rPr>
              <w:t>Meaning</w:t>
            </w:r>
          </w:p>
        </w:tc>
      </w:tr>
      <w:tr w:rsidR="000F34D5" w14:paraId="0703C0F5" w14:textId="77777777" w:rsidTr="004D74E4">
        <w:tc>
          <w:tcPr>
            <w:tcW w:w="1668" w:type="dxa"/>
          </w:tcPr>
          <w:p w14:paraId="3E59E465" w14:textId="77777777" w:rsidR="000F34D5" w:rsidRDefault="000F34D5" w:rsidP="00E649FC">
            <w:r>
              <w:rPr>
                <w:lang w:eastAsia="ja-JP"/>
              </w:rPr>
              <w:t>ACM</w:t>
            </w:r>
          </w:p>
        </w:tc>
        <w:tc>
          <w:tcPr>
            <w:tcW w:w="7052" w:type="dxa"/>
            <w:gridSpan w:val="2"/>
          </w:tcPr>
          <w:p w14:paraId="199BBF3A" w14:textId="77777777" w:rsidR="000F34D5" w:rsidRDefault="000F34D5" w:rsidP="000F34D5">
            <w:r>
              <w:t>Advisory Committee on Medicines</w:t>
            </w:r>
          </w:p>
        </w:tc>
      </w:tr>
      <w:tr w:rsidR="000F34D5" w14:paraId="534DEF7D" w14:textId="77777777" w:rsidTr="004D74E4">
        <w:tc>
          <w:tcPr>
            <w:tcW w:w="1668" w:type="dxa"/>
          </w:tcPr>
          <w:p w14:paraId="360E22EA" w14:textId="77777777" w:rsidR="000F34D5" w:rsidRDefault="000F34D5" w:rsidP="00E649FC">
            <w:r>
              <w:t>ACS</w:t>
            </w:r>
          </w:p>
        </w:tc>
        <w:tc>
          <w:tcPr>
            <w:tcW w:w="7052" w:type="dxa"/>
            <w:gridSpan w:val="2"/>
          </w:tcPr>
          <w:p w14:paraId="575E2F6B" w14:textId="77777777" w:rsidR="000F34D5" w:rsidRDefault="000F34D5" w:rsidP="00E649FC">
            <w:r>
              <w:t>Acute coronary syndrome</w:t>
            </w:r>
          </w:p>
        </w:tc>
      </w:tr>
      <w:tr w:rsidR="000F34D5" w14:paraId="59ED3779" w14:textId="77777777" w:rsidTr="004D74E4">
        <w:tc>
          <w:tcPr>
            <w:tcW w:w="1668" w:type="dxa"/>
          </w:tcPr>
          <w:p w14:paraId="6FE98385" w14:textId="77777777" w:rsidR="000F34D5" w:rsidRDefault="000F34D5" w:rsidP="00E649FC">
            <w:r>
              <w:t>AE</w:t>
            </w:r>
          </w:p>
        </w:tc>
        <w:tc>
          <w:tcPr>
            <w:tcW w:w="7052" w:type="dxa"/>
            <w:gridSpan w:val="2"/>
          </w:tcPr>
          <w:p w14:paraId="6C6781D8" w14:textId="77777777" w:rsidR="000F34D5" w:rsidRDefault="000F34D5" w:rsidP="00E649FC">
            <w:r>
              <w:t>Adverse event</w:t>
            </w:r>
          </w:p>
        </w:tc>
      </w:tr>
      <w:tr w:rsidR="000F34D5" w14:paraId="62C6A4A5" w14:textId="77777777" w:rsidTr="004D74E4">
        <w:tc>
          <w:tcPr>
            <w:tcW w:w="1668" w:type="dxa"/>
          </w:tcPr>
          <w:p w14:paraId="7C760E78" w14:textId="77777777" w:rsidR="000F34D5" w:rsidRDefault="000F34D5" w:rsidP="00E649FC">
            <w:r>
              <w:t>AESI</w:t>
            </w:r>
          </w:p>
        </w:tc>
        <w:tc>
          <w:tcPr>
            <w:tcW w:w="7052" w:type="dxa"/>
            <w:gridSpan w:val="2"/>
          </w:tcPr>
          <w:p w14:paraId="581618EA" w14:textId="77777777" w:rsidR="000F34D5" w:rsidRDefault="000F34D5" w:rsidP="00E649FC">
            <w:r>
              <w:t>Adverse event of special interest</w:t>
            </w:r>
          </w:p>
        </w:tc>
      </w:tr>
      <w:tr w:rsidR="000F34D5" w14:paraId="274A76C8" w14:textId="77777777" w:rsidTr="004D74E4">
        <w:tc>
          <w:tcPr>
            <w:tcW w:w="1668" w:type="dxa"/>
          </w:tcPr>
          <w:p w14:paraId="79A72D66" w14:textId="77777777" w:rsidR="000F34D5" w:rsidRDefault="000F34D5" w:rsidP="00E649FC">
            <w:r>
              <w:t>AMI</w:t>
            </w:r>
          </w:p>
        </w:tc>
        <w:tc>
          <w:tcPr>
            <w:tcW w:w="7052" w:type="dxa"/>
            <w:gridSpan w:val="2"/>
          </w:tcPr>
          <w:p w14:paraId="1D858BA2" w14:textId="77777777" w:rsidR="000F34D5" w:rsidRDefault="000F34D5" w:rsidP="00E649FC">
            <w:r>
              <w:t>Acute myocardial infarction</w:t>
            </w:r>
          </w:p>
        </w:tc>
      </w:tr>
      <w:tr w:rsidR="000F34D5" w14:paraId="4984936C" w14:textId="77777777" w:rsidTr="004D74E4">
        <w:tc>
          <w:tcPr>
            <w:tcW w:w="1668" w:type="dxa"/>
          </w:tcPr>
          <w:p w14:paraId="6EBBA195" w14:textId="77777777" w:rsidR="000F34D5" w:rsidRPr="0074734F" w:rsidRDefault="000F34D5" w:rsidP="00E649FC">
            <w:pPr>
              <w:rPr>
                <w:lang w:eastAsia="ja-JP"/>
              </w:rPr>
            </w:pPr>
            <w:r w:rsidRPr="0074734F">
              <w:rPr>
                <w:lang w:eastAsia="ja-JP"/>
              </w:rPr>
              <w:t xml:space="preserve">ARGPM </w:t>
            </w:r>
          </w:p>
        </w:tc>
        <w:tc>
          <w:tcPr>
            <w:tcW w:w="7052" w:type="dxa"/>
            <w:gridSpan w:val="2"/>
          </w:tcPr>
          <w:p w14:paraId="2F32C38C" w14:textId="77777777" w:rsidR="000F34D5" w:rsidRDefault="000F34D5" w:rsidP="00E649FC">
            <w:r w:rsidRPr="0074734F">
              <w:rPr>
                <w:lang w:eastAsia="ja-JP"/>
              </w:rPr>
              <w:t>Australian Regulatory Guideli</w:t>
            </w:r>
            <w:r>
              <w:rPr>
                <w:lang w:eastAsia="ja-JP"/>
              </w:rPr>
              <w:t>nes for Prescription Medicines</w:t>
            </w:r>
          </w:p>
        </w:tc>
      </w:tr>
      <w:tr w:rsidR="000F34D5" w14:paraId="27DBEC7A" w14:textId="77777777" w:rsidTr="004D74E4">
        <w:tc>
          <w:tcPr>
            <w:tcW w:w="1668" w:type="dxa"/>
          </w:tcPr>
          <w:p w14:paraId="7E186D99" w14:textId="77777777" w:rsidR="000F34D5" w:rsidRPr="0074734F" w:rsidRDefault="000F34D5" w:rsidP="00E649FC">
            <w:pPr>
              <w:rPr>
                <w:lang w:eastAsia="ja-JP"/>
              </w:rPr>
            </w:pPr>
            <w:r>
              <w:rPr>
                <w:lang w:eastAsia="ja-JP"/>
              </w:rPr>
              <w:t>ARR</w:t>
            </w:r>
          </w:p>
        </w:tc>
        <w:tc>
          <w:tcPr>
            <w:tcW w:w="7052" w:type="dxa"/>
            <w:gridSpan w:val="2"/>
          </w:tcPr>
          <w:p w14:paraId="0A317ED8" w14:textId="03E8B0D8" w:rsidR="000F34D5" w:rsidRPr="0074734F" w:rsidRDefault="000F34D5" w:rsidP="0004466E">
            <w:pPr>
              <w:rPr>
                <w:lang w:eastAsia="ja-JP"/>
              </w:rPr>
            </w:pPr>
            <w:r>
              <w:rPr>
                <w:lang w:eastAsia="ja-JP"/>
              </w:rPr>
              <w:t>Absolute risk reduction</w:t>
            </w:r>
          </w:p>
        </w:tc>
      </w:tr>
      <w:tr w:rsidR="000F34D5" w14:paraId="3A515AE3" w14:textId="77777777" w:rsidTr="004D74E4">
        <w:tc>
          <w:tcPr>
            <w:tcW w:w="1668" w:type="dxa"/>
          </w:tcPr>
          <w:p w14:paraId="3B0BCD27" w14:textId="77777777" w:rsidR="000F34D5" w:rsidRDefault="000F34D5" w:rsidP="00E649FC">
            <w:r>
              <w:t>ARTG</w:t>
            </w:r>
          </w:p>
        </w:tc>
        <w:tc>
          <w:tcPr>
            <w:tcW w:w="7052" w:type="dxa"/>
            <w:gridSpan w:val="2"/>
          </w:tcPr>
          <w:p w14:paraId="4ECA19EC" w14:textId="77777777" w:rsidR="000F34D5" w:rsidRDefault="000F34D5" w:rsidP="00E649FC">
            <w:r>
              <w:t>Australian Register of Therapeutic Goods</w:t>
            </w:r>
          </w:p>
        </w:tc>
      </w:tr>
      <w:tr w:rsidR="000F34D5" w14:paraId="74AF6932" w14:textId="77777777" w:rsidTr="004D74E4">
        <w:tc>
          <w:tcPr>
            <w:tcW w:w="1668" w:type="dxa"/>
          </w:tcPr>
          <w:p w14:paraId="5E187C5F" w14:textId="77777777" w:rsidR="000F34D5" w:rsidRDefault="000F34D5" w:rsidP="00E649FC">
            <w:pPr>
              <w:rPr>
                <w:lang w:eastAsia="ja-JP"/>
              </w:rPr>
            </w:pPr>
            <w:r w:rsidRPr="001D3824">
              <w:rPr>
                <w:lang w:eastAsia="ja-JP"/>
              </w:rPr>
              <w:t>CABG</w:t>
            </w:r>
          </w:p>
        </w:tc>
        <w:tc>
          <w:tcPr>
            <w:tcW w:w="7052" w:type="dxa"/>
            <w:gridSpan w:val="2"/>
          </w:tcPr>
          <w:p w14:paraId="6C683468" w14:textId="77777777" w:rsidR="000F34D5" w:rsidRDefault="000F34D5" w:rsidP="00E649FC">
            <w:pPr>
              <w:rPr>
                <w:lang w:eastAsia="ja-JP"/>
              </w:rPr>
            </w:pPr>
            <w:r>
              <w:rPr>
                <w:lang w:eastAsia="ja-JP"/>
              </w:rPr>
              <w:t>C</w:t>
            </w:r>
            <w:r w:rsidRPr="001D3824">
              <w:rPr>
                <w:lang w:eastAsia="ja-JP"/>
              </w:rPr>
              <w:t>oronary artery bypass graft</w:t>
            </w:r>
          </w:p>
        </w:tc>
      </w:tr>
      <w:tr w:rsidR="000F34D5" w14:paraId="1B1E99DE" w14:textId="77777777" w:rsidTr="004D74E4">
        <w:tc>
          <w:tcPr>
            <w:tcW w:w="1668" w:type="dxa"/>
          </w:tcPr>
          <w:p w14:paraId="0863A744" w14:textId="77777777" w:rsidR="000F34D5" w:rsidRDefault="000F34D5" w:rsidP="00E649FC">
            <w:r>
              <w:t>CHD</w:t>
            </w:r>
          </w:p>
        </w:tc>
        <w:tc>
          <w:tcPr>
            <w:tcW w:w="7052" w:type="dxa"/>
            <w:gridSpan w:val="2"/>
          </w:tcPr>
          <w:p w14:paraId="7214982B" w14:textId="77777777" w:rsidR="000F34D5" w:rsidRDefault="000F34D5" w:rsidP="00E649FC">
            <w:r>
              <w:t>Coronary heart disease</w:t>
            </w:r>
          </w:p>
        </w:tc>
      </w:tr>
      <w:tr w:rsidR="000F34D5" w14:paraId="4D6A7D50" w14:textId="77777777" w:rsidTr="004D74E4">
        <w:tc>
          <w:tcPr>
            <w:tcW w:w="1668" w:type="dxa"/>
          </w:tcPr>
          <w:p w14:paraId="00019106" w14:textId="77777777" w:rsidR="000F34D5" w:rsidRDefault="000F34D5" w:rsidP="00E649FC">
            <w:r>
              <w:t>CK</w:t>
            </w:r>
          </w:p>
        </w:tc>
        <w:tc>
          <w:tcPr>
            <w:tcW w:w="7052" w:type="dxa"/>
            <w:gridSpan w:val="2"/>
          </w:tcPr>
          <w:p w14:paraId="57254F92" w14:textId="77777777" w:rsidR="000F34D5" w:rsidRDefault="000F34D5" w:rsidP="00E649FC">
            <w:proofErr w:type="spellStart"/>
            <w:r>
              <w:t>Creatine</w:t>
            </w:r>
            <w:proofErr w:type="spellEnd"/>
            <w:r>
              <w:t xml:space="preserve"> kinase</w:t>
            </w:r>
          </w:p>
        </w:tc>
      </w:tr>
      <w:tr w:rsidR="000F34D5" w14:paraId="73D73889" w14:textId="77777777" w:rsidTr="004D74E4">
        <w:tc>
          <w:tcPr>
            <w:tcW w:w="1668" w:type="dxa"/>
          </w:tcPr>
          <w:p w14:paraId="095655A2" w14:textId="77777777" w:rsidR="000F34D5" w:rsidRDefault="000F34D5" w:rsidP="00E649FC">
            <w:r>
              <w:rPr>
                <w:lang w:eastAsia="ja-JP"/>
              </w:rPr>
              <w:t>CK-MB</w:t>
            </w:r>
          </w:p>
        </w:tc>
        <w:tc>
          <w:tcPr>
            <w:tcW w:w="7052" w:type="dxa"/>
            <w:gridSpan w:val="2"/>
          </w:tcPr>
          <w:p w14:paraId="501FED16" w14:textId="77777777" w:rsidR="000F34D5" w:rsidRDefault="000F34D5" w:rsidP="00E649FC">
            <w:proofErr w:type="spellStart"/>
            <w:r>
              <w:rPr>
                <w:lang w:eastAsia="ja-JP"/>
              </w:rPr>
              <w:t>Creatine</w:t>
            </w:r>
            <w:proofErr w:type="spellEnd"/>
            <w:r>
              <w:rPr>
                <w:lang w:eastAsia="ja-JP"/>
              </w:rPr>
              <w:t xml:space="preserve"> kinase-MB fraction</w:t>
            </w:r>
          </w:p>
        </w:tc>
      </w:tr>
      <w:tr w:rsidR="000F34D5" w14:paraId="73024C77" w14:textId="77777777" w:rsidTr="004D74E4">
        <w:tc>
          <w:tcPr>
            <w:tcW w:w="1668" w:type="dxa"/>
          </w:tcPr>
          <w:p w14:paraId="22A0CDEB" w14:textId="77777777" w:rsidR="000F34D5" w:rsidRDefault="000F34D5" w:rsidP="00E649FC">
            <w:r>
              <w:t>CMI</w:t>
            </w:r>
          </w:p>
        </w:tc>
        <w:tc>
          <w:tcPr>
            <w:tcW w:w="7052" w:type="dxa"/>
            <w:gridSpan w:val="2"/>
          </w:tcPr>
          <w:p w14:paraId="0E086473" w14:textId="77777777" w:rsidR="000F34D5" w:rsidRDefault="000F34D5" w:rsidP="00E649FC">
            <w:r>
              <w:t>Consumer Medicines Information</w:t>
            </w:r>
          </w:p>
        </w:tc>
      </w:tr>
      <w:tr w:rsidR="000F34D5" w14:paraId="6A03BCAE" w14:textId="77777777" w:rsidTr="004D74E4">
        <w:tc>
          <w:tcPr>
            <w:tcW w:w="1668" w:type="dxa"/>
          </w:tcPr>
          <w:p w14:paraId="3A3C7661" w14:textId="77777777" w:rsidR="000F34D5" w:rsidRDefault="000F34D5" w:rsidP="00E649FC">
            <w:r>
              <w:t>CSR</w:t>
            </w:r>
          </w:p>
        </w:tc>
        <w:tc>
          <w:tcPr>
            <w:tcW w:w="7052" w:type="dxa"/>
            <w:gridSpan w:val="2"/>
          </w:tcPr>
          <w:p w14:paraId="3C963889" w14:textId="77777777" w:rsidR="000F34D5" w:rsidRDefault="000F34D5" w:rsidP="00E649FC">
            <w:r>
              <w:t>Clinical Study Report</w:t>
            </w:r>
          </w:p>
        </w:tc>
      </w:tr>
      <w:tr w:rsidR="000F34D5" w14:paraId="240E93F6" w14:textId="77777777" w:rsidTr="004D74E4">
        <w:tc>
          <w:tcPr>
            <w:tcW w:w="1668" w:type="dxa"/>
          </w:tcPr>
          <w:p w14:paraId="2C6A420B" w14:textId="77777777" w:rsidR="000F34D5" w:rsidRDefault="000F34D5" w:rsidP="00E649FC">
            <w:r>
              <w:rPr>
                <w:lang w:eastAsia="ja-JP"/>
              </w:rPr>
              <w:t>CTT</w:t>
            </w:r>
          </w:p>
        </w:tc>
        <w:tc>
          <w:tcPr>
            <w:tcW w:w="7052" w:type="dxa"/>
            <w:gridSpan w:val="2"/>
          </w:tcPr>
          <w:p w14:paraId="037469E1" w14:textId="77777777" w:rsidR="000F34D5" w:rsidRDefault="000F34D5" w:rsidP="00E649FC">
            <w:r w:rsidRPr="0082374D">
              <w:rPr>
                <w:lang w:eastAsia="ja-JP"/>
              </w:rPr>
              <w:t>Cholesterol Treatmen</w:t>
            </w:r>
            <w:r>
              <w:rPr>
                <w:lang w:eastAsia="ja-JP"/>
              </w:rPr>
              <w:t>t Trialists</w:t>
            </w:r>
          </w:p>
        </w:tc>
      </w:tr>
      <w:tr w:rsidR="000F34D5" w14:paraId="015DAED1" w14:textId="77777777" w:rsidTr="004D74E4">
        <w:tc>
          <w:tcPr>
            <w:tcW w:w="1668" w:type="dxa"/>
          </w:tcPr>
          <w:p w14:paraId="5E4F192F" w14:textId="77777777" w:rsidR="000F34D5" w:rsidRDefault="000F34D5" w:rsidP="00E649FC">
            <w:r>
              <w:t>CVD</w:t>
            </w:r>
          </w:p>
        </w:tc>
        <w:tc>
          <w:tcPr>
            <w:tcW w:w="7052" w:type="dxa"/>
            <w:gridSpan w:val="2"/>
          </w:tcPr>
          <w:p w14:paraId="1B861198" w14:textId="77777777" w:rsidR="000F34D5" w:rsidRDefault="000F34D5" w:rsidP="00E649FC">
            <w:r>
              <w:t>Cardiovascular disease</w:t>
            </w:r>
          </w:p>
        </w:tc>
      </w:tr>
      <w:tr w:rsidR="000F34D5" w14:paraId="510C60D7" w14:textId="77777777" w:rsidTr="004D74E4">
        <w:tc>
          <w:tcPr>
            <w:tcW w:w="1668" w:type="dxa"/>
          </w:tcPr>
          <w:p w14:paraId="02083D0E" w14:textId="77777777" w:rsidR="000F34D5" w:rsidRDefault="000F34D5" w:rsidP="00E649FC">
            <w:r>
              <w:t>DSMB</w:t>
            </w:r>
          </w:p>
        </w:tc>
        <w:tc>
          <w:tcPr>
            <w:tcW w:w="7052" w:type="dxa"/>
            <w:gridSpan w:val="2"/>
          </w:tcPr>
          <w:p w14:paraId="111AED40" w14:textId="77777777" w:rsidR="000F34D5" w:rsidRDefault="000F34D5" w:rsidP="00E649FC">
            <w:r w:rsidRPr="00743CE4">
              <w:t>Data and Safety Monitoring Board</w:t>
            </w:r>
          </w:p>
        </w:tc>
      </w:tr>
      <w:tr w:rsidR="000F34D5" w14:paraId="0638E1EF" w14:textId="77777777" w:rsidTr="004D74E4">
        <w:tc>
          <w:tcPr>
            <w:tcW w:w="1668" w:type="dxa"/>
          </w:tcPr>
          <w:p w14:paraId="62EBE637" w14:textId="77777777" w:rsidR="000F34D5" w:rsidRDefault="000F34D5" w:rsidP="00E649FC">
            <w:r>
              <w:t>ECG</w:t>
            </w:r>
          </w:p>
        </w:tc>
        <w:tc>
          <w:tcPr>
            <w:tcW w:w="7052" w:type="dxa"/>
            <w:gridSpan w:val="2"/>
          </w:tcPr>
          <w:p w14:paraId="0EEBC6DE" w14:textId="77777777" w:rsidR="000F34D5" w:rsidRDefault="000F34D5" w:rsidP="00E649FC">
            <w:r>
              <w:t>Electrocardiogram</w:t>
            </w:r>
          </w:p>
        </w:tc>
      </w:tr>
      <w:tr w:rsidR="000F34D5" w14:paraId="5CC12EDE" w14:textId="77777777" w:rsidTr="004D74E4">
        <w:tc>
          <w:tcPr>
            <w:tcW w:w="1668" w:type="dxa"/>
          </w:tcPr>
          <w:p w14:paraId="4F40328A" w14:textId="77777777" w:rsidR="000F34D5" w:rsidRDefault="000F34D5" w:rsidP="00E649FC">
            <w:r>
              <w:t>EU SPC</w:t>
            </w:r>
          </w:p>
        </w:tc>
        <w:tc>
          <w:tcPr>
            <w:tcW w:w="7052" w:type="dxa"/>
            <w:gridSpan w:val="2"/>
          </w:tcPr>
          <w:p w14:paraId="6CDFB21F" w14:textId="77777777" w:rsidR="000F34D5" w:rsidRDefault="000F34D5" w:rsidP="00E649FC">
            <w:r>
              <w:t>European Union Summary of Product Characteristics</w:t>
            </w:r>
          </w:p>
        </w:tc>
      </w:tr>
      <w:tr w:rsidR="000F34D5" w:rsidRPr="00CD16F5" w14:paraId="247178DF" w14:textId="77777777" w:rsidTr="004D74E4">
        <w:tc>
          <w:tcPr>
            <w:tcW w:w="1668" w:type="dxa"/>
          </w:tcPr>
          <w:p w14:paraId="7A2FF228" w14:textId="77777777" w:rsidR="000F34D5" w:rsidRPr="00CD16F5" w:rsidRDefault="000F34D5" w:rsidP="00E649FC">
            <w:proofErr w:type="spellStart"/>
            <w:r w:rsidRPr="00CD16F5">
              <w:t>HeFH</w:t>
            </w:r>
            <w:proofErr w:type="spellEnd"/>
          </w:p>
        </w:tc>
        <w:tc>
          <w:tcPr>
            <w:tcW w:w="7052" w:type="dxa"/>
            <w:gridSpan w:val="2"/>
          </w:tcPr>
          <w:p w14:paraId="1C69DDDF" w14:textId="77777777" w:rsidR="000F34D5" w:rsidRPr="00CD16F5" w:rsidRDefault="000F34D5" w:rsidP="00E649FC">
            <w:r w:rsidRPr="00CD16F5">
              <w:t>Heterozygous Familial Hypercholesterolaemia</w:t>
            </w:r>
          </w:p>
        </w:tc>
      </w:tr>
      <w:tr w:rsidR="000F34D5" w14:paraId="4A6D9815" w14:textId="77777777" w:rsidTr="004D74E4">
        <w:tc>
          <w:tcPr>
            <w:tcW w:w="1668" w:type="dxa"/>
          </w:tcPr>
          <w:p w14:paraId="3036DA14" w14:textId="77777777" w:rsidR="000F34D5" w:rsidRDefault="000F34D5" w:rsidP="00E649FC">
            <w:r w:rsidRPr="00EC2663">
              <w:rPr>
                <w:lang w:eastAsia="ja-JP"/>
              </w:rPr>
              <w:t>HMG-CoA</w:t>
            </w:r>
          </w:p>
        </w:tc>
        <w:tc>
          <w:tcPr>
            <w:tcW w:w="7052" w:type="dxa"/>
            <w:gridSpan w:val="2"/>
          </w:tcPr>
          <w:p w14:paraId="43590DA7" w14:textId="77777777" w:rsidR="000F34D5" w:rsidRDefault="000F34D5" w:rsidP="00E649FC">
            <w:proofErr w:type="spellStart"/>
            <w:r>
              <w:rPr>
                <w:lang w:eastAsia="ja-JP"/>
              </w:rPr>
              <w:t>h</w:t>
            </w:r>
            <w:r w:rsidRPr="00EC2663">
              <w:rPr>
                <w:lang w:eastAsia="ja-JP"/>
              </w:rPr>
              <w:t>ydroxymethylglutaryl</w:t>
            </w:r>
            <w:proofErr w:type="spellEnd"/>
            <w:r w:rsidRPr="00EC2663">
              <w:rPr>
                <w:lang w:eastAsia="ja-JP"/>
              </w:rPr>
              <w:t xml:space="preserve"> coenzyme A </w:t>
            </w:r>
          </w:p>
        </w:tc>
      </w:tr>
      <w:tr w:rsidR="000F34D5" w:rsidRPr="00CD16F5" w14:paraId="49BAD749" w14:textId="77777777" w:rsidTr="004D74E4">
        <w:tc>
          <w:tcPr>
            <w:tcW w:w="1668" w:type="dxa"/>
          </w:tcPr>
          <w:p w14:paraId="6970445A" w14:textId="77777777" w:rsidR="000F34D5" w:rsidRPr="00CD16F5" w:rsidRDefault="000F34D5" w:rsidP="00E649FC">
            <w:proofErr w:type="spellStart"/>
            <w:r w:rsidRPr="00CD16F5">
              <w:t>HoFH</w:t>
            </w:r>
            <w:proofErr w:type="spellEnd"/>
          </w:p>
        </w:tc>
        <w:tc>
          <w:tcPr>
            <w:tcW w:w="7052" w:type="dxa"/>
            <w:gridSpan w:val="2"/>
          </w:tcPr>
          <w:p w14:paraId="12FB3206" w14:textId="77777777" w:rsidR="000F34D5" w:rsidRPr="00CD16F5" w:rsidRDefault="000F34D5" w:rsidP="00E649FC">
            <w:r w:rsidRPr="00CD16F5">
              <w:t>Homozygous Familial Hypercholesterolaemia</w:t>
            </w:r>
          </w:p>
        </w:tc>
      </w:tr>
      <w:tr w:rsidR="000F34D5" w14:paraId="33406302" w14:textId="77777777" w:rsidTr="004D74E4">
        <w:tc>
          <w:tcPr>
            <w:tcW w:w="1668" w:type="dxa"/>
          </w:tcPr>
          <w:p w14:paraId="1FE1F3D2" w14:textId="77777777" w:rsidR="000F34D5" w:rsidRDefault="000F34D5" w:rsidP="00E649FC">
            <w:proofErr w:type="spellStart"/>
            <w:r>
              <w:t>hs</w:t>
            </w:r>
            <w:proofErr w:type="spellEnd"/>
            <w:r>
              <w:t>-CRP</w:t>
            </w:r>
          </w:p>
        </w:tc>
        <w:tc>
          <w:tcPr>
            <w:tcW w:w="7052" w:type="dxa"/>
            <w:gridSpan w:val="2"/>
          </w:tcPr>
          <w:p w14:paraId="3A539322" w14:textId="77777777" w:rsidR="000F34D5" w:rsidRDefault="000F34D5" w:rsidP="00E649FC">
            <w:r>
              <w:t>High sensitivity C-reactive protein</w:t>
            </w:r>
          </w:p>
        </w:tc>
      </w:tr>
      <w:tr w:rsidR="000F34D5" w14:paraId="1B8D4C1F" w14:textId="77777777" w:rsidTr="004D74E4">
        <w:tc>
          <w:tcPr>
            <w:tcW w:w="1668" w:type="dxa"/>
          </w:tcPr>
          <w:p w14:paraId="48230D88" w14:textId="77777777" w:rsidR="000F34D5" w:rsidRDefault="000F34D5" w:rsidP="00E649FC">
            <w:r>
              <w:t>ITT</w:t>
            </w:r>
          </w:p>
        </w:tc>
        <w:tc>
          <w:tcPr>
            <w:tcW w:w="7052" w:type="dxa"/>
            <w:gridSpan w:val="2"/>
          </w:tcPr>
          <w:p w14:paraId="03CAF107" w14:textId="77777777" w:rsidR="000F34D5" w:rsidRDefault="000F34D5" w:rsidP="00E649FC">
            <w:r>
              <w:t>Intention to treat</w:t>
            </w:r>
          </w:p>
        </w:tc>
      </w:tr>
      <w:tr w:rsidR="000F34D5" w14:paraId="53A6E244" w14:textId="77777777" w:rsidTr="004D74E4">
        <w:tc>
          <w:tcPr>
            <w:tcW w:w="1668" w:type="dxa"/>
          </w:tcPr>
          <w:p w14:paraId="16AE0C0B" w14:textId="77777777" w:rsidR="000F34D5" w:rsidRDefault="000F34D5" w:rsidP="00E649FC">
            <w:r>
              <w:t>LDL-C</w:t>
            </w:r>
          </w:p>
        </w:tc>
        <w:tc>
          <w:tcPr>
            <w:tcW w:w="7052" w:type="dxa"/>
            <w:gridSpan w:val="2"/>
          </w:tcPr>
          <w:p w14:paraId="2E10C01D" w14:textId="77777777" w:rsidR="000F34D5" w:rsidRDefault="000F34D5" w:rsidP="00E649FC">
            <w:r>
              <w:t>Low density lipoprotein cholesterol</w:t>
            </w:r>
          </w:p>
        </w:tc>
      </w:tr>
      <w:tr w:rsidR="000F34D5" w14:paraId="65D39BE1" w14:textId="77777777" w:rsidTr="004D74E4">
        <w:tc>
          <w:tcPr>
            <w:tcW w:w="1668" w:type="dxa"/>
          </w:tcPr>
          <w:p w14:paraId="44431A5A" w14:textId="77777777" w:rsidR="000F34D5" w:rsidRDefault="000F34D5" w:rsidP="00E649FC">
            <w:r>
              <w:lastRenderedPageBreak/>
              <w:t>LMC</w:t>
            </w:r>
          </w:p>
        </w:tc>
        <w:tc>
          <w:tcPr>
            <w:tcW w:w="7052" w:type="dxa"/>
            <w:gridSpan w:val="2"/>
          </w:tcPr>
          <w:p w14:paraId="5D56CBC1" w14:textId="77777777" w:rsidR="000F34D5" w:rsidRDefault="000F34D5" w:rsidP="00E649FC">
            <w:r w:rsidRPr="00743CE4">
              <w:t>LDL-C Monitoring Committee</w:t>
            </w:r>
          </w:p>
        </w:tc>
      </w:tr>
      <w:tr w:rsidR="000F34D5" w14:paraId="0981526B" w14:textId="77777777" w:rsidTr="004D74E4">
        <w:tc>
          <w:tcPr>
            <w:tcW w:w="1668" w:type="dxa"/>
          </w:tcPr>
          <w:p w14:paraId="020FEEBE" w14:textId="77777777" w:rsidR="000F34D5" w:rsidRDefault="000F34D5" w:rsidP="00E649FC">
            <w:r>
              <w:t>MI</w:t>
            </w:r>
          </w:p>
        </w:tc>
        <w:tc>
          <w:tcPr>
            <w:tcW w:w="7052" w:type="dxa"/>
            <w:gridSpan w:val="2"/>
          </w:tcPr>
          <w:p w14:paraId="3846A6FF" w14:textId="77777777" w:rsidR="000F34D5" w:rsidRDefault="000F34D5" w:rsidP="00E649FC">
            <w:r>
              <w:t>Myocardial infarction</w:t>
            </w:r>
          </w:p>
        </w:tc>
      </w:tr>
      <w:tr w:rsidR="000F34D5" w14:paraId="5983EFC5" w14:textId="77777777" w:rsidTr="004D74E4">
        <w:tc>
          <w:tcPr>
            <w:tcW w:w="1668" w:type="dxa"/>
          </w:tcPr>
          <w:p w14:paraId="41438BD1" w14:textId="77777777" w:rsidR="000F34D5" w:rsidRDefault="000F34D5" w:rsidP="00E649FC">
            <w:r>
              <w:t>NNT</w:t>
            </w:r>
          </w:p>
        </w:tc>
        <w:tc>
          <w:tcPr>
            <w:tcW w:w="7052" w:type="dxa"/>
            <w:gridSpan w:val="2"/>
          </w:tcPr>
          <w:p w14:paraId="5757AC90" w14:textId="77777777" w:rsidR="000F34D5" w:rsidRDefault="000F34D5" w:rsidP="00E649FC">
            <w:r>
              <w:t>Number needed to treat</w:t>
            </w:r>
          </w:p>
        </w:tc>
      </w:tr>
      <w:tr w:rsidR="000F34D5" w14:paraId="6E2FC591" w14:textId="77777777" w:rsidTr="004D74E4">
        <w:tc>
          <w:tcPr>
            <w:tcW w:w="1668" w:type="dxa"/>
          </w:tcPr>
          <w:p w14:paraId="35924224" w14:textId="77777777" w:rsidR="000F34D5" w:rsidRDefault="000F34D5" w:rsidP="00E649FC">
            <w:r w:rsidRPr="00EC2663">
              <w:rPr>
                <w:lang w:eastAsia="ja-JP"/>
              </w:rPr>
              <w:t>NPC1L1</w:t>
            </w:r>
          </w:p>
        </w:tc>
        <w:tc>
          <w:tcPr>
            <w:tcW w:w="7052" w:type="dxa"/>
            <w:gridSpan w:val="2"/>
          </w:tcPr>
          <w:p w14:paraId="4700364B" w14:textId="77777777" w:rsidR="000F34D5" w:rsidRDefault="000F34D5" w:rsidP="00E649FC">
            <w:proofErr w:type="spellStart"/>
            <w:r w:rsidRPr="00CD16F5">
              <w:t>Niemann</w:t>
            </w:r>
            <w:proofErr w:type="spellEnd"/>
            <w:r w:rsidRPr="00CD16F5">
              <w:t>-Pick C1-Like</w:t>
            </w:r>
            <w:r>
              <w:t xml:space="preserve"> transporter</w:t>
            </w:r>
          </w:p>
        </w:tc>
      </w:tr>
      <w:tr w:rsidR="000F34D5" w14:paraId="6151A161" w14:textId="77777777" w:rsidTr="004D74E4">
        <w:tc>
          <w:tcPr>
            <w:tcW w:w="1668" w:type="dxa"/>
          </w:tcPr>
          <w:p w14:paraId="39BB4237" w14:textId="77777777" w:rsidR="000F34D5" w:rsidRPr="00EC2663" w:rsidRDefault="000F34D5" w:rsidP="00E649FC">
            <w:pPr>
              <w:rPr>
                <w:lang w:eastAsia="ja-JP"/>
              </w:rPr>
            </w:pPr>
            <w:r w:rsidRPr="001414E8">
              <w:t>NSTE-ACS</w:t>
            </w:r>
          </w:p>
        </w:tc>
        <w:tc>
          <w:tcPr>
            <w:tcW w:w="7052" w:type="dxa"/>
            <w:gridSpan w:val="2"/>
          </w:tcPr>
          <w:p w14:paraId="5FE7F93E" w14:textId="3C1FD268" w:rsidR="000F34D5" w:rsidRPr="00CD16F5" w:rsidRDefault="006737C4" w:rsidP="00E649FC">
            <w:r>
              <w:t>Non-</w:t>
            </w:r>
            <w:r w:rsidR="00E32FAA">
              <w:t>ST Segment Elevation Acute Coronary S</w:t>
            </w:r>
            <w:r w:rsidR="006D326F" w:rsidRPr="006D326F">
              <w:t>yndrome</w:t>
            </w:r>
          </w:p>
        </w:tc>
      </w:tr>
      <w:tr w:rsidR="000F34D5" w14:paraId="2122681D" w14:textId="77777777" w:rsidTr="004D74E4">
        <w:tc>
          <w:tcPr>
            <w:tcW w:w="1668" w:type="dxa"/>
          </w:tcPr>
          <w:p w14:paraId="13A8E89F" w14:textId="77777777" w:rsidR="000F34D5" w:rsidRPr="001414E8" w:rsidRDefault="000F34D5" w:rsidP="00E649FC">
            <w:r>
              <w:t>NSTEMI</w:t>
            </w:r>
          </w:p>
        </w:tc>
        <w:tc>
          <w:tcPr>
            <w:tcW w:w="7052" w:type="dxa"/>
            <w:gridSpan w:val="2"/>
          </w:tcPr>
          <w:p w14:paraId="51F0E232" w14:textId="77777777" w:rsidR="000F34D5" w:rsidRDefault="000F34D5" w:rsidP="00E649FC">
            <w:r w:rsidRPr="00743CE4">
              <w:t>Non-ST Segment Elevation Myocardial Infarction</w:t>
            </w:r>
          </w:p>
        </w:tc>
      </w:tr>
      <w:tr w:rsidR="000F34D5" w14:paraId="3463E2DB" w14:textId="77777777" w:rsidTr="004D74E4">
        <w:tc>
          <w:tcPr>
            <w:tcW w:w="1668" w:type="dxa"/>
          </w:tcPr>
          <w:p w14:paraId="4000F31B" w14:textId="77777777" w:rsidR="000F34D5" w:rsidRDefault="000F34D5" w:rsidP="00E649FC">
            <w:r>
              <w:rPr>
                <w:lang w:eastAsia="ja-JP"/>
              </w:rPr>
              <w:t>PCI</w:t>
            </w:r>
          </w:p>
        </w:tc>
        <w:tc>
          <w:tcPr>
            <w:tcW w:w="7052" w:type="dxa"/>
            <w:gridSpan w:val="2"/>
          </w:tcPr>
          <w:p w14:paraId="7F7B3317" w14:textId="77777777" w:rsidR="000F34D5" w:rsidRDefault="000F34D5" w:rsidP="00E649FC">
            <w:r>
              <w:rPr>
                <w:lang w:eastAsia="ja-JP"/>
              </w:rPr>
              <w:t>P</w:t>
            </w:r>
            <w:r w:rsidRPr="001D3824">
              <w:rPr>
                <w:lang w:eastAsia="ja-JP"/>
              </w:rPr>
              <w:t>ercutaneous coronary</w:t>
            </w:r>
            <w:r>
              <w:rPr>
                <w:lang w:eastAsia="ja-JP"/>
              </w:rPr>
              <w:t xml:space="preserve"> </w:t>
            </w:r>
            <w:r w:rsidRPr="001D3824">
              <w:rPr>
                <w:lang w:eastAsia="ja-JP"/>
              </w:rPr>
              <w:t>intervention</w:t>
            </w:r>
          </w:p>
        </w:tc>
      </w:tr>
      <w:tr w:rsidR="000F34D5" w14:paraId="74A2E61A" w14:textId="77777777" w:rsidTr="004D74E4">
        <w:tc>
          <w:tcPr>
            <w:tcW w:w="1668" w:type="dxa"/>
          </w:tcPr>
          <w:p w14:paraId="7702BBCE" w14:textId="77777777" w:rsidR="000F34D5" w:rsidRDefault="000F34D5" w:rsidP="00E649FC">
            <w:r>
              <w:t>PI</w:t>
            </w:r>
          </w:p>
        </w:tc>
        <w:tc>
          <w:tcPr>
            <w:tcW w:w="7052" w:type="dxa"/>
            <w:gridSpan w:val="2"/>
          </w:tcPr>
          <w:p w14:paraId="3EEBBC48" w14:textId="77777777" w:rsidR="000F34D5" w:rsidRDefault="000F34D5" w:rsidP="00E649FC">
            <w:r>
              <w:t>Product information</w:t>
            </w:r>
          </w:p>
        </w:tc>
      </w:tr>
      <w:tr w:rsidR="000F34D5" w14:paraId="78B4888E" w14:textId="77777777" w:rsidTr="004D74E4">
        <w:tc>
          <w:tcPr>
            <w:tcW w:w="1668" w:type="dxa"/>
          </w:tcPr>
          <w:p w14:paraId="28626C62" w14:textId="77777777" w:rsidR="000F34D5" w:rsidRDefault="000F34D5" w:rsidP="00E649FC">
            <w:r>
              <w:t>RMP</w:t>
            </w:r>
          </w:p>
        </w:tc>
        <w:tc>
          <w:tcPr>
            <w:tcW w:w="7052" w:type="dxa"/>
            <w:gridSpan w:val="2"/>
          </w:tcPr>
          <w:p w14:paraId="62E4A5AB" w14:textId="77777777" w:rsidR="000F34D5" w:rsidRDefault="000F34D5" w:rsidP="00E649FC">
            <w:r>
              <w:t>Risk Management Plan</w:t>
            </w:r>
          </w:p>
        </w:tc>
      </w:tr>
      <w:tr w:rsidR="0004466E" w14:paraId="339BE0CC" w14:textId="77777777" w:rsidTr="00D94EA3">
        <w:tc>
          <w:tcPr>
            <w:tcW w:w="1668" w:type="dxa"/>
          </w:tcPr>
          <w:p w14:paraId="33A05D45" w14:textId="32CAA13B" w:rsidR="0004466E" w:rsidRDefault="0004466E" w:rsidP="00D94EA3">
            <w:r>
              <w:t>RRR</w:t>
            </w:r>
          </w:p>
        </w:tc>
        <w:tc>
          <w:tcPr>
            <w:tcW w:w="7052" w:type="dxa"/>
            <w:gridSpan w:val="2"/>
          </w:tcPr>
          <w:p w14:paraId="2A26F543" w14:textId="5E9722B0" w:rsidR="0004466E" w:rsidRDefault="0004466E" w:rsidP="00D94EA3">
            <w:r>
              <w:t>Relative risk reduction</w:t>
            </w:r>
          </w:p>
        </w:tc>
      </w:tr>
      <w:tr w:rsidR="000F34D5" w14:paraId="6CC8225E" w14:textId="77777777" w:rsidTr="004D74E4">
        <w:tc>
          <w:tcPr>
            <w:tcW w:w="1668" w:type="dxa"/>
          </w:tcPr>
          <w:p w14:paraId="40E79DF5" w14:textId="77777777" w:rsidR="000F34D5" w:rsidRDefault="000F34D5" w:rsidP="00E649FC">
            <w:r>
              <w:t>SAE</w:t>
            </w:r>
          </w:p>
        </w:tc>
        <w:tc>
          <w:tcPr>
            <w:tcW w:w="7052" w:type="dxa"/>
            <w:gridSpan w:val="2"/>
          </w:tcPr>
          <w:p w14:paraId="10A388EA" w14:textId="77777777" w:rsidR="000F34D5" w:rsidRDefault="000F34D5" w:rsidP="00E649FC">
            <w:r>
              <w:t>Serious adverse event</w:t>
            </w:r>
          </w:p>
        </w:tc>
      </w:tr>
      <w:tr w:rsidR="000F34D5" w14:paraId="15CF8E86" w14:textId="77777777" w:rsidTr="004D74E4">
        <w:tc>
          <w:tcPr>
            <w:tcW w:w="1668" w:type="dxa"/>
          </w:tcPr>
          <w:p w14:paraId="54DB542D" w14:textId="77777777" w:rsidR="000F34D5" w:rsidRDefault="000F34D5" w:rsidP="00E649FC">
            <w:r>
              <w:rPr>
                <w:lang w:eastAsia="ja-JP"/>
              </w:rPr>
              <w:t>SMQ</w:t>
            </w:r>
          </w:p>
        </w:tc>
        <w:tc>
          <w:tcPr>
            <w:tcW w:w="7052" w:type="dxa"/>
            <w:gridSpan w:val="2"/>
          </w:tcPr>
          <w:p w14:paraId="7D392F11" w14:textId="77777777" w:rsidR="000F34D5" w:rsidRDefault="000F34D5" w:rsidP="00E649FC">
            <w:r>
              <w:rPr>
                <w:lang w:eastAsia="ja-JP"/>
              </w:rPr>
              <w:t xml:space="preserve">Standardised </w:t>
            </w:r>
            <w:proofErr w:type="spellStart"/>
            <w:r>
              <w:rPr>
                <w:lang w:eastAsia="ja-JP"/>
              </w:rPr>
              <w:t>MedDRA</w:t>
            </w:r>
            <w:proofErr w:type="spellEnd"/>
            <w:r>
              <w:rPr>
                <w:lang w:eastAsia="ja-JP"/>
              </w:rPr>
              <w:t xml:space="preserve"> query</w:t>
            </w:r>
          </w:p>
        </w:tc>
      </w:tr>
      <w:tr w:rsidR="000F34D5" w14:paraId="572C76A7" w14:textId="77777777" w:rsidTr="004D74E4">
        <w:tc>
          <w:tcPr>
            <w:tcW w:w="1668" w:type="dxa"/>
          </w:tcPr>
          <w:p w14:paraId="569B5B28" w14:textId="77777777" w:rsidR="000F34D5" w:rsidRDefault="000F34D5" w:rsidP="00E649FC">
            <w:pPr>
              <w:rPr>
                <w:lang w:eastAsia="ja-JP"/>
              </w:rPr>
            </w:pPr>
            <w:r>
              <w:rPr>
                <w:lang w:eastAsia="ja-JP"/>
              </w:rPr>
              <w:t>STEMI</w:t>
            </w:r>
          </w:p>
        </w:tc>
        <w:tc>
          <w:tcPr>
            <w:tcW w:w="7052" w:type="dxa"/>
            <w:gridSpan w:val="2"/>
          </w:tcPr>
          <w:p w14:paraId="2104FB61" w14:textId="77777777" w:rsidR="000F34D5" w:rsidRDefault="000F34D5" w:rsidP="00E649FC">
            <w:pPr>
              <w:rPr>
                <w:lang w:eastAsia="ja-JP"/>
              </w:rPr>
            </w:pPr>
            <w:r w:rsidRPr="00743CE4">
              <w:rPr>
                <w:lang w:eastAsia="ja-JP"/>
              </w:rPr>
              <w:t>ST-Elevation Myocardial Infarction</w:t>
            </w:r>
          </w:p>
        </w:tc>
      </w:tr>
      <w:tr w:rsidR="000F34D5" w14:paraId="7B8D0BC6" w14:textId="77777777" w:rsidTr="004D74E4">
        <w:tc>
          <w:tcPr>
            <w:tcW w:w="1668" w:type="dxa"/>
          </w:tcPr>
          <w:p w14:paraId="5FD0CA45" w14:textId="77777777" w:rsidR="000F34D5" w:rsidRDefault="000F34D5" w:rsidP="00E649FC">
            <w:pPr>
              <w:rPr>
                <w:lang w:eastAsia="ja-JP"/>
              </w:rPr>
            </w:pPr>
            <w:r>
              <w:rPr>
                <w:lang w:eastAsia="ja-JP"/>
              </w:rPr>
              <w:t>TG</w:t>
            </w:r>
          </w:p>
        </w:tc>
        <w:tc>
          <w:tcPr>
            <w:tcW w:w="7052" w:type="dxa"/>
            <w:gridSpan w:val="2"/>
          </w:tcPr>
          <w:p w14:paraId="67EC9E98" w14:textId="77777777" w:rsidR="000F34D5" w:rsidRPr="00743CE4" w:rsidRDefault="000F34D5" w:rsidP="00E649FC">
            <w:pPr>
              <w:rPr>
                <w:lang w:eastAsia="ja-JP"/>
              </w:rPr>
            </w:pPr>
            <w:r>
              <w:rPr>
                <w:lang w:eastAsia="ja-JP"/>
              </w:rPr>
              <w:t>Triglycerides</w:t>
            </w:r>
          </w:p>
        </w:tc>
      </w:tr>
      <w:tr w:rsidR="000F34D5" w14:paraId="4299B39D" w14:textId="77777777" w:rsidTr="004D74E4">
        <w:tc>
          <w:tcPr>
            <w:tcW w:w="1668" w:type="dxa"/>
          </w:tcPr>
          <w:p w14:paraId="6D09B3F9" w14:textId="77777777" w:rsidR="000F34D5" w:rsidRDefault="000F34D5" w:rsidP="00E649FC">
            <w:pPr>
              <w:rPr>
                <w:lang w:eastAsia="ja-JP"/>
              </w:rPr>
            </w:pPr>
            <w:r>
              <w:rPr>
                <w:lang w:eastAsia="ja-JP"/>
              </w:rPr>
              <w:t>TIA</w:t>
            </w:r>
          </w:p>
        </w:tc>
        <w:tc>
          <w:tcPr>
            <w:tcW w:w="7052" w:type="dxa"/>
            <w:gridSpan w:val="2"/>
          </w:tcPr>
          <w:p w14:paraId="284A39D7" w14:textId="77777777" w:rsidR="000F34D5" w:rsidRPr="00743CE4" w:rsidRDefault="000F34D5" w:rsidP="00E649FC">
            <w:pPr>
              <w:rPr>
                <w:lang w:eastAsia="ja-JP"/>
              </w:rPr>
            </w:pPr>
            <w:r>
              <w:rPr>
                <w:lang w:eastAsia="ja-JP"/>
              </w:rPr>
              <w:t>Transient ischaemic attack</w:t>
            </w:r>
          </w:p>
        </w:tc>
      </w:tr>
      <w:tr w:rsidR="00332BD7" w14:paraId="5F41676A" w14:textId="77777777" w:rsidTr="00D94EA3">
        <w:tc>
          <w:tcPr>
            <w:tcW w:w="1668" w:type="dxa"/>
          </w:tcPr>
          <w:p w14:paraId="46EE236C" w14:textId="2483F6C2" w:rsidR="00332BD7" w:rsidRDefault="00332BD7" w:rsidP="00D94EA3">
            <w:pPr>
              <w:rPr>
                <w:lang w:eastAsia="ja-JP"/>
              </w:rPr>
            </w:pPr>
            <w:r>
              <w:rPr>
                <w:lang w:eastAsia="ja-JP"/>
              </w:rPr>
              <w:t>TRAE</w:t>
            </w:r>
          </w:p>
        </w:tc>
        <w:tc>
          <w:tcPr>
            <w:tcW w:w="7052" w:type="dxa"/>
            <w:gridSpan w:val="2"/>
          </w:tcPr>
          <w:p w14:paraId="38D1AF5D" w14:textId="0CE496BF" w:rsidR="00332BD7" w:rsidRPr="00743CE4" w:rsidRDefault="00646666" w:rsidP="00D94EA3">
            <w:pPr>
              <w:rPr>
                <w:lang w:eastAsia="ja-JP"/>
              </w:rPr>
            </w:pPr>
            <w:r>
              <w:rPr>
                <w:lang w:eastAsia="ja-JP"/>
              </w:rPr>
              <w:t xml:space="preserve">Treatment </w:t>
            </w:r>
            <w:r w:rsidRPr="00646666">
              <w:rPr>
                <w:lang w:eastAsia="ja-JP"/>
              </w:rPr>
              <w:t>related adverse event</w:t>
            </w:r>
          </w:p>
        </w:tc>
      </w:tr>
      <w:tr w:rsidR="000F34D5" w14:paraId="45285A03" w14:textId="77777777" w:rsidTr="004D74E4">
        <w:tc>
          <w:tcPr>
            <w:tcW w:w="1668" w:type="dxa"/>
          </w:tcPr>
          <w:p w14:paraId="1D8C64F4" w14:textId="77777777" w:rsidR="000F34D5" w:rsidRDefault="000F34D5" w:rsidP="00E649FC">
            <w:r>
              <w:t>UA</w:t>
            </w:r>
          </w:p>
        </w:tc>
        <w:tc>
          <w:tcPr>
            <w:tcW w:w="7052" w:type="dxa"/>
            <w:gridSpan w:val="2"/>
          </w:tcPr>
          <w:p w14:paraId="2E09B318" w14:textId="77777777" w:rsidR="000F34D5" w:rsidRDefault="000F34D5" w:rsidP="00E649FC">
            <w:r>
              <w:t>Unstable angina</w:t>
            </w:r>
          </w:p>
        </w:tc>
      </w:tr>
      <w:tr w:rsidR="000F34D5" w14:paraId="474C6E07" w14:textId="77777777" w:rsidTr="004D74E4">
        <w:tc>
          <w:tcPr>
            <w:tcW w:w="1668" w:type="dxa"/>
          </w:tcPr>
          <w:p w14:paraId="38120B11" w14:textId="77777777" w:rsidR="000F34D5" w:rsidRDefault="000F34D5" w:rsidP="00E649FC">
            <w:r>
              <w:t>USPI</w:t>
            </w:r>
          </w:p>
        </w:tc>
        <w:tc>
          <w:tcPr>
            <w:tcW w:w="7052" w:type="dxa"/>
            <w:gridSpan w:val="2"/>
          </w:tcPr>
          <w:p w14:paraId="273F6D2F" w14:textId="77777777" w:rsidR="000F34D5" w:rsidRDefault="000F34D5" w:rsidP="00E649FC">
            <w:r>
              <w:t>United States Prescribing Information</w:t>
            </w:r>
          </w:p>
        </w:tc>
      </w:tr>
    </w:tbl>
    <w:p w14:paraId="5A25E718" w14:textId="77777777" w:rsidR="00FD119B" w:rsidRDefault="00FD119B" w:rsidP="00FD119B"/>
    <w:p w14:paraId="7B1F7AC7" w14:textId="77777777" w:rsidR="00FD119B" w:rsidRPr="00FD119B" w:rsidRDefault="00FD119B" w:rsidP="00FD119B">
      <w:pPr>
        <w:spacing w:before="0" w:after="200" w:line="0" w:lineRule="auto"/>
        <w:rPr>
          <w:b/>
          <w:i/>
          <w:sz w:val="24"/>
          <w:szCs w:val="24"/>
        </w:rPr>
      </w:pPr>
      <w:r w:rsidRPr="00FD119B">
        <w:rPr>
          <w:b/>
          <w:i/>
          <w:sz w:val="24"/>
          <w:szCs w:val="24"/>
        </w:rPr>
        <w:br w:type="page"/>
      </w:r>
    </w:p>
    <w:p w14:paraId="01B61630" w14:textId="77777777" w:rsidR="008E7846" w:rsidRDefault="00F53C07" w:rsidP="008E7846">
      <w:pPr>
        <w:pStyle w:val="Heading2"/>
      </w:pPr>
      <w:bookmarkStart w:id="10" w:name="_Toc484783870"/>
      <w:r>
        <w:lastRenderedPageBreak/>
        <w:t>I.</w:t>
      </w:r>
      <w:r w:rsidR="008E7846">
        <w:t xml:space="preserve"> Introduction to product submission</w:t>
      </w:r>
      <w:bookmarkEnd w:id="10"/>
      <w:bookmarkEnd w:id="2"/>
      <w:bookmarkEnd w:id="4"/>
    </w:p>
    <w:p w14:paraId="417DE683" w14:textId="77777777" w:rsidR="008E7846" w:rsidRDefault="008E7846" w:rsidP="008E7846">
      <w:pPr>
        <w:pStyle w:val="Heading3"/>
        <w:rPr>
          <w:lang w:eastAsia="en-AU"/>
        </w:rPr>
      </w:pPr>
      <w:bookmarkStart w:id="11" w:name="_Toc247691502"/>
      <w:bookmarkStart w:id="12" w:name="_Toc314842483"/>
      <w:bookmarkStart w:id="13" w:name="_Toc484783871"/>
      <w:r>
        <w:rPr>
          <w:lang w:eastAsia="en-AU"/>
        </w:rPr>
        <w:t>Submission details</w:t>
      </w:r>
      <w:bookmarkEnd w:id="11"/>
      <w:bookmarkEnd w:id="12"/>
      <w:bookmarkEnd w:id="13"/>
    </w:p>
    <w:tbl>
      <w:tblPr>
        <w:tblW w:w="9497" w:type="dxa"/>
        <w:tblInd w:w="108" w:type="dxa"/>
        <w:tblLook w:val="01E0" w:firstRow="1" w:lastRow="1" w:firstColumn="1" w:lastColumn="1" w:noHBand="0" w:noVBand="0"/>
      </w:tblPr>
      <w:tblGrid>
        <w:gridCol w:w="2907"/>
        <w:gridCol w:w="6590"/>
      </w:tblGrid>
      <w:tr w:rsidR="008E7846" w:rsidRPr="003D1E62" w14:paraId="1788FC34" w14:textId="77777777" w:rsidTr="0089635C">
        <w:trPr>
          <w:trHeight w:hRule="exact" w:val="454"/>
        </w:trPr>
        <w:tc>
          <w:tcPr>
            <w:tcW w:w="2907" w:type="dxa"/>
          </w:tcPr>
          <w:p w14:paraId="1600F67A" w14:textId="77777777" w:rsidR="008E7846" w:rsidRPr="003D1E62" w:rsidRDefault="001B5C90" w:rsidP="001B5C90">
            <w:pPr>
              <w:rPr>
                <w:i/>
              </w:rPr>
            </w:pPr>
            <w:r>
              <w:rPr>
                <w:i/>
              </w:rPr>
              <w:t>Type of s</w:t>
            </w:r>
            <w:r w:rsidR="008E7846" w:rsidRPr="003D1E62">
              <w:rPr>
                <w:i/>
              </w:rPr>
              <w:t>ubmission</w:t>
            </w:r>
            <w:r>
              <w:rPr>
                <w:i/>
              </w:rPr>
              <w:t>:</w:t>
            </w:r>
          </w:p>
        </w:tc>
        <w:tc>
          <w:tcPr>
            <w:tcW w:w="6590" w:type="dxa"/>
          </w:tcPr>
          <w:p w14:paraId="3DFC6A5B" w14:textId="77777777" w:rsidR="008E7846" w:rsidRPr="003D1E62" w:rsidRDefault="00716EFB" w:rsidP="001B5C90">
            <w:r>
              <w:t>Extension of indications</w:t>
            </w:r>
          </w:p>
        </w:tc>
      </w:tr>
      <w:tr w:rsidR="008E7846" w:rsidRPr="003D1E62" w14:paraId="3BD49EDE" w14:textId="77777777" w:rsidTr="0089635C">
        <w:trPr>
          <w:trHeight w:hRule="exact" w:val="454"/>
        </w:trPr>
        <w:tc>
          <w:tcPr>
            <w:tcW w:w="2907" w:type="dxa"/>
          </w:tcPr>
          <w:p w14:paraId="7D4013E1" w14:textId="77777777" w:rsidR="008E7846" w:rsidRPr="003D1E62" w:rsidRDefault="008E7846" w:rsidP="003D1E62">
            <w:r w:rsidRPr="003D1E62">
              <w:rPr>
                <w:i/>
              </w:rPr>
              <w:t>Decision</w:t>
            </w:r>
            <w:r w:rsidRPr="003D1E62">
              <w:t>:</w:t>
            </w:r>
          </w:p>
        </w:tc>
        <w:tc>
          <w:tcPr>
            <w:tcW w:w="6590" w:type="dxa"/>
          </w:tcPr>
          <w:p w14:paraId="1E479966" w14:textId="77777777" w:rsidR="008E7846" w:rsidRPr="003D1E62" w:rsidRDefault="0013143F" w:rsidP="0013143F">
            <w:r>
              <w:t>Approved</w:t>
            </w:r>
          </w:p>
        </w:tc>
      </w:tr>
      <w:tr w:rsidR="008E7846" w:rsidRPr="003D1E62" w14:paraId="312E175A" w14:textId="77777777" w:rsidTr="0089635C">
        <w:trPr>
          <w:trHeight w:hRule="exact" w:val="454"/>
        </w:trPr>
        <w:tc>
          <w:tcPr>
            <w:tcW w:w="2907" w:type="dxa"/>
          </w:tcPr>
          <w:p w14:paraId="66DF890E"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tcPr>
          <w:p w14:paraId="2899D932" w14:textId="77777777" w:rsidR="008E7846" w:rsidRPr="003D1E62" w:rsidRDefault="00734967" w:rsidP="001B5C90">
            <w:r>
              <w:t>19 May 2017</w:t>
            </w:r>
          </w:p>
        </w:tc>
      </w:tr>
      <w:tr w:rsidR="00ED2922" w:rsidRPr="003D1E62" w14:paraId="49E95A05" w14:textId="77777777" w:rsidTr="0089635C">
        <w:trPr>
          <w:trHeight w:hRule="exact" w:val="454"/>
        </w:trPr>
        <w:tc>
          <w:tcPr>
            <w:tcW w:w="2907" w:type="dxa"/>
          </w:tcPr>
          <w:p w14:paraId="50429669" w14:textId="77777777" w:rsidR="00ED2922" w:rsidRPr="00441C3F" w:rsidRDefault="00ED2922" w:rsidP="001B5C90">
            <w:pPr>
              <w:rPr>
                <w:i/>
              </w:rPr>
            </w:pPr>
            <w:r w:rsidRPr="00441C3F">
              <w:rPr>
                <w:i/>
              </w:rPr>
              <w:t>Date of entry onto ARTG</w:t>
            </w:r>
          </w:p>
        </w:tc>
        <w:tc>
          <w:tcPr>
            <w:tcW w:w="6590" w:type="dxa"/>
          </w:tcPr>
          <w:p w14:paraId="25911542" w14:textId="77777777" w:rsidR="00ED2922" w:rsidRPr="00441C3F" w:rsidRDefault="005B4097" w:rsidP="00EC463D">
            <w:pPr>
              <w:rPr>
                <w:i/>
              </w:rPr>
            </w:pPr>
            <w:r>
              <w:t>24 May 2017</w:t>
            </w:r>
          </w:p>
        </w:tc>
      </w:tr>
    </w:tbl>
    <w:p w14:paraId="182F51E1" w14:textId="77777777" w:rsidR="008E7846" w:rsidRDefault="008E7846" w:rsidP="008E7846"/>
    <w:tbl>
      <w:tblPr>
        <w:tblW w:w="9214" w:type="dxa"/>
        <w:tblInd w:w="108" w:type="dxa"/>
        <w:tblLook w:val="01E0" w:firstRow="1" w:lastRow="1" w:firstColumn="1" w:lastColumn="1" w:noHBand="0" w:noVBand="0"/>
      </w:tblPr>
      <w:tblGrid>
        <w:gridCol w:w="2907"/>
        <w:gridCol w:w="6307"/>
      </w:tblGrid>
      <w:tr w:rsidR="008E7846" w:rsidRPr="00487162" w14:paraId="0F6AF6B7" w14:textId="77777777" w:rsidTr="00BF1190">
        <w:tc>
          <w:tcPr>
            <w:tcW w:w="2907" w:type="dxa"/>
          </w:tcPr>
          <w:p w14:paraId="6A64D2F7" w14:textId="77777777" w:rsidR="008E7846" w:rsidRPr="00487162" w:rsidRDefault="00F86197" w:rsidP="00E45619">
            <w:pPr>
              <w:rPr>
                <w:i/>
              </w:rPr>
            </w:pPr>
            <w:r>
              <w:rPr>
                <w:i/>
              </w:rPr>
              <w:t>Active ingredients</w:t>
            </w:r>
            <w:r w:rsidR="001B5C90">
              <w:rPr>
                <w:i/>
              </w:rPr>
              <w:t>:</w:t>
            </w:r>
          </w:p>
        </w:tc>
        <w:tc>
          <w:tcPr>
            <w:tcW w:w="6307" w:type="dxa"/>
          </w:tcPr>
          <w:p w14:paraId="38FE50B5" w14:textId="77777777" w:rsidR="008E7846" w:rsidRPr="00487162" w:rsidRDefault="00E06BB6" w:rsidP="00E45619">
            <w:r>
              <w:t>E</w:t>
            </w:r>
            <w:r w:rsidRPr="00E06BB6">
              <w:t>zetimibe and atorvastatin</w:t>
            </w:r>
          </w:p>
        </w:tc>
      </w:tr>
      <w:tr w:rsidR="008E7846" w:rsidRPr="00487162" w14:paraId="0BEC387A" w14:textId="77777777" w:rsidTr="00BF1190">
        <w:tc>
          <w:tcPr>
            <w:tcW w:w="2907" w:type="dxa"/>
          </w:tcPr>
          <w:p w14:paraId="15877E7C" w14:textId="77777777" w:rsidR="008E7846" w:rsidRPr="00487162" w:rsidRDefault="008E7846" w:rsidP="001B5C90">
            <w:pPr>
              <w:rPr>
                <w:i/>
              </w:rPr>
            </w:pPr>
            <w:r w:rsidRPr="00487162">
              <w:rPr>
                <w:i/>
              </w:rPr>
              <w:t>Product</w:t>
            </w:r>
            <w:r w:rsidR="0013143F">
              <w:rPr>
                <w:i/>
              </w:rPr>
              <w:t xml:space="preserve"> names</w:t>
            </w:r>
            <w:r w:rsidR="001B5C90">
              <w:rPr>
                <w:i/>
              </w:rPr>
              <w:t>:</w:t>
            </w:r>
          </w:p>
        </w:tc>
        <w:tc>
          <w:tcPr>
            <w:tcW w:w="6307" w:type="dxa"/>
          </w:tcPr>
          <w:p w14:paraId="0A0C10C6" w14:textId="77777777" w:rsidR="008E7846" w:rsidRPr="00487162" w:rsidRDefault="0013143F" w:rsidP="00E45619">
            <w:r w:rsidRPr="0013143F">
              <w:rPr>
                <w:lang w:eastAsia="ja-JP"/>
              </w:rPr>
              <w:t>A</w:t>
            </w:r>
            <w:r>
              <w:rPr>
                <w:lang w:eastAsia="ja-JP"/>
              </w:rPr>
              <w:t>to</w:t>
            </w:r>
            <w:r w:rsidR="004D74E4">
              <w:rPr>
                <w:lang w:eastAsia="ja-JP"/>
              </w:rPr>
              <w:t>zet/</w:t>
            </w:r>
            <w:r>
              <w:rPr>
                <w:lang w:eastAsia="ja-JP"/>
              </w:rPr>
              <w:t>Zeteze</w:t>
            </w:r>
          </w:p>
        </w:tc>
      </w:tr>
      <w:tr w:rsidR="008E7846" w:rsidRPr="00487162" w14:paraId="3501072B" w14:textId="77777777" w:rsidTr="00BF1190">
        <w:tc>
          <w:tcPr>
            <w:tcW w:w="2907" w:type="dxa"/>
          </w:tcPr>
          <w:p w14:paraId="003F4ACF"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17259A4E" w14:textId="77777777" w:rsidR="008E7846" w:rsidRDefault="00FC0686" w:rsidP="00E45619">
            <w:r w:rsidRPr="00FC0686">
              <w:t>Merck Sharp &amp; Dohme (Australia) Pty Limited</w:t>
            </w:r>
          </w:p>
          <w:p w14:paraId="189D512C" w14:textId="77777777" w:rsidR="00FC0686" w:rsidRDefault="00FC0686" w:rsidP="00E45619">
            <w:r w:rsidRPr="00FC0686">
              <w:t>Locked Bag 2234</w:t>
            </w:r>
          </w:p>
          <w:p w14:paraId="663FB49E" w14:textId="77777777" w:rsidR="00FC0686" w:rsidRPr="00487162" w:rsidRDefault="003358FD" w:rsidP="00E45619">
            <w:r w:rsidRPr="003358FD">
              <w:t>North Ryde NSW 1670</w:t>
            </w:r>
          </w:p>
        </w:tc>
      </w:tr>
      <w:tr w:rsidR="008E7846" w:rsidRPr="00487162" w14:paraId="1F2FDDD9" w14:textId="77777777" w:rsidTr="00BF1190">
        <w:tc>
          <w:tcPr>
            <w:tcW w:w="2907" w:type="dxa"/>
          </w:tcPr>
          <w:p w14:paraId="037CCCA6" w14:textId="77777777" w:rsidR="008E7846" w:rsidRPr="00487162" w:rsidRDefault="002C09B7" w:rsidP="002C09B7">
            <w:pPr>
              <w:rPr>
                <w:i/>
              </w:rPr>
            </w:pPr>
            <w:r>
              <w:rPr>
                <w:i/>
              </w:rPr>
              <w:t>Dose form</w:t>
            </w:r>
            <w:r w:rsidR="001B5C90">
              <w:rPr>
                <w:i/>
              </w:rPr>
              <w:t>:</w:t>
            </w:r>
          </w:p>
        </w:tc>
        <w:tc>
          <w:tcPr>
            <w:tcW w:w="6307" w:type="dxa"/>
          </w:tcPr>
          <w:p w14:paraId="65C3AF7B" w14:textId="77777777" w:rsidR="008E7846" w:rsidRPr="00487162" w:rsidRDefault="00E07D91" w:rsidP="00E45619">
            <w:r>
              <w:t>Film-coated t</w:t>
            </w:r>
            <w:r w:rsidR="003B05AF">
              <w:t>ablet</w:t>
            </w:r>
          </w:p>
        </w:tc>
      </w:tr>
      <w:tr w:rsidR="008E7846" w:rsidRPr="00487162" w14:paraId="734CEB80" w14:textId="77777777" w:rsidTr="00BF1190">
        <w:tc>
          <w:tcPr>
            <w:tcW w:w="2907" w:type="dxa"/>
          </w:tcPr>
          <w:p w14:paraId="0A5E9159" w14:textId="77777777" w:rsidR="008E7846" w:rsidRPr="00487162" w:rsidRDefault="002C09B7" w:rsidP="00E45619">
            <w:pPr>
              <w:rPr>
                <w:i/>
              </w:rPr>
            </w:pPr>
            <w:r>
              <w:rPr>
                <w:i/>
              </w:rPr>
              <w:t>Strengths</w:t>
            </w:r>
            <w:r w:rsidR="008E7846" w:rsidRPr="00487162">
              <w:rPr>
                <w:i/>
              </w:rPr>
              <w:t xml:space="preserve">: </w:t>
            </w:r>
          </w:p>
        </w:tc>
        <w:tc>
          <w:tcPr>
            <w:tcW w:w="6307" w:type="dxa"/>
          </w:tcPr>
          <w:p w14:paraId="68FAA9B1" w14:textId="77777777" w:rsidR="008E7846" w:rsidRPr="00487162" w:rsidRDefault="002C5D31" w:rsidP="00E45619">
            <w:r>
              <w:t>E</w:t>
            </w:r>
            <w:r w:rsidRPr="002C5D31">
              <w:t>zetimibe/atorvastatin</w:t>
            </w:r>
            <w:r w:rsidR="007813CB">
              <w:t xml:space="preserve"> </w:t>
            </w:r>
            <w:r w:rsidR="007813CB" w:rsidRPr="007813CB">
              <w:t>10 mg/10</w:t>
            </w:r>
            <w:r w:rsidR="00595EA3">
              <w:t xml:space="preserve"> </w:t>
            </w:r>
            <w:r w:rsidR="007813CB" w:rsidRPr="007813CB">
              <w:t>mg, 10 mg/20</w:t>
            </w:r>
            <w:r w:rsidR="00595EA3">
              <w:t xml:space="preserve"> </w:t>
            </w:r>
            <w:r w:rsidR="007813CB" w:rsidRPr="007813CB">
              <w:t>mg, 10 mg/40</w:t>
            </w:r>
            <w:r w:rsidR="00595EA3">
              <w:t xml:space="preserve"> </w:t>
            </w:r>
            <w:r w:rsidR="007813CB" w:rsidRPr="007813CB">
              <w:t>mg and 10 mg/80</w:t>
            </w:r>
            <w:r w:rsidR="00595EA3">
              <w:t xml:space="preserve"> </w:t>
            </w:r>
            <w:r w:rsidR="007813CB" w:rsidRPr="007813CB">
              <w:t>mg</w:t>
            </w:r>
          </w:p>
        </w:tc>
      </w:tr>
      <w:tr w:rsidR="008E7846" w:rsidRPr="00487162" w14:paraId="56035CDC" w14:textId="77777777" w:rsidTr="00BF1190">
        <w:tc>
          <w:tcPr>
            <w:tcW w:w="2907" w:type="dxa"/>
          </w:tcPr>
          <w:p w14:paraId="68F38588" w14:textId="77777777" w:rsidR="008E7846" w:rsidRPr="00487162" w:rsidRDefault="002C09B7" w:rsidP="00E45619">
            <w:pPr>
              <w:rPr>
                <w:i/>
              </w:rPr>
            </w:pPr>
            <w:r>
              <w:rPr>
                <w:i/>
              </w:rPr>
              <w:t>Container</w:t>
            </w:r>
            <w:r w:rsidR="008E7846" w:rsidRPr="00487162">
              <w:rPr>
                <w:i/>
              </w:rPr>
              <w:t>:</w:t>
            </w:r>
          </w:p>
        </w:tc>
        <w:tc>
          <w:tcPr>
            <w:tcW w:w="6307" w:type="dxa"/>
          </w:tcPr>
          <w:p w14:paraId="6156B24F" w14:textId="77777777" w:rsidR="008E7846" w:rsidRPr="00487162" w:rsidRDefault="006C3497" w:rsidP="00E45619">
            <w:r>
              <w:t>B</w:t>
            </w:r>
            <w:r w:rsidRPr="006C3497">
              <w:t>lister pack</w:t>
            </w:r>
          </w:p>
        </w:tc>
      </w:tr>
      <w:tr w:rsidR="008E7846" w:rsidRPr="00487162" w14:paraId="20F58695" w14:textId="77777777" w:rsidTr="00BF1190">
        <w:tc>
          <w:tcPr>
            <w:tcW w:w="2907" w:type="dxa"/>
          </w:tcPr>
          <w:p w14:paraId="5A0E4DCB" w14:textId="77777777" w:rsidR="008E7846" w:rsidRPr="00487162" w:rsidRDefault="00E07D91" w:rsidP="00E45619">
            <w:pPr>
              <w:rPr>
                <w:i/>
              </w:rPr>
            </w:pPr>
            <w:r>
              <w:rPr>
                <w:i/>
              </w:rPr>
              <w:t>Pack sizes</w:t>
            </w:r>
            <w:r w:rsidR="008E7846" w:rsidRPr="00487162">
              <w:rPr>
                <w:i/>
              </w:rPr>
              <w:t>:</w:t>
            </w:r>
          </w:p>
        </w:tc>
        <w:tc>
          <w:tcPr>
            <w:tcW w:w="6307" w:type="dxa"/>
          </w:tcPr>
          <w:p w14:paraId="71CB57D5" w14:textId="22115D5F" w:rsidR="008E7846" w:rsidRPr="00487162" w:rsidRDefault="000A088C" w:rsidP="000A088C">
            <w:r>
              <w:t xml:space="preserve">10 and </w:t>
            </w:r>
            <w:r w:rsidR="00E07D91" w:rsidRPr="00E07D91">
              <w:t>30 film</w:t>
            </w:r>
            <w:r w:rsidR="00E07D91">
              <w:t xml:space="preserve"> </w:t>
            </w:r>
            <w:r w:rsidR="00E07D91" w:rsidRPr="00E07D91">
              <w:t>coated tablets</w:t>
            </w:r>
          </w:p>
        </w:tc>
      </w:tr>
      <w:tr w:rsidR="008E7846" w:rsidRPr="00487162" w14:paraId="6A59718B" w14:textId="77777777" w:rsidTr="00BF1190">
        <w:tc>
          <w:tcPr>
            <w:tcW w:w="2907" w:type="dxa"/>
          </w:tcPr>
          <w:p w14:paraId="0638D3E1"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4D2518BB" w14:textId="77777777" w:rsidR="0013143F" w:rsidRDefault="0013143F" w:rsidP="00E45619">
            <w:pPr>
              <w:rPr>
                <w:lang w:eastAsia="ja-JP"/>
              </w:rPr>
            </w:pPr>
            <w:r w:rsidRPr="0013143F">
              <w:rPr>
                <w:lang w:eastAsia="ja-JP"/>
              </w:rPr>
              <w:t>Preve</w:t>
            </w:r>
            <w:r>
              <w:rPr>
                <w:lang w:eastAsia="ja-JP"/>
              </w:rPr>
              <w:t>ntion of Cardiovascular Disease</w:t>
            </w:r>
          </w:p>
          <w:p w14:paraId="2332AE67" w14:textId="77777777" w:rsidR="008E7846" w:rsidRPr="00487162" w:rsidRDefault="0013143F" w:rsidP="0013143F">
            <w:pPr>
              <w:rPr>
                <w:rFonts w:eastAsia="MS Mincho"/>
                <w:lang w:eastAsia="ja-JP"/>
              </w:rPr>
            </w:pPr>
            <w:r w:rsidRPr="0013143F">
              <w:rPr>
                <w:lang w:eastAsia="ja-JP"/>
              </w:rPr>
              <w:t>A</w:t>
            </w:r>
            <w:r w:rsidR="004D74E4">
              <w:rPr>
                <w:lang w:eastAsia="ja-JP"/>
              </w:rPr>
              <w:t>tozet/</w:t>
            </w:r>
            <w:r>
              <w:rPr>
                <w:lang w:eastAsia="ja-JP"/>
              </w:rPr>
              <w:t>Zeteze</w:t>
            </w:r>
            <w:r w:rsidRPr="0013143F">
              <w:rPr>
                <w:lang w:eastAsia="ja-JP"/>
              </w:rPr>
              <w:t xml:space="preserve"> is indicated in patients with coronary heart disease (CHD) and a history of acute coronary syndrome (ACS) taking their maximum tolerated dose of atorvastatin and in need of additional lowering of LDL-C in the expectation of a modest further reduction in the risk of cardiovascular events following at least one year of therapy (see Clinical Trials).</w:t>
            </w:r>
          </w:p>
        </w:tc>
      </w:tr>
      <w:tr w:rsidR="008E7846" w:rsidRPr="00487162" w14:paraId="7530F2C8" w14:textId="77777777" w:rsidTr="00BF1190">
        <w:tc>
          <w:tcPr>
            <w:tcW w:w="2907" w:type="dxa"/>
          </w:tcPr>
          <w:p w14:paraId="0465D052" w14:textId="77777777" w:rsidR="008E7846" w:rsidRPr="00487162" w:rsidRDefault="003B05AF" w:rsidP="003B05AF">
            <w:pPr>
              <w:rPr>
                <w:i/>
              </w:rPr>
            </w:pPr>
            <w:r>
              <w:rPr>
                <w:i/>
              </w:rPr>
              <w:t>Route</w:t>
            </w:r>
            <w:r w:rsidR="008E7846" w:rsidRPr="00487162">
              <w:rPr>
                <w:i/>
              </w:rPr>
              <w:t xml:space="preserve"> of administration:</w:t>
            </w:r>
          </w:p>
        </w:tc>
        <w:tc>
          <w:tcPr>
            <w:tcW w:w="6307" w:type="dxa"/>
          </w:tcPr>
          <w:p w14:paraId="50F57FB4" w14:textId="77777777" w:rsidR="008E7846" w:rsidRPr="00487162" w:rsidRDefault="00406B3B" w:rsidP="00E45619">
            <w:r>
              <w:t>Oral</w:t>
            </w:r>
          </w:p>
        </w:tc>
      </w:tr>
      <w:tr w:rsidR="008E7846" w:rsidRPr="00487162" w14:paraId="7F6AB97F" w14:textId="77777777" w:rsidTr="00BF1190">
        <w:tc>
          <w:tcPr>
            <w:tcW w:w="2907" w:type="dxa"/>
          </w:tcPr>
          <w:p w14:paraId="71DECD0D" w14:textId="77777777" w:rsidR="008E7846" w:rsidRPr="00487162" w:rsidRDefault="008E7846" w:rsidP="00E45619">
            <w:pPr>
              <w:rPr>
                <w:i/>
              </w:rPr>
            </w:pPr>
            <w:r w:rsidRPr="00487162">
              <w:rPr>
                <w:i/>
              </w:rPr>
              <w:t>Dosage:</w:t>
            </w:r>
          </w:p>
        </w:tc>
        <w:tc>
          <w:tcPr>
            <w:tcW w:w="6307" w:type="dxa"/>
          </w:tcPr>
          <w:p w14:paraId="0B6D693B" w14:textId="0F37CD85" w:rsidR="008E7846" w:rsidRPr="00487162" w:rsidRDefault="002C09B7" w:rsidP="003A5002">
            <w:r>
              <w:t>D</w:t>
            </w:r>
            <w:r w:rsidRPr="002C09B7">
              <w:t xml:space="preserve">osage range of </w:t>
            </w:r>
            <w:r w:rsidR="001D12C8">
              <w:t>e</w:t>
            </w:r>
            <w:r w:rsidR="001D12C8" w:rsidRPr="002C5D31">
              <w:t>zetimibe/atorvastatin</w:t>
            </w:r>
            <w:r w:rsidR="001D12C8">
              <w:t xml:space="preserve"> </w:t>
            </w:r>
            <w:r w:rsidRPr="002C09B7">
              <w:t xml:space="preserve">10/10 mg to 10/80 mg as a single daily dose. The recommended starting dose </w:t>
            </w:r>
            <w:r w:rsidR="000A088C">
              <w:t xml:space="preserve">is </w:t>
            </w:r>
            <w:r w:rsidR="003A5002">
              <w:t>10/10 mg or 10/20 mg once daily, and</w:t>
            </w:r>
            <w:r w:rsidRPr="002C09B7">
              <w:t xml:space="preserve"> can be administered at any time of the day, with or without food.</w:t>
            </w:r>
          </w:p>
        </w:tc>
      </w:tr>
      <w:tr w:rsidR="008E7846" w:rsidRPr="00487162" w14:paraId="3BE98CD9" w14:textId="77777777" w:rsidTr="00BF1190">
        <w:tc>
          <w:tcPr>
            <w:tcW w:w="2907" w:type="dxa"/>
          </w:tcPr>
          <w:p w14:paraId="3C5B3EC3" w14:textId="77777777" w:rsidR="008E7846" w:rsidRPr="00487162" w:rsidRDefault="008E7846" w:rsidP="001B5C90">
            <w:pPr>
              <w:rPr>
                <w:i/>
              </w:rPr>
            </w:pPr>
            <w:r w:rsidRPr="00487162">
              <w:rPr>
                <w:i/>
              </w:rPr>
              <w:t xml:space="preserve">ARTG </w:t>
            </w:r>
            <w:r w:rsidR="001B5C90">
              <w:rPr>
                <w:i/>
              </w:rPr>
              <w:t>n</w:t>
            </w:r>
            <w:r w:rsidR="00C87FB2">
              <w:rPr>
                <w:i/>
              </w:rPr>
              <w:t>umber</w:t>
            </w:r>
            <w:r w:rsidR="0074664C">
              <w:rPr>
                <w:i/>
              </w:rPr>
              <w:t>s</w:t>
            </w:r>
            <w:r w:rsidR="001B5C90">
              <w:rPr>
                <w:i/>
              </w:rPr>
              <w:t>:</w:t>
            </w:r>
          </w:p>
        </w:tc>
        <w:tc>
          <w:tcPr>
            <w:tcW w:w="6307" w:type="dxa"/>
          </w:tcPr>
          <w:p w14:paraId="1383A1F9" w14:textId="77777777" w:rsidR="008E7846" w:rsidRPr="00487162" w:rsidRDefault="00227CB2" w:rsidP="00E45619">
            <w:r w:rsidRPr="00227CB2">
              <w:t>216956</w:t>
            </w:r>
            <w:r>
              <w:t xml:space="preserve">, </w:t>
            </w:r>
            <w:r w:rsidRPr="00227CB2">
              <w:t>216957</w:t>
            </w:r>
            <w:r>
              <w:t xml:space="preserve">, </w:t>
            </w:r>
            <w:r w:rsidRPr="00227CB2">
              <w:t>216958</w:t>
            </w:r>
            <w:r>
              <w:t xml:space="preserve">, 216959, </w:t>
            </w:r>
            <w:r w:rsidRPr="00227CB2">
              <w:t>216960</w:t>
            </w:r>
            <w:r>
              <w:t xml:space="preserve">, </w:t>
            </w:r>
            <w:r w:rsidRPr="00227CB2">
              <w:t>216961</w:t>
            </w:r>
            <w:r>
              <w:t xml:space="preserve">, </w:t>
            </w:r>
            <w:r w:rsidRPr="00227CB2">
              <w:t>216962</w:t>
            </w:r>
            <w:r>
              <w:t xml:space="preserve">, </w:t>
            </w:r>
            <w:r w:rsidRPr="00227CB2">
              <w:t>216963</w:t>
            </w:r>
          </w:p>
        </w:tc>
      </w:tr>
    </w:tbl>
    <w:p w14:paraId="09CD2DF0" w14:textId="77777777" w:rsidR="008E7846" w:rsidRDefault="008E7846" w:rsidP="008E7846">
      <w:pPr>
        <w:pStyle w:val="Heading3"/>
      </w:pPr>
      <w:bookmarkStart w:id="14" w:name="_Toc247691503"/>
      <w:bookmarkStart w:id="15" w:name="_Toc314842484"/>
      <w:bookmarkStart w:id="16" w:name="_Toc484783872"/>
      <w:r>
        <w:lastRenderedPageBreak/>
        <w:t>Product background</w:t>
      </w:r>
      <w:bookmarkEnd w:id="14"/>
      <w:bookmarkEnd w:id="15"/>
      <w:bookmarkEnd w:id="16"/>
    </w:p>
    <w:p w14:paraId="1F680025" w14:textId="77777777" w:rsidR="009433ED" w:rsidRDefault="000B442F" w:rsidP="009433ED">
      <w:r w:rsidRPr="0034149E">
        <w:t xml:space="preserve">This AusPAR describes the application by </w:t>
      </w:r>
      <w:r w:rsidR="00C87FB2" w:rsidRPr="00FC0686">
        <w:t>Merck Sharp &amp; Dohme (Australia) Pty Limite</w:t>
      </w:r>
      <w:r w:rsidR="00C87FB2">
        <w:t>d</w:t>
      </w:r>
      <w:r>
        <w:t xml:space="preserve"> </w:t>
      </w:r>
      <w:r w:rsidR="000D0F59">
        <w:t xml:space="preserve">(MSD) </w:t>
      </w:r>
      <w:r>
        <w:t xml:space="preserve">to </w:t>
      </w:r>
      <w:r w:rsidR="00C87FB2">
        <w:t xml:space="preserve">extend the indications for </w:t>
      </w:r>
      <w:r w:rsidR="004D74E4">
        <w:rPr>
          <w:lang w:eastAsia="ja-JP"/>
        </w:rPr>
        <w:t xml:space="preserve">Atozet/Zeteze (ezetimibe and </w:t>
      </w:r>
      <w:r w:rsidR="009433ED">
        <w:rPr>
          <w:lang w:eastAsia="ja-JP"/>
        </w:rPr>
        <w:t>atorvastatin) tablets to include the following indication:</w:t>
      </w:r>
    </w:p>
    <w:p w14:paraId="73DA4881" w14:textId="77777777" w:rsidR="009433ED" w:rsidRPr="009433ED" w:rsidRDefault="009433ED" w:rsidP="009433ED">
      <w:pPr>
        <w:ind w:left="720"/>
        <w:rPr>
          <w:b/>
          <w:i/>
        </w:rPr>
      </w:pPr>
      <w:r w:rsidRPr="009433ED">
        <w:rPr>
          <w:b/>
          <w:i/>
        </w:rPr>
        <w:t>Prevention of Cardiovascular Disease</w:t>
      </w:r>
    </w:p>
    <w:p w14:paraId="181C7E7E" w14:textId="761FA7A9" w:rsidR="009433ED" w:rsidRPr="009433ED" w:rsidRDefault="00091310" w:rsidP="009433ED">
      <w:pPr>
        <w:ind w:left="720"/>
      </w:pPr>
      <w:r>
        <w:rPr>
          <w:i/>
        </w:rPr>
        <w:t>Atozet/Zeteze</w:t>
      </w:r>
      <w:r w:rsidR="009433ED" w:rsidRPr="009433ED">
        <w:rPr>
          <w:i/>
        </w:rPr>
        <w:t xml:space="preserve"> is indicated to reduce the risk of cardiovascular events (cardiovascular death, nonfatal myocardial infarction, nonfatal stroke, hospitalization for unstable angina, or need for revascularization) in patients wi</w:t>
      </w:r>
      <w:r w:rsidR="000A088C">
        <w:rPr>
          <w:i/>
        </w:rPr>
        <w:t>th coronary heart disease (CHD)</w:t>
      </w:r>
      <w:r w:rsidR="009433ED" w:rsidRPr="009433ED">
        <w:rPr>
          <w:i/>
        </w:rPr>
        <w:t>.</w:t>
      </w:r>
    </w:p>
    <w:p w14:paraId="182D648B" w14:textId="6D0F515D" w:rsidR="00C75B00" w:rsidRDefault="009433ED" w:rsidP="009433ED">
      <w:pPr>
        <w:rPr>
          <w:lang w:eastAsia="ja-JP"/>
        </w:rPr>
      </w:pPr>
      <w:r>
        <w:rPr>
          <w:lang w:eastAsia="ja-JP"/>
        </w:rPr>
        <w:t>At time of submission, t</w:t>
      </w:r>
      <w:r w:rsidRPr="00772516">
        <w:rPr>
          <w:lang w:eastAsia="ja-JP"/>
        </w:rPr>
        <w:t xml:space="preserve">his application </w:t>
      </w:r>
      <w:r>
        <w:rPr>
          <w:lang w:eastAsia="ja-JP"/>
        </w:rPr>
        <w:t xml:space="preserve">related to </w:t>
      </w:r>
      <w:r w:rsidR="00C75B00">
        <w:rPr>
          <w:rFonts w:asciiTheme="minorHAnsi" w:hAnsiTheme="minorHAnsi"/>
        </w:rPr>
        <w:t>two previous submission</w:t>
      </w:r>
      <w:r w:rsidR="001D7E1E">
        <w:rPr>
          <w:rFonts w:asciiTheme="minorHAnsi" w:hAnsiTheme="minorHAnsi"/>
        </w:rPr>
        <w:t>s: t</w:t>
      </w:r>
      <w:r w:rsidR="00C75B00">
        <w:rPr>
          <w:rFonts w:asciiTheme="minorHAnsi" w:hAnsiTheme="minorHAnsi"/>
        </w:rPr>
        <w:t>he sponsor made an application for an Extension of Indications for Ezetrol (ezetimibe, submission, PM-2015-01524-1-3) and Vytorin (ezetimibe/simvastatin fixed dose combination, submission PM-2015-01525-1-3) based on the outcomes of the IMPROVE-IT study</w:t>
      </w:r>
      <w:r w:rsidR="001D7E1E">
        <w:rPr>
          <w:rFonts w:asciiTheme="minorHAnsi" w:hAnsiTheme="minorHAnsi"/>
        </w:rPr>
        <w:t xml:space="preserve">, a Phase </w:t>
      </w:r>
      <w:proofErr w:type="spellStart"/>
      <w:r w:rsidR="001D7E1E">
        <w:rPr>
          <w:rFonts w:asciiTheme="minorHAnsi" w:hAnsiTheme="minorHAnsi"/>
        </w:rPr>
        <w:t>III</w:t>
      </w:r>
      <w:r w:rsidR="00C75B00">
        <w:rPr>
          <w:rFonts w:asciiTheme="minorHAnsi" w:hAnsiTheme="minorHAnsi"/>
        </w:rPr>
        <w:t>b</w:t>
      </w:r>
      <w:proofErr w:type="spellEnd"/>
      <w:r w:rsidR="00C75B00">
        <w:rPr>
          <w:rFonts w:asciiTheme="minorHAnsi" w:hAnsiTheme="minorHAnsi"/>
        </w:rPr>
        <w:t xml:space="preserve"> multicentre, multinational, double</w:t>
      </w:r>
      <w:r w:rsidR="00C9757C">
        <w:rPr>
          <w:rFonts w:asciiTheme="minorHAnsi" w:hAnsiTheme="minorHAnsi"/>
        </w:rPr>
        <w:t xml:space="preserve"> </w:t>
      </w:r>
      <w:r w:rsidR="00C75B00">
        <w:rPr>
          <w:rFonts w:asciiTheme="minorHAnsi" w:hAnsiTheme="minorHAnsi"/>
        </w:rPr>
        <w:t xml:space="preserve">blind </w:t>
      </w:r>
      <w:r w:rsidR="001D7E1E">
        <w:rPr>
          <w:rFonts w:asciiTheme="minorHAnsi" w:hAnsiTheme="minorHAnsi"/>
        </w:rPr>
        <w:t xml:space="preserve">randomised controlled study of </w:t>
      </w:r>
      <w:r w:rsidR="00C75B00">
        <w:rPr>
          <w:rFonts w:asciiTheme="minorHAnsi" w:hAnsiTheme="minorHAnsi"/>
        </w:rPr>
        <w:t>18,144 adult patients presenting with an acute coronary syndrome (ACS) event that compared ezetimibe 10 mg and simvastatin 40 mg or 80 mg with simvastatin at the same doses alone. Protocol changes resulted in most patients taking simvastatin at 40</w:t>
      </w:r>
      <w:r w:rsidR="004B628D">
        <w:rPr>
          <w:rFonts w:asciiTheme="minorHAnsi" w:hAnsiTheme="minorHAnsi"/>
        </w:rPr>
        <w:t xml:space="preserve"> </w:t>
      </w:r>
      <w:r w:rsidR="00C75B00">
        <w:rPr>
          <w:rFonts w:asciiTheme="minorHAnsi" w:hAnsiTheme="minorHAnsi"/>
        </w:rPr>
        <w:t>mg daily dosing in each arm of the study. The primary composite outcome was a combination of cardiovascular death, non-fatal MI, documented unstable angina requiring hospitalisation, all coronary revascularisation ≥ 30 days after the index event and non-fatal stroke.</w:t>
      </w:r>
    </w:p>
    <w:p w14:paraId="2076E7E3" w14:textId="77777777" w:rsidR="00E240CD" w:rsidRPr="00E240CD" w:rsidRDefault="00E240CD" w:rsidP="00E240CD">
      <w:pPr>
        <w:rPr>
          <w:lang w:eastAsia="ja-JP"/>
        </w:rPr>
      </w:pPr>
      <w:r w:rsidRPr="00E240CD">
        <w:rPr>
          <w:lang w:eastAsia="ja-JP"/>
        </w:rPr>
        <w:t>The current approved indications for the combination product Atozet</w:t>
      </w:r>
      <w:r w:rsidR="004B628D">
        <w:rPr>
          <w:lang w:eastAsia="ja-JP"/>
        </w:rPr>
        <w:t>/Zeteze</w:t>
      </w:r>
      <w:r w:rsidRPr="00E240CD">
        <w:rPr>
          <w:lang w:eastAsia="ja-JP"/>
        </w:rPr>
        <w:t xml:space="preserve"> are:</w:t>
      </w:r>
    </w:p>
    <w:p w14:paraId="0CAABC92" w14:textId="77777777" w:rsidR="00E240CD" w:rsidRPr="00E240CD" w:rsidRDefault="00E240CD" w:rsidP="00E240CD">
      <w:pPr>
        <w:ind w:left="720"/>
        <w:rPr>
          <w:b/>
          <w:i/>
          <w:lang w:eastAsia="ja-JP"/>
        </w:rPr>
      </w:pPr>
      <w:r w:rsidRPr="00E240CD">
        <w:rPr>
          <w:b/>
          <w:i/>
          <w:lang w:eastAsia="ja-JP"/>
        </w:rPr>
        <w:t>Primary Hypercholesterolaemia</w:t>
      </w:r>
    </w:p>
    <w:p w14:paraId="0D10DCFF" w14:textId="77777777" w:rsidR="00E240CD" w:rsidRPr="00E240CD" w:rsidRDefault="00E240CD" w:rsidP="00E240CD">
      <w:pPr>
        <w:ind w:left="720"/>
        <w:rPr>
          <w:i/>
          <w:lang w:eastAsia="ja-JP"/>
        </w:rPr>
      </w:pPr>
      <w:r w:rsidRPr="00E240CD">
        <w:rPr>
          <w:i/>
          <w:lang w:eastAsia="ja-JP"/>
        </w:rPr>
        <w:t>A</w:t>
      </w:r>
      <w:r w:rsidR="004B628D">
        <w:rPr>
          <w:i/>
          <w:lang w:eastAsia="ja-JP"/>
        </w:rPr>
        <w:t>tozet</w:t>
      </w:r>
      <w:r w:rsidRPr="00E240CD">
        <w:rPr>
          <w:i/>
          <w:lang w:eastAsia="ja-JP"/>
        </w:rPr>
        <w:t xml:space="preserve"> is indicated as adjunctive therapy to diet in patients with primary (heterozygous familial and non-familial) hypercholesterolaemia where use of a combination product is appropriate in those patients:</w:t>
      </w:r>
    </w:p>
    <w:p w14:paraId="5AFADFB4" w14:textId="77777777" w:rsidR="00E240CD" w:rsidRPr="00E240CD" w:rsidRDefault="00E240CD" w:rsidP="00E240CD">
      <w:pPr>
        <w:pStyle w:val="ListBullet3"/>
        <w:rPr>
          <w:i/>
        </w:rPr>
      </w:pPr>
      <w:r w:rsidRPr="00E240CD">
        <w:rPr>
          <w:i/>
        </w:rPr>
        <w:t>not appropriately controlled with atorvastatin or ezetimibe alone; or</w:t>
      </w:r>
    </w:p>
    <w:p w14:paraId="6564D7A7" w14:textId="77777777" w:rsidR="00E240CD" w:rsidRPr="00E240CD" w:rsidRDefault="00E240CD" w:rsidP="00E240CD">
      <w:pPr>
        <w:pStyle w:val="ListBullet3"/>
        <w:rPr>
          <w:i/>
        </w:rPr>
      </w:pPr>
      <w:r w:rsidRPr="00E240CD">
        <w:rPr>
          <w:i/>
        </w:rPr>
        <w:t>already treated with atorvastatin and ezetimibe</w:t>
      </w:r>
    </w:p>
    <w:p w14:paraId="68B204A5" w14:textId="77777777" w:rsidR="00E240CD" w:rsidRPr="00E240CD" w:rsidRDefault="00E240CD" w:rsidP="00E240CD">
      <w:pPr>
        <w:ind w:left="720"/>
        <w:rPr>
          <w:b/>
          <w:i/>
          <w:lang w:eastAsia="ja-JP"/>
        </w:rPr>
      </w:pPr>
      <w:r w:rsidRPr="00E240CD">
        <w:rPr>
          <w:b/>
          <w:i/>
          <w:lang w:eastAsia="ja-JP"/>
        </w:rPr>
        <w:t xml:space="preserve">Homozygous Familial </w:t>
      </w:r>
      <w:proofErr w:type="spellStart"/>
      <w:r w:rsidRPr="00E240CD">
        <w:rPr>
          <w:b/>
          <w:i/>
          <w:lang w:eastAsia="ja-JP"/>
        </w:rPr>
        <w:t>Hypercholesterolaemia</w:t>
      </w:r>
      <w:proofErr w:type="spellEnd"/>
      <w:r w:rsidRPr="00E240CD">
        <w:rPr>
          <w:b/>
          <w:i/>
          <w:lang w:eastAsia="ja-JP"/>
        </w:rPr>
        <w:t xml:space="preserve"> (</w:t>
      </w:r>
      <w:proofErr w:type="spellStart"/>
      <w:r w:rsidRPr="00E240CD">
        <w:rPr>
          <w:b/>
          <w:i/>
          <w:lang w:eastAsia="ja-JP"/>
        </w:rPr>
        <w:t>HoFH</w:t>
      </w:r>
      <w:proofErr w:type="spellEnd"/>
      <w:r w:rsidRPr="00E240CD">
        <w:rPr>
          <w:b/>
          <w:i/>
          <w:lang w:eastAsia="ja-JP"/>
        </w:rPr>
        <w:t>)</w:t>
      </w:r>
    </w:p>
    <w:p w14:paraId="10692C20" w14:textId="77777777" w:rsidR="00E240CD" w:rsidRPr="00E240CD" w:rsidRDefault="00E240CD" w:rsidP="00E240CD">
      <w:pPr>
        <w:ind w:left="720"/>
        <w:rPr>
          <w:i/>
          <w:lang w:eastAsia="ja-JP"/>
        </w:rPr>
      </w:pPr>
      <w:r w:rsidRPr="00E240CD">
        <w:rPr>
          <w:i/>
          <w:lang w:eastAsia="ja-JP"/>
        </w:rPr>
        <w:t>A</w:t>
      </w:r>
      <w:r w:rsidR="004B628D">
        <w:rPr>
          <w:i/>
          <w:lang w:eastAsia="ja-JP"/>
        </w:rPr>
        <w:t>tozet</w:t>
      </w:r>
      <w:r w:rsidRPr="00E240CD">
        <w:rPr>
          <w:i/>
          <w:lang w:eastAsia="ja-JP"/>
        </w:rPr>
        <w:t xml:space="preserve"> is indicated in patients with </w:t>
      </w:r>
      <w:proofErr w:type="spellStart"/>
      <w:r w:rsidRPr="00E240CD">
        <w:rPr>
          <w:i/>
          <w:lang w:eastAsia="ja-JP"/>
        </w:rPr>
        <w:t>HoFH</w:t>
      </w:r>
      <w:proofErr w:type="spellEnd"/>
      <w:r w:rsidRPr="00E240CD">
        <w:rPr>
          <w:i/>
          <w:lang w:eastAsia="ja-JP"/>
        </w:rPr>
        <w:t>. Patients may also receive adjunctive treatments (e.g. LDL apheresis).</w:t>
      </w:r>
    </w:p>
    <w:p w14:paraId="2DCE769B" w14:textId="77777777" w:rsidR="00E240CD" w:rsidRPr="00E240CD" w:rsidRDefault="00E240CD" w:rsidP="00E240CD">
      <w:pPr>
        <w:keepNext/>
        <w:rPr>
          <w:lang w:eastAsia="ja-JP"/>
        </w:rPr>
      </w:pPr>
      <w:r w:rsidRPr="00E240CD">
        <w:rPr>
          <w:lang w:eastAsia="ja-JP"/>
        </w:rPr>
        <w:t>As outlined in the A</w:t>
      </w:r>
      <w:r w:rsidR="004B628D">
        <w:rPr>
          <w:lang w:eastAsia="ja-JP"/>
        </w:rPr>
        <w:t>usPAR</w:t>
      </w:r>
      <w:r w:rsidRPr="00E240CD">
        <w:rPr>
          <w:lang w:eastAsia="ja-JP"/>
        </w:rPr>
        <w:t xml:space="preserve"> for Atozet</w:t>
      </w:r>
      <w:r w:rsidR="006C3BAA">
        <w:rPr>
          <w:lang w:eastAsia="ja-JP"/>
        </w:rPr>
        <w:t>/Zeteze</w:t>
      </w:r>
      <w:r w:rsidRPr="00E240CD">
        <w:rPr>
          <w:lang w:eastAsia="ja-JP"/>
        </w:rPr>
        <w:t>,</w:t>
      </w:r>
      <w:r w:rsidR="006C3BAA">
        <w:rPr>
          <w:rStyle w:val="FootnoteReference"/>
          <w:lang w:eastAsia="ja-JP"/>
        </w:rPr>
        <w:footnoteReference w:id="1"/>
      </w:r>
      <w:r w:rsidRPr="00E240CD">
        <w:rPr>
          <w:lang w:eastAsia="ja-JP"/>
        </w:rPr>
        <w:t xml:space="preserve"> ezetimibe inhibits the intestinal absorption of cholesterol and atorvastatin is a synthetic lipid lowering agent. Ezetimibe targets the sterol transporter, </w:t>
      </w:r>
      <w:proofErr w:type="spellStart"/>
      <w:r w:rsidRPr="00E240CD">
        <w:rPr>
          <w:lang w:eastAsia="ja-JP"/>
        </w:rPr>
        <w:t>Niemann</w:t>
      </w:r>
      <w:proofErr w:type="spellEnd"/>
      <w:r w:rsidRPr="00E240CD">
        <w:rPr>
          <w:lang w:eastAsia="ja-JP"/>
        </w:rPr>
        <w:t xml:space="preserve">-Pick C1-Like (NPC1L1), which is responsible for the intestinal uptake of cholesterol and </w:t>
      </w:r>
      <w:proofErr w:type="spellStart"/>
      <w:r w:rsidRPr="00E240CD">
        <w:rPr>
          <w:lang w:eastAsia="ja-JP"/>
        </w:rPr>
        <w:t>phytosterols</w:t>
      </w:r>
      <w:proofErr w:type="spellEnd"/>
      <w:r w:rsidRPr="00E240CD">
        <w:rPr>
          <w:lang w:eastAsia="ja-JP"/>
        </w:rPr>
        <w:t>. The current approved indications for ezetimibe are:</w:t>
      </w:r>
    </w:p>
    <w:p w14:paraId="64A8EDE0" w14:textId="77777777" w:rsidR="00E240CD" w:rsidRPr="00053CDF" w:rsidRDefault="00E240CD" w:rsidP="00E240CD">
      <w:pPr>
        <w:keepNext/>
        <w:ind w:left="720"/>
        <w:rPr>
          <w:b/>
          <w:i/>
          <w:lang w:eastAsia="ja-JP"/>
        </w:rPr>
      </w:pPr>
      <w:r w:rsidRPr="00053CDF">
        <w:rPr>
          <w:b/>
          <w:i/>
          <w:lang w:eastAsia="ja-JP"/>
        </w:rPr>
        <w:t xml:space="preserve">Adults (≥ 18 Years) </w:t>
      </w:r>
    </w:p>
    <w:p w14:paraId="3FBA94D9" w14:textId="77777777" w:rsidR="00E240CD" w:rsidRPr="00053CDF" w:rsidRDefault="00E240CD" w:rsidP="00E240CD">
      <w:pPr>
        <w:ind w:left="720"/>
        <w:rPr>
          <w:b/>
          <w:i/>
          <w:lang w:eastAsia="ja-JP"/>
        </w:rPr>
      </w:pPr>
      <w:r w:rsidRPr="00053CDF">
        <w:rPr>
          <w:b/>
          <w:i/>
          <w:lang w:eastAsia="ja-JP"/>
        </w:rPr>
        <w:t>Primary Hypercholesterolaemia</w:t>
      </w:r>
    </w:p>
    <w:p w14:paraId="73ED26F0" w14:textId="77777777" w:rsidR="00E240CD" w:rsidRPr="00053CDF" w:rsidRDefault="00E240CD" w:rsidP="00E240CD">
      <w:pPr>
        <w:ind w:left="720"/>
        <w:rPr>
          <w:i/>
          <w:lang w:eastAsia="ja-JP"/>
        </w:rPr>
      </w:pPr>
      <w:r w:rsidRPr="00053CDF">
        <w:rPr>
          <w:i/>
          <w:lang w:eastAsia="ja-JP"/>
        </w:rPr>
        <w:t>EZETROL administered alone, or with an HMG-CoA reductase inhibitor (statin), is indicated as adjunctive therapy to diet in patients with primary (heterozygous familial and non-familial) hypercholesterolaemia.</w:t>
      </w:r>
    </w:p>
    <w:p w14:paraId="6BFBCAC8" w14:textId="77777777" w:rsidR="00E240CD" w:rsidRPr="00053CDF" w:rsidRDefault="00E240CD" w:rsidP="00E240CD">
      <w:pPr>
        <w:ind w:left="720"/>
        <w:rPr>
          <w:b/>
          <w:i/>
          <w:lang w:eastAsia="ja-JP"/>
        </w:rPr>
      </w:pPr>
      <w:r w:rsidRPr="00053CDF">
        <w:rPr>
          <w:b/>
          <w:i/>
          <w:lang w:eastAsia="ja-JP"/>
        </w:rPr>
        <w:t xml:space="preserve">Homozygous Familial </w:t>
      </w:r>
      <w:proofErr w:type="spellStart"/>
      <w:r w:rsidRPr="00053CDF">
        <w:rPr>
          <w:b/>
          <w:i/>
          <w:lang w:eastAsia="ja-JP"/>
        </w:rPr>
        <w:t>Hypercholesterolaemia</w:t>
      </w:r>
      <w:proofErr w:type="spellEnd"/>
      <w:r w:rsidRPr="00053CDF">
        <w:rPr>
          <w:b/>
          <w:i/>
          <w:lang w:eastAsia="ja-JP"/>
        </w:rPr>
        <w:t xml:space="preserve"> (</w:t>
      </w:r>
      <w:proofErr w:type="spellStart"/>
      <w:r w:rsidRPr="00053CDF">
        <w:rPr>
          <w:b/>
          <w:i/>
          <w:lang w:eastAsia="ja-JP"/>
        </w:rPr>
        <w:t>HoFH</w:t>
      </w:r>
      <w:proofErr w:type="spellEnd"/>
      <w:r w:rsidRPr="00053CDF">
        <w:rPr>
          <w:b/>
          <w:i/>
          <w:lang w:eastAsia="ja-JP"/>
        </w:rPr>
        <w:t>)</w:t>
      </w:r>
    </w:p>
    <w:p w14:paraId="359F55C4" w14:textId="77777777" w:rsidR="00E240CD" w:rsidRPr="00053CDF" w:rsidRDefault="00E240CD" w:rsidP="00E240CD">
      <w:pPr>
        <w:ind w:left="720"/>
        <w:rPr>
          <w:i/>
          <w:lang w:eastAsia="ja-JP"/>
        </w:rPr>
      </w:pPr>
      <w:r w:rsidRPr="00053CDF">
        <w:rPr>
          <w:i/>
          <w:lang w:eastAsia="ja-JP"/>
        </w:rPr>
        <w:t xml:space="preserve">EZETROL, administered with a statin, is indicated for patients with </w:t>
      </w:r>
      <w:proofErr w:type="spellStart"/>
      <w:r w:rsidRPr="00053CDF">
        <w:rPr>
          <w:i/>
          <w:lang w:eastAsia="ja-JP"/>
        </w:rPr>
        <w:t>HoFH</w:t>
      </w:r>
      <w:proofErr w:type="spellEnd"/>
      <w:r w:rsidRPr="00053CDF">
        <w:rPr>
          <w:i/>
          <w:lang w:eastAsia="ja-JP"/>
        </w:rPr>
        <w:t>. Patients may also receive adjunctive treatments (e.g., LDL apheresis).</w:t>
      </w:r>
    </w:p>
    <w:p w14:paraId="3CAA0477" w14:textId="77777777" w:rsidR="00E240CD" w:rsidRPr="00053CDF" w:rsidRDefault="00E240CD" w:rsidP="00E240CD">
      <w:pPr>
        <w:ind w:left="720"/>
        <w:rPr>
          <w:b/>
          <w:i/>
          <w:lang w:eastAsia="ja-JP"/>
        </w:rPr>
      </w:pPr>
      <w:r w:rsidRPr="00053CDF">
        <w:rPr>
          <w:b/>
          <w:i/>
          <w:lang w:eastAsia="ja-JP"/>
        </w:rPr>
        <w:t xml:space="preserve">Homozygous </w:t>
      </w:r>
      <w:proofErr w:type="spellStart"/>
      <w:r w:rsidRPr="00053CDF">
        <w:rPr>
          <w:b/>
          <w:i/>
          <w:lang w:eastAsia="ja-JP"/>
        </w:rPr>
        <w:t>Sitosterolaemia</w:t>
      </w:r>
      <w:proofErr w:type="spellEnd"/>
      <w:r w:rsidRPr="00053CDF">
        <w:rPr>
          <w:b/>
          <w:i/>
          <w:lang w:eastAsia="ja-JP"/>
        </w:rPr>
        <w:t xml:space="preserve"> (</w:t>
      </w:r>
      <w:proofErr w:type="spellStart"/>
      <w:r w:rsidRPr="00053CDF">
        <w:rPr>
          <w:b/>
          <w:i/>
          <w:lang w:eastAsia="ja-JP"/>
        </w:rPr>
        <w:t>Phytosterolaemia</w:t>
      </w:r>
      <w:proofErr w:type="spellEnd"/>
      <w:r w:rsidRPr="00053CDF">
        <w:rPr>
          <w:b/>
          <w:i/>
          <w:lang w:eastAsia="ja-JP"/>
        </w:rPr>
        <w:t>)</w:t>
      </w:r>
    </w:p>
    <w:p w14:paraId="617A0EE9" w14:textId="77777777" w:rsidR="00E240CD" w:rsidRPr="00053CDF" w:rsidRDefault="00291CD7" w:rsidP="00E240CD">
      <w:pPr>
        <w:ind w:left="720"/>
        <w:rPr>
          <w:i/>
          <w:lang w:eastAsia="ja-JP"/>
        </w:rPr>
      </w:pPr>
      <w:r>
        <w:rPr>
          <w:i/>
          <w:lang w:eastAsia="ja-JP"/>
        </w:rPr>
        <w:lastRenderedPageBreak/>
        <w:t>Ezetrol</w:t>
      </w:r>
      <w:r w:rsidR="00E240CD" w:rsidRPr="00053CDF">
        <w:rPr>
          <w:i/>
          <w:lang w:eastAsia="ja-JP"/>
        </w:rPr>
        <w:t xml:space="preserve"> is indicated for the reduction of elevated </w:t>
      </w:r>
      <w:proofErr w:type="spellStart"/>
      <w:r w:rsidR="00E240CD" w:rsidRPr="00053CDF">
        <w:rPr>
          <w:i/>
          <w:lang w:eastAsia="ja-JP"/>
        </w:rPr>
        <w:t>sitosterol</w:t>
      </w:r>
      <w:proofErr w:type="spellEnd"/>
      <w:r w:rsidR="00E240CD" w:rsidRPr="00053CDF">
        <w:rPr>
          <w:i/>
          <w:lang w:eastAsia="ja-JP"/>
        </w:rPr>
        <w:t xml:space="preserve"> and </w:t>
      </w:r>
      <w:proofErr w:type="spellStart"/>
      <w:r w:rsidR="00E240CD" w:rsidRPr="00053CDF">
        <w:rPr>
          <w:i/>
          <w:lang w:eastAsia="ja-JP"/>
        </w:rPr>
        <w:t>campesterol</w:t>
      </w:r>
      <w:proofErr w:type="spellEnd"/>
      <w:r w:rsidR="00E240CD" w:rsidRPr="00053CDF">
        <w:rPr>
          <w:i/>
          <w:lang w:eastAsia="ja-JP"/>
        </w:rPr>
        <w:t xml:space="preserve"> levels in patients with homozygous familial </w:t>
      </w:r>
      <w:proofErr w:type="spellStart"/>
      <w:r w:rsidR="00E240CD" w:rsidRPr="00053CDF">
        <w:rPr>
          <w:i/>
          <w:lang w:eastAsia="ja-JP"/>
        </w:rPr>
        <w:t>sitosterolaemia</w:t>
      </w:r>
      <w:proofErr w:type="spellEnd"/>
      <w:r w:rsidR="00E240CD" w:rsidRPr="00053CDF">
        <w:rPr>
          <w:i/>
          <w:lang w:eastAsia="ja-JP"/>
        </w:rPr>
        <w:t>.</w:t>
      </w:r>
    </w:p>
    <w:p w14:paraId="229AFE00" w14:textId="77777777" w:rsidR="00E240CD" w:rsidRPr="00053CDF" w:rsidRDefault="00E240CD" w:rsidP="00E240CD">
      <w:pPr>
        <w:ind w:left="720"/>
        <w:rPr>
          <w:b/>
          <w:i/>
          <w:lang w:eastAsia="ja-JP"/>
        </w:rPr>
      </w:pPr>
      <w:r w:rsidRPr="00053CDF">
        <w:rPr>
          <w:b/>
          <w:i/>
          <w:lang w:eastAsia="ja-JP"/>
        </w:rPr>
        <w:t>Children and Adolescents 10-17 Years</w:t>
      </w:r>
    </w:p>
    <w:p w14:paraId="2F0F1B6B" w14:textId="77777777" w:rsidR="00E240CD" w:rsidRPr="00053CDF" w:rsidRDefault="00E240CD" w:rsidP="00E240CD">
      <w:pPr>
        <w:ind w:left="720"/>
        <w:rPr>
          <w:b/>
          <w:i/>
          <w:lang w:eastAsia="ja-JP"/>
        </w:rPr>
      </w:pPr>
      <w:r w:rsidRPr="00053CDF">
        <w:rPr>
          <w:b/>
          <w:i/>
          <w:lang w:eastAsia="ja-JP"/>
        </w:rPr>
        <w:t>(</w:t>
      </w:r>
      <w:proofErr w:type="gramStart"/>
      <w:r w:rsidRPr="00053CDF">
        <w:rPr>
          <w:b/>
          <w:i/>
          <w:lang w:eastAsia="ja-JP"/>
        </w:rPr>
        <w:t>pubertal</w:t>
      </w:r>
      <w:proofErr w:type="gramEnd"/>
      <w:r w:rsidRPr="00053CDF">
        <w:rPr>
          <w:b/>
          <w:i/>
          <w:lang w:eastAsia="ja-JP"/>
        </w:rPr>
        <w:t xml:space="preserve"> status: boys Tanner Stage II and above and girls who are at least one year post-menarche)</w:t>
      </w:r>
    </w:p>
    <w:p w14:paraId="719BB468" w14:textId="77777777" w:rsidR="00E240CD" w:rsidRPr="00053CDF" w:rsidRDefault="00E240CD" w:rsidP="00E240CD">
      <w:pPr>
        <w:ind w:left="720"/>
        <w:rPr>
          <w:b/>
          <w:i/>
          <w:lang w:eastAsia="ja-JP"/>
        </w:rPr>
      </w:pPr>
      <w:r w:rsidRPr="00053CDF">
        <w:rPr>
          <w:b/>
          <w:i/>
          <w:lang w:eastAsia="ja-JP"/>
        </w:rPr>
        <w:t xml:space="preserve">Heterozygous Familial </w:t>
      </w:r>
      <w:proofErr w:type="spellStart"/>
      <w:r w:rsidRPr="00053CDF">
        <w:rPr>
          <w:b/>
          <w:i/>
          <w:lang w:eastAsia="ja-JP"/>
        </w:rPr>
        <w:t>Hypercholesterolaemia</w:t>
      </w:r>
      <w:proofErr w:type="spellEnd"/>
      <w:r w:rsidRPr="00053CDF">
        <w:rPr>
          <w:b/>
          <w:i/>
          <w:lang w:eastAsia="ja-JP"/>
        </w:rPr>
        <w:t xml:space="preserve"> (</w:t>
      </w:r>
      <w:proofErr w:type="spellStart"/>
      <w:r w:rsidRPr="00053CDF">
        <w:rPr>
          <w:b/>
          <w:i/>
          <w:lang w:eastAsia="ja-JP"/>
        </w:rPr>
        <w:t>HeFH</w:t>
      </w:r>
      <w:proofErr w:type="spellEnd"/>
      <w:r w:rsidRPr="00053CDF">
        <w:rPr>
          <w:b/>
          <w:i/>
          <w:lang w:eastAsia="ja-JP"/>
        </w:rPr>
        <w:t>)</w:t>
      </w:r>
    </w:p>
    <w:p w14:paraId="7D64E021" w14:textId="77777777" w:rsidR="00E240CD" w:rsidRPr="00053CDF" w:rsidRDefault="00291CD7" w:rsidP="00E240CD">
      <w:pPr>
        <w:ind w:left="720"/>
        <w:rPr>
          <w:i/>
          <w:lang w:eastAsia="ja-JP"/>
        </w:rPr>
      </w:pPr>
      <w:r>
        <w:rPr>
          <w:i/>
          <w:lang w:eastAsia="ja-JP"/>
        </w:rPr>
        <w:t>Ezetrol</w:t>
      </w:r>
      <w:r w:rsidR="00E240CD" w:rsidRPr="00053CDF">
        <w:rPr>
          <w:i/>
          <w:lang w:eastAsia="ja-JP"/>
        </w:rPr>
        <w:t xml:space="preserve"> co-administered with simvastatin (doses up to 40 mg) is indicated as an adjunctive therapy to diet in adolescent patients (10-17 years old) with heterozygous familial hypercholesterolaemia where use of a combination product is appropriate:</w:t>
      </w:r>
    </w:p>
    <w:p w14:paraId="21F756FD" w14:textId="77777777" w:rsidR="00E240CD" w:rsidRPr="00053CDF" w:rsidRDefault="00E240CD" w:rsidP="00053CDF">
      <w:pPr>
        <w:pStyle w:val="ListBullet3"/>
        <w:rPr>
          <w:i/>
          <w:lang w:eastAsia="ja-JP"/>
        </w:rPr>
      </w:pPr>
      <w:r w:rsidRPr="00053CDF">
        <w:rPr>
          <w:i/>
          <w:lang w:eastAsia="ja-JP"/>
        </w:rPr>
        <w:t>Patients not appropriately controlled with a statin or ezetimibe alone</w:t>
      </w:r>
    </w:p>
    <w:p w14:paraId="28D0EB46" w14:textId="77777777" w:rsidR="00E240CD" w:rsidRPr="00053CDF" w:rsidRDefault="00E240CD" w:rsidP="00053CDF">
      <w:pPr>
        <w:pStyle w:val="ListBullet3"/>
        <w:rPr>
          <w:lang w:eastAsia="ja-JP"/>
        </w:rPr>
      </w:pPr>
      <w:r w:rsidRPr="00053CDF">
        <w:rPr>
          <w:i/>
          <w:lang w:eastAsia="ja-JP"/>
        </w:rPr>
        <w:t>Patients already treated with a statin and ezetimibe</w:t>
      </w:r>
    </w:p>
    <w:p w14:paraId="71DE9B38" w14:textId="77777777" w:rsidR="00E240CD" w:rsidRPr="00053CDF" w:rsidRDefault="00E240CD" w:rsidP="00E240CD">
      <w:pPr>
        <w:ind w:left="720"/>
        <w:rPr>
          <w:b/>
          <w:i/>
          <w:lang w:eastAsia="ja-JP"/>
        </w:rPr>
      </w:pPr>
      <w:r w:rsidRPr="00053CDF">
        <w:rPr>
          <w:b/>
          <w:i/>
          <w:lang w:eastAsia="ja-JP"/>
        </w:rPr>
        <w:t xml:space="preserve">Homozygous Familial </w:t>
      </w:r>
      <w:proofErr w:type="spellStart"/>
      <w:r w:rsidRPr="00053CDF">
        <w:rPr>
          <w:b/>
          <w:i/>
          <w:lang w:eastAsia="ja-JP"/>
        </w:rPr>
        <w:t>Hypercholesterolaemia</w:t>
      </w:r>
      <w:proofErr w:type="spellEnd"/>
      <w:r w:rsidRPr="00053CDF">
        <w:rPr>
          <w:b/>
          <w:i/>
          <w:lang w:eastAsia="ja-JP"/>
        </w:rPr>
        <w:t xml:space="preserve"> (</w:t>
      </w:r>
      <w:proofErr w:type="spellStart"/>
      <w:r w:rsidRPr="00053CDF">
        <w:rPr>
          <w:b/>
          <w:i/>
          <w:lang w:eastAsia="ja-JP"/>
        </w:rPr>
        <w:t>HoFH</w:t>
      </w:r>
      <w:proofErr w:type="spellEnd"/>
      <w:r w:rsidRPr="00053CDF">
        <w:rPr>
          <w:b/>
          <w:i/>
          <w:lang w:eastAsia="ja-JP"/>
        </w:rPr>
        <w:t>)</w:t>
      </w:r>
    </w:p>
    <w:p w14:paraId="03F5956E" w14:textId="77777777" w:rsidR="00E240CD" w:rsidRPr="00053CDF" w:rsidRDefault="00291CD7" w:rsidP="00E240CD">
      <w:pPr>
        <w:ind w:left="720"/>
        <w:rPr>
          <w:i/>
          <w:lang w:eastAsia="ja-JP"/>
        </w:rPr>
      </w:pPr>
      <w:r>
        <w:rPr>
          <w:i/>
          <w:lang w:eastAsia="ja-JP"/>
        </w:rPr>
        <w:t>Ezetrol</w:t>
      </w:r>
      <w:r w:rsidR="00E240CD" w:rsidRPr="00053CDF">
        <w:rPr>
          <w:i/>
          <w:lang w:eastAsia="ja-JP"/>
        </w:rPr>
        <w:t xml:space="preserve"> co-administered with simvastatin (doses up to 40 mg) is indicated in adolescent patients (10-17 years old) with </w:t>
      </w:r>
      <w:proofErr w:type="spellStart"/>
      <w:r w:rsidR="00E240CD" w:rsidRPr="00053CDF">
        <w:rPr>
          <w:i/>
          <w:lang w:eastAsia="ja-JP"/>
        </w:rPr>
        <w:t>HoFH</w:t>
      </w:r>
      <w:proofErr w:type="spellEnd"/>
      <w:r w:rsidR="00E240CD" w:rsidRPr="00053CDF">
        <w:rPr>
          <w:i/>
          <w:lang w:eastAsia="ja-JP"/>
        </w:rPr>
        <w:t>. Patients may also receive adjunctive treatments (e.g. LDL apheresis)</w:t>
      </w:r>
    </w:p>
    <w:p w14:paraId="7F724797" w14:textId="77777777" w:rsidR="00E240CD" w:rsidRDefault="00E240CD" w:rsidP="00E240CD">
      <w:pPr>
        <w:rPr>
          <w:lang w:eastAsia="ja-JP"/>
        </w:rPr>
      </w:pPr>
      <w:r w:rsidRPr="00EC2663">
        <w:rPr>
          <w:lang w:eastAsia="ja-JP"/>
        </w:rPr>
        <w:t xml:space="preserve">Atorvastatin </w:t>
      </w:r>
      <w:r>
        <w:rPr>
          <w:lang w:eastAsia="ja-JP"/>
        </w:rPr>
        <w:t>inhibits</w:t>
      </w:r>
      <w:r w:rsidRPr="00EC2663">
        <w:rPr>
          <w:lang w:eastAsia="ja-JP"/>
        </w:rPr>
        <w:t xml:space="preserve"> </w:t>
      </w:r>
      <w:proofErr w:type="spellStart"/>
      <w:r>
        <w:rPr>
          <w:lang w:eastAsia="ja-JP"/>
        </w:rPr>
        <w:t>h</w:t>
      </w:r>
      <w:r w:rsidRPr="00EC2663">
        <w:rPr>
          <w:lang w:eastAsia="ja-JP"/>
        </w:rPr>
        <w:t>ydroxymethylglutaryl</w:t>
      </w:r>
      <w:proofErr w:type="spellEnd"/>
      <w:r w:rsidRPr="00EC2663">
        <w:rPr>
          <w:lang w:eastAsia="ja-JP"/>
        </w:rPr>
        <w:t xml:space="preserve"> coenzyme A (HMG-CoA) reductase, the rate limiting enzyme that converts 3-hydroxy-3-methyl-glutaryl-coenzyme A to mevalonate, a precursor of sterols, including cholesterol. The current approved indications of </w:t>
      </w:r>
      <w:r>
        <w:rPr>
          <w:lang w:eastAsia="ja-JP"/>
        </w:rPr>
        <w:t>Lipitor (</w:t>
      </w:r>
      <w:r w:rsidRPr="00EC2663">
        <w:rPr>
          <w:lang w:eastAsia="ja-JP"/>
        </w:rPr>
        <w:t>atorvastatin</w:t>
      </w:r>
      <w:r>
        <w:rPr>
          <w:lang w:eastAsia="ja-JP"/>
        </w:rPr>
        <w:t>)</w:t>
      </w:r>
      <w:r w:rsidRPr="00EC2663">
        <w:rPr>
          <w:lang w:eastAsia="ja-JP"/>
        </w:rPr>
        <w:t xml:space="preserve"> are</w:t>
      </w:r>
      <w:r>
        <w:rPr>
          <w:lang w:eastAsia="ja-JP"/>
        </w:rPr>
        <w:t>:</w:t>
      </w:r>
    </w:p>
    <w:p w14:paraId="226F5C56" w14:textId="77777777" w:rsidR="00FF7EF3" w:rsidRDefault="00291CD7" w:rsidP="00E240CD">
      <w:pPr>
        <w:ind w:left="720"/>
        <w:rPr>
          <w:i/>
          <w:lang w:eastAsia="ja-JP"/>
        </w:rPr>
      </w:pPr>
      <w:r>
        <w:rPr>
          <w:i/>
          <w:lang w:eastAsia="ja-JP"/>
        </w:rPr>
        <w:t>Lipitor</w:t>
      </w:r>
      <w:r w:rsidR="00E240CD" w:rsidRPr="005A6579">
        <w:rPr>
          <w:i/>
          <w:lang w:eastAsia="ja-JP"/>
        </w:rPr>
        <w:t xml:space="preserve"> is indicated as an adjunct to diet for the treatment of patients with </w:t>
      </w:r>
      <w:proofErr w:type="spellStart"/>
      <w:r w:rsidR="00E240CD" w:rsidRPr="005A6579">
        <w:rPr>
          <w:i/>
          <w:lang w:eastAsia="ja-JP"/>
        </w:rPr>
        <w:t>hypercholesterolaemia</w:t>
      </w:r>
      <w:proofErr w:type="spellEnd"/>
      <w:r w:rsidR="00FF7EF3">
        <w:rPr>
          <w:i/>
          <w:lang w:eastAsia="ja-JP"/>
        </w:rPr>
        <w:t>.</w:t>
      </w:r>
    </w:p>
    <w:p w14:paraId="25385154" w14:textId="77777777" w:rsidR="00FF7EF3" w:rsidRDefault="00E240CD" w:rsidP="00E240CD">
      <w:pPr>
        <w:ind w:left="720"/>
        <w:rPr>
          <w:i/>
          <w:lang w:eastAsia="ja-JP"/>
        </w:rPr>
      </w:pPr>
      <w:r w:rsidRPr="005A6579">
        <w:rPr>
          <w:i/>
          <w:lang w:eastAsia="ja-JP"/>
        </w:rPr>
        <w:t>Prior to initiating therapy with atorvastatin, secondary causes of hypercholesterolaemia (e.g. poorly controlled diabetes mellitus, hypothyroidism, nephrotic syndrome, dysproteinaemias, obstructive liver disease, other drug therapy, and alcoholism) should be identified and treated</w:t>
      </w:r>
      <w:r w:rsidR="00FF7EF3">
        <w:rPr>
          <w:i/>
          <w:lang w:eastAsia="ja-JP"/>
        </w:rPr>
        <w:t>.</w:t>
      </w:r>
    </w:p>
    <w:p w14:paraId="706AFDE0" w14:textId="77777777" w:rsidR="00FF7EF3" w:rsidRDefault="00291CD7" w:rsidP="00E240CD">
      <w:pPr>
        <w:ind w:left="720"/>
        <w:rPr>
          <w:i/>
          <w:lang w:eastAsia="ja-JP"/>
        </w:rPr>
      </w:pPr>
      <w:r>
        <w:rPr>
          <w:i/>
          <w:lang w:eastAsia="ja-JP"/>
        </w:rPr>
        <w:t>Lipitor</w:t>
      </w:r>
      <w:r w:rsidR="00E240CD" w:rsidRPr="005A6579">
        <w:rPr>
          <w:i/>
          <w:lang w:eastAsia="ja-JP"/>
        </w:rPr>
        <w:t xml:space="preserve"> is indicated in hypertensive patients with multiple risk factors for coronary heart disease (CHD) which may include diabetes, history of stroke or other cerebrovascular disease, peripheral vascular disease or existing asymptomatic CHD (see CLINICAL TRIALS, Prevention of Cardiovascular Disease) to reduce the risk of non-fatal myocardial infarction and non-fatal stroke</w:t>
      </w:r>
      <w:r w:rsidR="00FF7EF3">
        <w:rPr>
          <w:i/>
          <w:lang w:eastAsia="ja-JP"/>
        </w:rPr>
        <w:t>.</w:t>
      </w:r>
    </w:p>
    <w:p w14:paraId="62E1C498" w14:textId="7C94B830" w:rsidR="005A6579" w:rsidRDefault="00E240CD" w:rsidP="005A6579">
      <w:pPr>
        <w:ind w:left="720"/>
        <w:rPr>
          <w:i/>
          <w:lang w:eastAsia="ja-JP"/>
        </w:rPr>
      </w:pPr>
      <w:r w:rsidRPr="005A6579">
        <w:rPr>
          <w:i/>
          <w:lang w:eastAsia="ja-JP"/>
        </w:rPr>
        <w:t xml:space="preserve">These effects do not replace the need to independently control known causes of cardiovascular mortality and morbidity such as hypertension, diabetes and smoking. </w:t>
      </w:r>
      <w:proofErr w:type="gramStart"/>
      <w:r w:rsidRPr="005A6579">
        <w:rPr>
          <w:i/>
          <w:lang w:eastAsia="ja-JP"/>
        </w:rPr>
        <w:t>as</w:t>
      </w:r>
      <w:proofErr w:type="gramEnd"/>
      <w:r w:rsidRPr="005A6579">
        <w:rPr>
          <w:i/>
          <w:lang w:eastAsia="ja-JP"/>
        </w:rPr>
        <w:t xml:space="preserve"> an adjunct to diet for the treatment of patients with hypercholesterolaemia.</w:t>
      </w:r>
    </w:p>
    <w:p w14:paraId="0A3FD5BC" w14:textId="77777777" w:rsidR="005A6579" w:rsidRDefault="005A6579" w:rsidP="005A6579">
      <w:r>
        <w:t>No new dosage forms or strengths are proposed for Atozet or Zeteze.</w:t>
      </w:r>
    </w:p>
    <w:p w14:paraId="4DF750F5" w14:textId="77777777" w:rsidR="005A6579" w:rsidRDefault="005A6579" w:rsidP="005A6579">
      <w:pPr>
        <w:rPr>
          <w:lang w:eastAsia="ja-JP"/>
        </w:rPr>
      </w:pPr>
      <w:r>
        <w:rPr>
          <w:lang w:eastAsia="ja-JP"/>
        </w:rPr>
        <w:t>No changes to the dosage and administration instructi</w:t>
      </w:r>
      <w:r w:rsidR="00291CD7">
        <w:rPr>
          <w:lang w:eastAsia="ja-JP"/>
        </w:rPr>
        <w:t>ons have been proposed but the s</w:t>
      </w:r>
      <w:r>
        <w:rPr>
          <w:lang w:eastAsia="ja-JP"/>
        </w:rPr>
        <w:t xml:space="preserve">ponsor has introduced a new heading in this section in relation to the proposed indication. The proposed heading would indicate that the general dosage instructions relate to the existing primary hypercholesterolaemia and the proposed CHD indications. The separate dosage instructions for patients with </w:t>
      </w:r>
      <w:proofErr w:type="spellStart"/>
      <w:r>
        <w:rPr>
          <w:lang w:eastAsia="ja-JP"/>
        </w:rPr>
        <w:t>HoFH</w:t>
      </w:r>
      <w:proofErr w:type="spellEnd"/>
      <w:r>
        <w:rPr>
          <w:lang w:eastAsia="ja-JP"/>
        </w:rPr>
        <w:t xml:space="preserve"> and special patient populations remain unchanged. The current dosage instructions in this section are:</w:t>
      </w:r>
    </w:p>
    <w:p w14:paraId="23E9A1AB" w14:textId="4A6A4B42" w:rsidR="005A6579" w:rsidRPr="005A6579" w:rsidRDefault="00291CD7" w:rsidP="005A6579">
      <w:pPr>
        <w:ind w:left="720"/>
        <w:rPr>
          <w:lang w:eastAsia="ja-JP"/>
        </w:rPr>
      </w:pPr>
      <w:r>
        <w:rPr>
          <w:lang w:eastAsia="ja-JP"/>
        </w:rPr>
        <w:t>Atozet</w:t>
      </w:r>
      <w:r w:rsidR="005A6579" w:rsidRPr="005A6579">
        <w:rPr>
          <w:lang w:eastAsia="ja-JP"/>
        </w:rPr>
        <w:t xml:space="preserve"> can be administered within the dosage range of 10/10 mg to 10/80 mg as a single daily dose. The rec</w:t>
      </w:r>
      <w:r>
        <w:rPr>
          <w:lang w:eastAsia="ja-JP"/>
        </w:rPr>
        <w:t>ommended starting dose of Atozet</w:t>
      </w:r>
      <w:r w:rsidR="005A6579" w:rsidRPr="005A6579">
        <w:rPr>
          <w:lang w:eastAsia="ja-JP"/>
        </w:rPr>
        <w:t xml:space="preserve"> </w:t>
      </w:r>
      <w:r w:rsidR="000A088C">
        <w:rPr>
          <w:lang w:eastAsia="ja-JP"/>
        </w:rPr>
        <w:t xml:space="preserve">is </w:t>
      </w:r>
      <w:r w:rsidR="005A6579" w:rsidRPr="005A6579">
        <w:rPr>
          <w:lang w:eastAsia="ja-JP"/>
        </w:rPr>
        <w:t>10/10 m</w:t>
      </w:r>
      <w:r>
        <w:rPr>
          <w:lang w:eastAsia="ja-JP"/>
        </w:rPr>
        <w:t>g or 10/20 mg once daily. Atozet</w:t>
      </w:r>
      <w:r w:rsidR="005A6579" w:rsidRPr="005A6579">
        <w:rPr>
          <w:lang w:eastAsia="ja-JP"/>
        </w:rPr>
        <w:t xml:space="preserve"> can be administered at any time of the day, with or without food. Therapy should be individualised according to the target lipid levels, the recommended goal of therapy, and the patient's response. After initiation</w:t>
      </w:r>
      <w:r>
        <w:rPr>
          <w:lang w:eastAsia="ja-JP"/>
        </w:rPr>
        <w:t xml:space="preserve"> and/or upon titration of Atozet</w:t>
      </w:r>
      <w:r w:rsidR="005A6579" w:rsidRPr="005A6579">
        <w:rPr>
          <w:lang w:eastAsia="ja-JP"/>
        </w:rPr>
        <w:t>, lipid levels should be re‐analysed within 2 or more weeks and dosage adjusted according to the patient's response.</w:t>
      </w:r>
    </w:p>
    <w:p w14:paraId="54EBEEB8" w14:textId="77777777" w:rsidR="005A6579" w:rsidRDefault="005A6579" w:rsidP="005A6579">
      <w:pPr>
        <w:rPr>
          <w:lang w:eastAsia="ja-JP"/>
        </w:rPr>
      </w:pPr>
      <w:r>
        <w:rPr>
          <w:lang w:eastAsia="ja-JP"/>
        </w:rPr>
        <w:lastRenderedPageBreak/>
        <w:t>The proposed heading would indicate that doses within the range of 10/10</w:t>
      </w:r>
      <w:r w:rsidR="00C75B00">
        <w:rPr>
          <w:lang w:eastAsia="ja-JP"/>
        </w:rPr>
        <w:t xml:space="preserve"> </w:t>
      </w:r>
      <w:r>
        <w:rPr>
          <w:lang w:eastAsia="ja-JP"/>
        </w:rPr>
        <w:t>mg to 10/80</w:t>
      </w:r>
      <w:r w:rsidR="00C75B00">
        <w:rPr>
          <w:lang w:eastAsia="ja-JP"/>
        </w:rPr>
        <w:t xml:space="preserve"> </w:t>
      </w:r>
      <w:r>
        <w:rPr>
          <w:lang w:eastAsia="ja-JP"/>
        </w:rPr>
        <w:t>mg as a single daily dose would be efficacious for the prevention of cardiovascular events.</w:t>
      </w:r>
    </w:p>
    <w:p w14:paraId="7A31DB43" w14:textId="77777777" w:rsidR="008E7846" w:rsidRPr="003F31A2" w:rsidRDefault="00386150" w:rsidP="008E7846">
      <w:pPr>
        <w:pStyle w:val="Heading3"/>
      </w:pPr>
      <w:bookmarkStart w:id="17" w:name="_Toc314842485"/>
      <w:bookmarkStart w:id="18" w:name="_Toc484783873"/>
      <w:bookmarkStart w:id="19" w:name="_Toc247691504"/>
      <w:r>
        <w:t>Regulatory s</w:t>
      </w:r>
      <w:r w:rsidR="008E7846">
        <w:t>tatus</w:t>
      </w:r>
      <w:bookmarkEnd w:id="17"/>
      <w:bookmarkEnd w:id="18"/>
      <w:r w:rsidR="008E7846">
        <w:t xml:space="preserve"> </w:t>
      </w:r>
      <w:bookmarkEnd w:id="19"/>
    </w:p>
    <w:p w14:paraId="65B5920C" w14:textId="77777777" w:rsidR="007E3009" w:rsidRDefault="007E3009" w:rsidP="000B442F">
      <w:bookmarkStart w:id="20" w:name="_Toc247691505"/>
      <w:bookmarkStart w:id="21" w:name="_Toc314842486"/>
      <w:r>
        <w:t xml:space="preserve">As of 15 </w:t>
      </w:r>
      <w:r w:rsidRPr="007E3009">
        <w:t>Mar</w:t>
      </w:r>
      <w:r>
        <w:t xml:space="preserve">ch </w:t>
      </w:r>
      <w:r w:rsidRPr="007E3009">
        <w:t xml:space="preserve">2017, </w:t>
      </w:r>
      <w:r w:rsidR="00D07408">
        <w:t>m</w:t>
      </w:r>
      <w:r w:rsidRPr="007E3009">
        <w:t xml:space="preserve">arketing </w:t>
      </w:r>
      <w:r w:rsidR="00D07408">
        <w:t>a</w:t>
      </w:r>
      <w:r w:rsidRPr="007E3009">
        <w:t>pplications for ezetimibe/atorvastatin tablets for prevention of cardiovascular disease have been submit</w:t>
      </w:r>
      <w:r>
        <w:t xml:space="preserve">ted worldwide as detailed below </w:t>
      </w:r>
      <w:r w:rsidRPr="009A6DCB">
        <w:t>in</w:t>
      </w:r>
      <w:r>
        <w:t xml:space="preserve"> Table 1.</w:t>
      </w:r>
    </w:p>
    <w:p w14:paraId="01B0C82E" w14:textId="77777777" w:rsidR="000B442F" w:rsidRDefault="000B442F" w:rsidP="000B442F">
      <w:pPr>
        <w:pStyle w:val="TableTitle"/>
      </w:pPr>
      <w:proofErr w:type="gramStart"/>
      <w:r>
        <w:t xml:space="preserve">Table </w:t>
      </w:r>
      <w:r w:rsidR="00FF3719">
        <w:t>1</w:t>
      </w:r>
      <w:r>
        <w:t>:</w:t>
      </w:r>
      <w:r w:rsidRPr="004C5C28">
        <w:t xml:space="preserve"> </w:t>
      </w:r>
      <w:r>
        <w:t xml:space="preserve">International </w:t>
      </w:r>
      <w:r w:rsidRPr="009A6DCB">
        <w:t>regulatory status</w:t>
      </w:r>
      <w:r w:rsidR="005E1095" w:rsidRPr="005E1095">
        <w:t xml:space="preserve"> </w:t>
      </w:r>
      <w:r w:rsidR="005E1095" w:rsidRPr="007E3009">
        <w:t>for ezetimibe/atorvastatin</w:t>
      </w:r>
      <w:r w:rsidR="005F5D1D">
        <w:t xml:space="preserve"> as of 15 March 2017</w:t>
      </w:r>
      <w:r>
        <w:t>.</w:t>
      </w:r>
      <w:proofErr w:type="gramEnd"/>
    </w:p>
    <w:tbl>
      <w:tblPr>
        <w:tblStyle w:val="TableTGAblue"/>
        <w:tblW w:w="0" w:type="auto"/>
        <w:tblLook w:val="04A0" w:firstRow="1" w:lastRow="0" w:firstColumn="1" w:lastColumn="0" w:noHBand="0" w:noVBand="1"/>
      </w:tblPr>
      <w:tblGrid>
        <w:gridCol w:w="1526"/>
        <w:gridCol w:w="2167"/>
        <w:gridCol w:w="1660"/>
        <w:gridCol w:w="3367"/>
      </w:tblGrid>
      <w:tr w:rsidR="00D07408" w:rsidRPr="00D07408" w14:paraId="234326B7" w14:textId="77777777" w:rsidTr="008D6EF3">
        <w:trPr>
          <w:cnfStyle w:val="100000000000" w:firstRow="1" w:lastRow="0" w:firstColumn="0" w:lastColumn="0" w:oddVBand="0" w:evenVBand="0" w:oddHBand="0" w:evenHBand="0" w:firstRowFirstColumn="0" w:firstRowLastColumn="0" w:lastRowFirstColumn="0" w:lastRowLastColumn="0"/>
        </w:trPr>
        <w:tc>
          <w:tcPr>
            <w:tcW w:w="1526" w:type="dxa"/>
          </w:tcPr>
          <w:p w14:paraId="75FC3CD0" w14:textId="77777777" w:rsidR="00D07408" w:rsidRPr="00D07408" w:rsidRDefault="00D07408" w:rsidP="00D07408">
            <w:pPr>
              <w:spacing w:before="0" w:after="0"/>
              <w:rPr>
                <w:sz w:val="18"/>
                <w:szCs w:val="18"/>
              </w:rPr>
            </w:pPr>
            <w:r w:rsidRPr="00D07408">
              <w:rPr>
                <w:sz w:val="18"/>
                <w:szCs w:val="18"/>
              </w:rPr>
              <w:t>Country / region</w:t>
            </w:r>
          </w:p>
        </w:tc>
        <w:tc>
          <w:tcPr>
            <w:tcW w:w="2167" w:type="dxa"/>
          </w:tcPr>
          <w:p w14:paraId="68B5E8EE" w14:textId="77777777" w:rsidR="00D07408" w:rsidRPr="00D07408" w:rsidRDefault="00D07408" w:rsidP="00D07408">
            <w:pPr>
              <w:spacing w:before="0" w:after="0"/>
              <w:rPr>
                <w:sz w:val="18"/>
                <w:szCs w:val="18"/>
              </w:rPr>
            </w:pPr>
            <w:r w:rsidRPr="00D07408">
              <w:rPr>
                <w:sz w:val="18"/>
                <w:szCs w:val="18"/>
              </w:rPr>
              <w:t>Submission date</w:t>
            </w:r>
          </w:p>
        </w:tc>
        <w:tc>
          <w:tcPr>
            <w:tcW w:w="1660" w:type="dxa"/>
          </w:tcPr>
          <w:p w14:paraId="25B5DC7D" w14:textId="77777777" w:rsidR="00D07408" w:rsidRPr="00D07408" w:rsidRDefault="00D07408" w:rsidP="00D07408">
            <w:pPr>
              <w:spacing w:before="0" w:after="0"/>
              <w:rPr>
                <w:sz w:val="18"/>
                <w:szCs w:val="18"/>
              </w:rPr>
            </w:pPr>
            <w:r w:rsidRPr="00D07408">
              <w:rPr>
                <w:sz w:val="18"/>
                <w:szCs w:val="18"/>
              </w:rPr>
              <w:t>Status</w:t>
            </w:r>
          </w:p>
        </w:tc>
        <w:tc>
          <w:tcPr>
            <w:tcW w:w="3367" w:type="dxa"/>
          </w:tcPr>
          <w:p w14:paraId="4CD85BB6" w14:textId="77777777" w:rsidR="00D07408" w:rsidRPr="00D07408" w:rsidRDefault="00D07408" w:rsidP="00D07408">
            <w:pPr>
              <w:spacing w:before="0" w:after="0"/>
              <w:rPr>
                <w:sz w:val="18"/>
                <w:szCs w:val="18"/>
              </w:rPr>
            </w:pPr>
            <w:r w:rsidRPr="00D07408">
              <w:rPr>
                <w:sz w:val="18"/>
                <w:szCs w:val="18"/>
              </w:rPr>
              <w:t>Approved indications</w:t>
            </w:r>
          </w:p>
        </w:tc>
      </w:tr>
      <w:tr w:rsidR="00D07408" w:rsidRPr="00D07408" w14:paraId="5C9F9A1C" w14:textId="77777777" w:rsidTr="008D6EF3">
        <w:tc>
          <w:tcPr>
            <w:tcW w:w="1526" w:type="dxa"/>
          </w:tcPr>
          <w:p w14:paraId="62310CE6" w14:textId="77777777" w:rsidR="00D07408" w:rsidRPr="00D07408" w:rsidRDefault="005425A7" w:rsidP="00D07408">
            <w:pPr>
              <w:spacing w:before="0" w:after="0"/>
              <w:rPr>
                <w:sz w:val="18"/>
                <w:szCs w:val="18"/>
              </w:rPr>
            </w:pPr>
            <w:r>
              <w:rPr>
                <w:sz w:val="18"/>
                <w:szCs w:val="18"/>
              </w:rPr>
              <w:t>US</w:t>
            </w:r>
          </w:p>
        </w:tc>
        <w:tc>
          <w:tcPr>
            <w:tcW w:w="2167" w:type="dxa"/>
          </w:tcPr>
          <w:p w14:paraId="0EC8CC44" w14:textId="77777777" w:rsidR="00D07408" w:rsidRPr="00D07408" w:rsidRDefault="005425A7" w:rsidP="00D07408">
            <w:pPr>
              <w:spacing w:before="0" w:after="0"/>
              <w:rPr>
                <w:sz w:val="18"/>
                <w:szCs w:val="18"/>
              </w:rPr>
            </w:pPr>
            <w:r>
              <w:rPr>
                <w:sz w:val="18"/>
                <w:szCs w:val="18"/>
              </w:rPr>
              <w:t>Not planned</w:t>
            </w:r>
          </w:p>
        </w:tc>
        <w:tc>
          <w:tcPr>
            <w:tcW w:w="1660" w:type="dxa"/>
          </w:tcPr>
          <w:p w14:paraId="48511815" w14:textId="77777777" w:rsidR="00D07408" w:rsidRPr="00D07408" w:rsidRDefault="005425A7" w:rsidP="00D07408">
            <w:pPr>
              <w:spacing w:before="0" w:after="0"/>
              <w:rPr>
                <w:sz w:val="18"/>
                <w:szCs w:val="18"/>
              </w:rPr>
            </w:pPr>
            <w:r>
              <w:rPr>
                <w:sz w:val="18"/>
                <w:szCs w:val="18"/>
              </w:rPr>
              <w:t>n/a</w:t>
            </w:r>
          </w:p>
        </w:tc>
        <w:tc>
          <w:tcPr>
            <w:tcW w:w="3367" w:type="dxa"/>
          </w:tcPr>
          <w:p w14:paraId="6A15AD20" w14:textId="77777777" w:rsidR="00D07408" w:rsidRPr="00D07408" w:rsidRDefault="005425A7" w:rsidP="00D07408">
            <w:pPr>
              <w:spacing w:before="0" w:after="0"/>
              <w:rPr>
                <w:sz w:val="18"/>
                <w:szCs w:val="18"/>
              </w:rPr>
            </w:pPr>
            <w:r>
              <w:rPr>
                <w:sz w:val="18"/>
                <w:szCs w:val="18"/>
              </w:rPr>
              <w:t>n/a</w:t>
            </w:r>
          </w:p>
        </w:tc>
      </w:tr>
      <w:tr w:rsidR="00D07408" w:rsidRPr="00D07408" w14:paraId="33C21529" w14:textId="77777777" w:rsidTr="008D6EF3">
        <w:tc>
          <w:tcPr>
            <w:tcW w:w="1526" w:type="dxa"/>
          </w:tcPr>
          <w:p w14:paraId="71E81D2E" w14:textId="77777777" w:rsidR="00D07408" w:rsidRPr="00D07408" w:rsidRDefault="005425A7" w:rsidP="00D07408">
            <w:pPr>
              <w:spacing w:before="0" w:after="0"/>
              <w:rPr>
                <w:sz w:val="18"/>
                <w:szCs w:val="18"/>
              </w:rPr>
            </w:pPr>
            <w:r>
              <w:rPr>
                <w:sz w:val="18"/>
                <w:szCs w:val="18"/>
              </w:rPr>
              <w:t>EU (DCP)</w:t>
            </w:r>
          </w:p>
        </w:tc>
        <w:tc>
          <w:tcPr>
            <w:tcW w:w="2167" w:type="dxa"/>
          </w:tcPr>
          <w:p w14:paraId="70B454F6" w14:textId="77777777" w:rsidR="00D07408" w:rsidRPr="00D07408" w:rsidRDefault="005425A7" w:rsidP="00D07408">
            <w:pPr>
              <w:spacing w:before="0" w:after="0"/>
              <w:rPr>
                <w:sz w:val="18"/>
                <w:szCs w:val="18"/>
              </w:rPr>
            </w:pPr>
            <w:r>
              <w:rPr>
                <w:sz w:val="18"/>
                <w:szCs w:val="18"/>
              </w:rPr>
              <w:t>8 May 2015</w:t>
            </w:r>
          </w:p>
        </w:tc>
        <w:tc>
          <w:tcPr>
            <w:tcW w:w="1660" w:type="dxa"/>
          </w:tcPr>
          <w:p w14:paraId="512C46E5" w14:textId="77777777" w:rsidR="00D07408" w:rsidRPr="00D07408" w:rsidRDefault="005425A7" w:rsidP="00D07408">
            <w:pPr>
              <w:spacing w:before="0" w:after="0"/>
              <w:rPr>
                <w:sz w:val="18"/>
                <w:szCs w:val="18"/>
              </w:rPr>
            </w:pPr>
            <w:r>
              <w:rPr>
                <w:sz w:val="18"/>
                <w:szCs w:val="18"/>
              </w:rPr>
              <w:t>Approved, 5 Feb 2016</w:t>
            </w:r>
          </w:p>
        </w:tc>
        <w:tc>
          <w:tcPr>
            <w:tcW w:w="3367" w:type="dxa"/>
          </w:tcPr>
          <w:p w14:paraId="2AA89DD4" w14:textId="77777777" w:rsidR="005425A7" w:rsidRPr="005425A7" w:rsidRDefault="005425A7" w:rsidP="00D07408">
            <w:pPr>
              <w:spacing w:before="0" w:after="0"/>
              <w:rPr>
                <w:b/>
                <w:sz w:val="18"/>
                <w:szCs w:val="18"/>
              </w:rPr>
            </w:pPr>
            <w:r w:rsidRPr="005425A7">
              <w:rPr>
                <w:b/>
                <w:sz w:val="18"/>
                <w:szCs w:val="18"/>
              </w:rPr>
              <w:t>Prevention of Cardiovascular Events</w:t>
            </w:r>
          </w:p>
          <w:p w14:paraId="21BB914E" w14:textId="77777777" w:rsidR="00D07408" w:rsidRPr="00D07408" w:rsidRDefault="005425A7" w:rsidP="00D07408">
            <w:pPr>
              <w:spacing w:before="0" w:after="0"/>
              <w:rPr>
                <w:sz w:val="18"/>
                <w:szCs w:val="18"/>
              </w:rPr>
            </w:pPr>
            <w:r>
              <w:rPr>
                <w:sz w:val="18"/>
                <w:szCs w:val="18"/>
              </w:rPr>
              <w:t>[</w:t>
            </w:r>
            <w:r w:rsidRPr="005425A7">
              <w:rPr>
                <w:sz w:val="18"/>
                <w:szCs w:val="18"/>
              </w:rPr>
              <w:t>TRADEMARK</w:t>
            </w:r>
            <w:r>
              <w:rPr>
                <w:sz w:val="18"/>
                <w:szCs w:val="18"/>
              </w:rPr>
              <w:t>]</w:t>
            </w:r>
            <w:r w:rsidRPr="005425A7">
              <w:rPr>
                <w:sz w:val="18"/>
                <w:szCs w:val="18"/>
              </w:rPr>
              <w:t xml:space="preserve"> is indicated to reduce the risk of cardiovascular events in patients with coronary heart disease (CHD) and a history of acute coronary syndrome (ACS), either previously treated with a statin or not.</w:t>
            </w:r>
          </w:p>
        </w:tc>
      </w:tr>
      <w:tr w:rsidR="005425A7" w:rsidRPr="00D07408" w14:paraId="70E96E23" w14:textId="77777777" w:rsidTr="008D6EF3">
        <w:tc>
          <w:tcPr>
            <w:tcW w:w="1526" w:type="dxa"/>
          </w:tcPr>
          <w:p w14:paraId="37B285BC" w14:textId="77777777" w:rsidR="005425A7" w:rsidRPr="00D07408" w:rsidRDefault="005425A7" w:rsidP="00D07408">
            <w:pPr>
              <w:spacing w:before="0" w:after="0"/>
              <w:rPr>
                <w:sz w:val="18"/>
                <w:szCs w:val="18"/>
              </w:rPr>
            </w:pPr>
            <w:r>
              <w:rPr>
                <w:sz w:val="18"/>
                <w:szCs w:val="18"/>
              </w:rPr>
              <w:t>Canada</w:t>
            </w:r>
          </w:p>
        </w:tc>
        <w:tc>
          <w:tcPr>
            <w:tcW w:w="2167" w:type="dxa"/>
          </w:tcPr>
          <w:p w14:paraId="56C14DD8" w14:textId="77777777" w:rsidR="005425A7" w:rsidRPr="00D07408" w:rsidRDefault="005425A7" w:rsidP="00E649FC">
            <w:pPr>
              <w:spacing w:before="0" w:after="0"/>
              <w:rPr>
                <w:sz w:val="18"/>
                <w:szCs w:val="18"/>
              </w:rPr>
            </w:pPr>
            <w:r>
              <w:rPr>
                <w:sz w:val="18"/>
                <w:szCs w:val="18"/>
              </w:rPr>
              <w:t>Not planned</w:t>
            </w:r>
          </w:p>
        </w:tc>
        <w:tc>
          <w:tcPr>
            <w:tcW w:w="1660" w:type="dxa"/>
          </w:tcPr>
          <w:p w14:paraId="50D43B6C" w14:textId="77777777" w:rsidR="005425A7" w:rsidRPr="00D07408" w:rsidRDefault="005425A7" w:rsidP="00E649FC">
            <w:pPr>
              <w:spacing w:before="0" w:after="0"/>
              <w:rPr>
                <w:sz w:val="18"/>
                <w:szCs w:val="18"/>
              </w:rPr>
            </w:pPr>
            <w:r>
              <w:rPr>
                <w:sz w:val="18"/>
                <w:szCs w:val="18"/>
              </w:rPr>
              <w:t>n/a</w:t>
            </w:r>
          </w:p>
        </w:tc>
        <w:tc>
          <w:tcPr>
            <w:tcW w:w="3367" w:type="dxa"/>
          </w:tcPr>
          <w:p w14:paraId="78F883E9" w14:textId="77777777" w:rsidR="005425A7" w:rsidRPr="00D07408" w:rsidRDefault="005425A7" w:rsidP="00E649FC">
            <w:pPr>
              <w:spacing w:before="0" w:after="0"/>
              <w:rPr>
                <w:sz w:val="18"/>
                <w:szCs w:val="18"/>
              </w:rPr>
            </w:pPr>
            <w:r>
              <w:rPr>
                <w:sz w:val="18"/>
                <w:szCs w:val="18"/>
              </w:rPr>
              <w:t>n/a</w:t>
            </w:r>
          </w:p>
        </w:tc>
      </w:tr>
      <w:tr w:rsidR="005425A7" w:rsidRPr="00D07408" w14:paraId="5DA01AB5" w14:textId="77777777" w:rsidTr="008D6EF3">
        <w:tc>
          <w:tcPr>
            <w:tcW w:w="1526" w:type="dxa"/>
          </w:tcPr>
          <w:p w14:paraId="46333584" w14:textId="77777777" w:rsidR="005425A7" w:rsidRPr="00D07408" w:rsidRDefault="005425A7" w:rsidP="00D07408">
            <w:pPr>
              <w:spacing w:before="0" w:after="0"/>
              <w:rPr>
                <w:sz w:val="18"/>
                <w:szCs w:val="18"/>
              </w:rPr>
            </w:pPr>
            <w:r>
              <w:rPr>
                <w:sz w:val="18"/>
                <w:szCs w:val="18"/>
              </w:rPr>
              <w:t>Switzerland</w:t>
            </w:r>
          </w:p>
        </w:tc>
        <w:tc>
          <w:tcPr>
            <w:tcW w:w="2167" w:type="dxa"/>
          </w:tcPr>
          <w:p w14:paraId="3598EC16" w14:textId="77777777" w:rsidR="005425A7" w:rsidRPr="00D07408" w:rsidRDefault="005425A7" w:rsidP="00D07408">
            <w:pPr>
              <w:spacing w:before="0" w:after="0"/>
              <w:rPr>
                <w:sz w:val="18"/>
                <w:szCs w:val="18"/>
              </w:rPr>
            </w:pPr>
            <w:r>
              <w:rPr>
                <w:sz w:val="18"/>
                <w:szCs w:val="18"/>
              </w:rPr>
              <w:t>15 Dec 2015</w:t>
            </w:r>
          </w:p>
        </w:tc>
        <w:tc>
          <w:tcPr>
            <w:tcW w:w="1660" w:type="dxa"/>
          </w:tcPr>
          <w:p w14:paraId="46A5C762" w14:textId="77777777" w:rsidR="005425A7" w:rsidRPr="00D07408" w:rsidRDefault="005425A7" w:rsidP="00D07408">
            <w:pPr>
              <w:spacing w:before="0" w:after="0"/>
              <w:rPr>
                <w:sz w:val="18"/>
                <w:szCs w:val="18"/>
              </w:rPr>
            </w:pPr>
            <w:r>
              <w:rPr>
                <w:sz w:val="18"/>
                <w:szCs w:val="18"/>
              </w:rPr>
              <w:t>Under review</w:t>
            </w:r>
          </w:p>
        </w:tc>
        <w:tc>
          <w:tcPr>
            <w:tcW w:w="3367" w:type="dxa"/>
          </w:tcPr>
          <w:p w14:paraId="60DEC7B3" w14:textId="77777777" w:rsidR="005425A7" w:rsidRPr="00D07408" w:rsidRDefault="005425A7" w:rsidP="00D07408">
            <w:pPr>
              <w:spacing w:before="0" w:after="0"/>
              <w:rPr>
                <w:sz w:val="18"/>
                <w:szCs w:val="18"/>
              </w:rPr>
            </w:pPr>
          </w:p>
        </w:tc>
      </w:tr>
      <w:tr w:rsidR="005425A7" w:rsidRPr="00D07408" w14:paraId="5D1EFD06" w14:textId="77777777" w:rsidTr="008D6EF3">
        <w:tc>
          <w:tcPr>
            <w:tcW w:w="1526" w:type="dxa"/>
          </w:tcPr>
          <w:p w14:paraId="622D752F" w14:textId="77777777" w:rsidR="005425A7" w:rsidRPr="00D07408" w:rsidRDefault="005425A7" w:rsidP="00D07408">
            <w:pPr>
              <w:spacing w:before="0" w:after="0"/>
              <w:rPr>
                <w:sz w:val="18"/>
                <w:szCs w:val="18"/>
              </w:rPr>
            </w:pPr>
            <w:r>
              <w:rPr>
                <w:sz w:val="18"/>
                <w:szCs w:val="18"/>
              </w:rPr>
              <w:t>Netherlands</w:t>
            </w:r>
          </w:p>
        </w:tc>
        <w:tc>
          <w:tcPr>
            <w:tcW w:w="2167" w:type="dxa"/>
          </w:tcPr>
          <w:p w14:paraId="04F56757" w14:textId="77777777" w:rsidR="005425A7" w:rsidRPr="00D07408" w:rsidRDefault="008D6EF3" w:rsidP="00D07408">
            <w:pPr>
              <w:spacing w:before="0" w:after="0"/>
              <w:rPr>
                <w:sz w:val="18"/>
                <w:szCs w:val="18"/>
              </w:rPr>
            </w:pPr>
            <w:r>
              <w:rPr>
                <w:sz w:val="18"/>
                <w:szCs w:val="18"/>
              </w:rPr>
              <w:t>Refer to EU above</w:t>
            </w:r>
          </w:p>
        </w:tc>
        <w:tc>
          <w:tcPr>
            <w:tcW w:w="1660" w:type="dxa"/>
          </w:tcPr>
          <w:p w14:paraId="558A3139" w14:textId="77777777" w:rsidR="005425A7" w:rsidRPr="00D07408" w:rsidRDefault="008D6EF3" w:rsidP="00D07408">
            <w:pPr>
              <w:spacing w:before="0" w:after="0"/>
              <w:rPr>
                <w:sz w:val="18"/>
                <w:szCs w:val="18"/>
              </w:rPr>
            </w:pPr>
            <w:r>
              <w:rPr>
                <w:sz w:val="18"/>
                <w:szCs w:val="18"/>
              </w:rPr>
              <w:t>Approved, 15 Mar 2016</w:t>
            </w:r>
          </w:p>
        </w:tc>
        <w:tc>
          <w:tcPr>
            <w:tcW w:w="3367" w:type="dxa"/>
          </w:tcPr>
          <w:p w14:paraId="318F2F86" w14:textId="77777777" w:rsidR="005425A7" w:rsidRPr="00D07408" w:rsidRDefault="005425A7" w:rsidP="00D07408">
            <w:pPr>
              <w:spacing w:before="0" w:after="0"/>
              <w:rPr>
                <w:sz w:val="18"/>
                <w:szCs w:val="18"/>
              </w:rPr>
            </w:pPr>
          </w:p>
        </w:tc>
      </w:tr>
      <w:tr w:rsidR="005425A7" w:rsidRPr="00D07408" w14:paraId="2D9C5AC0" w14:textId="77777777" w:rsidTr="008D6EF3">
        <w:tc>
          <w:tcPr>
            <w:tcW w:w="1526" w:type="dxa"/>
          </w:tcPr>
          <w:p w14:paraId="08DDA4C0" w14:textId="77777777" w:rsidR="005425A7" w:rsidRPr="00D07408" w:rsidRDefault="005425A7" w:rsidP="00D07408">
            <w:pPr>
              <w:spacing w:before="0" w:after="0"/>
              <w:rPr>
                <w:sz w:val="18"/>
                <w:szCs w:val="18"/>
              </w:rPr>
            </w:pPr>
            <w:r>
              <w:rPr>
                <w:sz w:val="18"/>
                <w:szCs w:val="18"/>
              </w:rPr>
              <w:t>Sweden</w:t>
            </w:r>
          </w:p>
        </w:tc>
        <w:tc>
          <w:tcPr>
            <w:tcW w:w="2167" w:type="dxa"/>
          </w:tcPr>
          <w:p w14:paraId="3A061DDC" w14:textId="77777777" w:rsidR="005425A7" w:rsidRPr="00D07408" w:rsidRDefault="008D6EF3" w:rsidP="00D07408">
            <w:pPr>
              <w:spacing w:before="0" w:after="0"/>
              <w:rPr>
                <w:sz w:val="18"/>
                <w:szCs w:val="18"/>
              </w:rPr>
            </w:pPr>
            <w:r>
              <w:rPr>
                <w:sz w:val="18"/>
                <w:szCs w:val="18"/>
              </w:rPr>
              <w:t>Refer to EU above</w:t>
            </w:r>
          </w:p>
        </w:tc>
        <w:tc>
          <w:tcPr>
            <w:tcW w:w="1660" w:type="dxa"/>
          </w:tcPr>
          <w:p w14:paraId="17B45F09" w14:textId="77777777" w:rsidR="005425A7" w:rsidRPr="00D07408" w:rsidRDefault="008D6EF3" w:rsidP="008D6EF3">
            <w:pPr>
              <w:spacing w:before="0" w:after="0"/>
              <w:rPr>
                <w:sz w:val="18"/>
                <w:szCs w:val="18"/>
              </w:rPr>
            </w:pPr>
            <w:r>
              <w:rPr>
                <w:sz w:val="18"/>
                <w:szCs w:val="18"/>
              </w:rPr>
              <w:t>Approved, 25 Feb 2016</w:t>
            </w:r>
          </w:p>
        </w:tc>
        <w:tc>
          <w:tcPr>
            <w:tcW w:w="3367" w:type="dxa"/>
          </w:tcPr>
          <w:p w14:paraId="7DAE9523" w14:textId="77777777" w:rsidR="005425A7" w:rsidRPr="00D07408" w:rsidRDefault="005425A7" w:rsidP="00D07408">
            <w:pPr>
              <w:spacing w:before="0" w:after="0"/>
              <w:rPr>
                <w:sz w:val="18"/>
                <w:szCs w:val="18"/>
              </w:rPr>
            </w:pPr>
          </w:p>
        </w:tc>
      </w:tr>
      <w:tr w:rsidR="005425A7" w:rsidRPr="00D07408" w14:paraId="53FCFBC2" w14:textId="77777777" w:rsidTr="008D6EF3">
        <w:tc>
          <w:tcPr>
            <w:tcW w:w="1526" w:type="dxa"/>
          </w:tcPr>
          <w:p w14:paraId="6252351D" w14:textId="77777777" w:rsidR="005425A7" w:rsidRPr="00D07408" w:rsidRDefault="005425A7" w:rsidP="00D07408">
            <w:pPr>
              <w:spacing w:before="0" w:after="0"/>
              <w:rPr>
                <w:sz w:val="18"/>
                <w:szCs w:val="18"/>
              </w:rPr>
            </w:pPr>
            <w:r>
              <w:rPr>
                <w:sz w:val="18"/>
                <w:szCs w:val="18"/>
              </w:rPr>
              <w:t>UK</w:t>
            </w:r>
          </w:p>
        </w:tc>
        <w:tc>
          <w:tcPr>
            <w:tcW w:w="2167" w:type="dxa"/>
          </w:tcPr>
          <w:p w14:paraId="06CC90AD" w14:textId="77777777" w:rsidR="005425A7" w:rsidRPr="00D07408" w:rsidRDefault="008D6EF3" w:rsidP="00D07408">
            <w:pPr>
              <w:spacing w:before="0" w:after="0"/>
              <w:rPr>
                <w:sz w:val="18"/>
                <w:szCs w:val="18"/>
              </w:rPr>
            </w:pPr>
            <w:r>
              <w:rPr>
                <w:sz w:val="18"/>
                <w:szCs w:val="18"/>
              </w:rPr>
              <w:t>Refer to EU above</w:t>
            </w:r>
          </w:p>
        </w:tc>
        <w:tc>
          <w:tcPr>
            <w:tcW w:w="1660" w:type="dxa"/>
          </w:tcPr>
          <w:p w14:paraId="70D6E8FA" w14:textId="77777777" w:rsidR="005425A7" w:rsidRPr="00D07408" w:rsidRDefault="00E04664" w:rsidP="00E04664">
            <w:pPr>
              <w:spacing w:before="0" w:after="0"/>
              <w:rPr>
                <w:sz w:val="18"/>
                <w:szCs w:val="18"/>
              </w:rPr>
            </w:pPr>
            <w:r>
              <w:rPr>
                <w:sz w:val="18"/>
                <w:szCs w:val="18"/>
              </w:rPr>
              <w:t>Approved, 16 Feb 2016</w:t>
            </w:r>
          </w:p>
        </w:tc>
        <w:tc>
          <w:tcPr>
            <w:tcW w:w="3367" w:type="dxa"/>
          </w:tcPr>
          <w:p w14:paraId="7FB4BE7F" w14:textId="77777777" w:rsidR="005425A7" w:rsidRPr="00D07408" w:rsidRDefault="005425A7" w:rsidP="00D07408">
            <w:pPr>
              <w:spacing w:before="0" w:after="0"/>
              <w:rPr>
                <w:sz w:val="18"/>
                <w:szCs w:val="18"/>
              </w:rPr>
            </w:pPr>
          </w:p>
        </w:tc>
      </w:tr>
      <w:tr w:rsidR="003C529A" w:rsidRPr="00D07408" w14:paraId="2EDC261F" w14:textId="77777777" w:rsidTr="008D6EF3">
        <w:tc>
          <w:tcPr>
            <w:tcW w:w="1526" w:type="dxa"/>
          </w:tcPr>
          <w:p w14:paraId="2B53116D" w14:textId="77777777" w:rsidR="003C529A" w:rsidRPr="00D07408" w:rsidRDefault="003C529A" w:rsidP="00D07408">
            <w:pPr>
              <w:spacing w:before="0" w:after="0"/>
              <w:rPr>
                <w:sz w:val="18"/>
                <w:szCs w:val="18"/>
              </w:rPr>
            </w:pPr>
            <w:r>
              <w:rPr>
                <w:sz w:val="18"/>
                <w:szCs w:val="18"/>
              </w:rPr>
              <w:t>New Zealand</w:t>
            </w:r>
          </w:p>
        </w:tc>
        <w:tc>
          <w:tcPr>
            <w:tcW w:w="2167" w:type="dxa"/>
          </w:tcPr>
          <w:p w14:paraId="2CD0552C" w14:textId="77777777" w:rsidR="003C529A" w:rsidRPr="00D07408" w:rsidRDefault="003C529A" w:rsidP="00E649FC">
            <w:pPr>
              <w:spacing w:before="0" w:after="0"/>
              <w:rPr>
                <w:sz w:val="18"/>
                <w:szCs w:val="18"/>
              </w:rPr>
            </w:pPr>
            <w:r>
              <w:rPr>
                <w:sz w:val="18"/>
                <w:szCs w:val="18"/>
              </w:rPr>
              <w:t>Not planned</w:t>
            </w:r>
          </w:p>
        </w:tc>
        <w:tc>
          <w:tcPr>
            <w:tcW w:w="1660" w:type="dxa"/>
          </w:tcPr>
          <w:p w14:paraId="4F6032E7" w14:textId="77777777" w:rsidR="003C529A" w:rsidRPr="00D07408" w:rsidRDefault="003C529A" w:rsidP="00E649FC">
            <w:pPr>
              <w:spacing w:before="0" w:after="0"/>
              <w:rPr>
                <w:sz w:val="18"/>
                <w:szCs w:val="18"/>
              </w:rPr>
            </w:pPr>
            <w:r>
              <w:rPr>
                <w:sz w:val="18"/>
                <w:szCs w:val="18"/>
              </w:rPr>
              <w:t>n/a</w:t>
            </w:r>
          </w:p>
        </w:tc>
        <w:tc>
          <w:tcPr>
            <w:tcW w:w="3367" w:type="dxa"/>
          </w:tcPr>
          <w:p w14:paraId="388DB16B" w14:textId="77777777" w:rsidR="003C529A" w:rsidRPr="00D07408" w:rsidRDefault="003C529A" w:rsidP="00E649FC">
            <w:pPr>
              <w:spacing w:before="0" w:after="0"/>
              <w:rPr>
                <w:sz w:val="18"/>
                <w:szCs w:val="18"/>
              </w:rPr>
            </w:pPr>
            <w:r>
              <w:rPr>
                <w:sz w:val="18"/>
                <w:szCs w:val="18"/>
              </w:rPr>
              <w:t>n/a</w:t>
            </w:r>
          </w:p>
        </w:tc>
      </w:tr>
      <w:tr w:rsidR="003C529A" w:rsidRPr="00D07408" w14:paraId="62D0548C" w14:textId="77777777" w:rsidTr="008D6EF3">
        <w:tc>
          <w:tcPr>
            <w:tcW w:w="1526" w:type="dxa"/>
          </w:tcPr>
          <w:p w14:paraId="4EAF3B58" w14:textId="77777777" w:rsidR="003C529A" w:rsidRPr="00D07408" w:rsidRDefault="003C529A" w:rsidP="00D07408">
            <w:pPr>
              <w:spacing w:before="0" w:after="0"/>
              <w:rPr>
                <w:sz w:val="18"/>
                <w:szCs w:val="18"/>
              </w:rPr>
            </w:pPr>
            <w:r>
              <w:rPr>
                <w:sz w:val="18"/>
                <w:szCs w:val="18"/>
              </w:rPr>
              <w:t>Singapore</w:t>
            </w:r>
          </w:p>
        </w:tc>
        <w:tc>
          <w:tcPr>
            <w:tcW w:w="2167" w:type="dxa"/>
          </w:tcPr>
          <w:p w14:paraId="33846EC5" w14:textId="77777777" w:rsidR="003C529A" w:rsidRPr="00D07408" w:rsidRDefault="003C529A" w:rsidP="00D07408">
            <w:pPr>
              <w:spacing w:before="0" w:after="0"/>
              <w:rPr>
                <w:sz w:val="18"/>
                <w:szCs w:val="18"/>
              </w:rPr>
            </w:pPr>
            <w:r>
              <w:rPr>
                <w:sz w:val="18"/>
                <w:szCs w:val="18"/>
              </w:rPr>
              <w:t>26 May 2016</w:t>
            </w:r>
          </w:p>
        </w:tc>
        <w:tc>
          <w:tcPr>
            <w:tcW w:w="1660" w:type="dxa"/>
          </w:tcPr>
          <w:p w14:paraId="7A9A4033" w14:textId="77777777" w:rsidR="003C529A" w:rsidRPr="00D07408" w:rsidRDefault="003C529A" w:rsidP="00D07408">
            <w:pPr>
              <w:spacing w:before="0" w:after="0"/>
              <w:rPr>
                <w:sz w:val="18"/>
                <w:szCs w:val="18"/>
              </w:rPr>
            </w:pPr>
            <w:r>
              <w:rPr>
                <w:sz w:val="18"/>
                <w:szCs w:val="18"/>
              </w:rPr>
              <w:t>Under review</w:t>
            </w:r>
          </w:p>
        </w:tc>
        <w:tc>
          <w:tcPr>
            <w:tcW w:w="3367" w:type="dxa"/>
          </w:tcPr>
          <w:p w14:paraId="0A9DCD0E" w14:textId="77777777" w:rsidR="003C529A" w:rsidRPr="00D07408" w:rsidRDefault="003C529A" w:rsidP="00D07408">
            <w:pPr>
              <w:spacing w:before="0" w:after="0"/>
              <w:rPr>
                <w:sz w:val="18"/>
                <w:szCs w:val="18"/>
              </w:rPr>
            </w:pPr>
          </w:p>
        </w:tc>
      </w:tr>
    </w:tbl>
    <w:p w14:paraId="6D485D1E" w14:textId="77777777" w:rsidR="00C12493" w:rsidRDefault="00C12493" w:rsidP="00C12493">
      <w:r>
        <w:t xml:space="preserve">As of 15 </w:t>
      </w:r>
      <w:r w:rsidRPr="007E3009">
        <w:t>Mar</w:t>
      </w:r>
      <w:r>
        <w:t xml:space="preserve">ch </w:t>
      </w:r>
      <w:r w:rsidRPr="007E3009">
        <w:t>2017</w:t>
      </w:r>
      <w:r w:rsidRPr="00C12493">
        <w:t xml:space="preserve">, </w:t>
      </w:r>
      <w:r>
        <w:t>m</w:t>
      </w:r>
      <w:r w:rsidRPr="007E3009">
        <w:t xml:space="preserve">arketing </w:t>
      </w:r>
      <w:r>
        <w:t>a</w:t>
      </w:r>
      <w:r w:rsidRPr="007E3009">
        <w:t xml:space="preserve">pplications </w:t>
      </w:r>
      <w:r w:rsidRPr="00C12493">
        <w:t>for ezetimibe/atorvastatin tablets for cardiovascular risk reduction have not been deferred, withdrawn or rejected in any country.</w:t>
      </w:r>
    </w:p>
    <w:p w14:paraId="0C293513" w14:textId="77777777" w:rsidR="008E7846" w:rsidRDefault="008E7846" w:rsidP="00940A89">
      <w:pPr>
        <w:pStyle w:val="Heading3"/>
      </w:pPr>
      <w:bookmarkStart w:id="22" w:name="_Toc484783874"/>
      <w:r>
        <w:t>Product Information</w:t>
      </w:r>
      <w:bookmarkEnd w:id="20"/>
      <w:bookmarkEnd w:id="21"/>
      <w:bookmarkEnd w:id="22"/>
    </w:p>
    <w:p w14:paraId="23E5C00B" w14:textId="667B37C0" w:rsidR="00940A89" w:rsidRDefault="00940A89" w:rsidP="00940A89">
      <w:pPr>
        <w:rPr>
          <w:b/>
          <w:bCs/>
        </w:rPr>
      </w:pPr>
      <w:bookmarkStart w:id="23" w:name="_Toc247691506"/>
      <w:bookmarkStart w:id="24" w:name="_Toc314842487"/>
      <w:r w:rsidRPr="00940A89">
        <w:t xml:space="preserve">The approved Product Information (PI) current at the time this AusPAR was prepared can be found as Attachment 1. For the most recent </w:t>
      </w:r>
      <w:r w:rsidR="00133A1B">
        <w:t>PI,</w:t>
      </w:r>
      <w:r w:rsidRPr="00940A89">
        <w:t xml:space="preserve"> ple</w:t>
      </w:r>
      <w:r w:rsidR="00441C3F">
        <w:t>ase refer to the TGA website</w:t>
      </w:r>
      <w:r w:rsidR="00441C3F" w:rsidRPr="00441C3F">
        <w:t xml:space="preserve"> at &lt;</w:t>
      </w:r>
      <w:hyperlink r:id="rId14" w:history="1">
        <w:r w:rsidR="00441C3F" w:rsidRPr="00441C3F">
          <w:rPr>
            <w:rStyle w:val="Hyperlink"/>
          </w:rPr>
          <w:t>https://www.tga.gov.au/product-information-pi</w:t>
        </w:r>
      </w:hyperlink>
      <w:r w:rsidR="00441C3F">
        <w:t>&gt;</w:t>
      </w:r>
    </w:p>
    <w:p w14:paraId="40052AEE" w14:textId="77777777" w:rsidR="008E7846" w:rsidRPr="003602A9" w:rsidRDefault="008E7846" w:rsidP="008E7846">
      <w:pPr>
        <w:pStyle w:val="Heading2"/>
        <w:ind w:left="-11"/>
      </w:pPr>
      <w:bookmarkStart w:id="25" w:name="_Toc484783875"/>
      <w:r>
        <w:t>II. Quality</w:t>
      </w:r>
      <w:bookmarkEnd w:id="3"/>
      <w:r>
        <w:t xml:space="preserve"> findings</w:t>
      </w:r>
      <w:bookmarkEnd w:id="23"/>
      <w:bookmarkEnd w:id="24"/>
      <w:bookmarkEnd w:id="25"/>
    </w:p>
    <w:p w14:paraId="214CCA80" w14:textId="77777777" w:rsidR="001D5F7B" w:rsidRPr="00940A89" w:rsidRDefault="001D5F7B" w:rsidP="001D5F7B">
      <w:bookmarkStart w:id="26" w:name="_Toc247691507"/>
      <w:bookmarkStart w:id="27" w:name="_Toc314842488"/>
      <w:r w:rsidRPr="00940A89">
        <w:t>There was no requirement for a quality evaluation in a submission of this type.</w:t>
      </w:r>
    </w:p>
    <w:p w14:paraId="1A014268" w14:textId="77777777" w:rsidR="008E7846" w:rsidRDefault="008E7846" w:rsidP="008E7846">
      <w:pPr>
        <w:pStyle w:val="Heading2"/>
      </w:pPr>
      <w:bookmarkStart w:id="28" w:name="_Toc196046439"/>
      <w:bookmarkStart w:id="29" w:name="_Toc247691510"/>
      <w:bookmarkStart w:id="30" w:name="_Toc314842494"/>
      <w:bookmarkStart w:id="31" w:name="_Toc484783876"/>
      <w:bookmarkEnd w:id="26"/>
      <w:bookmarkEnd w:id="27"/>
      <w:r>
        <w:t>III. Nonclinical</w:t>
      </w:r>
      <w:bookmarkEnd w:id="28"/>
      <w:r>
        <w:t xml:space="preserve"> findings</w:t>
      </w:r>
      <w:bookmarkEnd w:id="29"/>
      <w:bookmarkEnd w:id="30"/>
      <w:bookmarkEnd w:id="31"/>
    </w:p>
    <w:p w14:paraId="3D5D4235" w14:textId="77777777" w:rsidR="00940A89" w:rsidRDefault="00940A89" w:rsidP="000E6196">
      <w:bookmarkStart w:id="32" w:name="_Toc247691511"/>
      <w:bookmarkStart w:id="33" w:name="_Toc314842495"/>
      <w:r>
        <w:t>There was no requirement for a nonclinical evaluation in a submission of this type.</w:t>
      </w:r>
    </w:p>
    <w:p w14:paraId="3DC1CE76" w14:textId="77777777" w:rsidR="008E7846" w:rsidRPr="00254787" w:rsidRDefault="008E7846" w:rsidP="008E7846">
      <w:pPr>
        <w:pStyle w:val="Heading2"/>
      </w:pPr>
      <w:bookmarkStart w:id="34" w:name="_Toc196046462"/>
      <w:bookmarkStart w:id="35" w:name="_Toc247691516"/>
      <w:bookmarkStart w:id="36" w:name="_Toc314842500"/>
      <w:bookmarkStart w:id="37" w:name="_Toc484783877"/>
      <w:bookmarkStart w:id="38" w:name="_Toc163441353"/>
      <w:bookmarkStart w:id="39" w:name="_Toc163441348"/>
      <w:bookmarkEnd w:id="32"/>
      <w:bookmarkEnd w:id="33"/>
      <w:r>
        <w:lastRenderedPageBreak/>
        <w:t xml:space="preserve">IV. </w:t>
      </w:r>
      <w:r w:rsidRPr="00254787">
        <w:t>Clinical</w:t>
      </w:r>
      <w:bookmarkEnd w:id="34"/>
      <w:r>
        <w:t xml:space="preserve"> </w:t>
      </w:r>
      <w:r w:rsidR="003A7F6C">
        <w:t>f</w:t>
      </w:r>
      <w:r>
        <w:t>indings</w:t>
      </w:r>
      <w:bookmarkEnd w:id="35"/>
      <w:bookmarkEnd w:id="36"/>
      <w:bookmarkEnd w:id="37"/>
    </w:p>
    <w:p w14:paraId="4F1A4B39" w14:textId="77777777" w:rsidR="00C80137" w:rsidRDefault="00C80137" w:rsidP="00D425BB">
      <w:bookmarkStart w:id="40"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14:paraId="3EC4B90D" w14:textId="77777777" w:rsidR="008E7846" w:rsidRDefault="008E7846" w:rsidP="008E7846">
      <w:pPr>
        <w:pStyle w:val="Heading3"/>
      </w:pPr>
      <w:bookmarkStart w:id="41" w:name="_Toc247691517"/>
      <w:bookmarkStart w:id="42" w:name="_Toc314842501"/>
      <w:bookmarkStart w:id="43" w:name="_Toc484783878"/>
      <w:r w:rsidRPr="00254787">
        <w:t>Introduction</w:t>
      </w:r>
      <w:bookmarkEnd w:id="40"/>
      <w:bookmarkEnd w:id="41"/>
      <w:bookmarkEnd w:id="42"/>
      <w:bookmarkEnd w:id="43"/>
    </w:p>
    <w:p w14:paraId="1BFBFE6B" w14:textId="77777777" w:rsidR="00D5675B" w:rsidRDefault="00D5675B" w:rsidP="00D5675B">
      <w:pPr>
        <w:pStyle w:val="Heading4"/>
      </w:pPr>
      <w:bookmarkStart w:id="44" w:name="_Toc463011268"/>
      <w:r w:rsidRPr="00E709B3">
        <w:t>Information on the condition being treated</w:t>
      </w:r>
      <w:bookmarkEnd w:id="44"/>
    </w:p>
    <w:p w14:paraId="2D5C086B" w14:textId="2016A72E" w:rsidR="00D5675B" w:rsidRDefault="00D5675B" w:rsidP="00D5675B">
      <w:pPr>
        <w:rPr>
          <w:lang w:eastAsia="ja-JP"/>
        </w:rPr>
      </w:pPr>
      <w:r>
        <w:rPr>
          <w:lang w:eastAsia="ja-JP"/>
        </w:rPr>
        <w:t>According to the Australian Institute of Health and Welfare (AIHW)</w:t>
      </w:r>
      <w:r w:rsidRPr="00D0650A">
        <w:rPr>
          <w:lang w:eastAsia="ja-JP"/>
        </w:rPr>
        <w:t xml:space="preserve"> National Mortality Database</w:t>
      </w:r>
      <w:r>
        <w:rPr>
          <w:lang w:eastAsia="ja-JP"/>
        </w:rPr>
        <w:t>, c</w:t>
      </w:r>
      <w:r w:rsidRPr="00D0650A">
        <w:rPr>
          <w:lang w:eastAsia="ja-JP"/>
        </w:rPr>
        <w:t>ardiovascular disease (CVD) is the leading cause of death in Australia and was the underlying cause of death in 43,946 Australian deaths in 2012 (30% of all deaths</w:t>
      </w:r>
      <w:r>
        <w:rPr>
          <w:lang w:eastAsia="ja-JP"/>
        </w:rPr>
        <w:t>)</w:t>
      </w:r>
      <w:r w:rsidRPr="00D0650A">
        <w:rPr>
          <w:lang w:eastAsia="ja-JP"/>
        </w:rPr>
        <w:t xml:space="preserve">. </w:t>
      </w:r>
      <w:r>
        <w:rPr>
          <w:lang w:eastAsia="ja-JP"/>
        </w:rPr>
        <w:t xml:space="preserve">CVD </w:t>
      </w:r>
      <w:r w:rsidRPr="00D0650A">
        <w:rPr>
          <w:lang w:eastAsia="ja-JP"/>
        </w:rPr>
        <w:t>was an associated cause of d</w:t>
      </w:r>
      <w:r>
        <w:rPr>
          <w:lang w:eastAsia="ja-JP"/>
        </w:rPr>
        <w:t xml:space="preserve">eath in a further 37,558 deaths. </w:t>
      </w:r>
      <w:r w:rsidRPr="00D0650A">
        <w:rPr>
          <w:lang w:eastAsia="ja-JP"/>
        </w:rPr>
        <w:t>In 2012, CHD was the underlying cause in 20,046 deaths (or 14% of all deaths), accounting for more deaths than any other single disease in Australia. Approximately half of CHD deaths (9,286) resulted from acute myocardial infarction (AMI).</w:t>
      </w:r>
    </w:p>
    <w:p w14:paraId="3EBBB787" w14:textId="7736BEF3" w:rsidR="00D5675B" w:rsidRDefault="00D5675B" w:rsidP="00D5675B">
      <w:pPr>
        <w:rPr>
          <w:lang w:eastAsia="ja-JP"/>
        </w:rPr>
      </w:pPr>
      <w:r>
        <w:rPr>
          <w:lang w:eastAsia="ja-JP"/>
        </w:rPr>
        <w:t>Risk factors for CVD include overweight and obesity, physical inactivity, poor diet, tobacco smoking, excessive alcohol consumption, high blood pressure and high cholesterol. The A</w:t>
      </w:r>
      <w:r w:rsidR="009E02CB">
        <w:rPr>
          <w:lang w:eastAsia="ja-JP"/>
        </w:rPr>
        <w:t xml:space="preserve">IHW estimates that in 2011-2012, </w:t>
      </w:r>
      <w:r>
        <w:rPr>
          <w:lang w:eastAsia="ja-JP"/>
        </w:rPr>
        <w:t>63% of adults had dyslipidaemia.</w:t>
      </w:r>
    </w:p>
    <w:p w14:paraId="427C9AE6" w14:textId="77777777" w:rsidR="00D5675B" w:rsidRDefault="00D5675B" w:rsidP="00D5675B">
      <w:pPr>
        <w:pStyle w:val="Heading4"/>
      </w:pPr>
      <w:bookmarkStart w:id="45" w:name="_Toc463011269"/>
      <w:r>
        <w:t>Current treatment options</w:t>
      </w:r>
      <w:bookmarkEnd w:id="45"/>
    </w:p>
    <w:p w14:paraId="414F2FC3" w14:textId="77777777" w:rsidR="00D5675B" w:rsidRDefault="00D5675B" w:rsidP="00D5675B">
      <w:pPr>
        <w:rPr>
          <w:lang w:eastAsia="ja-JP"/>
        </w:rPr>
      </w:pPr>
      <w:r>
        <w:rPr>
          <w:lang w:eastAsia="ja-JP"/>
        </w:rPr>
        <w:t xml:space="preserve">There are a number of treatment options available for dyslipidaemia including statins, bile acid binding resins, fibrates, ezetimibe, nicotinic acid and omega-3 ethyl esters. It should be noted that not all drugs in each class carry the same indications. There are several registered statins available in Australia including atorvastatin, </w:t>
      </w:r>
      <w:proofErr w:type="spellStart"/>
      <w:r>
        <w:rPr>
          <w:lang w:eastAsia="ja-JP"/>
        </w:rPr>
        <w:t>fluvastatin</w:t>
      </w:r>
      <w:proofErr w:type="spellEnd"/>
      <w:r>
        <w:rPr>
          <w:lang w:eastAsia="ja-JP"/>
        </w:rPr>
        <w:t xml:space="preserve">, </w:t>
      </w:r>
      <w:proofErr w:type="spellStart"/>
      <w:r>
        <w:rPr>
          <w:lang w:eastAsia="ja-JP"/>
        </w:rPr>
        <w:t>pitavastatin</w:t>
      </w:r>
      <w:proofErr w:type="spellEnd"/>
      <w:r>
        <w:rPr>
          <w:lang w:eastAsia="ja-JP"/>
        </w:rPr>
        <w:t xml:space="preserve">, pravastatin, </w:t>
      </w:r>
      <w:proofErr w:type="spellStart"/>
      <w:r>
        <w:rPr>
          <w:lang w:eastAsia="ja-JP"/>
        </w:rPr>
        <w:t>rosuvastatin</w:t>
      </w:r>
      <w:proofErr w:type="spellEnd"/>
      <w:r>
        <w:rPr>
          <w:lang w:eastAsia="ja-JP"/>
        </w:rPr>
        <w:t xml:space="preserve"> and simvastatin. </w:t>
      </w:r>
      <w:r w:rsidR="00E56C0A">
        <w:rPr>
          <w:lang w:eastAsia="ja-JP"/>
        </w:rPr>
        <w:t>E</w:t>
      </w:r>
      <w:r>
        <w:rPr>
          <w:lang w:eastAsia="ja-JP"/>
        </w:rPr>
        <w:t xml:space="preserve">zetimibe is approved for use in combination with a statin for several of the listed indications. Ezetimibe is available as a combination product in Australia in combination with simvastatin, atorvastatin or </w:t>
      </w:r>
      <w:proofErr w:type="spellStart"/>
      <w:r>
        <w:rPr>
          <w:lang w:eastAsia="ja-JP"/>
        </w:rPr>
        <w:t>rosuvastatin</w:t>
      </w:r>
      <w:proofErr w:type="spellEnd"/>
      <w:r>
        <w:rPr>
          <w:lang w:eastAsia="ja-JP"/>
        </w:rPr>
        <w:t xml:space="preserve">. Several statins have indications that relate to the prevention of cardiovascular events. </w:t>
      </w:r>
      <w:proofErr w:type="spellStart"/>
      <w:r>
        <w:rPr>
          <w:lang w:eastAsia="ja-JP"/>
        </w:rPr>
        <w:t>Rosuvastatin</w:t>
      </w:r>
      <w:proofErr w:type="spellEnd"/>
      <w:r>
        <w:rPr>
          <w:lang w:eastAsia="ja-JP"/>
        </w:rPr>
        <w:t>, atorvastatin and simvastatin each have indications relating to the prevention of cardiovascular events. However, it should be noted that each statin has different indications.</w:t>
      </w:r>
    </w:p>
    <w:p w14:paraId="15E82D40" w14:textId="77777777" w:rsidR="00D5675B" w:rsidRDefault="00E56C0A" w:rsidP="00D5675B">
      <w:pPr>
        <w:rPr>
          <w:lang w:eastAsia="ja-JP"/>
        </w:rPr>
      </w:pPr>
      <w:proofErr w:type="spellStart"/>
      <w:r>
        <w:rPr>
          <w:lang w:eastAsia="ja-JP"/>
        </w:rPr>
        <w:t>Rosuvastatin</w:t>
      </w:r>
      <w:proofErr w:type="spellEnd"/>
      <w:r>
        <w:rPr>
          <w:lang w:eastAsia="ja-JP"/>
        </w:rPr>
        <w:t xml:space="preserve"> (trade name: </w:t>
      </w:r>
      <w:r w:rsidR="00D5675B">
        <w:rPr>
          <w:lang w:eastAsia="ja-JP"/>
        </w:rPr>
        <w:t>Crestor) has the following indication of relevance to the submission:</w:t>
      </w:r>
    </w:p>
    <w:p w14:paraId="071CA8D3" w14:textId="5F93E610" w:rsidR="00D5675B" w:rsidRPr="00D5675B" w:rsidRDefault="00D5675B" w:rsidP="00D5675B">
      <w:pPr>
        <w:ind w:left="720"/>
        <w:rPr>
          <w:b/>
          <w:i/>
        </w:rPr>
      </w:pPr>
      <w:r w:rsidRPr="00D5675B">
        <w:rPr>
          <w:b/>
          <w:i/>
        </w:rPr>
        <w:t>Prev</w:t>
      </w:r>
      <w:r w:rsidR="00A818DC">
        <w:rPr>
          <w:b/>
          <w:i/>
        </w:rPr>
        <w:t>ention of Cardiovascular Events</w:t>
      </w:r>
    </w:p>
    <w:p w14:paraId="71855F72" w14:textId="0AE89AF8" w:rsidR="00D5675B" w:rsidRPr="00D5675B" w:rsidRDefault="00E56C0A" w:rsidP="00D5675B">
      <w:pPr>
        <w:ind w:left="720"/>
        <w:rPr>
          <w:i/>
        </w:rPr>
      </w:pPr>
      <w:r>
        <w:rPr>
          <w:i/>
        </w:rPr>
        <w:t>Crestor</w:t>
      </w:r>
      <w:r w:rsidR="00D5675B" w:rsidRPr="00D5675B">
        <w:rPr>
          <w:i/>
        </w:rPr>
        <w:t xml:space="preserve"> is indicated for prevention of major cardiovascular events in men ≥50 years old and women ≥60 years old with no clinically evident cardiovascular disease but with at least two conventional risk factors for cardiovascular disease (hypertension, low HDL-C, smoking, or a family history of premature </w:t>
      </w:r>
      <w:r>
        <w:rPr>
          <w:i/>
        </w:rPr>
        <w:t>coronary heart disease). Crestor</w:t>
      </w:r>
      <w:r w:rsidR="00A818DC">
        <w:rPr>
          <w:i/>
        </w:rPr>
        <w:t xml:space="preserve"> is indicated to:</w:t>
      </w:r>
    </w:p>
    <w:p w14:paraId="24AB8C7B" w14:textId="77777777" w:rsidR="00D5675B" w:rsidRPr="00D5675B" w:rsidRDefault="00D5675B" w:rsidP="00D5675B">
      <w:pPr>
        <w:pStyle w:val="ListBullet3"/>
        <w:rPr>
          <w:i/>
        </w:rPr>
      </w:pPr>
      <w:r w:rsidRPr="00D5675B">
        <w:rPr>
          <w:i/>
        </w:rPr>
        <w:t>Reduce the risk of nonfatal myocardial infarction</w:t>
      </w:r>
    </w:p>
    <w:p w14:paraId="64390C18" w14:textId="77777777" w:rsidR="00D5675B" w:rsidRPr="00D5675B" w:rsidRDefault="00D5675B" w:rsidP="00D5675B">
      <w:pPr>
        <w:pStyle w:val="ListBullet3"/>
        <w:rPr>
          <w:i/>
        </w:rPr>
      </w:pPr>
      <w:r w:rsidRPr="00D5675B">
        <w:rPr>
          <w:i/>
        </w:rPr>
        <w:t>Reduce the risk of nonfatal stroke</w:t>
      </w:r>
    </w:p>
    <w:p w14:paraId="7B91E482" w14:textId="77777777" w:rsidR="00D5675B" w:rsidRPr="00D5675B" w:rsidRDefault="00D5675B" w:rsidP="00D5675B">
      <w:pPr>
        <w:pStyle w:val="ListBullet3"/>
        <w:rPr>
          <w:i/>
        </w:rPr>
      </w:pPr>
      <w:r w:rsidRPr="00D5675B">
        <w:rPr>
          <w:i/>
        </w:rPr>
        <w:t>Reduce the risk of coronary artery revascularisation procedures.</w:t>
      </w:r>
    </w:p>
    <w:p w14:paraId="26F84FBB" w14:textId="77777777" w:rsidR="00D5675B" w:rsidRDefault="00D5675B" w:rsidP="00D5675B">
      <w:pPr>
        <w:rPr>
          <w:lang w:eastAsia="ja-JP"/>
        </w:rPr>
      </w:pPr>
      <w:r>
        <w:rPr>
          <w:lang w:eastAsia="ja-JP"/>
        </w:rPr>
        <w:t>Simvastatin</w:t>
      </w:r>
      <w:r w:rsidR="00E56C0A">
        <w:rPr>
          <w:lang w:eastAsia="ja-JP"/>
        </w:rPr>
        <w:t xml:space="preserve"> (trade name: </w:t>
      </w:r>
      <w:r>
        <w:rPr>
          <w:lang w:eastAsia="ja-JP"/>
        </w:rPr>
        <w:t>Zocor) has the following indication of relevance to the submission:</w:t>
      </w:r>
    </w:p>
    <w:p w14:paraId="1F178031" w14:textId="77777777" w:rsidR="00D5675B" w:rsidRPr="00D5675B" w:rsidRDefault="00E56C0A" w:rsidP="00D5675B">
      <w:pPr>
        <w:ind w:left="720"/>
        <w:rPr>
          <w:i/>
        </w:rPr>
      </w:pPr>
      <w:r>
        <w:rPr>
          <w:i/>
        </w:rPr>
        <w:t>Zocor</w:t>
      </w:r>
      <w:r w:rsidR="00D5675B" w:rsidRPr="00D5675B">
        <w:rPr>
          <w:i/>
        </w:rPr>
        <w:t xml:space="preserve"> is indicated in patients at high risk of CHD (with or without hypercholesterolaemia) including patients with diabetes, history of stroke or other cerebrovascular disease, peripheral vessel disease, or with existing CHD to reduce the risk of cardiovascular death, major cardiovascular events including stroke, and </w:t>
      </w:r>
      <w:r w:rsidR="00D5675B" w:rsidRPr="00D5675B">
        <w:rPr>
          <w:i/>
        </w:rPr>
        <w:lastRenderedPageBreak/>
        <w:t>hospitalisation due to angina pectoris. These effects do not replace the need to independently control known causes of cardiovascular mortality and morbidity such as hypertension, diabetes and smoking.</w:t>
      </w:r>
    </w:p>
    <w:p w14:paraId="639DA7AC" w14:textId="77777777" w:rsidR="00605AD4" w:rsidRDefault="00605AD4" w:rsidP="00605AD4">
      <w:pPr>
        <w:pStyle w:val="Heading4"/>
      </w:pPr>
      <w:bookmarkStart w:id="46" w:name="_Toc196046464"/>
      <w:bookmarkStart w:id="47" w:name="_Toc247691518"/>
      <w:bookmarkStart w:id="48" w:name="_Toc314842502"/>
      <w:r w:rsidRPr="00605AD4">
        <w:t xml:space="preserve">Clinical </w:t>
      </w:r>
      <w:r w:rsidR="00F45446">
        <w:t>r</w:t>
      </w:r>
      <w:r w:rsidRPr="00605AD4">
        <w:t>ationale</w:t>
      </w:r>
    </w:p>
    <w:p w14:paraId="32366374" w14:textId="77777777" w:rsidR="00D5675B" w:rsidRDefault="00D5675B" w:rsidP="00D5675B">
      <w:pPr>
        <w:rPr>
          <w:lang w:eastAsia="ja-JP"/>
        </w:rPr>
      </w:pPr>
      <w:r>
        <w:rPr>
          <w:lang w:eastAsia="ja-JP"/>
        </w:rPr>
        <w:t xml:space="preserve">The </w:t>
      </w:r>
      <w:r w:rsidR="00892680">
        <w:rPr>
          <w:lang w:eastAsia="ja-JP"/>
        </w:rPr>
        <w:t>s</w:t>
      </w:r>
      <w:r>
        <w:rPr>
          <w:lang w:eastAsia="ja-JP"/>
        </w:rPr>
        <w:t>ponsor states that t</w:t>
      </w:r>
      <w:r w:rsidRPr="00171BF2">
        <w:rPr>
          <w:lang w:eastAsia="ja-JP"/>
        </w:rPr>
        <w:t xml:space="preserve">he IMPROVE-IT </w:t>
      </w:r>
      <w:r>
        <w:rPr>
          <w:lang w:eastAsia="ja-JP"/>
        </w:rPr>
        <w:t>study</w:t>
      </w:r>
      <w:r w:rsidRPr="00171BF2">
        <w:rPr>
          <w:lang w:eastAsia="ja-JP"/>
        </w:rPr>
        <w:t xml:space="preserve"> demonstrated that the addition of ezetimibe to</w:t>
      </w:r>
      <w:r>
        <w:rPr>
          <w:lang w:eastAsia="ja-JP"/>
        </w:rPr>
        <w:t xml:space="preserve"> </w:t>
      </w:r>
      <w:r w:rsidRPr="00171BF2">
        <w:rPr>
          <w:lang w:eastAsia="ja-JP"/>
        </w:rPr>
        <w:t>simvastatin redu</w:t>
      </w:r>
      <w:r w:rsidR="00E56C0A">
        <w:rPr>
          <w:lang w:eastAsia="ja-JP"/>
        </w:rPr>
        <w:t>ced the risk of CV</w:t>
      </w:r>
      <w:r w:rsidRPr="00171BF2">
        <w:rPr>
          <w:lang w:eastAsia="ja-JP"/>
        </w:rPr>
        <w:t xml:space="preserve"> events</w:t>
      </w:r>
      <w:r w:rsidR="00E56C0A">
        <w:rPr>
          <w:lang w:eastAsia="ja-JP"/>
        </w:rPr>
        <w:t xml:space="preserve"> in subjects with CHD </w:t>
      </w:r>
      <w:r w:rsidRPr="00171BF2">
        <w:rPr>
          <w:lang w:eastAsia="ja-JP"/>
        </w:rPr>
        <w:t>beyond that produced by simvastatin alone.</w:t>
      </w:r>
      <w:r>
        <w:rPr>
          <w:lang w:eastAsia="ja-JP"/>
        </w:rPr>
        <w:t xml:space="preserve"> </w:t>
      </w:r>
      <w:r w:rsidRPr="00171BF2">
        <w:rPr>
          <w:lang w:eastAsia="ja-JP"/>
        </w:rPr>
        <w:t xml:space="preserve">Based on the results from </w:t>
      </w:r>
      <w:r>
        <w:rPr>
          <w:lang w:eastAsia="ja-JP"/>
        </w:rPr>
        <w:t>s</w:t>
      </w:r>
      <w:r w:rsidRPr="00171BF2">
        <w:rPr>
          <w:lang w:eastAsia="ja-JP"/>
        </w:rPr>
        <w:t xml:space="preserve">tudy, </w:t>
      </w:r>
      <w:r w:rsidR="00E56C0A">
        <w:rPr>
          <w:lang w:eastAsia="ja-JP"/>
        </w:rPr>
        <w:t>the s</w:t>
      </w:r>
      <w:r>
        <w:rPr>
          <w:lang w:eastAsia="ja-JP"/>
        </w:rPr>
        <w:t>ponsor</w:t>
      </w:r>
      <w:r w:rsidRPr="00171BF2">
        <w:rPr>
          <w:lang w:eastAsia="ja-JP"/>
        </w:rPr>
        <w:t xml:space="preserve"> is</w:t>
      </w:r>
      <w:r>
        <w:rPr>
          <w:lang w:eastAsia="ja-JP"/>
        </w:rPr>
        <w:t xml:space="preserve"> </w:t>
      </w:r>
      <w:r w:rsidRPr="00171BF2">
        <w:rPr>
          <w:lang w:eastAsia="ja-JP"/>
        </w:rPr>
        <w:t>seeking an indication for ezetimibe (when used with a statin), ezetimibe/simvastatin, and</w:t>
      </w:r>
      <w:r>
        <w:rPr>
          <w:lang w:eastAsia="ja-JP"/>
        </w:rPr>
        <w:t xml:space="preserve"> </w:t>
      </w:r>
      <w:r w:rsidRPr="00171BF2">
        <w:rPr>
          <w:lang w:eastAsia="ja-JP"/>
        </w:rPr>
        <w:t xml:space="preserve">ezetimibe/atorvastatin to reduce the risk of CV events in patients with CHD. </w:t>
      </w:r>
      <w:r>
        <w:rPr>
          <w:lang w:eastAsia="ja-JP"/>
        </w:rPr>
        <w:t>The Sponsor argues that a</w:t>
      </w:r>
      <w:r w:rsidRPr="00171BF2">
        <w:rPr>
          <w:lang w:eastAsia="ja-JP"/>
        </w:rPr>
        <w:t>lthough</w:t>
      </w:r>
      <w:r>
        <w:rPr>
          <w:lang w:eastAsia="ja-JP"/>
        </w:rPr>
        <w:t xml:space="preserve"> </w:t>
      </w:r>
      <w:r w:rsidRPr="00171BF2">
        <w:rPr>
          <w:lang w:eastAsia="ja-JP"/>
        </w:rPr>
        <w:t>IMPROVE-IT studied patients presenting wi</w:t>
      </w:r>
      <w:r w:rsidR="00E56C0A">
        <w:rPr>
          <w:lang w:eastAsia="ja-JP"/>
        </w:rPr>
        <w:t>th ACS</w:t>
      </w:r>
      <w:r w:rsidRPr="00171BF2">
        <w:rPr>
          <w:lang w:eastAsia="ja-JP"/>
        </w:rPr>
        <w:t>, used</w:t>
      </w:r>
      <w:r>
        <w:rPr>
          <w:lang w:eastAsia="ja-JP"/>
        </w:rPr>
        <w:t xml:space="preserve"> </w:t>
      </w:r>
      <w:r w:rsidRPr="00171BF2">
        <w:rPr>
          <w:lang w:eastAsia="ja-JP"/>
        </w:rPr>
        <w:t xml:space="preserve">simvastatin as the background </w:t>
      </w:r>
      <w:proofErr w:type="spellStart"/>
      <w:r w:rsidRPr="00171BF2">
        <w:rPr>
          <w:lang w:eastAsia="ja-JP"/>
        </w:rPr>
        <w:t>statin</w:t>
      </w:r>
      <w:proofErr w:type="spellEnd"/>
      <w:r w:rsidRPr="00171BF2">
        <w:rPr>
          <w:lang w:eastAsia="ja-JP"/>
        </w:rPr>
        <w:t>, and entered p</w:t>
      </w:r>
      <w:r w:rsidR="00E56C0A">
        <w:rPr>
          <w:lang w:eastAsia="ja-JP"/>
        </w:rPr>
        <w:t>atients with defined LDL-C</w:t>
      </w:r>
      <w:r>
        <w:rPr>
          <w:lang w:eastAsia="ja-JP"/>
        </w:rPr>
        <w:t xml:space="preserve"> levels the</w:t>
      </w:r>
      <w:r w:rsidRPr="00171BF2">
        <w:rPr>
          <w:lang w:eastAsia="ja-JP"/>
        </w:rPr>
        <w:t xml:space="preserve"> conclusions</w:t>
      </w:r>
      <w:r>
        <w:rPr>
          <w:lang w:eastAsia="ja-JP"/>
        </w:rPr>
        <w:t xml:space="preserve"> </w:t>
      </w:r>
      <w:r w:rsidRPr="00171BF2">
        <w:rPr>
          <w:lang w:eastAsia="ja-JP"/>
        </w:rPr>
        <w:t>apply to patients with chronic CHD, those receiving any statin, and to subjects with a</w:t>
      </w:r>
      <w:r>
        <w:rPr>
          <w:lang w:eastAsia="ja-JP"/>
        </w:rPr>
        <w:t xml:space="preserve"> </w:t>
      </w:r>
      <w:r w:rsidRPr="00171BF2">
        <w:rPr>
          <w:lang w:eastAsia="ja-JP"/>
        </w:rPr>
        <w:t>broad range of LDL-C levels.</w:t>
      </w:r>
    </w:p>
    <w:p w14:paraId="6B92172E" w14:textId="77777777" w:rsidR="00D5675B" w:rsidRPr="0039317E" w:rsidRDefault="005D07BF" w:rsidP="00D5675B">
      <w:pPr>
        <w:rPr>
          <w:lang w:eastAsia="ja-JP"/>
        </w:rPr>
      </w:pPr>
      <w:r>
        <w:rPr>
          <w:lang w:eastAsia="ja-JP"/>
        </w:rPr>
        <w:t>In the p</w:t>
      </w:r>
      <w:r w:rsidR="00D5675B">
        <w:rPr>
          <w:lang w:eastAsia="ja-JP"/>
        </w:rPr>
        <w:t>re-submission overview</w:t>
      </w:r>
      <w:r>
        <w:rPr>
          <w:lang w:eastAsia="ja-JP"/>
        </w:rPr>
        <w:t>,</w:t>
      </w:r>
      <w:r w:rsidR="00D5675B">
        <w:rPr>
          <w:lang w:eastAsia="ja-JP"/>
        </w:rPr>
        <w:t xml:space="preserve"> the </w:t>
      </w:r>
      <w:r>
        <w:rPr>
          <w:lang w:eastAsia="ja-JP"/>
        </w:rPr>
        <w:t>s</w:t>
      </w:r>
      <w:r w:rsidR="00D5675B">
        <w:rPr>
          <w:lang w:eastAsia="ja-JP"/>
        </w:rPr>
        <w:t xml:space="preserve">ponsor argues that the results of IMPROVE-IT are generalizable to statins due to the demonstrated effect of statins on cardiovascular outcomes, the demonstrated additive effect of ezetimibe on LDL lowering with statins and the demonstrated relationship between LDL-C lowering and reduction in cardiovascular risk across all statins. The </w:t>
      </w:r>
      <w:r w:rsidR="00892680">
        <w:rPr>
          <w:lang w:eastAsia="ja-JP"/>
        </w:rPr>
        <w:t>s</w:t>
      </w:r>
      <w:r w:rsidR="00D5675B">
        <w:rPr>
          <w:lang w:eastAsia="ja-JP"/>
        </w:rPr>
        <w:t>ponsor states that e</w:t>
      </w:r>
      <w:r w:rsidR="00D5675B" w:rsidRPr="0039317E">
        <w:rPr>
          <w:lang w:eastAsia="ja-JP"/>
        </w:rPr>
        <w:t>zetimibe supports a consistent proportional additive decrease in LDL‐C levels</w:t>
      </w:r>
      <w:r w:rsidR="00D5675B">
        <w:rPr>
          <w:lang w:eastAsia="ja-JP"/>
        </w:rPr>
        <w:t xml:space="preserve"> </w:t>
      </w:r>
      <w:r w:rsidR="00D5675B" w:rsidRPr="0039317E">
        <w:rPr>
          <w:lang w:eastAsia="ja-JP"/>
        </w:rPr>
        <w:t>when added to or co‐administered with any statin. In pooled analyses of clinical trials, a</w:t>
      </w:r>
      <w:r w:rsidR="00D5675B">
        <w:rPr>
          <w:lang w:eastAsia="ja-JP"/>
        </w:rPr>
        <w:t xml:space="preserve"> </w:t>
      </w:r>
      <w:r w:rsidR="00D5675B" w:rsidRPr="0039317E">
        <w:rPr>
          <w:lang w:eastAsia="ja-JP"/>
        </w:rPr>
        <w:t>25% relative reduction in LDL‐C is observed when ezetimibe is added to ongoing statin</w:t>
      </w:r>
      <w:r w:rsidR="00D5675B">
        <w:rPr>
          <w:lang w:eastAsia="ja-JP"/>
        </w:rPr>
        <w:t xml:space="preserve"> </w:t>
      </w:r>
      <w:r w:rsidR="00D5675B" w:rsidRPr="0039317E">
        <w:rPr>
          <w:lang w:eastAsia="ja-JP"/>
        </w:rPr>
        <w:t>therapy, an observation generally independent of statin type, potency and dose, and</w:t>
      </w:r>
      <w:r w:rsidR="00D5675B">
        <w:rPr>
          <w:lang w:eastAsia="ja-JP"/>
        </w:rPr>
        <w:t xml:space="preserve"> </w:t>
      </w:r>
      <w:r w:rsidR="00D5675B" w:rsidRPr="0039317E">
        <w:rPr>
          <w:lang w:eastAsia="ja-JP"/>
        </w:rPr>
        <w:t>patient characteristics.</w:t>
      </w:r>
    </w:p>
    <w:p w14:paraId="5E9028D5" w14:textId="77777777" w:rsidR="00D5675B" w:rsidRDefault="00D5675B" w:rsidP="00D5675B">
      <w:pPr>
        <w:rPr>
          <w:lang w:eastAsia="ja-JP"/>
        </w:rPr>
      </w:pPr>
      <w:r>
        <w:rPr>
          <w:lang w:eastAsia="ja-JP"/>
        </w:rPr>
        <w:t xml:space="preserve">The </w:t>
      </w:r>
      <w:r w:rsidR="005D07BF">
        <w:rPr>
          <w:lang w:eastAsia="ja-JP"/>
        </w:rPr>
        <w:t>s</w:t>
      </w:r>
      <w:r>
        <w:rPr>
          <w:lang w:eastAsia="ja-JP"/>
        </w:rPr>
        <w:t>ponsor states that i</w:t>
      </w:r>
      <w:r w:rsidRPr="0039317E">
        <w:rPr>
          <w:lang w:eastAsia="ja-JP"/>
        </w:rPr>
        <w:t xml:space="preserve">n January 2015, </w:t>
      </w:r>
      <w:r>
        <w:rPr>
          <w:lang w:eastAsia="ja-JP"/>
        </w:rPr>
        <w:t xml:space="preserve">in a </w:t>
      </w:r>
      <w:r w:rsidRPr="0039317E">
        <w:rPr>
          <w:lang w:eastAsia="ja-JP"/>
        </w:rPr>
        <w:t>pre‐submission consultation with the German Federal</w:t>
      </w:r>
      <w:r>
        <w:rPr>
          <w:lang w:eastAsia="ja-JP"/>
        </w:rPr>
        <w:t xml:space="preserve"> </w:t>
      </w:r>
      <w:r w:rsidRPr="0039317E">
        <w:rPr>
          <w:lang w:eastAsia="ja-JP"/>
        </w:rPr>
        <w:t>Institute for Drugs and Medical Devices (</w:t>
      </w:r>
      <w:proofErr w:type="spellStart"/>
      <w:r w:rsidRPr="0039317E">
        <w:rPr>
          <w:lang w:eastAsia="ja-JP"/>
        </w:rPr>
        <w:t>BfArM</w:t>
      </w:r>
      <w:proofErr w:type="spellEnd"/>
      <w:r>
        <w:rPr>
          <w:lang w:eastAsia="ja-JP"/>
        </w:rPr>
        <w:t xml:space="preserve">), the </w:t>
      </w:r>
      <w:proofErr w:type="spellStart"/>
      <w:r>
        <w:rPr>
          <w:lang w:eastAsia="ja-JP"/>
        </w:rPr>
        <w:t>BfArM</w:t>
      </w:r>
      <w:proofErr w:type="spellEnd"/>
      <w:r w:rsidRPr="0039317E">
        <w:rPr>
          <w:lang w:eastAsia="ja-JP"/>
        </w:rPr>
        <w:t xml:space="preserve"> concurred that the incremental benefit</w:t>
      </w:r>
      <w:r>
        <w:rPr>
          <w:lang w:eastAsia="ja-JP"/>
        </w:rPr>
        <w:t xml:space="preserve"> </w:t>
      </w:r>
      <w:r w:rsidRPr="0039317E">
        <w:rPr>
          <w:lang w:eastAsia="ja-JP"/>
        </w:rPr>
        <w:t>exhibited with ezetimibe was seen as a group effect and could be applied to all statins.</w:t>
      </w:r>
    </w:p>
    <w:p w14:paraId="5B7B6D96" w14:textId="188DDF15" w:rsidR="00D5675B" w:rsidRDefault="00D5675B" w:rsidP="00D5675B">
      <w:pPr>
        <w:rPr>
          <w:lang w:eastAsia="ja-JP"/>
        </w:rPr>
      </w:pPr>
      <w:r w:rsidRPr="0039317E">
        <w:rPr>
          <w:lang w:eastAsia="ja-JP"/>
        </w:rPr>
        <w:t>The Cholesterol Treatment Trialists’ (CTT) meta‐analysis from 26 large, randomised,</w:t>
      </w:r>
      <w:r>
        <w:rPr>
          <w:lang w:eastAsia="ja-JP"/>
        </w:rPr>
        <w:t xml:space="preserve"> </w:t>
      </w:r>
      <w:r w:rsidRPr="0039317E">
        <w:rPr>
          <w:lang w:eastAsia="ja-JP"/>
        </w:rPr>
        <w:t xml:space="preserve">double‐blind, placebo‐controlled studies </w:t>
      </w:r>
      <w:r>
        <w:rPr>
          <w:lang w:eastAsia="ja-JP"/>
        </w:rPr>
        <w:t>is reported to have shown</w:t>
      </w:r>
      <w:r w:rsidRPr="0039317E">
        <w:rPr>
          <w:lang w:eastAsia="ja-JP"/>
        </w:rPr>
        <w:t xml:space="preserve"> that statin therapy reduces cardiovascular</w:t>
      </w:r>
      <w:r>
        <w:rPr>
          <w:lang w:eastAsia="ja-JP"/>
        </w:rPr>
        <w:t xml:space="preserve"> </w:t>
      </w:r>
      <w:r w:rsidRPr="0039317E">
        <w:rPr>
          <w:lang w:eastAsia="ja-JP"/>
        </w:rPr>
        <w:t xml:space="preserve">risk by about 20% per 1 </w:t>
      </w:r>
      <w:proofErr w:type="spellStart"/>
      <w:r w:rsidRPr="0039317E">
        <w:rPr>
          <w:lang w:eastAsia="ja-JP"/>
        </w:rPr>
        <w:t>mmol</w:t>
      </w:r>
      <w:proofErr w:type="spellEnd"/>
      <w:r w:rsidRPr="0039317E">
        <w:rPr>
          <w:lang w:eastAsia="ja-JP"/>
        </w:rPr>
        <w:t>/L LDL‐C reduction. The relationship of reduction in LDL‐C to</w:t>
      </w:r>
      <w:r>
        <w:rPr>
          <w:lang w:eastAsia="ja-JP"/>
        </w:rPr>
        <w:t xml:space="preserve"> </w:t>
      </w:r>
      <w:r w:rsidRPr="0039317E">
        <w:rPr>
          <w:lang w:eastAsia="ja-JP"/>
        </w:rPr>
        <w:t xml:space="preserve">reduction in CV events observed in IMPROVE‐IT is </w:t>
      </w:r>
      <w:r>
        <w:rPr>
          <w:lang w:eastAsia="ja-JP"/>
        </w:rPr>
        <w:t xml:space="preserve">reported to be </w:t>
      </w:r>
      <w:r w:rsidRPr="0039317E">
        <w:rPr>
          <w:lang w:eastAsia="ja-JP"/>
        </w:rPr>
        <w:t>consistent with the CTT findings.</w:t>
      </w:r>
      <w:r w:rsidR="00E56C0A">
        <w:rPr>
          <w:lang w:eastAsia="ja-JP"/>
        </w:rPr>
        <w:t xml:space="preserve"> The s</w:t>
      </w:r>
      <w:r>
        <w:rPr>
          <w:lang w:eastAsia="ja-JP"/>
        </w:rPr>
        <w:t xml:space="preserve">ponsor states that the findings of an </w:t>
      </w:r>
      <w:r w:rsidRPr="00A34028">
        <w:rPr>
          <w:lang w:eastAsia="ja-JP"/>
        </w:rPr>
        <w:t xml:space="preserve">additive effect of NPC1L1 and </w:t>
      </w:r>
      <w:proofErr w:type="spellStart"/>
      <w:r w:rsidRPr="00A34028">
        <w:rPr>
          <w:lang w:eastAsia="ja-JP"/>
        </w:rPr>
        <w:t>HMGCoA</w:t>
      </w:r>
      <w:proofErr w:type="spellEnd"/>
      <w:r w:rsidRPr="00A34028">
        <w:rPr>
          <w:lang w:eastAsia="ja-JP"/>
        </w:rPr>
        <w:t xml:space="preserve"> re</w:t>
      </w:r>
      <w:r>
        <w:rPr>
          <w:lang w:eastAsia="ja-JP"/>
        </w:rPr>
        <w:t>ductase genetic variants on LDL lowering and</w:t>
      </w:r>
      <w:r w:rsidRPr="00A34028">
        <w:rPr>
          <w:lang w:eastAsia="ja-JP"/>
        </w:rPr>
        <w:t xml:space="preserve"> the </w:t>
      </w:r>
      <w:r w:rsidRPr="003E61F5">
        <w:rPr>
          <w:lang w:eastAsia="ja-JP"/>
        </w:rPr>
        <w:t xml:space="preserve">additive </w:t>
      </w:r>
      <w:r w:rsidRPr="00A34028">
        <w:rPr>
          <w:lang w:eastAsia="ja-JP"/>
        </w:rPr>
        <w:t xml:space="preserve">CV risk reduction associated with presence of both NPC1L1 and </w:t>
      </w:r>
      <w:proofErr w:type="spellStart"/>
      <w:r w:rsidRPr="00A34028">
        <w:rPr>
          <w:lang w:eastAsia="ja-JP"/>
        </w:rPr>
        <w:t>HMGCoA</w:t>
      </w:r>
      <w:proofErr w:type="spellEnd"/>
      <w:r>
        <w:rPr>
          <w:lang w:eastAsia="ja-JP"/>
        </w:rPr>
        <w:t xml:space="preserve"> reductase genetic variants is</w:t>
      </w:r>
      <w:r w:rsidRPr="00A34028">
        <w:rPr>
          <w:lang w:eastAsia="ja-JP"/>
        </w:rPr>
        <w:t xml:space="preserve"> consistent with the</w:t>
      </w:r>
      <w:r>
        <w:rPr>
          <w:lang w:eastAsia="ja-JP"/>
        </w:rPr>
        <w:t xml:space="preserve"> </w:t>
      </w:r>
      <w:r w:rsidRPr="00A34028">
        <w:rPr>
          <w:lang w:eastAsia="ja-JP"/>
        </w:rPr>
        <w:t>IMPROVE‐IT result demonstra</w:t>
      </w:r>
      <w:r>
        <w:rPr>
          <w:lang w:eastAsia="ja-JP"/>
        </w:rPr>
        <w:t xml:space="preserve">ting </w:t>
      </w:r>
      <w:r w:rsidRPr="00A34028">
        <w:rPr>
          <w:lang w:eastAsia="ja-JP"/>
        </w:rPr>
        <w:t>the additive outcomes benefit of ezetimibe and</w:t>
      </w:r>
      <w:r>
        <w:rPr>
          <w:lang w:eastAsia="ja-JP"/>
        </w:rPr>
        <w:t xml:space="preserve"> </w:t>
      </w:r>
      <w:r w:rsidRPr="00A34028">
        <w:rPr>
          <w:lang w:eastAsia="ja-JP"/>
        </w:rPr>
        <w:t>simvastatin, targeting NPC1L1 and</w:t>
      </w:r>
      <w:r>
        <w:rPr>
          <w:lang w:eastAsia="ja-JP"/>
        </w:rPr>
        <w:t xml:space="preserve"> </w:t>
      </w:r>
      <w:proofErr w:type="spellStart"/>
      <w:r>
        <w:rPr>
          <w:lang w:eastAsia="ja-JP"/>
        </w:rPr>
        <w:t>HMGCoA</w:t>
      </w:r>
      <w:proofErr w:type="spellEnd"/>
      <w:r>
        <w:rPr>
          <w:lang w:eastAsia="ja-JP"/>
        </w:rPr>
        <w:t xml:space="preserve"> reductase, respectively. The </w:t>
      </w:r>
      <w:r w:rsidR="00892680">
        <w:rPr>
          <w:lang w:eastAsia="ja-JP"/>
        </w:rPr>
        <w:t>s</w:t>
      </w:r>
      <w:r>
        <w:rPr>
          <w:lang w:eastAsia="ja-JP"/>
        </w:rPr>
        <w:t>ponsor concludes</w:t>
      </w:r>
      <w:r w:rsidRPr="0039317E">
        <w:rPr>
          <w:lang w:eastAsia="ja-JP"/>
        </w:rPr>
        <w:t xml:space="preserve"> that co‐administration of ezetimibe with an inhibitor of HMG CoA reductase will</w:t>
      </w:r>
      <w:r>
        <w:rPr>
          <w:lang w:eastAsia="ja-JP"/>
        </w:rPr>
        <w:t xml:space="preserve"> </w:t>
      </w:r>
      <w:r w:rsidRPr="0039317E">
        <w:rPr>
          <w:lang w:eastAsia="ja-JP"/>
        </w:rPr>
        <w:t>have additive benefit on CV risk reduction.</w:t>
      </w:r>
    </w:p>
    <w:p w14:paraId="2927F726" w14:textId="77777777" w:rsidR="00605AD4" w:rsidRDefault="00605AD4" w:rsidP="00605AD4">
      <w:pPr>
        <w:pStyle w:val="Heading4"/>
      </w:pPr>
      <w:r w:rsidRPr="00605AD4">
        <w:t>Guidance</w:t>
      </w:r>
    </w:p>
    <w:p w14:paraId="7D41369B" w14:textId="77777777" w:rsidR="00D5675B" w:rsidRPr="00D5675B" w:rsidRDefault="00D5675B" w:rsidP="00D5675B">
      <w:r w:rsidRPr="00D5675B">
        <w:t>The following guidance documents are of relevance to this submission:</w:t>
      </w:r>
    </w:p>
    <w:p w14:paraId="49D8D54A" w14:textId="77777777" w:rsidR="00D5675B" w:rsidRPr="00D5675B" w:rsidRDefault="00D5675B" w:rsidP="00D5675B">
      <w:pPr>
        <w:pStyle w:val="ListBullet"/>
      </w:pPr>
      <w:r w:rsidRPr="00D5675B">
        <w:t>Australian Regulatory Guidelines for Prescription Medicines (ARGPM)</w:t>
      </w:r>
      <w:r w:rsidR="00E56C0A">
        <w:t>;</w:t>
      </w:r>
    </w:p>
    <w:p w14:paraId="1E7B50D3" w14:textId="77777777" w:rsidR="00D5675B" w:rsidRPr="00D5675B" w:rsidRDefault="00D5675B" w:rsidP="00D5675B">
      <w:pPr>
        <w:pStyle w:val="ListBullet"/>
      </w:pPr>
      <w:r w:rsidRPr="00D5675B">
        <w:t>Form for providing product information for a restricted medicine or other medicine in relation to which the Secretary requires product information</w:t>
      </w:r>
      <w:r w:rsidR="00892680">
        <w:t xml:space="preserve"> to be provided</w:t>
      </w:r>
      <w:r w:rsidR="00E56C0A">
        <w:t>;</w:t>
      </w:r>
    </w:p>
    <w:p w14:paraId="7BD8796D" w14:textId="77777777" w:rsidR="00D5675B" w:rsidRPr="00D5675B" w:rsidRDefault="00D5675B" w:rsidP="00D5675B">
      <w:pPr>
        <w:pStyle w:val="ListBullet"/>
      </w:pPr>
      <w:r w:rsidRPr="00D5675B">
        <w:t>Guideline on clinical investigation of medicinal products in the treatment of lipid disorders EMA/CHMP/748108/2013</w:t>
      </w:r>
      <w:r w:rsidR="00E56C0A">
        <w:t>;</w:t>
      </w:r>
    </w:p>
    <w:p w14:paraId="3AB75571" w14:textId="77777777" w:rsidR="00D5675B" w:rsidRPr="00D5675B" w:rsidRDefault="00D5675B" w:rsidP="00D5675B">
      <w:pPr>
        <w:pStyle w:val="ListBullet"/>
      </w:pPr>
      <w:r w:rsidRPr="00D5675B">
        <w:t>Guideline on the Evaluation of Medicinal Products for Cardiovascular Disease Prevention EMEA/CHMP/EWP/311890/2007</w:t>
      </w:r>
      <w:r w:rsidR="00E56C0A">
        <w:t>;</w:t>
      </w:r>
    </w:p>
    <w:p w14:paraId="265599DB" w14:textId="77777777" w:rsidR="00D5675B" w:rsidRPr="00D5675B" w:rsidRDefault="00D5675B" w:rsidP="00D5675B">
      <w:pPr>
        <w:pStyle w:val="ListBullet"/>
      </w:pPr>
      <w:r w:rsidRPr="00D5675B">
        <w:lastRenderedPageBreak/>
        <w:t>Points to Consider on Application with 1. Meta-Analyses; 2. One Pivotal Study CPMP/EWP/2330/99</w:t>
      </w:r>
      <w:r w:rsidR="00E56C0A">
        <w:t>; and</w:t>
      </w:r>
    </w:p>
    <w:p w14:paraId="3CFC3D2D" w14:textId="77777777" w:rsidR="00D5675B" w:rsidRPr="00D5675B" w:rsidRDefault="00D5675B" w:rsidP="00D5675B">
      <w:pPr>
        <w:pStyle w:val="ListBullet"/>
      </w:pPr>
      <w:r w:rsidRPr="00D5675B">
        <w:t>Questions and Answers Document on the Clinical Development of Fixed Combinations of Drugs Belonging to Different Therapeutic Classes in the Field of Cardiovascular Treatment and Prevention CHMP/EWP/191583/2005</w:t>
      </w:r>
      <w:r w:rsidR="00E56C0A">
        <w:t>.</w:t>
      </w:r>
    </w:p>
    <w:p w14:paraId="33C3C04A" w14:textId="77777777" w:rsidR="00605AD4" w:rsidRDefault="00605AD4" w:rsidP="00605AD4">
      <w:pPr>
        <w:pStyle w:val="Heading4"/>
      </w:pPr>
      <w:r w:rsidRPr="00605AD4">
        <w:t>Contents of the clinical dossier</w:t>
      </w:r>
    </w:p>
    <w:p w14:paraId="77B4A1A8" w14:textId="77777777" w:rsidR="00641B70" w:rsidRDefault="00641B70" w:rsidP="00641B70">
      <w:pPr>
        <w:keepNext/>
        <w:rPr>
          <w:lang w:eastAsia="ja-JP"/>
        </w:rPr>
      </w:pPr>
      <w:r>
        <w:rPr>
          <w:lang w:eastAsia="ja-JP"/>
        </w:rPr>
        <w:t>The submission contained the following clinical information:</w:t>
      </w:r>
    </w:p>
    <w:p w14:paraId="67AAB4DF" w14:textId="3248EFE0" w:rsidR="00641B70" w:rsidRPr="00641B70" w:rsidRDefault="002355A4" w:rsidP="00641B70">
      <w:pPr>
        <w:pStyle w:val="ListBullet"/>
      </w:pPr>
      <w:r>
        <w:t xml:space="preserve">One efficacy and safety study: </w:t>
      </w:r>
      <w:r w:rsidR="00A818DC">
        <w:t>IMPROVE-IT</w:t>
      </w:r>
    </w:p>
    <w:p w14:paraId="1AE9BF2F" w14:textId="77777777" w:rsidR="00641B70" w:rsidRPr="00641B70" w:rsidRDefault="00641B70" w:rsidP="00641B70">
      <w:pPr>
        <w:pStyle w:val="ListBullet"/>
      </w:pPr>
      <w:r w:rsidRPr="00641B70">
        <w:t>An analysis of post market safety including CIOMS reports for various adverse events (AEs)</w:t>
      </w:r>
    </w:p>
    <w:p w14:paraId="14581E55" w14:textId="77777777" w:rsidR="00641B70" w:rsidRPr="00641B70" w:rsidRDefault="00641B70" w:rsidP="00641B70">
      <w:pPr>
        <w:pStyle w:val="ListBullet"/>
      </w:pPr>
      <w:r w:rsidRPr="00641B70">
        <w:t>147 literature references</w:t>
      </w:r>
    </w:p>
    <w:p w14:paraId="13905575" w14:textId="77777777" w:rsidR="00605AD4" w:rsidRDefault="00605AD4" w:rsidP="00605AD4">
      <w:pPr>
        <w:pStyle w:val="Heading4"/>
      </w:pPr>
      <w:r w:rsidRPr="00605AD4">
        <w:t>Paediatric data</w:t>
      </w:r>
    </w:p>
    <w:p w14:paraId="4710252D" w14:textId="77777777" w:rsidR="00FF7EF3" w:rsidRDefault="00641B70" w:rsidP="00641B70">
      <w:r w:rsidRPr="00611CCF">
        <w:t>The submission did not include paediatric data</w:t>
      </w:r>
      <w:r w:rsidR="00FF7EF3">
        <w:t>.</w:t>
      </w:r>
    </w:p>
    <w:p w14:paraId="4B8192A2" w14:textId="3137DC6E" w:rsidR="00605AD4" w:rsidRDefault="00605AD4" w:rsidP="00605AD4">
      <w:pPr>
        <w:pStyle w:val="Heading4"/>
      </w:pPr>
      <w:r w:rsidRPr="00605AD4">
        <w:t>Good clinical practice</w:t>
      </w:r>
    </w:p>
    <w:p w14:paraId="44E340F2" w14:textId="41D088A3" w:rsidR="00641B70" w:rsidRDefault="00892680" w:rsidP="00641B70">
      <w:pPr>
        <w:rPr>
          <w:lang w:eastAsia="ja-JP"/>
        </w:rPr>
      </w:pPr>
      <w:r>
        <w:rPr>
          <w:lang w:eastAsia="ja-JP"/>
        </w:rPr>
        <w:t>T</w:t>
      </w:r>
      <w:r w:rsidR="00641B70">
        <w:rPr>
          <w:lang w:eastAsia="ja-JP"/>
        </w:rPr>
        <w:t xml:space="preserve">he IMPROVE-IT </w:t>
      </w:r>
      <w:r w:rsidR="00012435">
        <w:rPr>
          <w:lang w:eastAsia="ja-JP"/>
        </w:rPr>
        <w:t>CSR</w:t>
      </w:r>
      <w:r w:rsidR="00641B70">
        <w:rPr>
          <w:lang w:eastAsia="ja-JP"/>
        </w:rPr>
        <w:t xml:space="preserve"> states that the </w:t>
      </w:r>
      <w:r w:rsidR="00641B70" w:rsidRPr="001C7596">
        <w:rPr>
          <w:lang w:eastAsia="ja-JP"/>
        </w:rPr>
        <w:t xml:space="preserve">trial was conducted in conformance with </w:t>
      </w:r>
      <w:r w:rsidR="00DA0BB4">
        <w:rPr>
          <w:lang w:eastAsia="ja-JP"/>
        </w:rPr>
        <w:t>Good Clinical Practice (</w:t>
      </w:r>
      <w:r w:rsidR="00641B70" w:rsidRPr="001C7596">
        <w:rPr>
          <w:lang w:eastAsia="ja-JP"/>
        </w:rPr>
        <w:t>GCP</w:t>
      </w:r>
      <w:r w:rsidR="00DA0BB4">
        <w:rPr>
          <w:lang w:eastAsia="ja-JP"/>
        </w:rPr>
        <w:t>)</w:t>
      </w:r>
      <w:r w:rsidR="00641B70" w:rsidRPr="001C7596">
        <w:rPr>
          <w:lang w:eastAsia="ja-JP"/>
        </w:rPr>
        <w:t xml:space="preserve"> s</w:t>
      </w:r>
      <w:r w:rsidR="00641B70">
        <w:rPr>
          <w:lang w:eastAsia="ja-JP"/>
        </w:rPr>
        <w:t xml:space="preserve">tandards and applicable country </w:t>
      </w:r>
      <w:r w:rsidR="00641B70" w:rsidRPr="001C7596">
        <w:rPr>
          <w:lang w:eastAsia="ja-JP"/>
        </w:rPr>
        <w:t>and/or local statutes and regulations regarding eth</w:t>
      </w:r>
      <w:r w:rsidR="00641B70">
        <w:rPr>
          <w:lang w:eastAsia="ja-JP"/>
        </w:rPr>
        <w:t xml:space="preserve">ical committee review, informed </w:t>
      </w:r>
      <w:r w:rsidR="00641B70" w:rsidRPr="001C7596">
        <w:rPr>
          <w:lang w:eastAsia="ja-JP"/>
        </w:rPr>
        <w:t>consent, and the protection of human subjects participating in biomedica</w:t>
      </w:r>
      <w:r w:rsidR="00641B70">
        <w:rPr>
          <w:lang w:eastAsia="ja-JP"/>
        </w:rPr>
        <w:t>l research. The report states that t</w:t>
      </w:r>
      <w:r w:rsidR="00641B70" w:rsidRPr="001C7596">
        <w:rPr>
          <w:lang w:eastAsia="ja-JP"/>
        </w:rPr>
        <w:t>hroughout the trial, study sites noted to have</w:t>
      </w:r>
      <w:r w:rsidR="00641B70">
        <w:rPr>
          <w:lang w:eastAsia="ja-JP"/>
        </w:rPr>
        <w:t xml:space="preserve"> GCP non-compliance issues were </w:t>
      </w:r>
      <w:r w:rsidR="00641B70" w:rsidRPr="001C7596">
        <w:rPr>
          <w:lang w:eastAsia="ja-JP"/>
        </w:rPr>
        <w:t>reviewed at GCP compliance committee. A total of</w:t>
      </w:r>
      <w:r w:rsidR="00641B70">
        <w:rPr>
          <w:lang w:eastAsia="ja-JP"/>
        </w:rPr>
        <w:t xml:space="preserve"> 24 sites were reported to this </w:t>
      </w:r>
      <w:r w:rsidR="00641B70" w:rsidRPr="001C7596">
        <w:rPr>
          <w:lang w:eastAsia="ja-JP"/>
        </w:rPr>
        <w:t>committee, of which there were 7 where serious GCP non-compliance issues were noted.</w:t>
      </w:r>
      <w:r w:rsidR="00641B70">
        <w:rPr>
          <w:lang w:eastAsia="ja-JP"/>
        </w:rPr>
        <w:t xml:space="preserve"> The report indicates that </w:t>
      </w:r>
      <w:r w:rsidR="00641B70" w:rsidRPr="00690F03">
        <w:rPr>
          <w:lang w:eastAsia="ja-JP"/>
        </w:rPr>
        <w:t xml:space="preserve">the principle </w:t>
      </w:r>
      <w:r w:rsidR="00641B70">
        <w:rPr>
          <w:lang w:eastAsia="ja-JP"/>
        </w:rPr>
        <w:t xml:space="preserve">of Intention-to-Treat </w:t>
      </w:r>
      <w:r w:rsidR="00641B70" w:rsidRPr="00690F03">
        <w:rPr>
          <w:lang w:eastAsia="ja-JP"/>
        </w:rPr>
        <w:t>was followed and no subject</w:t>
      </w:r>
      <w:r w:rsidR="00641B70">
        <w:rPr>
          <w:lang w:val="en-US" w:eastAsia="ja-JP"/>
        </w:rPr>
        <w:t>’</w:t>
      </w:r>
      <w:r w:rsidR="00641B70" w:rsidRPr="00690F03">
        <w:rPr>
          <w:lang w:eastAsia="ja-JP"/>
        </w:rPr>
        <w:t>s data were excluded from the efficacy analyses on the basis</w:t>
      </w:r>
      <w:r w:rsidR="00641B70">
        <w:rPr>
          <w:lang w:eastAsia="ja-JP"/>
        </w:rPr>
        <w:t xml:space="preserve"> </w:t>
      </w:r>
      <w:r w:rsidR="00641B70" w:rsidRPr="00690F03">
        <w:rPr>
          <w:lang w:eastAsia="ja-JP"/>
        </w:rPr>
        <w:t>of GCP violations.</w:t>
      </w:r>
    </w:p>
    <w:p w14:paraId="5D3F5390" w14:textId="77777777" w:rsidR="008E7846" w:rsidRDefault="008E7846" w:rsidP="00605AD4">
      <w:pPr>
        <w:pStyle w:val="Heading3"/>
      </w:pPr>
      <w:bookmarkStart w:id="49" w:name="_Toc484783879"/>
      <w:r w:rsidRPr="00254787">
        <w:t>Pharmacokinetics</w:t>
      </w:r>
      <w:bookmarkEnd w:id="38"/>
      <w:bookmarkEnd w:id="46"/>
      <w:bookmarkEnd w:id="47"/>
      <w:bookmarkEnd w:id="48"/>
      <w:bookmarkEnd w:id="49"/>
    </w:p>
    <w:p w14:paraId="6175985F" w14:textId="77777777" w:rsidR="00347981" w:rsidRDefault="00347981" w:rsidP="00347981">
      <w:pPr>
        <w:rPr>
          <w:lang w:eastAsia="ja-JP"/>
        </w:rPr>
      </w:pPr>
      <w:r>
        <w:rPr>
          <w:lang w:eastAsia="ja-JP"/>
        </w:rPr>
        <w:t>No new pharmacokinetic studies were included in the submission.</w:t>
      </w:r>
    </w:p>
    <w:p w14:paraId="77636547" w14:textId="77777777" w:rsidR="008E7846" w:rsidRDefault="008E7846" w:rsidP="008E7846">
      <w:pPr>
        <w:pStyle w:val="Heading3"/>
      </w:pPr>
      <w:bookmarkStart w:id="50" w:name="_Toc196046481"/>
      <w:bookmarkStart w:id="51" w:name="_Toc247691520"/>
      <w:bookmarkStart w:id="52" w:name="_Toc314842503"/>
      <w:bookmarkStart w:id="53" w:name="_Toc484783880"/>
      <w:r w:rsidRPr="00254787">
        <w:t>Pharmacodynamics</w:t>
      </w:r>
      <w:bookmarkEnd w:id="39"/>
      <w:bookmarkEnd w:id="50"/>
      <w:bookmarkEnd w:id="51"/>
      <w:bookmarkEnd w:id="52"/>
      <w:bookmarkEnd w:id="53"/>
    </w:p>
    <w:p w14:paraId="3B313CCB" w14:textId="77777777" w:rsidR="00347981" w:rsidRDefault="00347981" w:rsidP="00347981">
      <w:pPr>
        <w:rPr>
          <w:lang w:eastAsia="ja-JP"/>
        </w:rPr>
      </w:pPr>
      <w:r>
        <w:rPr>
          <w:lang w:eastAsia="ja-JP"/>
        </w:rPr>
        <w:t>No new pharmacodynamics studies were included in the submission.</w:t>
      </w:r>
    </w:p>
    <w:p w14:paraId="6AF61614" w14:textId="77777777" w:rsidR="008E7846" w:rsidRDefault="00605AD4" w:rsidP="00605AD4">
      <w:pPr>
        <w:pStyle w:val="Heading3"/>
      </w:pPr>
      <w:bookmarkStart w:id="54" w:name="_Toc484783881"/>
      <w:r>
        <w:t>Dosage selection for the pivotal studies</w:t>
      </w:r>
      <w:bookmarkEnd w:id="54"/>
    </w:p>
    <w:p w14:paraId="7DB9F167" w14:textId="110D734E" w:rsidR="00347981" w:rsidRDefault="002F4627" w:rsidP="00347981">
      <w:r>
        <w:t>The Clinical Study Rep</w:t>
      </w:r>
      <w:r w:rsidR="007656CD">
        <w:t>o</w:t>
      </w:r>
      <w:r>
        <w:t>rt</w:t>
      </w:r>
      <w:r w:rsidR="007656CD">
        <w:t xml:space="preserve"> for the pivotal study IMPROVE-</w:t>
      </w:r>
      <w:r w:rsidR="00347981">
        <w:t>IT states that all subjects were to be dosed with study drug in the evening, consistent with the ezetimibe/simvastatin combinat</w:t>
      </w:r>
      <w:r w:rsidR="000C2528">
        <w:t>ion label and simvastatin label</w:t>
      </w:r>
      <w:r w:rsidR="00347981">
        <w:t xml:space="preserve">. The </w:t>
      </w:r>
      <w:r w:rsidR="00D37BCF">
        <w:t>s</w:t>
      </w:r>
      <w:r w:rsidR="00347981">
        <w:t>ponsor is applying to have the proposed indication applied to Atozet products with a range of strengths for the atorvastatin component (10-80</w:t>
      </w:r>
      <w:r w:rsidR="00200C62">
        <w:t xml:space="preserve"> </w:t>
      </w:r>
      <w:r w:rsidR="00347981">
        <w:t>mg).</w:t>
      </w:r>
    </w:p>
    <w:p w14:paraId="616EEB3C" w14:textId="77777777" w:rsidR="008E7846" w:rsidRPr="00254787" w:rsidRDefault="008E7846" w:rsidP="008E7846">
      <w:pPr>
        <w:pStyle w:val="Heading3"/>
      </w:pPr>
      <w:bookmarkStart w:id="55" w:name="_Toc163441372"/>
      <w:bookmarkStart w:id="56" w:name="_Toc196046485"/>
      <w:bookmarkStart w:id="57" w:name="_Toc247691521"/>
      <w:bookmarkStart w:id="58" w:name="_Toc314842504"/>
      <w:bookmarkStart w:id="59" w:name="_Toc484783882"/>
      <w:r w:rsidRPr="00254787">
        <w:lastRenderedPageBreak/>
        <w:t>Efficacy</w:t>
      </w:r>
      <w:bookmarkEnd w:id="55"/>
      <w:bookmarkEnd w:id="56"/>
      <w:bookmarkEnd w:id="57"/>
      <w:bookmarkEnd w:id="58"/>
      <w:bookmarkEnd w:id="59"/>
    </w:p>
    <w:p w14:paraId="77434F82" w14:textId="77777777" w:rsidR="00605AD4" w:rsidRDefault="00605AD4" w:rsidP="00605AD4">
      <w:pPr>
        <w:pStyle w:val="Heading4"/>
      </w:pPr>
      <w:bookmarkStart w:id="60" w:name="_Toc184439992"/>
      <w:bookmarkStart w:id="61" w:name="_Toc184440279"/>
      <w:bookmarkStart w:id="62" w:name="_Toc184444657"/>
      <w:bookmarkStart w:id="63" w:name="_Toc196046487"/>
      <w:r>
        <w:t>Studies providing efficacy data</w:t>
      </w:r>
    </w:p>
    <w:p w14:paraId="6C4E31F3" w14:textId="77777777" w:rsidR="009676EE" w:rsidRDefault="009676EE" w:rsidP="009676EE">
      <w:pPr>
        <w:rPr>
          <w:lang w:eastAsia="ja-JP"/>
        </w:rPr>
      </w:pPr>
      <w:r>
        <w:rPr>
          <w:lang w:eastAsia="ja-JP"/>
        </w:rPr>
        <w:t xml:space="preserve">The </w:t>
      </w:r>
      <w:r w:rsidR="00441984">
        <w:rPr>
          <w:lang w:eastAsia="ja-JP"/>
        </w:rPr>
        <w:t>s</w:t>
      </w:r>
      <w:r>
        <w:rPr>
          <w:lang w:eastAsia="ja-JP"/>
        </w:rPr>
        <w:t>ponsor has not provided any clinical data that directly support the proposed indication for Atozet.</w:t>
      </w:r>
    </w:p>
    <w:p w14:paraId="0EDF1DB5" w14:textId="77777777" w:rsidR="009676EE" w:rsidRDefault="009676EE" w:rsidP="009676EE">
      <w:pPr>
        <w:rPr>
          <w:lang w:eastAsia="ja-JP"/>
        </w:rPr>
      </w:pPr>
      <w:r>
        <w:rPr>
          <w:lang w:eastAsia="ja-JP"/>
        </w:rPr>
        <w:t xml:space="preserve">The </w:t>
      </w:r>
      <w:r w:rsidR="00441984">
        <w:rPr>
          <w:lang w:eastAsia="ja-JP"/>
        </w:rPr>
        <w:t>s</w:t>
      </w:r>
      <w:r>
        <w:rPr>
          <w:lang w:eastAsia="ja-JP"/>
        </w:rPr>
        <w:t xml:space="preserve">ponsor has relied on clinical data provided in one efficacy study, Study P04103 (IMPROVE-IT), to support the proposed indication. The IMPROVE-IT study examined the efficacy of ezetimibe/simvastatin compared to simvastatin monotherapy in high risk patients with ACS. The </w:t>
      </w:r>
      <w:r w:rsidR="004159EC">
        <w:rPr>
          <w:lang w:eastAsia="ja-JP"/>
        </w:rPr>
        <w:t>s</w:t>
      </w:r>
      <w:r>
        <w:rPr>
          <w:lang w:eastAsia="ja-JP"/>
        </w:rPr>
        <w:t xml:space="preserve">ponsor argues that although </w:t>
      </w:r>
      <w:r w:rsidRPr="00DA1D80">
        <w:rPr>
          <w:lang w:eastAsia="ja-JP"/>
        </w:rPr>
        <w:t xml:space="preserve">IMPROVE-IT studied patients presenting with </w:t>
      </w:r>
      <w:r>
        <w:rPr>
          <w:lang w:eastAsia="ja-JP"/>
        </w:rPr>
        <w:t>ACS</w:t>
      </w:r>
      <w:r w:rsidRPr="00DA1D80">
        <w:rPr>
          <w:lang w:eastAsia="ja-JP"/>
        </w:rPr>
        <w:t>, used</w:t>
      </w:r>
      <w:r>
        <w:rPr>
          <w:lang w:eastAsia="ja-JP"/>
        </w:rPr>
        <w:t xml:space="preserve"> </w:t>
      </w:r>
      <w:r w:rsidRPr="00DA1D80">
        <w:rPr>
          <w:lang w:eastAsia="ja-JP"/>
        </w:rPr>
        <w:t xml:space="preserve">simvastatin as the background </w:t>
      </w:r>
      <w:proofErr w:type="spellStart"/>
      <w:r w:rsidRPr="00DA1D80">
        <w:rPr>
          <w:lang w:eastAsia="ja-JP"/>
        </w:rPr>
        <w:t>statin</w:t>
      </w:r>
      <w:proofErr w:type="spellEnd"/>
      <w:r w:rsidRPr="00DA1D80">
        <w:rPr>
          <w:lang w:eastAsia="ja-JP"/>
        </w:rPr>
        <w:t xml:space="preserve"> and entered patients with defined LDL-C levels, the results provide sufficient information to support </w:t>
      </w:r>
      <w:r>
        <w:rPr>
          <w:lang w:eastAsia="ja-JP"/>
        </w:rPr>
        <w:t xml:space="preserve">the application of the </w:t>
      </w:r>
      <w:r w:rsidRPr="00DA1D80">
        <w:rPr>
          <w:lang w:eastAsia="ja-JP"/>
        </w:rPr>
        <w:t>conclusions to</w:t>
      </w:r>
      <w:r>
        <w:rPr>
          <w:lang w:eastAsia="ja-JP"/>
        </w:rPr>
        <w:t xml:space="preserve"> </w:t>
      </w:r>
      <w:r w:rsidRPr="00DA1D80">
        <w:rPr>
          <w:lang w:eastAsia="ja-JP"/>
        </w:rPr>
        <w:t xml:space="preserve">patients with chronic CHD, those receiving any statin and to </w:t>
      </w:r>
      <w:r>
        <w:rPr>
          <w:lang w:eastAsia="ja-JP"/>
        </w:rPr>
        <w:t>patients</w:t>
      </w:r>
      <w:r w:rsidRPr="00DA1D80">
        <w:rPr>
          <w:lang w:eastAsia="ja-JP"/>
        </w:rPr>
        <w:t xml:space="preserve"> with a broad range of</w:t>
      </w:r>
      <w:r>
        <w:rPr>
          <w:lang w:eastAsia="ja-JP"/>
        </w:rPr>
        <w:t xml:space="preserve"> LDL-C levels</w:t>
      </w:r>
      <w:r w:rsidRPr="00DA1D80">
        <w:rPr>
          <w:lang w:eastAsia="ja-JP"/>
        </w:rPr>
        <w:t>.</w:t>
      </w:r>
      <w:r w:rsidR="00441984">
        <w:rPr>
          <w:lang w:eastAsia="ja-JP"/>
        </w:rPr>
        <w:t xml:space="preserve"> </w:t>
      </w:r>
      <w:r>
        <w:rPr>
          <w:lang w:eastAsia="ja-JP"/>
        </w:rPr>
        <w:t>TGA has evaluated this study in submissions PM-2015-01524-1-3 and PM-2015-01525-1-3, but is yet</w:t>
      </w:r>
      <w:r w:rsidR="004159EC">
        <w:rPr>
          <w:rStyle w:val="FootnoteReference"/>
          <w:lang w:eastAsia="ja-JP"/>
        </w:rPr>
        <w:footnoteReference w:id="2"/>
      </w:r>
      <w:r>
        <w:rPr>
          <w:lang w:eastAsia="ja-JP"/>
        </w:rPr>
        <w:t xml:space="preserve"> to finalise a decision about approval of the req</w:t>
      </w:r>
      <w:r w:rsidR="004159EC">
        <w:rPr>
          <w:lang w:eastAsia="ja-JP"/>
        </w:rPr>
        <w:t>uested extension of indication.</w:t>
      </w:r>
    </w:p>
    <w:p w14:paraId="208367EC" w14:textId="77777777" w:rsidR="009676EE" w:rsidRPr="00497B7F" w:rsidRDefault="009676EE" w:rsidP="009676EE">
      <w:pPr>
        <w:rPr>
          <w:lang w:eastAsia="ja-JP"/>
        </w:rPr>
      </w:pPr>
      <w:r>
        <w:rPr>
          <w:lang w:eastAsia="ja-JP"/>
        </w:rPr>
        <w:t xml:space="preserve">The </w:t>
      </w:r>
      <w:r w:rsidR="004159EC">
        <w:rPr>
          <w:lang w:eastAsia="ja-JP"/>
        </w:rPr>
        <w:t>s</w:t>
      </w:r>
      <w:r>
        <w:rPr>
          <w:lang w:eastAsia="ja-JP"/>
        </w:rPr>
        <w:t>ponsor has relied on extrapolation of these data to support its requested extension of indication for Atozet.</w:t>
      </w:r>
    </w:p>
    <w:p w14:paraId="6C3680EE" w14:textId="77777777" w:rsidR="009676EE" w:rsidRPr="005632DC" w:rsidRDefault="009676EE" w:rsidP="009676EE">
      <w:pPr>
        <w:pStyle w:val="Heading5"/>
      </w:pPr>
      <w:bookmarkStart w:id="64" w:name="_Ref456621840"/>
      <w:r>
        <w:t>Study P04103 (IMPROVE IT)</w:t>
      </w:r>
      <w:bookmarkEnd w:id="64"/>
    </w:p>
    <w:p w14:paraId="01FD0D25" w14:textId="03D4D5B1" w:rsidR="009676EE" w:rsidRDefault="009676EE" w:rsidP="009676EE">
      <w:pPr>
        <w:rPr>
          <w:lang w:eastAsia="ja-JP"/>
        </w:rPr>
      </w:pPr>
      <w:r>
        <w:rPr>
          <w:lang w:eastAsia="ja-JP"/>
        </w:rPr>
        <w:t xml:space="preserve">Study </w:t>
      </w:r>
      <w:r w:rsidRPr="001D3824">
        <w:rPr>
          <w:lang w:eastAsia="ja-JP"/>
        </w:rPr>
        <w:t>P04103</w:t>
      </w:r>
      <w:r>
        <w:rPr>
          <w:lang w:eastAsia="ja-JP"/>
        </w:rPr>
        <w:t xml:space="preserve"> (IMPROVE-IT) was a m</w:t>
      </w:r>
      <w:r w:rsidRPr="001D3824">
        <w:rPr>
          <w:lang w:eastAsia="ja-JP"/>
        </w:rPr>
        <w:t xml:space="preserve">ulticentre, </w:t>
      </w:r>
      <w:r>
        <w:rPr>
          <w:lang w:eastAsia="ja-JP"/>
        </w:rPr>
        <w:t xml:space="preserve">randomised, </w:t>
      </w:r>
      <w:r w:rsidR="002F4627">
        <w:rPr>
          <w:lang w:eastAsia="ja-JP"/>
        </w:rPr>
        <w:t xml:space="preserve">double blind, active </w:t>
      </w:r>
      <w:r w:rsidRPr="001D3824">
        <w:rPr>
          <w:lang w:eastAsia="ja-JP"/>
        </w:rPr>
        <w:t>control</w:t>
      </w:r>
      <w:r>
        <w:rPr>
          <w:lang w:eastAsia="ja-JP"/>
        </w:rPr>
        <w:t>,</w:t>
      </w:r>
      <w:r w:rsidRPr="001D3824">
        <w:rPr>
          <w:lang w:eastAsia="ja-JP"/>
        </w:rPr>
        <w:t xml:space="preserve"> </w:t>
      </w:r>
      <w:r w:rsidR="004159EC">
        <w:rPr>
          <w:lang w:eastAsia="ja-JP"/>
        </w:rPr>
        <w:t xml:space="preserve">Phase </w:t>
      </w:r>
      <w:proofErr w:type="spellStart"/>
      <w:r w:rsidR="004159EC">
        <w:rPr>
          <w:lang w:eastAsia="ja-JP"/>
        </w:rPr>
        <w:t>III</w:t>
      </w:r>
      <w:r>
        <w:rPr>
          <w:lang w:eastAsia="ja-JP"/>
        </w:rPr>
        <w:t>b</w:t>
      </w:r>
      <w:proofErr w:type="spellEnd"/>
      <w:r>
        <w:rPr>
          <w:lang w:eastAsia="ja-JP"/>
        </w:rPr>
        <w:t xml:space="preserve"> </w:t>
      </w:r>
      <w:r w:rsidRPr="001D3824">
        <w:rPr>
          <w:lang w:eastAsia="ja-JP"/>
        </w:rPr>
        <w:t>trial</w:t>
      </w:r>
      <w:r>
        <w:rPr>
          <w:lang w:eastAsia="ja-JP"/>
        </w:rPr>
        <w:t xml:space="preserve"> comparing the efficacy of ezetimibe plus simvastatin and simvastatin monotherapy in high risk subjects with stabilised ACS. The trial had 1147 centres that allocated subjects to study treatments in 39 countries.</w:t>
      </w:r>
    </w:p>
    <w:p w14:paraId="63EE0075" w14:textId="77777777" w:rsidR="009676EE" w:rsidRDefault="009676EE" w:rsidP="009676EE">
      <w:pPr>
        <w:rPr>
          <w:lang w:eastAsia="ja-JP"/>
        </w:rPr>
      </w:pPr>
      <w:r w:rsidRPr="001D3824">
        <w:rPr>
          <w:lang w:eastAsia="ja-JP"/>
        </w:rPr>
        <w:t>The primary objective of th</w:t>
      </w:r>
      <w:r>
        <w:rPr>
          <w:lang w:eastAsia="ja-JP"/>
        </w:rPr>
        <w:t xml:space="preserve">e </w:t>
      </w:r>
      <w:r w:rsidRPr="001D3824">
        <w:rPr>
          <w:lang w:eastAsia="ja-JP"/>
        </w:rPr>
        <w:t>study was to evaluate the clinical benefit</w:t>
      </w:r>
      <w:r>
        <w:rPr>
          <w:lang w:eastAsia="ja-JP"/>
        </w:rPr>
        <w:t xml:space="preserve"> </w:t>
      </w:r>
      <w:r w:rsidRPr="001D3824">
        <w:rPr>
          <w:lang w:eastAsia="ja-JP"/>
        </w:rPr>
        <w:t>of ezetimibe/simvastatin combination compared with simvastatin in</w:t>
      </w:r>
      <w:r>
        <w:rPr>
          <w:lang w:eastAsia="ja-JP"/>
        </w:rPr>
        <w:t xml:space="preserve"> </w:t>
      </w:r>
      <w:r w:rsidRPr="001D3824">
        <w:rPr>
          <w:lang w:eastAsia="ja-JP"/>
        </w:rPr>
        <w:t>stabilized ACS subjects defined as the reduction in the risk of the</w:t>
      </w:r>
      <w:r>
        <w:rPr>
          <w:lang w:eastAsia="ja-JP"/>
        </w:rPr>
        <w:t xml:space="preserve"> </w:t>
      </w:r>
      <w:r w:rsidRPr="001D3824">
        <w:rPr>
          <w:lang w:eastAsia="ja-JP"/>
        </w:rPr>
        <w:t>occurrence of the composite endpoint of CV death, major coronary</w:t>
      </w:r>
      <w:r>
        <w:rPr>
          <w:lang w:eastAsia="ja-JP"/>
        </w:rPr>
        <w:t xml:space="preserve"> </w:t>
      </w:r>
      <w:r w:rsidRPr="001D3824">
        <w:rPr>
          <w:lang w:eastAsia="ja-JP"/>
        </w:rPr>
        <w:t>events, and non-fatal stroke. Major coronary events included non-fatal</w:t>
      </w:r>
      <w:r>
        <w:rPr>
          <w:lang w:eastAsia="ja-JP"/>
        </w:rPr>
        <w:t xml:space="preserve"> </w:t>
      </w:r>
      <w:r w:rsidRPr="001D3824">
        <w:rPr>
          <w:lang w:eastAsia="ja-JP"/>
        </w:rPr>
        <w:t xml:space="preserve">MI, documented </w:t>
      </w:r>
      <w:r>
        <w:rPr>
          <w:lang w:eastAsia="ja-JP"/>
        </w:rPr>
        <w:t>unstable angina (</w:t>
      </w:r>
      <w:r w:rsidRPr="001D3824">
        <w:rPr>
          <w:lang w:eastAsia="ja-JP"/>
        </w:rPr>
        <w:t>UA</w:t>
      </w:r>
      <w:r>
        <w:rPr>
          <w:lang w:eastAsia="ja-JP"/>
        </w:rPr>
        <w:t>)</w:t>
      </w:r>
      <w:r w:rsidRPr="001D3824">
        <w:rPr>
          <w:lang w:eastAsia="ja-JP"/>
        </w:rPr>
        <w:t xml:space="preserve"> that required admission into a hospital, and all</w:t>
      </w:r>
      <w:r>
        <w:rPr>
          <w:lang w:eastAsia="ja-JP"/>
        </w:rPr>
        <w:t xml:space="preserve"> </w:t>
      </w:r>
      <w:r w:rsidRPr="001D3824">
        <w:rPr>
          <w:lang w:eastAsia="ja-JP"/>
        </w:rPr>
        <w:t>coronary revasculari</w:t>
      </w:r>
      <w:r w:rsidR="00F41004">
        <w:rPr>
          <w:lang w:eastAsia="ja-JP"/>
        </w:rPr>
        <w:t>s</w:t>
      </w:r>
      <w:r w:rsidRPr="001D3824">
        <w:rPr>
          <w:lang w:eastAsia="ja-JP"/>
        </w:rPr>
        <w:t>ation with either percutaneous coronary</w:t>
      </w:r>
      <w:r>
        <w:rPr>
          <w:lang w:eastAsia="ja-JP"/>
        </w:rPr>
        <w:t xml:space="preserve"> </w:t>
      </w:r>
      <w:r w:rsidRPr="001D3824">
        <w:rPr>
          <w:lang w:eastAsia="ja-JP"/>
        </w:rPr>
        <w:t>intervention (PCI) or coronary artery bypass grafting (CABG)</w:t>
      </w:r>
      <w:r>
        <w:rPr>
          <w:lang w:eastAsia="ja-JP"/>
        </w:rPr>
        <w:t xml:space="preserve"> </w:t>
      </w:r>
      <w:r w:rsidRPr="001D3824">
        <w:rPr>
          <w:lang w:eastAsia="ja-JP"/>
        </w:rPr>
        <w:t>occurring at least 30 days after randomized treatment assignment.</w:t>
      </w:r>
    </w:p>
    <w:p w14:paraId="3C94754D" w14:textId="77777777" w:rsidR="009676EE" w:rsidRDefault="009676EE" w:rsidP="009676EE">
      <w:pPr>
        <w:keepNext/>
        <w:rPr>
          <w:lang w:eastAsia="ja-JP"/>
        </w:rPr>
      </w:pPr>
      <w:r>
        <w:rPr>
          <w:lang w:eastAsia="ja-JP"/>
        </w:rPr>
        <w:t xml:space="preserve">The study had three secondary objectives evaluating the clinical benefit of </w:t>
      </w:r>
      <w:r w:rsidRPr="00E01A02">
        <w:rPr>
          <w:lang w:eastAsia="ja-JP"/>
        </w:rPr>
        <w:t>ezetimibe/simvastatin combination compared with simvastatin in stabilized ACS subjects on the</w:t>
      </w:r>
      <w:r>
        <w:rPr>
          <w:lang w:eastAsia="ja-JP"/>
        </w:rPr>
        <w:t xml:space="preserve"> following composite endpoints:</w:t>
      </w:r>
    </w:p>
    <w:p w14:paraId="2664F1ED" w14:textId="77777777" w:rsidR="009676EE" w:rsidRPr="007569DC" w:rsidRDefault="009676EE" w:rsidP="007569DC">
      <w:pPr>
        <w:pStyle w:val="ListBullet"/>
      </w:pPr>
      <w:r w:rsidRPr="007569DC">
        <w:t>Death due to any cause, major coronary events, or non-fatal stroke.</w:t>
      </w:r>
    </w:p>
    <w:p w14:paraId="09A1DA9B" w14:textId="0FFFD507" w:rsidR="009676EE" w:rsidRPr="007569DC" w:rsidRDefault="009676EE" w:rsidP="007569DC">
      <w:pPr>
        <w:pStyle w:val="ListBullet"/>
      </w:pPr>
      <w:r w:rsidRPr="007569DC">
        <w:t>Death due to CHD, non-fatal MI, and urgent coronary revascularization (either PCI or CABG occurring</w:t>
      </w:r>
      <w:r w:rsidR="002F4627">
        <w:t xml:space="preserve"> at least 30 days after randomis</w:t>
      </w:r>
      <w:r w:rsidRPr="007569DC">
        <w:t>ation).</w:t>
      </w:r>
    </w:p>
    <w:p w14:paraId="214C270E" w14:textId="58FD58CF" w:rsidR="009676EE" w:rsidRPr="007569DC" w:rsidRDefault="009676EE" w:rsidP="007569DC">
      <w:pPr>
        <w:pStyle w:val="ListBullet"/>
      </w:pPr>
      <w:r w:rsidRPr="007569DC">
        <w:t>CV death, non-fatal myocardial infarction (MI), documented UA that requires admission into a hospital, all rev</w:t>
      </w:r>
      <w:r w:rsidR="002F4627">
        <w:t>ascularis</w:t>
      </w:r>
      <w:r w:rsidRPr="007569DC">
        <w:t>ation (including both coronary and non-coronary) occurring at least 30 days after randomization, and non-fatal stroke.</w:t>
      </w:r>
    </w:p>
    <w:p w14:paraId="01830727" w14:textId="77777777" w:rsidR="009676EE" w:rsidRDefault="009676EE" w:rsidP="009676EE">
      <w:pPr>
        <w:rPr>
          <w:lang w:eastAsia="ja-JP"/>
        </w:rPr>
      </w:pPr>
      <w:r>
        <w:rPr>
          <w:lang w:eastAsia="ja-JP"/>
        </w:rPr>
        <w:t>The study the following tertiary objectives:</w:t>
      </w:r>
    </w:p>
    <w:p w14:paraId="14ACE7E6" w14:textId="77777777" w:rsidR="00FF7EF3" w:rsidRDefault="009676EE" w:rsidP="007569DC">
      <w:pPr>
        <w:pStyle w:val="ListBullet"/>
      </w:pPr>
      <w:r w:rsidRPr="007569DC">
        <w:t>To evaluate the clinical benefit of ezetimibe/simvastatin combination compared with simvastatin in stabili</w:t>
      </w:r>
      <w:r w:rsidR="00F41004">
        <w:t>s</w:t>
      </w:r>
      <w:r w:rsidRPr="007569DC">
        <w:t>ed ACS subjects on each of the following endpoints analysed individually</w:t>
      </w:r>
      <w:r w:rsidR="00FF7EF3">
        <w:t>:</w:t>
      </w:r>
    </w:p>
    <w:p w14:paraId="54144632" w14:textId="7D4D2C64" w:rsidR="009676EE" w:rsidRPr="007569DC" w:rsidRDefault="009676EE" w:rsidP="007569DC">
      <w:pPr>
        <w:pStyle w:val="ListBullet2"/>
      </w:pPr>
      <w:r w:rsidRPr="007569DC">
        <w:t xml:space="preserve">death from any cause </w:t>
      </w:r>
    </w:p>
    <w:p w14:paraId="28D5C717" w14:textId="77777777" w:rsidR="009676EE" w:rsidRPr="007569DC" w:rsidRDefault="009676EE" w:rsidP="007569DC">
      <w:pPr>
        <w:pStyle w:val="ListBullet2"/>
      </w:pPr>
      <w:r w:rsidRPr="007569DC">
        <w:t>CHD death</w:t>
      </w:r>
    </w:p>
    <w:p w14:paraId="2C439420" w14:textId="77777777" w:rsidR="009676EE" w:rsidRPr="007569DC" w:rsidRDefault="009676EE" w:rsidP="007569DC">
      <w:pPr>
        <w:pStyle w:val="ListBullet2"/>
      </w:pPr>
      <w:r w:rsidRPr="007569DC">
        <w:lastRenderedPageBreak/>
        <w:t>CV death</w:t>
      </w:r>
    </w:p>
    <w:p w14:paraId="37965024" w14:textId="77777777" w:rsidR="009676EE" w:rsidRPr="007569DC" w:rsidRDefault="009676EE" w:rsidP="007569DC">
      <w:pPr>
        <w:pStyle w:val="ListBullet2"/>
      </w:pPr>
      <w:r w:rsidRPr="007569DC">
        <w:t>MI</w:t>
      </w:r>
    </w:p>
    <w:p w14:paraId="1C8D379E" w14:textId="77777777" w:rsidR="009676EE" w:rsidRPr="007569DC" w:rsidRDefault="009676EE" w:rsidP="007569DC">
      <w:pPr>
        <w:pStyle w:val="ListBullet2"/>
      </w:pPr>
      <w:r w:rsidRPr="007569DC">
        <w:t>documented UA that requires admission into a hospital</w:t>
      </w:r>
    </w:p>
    <w:p w14:paraId="709B6743" w14:textId="3B4FDD51" w:rsidR="009676EE" w:rsidRPr="007569DC" w:rsidRDefault="00906DB7" w:rsidP="007569DC">
      <w:pPr>
        <w:pStyle w:val="ListBullet2"/>
      </w:pPr>
      <w:r>
        <w:t>all coronary revascularis</w:t>
      </w:r>
      <w:r w:rsidR="009676EE" w:rsidRPr="007569DC">
        <w:t>ation with either PCI or CABG occurring</w:t>
      </w:r>
      <w:r>
        <w:t xml:space="preserve"> at least 30 days after randomis</w:t>
      </w:r>
      <w:r w:rsidR="009676EE" w:rsidRPr="007569DC">
        <w:t>ation</w:t>
      </w:r>
    </w:p>
    <w:p w14:paraId="14D55E64" w14:textId="412A8F08" w:rsidR="009676EE" w:rsidRPr="007569DC" w:rsidRDefault="00906DB7" w:rsidP="007569DC">
      <w:pPr>
        <w:pStyle w:val="ListBullet2"/>
      </w:pPr>
      <w:r>
        <w:t>urgent coronary revascularis</w:t>
      </w:r>
      <w:r w:rsidR="009676EE" w:rsidRPr="007569DC">
        <w:t>ation with either PCI or CABG (occurring</w:t>
      </w:r>
      <w:r>
        <w:t xml:space="preserve"> at least 30 days after randomis</w:t>
      </w:r>
      <w:r w:rsidR="009676EE" w:rsidRPr="007569DC">
        <w:t>ation</w:t>
      </w:r>
    </w:p>
    <w:p w14:paraId="5892EF47" w14:textId="5441BA43" w:rsidR="009676EE" w:rsidRPr="007569DC" w:rsidRDefault="009676EE" w:rsidP="007569DC">
      <w:pPr>
        <w:pStyle w:val="ListBullet2"/>
      </w:pPr>
      <w:r w:rsidRPr="007569DC">
        <w:t>all revascularization (including both coronary and non-coronary) occurring</w:t>
      </w:r>
      <w:r w:rsidR="00906DB7">
        <w:t xml:space="preserve"> at least 30 days after randomis</w:t>
      </w:r>
      <w:r w:rsidRPr="007569DC">
        <w:t>ation</w:t>
      </w:r>
    </w:p>
    <w:p w14:paraId="17F2658A" w14:textId="77777777" w:rsidR="009676EE" w:rsidRPr="007569DC" w:rsidRDefault="009676EE" w:rsidP="007569DC">
      <w:pPr>
        <w:pStyle w:val="ListBullet2"/>
      </w:pPr>
      <w:r w:rsidRPr="007569DC">
        <w:t>stroke</w:t>
      </w:r>
    </w:p>
    <w:p w14:paraId="492E2471" w14:textId="77777777" w:rsidR="009676EE" w:rsidRPr="007569DC" w:rsidRDefault="009676EE" w:rsidP="007569DC">
      <w:pPr>
        <w:pStyle w:val="ListBullet2"/>
      </w:pPr>
      <w:r w:rsidRPr="007569DC">
        <w:t>any cardiovascular event leading to admission into a hospital</w:t>
      </w:r>
    </w:p>
    <w:p w14:paraId="0A38DD91" w14:textId="1185235A" w:rsidR="009676EE" w:rsidRPr="007569DC" w:rsidRDefault="0062348A" w:rsidP="007569DC">
      <w:pPr>
        <w:pStyle w:val="ListBullet2"/>
      </w:pPr>
      <w:r>
        <w:t>CHF that requires hospitalis</w:t>
      </w:r>
      <w:r w:rsidR="009676EE" w:rsidRPr="007569DC">
        <w:t>ation occurring</w:t>
      </w:r>
      <w:r>
        <w:t xml:space="preserve"> at least 30 days after randomis</w:t>
      </w:r>
      <w:r w:rsidR="009676EE" w:rsidRPr="007569DC">
        <w:t>ation</w:t>
      </w:r>
    </w:p>
    <w:p w14:paraId="4298C756" w14:textId="77777777" w:rsidR="009676EE" w:rsidRPr="007569DC" w:rsidRDefault="009676EE" w:rsidP="007569DC">
      <w:pPr>
        <w:pStyle w:val="ListBullet"/>
      </w:pPr>
      <w:r w:rsidRPr="007569DC">
        <w:t xml:space="preserve">To evaluate the proportion of subjects achieving reductions in LDL-C and </w:t>
      </w:r>
      <w:proofErr w:type="spellStart"/>
      <w:r w:rsidRPr="007569DC">
        <w:t>hs</w:t>
      </w:r>
      <w:proofErr w:type="spellEnd"/>
      <w:r w:rsidRPr="007569DC">
        <w:t>-CRP:</w:t>
      </w:r>
    </w:p>
    <w:p w14:paraId="7A2408E7" w14:textId="77777777" w:rsidR="009676EE" w:rsidRPr="007569DC" w:rsidRDefault="009676EE" w:rsidP="007569DC">
      <w:pPr>
        <w:pStyle w:val="ListBullet2"/>
      </w:pPr>
      <w:r w:rsidRPr="007569DC">
        <w:t>To evaluate the percentage of subjects achieving endpoint concentrations of LDL-C of &lt;70 mg/</w:t>
      </w:r>
      <w:proofErr w:type="spellStart"/>
      <w:r w:rsidRPr="007569DC">
        <w:t>dL</w:t>
      </w:r>
      <w:proofErr w:type="spellEnd"/>
      <w:r w:rsidRPr="007569DC">
        <w:t xml:space="preserve"> (&lt;1.8 </w:t>
      </w:r>
      <w:proofErr w:type="spellStart"/>
      <w:r w:rsidRPr="007569DC">
        <w:t>mmol</w:t>
      </w:r>
      <w:proofErr w:type="spellEnd"/>
      <w:r w:rsidRPr="007569DC">
        <w:t xml:space="preserve">/L) and </w:t>
      </w:r>
      <w:proofErr w:type="spellStart"/>
      <w:r w:rsidRPr="007569DC">
        <w:t>hs</w:t>
      </w:r>
      <w:proofErr w:type="spellEnd"/>
      <w:r w:rsidRPr="007569DC">
        <w:t>-CRP of &lt;2.0 mg/L following 1 month and 4 months of treatment with ezetimibe/simvastatin combination compared with simvastatin.</w:t>
      </w:r>
    </w:p>
    <w:p w14:paraId="53767DE1" w14:textId="77777777" w:rsidR="009676EE" w:rsidRPr="007569DC" w:rsidRDefault="009676EE" w:rsidP="007569DC">
      <w:pPr>
        <w:pStyle w:val="ListBullet2"/>
      </w:pPr>
      <w:r w:rsidRPr="007569DC">
        <w:t>To evaluate the potential relationship between the risk of occurrence of any primary endpoint event and the concentrations of LDL-C and high sensitivity-C-reactive protein (</w:t>
      </w:r>
      <w:proofErr w:type="spellStart"/>
      <w:r w:rsidRPr="007569DC">
        <w:t>hs</w:t>
      </w:r>
      <w:proofErr w:type="spellEnd"/>
      <w:r w:rsidRPr="007569DC">
        <w:t>-CRP) following 1 month and 4 months of treatment with ezetimibe/simvastatin combination or simvastatin.</w:t>
      </w:r>
    </w:p>
    <w:p w14:paraId="03C7F33D" w14:textId="77777777" w:rsidR="009676EE" w:rsidRPr="007569DC" w:rsidRDefault="009676EE" w:rsidP="007569DC">
      <w:pPr>
        <w:pStyle w:val="ListBullet"/>
      </w:pPr>
      <w:r w:rsidRPr="007569DC">
        <w:t>To evaluate the safety and tolerability of ezetimibe/simvastatin combination compared with simvastatin.</w:t>
      </w:r>
    </w:p>
    <w:p w14:paraId="28CB1E1D" w14:textId="77777777" w:rsidR="009676EE" w:rsidRDefault="009676EE" w:rsidP="009676EE">
      <w:pPr>
        <w:rPr>
          <w:lang w:eastAsia="ja-JP"/>
        </w:rPr>
      </w:pPr>
      <w:r>
        <w:rPr>
          <w:lang w:eastAsia="ja-JP"/>
        </w:rPr>
        <w:t>The study included the additional pre-specified exploratory analyses:</w:t>
      </w:r>
    </w:p>
    <w:p w14:paraId="134F05CC" w14:textId="77777777" w:rsidR="009676EE" w:rsidRPr="007569DC" w:rsidRDefault="009676EE" w:rsidP="007569DC">
      <w:pPr>
        <w:pStyle w:val="ListBullet"/>
      </w:pPr>
      <w:r w:rsidRPr="007569DC">
        <w:rPr>
          <w:rFonts w:hint="eastAsia"/>
        </w:rPr>
        <w:t>Composite of CV death, non-fatal MI, and non-fatal Stroke</w:t>
      </w:r>
    </w:p>
    <w:p w14:paraId="599E0C9E" w14:textId="77777777" w:rsidR="009676EE" w:rsidRPr="007569DC" w:rsidRDefault="009676EE" w:rsidP="007569DC">
      <w:pPr>
        <w:pStyle w:val="ListBullet"/>
      </w:pPr>
      <w:r w:rsidRPr="007569DC">
        <w:rPr>
          <w:rFonts w:hint="eastAsia"/>
        </w:rPr>
        <w:t>Composite of coronary death, MI, and coronary revascularization</w:t>
      </w:r>
    </w:p>
    <w:p w14:paraId="1F56FB5E" w14:textId="77777777" w:rsidR="009676EE" w:rsidRPr="007569DC" w:rsidRDefault="009676EE" w:rsidP="007569DC">
      <w:pPr>
        <w:pStyle w:val="ListBullet"/>
      </w:pPr>
      <w:r w:rsidRPr="007569DC">
        <w:rPr>
          <w:rFonts w:hint="eastAsia"/>
        </w:rPr>
        <w:t>Composite of CHD Death or Non-fatal MI</w:t>
      </w:r>
    </w:p>
    <w:p w14:paraId="66F60330" w14:textId="77777777" w:rsidR="009676EE" w:rsidRPr="007569DC" w:rsidRDefault="009676EE" w:rsidP="007569DC">
      <w:pPr>
        <w:pStyle w:val="ListBullet"/>
      </w:pPr>
      <w:r w:rsidRPr="007569DC">
        <w:rPr>
          <w:rFonts w:hint="eastAsia"/>
        </w:rPr>
        <w:t>Composite of Cardiovascular Death or Non-fatal MI</w:t>
      </w:r>
    </w:p>
    <w:p w14:paraId="06E53191" w14:textId="77777777" w:rsidR="007569DC" w:rsidRPr="00300796" w:rsidRDefault="007569DC" w:rsidP="007569DC">
      <w:pPr>
        <w:pStyle w:val="Heading5"/>
      </w:pPr>
      <w:bookmarkStart w:id="65" w:name="_Toc463011288"/>
      <w:r w:rsidRPr="00300796">
        <w:t>Other efficacy studies</w:t>
      </w:r>
      <w:bookmarkEnd w:id="65"/>
    </w:p>
    <w:p w14:paraId="21AB3516" w14:textId="77777777" w:rsidR="007569DC" w:rsidRDefault="007569DC" w:rsidP="007569DC">
      <w:pPr>
        <w:rPr>
          <w:lang w:eastAsia="ja-JP"/>
        </w:rPr>
      </w:pPr>
      <w:r>
        <w:rPr>
          <w:lang w:eastAsia="ja-JP"/>
        </w:rPr>
        <w:t>There were 147 literature references. These articles were not individually analysed as this was not a literature based submission. References were checked for consistency with the results reported in the submission where relevant.</w:t>
      </w:r>
    </w:p>
    <w:p w14:paraId="40204351" w14:textId="77777777" w:rsidR="008E7846" w:rsidRDefault="00605AD4" w:rsidP="00605AD4">
      <w:pPr>
        <w:pStyle w:val="Heading4"/>
      </w:pPr>
      <w:r>
        <w:t>Evaluator’s conclusions on efficacy</w:t>
      </w:r>
    </w:p>
    <w:p w14:paraId="2E12C908" w14:textId="77777777" w:rsidR="00FF7EF3" w:rsidRDefault="0062348A" w:rsidP="007569DC">
      <w:pPr>
        <w:rPr>
          <w:lang w:eastAsia="ja-JP"/>
        </w:rPr>
      </w:pPr>
      <w:r>
        <w:rPr>
          <w:lang w:eastAsia="ja-JP"/>
        </w:rPr>
        <w:t>The s</w:t>
      </w:r>
      <w:r w:rsidR="007569DC">
        <w:rPr>
          <w:lang w:eastAsia="ja-JP"/>
        </w:rPr>
        <w:t>ponsor has not submitted any data to support the efficacy of atorvastatin with ezetimibe for the proposed indication but has relied on the clinical evidence th</w:t>
      </w:r>
      <w:r>
        <w:rPr>
          <w:lang w:eastAsia="ja-JP"/>
        </w:rPr>
        <w:t>at relates to simvastatin. The s</w:t>
      </w:r>
      <w:r w:rsidR="007569DC">
        <w:rPr>
          <w:lang w:eastAsia="ja-JP"/>
        </w:rPr>
        <w:t>ponsor has requested the same indication requested for simvastatin/ezetimibe and ezetimibe in submissions PM-2015-01524-1-3 and PM-2015-01525-1-3 be extrapolated to Atozet products.</w:t>
      </w:r>
      <w:r w:rsidR="007569DC" w:rsidRPr="00AA6087">
        <w:rPr>
          <w:lang w:eastAsia="ja-JP"/>
        </w:rPr>
        <w:t xml:space="preserve"> </w:t>
      </w:r>
      <w:r>
        <w:rPr>
          <w:lang w:eastAsia="ja-JP"/>
        </w:rPr>
        <w:t>The s</w:t>
      </w:r>
      <w:r w:rsidR="007569DC">
        <w:rPr>
          <w:lang w:eastAsia="ja-JP"/>
        </w:rPr>
        <w:t>ponsor has relied heavily on the similar mechanism of action of statins to support the extrapolation of results from the IMPROVE-IT study to Atozet.</w:t>
      </w:r>
      <w:r w:rsidR="007569DC" w:rsidRPr="00AA6087">
        <w:rPr>
          <w:lang w:eastAsia="ja-JP"/>
        </w:rPr>
        <w:t xml:space="preserve"> </w:t>
      </w:r>
      <w:r w:rsidR="007569DC">
        <w:rPr>
          <w:lang w:eastAsia="ja-JP"/>
        </w:rPr>
        <w:t>A comparison of the efficacy of simvastatin and atorvastatin in lowering cardiovascular event rates has not been included in the submission. It is therefore difficult to confirm that the outcome would be similar if atorvastatin were sub</w:t>
      </w:r>
      <w:r>
        <w:rPr>
          <w:lang w:eastAsia="ja-JP"/>
        </w:rPr>
        <w:t>stituted for simvastatin. While</w:t>
      </w:r>
      <w:r w:rsidR="007569DC">
        <w:rPr>
          <w:lang w:eastAsia="ja-JP"/>
        </w:rPr>
        <w:t xml:space="preserve"> statins have the same mechanism of action, they have </w:t>
      </w:r>
      <w:r w:rsidR="007569DC">
        <w:rPr>
          <w:lang w:eastAsia="ja-JP"/>
        </w:rPr>
        <w:lastRenderedPageBreak/>
        <w:t xml:space="preserve">different efficacy and safety profiles as demonstrated by the difference in approved indications and adverse event profiles. The statin </w:t>
      </w:r>
      <w:proofErr w:type="spellStart"/>
      <w:r w:rsidR="007569DC">
        <w:rPr>
          <w:lang w:eastAsia="ja-JP"/>
        </w:rPr>
        <w:t>cerivastatin</w:t>
      </w:r>
      <w:proofErr w:type="spellEnd"/>
      <w:r w:rsidR="007569DC">
        <w:rPr>
          <w:lang w:eastAsia="ja-JP"/>
        </w:rPr>
        <w:t xml:space="preserve"> was withdrawn from sale worldwide due to concerns that severe muscle effects were more common with </w:t>
      </w:r>
      <w:proofErr w:type="spellStart"/>
      <w:r w:rsidR="007569DC">
        <w:rPr>
          <w:lang w:eastAsia="ja-JP"/>
        </w:rPr>
        <w:t>cerivastatin</w:t>
      </w:r>
      <w:proofErr w:type="spellEnd"/>
      <w:r w:rsidR="007569DC">
        <w:rPr>
          <w:lang w:eastAsia="ja-JP"/>
        </w:rPr>
        <w:t xml:space="preserve"> than other statins. Due to these differences in efficacy and safety it is not possible to extrapolate the results from one study involving one statin to all statins. It is important that the claims for each statin be assessed individually</w:t>
      </w:r>
      <w:r w:rsidR="00FF7EF3">
        <w:rPr>
          <w:lang w:eastAsia="ja-JP"/>
        </w:rPr>
        <w:t>.</w:t>
      </w:r>
    </w:p>
    <w:p w14:paraId="4EBB7AF0" w14:textId="7F279F2F" w:rsidR="007569DC" w:rsidRDefault="007569DC" w:rsidP="007569DC">
      <w:pPr>
        <w:rPr>
          <w:lang w:eastAsia="ja-JP"/>
        </w:rPr>
      </w:pPr>
      <w:r>
        <w:rPr>
          <w:lang w:eastAsia="ja-JP"/>
        </w:rPr>
        <w:t>The TGA adopted EU guideli</w:t>
      </w:r>
      <w:r w:rsidR="00A51670">
        <w:rPr>
          <w:lang w:eastAsia="ja-JP"/>
        </w:rPr>
        <w:t>ne (</w:t>
      </w:r>
      <w:r w:rsidRPr="00244FCD">
        <w:rPr>
          <w:lang w:eastAsia="ja-JP"/>
        </w:rPr>
        <w:t xml:space="preserve">Points to Consider on Application with 1. </w:t>
      </w:r>
      <w:proofErr w:type="gramStart"/>
      <w:r w:rsidRPr="00244FCD">
        <w:rPr>
          <w:lang w:eastAsia="ja-JP"/>
        </w:rPr>
        <w:t>Meta-Analyses; 2.</w:t>
      </w:r>
      <w:proofErr w:type="gramEnd"/>
      <w:r w:rsidRPr="00244FCD">
        <w:rPr>
          <w:lang w:eastAsia="ja-JP"/>
        </w:rPr>
        <w:t xml:space="preserve"> On</w:t>
      </w:r>
      <w:r w:rsidR="00A51670">
        <w:rPr>
          <w:lang w:eastAsia="ja-JP"/>
        </w:rPr>
        <w:t>e Pivotal Study CPMP/EWP/2330/99)</w:t>
      </w:r>
      <w:r>
        <w:rPr>
          <w:lang w:eastAsia="ja-JP"/>
        </w:rPr>
        <w:t xml:space="preserve"> state</w:t>
      </w:r>
      <w:r w:rsidR="00A51670">
        <w:rPr>
          <w:lang w:eastAsia="ja-JP"/>
        </w:rPr>
        <w:t>s</w:t>
      </w:r>
      <w:r>
        <w:rPr>
          <w:lang w:eastAsia="ja-JP"/>
        </w:rPr>
        <w:t xml:space="preserve"> that where confirmatory evidence is provided by one pivotal study only:</w:t>
      </w:r>
    </w:p>
    <w:p w14:paraId="096825A7" w14:textId="77777777" w:rsidR="007569DC" w:rsidRDefault="007569DC" w:rsidP="007569DC">
      <w:pPr>
        <w:ind w:left="720"/>
        <w:rPr>
          <w:i/>
          <w:lang w:eastAsia="ja-JP"/>
        </w:rPr>
      </w:pPr>
      <w:r>
        <w:rPr>
          <w:i/>
          <w:lang w:eastAsia="ja-JP"/>
        </w:rPr>
        <w:t>In the exceptional event of a submission with only one pivotal study, this has to be particularly compelling with respect to internal and external validity, clinical relevance, statistical significance, data quality and internal consistency.</w:t>
      </w:r>
    </w:p>
    <w:p w14:paraId="079DD926" w14:textId="77777777" w:rsidR="00FF7EF3" w:rsidRDefault="007569DC" w:rsidP="007569DC">
      <w:pPr>
        <w:rPr>
          <w:lang w:eastAsia="ja-JP"/>
        </w:rPr>
      </w:pPr>
      <w:r>
        <w:rPr>
          <w:lang w:eastAsia="ja-JP"/>
        </w:rPr>
        <w:t>The IMPROVE-IT study did not examine the effect of ezetimibe/atorvastatin on cardiovascular risk and therefore does not meet the external validity criteria as the results cannot be generalised to a different statin. The clinical relevance of the observed benefit is unclear as the number needed to treat has not been stated and the study population has been selected to exclude patients with LDL-C levels above a certain threshold and those who were not responsive to treatment. In addition, the subgroup analysis did not identify a significant reduction in the occurrence of the primary composite endpoint with ezetimibe/simvastatin therapy for male patients despite a high proportion of male patients included in the study. This may indicate a lack of internal consistency. In conclusion, the criteria outlined in the EU guidelines regarding the submission of a single pivotal study have not been met and the results of the IMPROVE-IT study are not considered compelling</w:t>
      </w:r>
      <w:r w:rsidR="00FF7EF3">
        <w:rPr>
          <w:lang w:eastAsia="ja-JP"/>
        </w:rPr>
        <w:t>.</w:t>
      </w:r>
    </w:p>
    <w:p w14:paraId="734DB28A" w14:textId="21B71498" w:rsidR="007569DC" w:rsidRDefault="0092160C" w:rsidP="007569DC">
      <w:pPr>
        <w:rPr>
          <w:lang w:eastAsia="ja-JP"/>
        </w:rPr>
      </w:pPr>
      <w:r>
        <w:rPr>
          <w:lang w:eastAsia="ja-JP"/>
        </w:rPr>
        <w:t>The s</w:t>
      </w:r>
      <w:r w:rsidR="007569DC">
        <w:rPr>
          <w:lang w:eastAsia="ja-JP"/>
        </w:rPr>
        <w:t>ponsor has proposed that the new indication be applied to all strengths of Atozet</w:t>
      </w:r>
      <w:r w:rsidR="007569DC" w:rsidRPr="00AA6087">
        <w:rPr>
          <w:lang w:eastAsia="ja-JP"/>
        </w:rPr>
        <w:t xml:space="preserve"> </w:t>
      </w:r>
      <w:r w:rsidR="007569DC">
        <w:rPr>
          <w:lang w:eastAsia="ja-JP"/>
        </w:rPr>
        <w:t>without providing a supporting justification. The strength of atorvastatin in Atozet products range between 10-80</w:t>
      </w:r>
      <w:r w:rsidR="00E649FC">
        <w:rPr>
          <w:lang w:eastAsia="ja-JP"/>
        </w:rPr>
        <w:t xml:space="preserve"> </w:t>
      </w:r>
      <w:r w:rsidR="007569DC">
        <w:rPr>
          <w:lang w:eastAsia="ja-JP"/>
        </w:rPr>
        <w:t xml:space="preserve">mg and the proposed dosage instructions for this indication imply that Atozet is efficacious at preventing cardiovascular events across the entire dosage range. However, no data has been submitted to support the efficacy of any dose of atorvastatin with ezetimibe in preventing cardiovascular events. In the IMPROVE-IT study patients were commenced on 40mg simvastatin and were </w:t>
      </w:r>
      <w:proofErr w:type="spellStart"/>
      <w:r w:rsidR="007569DC">
        <w:rPr>
          <w:lang w:eastAsia="ja-JP"/>
        </w:rPr>
        <w:t>uptitrated</w:t>
      </w:r>
      <w:proofErr w:type="spellEnd"/>
      <w:r w:rsidR="007569DC">
        <w:rPr>
          <w:lang w:eastAsia="ja-JP"/>
        </w:rPr>
        <w:t xml:space="preserve"> to 80mg as required regardless of whether they were on ezetimibe. Changes to the simvastatin prescribing information, prompted dose restrictions on simvastatin as outlined in Protocol Amendment 5 to IMPROVE-IT. No additional subjects were to have their simvastatin dose increased to 80 mg and subjects taking the simvastatin dose of 80 mg for less than 12 months were to have their dose decreased to 40 mg. As a result, the majority of the study participants received either ezetimibe or ezetimibe and simvastatin 40 mg and only a small proportion of the study population re</w:t>
      </w:r>
      <w:r>
        <w:rPr>
          <w:lang w:eastAsia="ja-JP"/>
        </w:rPr>
        <w:t>ceived the 80 mg</w:t>
      </w:r>
      <w:r w:rsidR="007569DC">
        <w:rPr>
          <w:lang w:eastAsia="ja-JP"/>
        </w:rPr>
        <w:t xml:space="preserve"> simvastatin dose. It is therefore difficult to extrapolate the results of the study to other doses of simvastatin and then further extrapolate to all doses of atorvastatin. The effect of the various combinations on cardiovascular outcome is potentially related to LDL-C levels but it has not been demonstrated that a higher statin dose has any further incremental benefit in cardiovascular outcome. In addition, there is the potential that a higher statin dose could increase adverse events or lead to a higher drop-out rate that could offset any potential cardiovascular benefit in this population. It is possible that at th</w:t>
      </w:r>
      <w:r>
        <w:rPr>
          <w:lang w:eastAsia="ja-JP"/>
        </w:rPr>
        <w:t xml:space="preserve">e lower atorvastatin doses (for example, </w:t>
      </w:r>
      <w:r w:rsidR="007569DC">
        <w:rPr>
          <w:lang w:eastAsia="ja-JP"/>
        </w:rPr>
        <w:t>10</w:t>
      </w:r>
      <w:r>
        <w:rPr>
          <w:lang w:eastAsia="ja-JP"/>
        </w:rPr>
        <w:t xml:space="preserve"> </w:t>
      </w:r>
      <w:r w:rsidR="007569DC">
        <w:rPr>
          <w:lang w:eastAsia="ja-JP"/>
        </w:rPr>
        <w:t>mg) the effect of Atozet on the risk of cardiovascular events is not clinically or statistically significant. Therefore, the effect on cardiovascular outcome cannot be extrapolated to all strengths of the ezetimibe/simvastatin combination product and then to all strengths of the Atozet products.</w:t>
      </w:r>
    </w:p>
    <w:p w14:paraId="165EB40A" w14:textId="77777777" w:rsidR="00FF7EF3" w:rsidRDefault="007569DC" w:rsidP="007569DC">
      <w:pPr>
        <w:rPr>
          <w:lang w:eastAsia="ja-JP"/>
        </w:rPr>
      </w:pPr>
      <w:r>
        <w:rPr>
          <w:lang w:eastAsia="ja-JP"/>
        </w:rPr>
        <w:t xml:space="preserve">The IMPROVE-IT study excluded patients with LDL-C levels above a certain threshold and patients who did not achieve adequate LDL-C control were withdrawn from the study. The criteria for withdrawal based on LDL-C levels were modified as part of Protocol </w:t>
      </w:r>
      <w:r w:rsidR="00954150">
        <w:rPr>
          <w:lang w:eastAsia="ja-JP"/>
        </w:rPr>
        <w:lastRenderedPageBreak/>
        <w:t>A</w:t>
      </w:r>
      <w:r>
        <w:rPr>
          <w:lang w:eastAsia="ja-JP"/>
        </w:rPr>
        <w:t>mendment 5. A total of 149 patients were withdrawn du</w:t>
      </w:r>
      <w:r w:rsidR="00954150">
        <w:rPr>
          <w:lang w:eastAsia="ja-JP"/>
        </w:rPr>
        <w:t xml:space="preserve">e to LDL-C levels. While </w:t>
      </w:r>
      <w:r>
        <w:rPr>
          <w:lang w:eastAsia="ja-JP"/>
        </w:rPr>
        <w:t>it would not be ethical to continue ineffective treatment, these limitations on the study population may have introduced bias by selecting the patients most likely to respond to treatment and therefore reduce the generalizability of the study</w:t>
      </w:r>
      <w:r w:rsidR="00FF7EF3">
        <w:rPr>
          <w:lang w:eastAsia="ja-JP"/>
        </w:rPr>
        <w:t>.</w:t>
      </w:r>
    </w:p>
    <w:p w14:paraId="28CE2A67" w14:textId="4DA036AF" w:rsidR="007569DC" w:rsidRDefault="007569DC" w:rsidP="007569DC">
      <w:pPr>
        <w:rPr>
          <w:lang w:eastAsia="ja-JP"/>
        </w:rPr>
      </w:pPr>
      <w:r w:rsidRPr="009C5E63">
        <w:rPr>
          <w:lang w:eastAsia="ja-JP"/>
        </w:rPr>
        <w:t xml:space="preserve">The result for the primary composite endpoint found a </w:t>
      </w:r>
      <w:r>
        <w:rPr>
          <w:lang w:eastAsia="ja-JP"/>
        </w:rPr>
        <w:t>modest</w:t>
      </w:r>
      <w:r w:rsidRPr="009C5E63">
        <w:rPr>
          <w:lang w:eastAsia="ja-JP"/>
        </w:rPr>
        <w:t xml:space="preserve"> relative risk reduction in the primary efficacy endpoint compared to treatment with simvastatin monotherapy. However, the results were not suggestive of a reduction in the risk </w:t>
      </w:r>
      <w:r>
        <w:rPr>
          <w:lang w:eastAsia="ja-JP"/>
        </w:rPr>
        <w:t>across</w:t>
      </w:r>
      <w:r w:rsidRPr="009C5E63">
        <w:rPr>
          <w:lang w:eastAsia="ja-JP"/>
        </w:rPr>
        <w:t xml:space="preserve"> all the composite endpoints. </w:t>
      </w:r>
      <w:r>
        <w:rPr>
          <w:lang w:eastAsia="ja-JP"/>
        </w:rPr>
        <w:t xml:space="preserve">The </w:t>
      </w:r>
      <w:r w:rsidRPr="009C5E63">
        <w:rPr>
          <w:lang w:eastAsia="ja-JP"/>
        </w:rPr>
        <w:t>rate</w:t>
      </w:r>
      <w:r>
        <w:rPr>
          <w:lang w:eastAsia="ja-JP"/>
        </w:rPr>
        <w:t>s</w:t>
      </w:r>
      <w:r w:rsidRPr="009C5E63">
        <w:rPr>
          <w:lang w:eastAsia="ja-JP"/>
        </w:rPr>
        <w:t xml:space="preserve"> of CV death and documented UA requiring hospitalisation </w:t>
      </w:r>
      <w:r>
        <w:rPr>
          <w:lang w:eastAsia="ja-JP"/>
        </w:rPr>
        <w:t xml:space="preserve">were slightly higher </w:t>
      </w:r>
      <w:r w:rsidRPr="009C5E63">
        <w:rPr>
          <w:lang w:eastAsia="ja-JP"/>
        </w:rPr>
        <w:t>in the ezetimibe/simvastatin group compared to the simvastatin monotherapy group. The benefits observed for the composite primary efficacy outcome appear to be due to reductions in non-fatal MI and non-fatal stroke.</w:t>
      </w:r>
    </w:p>
    <w:p w14:paraId="083D8C16" w14:textId="77777777" w:rsidR="008E7846" w:rsidRPr="002E238E" w:rsidRDefault="008E7846" w:rsidP="008E7846">
      <w:pPr>
        <w:pStyle w:val="Heading3"/>
      </w:pPr>
      <w:bookmarkStart w:id="66" w:name="_Toc163441378"/>
      <w:bookmarkStart w:id="67" w:name="_Toc196046495"/>
      <w:bookmarkStart w:id="68" w:name="_Toc247691522"/>
      <w:bookmarkStart w:id="69" w:name="_Toc314842505"/>
      <w:bookmarkStart w:id="70" w:name="_Toc484783883"/>
      <w:bookmarkEnd w:id="60"/>
      <w:bookmarkEnd w:id="61"/>
      <w:bookmarkEnd w:id="62"/>
      <w:bookmarkEnd w:id="63"/>
      <w:r w:rsidRPr="002E238E">
        <w:t>Safety</w:t>
      </w:r>
      <w:bookmarkEnd w:id="66"/>
      <w:bookmarkEnd w:id="67"/>
      <w:bookmarkEnd w:id="68"/>
      <w:bookmarkEnd w:id="69"/>
      <w:bookmarkEnd w:id="70"/>
    </w:p>
    <w:p w14:paraId="3C33D33A" w14:textId="77777777" w:rsidR="00605AD4" w:rsidRDefault="00605AD4" w:rsidP="00605AD4">
      <w:pPr>
        <w:pStyle w:val="Heading4"/>
      </w:pPr>
      <w:bookmarkStart w:id="71" w:name="_Toc247691524"/>
      <w:bookmarkStart w:id="72" w:name="_Toc314842508"/>
      <w:bookmarkStart w:id="73" w:name="_Toc196046504"/>
      <w:bookmarkStart w:id="74" w:name="_Toc163441390"/>
      <w:r w:rsidRPr="00605AD4">
        <w:t>Studies providing safety data</w:t>
      </w:r>
    </w:p>
    <w:p w14:paraId="2B3B2A7E" w14:textId="77777777" w:rsidR="00E649FC" w:rsidRPr="00C3572A" w:rsidRDefault="00E649FC" w:rsidP="00E649FC">
      <w:pPr>
        <w:pStyle w:val="Heading5"/>
      </w:pPr>
      <w:bookmarkStart w:id="75" w:name="_Toc421005275"/>
      <w:bookmarkStart w:id="76" w:name="_Toc432079157"/>
      <w:bookmarkStart w:id="77" w:name="_Toc432080730"/>
      <w:r>
        <w:t>P</w:t>
      </w:r>
      <w:r w:rsidRPr="00C3572A">
        <w:t>ivotal studies that assessed safety as the sole primary outcome</w:t>
      </w:r>
      <w:bookmarkEnd w:id="75"/>
      <w:bookmarkEnd w:id="76"/>
      <w:bookmarkEnd w:id="77"/>
    </w:p>
    <w:p w14:paraId="17D9F61F" w14:textId="77777777" w:rsidR="00E649FC" w:rsidRDefault="00E649FC" w:rsidP="00E649FC">
      <w:pPr>
        <w:rPr>
          <w:lang w:eastAsia="ja-JP"/>
        </w:rPr>
      </w:pPr>
      <w:bookmarkStart w:id="78" w:name="_Ref268776745"/>
      <w:bookmarkStart w:id="79" w:name="_Toc421005276"/>
      <w:bookmarkStart w:id="80" w:name="_Toc432079158"/>
      <w:bookmarkStart w:id="81" w:name="_Toc432080731"/>
      <w:r>
        <w:rPr>
          <w:lang w:eastAsia="ja-JP"/>
        </w:rPr>
        <w:t>No studies were submitted that assessed safety as the sole primary outcome.</w:t>
      </w:r>
    </w:p>
    <w:p w14:paraId="1FC3CEA4" w14:textId="77777777" w:rsidR="00E649FC" w:rsidRPr="00545B14" w:rsidRDefault="00E649FC" w:rsidP="00E649FC">
      <w:pPr>
        <w:pStyle w:val="Heading5"/>
      </w:pPr>
      <w:r w:rsidRPr="00545B14">
        <w:t xml:space="preserve">Pivotal </w:t>
      </w:r>
      <w:r>
        <w:t xml:space="preserve">and/or main </w:t>
      </w:r>
      <w:r w:rsidRPr="00545B14">
        <w:t>efficacy studies</w:t>
      </w:r>
      <w:bookmarkEnd w:id="78"/>
      <w:bookmarkEnd w:id="79"/>
      <w:bookmarkEnd w:id="80"/>
      <w:bookmarkEnd w:id="81"/>
    </w:p>
    <w:p w14:paraId="52DF9546" w14:textId="77777777" w:rsidR="00FF7EF3" w:rsidRDefault="00E649FC" w:rsidP="00E649FC">
      <w:pPr>
        <w:rPr>
          <w:lang w:eastAsia="ja-JP"/>
        </w:rPr>
      </w:pPr>
      <w:bookmarkStart w:id="82" w:name="_Toc421005277"/>
      <w:bookmarkStart w:id="83" w:name="_Toc432079159"/>
      <w:bookmarkStart w:id="84" w:name="_Toc432080732"/>
      <w:r>
        <w:rPr>
          <w:lang w:eastAsia="ja-JP"/>
        </w:rPr>
        <w:t xml:space="preserve">The IMPROVE-IT study was designed to </w:t>
      </w:r>
      <w:r w:rsidRPr="00E47344">
        <w:rPr>
          <w:lang w:eastAsia="ja-JP"/>
        </w:rPr>
        <w:t>evaluate the safety and tolera</w:t>
      </w:r>
      <w:r>
        <w:rPr>
          <w:lang w:eastAsia="ja-JP"/>
        </w:rPr>
        <w:t xml:space="preserve">bility of ezetimibe/simvastatin </w:t>
      </w:r>
      <w:r w:rsidRPr="00E47344">
        <w:rPr>
          <w:lang w:eastAsia="ja-JP"/>
        </w:rPr>
        <w:t>combination compared with simvastatin.</w:t>
      </w:r>
      <w:r>
        <w:rPr>
          <w:lang w:eastAsia="ja-JP"/>
        </w:rPr>
        <w:t xml:space="preserve"> This study did not include patients taking atorvastatin or ezetimibe/atorvastatin</w:t>
      </w:r>
      <w:r w:rsidR="00FF7EF3">
        <w:rPr>
          <w:lang w:eastAsia="ja-JP"/>
        </w:rPr>
        <w:t>.</w:t>
      </w:r>
    </w:p>
    <w:p w14:paraId="36298364" w14:textId="4A2D9CA7" w:rsidR="00E649FC" w:rsidRPr="000F0FF1" w:rsidRDefault="00E649FC" w:rsidP="00E649FC">
      <w:pPr>
        <w:rPr>
          <w:lang w:eastAsia="ja-JP"/>
        </w:rPr>
      </w:pPr>
      <w:r w:rsidRPr="003A1B3F">
        <w:rPr>
          <w:lang w:eastAsia="ja-JP"/>
        </w:rPr>
        <w:t>Safety variables assessed included safety laboratory tests (including liver function tests and</w:t>
      </w:r>
      <w:r>
        <w:rPr>
          <w:lang w:eastAsia="ja-JP"/>
        </w:rPr>
        <w:t xml:space="preserve"> </w:t>
      </w:r>
      <w:r w:rsidRPr="003A1B3F">
        <w:rPr>
          <w:lang w:eastAsia="ja-JP"/>
        </w:rPr>
        <w:t>CK levels), physical examinations, adverse events, and clinic evaluations.</w:t>
      </w:r>
      <w:r>
        <w:rPr>
          <w:lang w:eastAsia="ja-JP"/>
        </w:rPr>
        <w:t xml:space="preserve"> Safety analyses were based on the ITT population. The protocol did not require the reporting of AEs that occurred more than 30 days after permanent discontinuation of the study drug unless they were considered AEs of special interest. The study included an analysis of all AEs, treatment related AEs, serious adverse events (SAEs), AEs leading to discontinuation of treatment and t</w:t>
      </w:r>
      <w:r w:rsidRPr="000F0FF1">
        <w:rPr>
          <w:lang w:eastAsia="ja-JP"/>
        </w:rPr>
        <w:t>he following</w:t>
      </w:r>
      <w:r>
        <w:rPr>
          <w:lang w:eastAsia="ja-JP"/>
        </w:rPr>
        <w:t xml:space="preserve"> AEs</w:t>
      </w:r>
      <w:r w:rsidRPr="000F0FF1">
        <w:rPr>
          <w:lang w:eastAsia="ja-JP"/>
        </w:rPr>
        <w:t xml:space="preserve"> of Special Interest:</w:t>
      </w:r>
    </w:p>
    <w:p w14:paraId="71A265F9" w14:textId="331F3F23" w:rsidR="00E649FC" w:rsidRPr="00E649FC" w:rsidRDefault="00E649FC" w:rsidP="00E649FC">
      <w:pPr>
        <w:pStyle w:val="ListBullet"/>
      </w:pPr>
      <w:r w:rsidRPr="00E649FC">
        <w:t>Defined increases in AST, ALT</w:t>
      </w:r>
      <w:r w:rsidR="00B86B18">
        <w:t>;</w:t>
      </w:r>
    </w:p>
    <w:p w14:paraId="7E2EE8B4" w14:textId="50C5FE8D" w:rsidR="00E649FC" w:rsidRPr="00E649FC" w:rsidRDefault="00E649FC" w:rsidP="00E649FC">
      <w:pPr>
        <w:pStyle w:val="ListBullet"/>
      </w:pPr>
      <w:r w:rsidRPr="00E649FC">
        <w:t>Defined increases in CK</w:t>
      </w:r>
      <w:r w:rsidR="00B86B18">
        <w:t>;</w:t>
      </w:r>
    </w:p>
    <w:p w14:paraId="68A24D48" w14:textId="56C34315" w:rsidR="00E649FC" w:rsidRPr="00E649FC" w:rsidRDefault="00E649FC" w:rsidP="00E649FC">
      <w:pPr>
        <w:pStyle w:val="ListBullet"/>
      </w:pPr>
      <w:r w:rsidRPr="00E649FC">
        <w:t>All AEs reflective of gallbladder-disease</w:t>
      </w:r>
      <w:r w:rsidR="00B86B18">
        <w:t>;</w:t>
      </w:r>
    </w:p>
    <w:p w14:paraId="357BA1CB" w14:textId="1BF170FF" w:rsidR="00E649FC" w:rsidRPr="00E649FC" w:rsidRDefault="00E649FC" w:rsidP="00E649FC">
      <w:pPr>
        <w:pStyle w:val="ListBullet"/>
      </w:pPr>
      <w:r w:rsidRPr="00E649FC">
        <w:t>All cholecystectomies</w:t>
      </w:r>
      <w:r w:rsidR="00B86B18">
        <w:t>;</w:t>
      </w:r>
    </w:p>
    <w:p w14:paraId="62FAAC08" w14:textId="18889D7D" w:rsidR="00E649FC" w:rsidRPr="00E649FC" w:rsidRDefault="00E649FC" w:rsidP="00E649FC">
      <w:pPr>
        <w:pStyle w:val="ListBullet"/>
      </w:pPr>
      <w:r w:rsidRPr="00E649FC">
        <w:t>All occurrences of myopathy and rhabdomyolysis</w:t>
      </w:r>
      <w:r w:rsidR="00B86B18">
        <w:t>; and</w:t>
      </w:r>
    </w:p>
    <w:p w14:paraId="45A68D17" w14:textId="4C0E7663" w:rsidR="00E649FC" w:rsidRPr="00E649FC" w:rsidRDefault="00E649FC" w:rsidP="00E649FC">
      <w:pPr>
        <w:pStyle w:val="ListBullet"/>
      </w:pPr>
      <w:r w:rsidRPr="00E649FC">
        <w:t>Cancer</w:t>
      </w:r>
      <w:r w:rsidR="00B86B18">
        <w:t>.</w:t>
      </w:r>
    </w:p>
    <w:p w14:paraId="217F918F" w14:textId="77777777" w:rsidR="00E649FC" w:rsidRDefault="00E649FC" w:rsidP="00E649FC">
      <w:pPr>
        <w:rPr>
          <w:lang w:eastAsia="ja-JP"/>
        </w:rPr>
      </w:pPr>
      <w:r>
        <w:rPr>
          <w:lang w:eastAsia="ja-JP"/>
        </w:rPr>
        <w:t>Select safety parameters were also analysed excluding study patients who never took study drug and excluding study subjects who never took the drug and limited to the 30 day time period after the last dose of study drug.</w:t>
      </w:r>
    </w:p>
    <w:p w14:paraId="35FFEB80" w14:textId="77777777" w:rsidR="00E649FC" w:rsidRDefault="00E649FC" w:rsidP="00E649FC">
      <w:pPr>
        <w:pStyle w:val="Heading5"/>
      </w:pPr>
      <w:r>
        <w:t>Other</w:t>
      </w:r>
      <w:r w:rsidRPr="00545B14">
        <w:t xml:space="preserve"> studies</w:t>
      </w:r>
      <w:bookmarkEnd w:id="82"/>
      <w:bookmarkEnd w:id="83"/>
      <w:bookmarkEnd w:id="84"/>
    </w:p>
    <w:p w14:paraId="35FA4B18" w14:textId="2CB0AE1A" w:rsidR="00E649FC" w:rsidRDefault="00E649FC" w:rsidP="00E649FC">
      <w:pPr>
        <w:rPr>
          <w:lang w:eastAsia="ja-JP"/>
        </w:rPr>
      </w:pPr>
      <w:r>
        <w:rPr>
          <w:lang w:eastAsia="ja-JP"/>
        </w:rPr>
        <w:t>No other safety studies were incl</w:t>
      </w:r>
      <w:r w:rsidR="00060053">
        <w:rPr>
          <w:lang w:eastAsia="ja-JP"/>
        </w:rPr>
        <w:t>uded in the submission, but the s</w:t>
      </w:r>
      <w:r>
        <w:rPr>
          <w:lang w:eastAsia="ja-JP"/>
        </w:rPr>
        <w:t>ponsor has provided a review of cumulative post-marketing data from 2013 to 31 December 2014 for the following eight events of interest with the use of the ezetimibe/atorvastatin combination:</w:t>
      </w:r>
    </w:p>
    <w:p w14:paraId="5E1F9708" w14:textId="0ED84AB1" w:rsidR="00E649FC" w:rsidRPr="00E47344" w:rsidRDefault="00060053" w:rsidP="00E649FC">
      <w:pPr>
        <w:pStyle w:val="ListBullet"/>
        <w:rPr>
          <w:lang w:eastAsia="ja-JP"/>
        </w:rPr>
      </w:pPr>
      <w:r>
        <w:rPr>
          <w:lang w:eastAsia="ja-JP"/>
        </w:rPr>
        <w:t>R</w:t>
      </w:r>
      <w:r w:rsidR="00E649FC" w:rsidRPr="00E47344">
        <w:rPr>
          <w:lang w:eastAsia="ja-JP"/>
        </w:rPr>
        <w:t>habdomyolysis/myopathy</w:t>
      </w:r>
      <w:r>
        <w:rPr>
          <w:lang w:eastAsia="ja-JP"/>
        </w:rPr>
        <w:t>;</w:t>
      </w:r>
    </w:p>
    <w:p w14:paraId="7CF1FA66" w14:textId="0E8229EE" w:rsidR="00E649FC" w:rsidRPr="00E47344" w:rsidRDefault="00060053" w:rsidP="00E649FC">
      <w:pPr>
        <w:pStyle w:val="ListBullet"/>
        <w:rPr>
          <w:lang w:eastAsia="ja-JP"/>
        </w:rPr>
      </w:pPr>
      <w:r>
        <w:rPr>
          <w:lang w:eastAsia="ja-JP"/>
        </w:rPr>
        <w:t>M</w:t>
      </w:r>
      <w:r w:rsidR="00E649FC" w:rsidRPr="00E47344">
        <w:rPr>
          <w:lang w:eastAsia="ja-JP"/>
        </w:rPr>
        <w:t>alignancies</w:t>
      </w:r>
      <w:r>
        <w:rPr>
          <w:lang w:eastAsia="ja-JP"/>
        </w:rPr>
        <w:t>;</w:t>
      </w:r>
    </w:p>
    <w:p w14:paraId="6A201BDB" w14:textId="1817B046" w:rsidR="00E649FC" w:rsidRPr="00E47344" w:rsidRDefault="00060053" w:rsidP="00E649FC">
      <w:pPr>
        <w:pStyle w:val="ListBullet"/>
        <w:rPr>
          <w:lang w:eastAsia="ja-JP"/>
        </w:rPr>
      </w:pPr>
      <w:r>
        <w:rPr>
          <w:lang w:eastAsia="ja-JP"/>
        </w:rPr>
        <w:t>G</w:t>
      </w:r>
      <w:r w:rsidR="00E649FC" w:rsidRPr="00E47344">
        <w:rPr>
          <w:lang w:eastAsia="ja-JP"/>
        </w:rPr>
        <w:t>allbladder disorders</w:t>
      </w:r>
      <w:r>
        <w:rPr>
          <w:lang w:eastAsia="ja-JP"/>
        </w:rPr>
        <w:t>;</w:t>
      </w:r>
    </w:p>
    <w:p w14:paraId="6CD983B0" w14:textId="5FD218F6" w:rsidR="00E649FC" w:rsidRPr="00E47344" w:rsidRDefault="00060053" w:rsidP="00E649FC">
      <w:pPr>
        <w:pStyle w:val="ListBullet"/>
        <w:rPr>
          <w:lang w:eastAsia="ja-JP"/>
        </w:rPr>
      </w:pPr>
      <w:r>
        <w:rPr>
          <w:lang w:eastAsia="ja-JP"/>
        </w:rPr>
        <w:lastRenderedPageBreak/>
        <w:t>I</w:t>
      </w:r>
      <w:r w:rsidR="00E649FC" w:rsidRPr="00E47344">
        <w:rPr>
          <w:lang w:eastAsia="ja-JP"/>
        </w:rPr>
        <w:t>nterstitial lung disease</w:t>
      </w:r>
      <w:r>
        <w:rPr>
          <w:lang w:eastAsia="ja-JP"/>
        </w:rPr>
        <w:t>;</w:t>
      </w:r>
    </w:p>
    <w:p w14:paraId="6F9DDCB0" w14:textId="1A1483AA" w:rsidR="00E649FC" w:rsidRPr="00E47344" w:rsidRDefault="00060053" w:rsidP="00E649FC">
      <w:pPr>
        <w:pStyle w:val="ListBullet"/>
        <w:rPr>
          <w:lang w:eastAsia="ja-JP"/>
        </w:rPr>
      </w:pPr>
      <w:r>
        <w:rPr>
          <w:lang w:eastAsia="ja-JP"/>
        </w:rPr>
        <w:t>H</w:t>
      </w:r>
      <w:r w:rsidR="00E649FC" w:rsidRPr="00E47344">
        <w:rPr>
          <w:lang w:eastAsia="ja-JP"/>
        </w:rPr>
        <w:t>aemorrhagic stroke</w:t>
      </w:r>
      <w:r>
        <w:rPr>
          <w:lang w:eastAsia="ja-JP"/>
        </w:rPr>
        <w:t>;</w:t>
      </w:r>
    </w:p>
    <w:p w14:paraId="16283F8E" w14:textId="200BD29F" w:rsidR="00E649FC" w:rsidRPr="00E47344" w:rsidRDefault="00060053" w:rsidP="00E649FC">
      <w:pPr>
        <w:pStyle w:val="ListBullet"/>
        <w:rPr>
          <w:lang w:eastAsia="ja-JP"/>
        </w:rPr>
      </w:pPr>
      <w:r>
        <w:rPr>
          <w:lang w:eastAsia="ja-JP"/>
        </w:rPr>
        <w:t>P</w:t>
      </w:r>
      <w:r w:rsidR="00E649FC" w:rsidRPr="00E47344">
        <w:rPr>
          <w:lang w:eastAsia="ja-JP"/>
        </w:rPr>
        <w:t>ancreatitis</w:t>
      </w:r>
      <w:r>
        <w:rPr>
          <w:lang w:eastAsia="ja-JP"/>
        </w:rPr>
        <w:t>;</w:t>
      </w:r>
    </w:p>
    <w:p w14:paraId="211AE88E" w14:textId="009BEAA4" w:rsidR="00E649FC" w:rsidRPr="00E47344" w:rsidRDefault="00060053" w:rsidP="00E649FC">
      <w:pPr>
        <w:pStyle w:val="ListBullet"/>
        <w:rPr>
          <w:lang w:eastAsia="ja-JP"/>
        </w:rPr>
      </w:pPr>
      <w:r>
        <w:rPr>
          <w:lang w:eastAsia="ja-JP"/>
        </w:rPr>
        <w:t>A</w:t>
      </w:r>
      <w:r w:rsidR="00E649FC" w:rsidRPr="00E47344">
        <w:rPr>
          <w:lang w:eastAsia="ja-JP"/>
        </w:rPr>
        <w:t>cute renal failure</w:t>
      </w:r>
      <w:r>
        <w:rPr>
          <w:lang w:eastAsia="ja-JP"/>
        </w:rPr>
        <w:t>; and</w:t>
      </w:r>
    </w:p>
    <w:p w14:paraId="20584B62" w14:textId="788556FD" w:rsidR="00E649FC" w:rsidRDefault="00060053" w:rsidP="00E649FC">
      <w:pPr>
        <w:pStyle w:val="ListBullet"/>
        <w:rPr>
          <w:lang w:eastAsia="ja-JP"/>
        </w:rPr>
      </w:pPr>
      <w:r>
        <w:rPr>
          <w:lang w:eastAsia="ja-JP"/>
        </w:rPr>
        <w:t>H</w:t>
      </w:r>
      <w:r w:rsidR="00E649FC" w:rsidRPr="00E47344">
        <w:rPr>
          <w:lang w:eastAsia="ja-JP"/>
        </w:rPr>
        <w:t>ypersensitivity</w:t>
      </w:r>
      <w:r>
        <w:rPr>
          <w:lang w:eastAsia="ja-JP"/>
        </w:rPr>
        <w:t>.</w:t>
      </w:r>
    </w:p>
    <w:p w14:paraId="7650A020" w14:textId="77777777" w:rsidR="00605AD4" w:rsidRDefault="00605AD4" w:rsidP="00605AD4">
      <w:pPr>
        <w:pStyle w:val="Heading4"/>
      </w:pPr>
      <w:r w:rsidRPr="00605AD4">
        <w:t>Patient exposure</w:t>
      </w:r>
    </w:p>
    <w:p w14:paraId="37423E27" w14:textId="77777777" w:rsidR="00FF7EF3" w:rsidRDefault="00E649FC" w:rsidP="00E649FC">
      <w:pPr>
        <w:rPr>
          <w:lang w:eastAsia="ja-JP"/>
        </w:rPr>
      </w:pPr>
      <w:r>
        <w:rPr>
          <w:lang w:eastAsia="ja-JP"/>
        </w:rPr>
        <w:t>No patients were exposed to ezetimibe/atorvastatin or atorvastatin during the IMPROVE-IT study. The median duration of exposure for the ezetimibe/simvastatin and simvastatin groups was 1389 and 1427 days respectively. A total of 5710 subjects were on treatment for at least 72 months</w:t>
      </w:r>
      <w:r w:rsidR="00FF7EF3">
        <w:rPr>
          <w:lang w:eastAsia="ja-JP"/>
        </w:rPr>
        <w:t>.</w:t>
      </w:r>
    </w:p>
    <w:p w14:paraId="6091D16B" w14:textId="666E79C4" w:rsidR="00E649FC" w:rsidRDefault="00E649FC" w:rsidP="00E649FC">
      <w:pPr>
        <w:rPr>
          <w:lang w:eastAsia="ja-JP"/>
        </w:rPr>
      </w:pPr>
      <w:r>
        <w:rPr>
          <w:lang w:eastAsia="ja-JP"/>
        </w:rPr>
        <w:t>A total of 1989 patients had their dose of simvastatin titrated to 80</w:t>
      </w:r>
      <w:r w:rsidR="00C8187B">
        <w:rPr>
          <w:lang w:eastAsia="ja-JP"/>
        </w:rPr>
        <w:t xml:space="preserve"> </w:t>
      </w:r>
      <w:r>
        <w:rPr>
          <w:lang w:eastAsia="ja-JP"/>
        </w:rPr>
        <w:t>mg (332 in the ezetimibe/simvastatin group and 1657 in the simvastatin monotherapy group). A total of 1018 patients receiving 80</w:t>
      </w:r>
      <w:r w:rsidR="00C8187B">
        <w:rPr>
          <w:lang w:eastAsia="ja-JP"/>
        </w:rPr>
        <w:t xml:space="preserve"> </w:t>
      </w:r>
      <w:r>
        <w:rPr>
          <w:lang w:eastAsia="ja-JP"/>
        </w:rPr>
        <w:t>mg of simvastatin had their dose titrated back down to 40mg (229 in the ezetimibe/simvastatin group and 789 in the simvastatin group). The mean duration of exposure to the 80mg simvastatin dose was 38.0 months (30.3 in the ezetimibe/simvastatin group and 39.8 in the simvastatin group).</w:t>
      </w:r>
    </w:p>
    <w:p w14:paraId="551BE0B8" w14:textId="77777777" w:rsidR="00605AD4" w:rsidRDefault="00605AD4" w:rsidP="00605AD4">
      <w:pPr>
        <w:pStyle w:val="Heading4"/>
      </w:pPr>
      <w:r w:rsidRPr="00605AD4">
        <w:t>Safety issues with the potential for major regulatory impact</w:t>
      </w:r>
    </w:p>
    <w:p w14:paraId="2988CD6F" w14:textId="77777777" w:rsidR="00E649FC" w:rsidRPr="00545B14" w:rsidRDefault="00E649FC" w:rsidP="00E649FC">
      <w:pPr>
        <w:pStyle w:val="Heading5"/>
      </w:pPr>
      <w:bookmarkStart w:id="85" w:name="_Toc272414669"/>
      <w:bookmarkStart w:id="86" w:name="_Toc290888533"/>
      <w:bookmarkStart w:id="87" w:name="_Toc416353749"/>
      <w:bookmarkStart w:id="88" w:name="_Toc421005292"/>
      <w:bookmarkStart w:id="89" w:name="_Toc432079169"/>
      <w:bookmarkStart w:id="90" w:name="_Toc432080742"/>
      <w:r w:rsidRPr="00545B14">
        <w:t>Liver function</w:t>
      </w:r>
      <w:bookmarkEnd w:id="85"/>
      <w:bookmarkEnd w:id="86"/>
      <w:bookmarkEnd w:id="87"/>
      <w:bookmarkEnd w:id="88"/>
      <w:r>
        <w:t xml:space="preserve"> and liver toxicity</w:t>
      </w:r>
      <w:bookmarkEnd w:id="89"/>
      <w:bookmarkEnd w:id="90"/>
    </w:p>
    <w:p w14:paraId="003DE5F5" w14:textId="77777777" w:rsidR="00E649FC" w:rsidRDefault="00E649FC" w:rsidP="00E649FC">
      <w:pPr>
        <w:rPr>
          <w:lang w:eastAsia="ja-JP"/>
        </w:rPr>
      </w:pPr>
      <w:r>
        <w:rPr>
          <w:lang w:eastAsia="ja-JP"/>
        </w:rPr>
        <w:t>Adverse event of special interest (AESI) related to liver function and liver toxicity included defined increases in AST, ALT and all cholecystectomies.</w:t>
      </w:r>
    </w:p>
    <w:p w14:paraId="4320C101" w14:textId="77777777" w:rsidR="00FF7EF3" w:rsidRDefault="00E649FC" w:rsidP="00E649FC">
      <w:pPr>
        <w:rPr>
          <w:lang w:eastAsia="ja-JP"/>
        </w:rPr>
      </w:pPr>
      <w:r w:rsidRPr="009135F0">
        <w:rPr>
          <w:lang w:eastAsia="ja-JP"/>
        </w:rPr>
        <w:t>At screening, subjects with active liver disease or persistent unexplained serum transaminase</w:t>
      </w:r>
      <w:r>
        <w:rPr>
          <w:lang w:eastAsia="ja-JP"/>
        </w:rPr>
        <w:t xml:space="preserve"> </w:t>
      </w:r>
      <w:r w:rsidR="00C8187B">
        <w:rPr>
          <w:lang w:eastAsia="ja-JP"/>
        </w:rPr>
        <w:t>elevations (</w:t>
      </w:r>
      <w:r w:rsidR="00C8187B">
        <w:rPr>
          <w:lang w:eastAsia="ja-JP"/>
        </w:rPr>
        <w:sym w:font="Symbol" w:char="F0B3"/>
      </w:r>
      <w:r w:rsidR="00C8187B">
        <w:rPr>
          <w:lang w:eastAsia="ja-JP"/>
        </w:rPr>
        <w:t xml:space="preserve"> </w:t>
      </w:r>
      <w:r w:rsidRPr="009135F0">
        <w:rPr>
          <w:lang w:eastAsia="ja-JP"/>
        </w:rPr>
        <w:t>2 x ULN) were ineligible for the study. Subjects with transient increases in</w:t>
      </w:r>
      <w:r>
        <w:rPr>
          <w:lang w:eastAsia="ja-JP"/>
        </w:rPr>
        <w:t xml:space="preserve"> </w:t>
      </w:r>
      <w:r w:rsidRPr="009135F0">
        <w:rPr>
          <w:lang w:eastAsia="ja-JP"/>
        </w:rPr>
        <w:t>serum transaminases due to the index MI were eligible for the study</w:t>
      </w:r>
      <w:r w:rsidR="00FF7EF3">
        <w:rPr>
          <w:lang w:eastAsia="ja-JP"/>
        </w:rPr>
        <w:t>.</w:t>
      </w:r>
    </w:p>
    <w:p w14:paraId="0EFA150D" w14:textId="035731DE" w:rsidR="00E649FC" w:rsidRPr="009135F0" w:rsidRDefault="00E649FC" w:rsidP="00E649FC">
      <w:pPr>
        <w:rPr>
          <w:lang w:eastAsia="ja-JP"/>
        </w:rPr>
      </w:pPr>
      <w:r w:rsidRPr="009135F0">
        <w:rPr>
          <w:lang w:eastAsia="ja-JP"/>
        </w:rPr>
        <w:t>Per protocol</w:t>
      </w:r>
      <w:r w:rsidRPr="009135F0">
        <w:rPr>
          <w:b/>
          <w:bCs/>
          <w:lang w:eastAsia="ja-JP"/>
        </w:rPr>
        <w:t xml:space="preserve">, </w:t>
      </w:r>
      <w:r w:rsidRPr="009135F0">
        <w:rPr>
          <w:lang w:eastAsia="ja-JP"/>
        </w:rPr>
        <w:t>ALT and AST testing was performed at screening/randomization, Month1,</w:t>
      </w:r>
      <w:r>
        <w:rPr>
          <w:lang w:eastAsia="ja-JP"/>
        </w:rPr>
        <w:t xml:space="preserve"> </w:t>
      </w:r>
      <w:r w:rsidRPr="009135F0">
        <w:rPr>
          <w:lang w:eastAsia="ja-JP"/>
        </w:rPr>
        <w:t>Month 4, Month 8, Month 16, annually and at study completion/early discontinuation. Total</w:t>
      </w:r>
      <w:r>
        <w:rPr>
          <w:lang w:eastAsia="ja-JP"/>
        </w:rPr>
        <w:t xml:space="preserve"> </w:t>
      </w:r>
      <w:r w:rsidRPr="009135F0">
        <w:rPr>
          <w:lang w:eastAsia="ja-JP"/>
        </w:rPr>
        <w:t>bilirubin and alkaline phosphatase were evaluated only at the screening/randomization visit,</w:t>
      </w:r>
      <w:r>
        <w:rPr>
          <w:lang w:eastAsia="ja-JP"/>
        </w:rPr>
        <w:t xml:space="preserve"> </w:t>
      </w:r>
      <w:r w:rsidRPr="009135F0">
        <w:rPr>
          <w:lang w:eastAsia="ja-JP"/>
        </w:rPr>
        <w:t>the annual visit, and at the time of study completion/early discontinuation.</w:t>
      </w:r>
    </w:p>
    <w:p w14:paraId="2B064AA6" w14:textId="773F8D3D" w:rsidR="00E649FC" w:rsidRPr="002716A3" w:rsidRDefault="00E649FC" w:rsidP="00E649FC">
      <w:pPr>
        <w:rPr>
          <w:lang w:val="en-US" w:eastAsia="ja-JP"/>
        </w:rPr>
      </w:pPr>
      <w:r w:rsidRPr="009135F0">
        <w:rPr>
          <w:lang w:eastAsia="ja-JP"/>
        </w:rPr>
        <w:t xml:space="preserve">If a subject was found to have an ALT and/or AST measurement </w:t>
      </w:r>
      <w:r w:rsidRPr="009135F0">
        <w:rPr>
          <w:rFonts w:hint="eastAsia"/>
          <w:lang w:eastAsia="ja-JP"/>
        </w:rPr>
        <w:t>≥</w:t>
      </w:r>
      <w:r w:rsidRPr="009135F0">
        <w:rPr>
          <w:lang w:eastAsia="ja-JP"/>
        </w:rPr>
        <w:t>3 x ULN believed to be</w:t>
      </w:r>
      <w:r>
        <w:rPr>
          <w:lang w:eastAsia="ja-JP"/>
        </w:rPr>
        <w:t xml:space="preserve"> </w:t>
      </w:r>
      <w:r w:rsidRPr="009135F0">
        <w:rPr>
          <w:lang w:eastAsia="ja-JP"/>
        </w:rPr>
        <w:t>related to study drug, then the subject was to have repeat laboratories performed within 1</w:t>
      </w:r>
      <w:r>
        <w:rPr>
          <w:lang w:eastAsia="ja-JP"/>
        </w:rPr>
        <w:t xml:space="preserve"> </w:t>
      </w:r>
      <w:r w:rsidRPr="009135F0">
        <w:rPr>
          <w:lang w:eastAsia="ja-JP"/>
        </w:rPr>
        <w:t>week. If the</w:t>
      </w:r>
      <w:r w:rsidR="00C8187B">
        <w:rPr>
          <w:lang w:eastAsia="ja-JP"/>
        </w:rPr>
        <w:t xml:space="preserve"> same transaminase activity was </w:t>
      </w:r>
      <w:r w:rsidR="00C8187B">
        <w:rPr>
          <w:lang w:eastAsia="ja-JP"/>
        </w:rPr>
        <w:sym w:font="Symbol" w:char="F0B3"/>
      </w:r>
      <w:r w:rsidR="00C8187B">
        <w:rPr>
          <w:lang w:eastAsia="ja-JP"/>
        </w:rPr>
        <w:t xml:space="preserve"> </w:t>
      </w:r>
      <w:r w:rsidRPr="009135F0">
        <w:rPr>
          <w:lang w:eastAsia="ja-JP"/>
        </w:rPr>
        <w:t>3 x ULN on two consecutive occasions, the</w:t>
      </w:r>
      <w:r>
        <w:rPr>
          <w:lang w:eastAsia="ja-JP"/>
        </w:rPr>
        <w:t xml:space="preserve"> </w:t>
      </w:r>
      <w:r w:rsidRPr="009135F0">
        <w:rPr>
          <w:lang w:eastAsia="ja-JP"/>
        </w:rPr>
        <w:t>study medication was interrupted. Investigative sites were instructed to repeat the subject</w:t>
      </w:r>
      <w:r>
        <w:rPr>
          <w:lang w:val="en-US" w:eastAsia="ja-JP"/>
        </w:rPr>
        <w:t xml:space="preserve">’s </w:t>
      </w:r>
      <w:r w:rsidRPr="009135F0">
        <w:rPr>
          <w:lang w:eastAsia="ja-JP"/>
        </w:rPr>
        <w:t>laboratory tests approximately every 2 weeks until the transaminase activity decreased to &lt;2</w:t>
      </w:r>
      <w:r>
        <w:rPr>
          <w:lang w:val="en-US" w:eastAsia="ja-JP"/>
        </w:rPr>
        <w:t xml:space="preserve"> </w:t>
      </w:r>
      <w:r w:rsidRPr="009135F0">
        <w:rPr>
          <w:lang w:eastAsia="ja-JP"/>
        </w:rPr>
        <w:t>x ULN, at which time study drug could be restarted at the discretion of the investigator,</w:t>
      </w:r>
      <w:r>
        <w:rPr>
          <w:lang w:val="en-US" w:eastAsia="ja-JP"/>
        </w:rPr>
        <w:t xml:space="preserve"> </w:t>
      </w:r>
      <w:r w:rsidRPr="009135F0">
        <w:rPr>
          <w:lang w:eastAsia="ja-JP"/>
        </w:rPr>
        <w:t>following discussion with the sponsor</w:t>
      </w:r>
      <w:r>
        <w:rPr>
          <w:lang w:val="en-US" w:eastAsia="ja-JP"/>
        </w:rPr>
        <w:t>’</w:t>
      </w:r>
      <w:r w:rsidRPr="009135F0">
        <w:rPr>
          <w:lang w:eastAsia="ja-JP"/>
        </w:rPr>
        <w:t>s clinical monitor. A subject who had a second</w:t>
      </w:r>
      <w:r>
        <w:rPr>
          <w:lang w:val="en-US" w:eastAsia="ja-JP"/>
        </w:rPr>
        <w:t xml:space="preserve"> </w:t>
      </w:r>
      <w:r w:rsidRPr="009135F0">
        <w:rPr>
          <w:lang w:eastAsia="ja-JP"/>
        </w:rPr>
        <w:t>episode of two consecutive observ</w:t>
      </w:r>
      <w:r w:rsidR="00C8187B">
        <w:rPr>
          <w:lang w:eastAsia="ja-JP"/>
        </w:rPr>
        <w:t xml:space="preserve">ations of transaminase activity </w:t>
      </w:r>
      <w:r w:rsidR="00C8187B">
        <w:rPr>
          <w:lang w:eastAsia="ja-JP"/>
        </w:rPr>
        <w:sym w:font="Symbol" w:char="F0B3"/>
      </w:r>
      <w:r w:rsidR="00C8187B">
        <w:rPr>
          <w:lang w:eastAsia="ja-JP"/>
        </w:rPr>
        <w:t xml:space="preserve"> </w:t>
      </w:r>
      <w:r w:rsidRPr="009135F0">
        <w:rPr>
          <w:lang w:eastAsia="ja-JP"/>
        </w:rPr>
        <w:t>3 x ULN believed to be</w:t>
      </w:r>
      <w:r>
        <w:rPr>
          <w:lang w:val="en-US" w:eastAsia="ja-JP"/>
        </w:rPr>
        <w:t xml:space="preserve"> </w:t>
      </w:r>
      <w:r w:rsidRPr="009135F0">
        <w:rPr>
          <w:lang w:eastAsia="ja-JP"/>
        </w:rPr>
        <w:t>related to study drug was to be discontinued from study medication, but would be monitored</w:t>
      </w:r>
      <w:r>
        <w:rPr>
          <w:lang w:val="en-US" w:eastAsia="ja-JP"/>
        </w:rPr>
        <w:t xml:space="preserve"> </w:t>
      </w:r>
      <w:r w:rsidRPr="009135F0">
        <w:rPr>
          <w:lang w:eastAsia="ja-JP"/>
        </w:rPr>
        <w:t>for any clinical endpoint event until the termination of the trial.</w:t>
      </w:r>
    </w:p>
    <w:p w14:paraId="2B6A7B40" w14:textId="202DA3DD" w:rsidR="00E649FC" w:rsidRDefault="00E649FC" w:rsidP="00E649FC">
      <w:pPr>
        <w:rPr>
          <w:lang w:eastAsia="ja-JP"/>
        </w:rPr>
      </w:pPr>
      <w:bookmarkStart w:id="91" w:name="_Toc272414670"/>
      <w:bookmarkStart w:id="92" w:name="_Toc290888534"/>
      <w:bookmarkStart w:id="93" w:name="_Toc416353750"/>
      <w:bookmarkStart w:id="94" w:name="_Toc421005293"/>
      <w:bookmarkStart w:id="95" w:name="_Toc432079170"/>
      <w:bookmarkStart w:id="96" w:name="_Toc432080743"/>
      <w:r>
        <w:rPr>
          <w:lang w:eastAsia="ja-JP"/>
        </w:rPr>
        <w:t>There were</w:t>
      </w:r>
      <w:r w:rsidRPr="002716A3">
        <w:rPr>
          <w:lang w:eastAsia="ja-JP"/>
        </w:rPr>
        <w:t xml:space="preserve"> 14 deaths related to hepatic causes (9 subjects in the ezetimibe/simvastatin</w:t>
      </w:r>
      <w:r>
        <w:rPr>
          <w:lang w:eastAsia="ja-JP"/>
        </w:rPr>
        <w:t xml:space="preserve"> </w:t>
      </w:r>
      <w:r w:rsidRPr="002716A3">
        <w:rPr>
          <w:lang w:eastAsia="ja-JP"/>
        </w:rPr>
        <w:t>group and 5 in the simvastatin group)</w:t>
      </w:r>
      <w:r>
        <w:rPr>
          <w:lang w:eastAsia="ja-JP"/>
        </w:rPr>
        <w:t xml:space="preserve">. </w:t>
      </w:r>
      <w:r w:rsidRPr="002716A3">
        <w:rPr>
          <w:lang w:eastAsia="ja-JP"/>
        </w:rPr>
        <w:t>Limited informatio</w:t>
      </w:r>
      <w:r>
        <w:rPr>
          <w:lang w:eastAsia="ja-JP"/>
        </w:rPr>
        <w:t xml:space="preserve">n is available </w:t>
      </w:r>
      <w:r w:rsidRPr="002716A3">
        <w:rPr>
          <w:lang w:eastAsia="ja-JP"/>
        </w:rPr>
        <w:t>relating to these cases.</w:t>
      </w:r>
      <w:r>
        <w:rPr>
          <w:lang w:eastAsia="ja-JP"/>
        </w:rPr>
        <w:t xml:space="preserve"> </w:t>
      </w:r>
      <w:r w:rsidRPr="002716A3">
        <w:rPr>
          <w:lang w:eastAsia="ja-JP"/>
        </w:rPr>
        <w:t>Most available laboratory informatio</w:t>
      </w:r>
      <w:r>
        <w:rPr>
          <w:lang w:eastAsia="ja-JP"/>
        </w:rPr>
        <w:t xml:space="preserve">n does not provide evidence of </w:t>
      </w:r>
      <w:r w:rsidRPr="002716A3">
        <w:rPr>
          <w:lang w:eastAsia="ja-JP"/>
        </w:rPr>
        <w:t xml:space="preserve">serious liver injury. Only one case </w:t>
      </w:r>
      <w:r>
        <w:rPr>
          <w:lang w:eastAsia="ja-JP"/>
        </w:rPr>
        <w:t>from the ezetimibe/simvastatin group</w:t>
      </w:r>
      <w:r w:rsidRPr="002716A3">
        <w:rPr>
          <w:lang w:eastAsia="ja-JP"/>
        </w:rPr>
        <w:t xml:space="preserve"> met the laboratory criteria to be considered a potential</w:t>
      </w:r>
      <w:r>
        <w:rPr>
          <w:lang w:eastAsia="ja-JP"/>
        </w:rPr>
        <w:t xml:space="preserve"> DILI case</w:t>
      </w:r>
      <w:r w:rsidRPr="002716A3">
        <w:rPr>
          <w:lang w:eastAsia="ja-JP"/>
        </w:rPr>
        <w:t>.</w:t>
      </w:r>
      <w:r>
        <w:rPr>
          <w:lang w:eastAsia="ja-JP"/>
        </w:rPr>
        <w:t xml:space="preserve"> </w:t>
      </w:r>
      <w:r w:rsidRPr="002716A3">
        <w:rPr>
          <w:lang w:eastAsia="ja-JP"/>
        </w:rPr>
        <w:t xml:space="preserve">Of the 9 subjects in the ezetimibe/simvastatin group with a hepatic cause of death, 5 </w:t>
      </w:r>
      <w:r>
        <w:rPr>
          <w:lang w:eastAsia="ja-JP"/>
        </w:rPr>
        <w:t xml:space="preserve">cases </w:t>
      </w:r>
      <w:r w:rsidRPr="002716A3">
        <w:rPr>
          <w:lang w:eastAsia="ja-JP"/>
        </w:rPr>
        <w:t>were related to non-alcoholic cirrhosis</w:t>
      </w:r>
      <w:r>
        <w:rPr>
          <w:lang w:eastAsia="ja-JP"/>
        </w:rPr>
        <w:t>. One</w:t>
      </w:r>
      <w:r w:rsidRPr="002716A3">
        <w:rPr>
          <w:lang w:eastAsia="ja-JP"/>
        </w:rPr>
        <w:t xml:space="preserve"> death occur</w:t>
      </w:r>
      <w:r>
        <w:rPr>
          <w:lang w:eastAsia="ja-JP"/>
        </w:rPr>
        <w:t xml:space="preserve">red within 30 days of permanent </w:t>
      </w:r>
      <w:r w:rsidRPr="002716A3">
        <w:rPr>
          <w:lang w:eastAsia="ja-JP"/>
        </w:rPr>
        <w:t xml:space="preserve">discontinuation of study therapy. This </w:t>
      </w:r>
      <w:r w:rsidR="00A64338">
        <w:rPr>
          <w:lang w:eastAsia="ja-JP"/>
        </w:rPr>
        <w:t>patient</w:t>
      </w:r>
      <w:r w:rsidRPr="002716A3">
        <w:rPr>
          <w:lang w:eastAsia="ja-JP"/>
        </w:rPr>
        <w:t xml:space="preserve"> </w:t>
      </w:r>
      <w:r w:rsidRPr="002716A3">
        <w:rPr>
          <w:lang w:eastAsia="ja-JP"/>
        </w:rPr>
        <w:lastRenderedPageBreak/>
        <w:t>developed a surgical wound</w:t>
      </w:r>
      <w:r>
        <w:rPr>
          <w:lang w:eastAsia="ja-JP"/>
        </w:rPr>
        <w:t xml:space="preserve"> </w:t>
      </w:r>
      <w:r w:rsidRPr="002716A3">
        <w:rPr>
          <w:lang w:eastAsia="ja-JP"/>
        </w:rPr>
        <w:t>infection pos</w:t>
      </w:r>
      <w:r w:rsidR="0031180B">
        <w:rPr>
          <w:lang w:eastAsia="ja-JP"/>
        </w:rPr>
        <w:t>t CABG</w:t>
      </w:r>
      <w:r w:rsidRPr="002716A3">
        <w:rPr>
          <w:lang w:eastAsia="ja-JP"/>
        </w:rPr>
        <w:t xml:space="preserve"> and subsequently </w:t>
      </w:r>
      <w:r>
        <w:rPr>
          <w:lang w:val="en-US" w:eastAsia="ja-JP"/>
        </w:rPr>
        <w:t>‘</w:t>
      </w:r>
      <w:r w:rsidRPr="002716A3">
        <w:rPr>
          <w:lang w:eastAsia="ja-JP"/>
        </w:rPr>
        <w:t>oedematous ascetic</w:t>
      </w:r>
      <w:r>
        <w:rPr>
          <w:lang w:eastAsia="ja-JP"/>
        </w:rPr>
        <w:t xml:space="preserve"> </w:t>
      </w:r>
      <w:r w:rsidRPr="002716A3">
        <w:rPr>
          <w:lang w:eastAsia="ja-JP"/>
        </w:rPr>
        <w:t>syndrome caused by hepatic cirrhosis.</w:t>
      </w:r>
      <w:r>
        <w:rPr>
          <w:lang w:val="en-US" w:eastAsia="ja-JP"/>
        </w:rPr>
        <w:t>’</w:t>
      </w:r>
      <w:r w:rsidRPr="002716A3">
        <w:rPr>
          <w:lang w:eastAsia="ja-JP"/>
        </w:rPr>
        <w:t xml:space="preserve"> The investigator considered the liver failure which</w:t>
      </w:r>
      <w:r>
        <w:rPr>
          <w:lang w:eastAsia="ja-JP"/>
        </w:rPr>
        <w:t xml:space="preserve"> </w:t>
      </w:r>
      <w:r w:rsidRPr="002716A3">
        <w:rPr>
          <w:lang w:eastAsia="ja-JP"/>
        </w:rPr>
        <w:t xml:space="preserve">resulted in death unlikely related to study drug. The remainder of the deaths due to </w:t>
      </w:r>
      <w:r>
        <w:rPr>
          <w:lang w:eastAsia="ja-JP"/>
        </w:rPr>
        <w:t xml:space="preserve">non-alcoholic </w:t>
      </w:r>
      <w:r w:rsidRPr="002716A3">
        <w:rPr>
          <w:lang w:eastAsia="ja-JP"/>
        </w:rPr>
        <w:t>cirrhosis occurred between 1 and 5 years after discontinuation of study therapy.</w:t>
      </w:r>
    </w:p>
    <w:p w14:paraId="3DD73303" w14:textId="77777777" w:rsidR="00FF7EF3" w:rsidRDefault="00E649FC" w:rsidP="00E649FC">
      <w:pPr>
        <w:rPr>
          <w:lang w:eastAsia="ja-JP"/>
        </w:rPr>
      </w:pPr>
      <w:r w:rsidRPr="002716A3">
        <w:rPr>
          <w:lang w:eastAsia="ja-JP"/>
        </w:rPr>
        <w:t xml:space="preserve">Alcoholic cirrhosis was listed as the cause of death for </w:t>
      </w:r>
      <w:r>
        <w:rPr>
          <w:lang w:eastAsia="ja-JP"/>
        </w:rPr>
        <w:t>one case</w:t>
      </w:r>
      <w:r w:rsidRPr="002716A3">
        <w:rPr>
          <w:lang w:eastAsia="ja-JP"/>
        </w:rPr>
        <w:t xml:space="preserve"> and hepatitis B carrier</w:t>
      </w:r>
      <w:r>
        <w:rPr>
          <w:lang w:eastAsia="ja-JP"/>
        </w:rPr>
        <w:t xml:space="preserve"> </w:t>
      </w:r>
      <w:r w:rsidRPr="002716A3">
        <w:rPr>
          <w:lang w:eastAsia="ja-JP"/>
        </w:rPr>
        <w:t xml:space="preserve">status and alcohol abuse contributed to liver failure in </w:t>
      </w:r>
      <w:r>
        <w:rPr>
          <w:lang w:eastAsia="ja-JP"/>
        </w:rPr>
        <w:t>another case</w:t>
      </w:r>
      <w:r w:rsidRPr="002716A3">
        <w:rPr>
          <w:lang w:eastAsia="ja-JP"/>
        </w:rPr>
        <w:t>.</w:t>
      </w:r>
      <w:r>
        <w:rPr>
          <w:lang w:eastAsia="ja-JP"/>
        </w:rPr>
        <w:t xml:space="preserve"> In two cases where the patient had withdrawn consent to participate in the study the cause of death was listed as liver failure. In both these cases the death occurred more than one year after permanent discontinuation of study therapy. </w:t>
      </w:r>
      <w:r w:rsidRPr="002716A3">
        <w:rPr>
          <w:lang w:eastAsia="ja-JP"/>
        </w:rPr>
        <w:t>In 4 of the 5 subject deaths in the simvastatin treatment grou</w:t>
      </w:r>
      <w:r>
        <w:rPr>
          <w:lang w:eastAsia="ja-JP"/>
        </w:rPr>
        <w:t xml:space="preserve">p, non-alcoholic steatohepatitis </w:t>
      </w:r>
      <w:r w:rsidRPr="002716A3">
        <w:rPr>
          <w:lang w:eastAsia="ja-JP"/>
        </w:rPr>
        <w:t>was a contributing factor</w:t>
      </w:r>
      <w:r>
        <w:rPr>
          <w:lang w:eastAsia="ja-JP"/>
        </w:rPr>
        <w:t xml:space="preserve"> and one death</w:t>
      </w:r>
      <w:r w:rsidRPr="002716A3">
        <w:rPr>
          <w:lang w:eastAsia="ja-JP"/>
        </w:rPr>
        <w:t xml:space="preserve"> was</w:t>
      </w:r>
      <w:r>
        <w:rPr>
          <w:lang w:eastAsia="ja-JP"/>
        </w:rPr>
        <w:t xml:space="preserve"> related to cirrhosis</w:t>
      </w:r>
      <w:r w:rsidR="00FF7EF3">
        <w:rPr>
          <w:lang w:eastAsia="ja-JP"/>
        </w:rPr>
        <w:t>.</w:t>
      </w:r>
    </w:p>
    <w:p w14:paraId="3FABE0ED" w14:textId="5A991569" w:rsidR="00E649FC" w:rsidRDefault="00E649FC" w:rsidP="00E649FC">
      <w:pPr>
        <w:rPr>
          <w:lang w:eastAsia="ja-JP"/>
        </w:rPr>
      </w:pPr>
      <w:r w:rsidRPr="00157625">
        <w:rPr>
          <w:lang w:eastAsia="ja-JP"/>
        </w:rPr>
        <w:t>A</w:t>
      </w:r>
      <w:r>
        <w:rPr>
          <w:lang w:eastAsia="ja-JP"/>
        </w:rPr>
        <w:t xml:space="preserve"> </w:t>
      </w:r>
      <w:r w:rsidRPr="00157625">
        <w:rPr>
          <w:lang w:eastAsia="ja-JP"/>
        </w:rPr>
        <w:t>total of 49 subjects, 26/8027 (0.3%) in the ezetimibe/simvastatin group and 23/8068 (0.3%)</w:t>
      </w:r>
      <w:r>
        <w:rPr>
          <w:lang w:eastAsia="ja-JP"/>
        </w:rPr>
        <w:t xml:space="preserve"> </w:t>
      </w:r>
      <w:r w:rsidRPr="00157625">
        <w:rPr>
          <w:lang w:eastAsia="ja-JP"/>
        </w:rPr>
        <w:t>in the simvastatin group, met the biochemical criteria for potential DILI.</w:t>
      </w:r>
      <w:r>
        <w:rPr>
          <w:lang w:eastAsia="ja-JP"/>
        </w:rPr>
        <w:t xml:space="preserve"> An alternative explanation for the elevated transaminase level was identified for all but 3 cases. Limited clinical information was available for these three patients. </w:t>
      </w:r>
      <w:r w:rsidRPr="00157625">
        <w:rPr>
          <w:lang w:eastAsia="ja-JP"/>
        </w:rPr>
        <w:t>Two of the subjects received ezetimibe/simvastatin</w:t>
      </w:r>
      <w:r>
        <w:rPr>
          <w:lang w:eastAsia="ja-JP"/>
        </w:rPr>
        <w:t xml:space="preserve">. One subject </w:t>
      </w:r>
      <w:r w:rsidRPr="00157625">
        <w:rPr>
          <w:lang w:eastAsia="ja-JP"/>
        </w:rPr>
        <w:t xml:space="preserve">was </w:t>
      </w:r>
      <w:r w:rsidR="00C22878">
        <w:rPr>
          <w:lang w:eastAsia="ja-JP"/>
        </w:rPr>
        <w:t>a patient</w:t>
      </w:r>
      <w:r w:rsidRPr="00157625">
        <w:rPr>
          <w:lang w:eastAsia="ja-JP"/>
        </w:rPr>
        <w:t xml:space="preserve"> with elevated bilirubin</w:t>
      </w:r>
      <w:r>
        <w:rPr>
          <w:lang w:eastAsia="ja-JP"/>
        </w:rPr>
        <w:t xml:space="preserve"> on randomis</w:t>
      </w:r>
      <w:r w:rsidRPr="00157625">
        <w:rPr>
          <w:lang w:eastAsia="ja-JP"/>
        </w:rPr>
        <w:t>ation who was hospitalized with elevated transaminases and weakness</w:t>
      </w:r>
      <w:r>
        <w:rPr>
          <w:lang w:eastAsia="ja-JP"/>
        </w:rPr>
        <w:t xml:space="preserve"> approximately one month later. He</w:t>
      </w:r>
      <w:r w:rsidRPr="00157625">
        <w:rPr>
          <w:lang w:eastAsia="ja-JP"/>
        </w:rPr>
        <w:t xml:space="preserve"> was diagnosed with an MI one week </w:t>
      </w:r>
      <w:r>
        <w:rPr>
          <w:lang w:eastAsia="ja-JP"/>
        </w:rPr>
        <w:t>later</w:t>
      </w:r>
      <w:r w:rsidRPr="00157625">
        <w:rPr>
          <w:lang w:eastAsia="ja-JP"/>
        </w:rPr>
        <w:t xml:space="preserve"> and</w:t>
      </w:r>
      <w:r>
        <w:rPr>
          <w:lang w:eastAsia="ja-JP"/>
        </w:rPr>
        <w:t xml:space="preserve"> </w:t>
      </w:r>
      <w:r w:rsidRPr="00157625">
        <w:rPr>
          <w:lang w:eastAsia="ja-JP"/>
        </w:rPr>
        <w:t xml:space="preserve">subsequently died. </w:t>
      </w:r>
      <w:r>
        <w:rPr>
          <w:lang w:eastAsia="ja-JP"/>
        </w:rPr>
        <w:t xml:space="preserve">The other subject </w:t>
      </w:r>
      <w:r w:rsidRPr="00157625">
        <w:rPr>
          <w:lang w:eastAsia="ja-JP"/>
        </w:rPr>
        <w:t xml:space="preserve">was </w:t>
      </w:r>
      <w:r w:rsidR="002D51FF">
        <w:rPr>
          <w:lang w:eastAsia="ja-JP"/>
        </w:rPr>
        <w:t>a patient</w:t>
      </w:r>
      <w:r w:rsidRPr="00157625">
        <w:rPr>
          <w:lang w:eastAsia="ja-JP"/>
        </w:rPr>
        <w:t xml:space="preserve"> on aspirin and beta blocker who developed transaminase elevations approximately 1.5</w:t>
      </w:r>
      <w:r>
        <w:rPr>
          <w:lang w:eastAsia="ja-JP"/>
        </w:rPr>
        <w:t xml:space="preserve"> years after randomis</w:t>
      </w:r>
      <w:r w:rsidRPr="00157625">
        <w:rPr>
          <w:lang w:eastAsia="ja-JP"/>
        </w:rPr>
        <w:t xml:space="preserve">ation </w:t>
      </w:r>
      <w:r>
        <w:rPr>
          <w:lang w:eastAsia="ja-JP"/>
        </w:rPr>
        <w:t>and</w:t>
      </w:r>
      <w:r w:rsidRPr="00157625">
        <w:rPr>
          <w:lang w:eastAsia="ja-JP"/>
        </w:rPr>
        <w:t xml:space="preserve"> presented with weakness, malaise and anaemia. </w:t>
      </w:r>
      <w:r>
        <w:rPr>
          <w:lang w:eastAsia="ja-JP"/>
        </w:rPr>
        <w:t>The s</w:t>
      </w:r>
      <w:r w:rsidRPr="00157625">
        <w:rPr>
          <w:lang w:eastAsia="ja-JP"/>
        </w:rPr>
        <w:t>tudy</w:t>
      </w:r>
      <w:r>
        <w:rPr>
          <w:lang w:eastAsia="ja-JP"/>
        </w:rPr>
        <w:t xml:space="preserve"> </w:t>
      </w:r>
      <w:r w:rsidRPr="00157625">
        <w:rPr>
          <w:lang w:eastAsia="ja-JP"/>
        </w:rPr>
        <w:t>drug was stoppe</w:t>
      </w:r>
      <w:r>
        <w:rPr>
          <w:lang w:eastAsia="ja-JP"/>
        </w:rPr>
        <w:t>d and she underwent colonoscopy</w:t>
      </w:r>
      <w:r w:rsidRPr="00157625">
        <w:rPr>
          <w:lang w:eastAsia="ja-JP"/>
        </w:rPr>
        <w:t xml:space="preserve"> and transaminase</w:t>
      </w:r>
      <w:r>
        <w:rPr>
          <w:lang w:eastAsia="ja-JP"/>
        </w:rPr>
        <w:t xml:space="preserve"> </w:t>
      </w:r>
      <w:r w:rsidRPr="00157625">
        <w:rPr>
          <w:lang w:eastAsia="ja-JP"/>
        </w:rPr>
        <w:t>elevations resolved.</w:t>
      </w:r>
      <w:r>
        <w:rPr>
          <w:lang w:eastAsia="ja-JP"/>
        </w:rPr>
        <w:t xml:space="preserve"> One subject was assigned to treatment with simvastatin 40mg</w:t>
      </w:r>
      <w:r w:rsidRPr="00157625">
        <w:rPr>
          <w:lang w:eastAsia="ja-JP"/>
        </w:rPr>
        <w:t>.</w:t>
      </w:r>
      <w:r>
        <w:rPr>
          <w:lang w:eastAsia="ja-JP"/>
        </w:rPr>
        <w:t xml:space="preserve"> </w:t>
      </w:r>
      <w:r w:rsidRPr="00157625">
        <w:rPr>
          <w:lang w:eastAsia="ja-JP"/>
        </w:rPr>
        <w:t xml:space="preserve">This </w:t>
      </w:r>
      <w:r>
        <w:rPr>
          <w:lang w:eastAsia="ja-JP"/>
        </w:rPr>
        <w:t xml:space="preserve">subject was </w:t>
      </w:r>
      <w:r w:rsidR="002D51FF">
        <w:rPr>
          <w:lang w:eastAsia="ja-JP"/>
        </w:rPr>
        <w:t>a patient</w:t>
      </w:r>
      <w:r w:rsidRPr="00157625">
        <w:rPr>
          <w:lang w:eastAsia="ja-JP"/>
        </w:rPr>
        <w:t xml:space="preserve"> </w:t>
      </w:r>
      <w:r>
        <w:rPr>
          <w:lang w:eastAsia="ja-JP"/>
        </w:rPr>
        <w:t xml:space="preserve">who </w:t>
      </w:r>
      <w:r w:rsidRPr="00157625">
        <w:rPr>
          <w:lang w:eastAsia="ja-JP"/>
        </w:rPr>
        <w:t>de</w:t>
      </w:r>
      <w:r>
        <w:rPr>
          <w:lang w:eastAsia="ja-JP"/>
        </w:rPr>
        <w:t xml:space="preserve">veloped transaminase elevations </w:t>
      </w:r>
      <w:r w:rsidRPr="00157625">
        <w:rPr>
          <w:lang w:eastAsia="ja-JP"/>
        </w:rPr>
        <w:t>approx</w:t>
      </w:r>
      <w:r>
        <w:rPr>
          <w:lang w:eastAsia="ja-JP"/>
        </w:rPr>
        <w:t>imately one month after randomis</w:t>
      </w:r>
      <w:r w:rsidRPr="00157625">
        <w:rPr>
          <w:lang w:eastAsia="ja-JP"/>
        </w:rPr>
        <w:t>ation. Medications included</w:t>
      </w:r>
      <w:r>
        <w:rPr>
          <w:lang w:eastAsia="ja-JP"/>
        </w:rPr>
        <w:t xml:space="preserve"> </w:t>
      </w:r>
      <w:r w:rsidRPr="00157625">
        <w:rPr>
          <w:lang w:eastAsia="ja-JP"/>
        </w:rPr>
        <w:t>aspirin and beta blocker and one year following study drug discontinuation, the subject</w:t>
      </w:r>
      <w:r>
        <w:rPr>
          <w:lang w:eastAsia="ja-JP"/>
        </w:rPr>
        <w:t xml:space="preserve"> </w:t>
      </w:r>
      <w:r w:rsidRPr="00157625">
        <w:rPr>
          <w:lang w:eastAsia="ja-JP"/>
        </w:rPr>
        <w:t xml:space="preserve">presented with </w:t>
      </w:r>
      <w:proofErr w:type="spellStart"/>
      <w:r w:rsidRPr="00157625">
        <w:rPr>
          <w:lang w:eastAsia="ja-JP"/>
        </w:rPr>
        <w:t>cholelithiasis</w:t>
      </w:r>
      <w:proofErr w:type="spellEnd"/>
      <w:r w:rsidRPr="00157625">
        <w:rPr>
          <w:lang w:eastAsia="ja-JP"/>
        </w:rPr>
        <w:t xml:space="preserve"> and pancreatitis and underwent cholecystectomy.</w:t>
      </w:r>
    </w:p>
    <w:p w14:paraId="3FE0A74F" w14:textId="2573DEEA" w:rsidR="00E649FC" w:rsidRDefault="00E649FC" w:rsidP="00E649FC">
      <w:pPr>
        <w:rPr>
          <w:lang w:eastAsia="ja-JP"/>
        </w:rPr>
      </w:pPr>
      <w:r>
        <w:rPr>
          <w:lang w:eastAsia="ja-JP"/>
        </w:rPr>
        <w:t>T</w:t>
      </w:r>
      <w:r w:rsidRPr="000532D3">
        <w:rPr>
          <w:lang w:eastAsia="ja-JP"/>
        </w:rPr>
        <w:t xml:space="preserve">he incidence of elevations in ALT and AST with or </w:t>
      </w:r>
      <w:r>
        <w:rPr>
          <w:lang w:eastAsia="ja-JP"/>
        </w:rPr>
        <w:t xml:space="preserve">without bilirubin elevations was </w:t>
      </w:r>
      <w:r w:rsidRPr="000532D3">
        <w:rPr>
          <w:lang w:eastAsia="ja-JP"/>
        </w:rPr>
        <w:t>generally similar between the ezetimibe/simvastatin and simvastatin treatment groups across</w:t>
      </w:r>
      <w:r>
        <w:rPr>
          <w:lang w:eastAsia="ja-JP"/>
        </w:rPr>
        <w:t xml:space="preserve"> </w:t>
      </w:r>
      <w:r w:rsidRPr="000532D3">
        <w:rPr>
          <w:lang w:eastAsia="ja-JP"/>
        </w:rPr>
        <w:t>the different range of elevation</w:t>
      </w:r>
      <w:r w:rsidR="00771F2E">
        <w:rPr>
          <w:lang w:eastAsia="ja-JP"/>
        </w:rPr>
        <w:t>s</w:t>
      </w:r>
      <w:r>
        <w:rPr>
          <w:lang w:eastAsia="ja-JP"/>
        </w:rPr>
        <w:t>. T</w:t>
      </w:r>
      <w:r w:rsidRPr="000532D3">
        <w:rPr>
          <w:lang w:eastAsia="ja-JP"/>
        </w:rPr>
        <w:t xml:space="preserve">he largest numbers of elevations occurred during </w:t>
      </w:r>
      <w:r>
        <w:rPr>
          <w:lang w:eastAsia="ja-JP"/>
        </w:rPr>
        <w:t xml:space="preserve">the first 4 </w:t>
      </w:r>
      <w:r w:rsidRPr="000532D3">
        <w:rPr>
          <w:lang w:eastAsia="ja-JP"/>
        </w:rPr>
        <w:t>months of treatment, dropped and remained fairly constant over the rest of the first year and</w:t>
      </w:r>
      <w:r>
        <w:rPr>
          <w:lang w:eastAsia="ja-JP"/>
        </w:rPr>
        <w:t xml:space="preserve"> </w:t>
      </w:r>
      <w:r w:rsidRPr="000532D3">
        <w:rPr>
          <w:lang w:eastAsia="ja-JP"/>
        </w:rPr>
        <w:t>then dropped further in the subsequent years. There was no apparent difference in the time</w:t>
      </w:r>
      <w:r>
        <w:rPr>
          <w:lang w:eastAsia="ja-JP"/>
        </w:rPr>
        <w:t xml:space="preserve"> </w:t>
      </w:r>
      <w:r w:rsidRPr="000532D3">
        <w:rPr>
          <w:lang w:eastAsia="ja-JP"/>
        </w:rPr>
        <w:t>course between treatment groups.</w:t>
      </w:r>
    </w:p>
    <w:p w14:paraId="64D6D887" w14:textId="77777777" w:rsidR="00FF7EF3" w:rsidRDefault="0025178E" w:rsidP="00E649FC">
      <w:pPr>
        <w:rPr>
          <w:lang w:eastAsia="ja-JP"/>
        </w:rPr>
      </w:pPr>
      <w:r>
        <w:rPr>
          <w:lang w:eastAsia="ja-JP"/>
        </w:rPr>
        <w:t>Approximately 17% of randomis</w:t>
      </w:r>
      <w:r w:rsidR="00E649FC" w:rsidRPr="008940E6">
        <w:rPr>
          <w:lang w:eastAsia="ja-JP"/>
        </w:rPr>
        <w:t>ed subjects were up-titrated to simvastatin 80mg during the</w:t>
      </w:r>
      <w:r w:rsidR="00E649FC">
        <w:rPr>
          <w:lang w:eastAsia="ja-JP"/>
        </w:rPr>
        <w:t xml:space="preserve"> </w:t>
      </w:r>
      <w:r w:rsidR="00E649FC" w:rsidRPr="008940E6">
        <w:rPr>
          <w:lang w:eastAsia="ja-JP"/>
        </w:rPr>
        <w:t>trial (27% in the simvastatin treatment group, and 6% in the ezetimibe/simvastatin treatment</w:t>
      </w:r>
      <w:r w:rsidR="00E649FC">
        <w:rPr>
          <w:lang w:eastAsia="ja-JP"/>
        </w:rPr>
        <w:t xml:space="preserve"> </w:t>
      </w:r>
      <w:r w:rsidR="00E649FC" w:rsidRPr="008940E6">
        <w:rPr>
          <w:lang w:eastAsia="ja-JP"/>
        </w:rPr>
        <w:t xml:space="preserve">group). Given the imbalance in the treatment groups for those </w:t>
      </w:r>
      <w:proofErr w:type="spellStart"/>
      <w:r w:rsidR="00E649FC" w:rsidRPr="008940E6">
        <w:rPr>
          <w:lang w:eastAsia="ja-JP"/>
        </w:rPr>
        <w:t>uptitrated</w:t>
      </w:r>
      <w:proofErr w:type="spellEnd"/>
      <w:r w:rsidR="00E649FC" w:rsidRPr="008940E6">
        <w:rPr>
          <w:lang w:eastAsia="ja-JP"/>
        </w:rPr>
        <w:t xml:space="preserve"> to simvastatin 80</w:t>
      </w:r>
      <w:r w:rsidR="00E649FC">
        <w:rPr>
          <w:lang w:eastAsia="ja-JP"/>
        </w:rPr>
        <w:t xml:space="preserve"> </w:t>
      </w:r>
      <w:r w:rsidR="00E649FC" w:rsidRPr="008940E6">
        <w:rPr>
          <w:lang w:eastAsia="ja-JP"/>
        </w:rPr>
        <w:t>mg, exposure-adjusted analyses for instances of ALT/AST elevations &gt; 3X ULN consecutive</w:t>
      </w:r>
      <w:r w:rsidR="00E649FC">
        <w:rPr>
          <w:lang w:eastAsia="ja-JP"/>
        </w:rPr>
        <w:t xml:space="preserve"> </w:t>
      </w:r>
      <w:r w:rsidR="00E649FC" w:rsidRPr="008940E6">
        <w:rPr>
          <w:lang w:eastAsia="ja-JP"/>
        </w:rPr>
        <w:t>were also conducted</w:t>
      </w:r>
      <w:r w:rsidR="00E649FC">
        <w:rPr>
          <w:lang w:eastAsia="ja-JP"/>
        </w:rPr>
        <w:t xml:space="preserve">. This assessment was not randomised but </w:t>
      </w:r>
      <w:r w:rsidR="00E649FC" w:rsidRPr="008940E6">
        <w:rPr>
          <w:lang w:eastAsia="ja-JP"/>
        </w:rPr>
        <w:t>the exposure adjusted</w:t>
      </w:r>
      <w:r>
        <w:rPr>
          <w:lang w:eastAsia="ja-JP"/>
        </w:rPr>
        <w:t xml:space="preserve"> rate of consecutive ALT or AST </w:t>
      </w:r>
      <w:r>
        <w:rPr>
          <w:lang w:eastAsia="ja-JP"/>
        </w:rPr>
        <w:sym w:font="Symbol" w:char="F0B3"/>
      </w:r>
      <w:r>
        <w:rPr>
          <w:lang w:eastAsia="ja-JP"/>
        </w:rPr>
        <w:t xml:space="preserve"> </w:t>
      </w:r>
      <w:r w:rsidR="00E649FC">
        <w:rPr>
          <w:lang w:eastAsia="ja-JP"/>
        </w:rPr>
        <w:t xml:space="preserve">3xULN was similar between the </w:t>
      </w:r>
      <w:r w:rsidR="00E649FC" w:rsidRPr="008940E6">
        <w:rPr>
          <w:lang w:eastAsia="ja-JP"/>
        </w:rPr>
        <w:t>treatment groups in subjects taking simvastatin at a dose of 40 mg. Comparisons at the 80 mg</w:t>
      </w:r>
      <w:r w:rsidR="00E649FC">
        <w:rPr>
          <w:lang w:eastAsia="ja-JP"/>
        </w:rPr>
        <w:t xml:space="preserve"> </w:t>
      </w:r>
      <w:r w:rsidR="00E649FC" w:rsidRPr="008940E6">
        <w:rPr>
          <w:lang w:eastAsia="ja-JP"/>
        </w:rPr>
        <w:t>dose are limited by the lesser use and thus the smaller number of cases in the</w:t>
      </w:r>
      <w:r w:rsidR="00E649FC">
        <w:rPr>
          <w:lang w:eastAsia="ja-JP"/>
        </w:rPr>
        <w:t xml:space="preserve"> </w:t>
      </w:r>
      <w:r w:rsidR="00E649FC" w:rsidRPr="008940E6">
        <w:rPr>
          <w:lang w:eastAsia="ja-JP"/>
        </w:rPr>
        <w:t>ezetimibe/simvastatin group, however the risk appeared similar between the treatment groups</w:t>
      </w:r>
      <w:r w:rsidR="00FF7EF3">
        <w:rPr>
          <w:lang w:eastAsia="ja-JP"/>
        </w:rPr>
        <w:t>.</w:t>
      </w:r>
    </w:p>
    <w:p w14:paraId="3882F355" w14:textId="03CCDA14" w:rsidR="00E649FC" w:rsidRDefault="00E649FC" w:rsidP="00E649FC">
      <w:pPr>
        <w:rPr>
          <w:lang w:eastAsia="ja-JP"/>
        </w:rPr>
      </w:pPr>
      <w:r>
        <w:rPr>
          <w:lang w:eastAsia="ja-JP"/>
        </w:rPr>
        <w:t xml:space="preserve">Standardized </w:t>
      </w:r>
      <w:proofErr w:type="spellStart"/>
      <w:r>
        <w:rPr>
          <w:lang w:eastAsia="ja-JP"/>
        </w:rPr>
        <w:t>MedDRA</w:t>
      </w:r>
      <w:proofErr w:type="spellEnd"/>
      <w:r>
        <w:rPr>
          <w:lang w:eastAsia="ja-JP"/>
        </w:rPr>
        <w:t xml:space="preserve"> Queries (SMQs) were used to identify the preferred terms that were representative of gallbladder related events. </w:t>
      </w:r>
      <w:r w:rsidRPr="00A518C9">
        <w:rPr>
          <w:lang w:eastAsia="ja-JP"/>
        </w:rPr>
        <w:t>The rate of gallbladder adverse events was generally similar between the treatment groups</w:t>
      </w:r>
      <w:r w:rsidR="00226A7D">
        <w:rPr>
          <w:lang w:eastAsia="ja-JP"/>
        </w:rPr>
        <w:t xml:space="preserve"> (3.11% versus</w:t>
      </w:r>
      <w:r>
        <w:rPr>
          <w:lang w:eastAsia="ja-JP"/>
        </w:rPr>
        <w:t xml:space="preserve"> 3.54% in the ezetimibe/sim</w:t>
      </w:r>
      <w:r w:rsidR="00226A7D">
        <w:rPr>
          <w:lang w:eastAsia="ja-JP"/>
        </w:rPr>
        <w:t xml:space="preserve">vastatin and simvastatin groups, </w:t>
      </w:r>
      <w:r>
        <w:rPr>
          <w:lang w:eastAsia="ja-JP"/>
        </w:rPr>
        <w:t>respectively)</w:t>
      </w:r>
      <w:r w:rsidRPr="00A518C9">
        <w:rPr>
          <w:lang w:eastAsia="ja-JP"/>
        </w:rPr>
        <w:t>.</w:t>
      </w:r>
      <w:r>
        <w:rPr>
          <w:lang w:eastAsia="ja-JP"/>
        </w:rPr>
        <w:t xml:space="preserve"> A similar number of patients in each treatment arm experienced ‘cholecystectomy hospitalisation’ (133 in the </w:t>
      </w:r>
      <w:r w:rsidR="00226A7D">
        <w:rPr>
          <w:lang w:eastAsia="ja-JP"/>
        </w:rPr>
        <w:t xml:space="preserve">ezetimibe/simvastatin group versus </w:t>
      </w:r>
      <w:r>
        <w:rPr>
          <w:lang w:eastAsia="ja-JP"/>
        </w:rPr>
        <w:t>134 in the group and in the simvastatin group.</w:t>
      </w:r>
    </w:p>
    <w:p w14:paraId="12BDD40E" w14:textId="77777777" w:rsidR="00E649FC" w:rsidRPr="00545B14" w:rsidRDefault="00E649FC" w:rsidP="00E649FC">
      <w:pPr>
        <w:pStyle w:val="Heading5"/>
      </w:pPr>
      <w:r>
        <w:lastRenderedPageBreak/>
        <w:t xml:space="preserve">Renal </w:t>
      </w:r>
      <w:r w:rsidRPr="00545B14">
        <w:t>function</w:t>
      </w:r>
      <w:bookmarkEnd w:id="91"/>
      <w:bookmarkEnd w:id="92"/>
      <w:bookmarkEnd w:id="93"/>
      <w:bookmarkEnd w:id="94"/>
      <w:r>
        <w:t xml:space="preserve"> and renal toxicity</w:t>
      </w:r>
      <w:bookmarkEnd w:id="95"/>
      <w:bookmarkEnd w:id="96"/>
    </w:p>
    <w:p w14:paraId="525AFFE0" w14:textId="77777777" w:rsidR="00FF7EF3" w:rsidRDefault="00E649FC" w:rsidP="00E649FC">
      <w:pPr>
        <w:rPr>
          <w:lang w:eastAsia="ja-JP"/>
        </w:rPr>
      </w:pPr>
      <w:bookmarkStart w:id="97" w:name="_Toc272414671"/>
      <w:bookmarkStart w:id="98" w:name="_Toc290888535"/>
      <w:bookmarkStart w:id="99" w:name="_Toc416353751"/>
      <w:bookmarkStart w:id="100" w:name="_Toc421005294"/>
      <w:bookmarkStart w:id="101" w:name="_Toc432079171"/>
      <w:bookmarkStart w:id="102" w:name="_Toc432080744"/>
      <w:r w:rsidRPr="00A43EBF">
        <w:rPr>
          <w:lang w:eastAsia="ja-JP"/>
        </w:rPr>
        <w:t>No clinically</w:t>
      </w:r>
      <w:r>
        <w:rPr>
          <w:lang w:eastAsia="ja-JP"/>
        </w:rPr>
        <w:t xml:space="preserve"> </w:t>
      </w:r>
      <w:r w:rsidRPr="00A43EBF">
        <w:rPr>
          <w:lang w:eastAsia="ja-JP"/>
        </w:rPr>
        <w:t xml:space="preserve">meaningful changes </w:t>
      </w:r>
      <w:r>
        <w:rPr>
          <w:lang w:eastAsia="ja-JP"/>
        </w:rPr>
        <w:t xml:space="preserve">in creatinine clearance </w:t>
      </w:r>
      <w:r w:rsidRPr="00A43EBF">
        <w:rPr>
          <w:lang w:eastAsia="ja-JP"/>
        </w:rPr>
        <w:t>were noted over the course of the study in either treatment group. In</w:t>
      </w:r>
      <w:r>
        <w:rPr>
          <w:lang w:eastAsia="ja-JP"/>
        </w:rPr>
        <w:t xml:space="preserve"> </w:t>
      </w:r>
      <w:r w:rsidRPr="00A43EBF">
        <w:rPr>
          <w:lang w:eastAsia="ja-JP"/>
        </w:rPr>
        <w:t>addition, there was no apparent difference in creatinine clearance between the treatment</w:t>
      </w:r>
      <w:r>
        <w:rPr>
          <w:lang w:eastAsia="ja-JP"/>
        </w:rPr>
        <w:t xml:space="preserve"> </w:t>
      </w:r>
      <w:r w:rsidRPr="00A43EBF">
        <w:rPr>
          <w:lang w:eastAsia="ja-JP"/>
        </w:rPr>
        <w:t>groups at any point in time</w:t>
      </w:r>
      <w:r w:rsidR="00FF7EF3">
        <w:rPr>
          <w:lang w:eastAsia="ja-JP"/>
        </w:rPr>
        <w:t>.</w:t>
      </w:r>
    </w:p>
    <w:p w14:paraId="2C651E73" w14:textId="213D93C7" w:rsidR="00E649FC" w:rsidRPr="00A43EBF" w:rsidRDefault="00E649FC" w:rsidP="00E649FC">
      <w:pPr>
        <w:rPr>
          <w:lang w:eastAsia="ja-JP"/>
        </w:rPr>
      </w:pPr>
      <w:r w:rsidRPr="00A43EBF">
        <w:rPr>
          <w:lang w:eastAsia="ja-JP"/>
        </w:rPr>
        <w:t xml:space="preserve">Additional analyses of creatinine clearance over time were </w:t>
      </w:r>
      <w:r>
        <w:rPr>
          <w:lang w:eastAsia="ja-JP"/>
        </w:rPr>
        <w:t xml:space="preserve">also performed by categories of </w:t>
      </w:r>
      <w:r w:rsidRPr="00A43EBF">
        <w:rPr>
          <w:lang w:eastAsia="ja-JP"/>
        </w:rPr>
        <w:t>LDL-C level at the time of qualifying event (&lt; 70 mg/</w:t>
      </w:r>
      <w:proofErr w:type="spellStart"/>
      <w:r w:rsidRPr="00A43EBF">
        <w:rPr>
          <w:lang w:eastAsia="ja-JP"/>
        </w:rPr>
        <w:t>dL</w:t>
      </w:r>
      <w:proofErr w:type="spellEnd"/>
      <w:r w:rsidRPr="00A43EBF">
        <w:rPr>
          <w:lang w:eastAsia="ja-JP"/>
        </w:rPr>
        <w:t>, 70 to 100 mg/</w:t>
      </w:r>
      <w:proofErr w:type="spellStart"/>
      <w:r w:rsidRPr="00A43EBF">
        <w:rPr>
          <w:lang w:eastAsia="ja-JP"/>
        </w:rPr>
        <w:t>dL</w:t>
      </w:r>
      <w:proofErr w:type="spellEnd"/>
      <w:r w:rsidRPr="00A43EBF">
        <w:rPr>
          <w:lang w:eastAsia="ja-JP"/>
        </w:rPr>
        <w:t>, &gt;100 mg/</w:t>
      </w:r>
      <w:proofErr w:type="spellStart"/>
      <w:r w:rsidRPr="00A43EBF">
        <w:rPr>
          <w:lang w:eastAsia="ja-JP"/>
        </w:rPr>
        <w:t>dL</w:t>
      </w:r>
      <w:proofErr w:type="spellEnd"/>
      <w:r w:rsidRPr="00A43EBF">
        <w:rPr>
          <w:lang w:eastAsia="ja-JP"/>
        </w:rPr>
        <w:t>)</w:t>
      </w:r>
      <w:r>
        <w:rPr>
          <w:lang w:eastAsia="ja-JP"/>
        </w:rPr>
        <w:t xml:space="preserve">. </w:t>
      </w:r>
      <w:r w:rsidRPr="00A43EBF">
        <w:rPr>
          <w:lang w:eastAsia="ja-JP"/>
        </w:rPr>
        <w:t>Creatinine cle</w:t>
      </w:r>
      <w:r>
        <w:rPr>
          <w:lang w:eastAsia="ja-JP"/>
        </w:rPr>
        <w:t xml:space="preserve">arance at baseline was slightly </w:t>
      </w:r>
      <w:r w:rsidRPr="00A43EBF">
        <w:rPr>
          <w:lang w:eastAsia="ja-JP"/>
        </w:rPr>
        <w:t>different between the three groups examined, with the higher LDL-C groups exhibiting slightly</w:t>
      </w:r>
      <w:r>
        <w:rPr>
          <w:lang w:eastAsia="ja-JP"/>
        </w:rPr>
        <w:t xml:space="preserve"> </w:t>
      </w:r>
      <w:r w:rsidRPr="00A43EBF">
        <w:rPr>
          <w:lang w:eastAsia="ja-JP"/>
        </w:rPr>
        <w:t>greater creatinine clearance at baseline. However, there was a lot of variability around the point</w:t>
      </w:r>
      <w:r>
        <w:rPr>
          <w:lang w:eastAsia="ja-JP"/>
        </w:rPr>
        <w:t xml:space="preserve"> </w:t>
      </w:r>
      <w:r w:rsidRPr="00A43EBF">
        <w:rPr>
          <w:lang w:eastAsia="ja-JP"/>
        </w:rPr>
        <w:t>estimates. In any of the three LDL-C categories, there were no differences in creatinine</w:t>
      </w:r>
      <w:r>
        <w:rPr>
          <w:lang w:eastAsia="ja-JP"/>
        </w:rPr>
        <w:t xml:space="preserve"> </w:t>
      </w:r>
      <w:r w:rsidRPr="00A43EBF">
        <w:rPr>
          <w:lang w:eastAsia="ja-JP"/>
        </w:rPr>
        <w:t>clearance between the two treatment groups and no apparent change in creatinine clearance over</w:t>
      </w:r>
      <w:r>
        <w:rPr>
          <w:lang w:eastAsia="ja-JP"/>
        </w:rPr>
        <w:t xml:space="preserve"> </w:t>
      </w:r>
      <w:r w:rsidRPr="00A43EBF">
        <w:rPr>
          <w:lang w:eastAsia="ja-JP"/>
        </w:rPr>
        <w:t>time. Thus, no clinically meaningful changes in renal function were noted in any of the baseline</w:t>
      </w:r>
      <w:r>
        <w:rPr>
          <w:lang w:eastAsia="ja-JP"/>
        </w:rPr>
        <w:t xml:space="preserve"> </w:t>
      </w:r>
      <w:r w:rsidRPr="00A43EBF">
        <w:rPr>
          <w:lang w:eastAsia="ja-JP"/>
        </w:rPr>
        <w:t>LDL-C categories examined.</w:t>
      </w:r>
    </w:p>
    <w:p w14:paraId="3E4DE60A" w14:textId="77777777" w:rsidR="00E649FC" w:rsidRDefault="00E649FC" w:rsidP="00E649FC">
      <w:pPr>
        <w:pStyle w:val="Heading5"/>
      </w:pPr>
      <w:r w:rsidRPr="00545B14">
        <w:t>Other clinical chemistry</w:t>
      </w:r>
      <w:bookmarkEnd w:id="97"/>
      <w:bookmarkEnd w:id="98"/>
      <w:bookmarkEnd w:id="99"/>
      <w:bookmarkEnd w:id="100"/>
      <w:bookmarkEnd w:id="101"/>
      <w:bookmarkEnd w:id="102"/>
    </w:p>
    <w:p w14:paraId="4D7ED351" w14:textId="0CE0B445" w:rsidR="00E649FC" w:rsidRDefault="00E649FC" w:rsidP="00E649FC">
      <w:pPr>
        <w:rPr>
          <w:lang w:eastAsia="ja-JP"/>
        </w:rPr>
      </w:pPr>
      <w:bookmarkStart w:id="103" w:name="_Toc272414672"/>
      <w:bookmarkStart w:id="104" w:name="_Toc290888536"/>
      <w:bookmarkStart w:id="105" w:name="_Toc416353752"/>
      <w:bookmarkStart w:id="106" w:name="_Toc421005295"/>
      <w:bookmarkStart w:id="107" w:name="_Toc432079172"/>
      <w:bookmarkStart w:id="108" w:name="_Toc432080745"/>
      <w:r w:rsidRPr="008164B8">
        <w:rPr>
          <w:lang w:eastAsia="ja-JP"/>
        </w:rPr>
        <w:t>There was</w:t>
      </w:r>
      <w:r>
        <w:rPr>
          <w:lang w:eastAsia="ja-JP"/>
        </w:rPr>
        <w:t xml:space="preserve"> </w:t>
      </w:r>
      <w:r w:rsidRPr="008164B8">
        <w:rPr>
          <w:lang w:eastAsia="ja-JP"/>
        </w:rPr>
        <w:t>little change in CK from baseline over time and no apparent difference in change from</w:t>
      </w:r>
      <w:r>
        <w:rPr>
          <w:lang w:eastAsia="ja-JP"/>
        </w:rPr>
        <w:t xml:space="preserve"> </w:t>
      </w:r>
      <w:r w:rsidRPr="008164B8">
        <w:rPr>
          <w:lang w:eastAsia="ja-JP"/>
        </w:rPr>
        <w:t>baseline in CK between the treatment group</w:t>
      </w:r>
      <w:r w:rsidR="00226A7D">
        <w:rPr>
          <w:lang w:eastAsia="ja-JP"/>
        </w:rPr>
        <w:t>s</w:t>
      </w:r>
      <w:r>
        <w:rPr>
          <w:lang w:eastAsia="ja-JP"/>
        </w:rPr>
        <w:t>.</w:t>
      </w:r>
    </w:p>
    <w:p w14:paraId="157DA16C" w14:textId="77777777" w:rsidR="00E649FC" w:rsidRPr="00545B14" w:rsidRDefault="00E649FC" w:rsidP="00E649FC">
      <w:pPr>
        <w:pStyle w:val="Heading5"/>
      </w:pPr>
      <w:r w:rsidRPr="00545B14">
        <w:t>Haematology</w:t>
      </w:r>
      <w:bookmarkEnd w:id="103"/>
      <w:bookmarkEnd w:id="104"/>
      <w:bookmarkEnd w:id="105"/>
      <w:bookmarkEnd w:id="106"/>
      <w:r>
        <w:t xml:space="preserve"> and haematological toxicity</w:t>
      </w:r>
      <w:bookmarkEnd w:id="107"/>
      <w:bookmarkEnd w:id="108"/>
    </w:p>
    <w:p w14:paraId="0FA65B4B" w14:textId="5438035C" w:rsidR="00E649FC" w:rsidRDefault="00226A7D" w:rsidP="00E649FC">
      <w:pPr>
        <w:rPr>
          <w:lang w:eastAsia="ja-JP"/>
        </w:rPr>
      </w:pPr>
      <w:bookmarkStart w:id="109" w:name="_Toc272414674"/>
      <w:bookmarkStart w:id="110" w:name="_Toc290888538"/>
      <w:bookmarkStart w:id="111" w:name="_Toc416353753"/>
      <w:bookmarkStart w:id="112" w:name="_Toc421005296"/>
      <w:bookmarkStart w:id="113" w:name="_Toc432079173"/>
      <w:bookmarkStart w:id="114" w:name="_Toc432080746"/>
      <w:r>
        <w:rPr>
          <w:lang w:eastAsia="ja-JP"/>
        </w:rPr>
        <w:t xml:space="preserve">The </w:t>
      </w:r>
      <w:r w:rsidR="00012435">
        <w:rPr>
          <w:lang w:eastAsia="ja-JP"/>
        </w:rPr>
        <w:t xml:space="preserve">CSR </w:t>
      </w:r>
      <w:r w:rsidR="00E649FC">
        <w:rPr>
          <w:lang w:eastAsia="ja-JP"/>
        </w:rPr>
        <w:t>does not discuss changes in the haematology laboratory parameters observed in the IMPROVE-IT study. The table of AEs with an incidence of ≥2% in one or more treatment groups indicates that the incidence of anaemia was slightly higher in the ezetimibe/simvastatin</w:t>
      </w:r>
      <w:r w:rsidR="00FC0C1C">
        <w:rPr>
          <w:lang w:eastAsia="ja-JP"/>
        </w:rPr>
        <w:t xml:space="preserve"> group (3.92% versus </w:t>
      </w:r>
      <w:r w:rsidR="00E649FC">
        <w:rPr>
          <w:lang w:eastAsia="ja-JP"/>
        </w:rPr>
        <w:t>3.60%).</w:t>
      </w:r>
    </w:p>
    <w:p w14:paraId="7C09026A" w14:textId="77777777" w:rsidR="00E649FC" w:rsidRPr="00545B14" w:rsidRDefault="00E649FC" w:rsidP="00E649FC">
      <w:pPr>
        <w:pStyle w:val="Heading5"/>
      </w:pPr>
      <w:r w:rsidRPr="00545B14">
        <w:t>Other laboratory test</w:t>
      </w:r>
      <w:bookmarkEnd w:id="109"/>
      <w:bookmarkEnd w:id="110"/>
      <w:bookmarkEnd w:id="111"/>
      <w:bookmarkEnd w:id="112"/>
      <w:bookmarkEnd w:id="113"/>
      <w:bookmarkEnd w:id="114"/>
      <w:r>
        <w:t>s</w:t>
      </w:r>
    </w:p>
    <w:p w14:paraId="00AEA93A" w14:textId="77777777" w:rsidR="00E649FC" w:rsidRPr="00E649FC" w:rsidRDefault="00E649FC" w:rsidP="00E649FC">
      <w:pPr>
        <w:pStyle w:val="Heading6"/>
      </w:pPr>
      <w:bookmarkStart w:id="115" w:name="_Toc272414675"/>
      <w:bookmarkStart w:id="116" w:name="_Toc290888539"/>
      <w:bookmarkStart w:id="117" w:name="_Toc416353754"/>
      <w:bookmarkStart w:id="118" w:name="_Toc421005297"/>
      <w:bookmarkStart w:id="119" w:name="_Toc432079174"/>
      <w:bookmarkStart w:id="120" w:name="_Toc432080747"/>
      <w:r w:rsidRPr="00E649FC">
        <w:t>Rhabdomyolysis</w:t>
      </w:r>
    </w:p>
    <w:p w14:paraId="479ECE57" w14:textId="053B300D" w:rsidR="00E649FC" w:rsidRDefault="00E649FC" w:rsidP="00E649FC">
      <w:pPr>
        <w:rPr>
          <w:lang w:eastAsia="ja-JP"/>
        </w:rPr>
      </w:pPr>
      <w:r>
        <w:rPr>
          <w:lang w:eastAsia="ja-JP"/>
        </w:rPr>
        <w:t>T</w:t>
      </w:r>
      <w:r w:rsidRPr="00C841AF">
        <w:rPr>
          <w:lang w:eastAsia="ja-JP"/>
        </w:rPr>
        <w:t>he rate of the AESI of myopathy/rhabdomyolysis was similar</w:t>
      </w:r>
      <w:r>
        <w:rPr>
          <w:lang w:eastAsia="ja-JP"/>
        </w:rPr>
        <w:t xml:space="preserve"> </w:t>
      </w:r>
      <w:r w:rsidRPr="00C841AF">
        <w:rPr>
          <w:lang w:eastAsia="ja-JP"/>
        </w:rPr>
        <w:t xml:space="preserve">between the treatment groups (0.3% in </w:t>
      </w:r>
      <w:r>
        <w:rPr>
          <w:lang w:eastAsia="ja-JP"/>
        </w:rPr>
        <w:t>each treatment</w:t>
      </w:r>
      <w:r w:rsidRPr="00C841AF">
        <w:rPr>
          <w:lang w:eastAsia="ja-JP"/>
        </w:rPr>
        <w:t xml:space="preserve"> group).</w:t>
      </w:r>
      <w:r>
        <w:rPr>
          <w:lang w:eastAsia="ja-JP"/>
        </w:rPr>
        <w:t xml:space="preserve"> In the ITT population</w:t>
      </w:r>
      <w:r w:rsidR="00226A7D">
        <w:rPr>
          <w:lang w:eastAsia="ja-JP"/>
        </w:rPr>
        <w:t>,</w:t>
      </w:r>
      <w:r>
        <w:rPr>
          <w:lang w:eastAsia="ja-JP"/>
        </w:rPr>
        <w:t xml:space="preserve"> there were 13 subjects (0.1%) in the ezetimibe/simvastatin group that developed rhabdomyolysis compared to 18 subjects (0.2%) in the simvastatin group. In the on-treatment analysis there were 12 subjects who experienced rhabdomyolysis in the ezetimibe/simvastatin group and 18 in the simvastatin monotherapy group. Of the 12 patients in the ezetimibe/simvastatin group, 9 patients experienced rhabdomyolysis with renal involvement and one subject was taking the 80</w:t>
      </w:r>
      <w:r w:rsidR="00226A7D">
        <w:rPr>
          <w:lang w:eastAsia="ja-JP"/>
        </w:rPr>
        <w:t xml:space="preserve"> </w:t>
      </w:r>
      <w:r>
        <w:rPr>
          <w:lang w:eastAsia="ja-JP"/>
        </w:rPr>
        <w:t>mg simvastatin dose and five subjects were taking concomitant therapies that may have contributed to the rhabdomyolysis and renal impairment. In two other subjects there were alternate explanations or contributing factors such as a fall or accidental overdose of study drug. Alternate aetiology was not described for</w:t>
      </w:r>
      <w:r w:rsidR="00226A7D">
        <w:rPr>
          <w:lang w:eastAsia="ja-JP"/>
        </w:rPr>
        <w:t xml:space="preserve"> two patients: one patient </w:t>
      </w:r>
      <w:r>
        <w:rPr>
          <w:lang w:eastAsia="ja-JP"/>
        </w:rPr>
        <w:t>with onset of muscle pain and rhabdomyolysis within o</w:t>
      </w:r>
      <w:r w:rsidR="00226A7D">
        <w:rPr>
          <w:lang w:eastAsia="ja-JP"/>
        </w:rPr>
        <w:t xml:space="preserve">ne month of starting study drug, </w:t>
      </w:r>
      <w:r>
        <w:rPr>
          <w:lang w:eastAsia="ja-JP"/>
        </w:rPr>
        <w:t>and a</w:t>
      </w:r>
      <w:r w:rsidR="00226A7D">
        <w:rPr>
          <w:lang w:eastAsia="ja-JP"/>
        </w:rPr>
        <w:t xml:space="preserve">nother patient </w:t>
      </w:r>
      <w:r>
        <w:rPr>
          <w:lang w:eastAsia="ja-JP"/>
        </w:rPr>
        <w:t xml:space="preserve">with diabetic nephropathy whose event occurred one week following discontinuation of study drug due to elevated </w:t>
      </w:r>
      <w:r w:rsidR="00226A7D">
        <w:rPr>
          <w:lang w:eastAsia="ja-JP"/>
        </w:rPr>
        <w:t>CK</w:t>
      </w:r>
      <w:r>
        <w:rPr>
          <w:lang w:eastAsia="ja-JP"/>
        </w:rPr>
        <w:t>. The subject was not placed on haemodialysis and died 15 days later due to end stage renal disease.</w:t>
      </w:r>
    </w:p>
    <w:p w14:paraId="78245EAA" w14:textId="77777777" w:rsidR="00FF7EF3" w:rsidRDefault="00E649FC" w:rsidP="00E649FC">
      <w:pPr>
        <w:rPr>
          <w:lang w:eastAsia="ja-JP"/>
        </w:rPr>
      </w:pPr>
      <w:r>
        <w:rPr>
          <w:lang w:eastAsia="ja-JP"/>
        </w:rPr>
        <w:t>Of the 9 subjects with an event of rhabdomyolysis associated with renal involvement receiving simvastatin monotherapy, 4 subjects received the 40</w:t>
      </w:r>
      <w:r w:rsidR="00226A7D">
        <w:rPr>
          <w:lang w:eastAsia="ja-JP"/>
        </w:rPr>
        <w:t xml:space="preserve"> </w:t>
      </w:r>
      <w:r>
        <w:rPr>
          <w:lang w:eastAsia="ja-JP"/>
        </w:rPr>
        <w:t>mg does and 5 subjects received the 80</w:t>
      </w:r>
      <w:r w:rsidR="00226A7D">
        <w:rPr>
          <w:lang w:eastAsia="ja-JP"/>
        </w:rPr>
        <w:t xml:space="preserve"> </w:t>
      </w:r>
      <w:r>
        <w:rPr>
          <w:lang w:eastAsia="ja-JP"/>
        </w:rPr>
        <w:t>mg dose. There were contributing factors of alternate explanations for 7 subjects</w:t>
      </w:r>
      <w:r w:rsidR="00226A7D">
        <w:rPr>
          <w:lang w:eastAsia="ja-JP"/>
        </w:rPr>
        <w:t>. One patient</w:t>
      </w:r>
      <w:r>
        <w:rPr>
          <w:lang w:eastAsia="ja-JP"/>
        </w:rPr>
        <w:t xml:space="preserve"> received 80</w:t>
      </w:r>
      <w:r w:rsidR="00226A7D">
        <w:rPr>
          <w:lang w:eastAsia="ja-JP"/>
        </w:rPr>
        <w:t xml:space="preserve"> </w:t>
      </w:r>
      <w:r>
        <w:rPr>
          <w:lang w:eastAsia="ja-JP"/>
        </w:rPr>
        <w:t>mg of simvastatin for 1</w:t>
      </w:r>
      <w:r w:rsidR="00226A7D">
        <w:rPr>
          <w:lang w:eastAsia="ja-JP"/>
        </w:rPr>
        <w:t xml:space="preserve">.6 years prior to the event; they were </w:t>
      </w:r>
      <w:r>
        <w:rPr>
          <w:lang w:eastAsia="ja-JP"/>
        </w:rPr>
        <w:t>diagnosed with idiopathic pulmonary fibrosis and a secondary diagnosis of right lobar pneumonia was made at the time of the rhabdomyolysis event. The subject recovered from the rhabdomyolysis approximately 16 days after ceasing the study drug but was hospitalised 12 days later and experienced progressive respiratory insuffi</w:t>
      </w:r>
      <w:r w:rsidR="00226A7D">
        <w:rPr>
          <w:lang w:eastAsia="ja-JP"/>
        </w:rPr>
        <w:t xml:space="preserve">ciency and persistent fever; they </w:t>
      </w:r>
      <w:r>
        <w:rPr>
          <w:lang w:eastAsia="ja-JP"/>
        </w:rPr>
        <w:t>later had a cardiac and respiratory arrest and died. The adjudicated cause of death was severe respiratory insufficiency</w:t>
      </w:r>
      <w:r w:rsidR="00FF7EF3">
        <w:rPr>
          <w:lang w:eastAsia="ja-JP"/>
        </w:rPr>
        <w:t>.</w:t>
      </w:r>
    </w:p>
    <w:p w14:paraId="7F2965B2" w14:textId="77777777" w:rsidR="00FF7EF3" w:rsidRDefault="00E649FC" w:rsidP="00E649FC">
      <w:pPr>
        <w:rPr>
          <w:lang w:eastAsia="ja-JP"/>
        </w:rPr>
      </w:pPr>
      <w:r w:rsidRPr="00D60DB4">
        <w:rPr>
          <w:lang w:eastAsia="ja-JP"/>
        </w:rPr>
        <w:lastRenderedPageBreak/>
        <w:t>There were 3 subjects in the ezetimibe/simvastatin and 9 subjects in the simvastatin</w:t>
      </w:r>
      <w:r>
        <w:rPr>
          <w:lang w:eastAsia="ja-JP"/>
        </w:rPr>
        <w:t xml:space="preserve"> </w:t>
      </w:r>
      <w:r w:rsidRPr="00D60DB4">
        <w:rPr>
          <w:lang w:eastAsia="ja-JP"/>
        </w:rPr>
        <w:t xml:space="preserve">monotherapy groups who had </w:t>
      </w:r>
      <w:r w:rsidR="00B92DBD" w:rsidRPr="00B92DBD">
        <w:rPr>
          <w:lang w:eastAsia="ja-JP"/>
        </w:rPr>
        <w:t xml:space="preserve">Clinical Events Committee </w:t>
      </w:r>
      <w:r w:rsidR="00B92DBD">
        <w:rPr>
          <w:lang w:eastAsia="ja-JP"/>
        </w:rPr>
        <w:t>(</w:t>
      </w:r>
      <w:r w:rsidRPr="00D60DB4">
        <w:rPr>
          <w:lang w:eastAsia="ja-JP"/>
        </w:rPr>
        <w:t>CEC</w:t>
      </w:r>
      <w:r w:rsidR="00B92DBD">
        <w:rPr>
          <w:lang w:eastAsia="ja-JP"/>
        </w:rPr>
        <w:t>)</w:t>
      </w:r>
      <w:r w:rsidRPr="00D60DB4">
        <w:rPr>
          <w:lang w:eastAsia="ja-JP"/>
        </w:rPr>
        <w:t xml:space="preserve"> reported events of rhabdomyolysis without renal</w:t>
      </w:r>
      <w:r>
        <w:rPr>
          <w:lang w:eastAsia="ja-JP"/>
        </w:rPr>
        <w:t xml:space="preserve"> </w:t>
      </w:r>
      <w:r w:rsidRPr="00D60DB4">
        <w:rPr>
          <w:lang w:eastAsia="ja-JP"/>
        </w:rPr>
        <w:t>involvement. The 3 subjects in the ezetimibe/simvastatin group were both receiving</w:t>
      </w:r>
      <w:r>
        <w:rPr>
          <w:lang w:eastAsia="ja-JP"/>
        </w:rPr>
        <w:t xml:space="preserve"> </w:t>
      </w:r>
      <w:r w:rsidRPr="00D60DB4">
        <w:rPr>
          <w:lang w:eastAsia="ja-JP"/>
        </w:rPr>
        <w:t>ezetimibe/simvastatin 40 mg at the time of the event. In two of the subjects, the event of</w:t>
      </w:r>
      <w:r>
        <w:rPr>
          <w:lang w:eastAsia="ja-JP"/>
        </w:rPr>
        <w:t xml:space="preserve"> </w:t>
      </w:r>
      <w:r w:rsidRPr="00D60DB4">
        <w:rPr>
          <w:lang w:eastAsia="ja-JP"/>
        </w:rPr>
        <w:t>rhabdomyolysis occurred within approximately one month from the start of study drug. In</w:t>
      </w:r>
      <w:r>
        <w:rPr>
          <w:lang w:eastAsia="ja-JP"/>
        </w:rPr>
        <w:t xml:space="preserve"> </w:t>
      </w:r>
      <w:r w:rsidRPr="00D60DB4">
        <w:rPr>
          <w:lang w:eastAsia="ja-JP"/>
        </w:rPr>
        <w:t>these cases, study drug was permanently discontinued and the event resolved</w:t>
      </w:r>
      <w:r w:rsidR="00FF7EF3">
        <w:rPr>
          <w:lang w:eastAsia="ja-JP"/>
        </w:rPr>
        <w:t>.</w:t>
      </w:r>
    </w:p>
    <w:p w14:paraId="4CEC6486" w14:textId="2650A728" w:rsidR="00E649FC" w:rsidRDefault="00E649FC" w:rsidP="00E649FC">
      <w:pPr>
        <w:rPr>
          <w:lang w:eastAsia="ja-JP"/>
        </w:rPr>
      </w:pPr>
      <w:r>
        <w:rPr>
          <w:lang w:eastAsia="ja-JP"/>
        </w:rPr>
        <w:t>There were</w:t>
      </w:r>
      <w:r w:rsidRPr="00D60DB4">
        <w:rPr>
          <w:lang w:eastAsia="ja-JP"/>
        </w:rPr>
        <w:t xml:space="preserve"> 9 subjects with the event of rhabdomyolysis without renal involvement in the</w:t>
      </w:r>
      <w:r>
        <w:rPr>
          <w:lang w:eastAsia="ja-JP"/>
        </w:rPr>
        <w:t xml:space="preserve"> </w:t>
      </w:r>
      <w:r w:rsidRPr="00D60DB4">
        <w:rPr>
          <w:lang w:eastAsia="ja-JP"/>
        </w:rPr>
        <w:t>simvastatin monotherapy arm, 4 were receiving simvastatin 40 mg and 5 were receiving</w:t>
      </w:r>
      <w:r>
        <w:rPr>
          <w:lang w:eastAsia="ja-JP"/>
        </w:rPr>
        <w:t xml:space="preserve"> </w:t>
      </w:r>
      <w:r w:rsidRPr="00D60DB4">
        <w:rPr>
          <w:lang w:eastAsia="ja-JP"/>
        </w:rPr>
        <w:t>simvastatin 80 mg at the time of the event.</w:t>
      </w:r>
      <w:r>
        <w:rPr>
          <w:lang w:eastAsia="ja-JP"/>
        </w:rPr>
        <w:t xml:space="preserve"> All </w:t>
      </w:r>
      <w:r w:rsidRPr="00D60DB4">
        <w:rPr>
          <w:lang w:eastAsia="ja-JP"/>
        </w:rPr>
        <w:t>subjects permanently discontinued study therapy and recovered from the event. Among the</w:t>
      </w:r>
      <w:r>
        <w:rPr>
          <w:lang w:eastAsia="ja-JP"/>
        </w:rPr>
        <w:t xml:space="preserve"> </w:t>
      </w:r>
      <w:r w:rsidRPr="00D60DB4">
        <w:rPr>
          <w:lang w:eastAsia="ja-JP"/>
        </w:rPr>
        <w:t>subjects on simvastatin monotherapy, 5 were found to have contributing factors or alternate</w:t>
      </w:r>
      <w:r>
        <w:rPr>
          <w:lang w:eastAsia="ja-JP"/>
        </w:rPr>
        <w:t xml:space="preserve"> </w:t>
      </w:r>
      <w:r w:rsidRPr="00D60DB4">
        <w:rPr>
          <w:lang w:eastAsia="ja-JP"/>
        </w:rPr>
        <w:t>explanations which might have contributed to these events.</w:t>
      </w:r>
    </w:p>
    <w:p w14:paraId="23D94EF5" w14:textId="77777777" w:rsidR="00E649FC" w:rsidRPr="00B4732F" w:rsidRDefault="00E649FC" w:rsidP="00E649FC">
      <w:pPr>
        <w:pStyle w:val="Heading6"/>
        <w:rPr>
          <w:lang w:eastAsia="ja-JP"/>
        </w:rPr>
      </w:pPr>
      <w:r w:rsidRPr="00B4732F">
        <w:rPr>
          <w:lang w:eastAsia="ja-JP"/>
        </w:rPr>
        <w:t>Myopathy</w:t>
      </w:r>
    </w:p>
    <w:p w14:paraId="1D5F08C3" w14:textId="77777777" w:rsidR="00FF7EF3" w:rsidRDefault="00E649FC" w:rsidP="00E649FC">
      <w:pPr>
        <w:rPr>
          <w:lang w:eastAsia="ja-JP"/>
        </w:rPr>
      </w:pPr>
      <w:r>
        <w:rPr>
          <w:lang w:eastAsia="ja-JP"/>
        </w:rPr>
        <w:t>There were 13 cases of myopathy in patients in the ezetimibe/simvastatin group and 9 in the simvastatin group. On</w:t>
      </w:r>
      <w:r w:rsidR="007E2ADF">
        <w:rPr>
          <w:lang w:eastAsia="ja-JP"/>
        </w:rPr>
        <w:t>e</w:t>
      </w:r>
      <w:r>
        <w:rPr>
          <w:lang w:eastAsia="ja-JP"/>
        </w:rPr>
        <w:t xml:space="preserve"> subject in the ezetimibe/simvastatin group was receiving 80mg simvastatin compared to 5 in the simvastatin group</w:t>
      </w:r>
      <w:r w:rsidR="00FF7EF3">
        <w:rPr>
          <w:lang w:eastAsia="ja-JP"/>
        </w:rPr>
        <w:t>.</w:t>
      </w:r>
    </w:p>
    <w:p w14:paraId="1D69A227" w14:textId="722F5865" w:rsidR="00E649FC" w:rsidRPr="008164B8" w:rsidRDefault="00E649FC" w:rsidP="00E649FC">
      <w:pPr>
        <w:pStyle w:val="Heading6"/>
        <w:rPr>
          <w:lang w:eastAsia="ja-JP"/>
        </w:rPr>
      </w:pPr>
      <w:r w:rsidRPr="008164B8">
        <w:rPr>
          <w:lang w:eastAsia="ja-JP"/>
        </w:rPr>
        <w:t>Myalgia without myopathy</w:t>
      </w:r>
    </w:p>
    <w:p w14:paraId="787E71DB" w14:textId="0087E7AF" w:rsidR="00E649FC" w:rsidRDefault="00E649FC" w:rsidP="00E649FC">
      <w:pPr>
        <w:rPr>
          <w:lang w:eastAsia="ja-JP"/>
        </w:rPr>
      </w:pPr>
      <w:r w:rsidRPr="008164B8">
        <w:rPr>
          <w:lang w:eastAsia="ja-JP"/>
        </w:rPr>
        <w:t>A total of 3,171 cases of unexplained myalgia were reported by the</w:t>
      </w:r>
      <w:r>
        <w:rPr>
          <w:lang w:eastAsia="ja-JP"/>
        </w:rPr>
        <w:t xml:space="preserve"> </w:t>
      </w:r>
      <w:r w:rsidRPr="008164B8">
        <w:rPr>
          <w:lang w:eastAsia="ja-JP"/>
        </w:rPr>
        <w:t xml:space="preserve">investigators </w:t>
      </w:r>
      <w:r>
        <w:rPr>
          <w:lang w:eastAsia="ja-JP"/>
        </w:rPr>
        <w:t>during IMPROVE-IT</w:t>
      </w:r>
      <w:r w:rsidRPr="008164B8">
        <w:rPr>
          <w:lang w:eastAsia="ja-JP"/>
        </w:rPr>
        <w:t>. Excluding the</w:t>
      </w:r>
      <w:r>
        <w:rPr>
          <w:lang w:eastAsia="ja-JP"/>
        </w:rPr>
        <w:t xml:space="preserve"> </w:t>
      </w:r>
      <w:r w:rsidRPr="008164B8">
        <w:rPr>
          <w:lang w:eastAsia="ja-JP"/>
        </w:rPr>
        <w:t>cases that were adjudicated as meeting the criteria for</w:t>
      </w:r>
      <w:r>
        <w:rPr>
          <w:lang w:eastAsia="ja-JP"/>
        </w:rPr>
        <w:t xml:space="preserve"> </w:t>
      </w:r>
      <w:r w:rsidRPr="008164B8">
        <w:rPr>
          <w:lang w:eastAsia="ja-JP"/>
        </w:rPr>
        <w:t>myopathy or rhabdomyolysis (56 [0.3%]), the remaining cases potentially represent unexplained myalgia</w:t>
      </w:r>
      <w:r>
        <w:rPr>
          <w:lang w:eastAsia="ja-JP"/>
        </w:rPr>
        <w:t xml:space="preserve"> </w:t>
      </w:r>
      <w:r w:rsidRPr="008164B8">
        <w:rPr>
          <w:lang w:eastAsia="ja-JP"/>
        </w:rPr>
        <w:t>in subjects taking statins. Over the course of the IMPROVE-IT</w:t>
      </w:r>
      <w:r>
        <w:rPr>
          <w:lang w:eastAsia="ja-JP"/>
        </w:rPr>
        <w:t xml:space="preserve"> </w:t>
      </w:r>
      <w:r w:rsidRPr="008164B8">
        <w:rPr>
          <w:lang w:eastAsia="ja-JP"/>
        </w:rPr>
        <w:t>trial, there were 1607 (17.7%) subjects who experienced this type of myalgia in the</w:t>
      </w:r>
      <w:r>
        <w:rPr>
          <w:lang w:eastAsia="ja-JP"/>
        </w:rPr>
        <w:t xml:space="preserve"> </w:t>
      </w:r>
      <w:r w:rsidRPr="008164B8">
        <w:rPr>
          <w:lang w:eastAsia="ja-JP"/>
        </w:rPr>
        <w:t>ezetimibe/simvastatin group compared with 1564 (17.2%) subjects in the simvastatin group</w:t>
      </w:r>
      <w:r>
        <w:rPr>
          <w:lang w:eastAsia="ja-JP"/>
        </w:rPr>
        <w:t>. This result is reported to indicate</w:t>
      </w:r>
      <w:r w:rsidRPr="008164B8">
        <w:rPr>
          <w:lang w:eastAsia="ja-JP"/>
        </w:rPr>
        <w:t xml:space="preserve"> no contribution from ezetimibe</w:t>
      </w:r>
      <w:r>
        <w:rPr>
          <w:lang w:eastAsia="ja-JP"/>
        </w:rPr>
        <w:t xml:space="preserve"> to the incidence of this AE</w:t>
      </w:r>
      <w:r w:rsidRPr="008164B8">
        <w:rPr>
          <w:lang w:eastAsia="ja-JP"/>
        </w:rPr>
        <w:t>.</w:t>
      </w:r>
      <w:r>
        <w:rPr>
          <w:lang w:eastAsia="ja-JP"/>
        </w:rPr>
        <w:t xml:space="preserve"> </w:t>
      </w:r>
      <w:r w:rsidRPr="008164B8">
        <w:rPr>
          <w:lang w:eastAsia="ja-JP"/>
        </w:rPr>
        <w:t xml:space="preserve">The rate of </w:t>
      </w:r>
      <w:r w:rsidR="007E2ADF">
        <w:rPr>
          <w:lang w:eastAsia="ja-JP"/>
        </w:rPr>
        <w:t>AEs</w:t>
      </w:r>
      <w:r w:rsidRPr="008164B8">
        <w:rPr>
          <w:lang w:eastAsia="ja-JP"/>
        </w:rPr>
        <w:t xml:space="preserve"> with the preferred term of myalg</w:t>
      </w:r>
      <w:r>
        <w:rPr>
          <w:lang w:eastAsia="ja-JP"/>
        </w:rPr>
        <w:t xml:space="preserve">ia was similar between the </w:t>
      </w:r>
      <w:r w:rsidRPr="008164B8">
        <w:rPr>
          <w:lang w:eastAsia="ja-JP"/>
        </w:rPr>
        <w:t>treatment groups (10.68% in the ezetimibe/simvastatin group and 10.08% in the simvastatin</w:t>
      </w:r>
      <w:r>
        <w:rPr>
          <w:lang w:eastAsia="ja-JP"/>
        </w:rPr>
        <w:t xml:space="preserve"> </w:t>
      </w:r>
      <w:r w:rsidRPr="008164B8">
        <w:rPr>
          <w:lang w:eastAsia="ja-JP"/>
        </w:rPr>
        <w:t>group)</w:t>
      </w:r>
      <w:r>
        <w:rPr>
          <w:lang w:eastAsia="ja-JP"/>
        </w:rPr>
        <w:t xml:space="preserve">. </w:t>
      </w:r>
      <w:r w:rsidR="007E2ADF">
        <w:rPr>
          <w:lang w:eastAsia="ja-JP"/>
        </w:rPr>
        <w:t>AEs</w:t>
      </w:r>
      <w:r w:rsidRPr="008164B8">
        <w:rPr>
          <w:lang w:eastAsia="ja-JP"/>
        </w:rPr>
        <w:t xml:space="preserve"> with the p</w:t>
      </w:r>
      <w:r>
        <w:rPr>
          <w:lang w:eastAsia="ja-JP"/>
        </w:rPr>
        <w:t xml:space="preserve">referred term of myalgia led to </w:t>
      </w:r>
      <w:r w:rsidRPr="008164B8">
        <w:rPr>
          <w:lang w:eastAsia="ja-JP"/>
        </w:rPr>
        <w:t>discontinuation in 209 (2.31%) subjects in the ezetimibe/simvastatin group and 201 (2.21%)</w:t>
      </w:r>
      <w:r>
        <w:rPr>
          <w:lang w:eastAsia="ja-JP"/>
        </w:rPr>
        <w:t xml:space="preserve"> of </w:t>
      </w:r>
      <w:r w:rsidRPr="008164B8">
        <w:rPr>
          <w:lang w:eastAsia="ja-JP"/>
        </w:rPr>
        <w:t>subjects in the simvastatin monotherapy group</w:t>
      </w:r>
      <w:r>
        <w:rPr>
          <w:lang w:eastAsia="ja-JP"/>
        </w:rPr>
        <w:t>.</w:t>
      </w:r>
    </w:p>
    <w:p w14:paraId="25E2C789" w14:textId="77777777" w:rsidR="00E649FC" w:rsidRPr="00545B14" w:rsidRDefault="00E649FC" w:rsidP="00B31CA3">
      <w:pPr>
        <w:pStyle w:val="Heading5"/>
      </w:pPr>
      <w:r w:rsidRPr="00545B14">
        <w:t>Electrocardiograph</w:t>
      </w:r>
      <w:bookmarkEnd w:id="115"/>
      <w:bookmarkEnd w:id="116"/>
      <w:bookmarkEnd w:id="117"/>
      <w:bookmarkEnd w:id="118"/>
      <w:r>
        <w:t xml:space="preserve"> findings and cardiovascular safety</w:t>
      </w:r>
      <w:bookmarkEnd w:id="119"/>
      <w:bookmarkEnd w:id="120"/>
    </w:p>
    <w:p w14:paraId="080D98AE" w14:textId="77777777" w:rsidR="00E649FC" w:rsidRDefault="00E649FC" w:rsidP="00E649FC">
      <w:pPr>
        <w:rPr>
          <w:lang w:eastAsia="ja-JP"/>
        </w:rPr>
      </w:pPr>
      <w:bookmarkStart w:id="121" w:name="_Toc272414676"/>
      <w:bookmarkStart w:id="122" w:name="_Toc290888540"/>
      <w:bookmarkStart w:id="123" w:name="_Toc416353755"/>
      <w:bookmarkStart w:id="124" w:name="_Toc421005298"/>
      <w:bookmarkStart w:id="125" w:name="_Toc432079175"/>
      <w:bookmarkStart w:id="126" w:name="_Toc432080748"/>
      <w:r>
        <w:rPr>
          <w:lang w:eastAsia="ja-JP"/>
        </w:rPr>
        <w:t>The IMPROVE-IT study included ECG criteria for study inclusion, as described above, but there is little detail regarding whether follow-up ECGs were performed and if any changes in ECG were noted in the two treatment arms.</w:t>
      </w:r>
    </w:p>
    <w:p w14:paraId="0CA710BF" w14:textId="77777777" w:rsidR="00E649FC" w:rsidRPr="00545B14" w:rsidRDefault="00E649FC" w:rsidP="00B31CA3">
      <w:pPr>
        <w:pStyle w:val="Heading5"/>
      </w:pPr>
      <w:r w:rsidRPr="00545B14">
        <w:t>Vital signs</w:t>
      </w:r>
      <w:bookmarkEnd w:id="121"/>
      <w:bookmarkEnd w:id="122"/>
      <w:bookmarkEnd w:id="123"/>
      <w:bookmarkEnd w:id="124"/>
      <w:r>
        <w:t xml:space="preserve"> and clinical examination findings</w:t>
      </w:r>
      <w:bookmarkEnd w:id="125"/>
      <w:bookmarkEnd w:id="126"/>
    </w:p>
    <w:p w14:paraId="003A3872" w14:textId="77777777" w:rsidR="00E649FC" w:rsidRDefault="00E649FC" w:rsidP="00E649FC">
      <w:pPr>
        <w:rPr>
          <w:lang w:eastAsia="ja-JP"/>
        </w:rPr>
      </w:pPr>
      <w:bookmarkStart w:id="127" w:name="_Toc432079176"/>
      <w:bookmarkStart w:id="128" w:name="_Toc432080749"/>
      <w:r w:rsidRPr="008649BB">
        <w:rPr>
          <w:lang w:eastAsia="ja-JP"/>
        </w:rPr>
        <w:t xml:space="preserve">Change from baseline for vital signs including pulse, systolic, and diastolic blood pressure </w:t>
      </w:r>
      <w:r>
        <w:rPr>
          <w:lang w:eastAsia="ja-JP"/>
        </w:rPr>
        <w:t xml:space="preserve">was assessed. </w:t>
      </w:r>
      <w:r w:rsidRPr="008649BB">
        <w:rPr>
          <w:lang w:eastAsia="ja-JP"/>
        </w:rPr>
        <w:t>No</w:t>
      </w:r>
      <w:r>
        <w:rPr>
          <w:lang w:eastAsia="ja-JP"/>
        </w:rPr>
        <w:t xml:space="preserve"> </w:t>
      </w:r>
      <w:r w:rsidRPr="008649BB">
        <w:rPr>
          <w:lang w:eastAsia="ja-JP"/>
        </w:rPr>
        <w:t>clinically meaningful differences were noted.</w:t>
      </w:r>
    </w:p>
    <w:p w14:paraId="549424B6" w14:textId="77777777" w:rsidR="00E649FC" w:rsidRDefault="00E649FC" w:rsidP="00B31CA3">
      <w:pPr>
        <w:pStyle w:val="Heading5"/>
      </w:pPr>
      <w:r>
        <w:t>Immunogenicity and immunological events</w:t>
      </w:r>
      <w:bookmarkEnd w:id="127"/>
      <w:bookmarkEnd w:id="128"/>
    </w:p>
    <w:p w14:paraId="67A98201" w14:textId="77777777" w:rsidR="00FF7EF3" w:rsidRDefault="00E649FC" w:rsidP="00E649FC">
      <w:pPr>
        <w:rPr>
          <w:lang w:eastAsia="ja-JP"/>
        </w:rPr>
      </w:pPr>
      <w:bookmarkStart w:id="129" w:name="_Toc432079177"/>
      <w:bookmarkStart w:id="130" w:name="_Toc432080750"/>
      <w:r>
        <w:rPr>
          <w:lang w:eastAsia="ja-JP"/>
        </w:rPr>
        <w:t xml:space="preserve">There were </w:t>
      </w:r>
      <w:r w:rsidRPr="00FB2FA7">
        <w:rPr>
          <w:lang w:eastAsia="ja-JP"/>
        </w:rPr>
        <w:t>no meaningful differences between the treatment groups related to hypersensitivity reaction</w:t>
      </w:r>
      <w:r>
        <w:rPr>
          <w:lang w:eastAsia="ja-JP"/>
        </w:rPr>
        <w:t xml:space="preserve"> </w:t>
      </w:r>
      <w:r w:rsidRPr="00FB2FA7">
        <w:rPr>
          <w:lang w:eastAsia="ja-JP"/>
        </w:rPr>
        <w:t>related</w:t>
      </w:r>
      <w:r>
        <w:rPr>
          <w:lang w:eastAsia="ja-JP"/>
        </w:rPr>
        <w:t xml:space="preserve"> </w:t>
      </w:r>
      <w:r w:rsidR="007E2ADF">
        <w:rPr>
          <w:lang w:eastAsia="ja-JP"/>
        </w:rPr>
        <w:t>AEs</w:t>
      </w:r>
      <w:r w:rsidRPr="00FB2FA7">
        <w:rPr>
          <w:lang w:eastAsia="ja-JP"/>
        </w:rPr>
        <w:t>. There were 735 (8.11%) subjects in the ezetimibe/simvastatin group</w:t>
      </w:r>
      <w:r>
        <w:rPr>
          <w:lang w:eastAsia="ja-JP"/>
        </w:rPr>
        <w:t xml:space="preserve"> </w:t>
      </w:r>
      <w:r w:rsidRPr="00FB2FA7">
        <w:rPr>
          <w:lang w:eastAsia="ja-JP"/>
        </w:rPr>
        <w:t>and 748 (8.24%) in the simvastatin monotherapy group who had an adverse event related to</w:t>
      </w:r>
      <w:r>
        <w:rPr>
          <w:lang w:eastAsia="ja-JP"/>
        </w:rPr>
        <w:t xml:space="preserve"> </w:t>
      </w:r>
      <w:r w:rsidRPr="00FB2FA7">
        <w:rPr>
          <w:lang w:eastAsia="ja-JP"/>
        </w:rPr>
        <w:t>hypersensitivity reactions</w:t>
      </w:r>
      <w:r w:rsidR="00FF7EF3">
        <w:rPr>
          <w:lang w:eastAsia="ja-JP"/>
        </w:rPr>
        <w:t>.</w:t>
      </w:r>
    </w:p>
    <w:p w14:paraId="108DDAB4" w14:textId="61DFF43C" w:rsidR="00E649FC" w:rsidRPr="00E7113A" w:rsidRDefault="00E649FC" w:rsidP="00B31CA3">
      <w:pPr>
        <w:pStyle w:val="Heading5"/>
      </w:pPr>
      <w:r w:rsidRPr="00E7113A">
        <w:t>Serious skin reactions</w:t>
      </w:r>
      <w:bookmarkEnd w:id="129"/>
      <w:bookmarkEnd w:id="130"/>
    </w:p>
    <w:p w14:paraId="2D0BE191" w14:textId="6B901F54" w:rsidR="00E649FC" w:rsidRDefault="00E649FC" w:rsidP="00E649FC">
      <w:pPr>
        <w:rPr>
          <w:lang w:eastAsia="ja-JP"/>
        </w:rPr>
      </w:pPr>
      <w:bookmarkStart w:id="131" w:name="_Toc272414678"/>
      <w:bookmarkStart w:id="132" w:name="_Toc290888542"/>
      <w:bookmarkStart w:id="133" w:name="_Toc416353757"/>
      <w:bookmarkStart w:id="134" w:name="_Toc421005300"/>
      <w:bookmarkStart w:id="135" w:name="_Toc432079178"/>
      <w:bookmarkStart w:id="136" w:name="_Toc432080751"/>
      <w:r>
        <w:rPr>
          <w:lang w:eastAsia="ja-JP"/>
        </w:rPr>
        <w:t xml:space="preserve">There was one report of Stevens-Johnson syndrome in the simvastatin treatment arm and two cases or erythema </w:t>
      </w:r>
      <w:proofErr w:type="spellStart"/>
      <w:r>
        <w:rPr>
          <w:lang w:eastAsia="ja-JP"/>
        </w:rPr>
        <w:t>multiforme</w:t>
      </w:r>
      <w:proofErr w:type="spellEnd"/>
      <w:r>
        <w:rPr>
          <w:lang w:eastAsia="ja-JP"/>
        </w:rPr>
        <w:t xml:space="preserve"> in the ezetimibe/simvastatin treatment ar</w:t>
      </w:r>
      <w:r w:rsidR="008D290D">
        <w:rPr>
          <w:lang w:eastAsia="ja-JP"/>
        </w:rPr>
        <w:t>m</w:t>
      </w:r>
      <w:r>
        <w:rPr>
          <w:lang w:eastAsia="ja-JP"/>
        </w:rPr>
        <w:t>. These cases are not discussed in detail in the CSR.</w:t>
      </w:r>
    </w:p>
    <w:p w14:paraId="3BD937AA" w14:textId="77777777" w:rsidR="00E649FC" w:rsidRPr="00545B14" w:rsidRDefault="00E649FC" w:rsidP="00B31CA3">
      <w:pPr>
        <w:pStyle w:val="Heading5"/>
      </w:pPr>
      <w:bookmarkStart w:id="137" w:name="_Ref458176679"/>
      <w:r w:rsidRPr="00545B14">
        <w:lastRenderedPageBreak/>
        <w:t>Other safety parameter</w:t>
      </w:r>
      <w:bookmarkEnd w:id="131"/>
      <w:bookmarkEnd w:id="132"/>
      <w:bookmarkEnd w:id="133"/>
      <w:bookmarkEnd w:id="134"/>
      <w:bookmarkEnd w:id="135"/>
      <w:bookmarkEnd w:id="136"/>
      <w:r>
        <w:t>s</w:t>
      </w:r>
      <w:bookmarkEnd w:id="137"/>
    </w:p>
    <w:p w14:paraId="1739533F" w14:textId="77777777" w:rsidR="00E649FC" w:rsidRPr="00B31CA3" w:rsidRDefault="00E649FC" w:rsidP="00B31CA3">
      <w:pPr>
        <w:pStyle w:val="Heading6"/>
      </w:pPr>
      <w:r w:rsidRPr="00B31CA3">
        <w:t>Malignancy</w:t>
      </w:r>
    </w:p>
    <w:p w14:paraId="652C1F8F" w14:textId="77777777" w:rsidR="00FF7EF3" w:rsidRDefault="00E649FC" w:rsidP="00E649FC">
      <w:pPr>
        <w:rPr>
          <w:lang w:eastAsia="ja-JP"/>
        </w:rPr>
      </w:pPr>
      <w:r w:rsidRPr="00717D1A">
        <w:rPr>
          <w:lang w:eastAsia="ja-JP"/>
        </w:rPr>
        <w:t>Investigators were required</w:t>
      </w:r>
      <w:r>
        <w:rPr>
          <w:lang w:eastAsia="ja-JP"/>
        </w:rPr>
        <w:t xml:space="preserve"> to report</w:t>
      </w:r>
      <w:r w:rsidRPr="00717D1A">
        <w:rPr>
          <w:lang w:eastAsia="ja-JP"/>
        </w:rPr>
        <w:t xml:space="preserve"> detailed information for any</w:t>
      </w:r>
      <w:r>
        <w:rPr>
          <w:lang w:eastAsia="ja-JP"/>
        </w:rPr>
        <w:t xml:space="preserve"> </w:t>
      </w:r>
      <w:r w:rsidRPr="00717D1A">
        <w:rPr>
          <w:lang w:eastAsia="ja-JP"/>
        </w:rPr>
        <w:t>malignancy/neoplasm that wa</w:t>
      </w:r>
      <w:r w:rsidR="00FD25A8">
        <w:rPr>
          <w:lang w:eastAsia="ja-JP"/>
        </w:rPr>
        <w:t>s newly diagnosed after randomis</w:t>
      </w:r>
      <w:r w:rsidRPr="00717D1A">
        <w:rPr>
          <w:lang w:eastAsia="ja-JP"/>
        </w:rPr>
        <w:t>ation (regardless of the timing</w:t>
      </w:r>
      <w:r>
        <w:rPr>
          <w:lang w:eastAsia="ja-JP"/>
        </w:rPr>
        <w:t xml:space="preserve"> </w:t>
      </w:r>
      <w:r w:rsidRPr="00717D1A">
        <w:rPr>
          <w:lang w:eastAsia="ja-JP"/>
        </w:rPr>
        <w:t>of the last dose of study drug), as well as pre-existing malignancies that worsened, relapsed,</w:t>
      </w:r>
      <w:r>
        <w:rPr>
          <w:lang w:eastAsia="ja-JP"/>
        </w:rPr>
        <w:t xml:space="preserve"> </w:t>
      </w:r>
      <w:r w:rsidRPr="00717D1A">
        <w:rPr>
          <w:lang w:eastAsia="ja-JP"/>
        </w:rPr>
        <w:t>o</w:t>
      </w:r>
      <w:r w:rsidR="00FD25A8">
        <w:rPr>
          <w:lang w:eastAsia="ja-JP"/>
        </w:rPr>
        <w:t>r caused a new AE after randomis</w:t>
      </w:r>
      <w:r w:rsidRPr="00717D1A">
        <w:rPr>
          <w:lang w:eastAsia="ja-JP"/>
        </w:rPr>
        <w:t xml:space="preserve">ation. </w:t>
      </w:r>
      <w:r>
        <w:rPr>
          <w:lang w:eastAsia="ja-JP"/>
        </w:rPr>
        <w:t>A</w:t>
      </w:r>
      <w:r w:rsidRPr="00717D1A">
        <w:rPr>
          <w:lang w:eastAsia="ja-JP"/>
        </w:rPr>
        <w:t>ll cases were submitted for adjudication by oncology members of the CEC.</w:t>
      </w:r>
      <w:r>
        <w:rPr>
          <w:lang w:eastAsia="ja-JP"/>
        </w:rPr>
        <w:t xml:space="preserve"> </w:t>
      </w:r>
      <w:r w:rsidRPr="00717D1A">
        <w:rPr>
          <w:lang w:eastAsia="ja-JP"/>
        </w:rPr>
        <w:t>These events were classified as to whether or not they were malignant, site of origin, extent</w:t>
      </w:r>
      <w:r>
        <w:rPr>
          <w:lang w:eastAsia="ja-JP"/>
        </w:rPr>
        <w:t xml:space="preserve"> </w:t>
      </w:r>
      <w:r w:rsidRPr="00717D1A">
        <w:rPr>
          <w:lang w:eastAsia="ja-JP"/>
        </w:rPr>
        <w:t>of disease involvement, and relationship to vital status</w:t>
      </w:r>
      <w:r w:rsidR="00FF7EF3">
        <w:rPr>
          <w:lang w:eastAsia="ja-JP"/>
        </w:rPr>
        <w:t>.</w:t>
      </w:r>
    </w:p>
    <w:p w14:paraId="370EDD3A" w14:textId="6CED42E4" w:rsidR="00E649FC" w:rsidRDefault="00FD25A8" w:rsidP="00E649FC">
      <w:pPr>
        <w:rPr>
          <w:lang w:eastAsia="ja-JP"/>
        </w:rPr>
      </w:pPr>
      <w:r>
        <w:rPr>
          <w:lang w:eastAsia="ja-JP"/>
        </w:rPr>
        <w:t xml:space="preserve">The analysis of CEC </w:t>
      </w:r>
      <w:r w:rsidR="00E649FC">
        <w:rPr>
          <w:lang w:eastAsia="ja-JP"/>
        </w:rPr>
        <w:t xml:space="preserve">adjudicated new cancers and death due to cancer found that the overall </w:t>
      </w:r>
      <w:r w:rsidR="00E649FC" w:rsidRPr="00717D1A">
        <w:rPr>
          <w:lang w:eastAsia="ja-JP"/>
        </w:rPr>
        <w:t>incidence of new cancers or death due to cancer did</w:t>
      </w:r>
      <w:r w:rsidR="00E649FC">
        <w:rPr>
          <w:lang w:eastAsia="ja-JP"/>
        </w:rPr>
        <w:t xml:space="preserve"> </w:t>
      </w:r>
      <w:r w:rsidR="00E649FC" w:rsidRPr="00717D1A">
        <w:rPr>
          <w:lang w:eastAsia="ja-JP"/>
        </w:rPr>
        <w:t>not meaningfully differ between t</w:t>
      </w:r>
      <w:r w:rsidR="00E649FC">
        <w:rPr>
          <w:lang w:eastAsia="ja-JP"/>
        </w:rPr>
        <w:t>he treatment groups as the associated hazard ratios</w:t>
      </w:r>
      <w:r w:rsidR="00E649FC" w:rsidRPr="00717D1A">
        <w:rPr>
          <w:lang w:eastAsia="ja-JP"/>
        </w:rPr>
        <w:t xml:space="preserve"> for these endpoints </w:t>
      </w:r>
      <w:r w:rsidR="00E649FC">
        <w:rPr>
          <w:lang w:eastAsia="ja-JP"/>
        </w:rPr>
        <w:t xml:space="preserve">were </w:t>
      </w:r>
      <w:r w:rsidR="00E649FC" w:rsidRPr="00717D1A">
        <w:rPr>
          <w:lang w:eastAsia="ja-JP"/>
        </w:rPr>
        <w:t>all</w:t>
      </w:r>
      <w:r w:rsidR="00E649FC">
        <w:rPr>
          <w:lang w:eastAsia="ja-JP"/>
        </w:rPr>
        <w:t xml:space="preserve"> </w:t>
      </w:r>
      <w:r w:rsidR="00E649FC" w:rsidRPr="00717D1A">
        <w:rPr>
          <w:lang w:eastAsia="ja-JP"/>
        </w:rPr>
        <w:t>near 1.0 (range 0.993-1.032).</w:t>
      </w:r>
    </w:p>
    <w:p w14:paraId="5049B929" w14:textId="77777777" w:rsidR="00E649FC" w:rsidRDefault="00E649FC" w:rsidP="00E649FC">
      <w:pPr>
        <w:pStyle w:val="Heading6"/>
        <w:rPr>
          <w:lang w:eastAsia="ja-JP"/>
        </w:rPr>
      </w:pPr>
      <w:r>
        <w:rPr>
          <w:lang w:eastAsia="ja-JP"/>
        </w:rPr>
        <w:t>New onset diabetes</w:t>
      </w:r>
    </w:p>
    <w:p w14:paraId="3751317D" w14:textId="77777777" w:rsidR="00E649FC" w:rsidRPr="00AC79EF" w:rsidRDefault="00E649FC" w:rsidP="00E649FC">
      <w:pPr>
        <w:rPr>
          <w:lang w:eastAsia="ja-JP"/>
        </w:rPr>
      </w:pPr>
      <w:r>
        <w:rPr>
          <w:lang w:eastAsia="ja-JP"/>
        </w:rPr>
        <w:t>A</w:t>
      </w:r>
      <w:r w:rsidRPr="00AC79EF">
        <w:rPr>
          <w:lang w:eastAsia="ja-JP"/>
        </w:rPr>
        <w:t>pproximately 7.2% of subjects were either reported or ded</w:t>
      </w:r>
      <w:r>
        <w:rPr>
          <w:lang w:eastAsia="ja-JP"/>
        </w:rPr>
        <w:t xml:space="preserve">uced to have developed diabetes </w:t>
      </w:r>
      <w:r w:rsidRPr="00AC79EF">
        <w:rPr>
          <w:lang w:eastAsia="ja-JP"/>
        </w:rPr>
        <w:t>over the course of the trial. No clinically meaningful diffe</w:t>
      </w:r>
      <w:r>
        <w:rPr>
          <w:lang w:eastAsia="ja-JP"/>
        </w:rPr>
        <w:t xml:space="preserve">rences between treatment groups </w:t>
      </w:r>
      <w:r w:rsidRPr="00AC79EF">
        <w:rPr>
          <w:lang w:eastAsia="ja-JP"/>
        </w:rPr>
        <w:t>were noted; there were 650 (7.2%) subjects</w:t>
      </w:r>
      <w:r>
        <w:rPr>
          <w:lang w:eastAsia="ja-JP"/>
        </w:rPr>
        <w:t xml:space="preserve"> with New Onset Diabetes in the </w:t>
      </w:r>
      <w:r w:rsidRPr="00AC79EF">
        <w:rPr>
          <w:lang w:eastAsia="ja-JP"/>
        </w:rPr>
        <w:t>ezetimibe/simvastatin group and 659 (7.3%) in the simvastatin group.</w:t>
      </w:r>
    </w:p>
    <w:p w14:paraId="40E448D9" w14:textId="77777777" w:rsidR="00E649FC" w:rsidRDefault="00E649FC" w:rsidP="00E649FC">
      <w:pPr>
        <w:pStyle w:val="Heading6"/>
        <w:rPr>
          <w:lang w:eastAsia="ja-JP"/>
        </w:rPr>
      </w:pPr>
      <w:r>
        <w:rPr>
          <w:lang w:eastAsia="ja-JP"/>
        </w:rPr>
        <w:t>Pancreatitis</w:t>
      </w:r>
    </w:p>
    <w:p w14:paraId="10CB8EC4" w14:textId="77777777" w:rsidR="00E649FC" w:rsidRPr="009E466D" w:rsidRDefault="00E649FC" w:rsidP="00E649FC">
      <w:pPr>
        <w:rPr>
          <w:lang w:eastAsia="ja-JP"/>
        </w:rPr>
      </w:pPr>
      <w:r w:rsidRPr="009E466D">
        <w:rPr>
          <w:lang w:eastAsia="ja-JP"/>
        </w:rPr>
        <w:t>No clinically meaningful differences between treatment</w:t>
      </w:r>
      <w:r>
        <w:rPr>
          <w:lang w:eastAsia="ja-JP"/>
        </w:rPr>
        <w:t xml:space="preserve"> </w:t>
      </w:r>
      <w:r w:rsidRPr="009E466D">
        <w:rPr>
          <w:lang w:eastAsia="ja-JP"/>
        </w:rPr>
        <w:t>groups in specific pancreatitis related adverse experiences were noted; there were 57 (0.63%)</w:t>
      </w:r>
      <w:r>
        <w:rPr>
          <w:lang w:eastAsia="ja-JP"/>
        </w:rPr>
        <w:t xml:space="preserve"> </w:t>
      </w:r>
      <w:r w:rsidRPr="009E466D">
        <w:rPr>
          <w:lang w:eastAsia="ja-JP"/>
        </w:rPr>
        <w:t>subjects with an AE of pancreatitis in the ezetimibe/simvastatin group and 58 (0.64%) in the</w:t>
      </w:r>
      <w:r>
        <w:rPr>
          <w:lang w:eastAsia="ja-JP"/>
        </w:rPr>
        <w:t xml:space="preserve"> </w:t>
      </w:r>
      <w:r w:rsidRPr="009E466D">
        <w:rPr>
          <w:lang w:eastAsia="ja-JP"/>
        </w:rPr>
        <w:t>simvastatin group.</w:t>
      </w:r>
    </w:p>
    <w:p w14:paraId="6C30B830" w14:textId="77777777" w:rsidR="00E649FC" w:rsidRDefault="00E649FC" w:rsidP="00E649FC">
      <w:pPr>
        <w:pStyle w:val="Heading6"/>
        <w:rPr>
          <w:lang w:eastAsia="ja-JP"/>
        </w:rPr>
      </w:pPr>
      <w:r>
        <w:rPr>
          <w:lang w:eastAsia="ja-JP"/>
        </w:rPr>
        <w:t>Acute renal failure</w:t>
      </w:r>
    </w:p>
    <w:p w14:paraId="2416F21D" w14:textId="3A4C5E70" w:rsidR="00E649FC" w:rsidRPr="009E466D" w:rsidRDefault="00E649FC" w:rsidP="00E649FC">
      <w:pPr>
        <w:rPr>
          <w:lang w:eastAsia="ja-JP"/>
        </w:rPr>
      </w:pPr>
      <w:r w:rsidRPr="009E466D">
        <w:rPr>
          <w:lang w:eastAsia="ja-JP"/>
        </w:rPr>
        <w:t>There were no meaningful differences between treatment groups in specific renal failure</w:t>
      </w:r>
      <w:r>
        <w:rPr>
          <w:lang w:eastAsia="ja-JP"/>
        </w:rPr>
        <w:t xml:space="preserve"> </w:t>
      </w:r>
      <w:r w:rsidRPr="009E466D">
        <w:rPr>
          <w:lang w:eastAsia="ja-JP"/>
        </w:rPr>
        <w:t>related adverse experiences. There were 259 (2.86%) subjects</w:t>
      </w:r>
      <w:r>
        <w:rPr>
          <w:lang w:eastAsia="ja-JP"/>
        </w:rPr>
        <w:t xml:space="preserve"> with acute renal failure</w:t>
      </w:r>
      <w:r w:rsidRPr="009E466D">
        <w:rPr>
          <w:lang w:eastAsia="ja-JP"/>
        </w:rPr>
        <w:t xml:space="preserve"> in the ezetimibe/simvastatin</w:t>
      </w:r>
      <w:r>
        <w:rPr>
          <w:lang w:eastAsia="ja-JP"/>
        </w:rPr>
        <w:t xml:space="preserve"> </w:t>
      </w:r>
      <w:r w:rsidR="0049179D">
        <w:rPr>
          <w:lang w:eastAsia="ja-JP"/>
        </w:rPr>
        <w:t xml:space="preserve">group versus </w:t>
      </w:r>
      <w:r w:rsidRPr="009E466D">
        <w:rPr>
          <w:lang w:eastAsia="ja-JP"/>
        </w:rPr>
        <w:t>235 (2.59%) in the simvastatin group.</w:t>
      </w:r>
    </w:p>
    <w:p w14:paraId="1F5312EF" w14:textId="77777777" w:rsidR="00E649FC" w:rsidRDefault="00E649FC" w:rsidP="00E649FC">
      <w:pPr>
        <w:pStyle w:val="Heading6"/>
        <w:rPr>
          <w:lang w:eastAsia="ja-JP"/>
        </w:rPr>
      </w:pPr>
      <w:r>
        <w:rPr>
          <w:lang w:eastAsia="ja-JP"/>
        </w:rPr>
        <w:t>Interstitial lung disease</w:t>
      </w:r>
    </w:p>
    <w:p w14:paraId="510A30D7" w14:textId="77777777" w:rsidR="00E649FC" w:rsidRPr="009E466D" w:rsidRDefault="00E649FC" w:rsidP="00E649FC">
      <w:pPr>
        <w:rPr>
          <w:lang w:eastAsia="ja-JP"/>
        </w:rPr>
      </w:pPr>
      <w:r>
        <w:rPr>
          <w:lang w:eastAsia="ja-JP"/>
        </w:rPr>
        <w:t>N</w:t>
      </w:r>
      <w:r w:rsidRPr="009E466D">
        <w:rPr>
          <w:lang w:eastAsia="ja-JP"/>
        </w:rPr>
        <w:t>o meaningful differences between the treatment groups related to</w:t>
      </w:r>
      <w:r>
        <w:rPr>
          <w:lang w:eastAsia="ja-JP"/>
        </w:rPr>
        <w:t xml:space="preserve"> </w:t>
      </w:r>
      <w:r w:rsidRPr="009E466D">
        <w:rPr>
          <w:lang w:eastAsia="ja-JP"/>
        </w:rPr>
        <w:t>interstitial lung disease were identified. There were 34 (0.37%) subjects in the</w:t>
      </w:r>
      <w:r>
        <w:rPr>
          <w:lang w:eastAsia="ja-JP"/>
        </w:rPr>
        <w:t xml:space="preserve"> </w:t>
      </w:r>
      <w:r w:rsidRPr="009E466D">
        <w:rPr>
          <w:lang w:eastAsia="ja-JP"/>
        </w:rPr>
        <w:t>ezetimibe/simvastatin group and 40 (0.44%) in the simvastatin group who had an adverse</w:t>
      </w:r>
      <w:r>
        <w:rPr>
          <w:lang w:eastAsia="ja-JP"/>
        </w:rPr>
        <w:t xml:space="preserve"> </w:t>
      </w:r>
      <w:r w:rsidRPr="009E466D">
        <w:rPr>
          <w:lang w:eastAsia="ja-JP"/>
        </w:rPr>
        <w:t>event related to interstitial lung disease.</w:t>
      </w:r>
    </w:p>
    <w:p w14:paraId="0F009607" w14:textId="77777777" w:rsidR="00E649FC" w:rsidRDefault="00E649FC" w:rsidP="00E649FC">
      <w:pPr>
        <w:pStyle w:val="Heading6"/>
        <w:rPr>
          <w:lang w:eastAsia="ja-JP"/>
        </w:rPr>
      </w:pPr>
      <w:r>
        <w:rPr>
          <w:lang w:eastAsia="ja-JP"/>
        </w:rPr>
        <w:t>Haemorrhagic stroke</w:t>
      </w:r>
    </w:p>
    <w:p w14:paraId="24884FEE" w14:textId="21C8D1B0" w:rsidR="00E649FC" w:rsidRPr="009E466D" w:rsidRDefault="00E649FC" w:rsidP="00E649FC">
      <w:pPr>
        <w:rPr>
          <w:lang w:eastAsia="ja-JP"/>
        </w:rPr>
      </w:pPr>
      <w:r w:rsidRPr="009E466D">
        <w:rPr>
          <w:lang w:eastAsia="ja-JP"/>
        </w:rPr>
        <w:t>In the ITT analysis, there were 59</w:t>
      </w:r>
      <w:r>
        <w:rPr>
          <w:lang w:eastAsia="ja-JP"/>
        </w:rPr>
        <w:t xml:space="preserve"> </w:t>
      </w:r>
      <w:r w:rsidRPr="009E466D">
        <w:rPr>
          <w:lang w:eastAsia="ja-JP"/>
        </w:rPr>
        <w:t>haemorrhagic strokes in the ezetimibe/simvastatin group and 43 in the simvastatin group, with</w:t>
      </w:r>
      <w:r>
        <w:rPr>
          <w:lang w:eastAsia="ja-JP"/>
        </w:rPr>
        <w:t xml:space="preserve"> </w:t>
      </w:r>
      <w:r w:rsidRPr="009E466D">
        <w:rPr>
          <w:lang w:eastAsia="ja-JP"/>
        </w:rPr>
        <w:t>an annualized rate of 0.12 and 0.09, respectively. At 7 years, the KM estimates were 0.77%</w:t>
      </w:r>
      <w:r>
        <w:rPr>
          <w:lang w:eastAsia="ja-JP"/>
        </w:rPr>
        <w:t xml:space="preserve"> </w:t>
      </w:r>
      <w:r w:rsidRPr="009E466D">
        <w:rPr>
          <w:lang w:eastAsia="ja-JP"/>
        </w:rPr>
        <w:t>in the ezetimibe/simvastatin group and 0.59% in the sim</w:t>
      </w:r>
      <w:r w:rsidR="0088380F">
        <w:rPr>
          <w:lang w:eastAsia="ja-JP"/>
        </w:rPr>
        <w:t>vastatin group (HR 1.377; 0.930-</w:t>
      </w:r>
      <w:r w:rsidRPr="009E466D">
        <w:rPr>
          <w:lang w:eastAsia="ja-JP"/>
        </w:rPr>
        <w:t>2.040; p</w:t>
      </w:r>
      <w:r w:rsidR="0088380F">
        <w:rPr>
          <w:lang w:eastAsia="ja-JP"/>
        </w:rPr>
        <w:t xml:space="preserve"> </w:t>
      </w:r>
      <w:r w:rsidRPr="009E466D">
        <w:rPr>
          <w:lang w:eastAsia="ja-JP"/>
        </w:rPr>
        <w:t>=</w:t>
      </w:r>
      <w:r w:rsidR="0088380F">
        <w:rPr>
          <w:lang w:eastAsia="ja-JP"/>
        </w:rPr>
        <w:t xml:space="preserve"> </w:t>
      </w:r>
      <w:r w:rsidRPr="009E466D">
        <w:rPr>
          <w:lang w:eastAsia="ja-JP"/>
        </w:rPr>
        <w:t>0.110). In the on-treatment analysis which censored events occurring beyond 30</w:t>
      </w:r>
      <w:r>
        <w:rPr>
          <w:lang w:eastAsia="ja-JP"/>
        </w:rPr>
        <w:t xml:space="preserve"> </w:t>
      </w:r>
      <w:r w:rsidRPr="009E466D">
        <w:rPr>
          <w:lang w:eastAsia="ja-JP"/>
        </w:rPr>
        <w:t>days after the date of permanent discontinuation of study drug, there were 32 haemorrhagic</w:t>
      </w:r>
      <w:r>
        <w:rPr>
          <w:lang w:eastAsia="ja-JP"/>
        </w:rPr>
        <w:t xml:space="preserve"> </w:t>
      </w:r>
      <w:r w:rsidRPr="009E466D">
        <w:rPr>
          <w:lang w:eastAsia="ja-JP"/>
        </w:rPr>
        <w:t>stroke events in the ezetimibe/simvastatin group compared with 34 in the simvastatin group.</w:t>
      </w:r>
      <w:r w:rsidR="0049179D">
        <w:rPr>
          <w:lang w:eastAsia="ja-JP"/>
        </w:rPr>
        <w:t xml:space="preserve"> The s</w:t>
      </w:r>
      <w:r>
        <w:rPr>
          <w:lang w:eastAsia="ja-JP"/>
        </w:rPr>
        <w:t>ponsor states that t</w:t>
      </w:r>
      <w:r w:rsidRPr="009E466D">
        <w:rPr>
          <w:lang w:eastAsia="ja-JP"/>
        </w:rPr>
        <w:t>hese findings indicate that a large proportion of the haemorrhagic stroke events occurring in</w:t>
      </w:r>
      <w:r>
        <w:rPr>
          <w:lang w:eastAsia="ja-JP"/>
        </w:rPr>
        <w:t xml:space="preserve"> </w:t>
      </w:r>
      <w:r w:rsidRPr="009E466D">
        <w:rPr>
          <w:lang w:eastAsia="ja-JP"/>
        </w:rPr>
        <w:t>subjects allocated to ezetimibe/simvastatin occurred after the subjects had discontinued study</w:t>
      </w:r>
      <w:r>
        <w:rPr>
          <w:lang w:eastAsia="ja-JP"/>
        </w:rPr>
        <w:t xml:space="preserve"> </w:t>
      </w:r>
      <w:r w:rsidRPr="009E466D">
        <w:rPr>
          <w:lang w:eastAsia="ja-JP"/>
        </w:rPr>
        <w:t>therapy.</w:t>
      </w:r>
    </w:p>
    <w:p w14:paraId="1C6F1895" w14:textId="77777777" w:rsidR="00605AD4" w:rsidRDefault="00605AD4" w:rsidP="00605AD4">
      <w:pPr>
        <w:pStyle w:val="Heading4"/>
      </w:pPr>
      <w:r w:rsidRPr="00605AD4">
        <w:t>Post</w:t>
      </w:r>
      <w:r w:rsidR="00E63418">
        <w:t xml:space="preserve"> </w:t>
      </w:r>
      <w:r w:rsidRPr="00605AD4">
        <w:t>marketing data</w:t>
      </w:r>
    </w:p>
    <w:p w14:paraId="6D0ECBAA" w14:textId="7D6470D0" w:rsidR="009B75D6" w:rsidRPr="00E47344" w:rsidRDefault="0049179D" w:rsidP="009B75D6">
      <w:pPr>
        <w:rPr>
          <w:lang w:eastAsia="ja-JP"/>
        </w:rPr>
      </w:pPr>
      <w:r>
        <w:rPr>
          <w:lang w:eastAsia="ja-JP"/>
        </w:rPr>
        <w:t>The s</w:t>
      </w:r>
      <w:r w:rsidR="009B75D6">
        <w:rPr>
          <w:lang w:eastAsia="ja-JP"/>
        </w:rPr>
        <w:t xml:space="preserve">ponsor estimates the post market exposure for ezetimibe/atorvastatin from 2013 to 31 December 2014 to be </w:t>
      </w:r>
      <w:r w:rsidR="009B75D6" w:rsidRPr="00E47344">
        <w:rPr>
          <w:lang w:eastAsia="ja-JP"/>
        </w:rPr>
        <w:t>16,422,093 tablet</w:t>
      </w:r>
      <w:r w:rsidR="009B75D6">
        <w:rPr>
          <w:lang w:eastAsia="ja-JP"/>
        </w:rPr>
        <w:t xml:space="preserve">s distributed with an </w:t>
      </w:r>
      <w:r w:rsidR="009B75D6" w:rsidRPr="00E47344">
        <w:rPr>
          <w:lang w:eastAsia="ja-JP"/>
        </w:rPr>
        <w:t>estimated 44,992 patient-treatment years of use of ezetimibe/atorvastatin.</w:t>
      </w:r>
    </w:p>
    <w:p w14:paraId="6BA83A28" w14:textId="4A804528" w:rsidR="009B75D6" w:rsidRDefault="00E80FB1" w:rsidP="009B75D6">
      <w:pPr>
        <w:rPr>
          <w:lang w:eastAsia="ja-JP"/>
        </w:rPr>
      </w:pPr>
      <w:r>
        <w:rPr>
          <w:lang w:eastAsia="ja-JP"/>
        </w:rPr>
        <w:lastRenderedPageBreak/>
        <w:t>The s</w:t>
      </w:r>
      <w:r w:rsidR="009B75D6">
        <w:rPr>
          <w:lang w:eastAsia="ja-JP"/>
        </w:rPr>
        <w:t xml:space="preserve">ponsor has provided an analysis of post market reports for eight adverse events of interest. A cumulative search of the company global pharmacovigilance database through 31 December 2014 was performed for all medically confirmed spontaneous reports including literature cases and cases from regulatory agencies with at least one preferred term form the standardised </w:t>
      </w:r>
      <w:proofErr w:type="spellStart"/>
      <w:r w:rsidR="009B75D6">
        <w:rPr>
          <w:lang w:eastAsia="ja-JP"/>
        </w:rPr>
        <w:t>MedDRA</w:t>
      </w:r>
      <w:proofErr w:type="spellEnd"/>
      <w:r w:rsidR="009B75D6">
        <w:rPr>
          <w:lang w:eastAsia="ja-JP"/>
        </w:rPr>
        <w:t xml:space="preserve"> queries (SMQ). Only narrow </w:t>
      </w:r>
      <w:r w:rsidR="009B75D6" w:rsidRPr="002C0A8A">
        <w:rPr>
          <w:lang w:eastAsia="ja-JP"/>
        </w:rPr>
        <w:t>terms were included in the search. A separate search was run to retrieve consumer reports.</w:t>
      </w:r>
    </w:p>
    <w:p w14:paraId="2FCC050C" w14:textId="77777777" w:rsidR="00605AD4" w:rsidRPr="00605AD4" w:rsidRDefault="00605AD4" w:rsidP="00605AD4">
      <w:pPr>
        <w:pStyle w:val="Heading4"/>
      </w:pPr>
      <w:r w:rsidRPr="00605AD4">
        <w:t>Evaluator’s conclusions on safety</w:t>
      </w:r>
    </w:p>
    <w:p w14:paraId="33B85623" w14:textId="77777777" w:rsidR="00FF7EF3" w:rsidRDefault="009B75D6" w:rsidP="009B75D6">
      <w:pPr>
        <w:rPr>
          <w:lang w:eastAsia="ja-JP"/>
        </w:rPr>
      </w:pPr>
      <w:r>
        <w:rPr>
          <w:lang w:eastAsia="ja-JP"/>
        </w:rPr>
        <w:t>The safety results of the IMPROVE-IT study were evaluated in submissions PM-2015-01524-1-3 and</w:t>
      </w:r>
      <w:r>
        <w:rPr>
          <w:sz w:val="20"/>
          <w:szCs w:val="20"/>
          <w:lang w:eastAsia="ja-JP"/>
        </w:rPr>
        <w:t xml:space="preserve"> </w:t>
      </w:r>
      <w:r>
        <w:rPr>
          <w:lang w:eastAsia="ja-JP"/>
        </w:rPr>
        <w:t>PM-2015-01525-1-3. The overall safety profile for ezetimibe/simvastatin in the IMPROVE-IT study is consistent with the known safety profile for this combination therapy</w:t>
      </w:r>
      <w:r w:rsidR="00FF7EF3">
        <w:rPr>
          <w:lang w:eastAsia="ja-JP"/>
        </w:rPr>
        <w:t>.</w:t>
      </w:r>
    </w:p>
    <w:p w14:paraId="7D67584A" w14:textId="77777777" w:rsidR="00FF7EF3" w:rsidRDefault="009B75D6" w:rsidP="009B75D6">
      <w:pPr>
        <w:rPr>
          <w:lang w:eastAsia="ja-JP"/>
        </w:rPr>
      </w:pPr>
      <w:r>
        <w:rPr>
          <w:lang w:eastAsia="ja-JP"/>
        </w:rPr>
        <w:t xml:space="preserve">As outlined above, the IMPROVE-IT study did not include ezetimibe/atorvastatin therapy in either treatment arm. As a result, the safety results from this study cannot readily be extrapolated to the </w:t>
      </w:r>
      <w:proofErr w:type="spellStart"/>
      <w:r>
        <w:rPr>
          <w:lang w:eastAsia="ja-JP"/>
        </w:rPr>
        <w:t>Atozet</w:t>
      </w:r>
      <w:proofErr w:type="spellEnd"/>
      <w:r>
        <w:rPr>
          <w:lang w:eastAsia="ja-JP"/>
        </w:rPr>
        <w:t xml:space="preserve"> therapy</w:t>
      </w:r>
      <w:r w:rsidR="00FF7EF3">
        <w:rPr>
          <w:lang w:eastAsia="ja-JP"/>
        </w:rPr>
        <w:t>.</w:t>
      </w:r>
    </w:p>
    <w:p w14:paraId="38F5F988" w14:textId="41CD55F4" w:rsidR="009B75D6" w:rsidRPr="00A43EBF" w:rsidRDefault="009B75D6" w:rsidP="009B75D6">
      <w:pPr>
        <w:rPr>
          <w:sz w:val="20"/>
          <w:szCs w:val="20"/>
          <w:lang w:eastAsia="ja-JP"/>
        </w:rPr>
      </w:pPr>
      <w:r>
        <w:rPr>
          <w:lang w:eastAsia="ja-JP"/>
        </w:rPr>
        <w:t>The results of the analysis of post-market experience did not identify any new safety issues or significantly alter the expected frequency of known adverse events associated with Atozet therapy. However, it should be noted that the search strategy only identified patients treated with ezetimibe/atorvastatin and did not include cases where patients were treated with ezetimibe or atorvastatin alone.</w:t>
      </w:r>
    </w:p>
    <w:p w14:paraId="4F72AEE5" w14:textId="77777777" w:rsidR="00605AD4" w:rsidRPr="00605AD4" w:rsidRDefault="00605AD4" w:rsidP="00605AD4">
      <w:pPr>
        <w:pStyle w:val="Heading3"/>
        <w:rPr>
          <w:rFonts w:eastAsia="Cambria"/>
        </w:rPr>
      </w:pPr>
      <w:bookmarkStart w:id="138" w:name="_Toc484783884"/>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138"/>
    </w:p>
    <w:p w14:paraId="7DAC74E2" w14:textId="77777777" w:rsidR="00605AD4" w:rsidRDefault="00605AD4" w:rsidP="00605AD4">
      <w:pPr>
        <w:pStyle w:val="Heading4"/>
      </w:pPr>
      <w:r w:rsidRPr="00605AD4">
        <w:t>First round assessment of benefits</w:t>
      </w:r>
    </w:p>
    <w:p w14:paraId="5C0CFF4E" w14:textId="77777777" w:rsidR="00232A97" w:rsidRDefault="00CE3C93" w:rsidP="00232A97">
      <w:r>
        <w:t>Table 2</w:t>
      </w:r>
      <w:r w:rsidR="00F35DF3">
        <w:t xml:space="preserve"> shows a summary of the first round assessment of benefits</w:t>
      </w:r>
      <w:r>
        <w:t>.</w:t>
      </w:r>
    </w:p>
    <w:p w14:paraId="79AB4141" w14:textId="77777777" w:rsidR="00CE3C93" w:rsidRDefault="00CE3C93" w:rsidP="00773DDF">
      <w:pPr>
        <w:pStyle w:val="TableTitle"/>
      </w:pPr>
      <w:proofErr w:type="gramStart"/>
      <w:r>
        <w:t>Table 2: First round assessment of benefits</w:t>
      </w:r>
      <w:r w:rsidR="00773DDF">
        <w:t>.</w:t>
      </w:r>
      <w:proofErr w:type="gramEnd"/>
    </w:p>
    <w:tbl>
      <w:tblPr>
        <w:tblStyle w:val="TableGrid"/>
        <w:tblW w:w="0" w:type="auto"/>
        <w:tblInd w:w="108" w:type="dxa"/>
        <w:tblLook w:val="04A0" w:firstRow="1" w:lastRow="0" w:firstColumn="1" w:lastColumn="0" w:noHBand="0" w:noVBand="1"/>
      </w:tblPr>
      <w:tblGrid>
        <w:gridCol w:w="4409"/>
        <w:gridCol w:w="4203"/>
      </w:tblGrid>
      <w:tr w:rsidR="00CE3C93" w:rsidRPr="00773DDF" w14:paraId="3DD0FB90" w14:textId="77777777" w:rsidTr="006B3AFC">
        <w:trPr>
          <w:tblHeader/>
        </w:trPr>
        <w:tc>
          <w:tcPr>
            <w:tcW w:w="8789" w:type="dxa"/>
            <w:gridSpan w:val="2"/>
            <w:shd w:val="clear" w:color="auto" w:fill="006DA7" w:themeFill="accent3"/>
          </w:tcPr>
          <w:p w14:paraId="39F3465C" w14:textId="77777777" w:rsidR="00CE3C93" w:rsidRPr="00773DDF" w:rsidRDefault="00CE3C93" w:rsidP="00773DDF">
            <w:pPr>
              <w:spacing w:before="0" w:after="0"/>
              <w:rPr>
                <w:rFonts w:asciiTheme="minorHAnsi" w:hAnsiTheme="minorHAnsi"/>
                <w:b/>
                <w:color w:val="FFFFFF" w:themeColor="background1"/>
                <w:sz w:val="18"/>
                <w:szCs w:val="18"/>
              </w:rPr>
            </w:pPr>
            <w:r w:rsidRPr="00773DDF">
              <w:rPr>
                <w:rFonts w:asciiTheme="minorHAnsi" w:hAnsiTheme="minorHAnsi"/>
                <w:b/>
                <w:color w:val="FFFFFF" w:themeColor="background1"/>
                <w:sz w:val="18"/>
                <w:szCs w:val="18"/>
              </w:rPr>
              <w:t xml:space="preserve">Indication: </w:t>
            </w:r>
            <w:r w:rsidRPr="00773DDF">
              <w:rPr>
                <w:rFonts w:asciiTheme="minorHAnsi" w:hAnsiTheme="minorHAnsi"/>
                <w:b/>
                <w:bCs/>
                <w:iCs/>
                <w:color w:val="FFFFFF" w:themeColor="background1"/>
                <w:sz w:val="18"/>
                <w:szCs w:val="18"/>
              </w:rPr>
              <w:t>Prevention of Cardiovascular Disease</w:t>
            </w:r>
          </w:p>
          <w:p w14:paraId="44DF190E" w14:textId="77777777" w:rsidR="00CE3C93" w:rsidRPr="00773DDF" w:rsidRDefault="00091310" w:rsidP="00773DDF">
            <w:pPr>
              <w:spacing w:before="0" w:after="0"/>
              <w:rPr>
                <w:rFonts w:asciiTheme="minorHAnsi" w:hAnsiTheme="minorHAnsi"/>
                <w:iCs/>
                <w:color w:val="FFFFFF" w:themeColor="background1"/>
                <w:sz w:val="18"/>
                <w:szCs w:val="18"/>
              </w:rPr>
            </w:pPr>
            <w:r>
              <w:rPr>
                <w:rFonts w:asciiTheme="minorHAnsi" w:hAnsiTheme="minorHAnsi"/>
                <w:iCs/>
                <w:color w:val="FFFFFF" w:themeColor="background1"/>
                <w:sz w:val="18"/>
                <w:szCs w:val="18"/>
              </w:rPr>
              <w:t>Atozet/Zeteze</w:t>
            </w:r>
            <w:r w:rsidR="00CE3C93" w:rsidRPr="00773DDF">
              <w:rPr>
                <w:rFonts w:asciiTheme="minorHAnsi" w:hAnsiTheme="minorHAnsi"/>
                <w:iCs/>
                <w:color w:val="FFFFFF" w:themeColor="background1"/>
                <w:sz w:val="18"/>
                <w:szCs w:val="18"/>
              </w:rPr>
              <w:t xml:space="preserve"> is indicated to reduce the risk of cardiovascular events (cardiovascular death, nonfatal myocardial infarction, nonfatal stroke, hospitalization for unstable angina, or need for revascularization) in patients with coronary heart disease (CHD)).</w:t>
            </w:r>
          </w:p>
        </w:tc>
      </w:tr>
      <w:tr w:rsidR="00CE3C93" w:rsidRPr="00773DDF" w14:paraId="5D9AD9C5" w14:textId="77777777" w:rsidTr="006B3AFC">
        <w:trPr>
          <w:tblHeader/>
        </w:trPr>
        <w:tc>
          <w:tcPr>
            <w:tcW w:w="4511" w:type="dxa"/>
            <w:shd w:val="clear" w:color="auto" w:fill="00517D" w:themeFill="accent3" w:themeFillShade="BF"/>
          </w:tcPr>
          <w:p w14:paraId="154F961C" w14:textId="77777777" w:rsidR="00CE3C93" w:rsidRPr="00773DDF" w:rsidRDefault="00CE3C93" w:rsidP="00773DDF">
            <w:pPr>
              <w:spacing w:before="0" w:after="0"/>
              <w:rPr>
                <w:rFonts w:asciiTheme="minorHAnsi" w:hAnsiTheme="minorHAnsi"/>
                <w:b/>
                <w:color w:val="FFFFFF" w:themeColor="background1"/>
                <w:sz w:val="18"/>
                <w:szCs w:val="18"/>
              </w:rPr>
            </w:pPr>
            <w:r w:rsidRPr="00773DDF">
              <w:rPr>
                <w:rFonts w:asciiTheme="minorHAnsi" w:hAnsiTheme="minorHAnsi"/>
                <w:b/>
                <w:color w:val="FFFFFF" w:themeColor="background1"/>
                <w:sz w:val="18"/>
                <w:szCs w:val="18"/>
              </w:rPr>
              <w:t>Benefits</w:t>
            </w:r>
          </w:p>
        </w:tc>
        <w:tc>
          <w:tcPr>
            <w:tcW w:w="4278" w:type="dxa"/>
            <w:shd w:val="clear" w:color="auto" w:fill="00517D" w:themeFill="accent3" w:themeFillShade="BF"/>
          </w:tcPr>
          <w:p w14:paraId="293E7F00" w14:textId="77777777" w:rsidR="00CE3C93" w:rsidRPr="00773DDF" w:rsidRDefault="00CE3C93" w:rsidP="00773DDF">
            <w:pPr>
              <w:spacing w:before="0" w:after="0"/>
              <w:rPr>
                <w:rFonts w:asciiTheme="minorHAnsi" w:hAnsiTheme="minorHAnsi"/>
                <w:b/>
                <w:color w:val="FFFFFF" w:themeColor="background1"/>
                <w:sz w:val="18"/>
                <w:szCs w:val="18"/>
              </w:rPr>
            </w:pPr>
            <w:r w:rsidRPr="00773DDF">
              <w:rPr>
                <w:rFonts w:asciiTheme="minorHAnsi" w:hAnsiTheme="minorHAnsi"/>
                <w:b/>
                <w:color w:val="FFFFFF" w:themeColor="background1"/>
                <w:sz w:val="18"/>
                <w:szCs w:val="18"/>
              </w:rPr>
              <w:t>Strengths and Uncertainties</w:t>
            </w:r>
          </w:p>
        </w:tc>
      </w:tr>
      <w:tr w:rsidR="00CE3C93" w:rsidRPr="000A4B0C" w14:paraId="316E84E8" w14:textId="77777777" w:rsidTr="006B3AFC">
        <w:tc>
          <w:tcPr>
            <w:tcW w:w="4511" w:type="dxa"/>
          </w:tcPr>
          <w:p w14:paraId="18A1524E" w14:textId="77777777" w:rsidR="00CE3C93" w:rsidRPr="000A4B0C" w:rsidRDefault="00CE3C93" w:rsidP="00773DDF">
            <w:pPr>
              <w:spacing w:before="0" w:after="0"/>
              <w:rPr>
                <w:rFonts w:asciiTheme="minorHAnsi" w:hAnsiTheme="minorHAnsi" w:cstheme="minorHAnsi"/>
                <w:sz w:val="18"/>
                <w:szCs w:val="18"/>
              </w:rPr>
            </w:pPr>
            <w:r w:rsidRPr="000A4B0C">
              <w:rPr>
                <w:rFonts w:asciiTheme="minorHAnsi" w:hAnsiTheme="minorHAnsi" w:cstheme="minorHAnsi"/>
                <w:sz w:val="18"/>
                <w:szCs w:val="18"/>
              </w:rPr>
              <w:t>Theoretical reduction in cardiovascular events</w:t>
            </w:r>
          </w:p>
        </w:tc>
        <w:tc>
          <w:tcPr>
            <w:tcW w:w="4278" w:type="dxa"/>
          </w:tcPr>
          <w:p w14:paraId="7FDF37D9" w14:textId="77777777" w:rsidR="00CE3C93" w:rsidRPr="000A4B0C" w:rsidRDefault="00CE3C93" w:rsidP="00773DDF">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s>
              <w:spacing w:before="0" w:after="0"/>
              <w:rPr>
                <w:rFonts w:asciiTheme="minorHAnsi" w:hAnsiTheme="minorHAnsi" w:cstheme="minorHAnsi"/>
                <w:sz w:val="18"/>
                <w:szCs w:val="18"/>
              </w:rPr>
            </w:pPr>
            <w:r w:rsidRPr="000A4B0C">
              <w:rPr>
                <w:rFonts w:asciiTheme="minorHAnsi" w:hAnsiTheme="minorHAnsi" w:cstheme="minorHAnsi"/>
                <w:sz w:val="18"/>
                <w:szCs w:val="18"/>
              </w:rPr>
              <w:t xml:space="preserve">The </w:t>
            </w:r>
            <w:r w:rsidR="00773DDF" w:rsidRPr="000A4B0C">
              <w:rPr>
                <w:rFonts w:asciiTheme="minorHAnsi" w:hAnsiTheme="minorHAnsi" w:cstheme="minorHAnsi"/>
                <w:sz w:val="18"/>
                <w:szCs w:val="18"/>
              </w:rPr>
              <w:t>s</w:t>
            </w:r>
            <w:r w:rsidRPr="000A4B0C">
              <w:rPr>
                <w:rFonts w:asciiTheme="minorHAnsi" w:hAnsiTheme="minorHAnsi" w:cstheme="minorHAnsi"/>
                <w:sz w:val="18"/>
                <w:szCs w:val="18"/>
              </w:rPr>
              <w:t>ponsor has stated that treatment with ezetimibe/simvastatin resulted in a 6.4% relative risk reduction (RRR) in the primary composite efficacy endpoint (cardiovascular death, non-fatal MI, documented UA requiring hospitalisation, all coronary revascularisation and non-fatal stroke) compared to treatment with simvastatin monotherapy (Hazard Ratio [HR] 0.936; 95% CI:</w:t>
            </w:r>
            <w:r w:rsidR="00773DDF" w:rsidRPr="000A4B0C">
              <w:rPr>
                <w:rFonts w:asciiTheme="minorHAnsi" w:hAnsiTheme="minorHAnsi" w:cstheme="minorHAnsi"/>
                <w:sz w:val="18"/>
                <w:szCs w:val="18"/>
              </w:rPr>
              <w:t xml:space="preserve"> 0.887-</w:t>
            </w:r>
            <w:r w:rsidRPr="000A4B0C">
              <w:rPr>
                <w:rFonts w:asciiTheme="minorHAnsi" w:hAnsiTheme="minorHAnsi" w:cstheme="minorHAnsi"/>
                <w:sz w:val="18"/>
                <w:szCs w:val="18"/>
              </w:rPr>
              <w:t>0.988; p</w:t>
            </w:r>
            <w:r w:rsidR="00773DDF" w:rsidRPr="000A4B0C">
              <w:rPr>
                <w:rFonts w:asciiTheme="minorHAnsi" w:hAnsiTheme="minorHAnsi" w:cstheme="minorHAnsi"/>
                <w:sz w:val="18"/>
                <w:szCs w:val="18"/>
              </w:rPr>
              <w:t xml:space="preserve"> </w:t>
            </w:r>
            <w:r w:rsidRPr="000A4B0C">
              <w:rPr>
                <w:rFonts w:asciiTheme="minorHAnsi" w:hAnsiTheme="minorHAnsi" w:cstheme="minorHAnsi"/>
                <w:sz w:val="18"/>
                <w:szCs w:val="18"/>
              </w:rPr>
              <w:t>=</w:t>
            </w:r>
            <w:r w:rsidR="00773DDF" w:rsidRPr="000A4B0C">
              <w:rPr>
                <w:rFonts w:asciiTheme="minorHAnsi" w:hAnsiTheme="minorHAnsi" w:cstheme="minorHAnsi"/>
                <w:sz w:val="18"/>
                <w:szCs w:val="18"/>
              </w:rPr>
              <w:t xml:space="preserve"> </w:t>
            </w:r>
            <w:r w:rsidRPr="000A4B0C">
              <w:rPr>
                <w:rFonts w:asciiTheme="minorHAnsi" w:hAnsiTheme="minorHAnsi" w:cstheme="minorHAnsi"/>
                <w:sz w:val="18"/>
                <w:szCs w:val="18"/>
              </w:rPr>
              <w:t>0.016). However, the incidence of several of the composite endpoints was actually higher in the ezetimibe/simvastatin treatment arm and the clinical significance of a relative risk reduction of 6.4% has not been clearly demonstrated. Critically, the results of the IMPROVE-IT study relate to a different statin and cannot be extrapolated to all other statins at all doses.</w:t>
            </w:r>
          </w:p>
        </w:tc>
      </w:tr>
    </w:tbl>
    <w:p w14:paraId="77ED8288" w14:textId="77777777" w:rsidR="00605AD4" w:rsidRDefault="00605AD4" w:rsidP="00605AD4">
      <w:pPr>
        <w:pStyle w:val="Heading4"/>
      </w:pPr>
      <w:r w:rsidRPr="00605AD4">
        <w:lastRenderedPageBreak/>
        <w:t>First round assessment of risks</w:t>
      </w:r>
    </w:p>
    <w:p w14:paraId="65C99B8D" w14:textId="77777777" w:rsidR="00E80FB1" w:rsidRDefault="00465A06" w:rsidP="00E80FB1">
      <w:r>
        <w:t xml:space="preserve">Table 3 shows a summary of the first round assessment of </w:t>
      </w:r>
      <w:r w:rsidR="00067394">
        <w:t>risks</w:t>
      </w:r>
      <w:r>
        <w:t>.</w:t>
      </w:r>
    </w:p>
    <w:p w14:paraId="7D8AE3D8" w14:textId="4D658E66" w:rsidR="00465A06" w:rsidRPr="00E80FB1" w:rsidRDefault="00E80FB1" w:rsidP="00E80FB1">
      <w:pPr>
        <w:pStyle w:val="TableTitle"/>
      </w:pPr>
      <w:proofErr w:type="gramStart"/>
      <w:r>
        <w:t>Table 3: First round assessment of risks.</w:t>
      </w:r>
      <w:proofErr w:type="gramEnd"/>
    </w:p>
    <w:tbl>
      <w:tblPr>
        <w:tblStyle w:val="TableGrid"/>
        <w:tblW w:w="0" w:type="auto"/>
        <w:tblInd w:w="108" w:type="dxa"/>
        <w:tblLook w:val="04A0" w:firstRow="1" w:lastRow="0" w:firstColumn="1" w:lastColumn="0" w:noHBand="0" w:noVBand="1"/>
      </w:tblPr>
      <w:tblGrid>
        <w:gridCol w:w="4306"/>
        <w:gridCol w:w="4306"/>
      </w:tblGrid>
      <w:tr w:rsidR="00067394" w:rsidRPr="00067394" w14:paraId="04D5A5DA" w14:textId="77777777" w:rsidTr="006B3AFC">
        <w:trPr>
          <w:tblHeader/>
        </w:trPr>
        <w:tc>
          <w:tcPr>
            <w:tcW w:w="4395" w:type="dxa"/>
            <w:shd w:val="clear" w:color="auto" w:fill="006DA7" w:themeFill="accent3"/>
          </w:tcPr>
          <w:p w14:paraId="5453C9FB" w14:textId="77777777" w:rsidR="00067394" w:rsidRPr="00067394" w:rsidRDefault="00067394" w:rsidP="00067394">
            <w:pPr>
              <w:keepNext/>
              <w:spacing w:before="0" w:after="0"/>
              <w:rPr>
                <w:rFonts w:asciiTheme="minorHAnsi" w:hAnsiTheme="minorHAnsi"/>
                <w:b/>
                <w:color w:val="FFFFFF" w:themeColor="background1"/>
                <w:sz w:val="18"/>
                <w:szCs w:val="18"/>
              </w:rPr>
            </w:pPr>
            <w:r w:rsidRPr="00067394">
              <w:rPr>
                <w:rFonts w:asciiTheme="minorHAnsi" w:hAnsiTheme="minorHAnsi"/>
                <w:b/>
                <w:color w:val="FFFFFF" w:themeColor="background1"/>
                <w:sz w:val="18"/>
                <w:szCs w:val="18"/>
              </w:rPr>
              <w:t>Risks</w:t>
            </w:r>
          </w:p>
        </w:tc>
        <w:tc>
          <w:tcPr>
            <w:tcW w:w="4394" w:type="dxa"/>
            <w:shd w:val="clear" w:color="auto" w:fill="006DA7" w:themeFill="accent3"/>
          </w:tcPr>
          <w:p w14:paraId="2D788D68" w14:textId="77777777" w:rsidR="00067394" w:rsidRPr="00067394" w:rsidRDefault="00067394" w:rsidP="00067394">
            <w:pPr>
              <w:spacing w:before="0" w:after="0"/>
              <w:rPr>
                <w:rFonts w:asciiTheme="minorHAnsi" w:hAnsiTheme="minorHAnsi"/>
                <w:b/>
                <w:color w:val="FFFFFF" w:themeColor="background1"/>
                <w:sz w:val="18"/>
                <w:szCs w:val="18"/>
              </w:rPr>
            </w:pPr>
            <w:r w:rsidRPr="00067394">
              <w:rPr>
                <w:rFonts w:asciiTheme="minorHAnsi" w:hAnsiTheme="minorHAnsi"/>
                <w:b/>
                <w:color w:val="FFFFFF" w:themeColor="background1"/>
                <w:sz w:val="18"/>
                <w:szCs w:val="18"/>
              </w:rPr>
              <w:t>Strengths and Uncertainties</w:t>
            </w:r>
          </w:p>
        </w:tc>
      </w:tr>
      <w:tr w:rsidR="00067394" w:rsidRPr="00067394" w14:paraId="5FBBD0DA" w14:textId="77777777" w:rsidTr="006B3AFC">
        <w:tc>
          <w:tcPr>
            <w:tcW w:w="4395" w:type="dxa"/>
          </w:tcPr>
          <w:p w14:paraId="13485239" w14:textId="77777777" w:rsidR="00067394" w:rsidRPr="000A4B0C" w:rsidRDefault="00067394" w:rsidP="00067394">
            <w:pPr>
              <w:spacing w:before="0" w:after="0"/>
              <w:rPr>
                <w:rFonts w:asciiTheme="minorHAnsi" w:hAnsiTheme="minorHAnsi" w:cstheme="minorHAnsi"/>
                <w:sz w:val="18"/>
                <w:szCs w:val="18"/>
              </w:rPr>
            </w:pPr>
            <w:r w:rsidRPr="000A4B0C">
              <w:rPr>
                <w:rFonts w:asciiTheme="minorHAnsi" w:hAnsiTheme="minorHAnsi" w:cstheme="minorHAnsi"/>
                <w:sz w:val="18"/>
                <w:szCs w:val="18"/>
              </w:rPr>
              <w:t>The lack of direct evidence to support the efficacy and safety of Atozet for the proposed indication</w:t>
            </w:r>
          </w:p>
          <w:p w14:paraId="588706C2" w14:textId="77777777" w:rsidR="00067394" w:rsidRPr="000A4B0C" w:rsidRDefault="00067394" w:rsidP="00067394">
            <w:pPr>
              <w:spacing w:before="0" w:after="0"/>
              <w:rPr>
                <w:rFonts w:asciiTheme="minorHAnsi" w:hAnsiTheme="minorHAnsi" w:cstheme="minorHAnsi"/>
                <w:sz w:val="18"/>
                <w:szCs w:val="18"/>
              </w:rPr>
            </w:pPr>
          </w:p>
        </w:tc>
        <w:tc>
          <w:tcPr>
            <w:tcW w:w="4394" w:type="dxa"/>
          </w:tcPr>
          <w:p w14:paraId="4F1B2734" w14:textId="77777777" w:rsidR="00067394" w:rsidRPr="000A4B0C" w:rsidRDefault="00067394" w:rsidP="00067394">
            <w:pPr>
              <w:spacing w:before="0" w:after="0"/>
              <w:rPr>
                <w:rFonts w:asciiTheme="minorHAnsi" w:hAnsiTheme="minorHAnsi" w:cstheme="minorHAnsi"/>
                <w:sz w:val="18"/>
                <w:szCs w:val="18"/>
              </w:rPr>
            </w:pPr>
            <w:r w:rsidRPr="000A4B0C">
              <w:rPr>
                <w:rFonts w:asciiTheme="minorHAnsi" w:hAnsiTheme="minorHAnsi" w:cstheme="minorHAnsi"/>
                <w:sz w:val="18"/>
                <w:szCs w:val="18"/>
              </w:rPr>
              <w:t>The efficacy of ezetimibe/atorvastatin was not evaluated in the IMPROVE IT study. No clinical data to support the efficacy or safety of Atozet in the prevention of cardiovascular events has been presented in the submission.</w:t>
            </w:r>
          </w:p>
        </w:tc>
      </w:tr>
      <w:tr w:rsidR="00067394" w:rsidRPr="00067394" w14:paraId="1BBC154C" w14:textId="77777777" w:rsidTr="006B3AFC">
        <w:tc>
          <w:tcPr>
            <w:tcW w:w="4395" w:type="dxa"/>
          </w:tcPr>
          <w:p w14:paraId="434828AA" w14:textId="77777777" w:rsidR="00067394" w:rsidRPr="000A4B0C" w:rsidRDefault="00067394" w:rsidP="00067394">
            <w:pPr>
              <w:spacing w:before="0" w:after="0"/>
              <w:rPr>
                <w:rFonts w:asciiTheme="minorHAnsi" w:hAnsiTheme="minorHAnsi" w:cstheme="minorHAnsi"/>
                <w:sz w:val="18"/>
                <w:szCs w:val="18"/>
              </w:rPr>
            </w:pPr>
            <w:r w:rsidRPr="000A4B0C">
              <w:rPr>
                <w:rFonts w:asciiTheme="minorHAnsi" w:hAnsiTheme="minorHAnsi" w:cstheme="minorHAnsi"/>
                <w:sz w:val="18"/>
                <w:szCs w:val="18"/>
              </w:rPr>
              <w:t>Insufficient justification to support reliance on indirect evidence for the proposed indication</w:t>
            </w:r>
          </w:p>
        </w:tc>
        <w:tc>
          <w:tcPr>
            <w:tcW w:w="4394" w:type="dxa"/>
          </w:tcPr>
          <w:p w14:paraId="424CEA0F" w14:textId="77777777" w:rsidR="00067394" w:rsidRPr="000A4B0C" w:rsidRDefault="00067394" w:rsidP="00B72964">
            <w:pPr>
              <w:spacing w:before="0" w:after="0"/>
              <w:rPr>
                <w:rFonts w:asciiTheme="minorHAnsi" w:hAnsiTheme="minorHAnsi" w:cstheme="minorHAnsi"/>
                <w:sz w:val="18"/>
                <w:szCs w:val="18"/>
              </w:rPr>
            </w:pPr>
            <w:r w:rsidRPr="000A4B0C">
              <w:rPr>
                <w:rFonts w:asciiTheme="minorHAnsi" w:hAnsiTheme="minorHAnsi" w:cstheme="minorHAnsi"/>
                <w:sz w:val="18"/>
                <w:szCs w:val="18"/>
              </w:rPr>
              <w:t>The justification to extrapolate the results of the IMPROVE-IT</w:t>
            </w:r>
            <w:r w:rsidR="00B72964" w:rsidRPr="000A4B0C">
              <w:rPr>
                <w:rFonts w:asciiTheme="minorHAnsi" w:hAnsiTheme="minorHAnsi" w:cstheme="minorHAnsi"/>
                <w:sz w:val="18"/>
                <w:szCs w:val="18"/>
              </w:rPr>
              <w:t xml:space="preserve"> </w:t>
            </w:r>
            <w:r w:rsidRPr="000A4B0C">
              <w:rPr>
                <w:rFonts w:asciiTheme="minorHAnsi" w:hAnsiTheme="minorHAnsi" w:cstheme="minorHAnsi"/>
                <w:sz w:val="18"/>
                <w:szCs w:val="18"/>
              </w:rPr>
              <w:t xml:space="preserve">study to other statins is not sufficiently robust to support the proposed indication for Atozet. The clinical relevance of the results of the IMPROVE-IT study has not been clearly demonstrated. Not all statins have the same efficacy and safety profiles and the results of the IMPROVE-IT study cannot be readily extrapolated to all statins. In addition, the study examined only one dose combination but the Sponsor wishes to extrapolate the results to all the available dose combinations for Atozet. </w:t>
            </w:r>
          </w:p>
        </w:tc>
      </w:tr>
      <w:tr w:rsidR="00067394" w:rsidRPr="00067394" w14:paraId="445083D3" w14:textId="77777777" w:rsidTr="006B3AFC">
        <w:tc>
          <w:tcPr>
            <w:tcW w:w="4395" w:type="dxa"/>
          </w:tcPr>
          <w:p w14:paraId="1989C1E7" w14:textId="77777777" w:rsidR="00067394" w:rsidRPr="000A4B0C" w:rsidRDefault="00067394" w:rsidP="00067394">
            <w:pPr>
              <w:spacing w:before="0" w:after="0"/>
              <w:rPr>
                <w:rFonts w:asciiTheme="minorHAnsi" w:hAnsiTheme="minorHAnsi" w:cstheme="minorHAnsi"/>
                <w:sz w:val="18"/>
                <w:szCs w:val="18"/>
              </w:rPr>
            </w:pPr>
            <w:r w:rsidRPr="000A4B0C">
              <w:rPr>
                <w:rFonts w:asciiTheme="minorHAnsi" w:hAnsiTheme="minorHAnsi" w:cstheme="minorHAnsi"/>
                <w:sz w:val="18"/>
                <w:szCs w:val="18"/>
              </w:rPr>
              <w:t>The efficacy across all dosage strengths has not been demonstrated</w:t>
            </w:r>
          </w:p>
        </w:tc>
        <w:tc>
          <w:tcPr>
            <w:tcW w:w="4394" w:type="dxa"/>
          </w:tcPr>
          <w:p w14:paraId="54E084B9" w14:textId="6A979436" w:rsidR="00067394" w:rsidRPr="000A4B0C" w:rsidRDefault="00067394" w:rsidP="00067394">
            <w:pPr>
              <w:spacing w:before="0" w:after="0"/>
              <w:rPr>
                <w:rFonts w:asciiTheme="minorHAnsi" w:hAnsiTheme="minorHAnsi" w:cstheme="minorHAnsi"/>
                <w:sz w:val="18"/>
                <w:szCs w:val="18"/>
              </w:rPr>
            </w:pPr>
            <w:r w:rsidRPr="000A4B0C">
              <w:rPr>
                <w:rFonts w:asciiTheme="minorHAnsi" w:hAnsiTheme="minorHAnsi" w:cstheme="minorHAnsi"/>
                <w:sz w:val="18"/>
                <w:szCs w:val="18"/>
              </w:rPr>
              <w:t>The proposed indication implies that Atozet reduces the risk of cardiovascular events at all dosage strengths but the vast majority of patients in the IMPROVE-IT received the ezetimibe/simvastatin 10/40</w:t>
            </w:r>
            <w:r w:rsidR="001E2E25">
              <w:rPr>
                <w:rFonts w:asciiTheme="minorHAnsi" w:hAnsiTheme="minorHAnsi" w:cstheme="minorHAnsi"/>
                <w:sz w:val="18"/>
                <w:szCs w:val="18"/>
              </w:rPr>
              <w:t xml:space="preserve"> </w:t>
            </w:r>
            <w:r w:rsidRPr="000A4B0C">
              <w:rPr>
                <w:rFonts w:asciiTheme="minorHAnsi" w:hAnsiTheme="minorHAnsi" w:cstheme="minorHAnsi"/>
                <w:sz w:val="18"/>
                <w:szCs w:val="18"/>
              </w:rPr>
              <w:t>mg. It has not been demonstrated that other doses of simvastatin would provide a similar benefit. It has not been demonstrated that any strength of Atozet would provide a similar benefit. This is not appropriate as alternate dosage regimens may be associated with a worse safety profile or a non-significant impact on cardiovascular events.</w:t>
            </w:r>
          </w:p>
        </w:tc>
      </w:tr>
      <w:tr w:rsidR="00067394" w:rsidRPr="00067394" w14:paraId="6653C61D" w14:textId="77777777" w:rsidTr="006B3AFC">
        <w:tc>
          <w:tcPr>
            <w:tcW w:w="4395" w:type="dxa"/>
          </w:tcPr>
          <w:p w14:paraId="5FDE0E97" w14:textId="77777777" w:rsidR="00067394" w:rsidRPr="000A4B0C" w:rsidRDefault="00067394" w:rsidP="00067394">
            <w:pPr>
              <w:spacing w:before="0" w:after="0"/>
              <w:rPr>
                <w:rFonts w:asciiTheme="minorHAnsi" w:hAnsiTheme="minorHAnsi" w:cstheme="minorHAnsi"/>
                <w:sz w:val="18"/>
                <w:szCs w:val="18"/>
              </w:rPr>
            </w:pPr>
            <w:r w:rsidRPr="000A4B0C">
              <w:rPr>
                <w:rFonts w:asciiTheme="minorHAnsi" w:hAnsiTheme="minorHAnsi" w:cstheme="minorHAnsi"/>
                <w:sz w:val="18"/>
                <w:szCs w:val="18"/>
              </w:rPr>
              <w:t>One pivotal study</w:t>
            </w:r>
          </w:p>
        </w:tc>
        <w:tc>
          <w:tcPr>
            <w:tcW w:w="4394" w:type="dxa"/>
          </w:tcPr>
          <w:p w14:paraId="64E2A7FF" w14:textId="77777777" w:rsidR="00067394" w:rsidRPr="000A4B0C" w:rsidRDefault="00067394" w:rsidP="00067394">
            <w:pPr>
              <w:spacing w:before="0" w:after="0"/>
              <w:rPr>
                <w:rFonts w:asciiTheme="minorHAnsi" w:hAnsiTheme="minorHAnsi" w:cstheme="minorHAnsi"/>
                <w:sz w:val="18"/>
                <w:szCs w:val="18"/>
              </w:rPr>
            </w:pPr>
            <w:r w:rsidRPr="000A4B0C">
              <w:rPr>
                <w:rFonts w:asciiTheme="minorHAnsi" w:hAnsiTheme="minorHAnsi" w:cstheme="minorHAnsi"/>
                <w:sz w:val="18"/>
                <w:szCs w:val="18"/>
              </w:rPr>
              <w:t>Only one pivotal study has been included in the submission and it is not considered sufficiently compelling to support the proposed indication.</w:t>
            </w:r>
          </w:p>
        </w:tc>
      </w:tr>
      <w:tr w:rsidR="00067394" w:rsidRPr="00067394" w14:paraId="5229B1C6" w14:textId="77777777" w:rsidTr="006B3AFC">
        <w:tc>
          <w:tcPr>
            <w:tcW w:w="4395" w:type="dxa"/>
          </w:tcPr>
          <w:p w14:paraId="36E436A1" w14:textId="77777777" w:rsidR="00067394" w:rsidRPr="000A4B0C" w:rsidRDefault="00067394" w:rsidP="00067394">
            <w:pPr>
              <w:spacing w:before="0" w:after="0"/>
              <w:rPr>
                <w:rFonts w:asciiTheme="minorHAnsi" w:hAnsiTheme="minorHAnsi" w:cstheme="minorHAnsi"/>
                <w:sz w:val="18"/>
                <w:szCs w:val="18"/>
              </w:rPr>
            </w:pPr>
            <w:r w:rsidRPr="000A4B0C">
              <w:rPr>
                <w:rFonts w:asciiTheme="minorHAnsi" w:hAnsiTheme="minorHAnsi" w:cstheme="minorHAnsi"/>
                <w:sz w:val="18"/>
                <w:szCs w:val="18"/>
              </w:rPr>
              <w:t>The clinical significance of the IMPROVE-IT study results has not been clearly defined</w:t>
            </w:r>
          </w:p>
        </w:tc>
        <w:tc>
          <w:tcPr>
            <w:tcW w:w="4394" w:type="dxa"/>
          </w:tcPr>
          <w:p w14:paraId="6C108E22" w14:textId="77777777" w:rsidR="00067394" w:rsidRPr="000A4B0C" w:rsidRDefault="00067394" w:rsidP="00067394">
            <w:pPr>
              <w:spacing w:before="0" w:after="0"/>
              <w:rPr>
                <w:rFonts w:asciiTheme="minorHAnsi" w:hAnsiTheme="minorHAnsi" w:cstheme="minorHAnsi"/>
                <w:sz w:val="18"/>
                <w:szCs w:val="18"/>
              </w:rPr>
            </w:pPr>
            <w:r w:rsidRPr="000A4B0C">
              <w:rPr>
                <w:rFonts w:asciiTheme="minorHAnsi" w:hAnsiTheme="minorHAnsi" w:cstheme="minorHAnsi"/>
                <w:sz w:val="18"/>
                <w:szCs w:val="18"/>
              </w:rPr>
              <w:t xml:space="preserve">The submission has not discussed the absolute risk reduction and NNT to allow the assessment of the clinical relevance of the 6.4% relative risk reduction in CV </w:t>
            </w:r>
            <w:r w:rsidR="000A4B0C">
              <w:rPr>
                <w:rFonts w:asciiTheme="minorHAnsi" w:hAnsiTheme="minorHAnsi" w:cstheme="minorHAnsi"/>
                <w:sz w:val="18"/>
                <w:szCs w:val="18"/>
              </w:rPr>
              <w:t>events observed with ezetimibe/</w:t>
            </w:r>
            <w:r w:rsidRPr="000A4B0C">
              <w:rPr>
                <w:rFonts w:asciiTheme="minorHAnsi" w:hAnsiTheme="minorHAnsi" w:cstheme="minorHAnsi"/>
                <w:sz w:val="18"/>
                <w:szCs w:val="18"/>
              </w:rPr>
              <w:t xml:space="preserve">simvastatin compared to simvastatin monotherapy in patients with CHD in the IMPROVE-IT study. </w:t>
            </w:r>
          </w:p>
        </w:tc>
      </w:tr>
      <w:tr w:rsidR="00067394" w:rsidRPr="00067394" w14:paraId="72C4E0DF" w14:textId="77777777" w:rsidTr="006B3AFC">
        <w:tc>
          <w:tcPr>
            <w:tcW w:w="4395" w:type="dxa"/>
          </w:tcPr>
          <w:p w14:paraId="2495E9D9" w14:textId="77777777" w:rsidR="00067394" w:rsidRPr="000A4B0C" w:rsidRDefault="00067394" w:rsidP="00067394">
            <w:pPr>
              <w:spacing w:before="0" w:after="0"/>
              <w:rPr>
                <w:rFonts w:asciiTheme="minorHAnsi" w:hAnsiTheme="minorHAnsi" w:cstheme="minorHAnsi"/>
                <w:sz w:val="18"/>
                <w:szCs w:val="18"/>
              </w:rPr>
            </w:pPr>
            <w:r w:rsidRPr="000A4B0C">
              <w:rPr>
                <w:rFonts w:asciiTheme="minorHAnsi" w:hAnsiTheme="minorHAnsi" w:cstheme="minorHAnsi"/>
                <w:sz w:val="18"/>
                <w:szCs w:val="18"/>
              </w:rPr>
              <w:t>Higher rates of CV death and documented UA requiring hospitalisation in the ezetimibe/simvastatin arm</w:t>
            </w:r>
          </w:p>
        </w:tc>
        <w:tc>
          <w:tcPr>
            <w:tcW w:w="4394" w:type="dxa"/>
          </w:tcPr>
          <w:p w14:paraId="2638F968" w14:textId="77777777" w:rsidR="00067394" w:rsidRPr="000A4B0C" w:rsidRDefault="00067394" w:rsidP="00067394">
            <w:pPr>
              <w:spacing w:before="0" w:after="0"/>
              <w:rPr>
                <w:rFonts w:asciiTheme="minorHAnsi" w:hAnsiTheme="minorHAnsi" w:cstheme="minorHAnsi"/>
                <w:sz w:val="18"/>
                <w:szCs w:val="18"/>
              </w:rPr>
            </w:pPr>
            <w:r w:rsidRPr="000A4B0C">
              <w:rPr>
                <w:rFonts w:asciiTheme="minorHAnsi" w:hAnsiTheme="minorHAnsi" w:cstheme="minorHAnsi"/>
                <w:sz w:val="18"/>
                <w:szCs w:val="18"/>
              </w:rPr>
              <w:t>The result for the primary composite endpoint found a 6.4% relative risk reduction in the primary efficacy endpoint compared to treatment with simvastatin monotherapy. However, the results were not suggestive of a reduction in the risk of all the composite endpoints. There was a slightly higher rate of CV death and documented UA requiring hospitalisation in the ezetimibe/simvastatin group compared to the simvastatin monotherapy group. The benefits observed for the composite primary efficacy outcome appear to be due to reductions in non-fatal MI and non-fatal stroke.</w:t>
            </w:r>
          </w:p>
        </w:tc>
      </w:tr>
    </w:tbl>
    <w:p w14:paraId="05F3BFE7" w14:textId="77777777" w:rsidR="00605AD4" w:rsidRPr="00605AD4" w:rsidRDefault="00605AD4" w:rsidP="00605AD4">
      <w:pPr>
        <w:pStyle w:val="Heading4"/>
      </w:pPr>
      <w:r w:rsidRPr="00605AD4">
        <w:lastRenderedPageBreak/>
        <w:t>First round assessment of benefit-risk balance</w:t>
      </w:r>
    </w:p>
    <w:p w14:paraId="7315C22D" w14:textId="541DBF1F" w:rsidR="00324B4B" w:rsidRDefault="00324B4B" w:rsidP="00324B4B">
      <w:pPr>
        <w:rPr>
          <w:lang w:eastAsia="ja-JP"/>
        </w:rPr>
      </w:pPr>
      <w:r>
        <w:rPr>
          <w:lang w:eastAsia="ja-JP"/>
        </w:rPr>
        <w:t>Overall</w:t>
      </w:r>
      <w:r w:rsidR="001E2E25">
        <w:rPr>
          <w:lang w:eastAsia="ja-JP"/>
        </w:rPr>
        <w:t>,</w:t>
      </w:r>
      <w:r>
        <w:rPr>
          <w:lang w:eastAsia="ja-JP"/>
        </w:rPr>
        <w:t xml:space="preserve"> the benefit-risk balance of Atozet and Zeteze for the proposed indication is unfavourable. </w:t>
      </w:r>
      <w:r w:rsidRPr="00EA6F10">
        <w:rPr>
          <w:lang w:eastAsia="ja-JP"/>
        </w:rPr>
        <w:t xml:space="preserve">No direct evidence has been submitted </w:t>
      </w:r>
      <w:r>
        <w:rPr>
          <w:lang w:eastAsia="ja-JP"/>
        </w:rPr>
        <w:t xml:space="preserve">to support </w:t>
      </w:r>
      <w:r w:rsidRPr="00EA6F10">
        <w:rPr>
          <w:lang w:eastAsia="ja-JP"/>
        </w:rPr>
        <w:t>the efficacy and safety of atorvastatin combined with ezetimib</w:t>
      </w:r>
      <w:r>
        <w:rPr>
          <w:lang w:eastAsia="ja-JP"/>
        </w:rPr>
        <w:t xml:space="preserve">e for the proposed indication. </w:t>
      </w:r>
      <w:r w:rsidRPr="00EA6F10">
        <w:rPr>
          <w:lang w:eastAsia="ja-JP"/>
        </w:rPr>
        <w:t>In addition, no evidence has been submitted of the efficacy and safety of all dose strength combinations of atorvastatin and ezetimibe, as requested by the sponsor, for the proposed indication</w:t>
      </w:r>
      <w:r>
        <w:rPr>
          <w:lang w:eastAsia="ja-JP"/>
        </w:rPr>
        <w:t>.</w:t>
      </w:r>
    </w:p>
    <w:p w14:paraId="24C74092" w14:textId="0D66A4AD" w:rsidR="00324B4B" w:rsidRDefault="00324B4B" w:rsidP="00324B4B">
      <w:pPr>
        <w:rPr>
          <w:lang w:eastAsia="ja-JP"/>
        </w:rPr>
      </w:pPr>
      <w:r w:rsidRPr="00EA6F10">
        <w:rPr>
          <w:lang w:eastAsia="ja-JP"/>
        </w:rPr>
        <w:t>In lieu of direct evidence, the sponsor has submitted a justification to extrapolate the efficacy and safety of simvastatin with ezetimibe to atorvastatin with ezetimibe at a</w:t>
      </w:r>
      <w:r>
        <w:rPr>
          <w:lang w:eastAsia="ja-JP"/>
        </w:rPr>
        <w:t xml:space="preserve">ll dose strength combinations. </w:t>
      </w:r>
      <w:r w:rsidRPr="00EA6F10">
        <w:rPr>
          <w:lang w:eastAsia="ja-JP"/>
        </w:rPr>
        <w:t>This justification is based on similarity between simvastatin and atorvastatin and on a single pivotal study examining cardiovascular outcomes in patients on simvastatin and ezetimibe at a fixed dose of 40/10</w:t>
      </w:r>
      <w:r w:rsidR="001E2E25">
        <w:rPr>
          <w:lang w:eastAsia="ja-JP"/>
        </w:rPr>
        <w:t xml:space="preserve"> </w:t>
      </w:r>
      <w:r w:rsidRPr="00EA6F10">
        <w:rPr>
          <w:lang w:eastAsia="ja-JP"/>
        </w:rPr>
        <w:t>mg.</w:t>
      </w:r>
      <w:r>
        <w:rPr>
          <w:lang w:eastAsia="ja-JP"/>
        </w:rPr>
        <w:t xml:space="preserve"> The IMPROVE-IT study found </w:t>
      </w:r>
      <w:r w:rsidRPr="009C5E63">
        <w:rPr>
          <w:lang w:eastAsia="ja-JP"/>
        </w:rPr>
        <w:t xml:space="preserve">a </w:t>
      </w:r>
      <w:r>
        <w:rPr>
          <w:lang w:eastAsia="ja-JP"/>
        </w:rPr>
        <w:t>modest</w:t>
      </w:r>
      <w:r w:rsidRPr="009C5E63">
        <w:rPr>
          <w:lang w:eastAsia="ja-JP"/>
        </w:rPr>
        <w:t xml:space="preserve"> relative risk reduction for the primary composite endpoint </w:t>
      </w:r>
      <w:r>
        <w:rPr>
          <w:lang w:eastAsia="ja-JP"/>
        </w:rPr>
        <w:t>for ezetimibe/simvastatin</w:t>
      </w:r>
      <w:r w:rsidRPr="009C5E63">
        <w:rPr>
          <w:lang w:eastAsia="ja-JP"/>
        </w:rPr>
        <w:t xml:space="preserve"> </w:t>
      </w:r>
      <w:r>
        <w:rPr>
          <w:lang w:eastAsia="ja-JP"/>
        </w:rPr>
        <w:t xml:space="preserve">when </w:t>
      </w:r>
      <w:r w:rsidRPr="009C5E63">
        <w:rPr>
          <w:lang w:eastAsia="ja-JP"/>
        </w:rPr>
        <w:t xml:space="preserve">compared to simvastatin monotherapy. However, the results </w:t>
      </w:r>
      <w:r>
        <w:rPr>
          <w:lang w:eastAsia="ja-JP"/>
        </w:rPr>
        <w:t>did not demonstrate a</w:t>
      </w:r>
      <w:r w:rsidRPr="009C5E63">
        <w:rPr>
          <w:lang w:eastAsia="ja-JP"/>
        </w:rPr>
        <w:t xml:space="preserve"> </w:t>
      </w:r>
      <w:r>
        <w:rPr>
          <w:lang w:eastAsia="ja-JP"/>
        </w:rPr>
        <w:t xml:space="preserve">risk </w:t>
      </w:r>
      <w:r w:rsidRPr="009C5E63">
        <w:rPr>
          <w:lang w:eastAsia="ja-JP"/>
        </w:rPr>
        <w:t xml:space="preserve">reduction </w:t>
      </w:r>
      <w:r>
        <w:rPr>
          <w:lang w:eastAsia="ja-JP"/>
        </w:rPr>
        <w:t>across</w:t>
      </w:r>
      <w:r w:rsidRPr="009C5E63">
        <w:rPr>
          <w:lang w:eastAsia="ja-JP"/>
        </w:rPr>
        <w:t xml:space="preserve"> all the composite endpoints. </w:t>
      </w:r>
      <w:r>
        <w:rPr>
          <w:lang w:eastAsia="ja-JP"/>
        </w:rPr>
        <w:t xml:space="preserve">The </w:t>
      </w:r>
      <w:r w:rsidRPr="009C5E63">
        <w:rPr>
          <w:lang w:eastAsia="ja-JP"/>
        </w:rPr>
        <w:t>rate</w:t>
      </w:r>
      <w:r>
        <w:rPr>
          <w:lang w:eastAsia="ja-JP"/>
        </w:rPr>
        <w:t>s</w:t>
      </w:r>
      <w:r w:rsidRPr="009C5E63">
        <w:rPr>
          <w:lang w:eastAsia="ja-JP"/>
        </w:rPr>
        <w:t xml:space="preserve"> of CV death and documented UA requiring hospitalisation </w:t>
      </w:r>
      <w:r>
        <w:rPr>
          <w:lang w:eastAsia="ja-JP"/>
        </w:rPr>
        <w:t xml:space="preserve">were slightly higher in the </w:t>
      </w:r>
      <w:r w:rsidRPr="009C5E63">
        <w:rPr>
          <w:lang w:eastAsia="ja-JP"/>
        </w:rPr>
        <w:t>ezetimibe/simvastatin group compared to the simvastatin monotherapy group. The benefits observed for the composite primary efficacy outcome appear to be due to reductions in non-fatal MI and non-fatal stroke.</w:t>
      </w:r>
      <w:r w:rsidR="001E2E25">
        <w:rPr>
          <w:lang w:eastAsia="ja-JP"/>
        </w:rPr>
        <w:t xml:space="preserve"> The s</w:t>
      </w:r>
      <w:r>
        <w:rPr>
          <w:lang w:eastAsia="ja-JP"/>
        </w:rPr>
        <w:t xml:space="preserve">ponsor has not clearly demonstrated that these results can be extrapolated to Atozet therapy. In conclusion the results of the one pivotal study are not considered compelling. The justification for extrapolation is also </w:t>
      </w:r>
      <w:r w:rsidRPr="004819DB">
        <w:rPr>
          <w:lang w:eastAsia="ja-JP"/>
        </w:rPr>
        <w:t>not considered acceptable because the</w:t>
      </w:r>
      <w:r>
        <w:rPr>
          <w:lang w:eastAsia="ja-JP"/>
        </w:rPr>
        <w:t xml:space="preserve"> </w:t>
      </w:r>
      <w:r w:rsidRPr="004819DB">
        <w:rPr>
          <w:lang w:eastAsia="ja-JP"/>
        </w:rPr>
        <w:t>clinical relevance of the resu</w:t>
      </w:r>
      <w:r>
        <w:rPr>
          <w:lang w:eastAsia="ja-JP"/>
        </w:rPr>
        <w:t>lts have</w:t>
      </w:r>
      <w:r w:rsidRPr="004819DB">
        <w:rPr>
          <w:lang w:eastAsia="ja-JP"/>
        </w:rPr>
        <w:t xml:space="preserve"> not been clearly demonstrated</w:t>
      </w:r>
      <w:r>
        <w:rPr>
          <w:lang w:eastAsia="ja-JP"/>
        </w:rPr>
        <w:t>, n</w:t>
      </w:r>
      <w:r w:rsidRPr="004819DB">
        <w:rPr>
          <w:lang w:eastAsia="ja-JP"/>
        </w:rPr>
        <w:t xml:space="preserve">ot all statins have the same efficacy and safety profiles </w:t>
      </w:r>
      <w:r>
        <w:rPr>
          <w:lang w:eastAsia="ja-JP"/>
        </w:rPr>
        <w:t xml:space="preserve">and the pivotal </w:t>
      </w:r>
      <w:r w:rsidRPr="004819DB">
        <w:rPr>
          <w:lang w:eastAsia="ja-JP"/>
        </w:rPr>
        <w:t>study examined onl</w:t>
      </w:r>
      <w:r w:rsidR="001E2E25">
        <w:rPr>
          <w:lang w:eastAsia="ja-JP"/>
        </w:rPr>
        <w:t>y one dose combination, but the s</w:t>
      </w:r>
      <w:r w:rsidRPr="004819DB">
        <w:rPr>
          <w:lang w:eastAsia="ja-JP"/>
        </w:rPr>
        <w:t>ponsor wishes to extrapolate the results to all the available dose combinations for Atozet.</w:t>
      </w:r>
    </w:p>
    <w:p w14:paraId="6F765AD3" w14:textId="77777777" w:rsidR="00FF7EF3" w:rsidRDefault="000F52F6" w:rsidP="00324B4B">
      <w:pPr>
        <w:rPr>
          <w:lang w:eastAsia="ja-JP"/>
        </w:rPr>
      </w:pPr>
      <w:r>
        <w:rPr>
          <w:lang w:eastAsia="ja-JP"/>
        </w:rPr>
        <w:t>Atozet/</w:t>
      </w:r>
      <w:r w:rsidR="00B46A91">
        <w:rPr>
          <w:lang w:eastAsia="ja-JP"/>
        </w:rPr>
        <w:t>Zeteze is</w:t>
      </w:r>
      <w:r w:rsidR="00324B4B">
        <w:rPr>
          <w:lang w:eastAsia="ja-JP"/>
        </w:rPr>
        <w:t xml:space="preserve"> approved in Australia for the treatment of primary </w:t>
      </w:r>
      <w:proofErr w:type="spellStart"/>
      <w:r w:rsidR="00324B4B">
        <w:rPr>
          <w:lang w:eastAsia="ja-JP"/>
        </w:rPr>
        <w:t>hypercholesterolaemia</w:t>
      </w:r>
      <w:proofErr w:type="spellEnd"/>
      <w:r w:rsidR="00324B4B">
        <w:rPr>
          <w:lang w:eastAsia="ja-JP"/>
        </w:rPr>
        <w:t xml:space="preserve"> and </w:t>
      </w:r>
      <w:proofErr w:type="spellStart"/>
      <w:r w:rsidR="00324B4B">
        <w:rPr>
          <w:lang w:eastAsia="ja-JP"/>
        </w:rPr>
        <w:t>HoFH</w:t>
      </w:r>
      <w:proofErr w:type="spellEnd"/>
      <w:r w:rsidR="00324B4B">
        <w:rPr>
          <w:lang w:eastAsia="ja-JP"/>
        </w:rPr>
        <w:t>. The proposed indication does not increase the patient population eligible to receive Atozet therapy but would</w:t>
      </w:r>
      <w:r>
        <w:rPr>
          <w:lang w:eastAsia="ja-JP"/>
        </w:rPr>
        <w:t xml:space="preserve"> extend the claims made by the s</w:t>
      </w:r>
      <w:r w:rsidR="00324B4B">
        <w:rPr>
          <w:lang w:eastAsia="ja-JP"/>
        </w:rPr>
        <w:t>ponsor to incl</w:t>
      </w:r>
      <w:r>
        <w:rPr>
          <w:lang w:eastAsia="ja-JP"/>
        </w:rPr>
        <w:t xml:space="preserve">ude reduction in CV </w:t>
      </w:r>
      <w:r w:rsidR="00324B4B">
        <w:rPr>
          <w:lang w:eastAsia="ja-JP"/>
        </w:rPr>
        <w:t xml:space="preserve">events. The rejection of the proposed indication would not restrict access to this combination </w:t>
      </w:r>
      <w:proofErr w:type="gramStart"/>
      <w:r w:rsidR="00324B4B">
        <w:rPr>
          <w:lang w:eastAsia="ja-JP"/>
        </w:rPr>
        <w:t>therapy,</w:t>
      </w:r>
      <w:proofErr w:type="gramEnd"/>
      <w:r w:rsidR="00324B4B">
        <w:rPr>
          <w:lang w:eastAsia="ja-JP"/>
        </w:rPr>
        <w:t xml:space="preserve"> therefore rejection would not disadvantage patients and would have no impact on public health</w:t>
      </w:r>
      <w:r w:rsidR="00FF7EF3">
        <w:rPr>
          <w:lang w:eastAsia="ja-JP"/>
        </w:rPr>
        <w:t>.</w:t>
      </w:r>
    </w:p>
    <w:p w14:paraId="54A70E9F" w14:textId="00B3093F" w:rsidR="00605AD4" w:rsidRPr="00605AD4" w:rsidRDefault="00605AD4" w:rsidP="00605AD4">
      <w:pPr>
        <w:pStyle w:val="Heading3"/>
        <w:rPr>
          <w:rFonts w:eastAsia="Cambria"/>
        </w:rPr>
      </w:pPr>
      <w:bookmarkStart w:id="139" w:name="_Toc484783885"/>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r</w:t>
      </w:r>
      <w:r w:rsidRPr="00605AD4">
        <w:rPr>
          <w:rFonts w:eastAsia="Cambria"/>
        </w:rPr>
        <w:t xml:space="preserve">ecommendation </w:t>
      </w:r>
      <w:r w:rsidR="00E63418">
        <w:rPr>
          <w:rFonts w:eastAsia="Cambria"/>
        </w:rPr>
        <w:t>r</w:t>
      </w:r>
      <w:r w:rsidRPr="00605AD4">
        <w:rPr>
          <w:rFonts w:eastAsia="Cambria"/>
        </w:rPr>
        <w:t xml:space="preserve">egarding </w:t>
      </w:r>
      <w:r w:rsidR="00E63418">
        <w:rPr>
          <w:rFonts w:eastAsia="Cambria"/>
        </w:rPr>
        <w:t>a</w:t>
      </w:r>
      <w:r w:rsidRPr="00605AD4">
        <w:rPr>
          <w:rFonts w:eastAsia="Cambria"/>
        </w:rPr>
        <w:t>uthorisation</w:t>
      </w:r>
      <w:bookmarkEnd w:id="139"/>
    </w:p>
    <w:p w14:paraId="219DBCA5" w14:textId="77777777" w:rsidR="00FF7EF3" w:rsidRDefault="00D11BD4" w:rsidP="00D11BD4">
      <w:pPr>
        <w:rPr>
          <w:lang w:eastAsia="ja-JP"/>
        </w:rPr>
      </w:pPr>
      <w:r>
        <w:rPr>
          <w:lang w:eastAsia="ja-JP"/>
        </w:rPr>
        <w:t>It is recommended that the su</w:t>
      </w:r>
      <w:r w:rsidR="000F52F6">
        <w:rPr>
          <w:lang w:eastAsia="ja-JP"/>
        </w:rPr>
        <w:t>bmission to register Atozet/</w:t>
      </w:r>
      <w:r>
        <w:rPr>
          <w:lang w:eastAsia="ja-JP"/>
        </w:rPr>
        <w:t xml:space="preserve">Zeteze for the proposed indication relating to the prevention of cardiovascular disease be rejected. The main reasons for rejection are the lack of direct evidence for Atozet for the proposed indication, the </w:t>
      </w:r>
      <w:r w:rsidRPr="00DC3C42">
        <w:rPr>
          <w:lang w:eastAsia="ja-JP"/>
        </w:rPr>
        <w:t xml:space="preserve">insufficient justification to support </w:t>
      </w:r>
      <w:r>
        <w:rPr>
          <w:lang w:eastAsia="ja-JP"/>
        </w:rPr>
        <w:t xml:space="preserve">the use of indirect evidence, the extrapolation of the justification to all doses of Atozet, the inclusion of only one pivotal study that was insufficiently compelling and the questionable </w:t>
      </w:r>
      <w:r w:rsidRPr="00DC3C42">
        <w:rPr>
          <w:lang w:eastAsia="ja-JP"/>
        </w:rPr>
        <w:t>clinical significance of the IMPROVE-IT study results</w:t>
      </w:r>
      <w:r w:rsidR="00FF7EF3">
        <w:rPr>
          <w:lang w:eastAsia="ja-JP"/>
        </w:rPr>
        <w:t>.</w:t>
      </w:r>
    </w:p>
    <w:p w14:paraId="2AACD9B3" w14:textId="2A873F8D" w:rsidR="00605AD4" w:rsidRPr="00605AD4" w:rsidRDefault="00605AD4" w:rsidP="00605AD4">
      <w:pPr>
        <w:pStyle w:val="Heading3"/>
        <w:rPr>
          <w:rFonts w:eastAsia="Cambria"/>
        </w:rPr>
      </w:pPr>
      <w:bookmarkStart w:id="140" w:name="_Toc484783886"/>
      <w:r w:rsidRPr="00605AD4">
        <w:rPr>
          <w:rFonts w:eastAsia="Cambria"/>
        </w:rPr>
        <w:t xml:space="preserve">Clinical </w:t>
      </w:r>
      <w:r w:rsidR="00E63418">
        <w:rPr>
          <w:rFonts w:eastAsia="Cambria"/>
        </w:rPr>
        <w:t>q</w:t>
      </w:r>
      <w:r w:rsidRPr="00605AD4">
        <w:rPr>
          <w:rFonts w:eastAsia="Cambria"/>
        </w:rPr>
        <w:t>uestions</w:t>
      </w:r>
      <w:bookmarkEnd w:id="140"/>
    </w:p>
    <w:p w14:paraId="44288144" w14:textId="77777777" w:rsidR="00D31167" w:rsidRPr="00D31167" w:rsidRDefault="00D31167" w:rsidP="00D31167">
      <w:pPr>
        <w:pStyle w:val="Heading4"/>
      </w:pPr>
      <w:bookmarkStart w:id="141" w:name="_Toc272414702"/>
      <w:bookmarkStart w:id="142" w:name="_Toc290888568"/>
      <w:bookmarkStart w:id="143" w:name="_Toc416353784"/>
      <w:bookmarkStart w:id="144" w:name="_Toc421005324"/>
      <w:bookmarkStart w:id="145" w:name="_Toc432079195"/>
      <w:bookmarkStart w:id="146" w:name="_Toc432080768"/>
      <w:r w:rsidRPr="00D31167">
        <w:t>General</w:t>
      </w:r>
    </w:p>
    <w:p w14:paraId="60F3F45A" w14:textId="3C2B4EF2" w:rsidR="00D31167" w:rsidRDefault="00463A38" w:rsidP="00D31167">
      <w:pPr>
        <w:pStyle w:val="Numberbullet0"/>
        <w:numPr>
          <w:ilvl w:val="0"/>
          <w:numId w:val="26"/>
        </w:numPr>
      </w:pPr>
      <w:r>
        <w:t>P</w:t>
      </w:r>
      <w:r w:rsidR="00D31167">
        <w:t>rovide an update on the international regulatory status of the submission.</w:t>
      </w:r>
    </w:p>
    <w:p w14:paraId="09F21B0F" w14:textId="2D33A175" w:rsidR="00D31167" w:rsidRDefault="00D31167" w:rsidP="00D31167">
      <w:pPr>
        <w:pStyle w:val="Numberbullet0"/>
        <w:numPr>
          <w:ilvl w:val="0"/>
          <w:numId w:val="25"/>
        </w:numPr>
      </w:pPr>
      <w:r>
        <w:t>The application cover letter lists only the combination product and does not include the compos</w:t>
      </w:r>
      <w:r w:rsidR="00DA0BB4">
        <w:t>ite pack ARTG numbers. Does the s</w:t>
      </w:r>
      <w:r>
        <w:t>ponsor intend to extend the indications for both the combination product and composite pack product?</w:t>
      </w:r>
    </w:p>
    <w:p w14:paraId="2804B351" w14:textId="77777777" w:rsidR="00D31167" w:rsidRDefault="00D31167" w:rsidP="00D31167">
      <w:pPr>
        <w:pStyle w:val="Numberbullet0"/>
        <w:numPr>
          <w:ilvl w:val="0"/>
          <w:numId w:val="25"/>
        </w:numPr>
        <w:rPr>
          <w:lang w:eastAsia="ja-JP"/>
        </w:rPr>
      </w:pPr>
      <w:r>
        <w:rPr>
          <w:lang w:eastAsia="ja-JP"/>
        </w:rPr>
        <w:t xml:space="preserve">What evidence is there to support the statement that the </w:t>
      </w:r>
      <w:r w:rsidRPr="0018618A">
        <w:rPr>
          <w:lang w:eastAsia="ja-JP"/>
        </w:rPr>
        <w:t>CV risk reduct</w:t>
      </w:r>
      <w:r>
        <w:rPr>
          <w:lang w:eastAsia="ja-JP"/>
        </w:rPr>
        <w:t xml:space="preserve">ion associated with presence of </w:t>
      </w:r>
      <w:r w:rsidRPr="0018618A">
        <w:rPr>
          <w:lang w:eastAsia="ja-JP"/>
        </w:rPr>
        <w:t xml:space="preserve">both NPC1L1 and </w:t>
      </w:r>
      <w:proofErr w:type="spellStart"/>
      <w:r w:rsidRPr="0018618A">
        <w:rPr>
          <w:lang w:eastAsia="ja-JP"/>
        </w:rPr>
        <w:t>HMGCoA</w:t>
      </w:r>
      <w:proofErr w:type="spellEnd"/>
      <w:r w:rsidRPr="0018618A">
        <w:rPr>
          <w:lang w:eastAsia="ja-JP"/>
        </w:rPr>
        <w:t xml:space="preserve"> reductase genetic variants is </w:t>
      </w:r>
      <w:r>
        <w:rPr>
          <w:lang w:eastAsia="ja-JP"/>
        </w:rPr>
        <w:t>additive</w:t>
      </w:r>
      <w:bookmarkStart w:id="147" w:name="_Toc272414704"/>
      <w:bookmarkStart w:id="148" w:name="_Toc290888570"/>
      <w:bookmarkStart w:id="149" w:name="_Toc416353786"/>
      <w:bookmarkStart w:id="150" w:name="_Toc421005326"/>
      <w:bookmarkStart w:id="151" w:name="_Toc432079197"/>
      <w:bookmarkStart w:id="152" w:name="_Toc432080770"/>
      <w:bookmarkEnd w:id="141"/>
      <w:bookmarkEnd w:id="142"/>
      <w:bookmarkEnd w:id="143"/>
      <w:bookmarkEnd w:id="144"/>
      <w:bookmarkEnd w:id="145"/>
      <w:bookmarkEnd w:id="146"/>
      <w:r>
        <w:rPr>
          <w:lang w:eastAsia="ja-JP"/>
        </w:rPr>
        <w:t>?</w:t>
      </w:r>
    </w:p>
    <w:p w14:paraId="575FEBFD" w14:textId="0FE73A20" w:rsidR="00D31167" w:rsidRDefault="00463A38" w:rsidP="00D31167">
      <w:pPr>
        <w:pStyle w:val="Numberbullet0"/>
        <w:numPr>
          <w:ilvl w:val="0"/>
          <w:numId w:val="25"/>
        </w:numPr>
        <w:rPr>
          <w:lang w:eastAsia="ja-JP"/>
        </w:rPr>
      </w:pPr>
      <w:r>
        <w:rPr>
          <w:lang w:eastAsia="ja-JP"/>
        </w:rPr>
        <w:lastRenderedPageBreak/>
        <w:t>I</w:t>
      </w:r>
      <w:r w:rsidR="00D31167">
        <w:rPr>
          <w:lang w:eastAsia="ja-JP"/>
        </w:rPr>
        <w:t>ndicate which of the GCP breaches listed were considered serious breaches in the CSR.</w:t>
      </w:r>
    </w:p>
    <w:p w14:paraId="15ED2048" w14:textId="77777777" w:rsidR="00D31167" w:rsidRPr="00D31167" w:rsidRDefault="00D31167" w:rsidP="00D31167">
      <w:pPr>
        <w:pStyle w:val="Heading4"/>
      </w:pPr>
      <w:r w:rsidRPr="00D31167">
        <w:t>Efficacy</w:t>
      </w:r>
      <w:bookmarkEnd w:id="147"/>
      <w:bookmarkEnd w:id="148"/>
      <w:bookmarkEnd w:id="149"/>
      <w:bookmarkEnd w:id="150"/>
      <w:bookmarkEnd w:id="151"/>
      <w:bookmarkEnd w:id="152"/>
    </w:p>
    <w:p w14:paraId="26FD3C34" w14:textId="77777777" w:rsidR="00FF7EF3" w:rsidRDefault="00463A38" w:rsidP="00D31167">
      <w:pPr>
        <w:pStyle w:val="Numberbullet0"/>
        <w:numPr>
          <w:ilvl w:val="0"/>
          <w:numId w:val="25"/>
        </w:numPr>
        <w:rPr>
          <w:lang w:eastAsia="ja-JP"/>
        </w:rPr>
      </w:pPr>
      <w:bookmarkStart w:id="153" w:name="_Toc272414705"/>
      <w:bookmarkStart w:id="154" w:name="_Toc290888571"/>
      <w:bookmarkStart w:id="155" w:name="_Toc416353787"/>
      <w:bookmarkStart w:id="156" w:name="_Toc421005327"/>
      <w:bookmarkStart w:id="157" w:name="_Toc432079198"/>
      <w:bookmarkStart w:id="158" w:name="_Toc432080771"/>
      <w:r>
        <w:rPr>
          <w:lang w:eastAsia="ja-JP"/>
        </w:rPr>
        <w:t>C</w:t>
      </w:r>
      <w:r w:rsidR="00D31167">
        <w:rPr>
          <w:lang w:eastAsia="ja-JP"/>
        </w:rPr>
        <w:t>larify the age range of the IMPROVE-IT stud</w:t>
      </w:r>
      <w:r>
        <w:rPr>
          <w:lang w:eastAsia="ja-JP"/>
        </w:rPr>
        <w:t xml:space="preserve">y patient population and </w:t>
      </w:r>
      <w:r w:rsidR="00D31167">
        <w:rPr>
          <w:lang w:eastAsia="ja-JP"/>
        </w:rPr>
        <w:t>state how many patients were aged less than 50 years of age in each treatment arm</w:t>
      </w:r>
      <w:r w:rsidR="00FF7EF3">
        <w:rPr>
          <w:lang w:eastAsia="ja-JP"/>
        </w:rPr>
        <w:t>.</w:t>
      </w:r>
    </w:p>
    <w:p w14:paraId="15D8EF3C" w14:textId="3B5AD72A" w:rsidR="00D31167" w:rsidRDefault="00463A38" w:rsidP="00D31167">
      <w:pPr>
        <w:pStyle w:val="Numberbullet0"/>
        <w:numPr>
          <w:ilvl w:val="0"/>
          <w:numId w:val="25"/>
        </w:numPr>
        <w:rPr>
          <w:lang w:eastAsia="ja-JP"/>
        </w:rPr>
      </w:pPr>
      <w:r>
        <w:rPr>
          <w:lang w:eastAsia="ja-JP"/>
        </w:rPr>
        <w:t>S</w:t>
      </w:r>
      <w:r w:rsidR="00D31167">
        <w:rPr>
          <w:lang w:eastAsia="ja-JP"/>
        </w:rPr>
        <w:t>pecify the NNT and the ARR for the primary composite endpoint in the IMPROVE-IT study.</w:t>
      </w:r>
    </w:p>
    <w:p w14:paraId="5457D330" w14:textId="77777777" w:rsidR="00FF7EF3" w:rsidRDefault="00D31167" w:rsidP="00D31167">
      <w:pPr>
        <w:pStyle w:val="Numberbullet0"/>
        <w:numPr>
          <w:ilvl w:val="0"/>
          <w:numId w:val="25"/>
        </w:numPr>
        <w:rPr>
          <w:lang w:eastAsia="ja-JP"/>
        </w:rPr>
      </w:pPr>
      <w:r>
        <w:rPr>
          <w:lang w:eastAsia="ja-JP"/>
        </w:rPr>
        <w:t>The sensitivity analysis for the primary composite endpoint censoring subjects at the time of dose titration does not appear to be consistent with the analysis of the composite primary endpoint. The sensitivity analysis shows higher event rates in the simvastatin/ezetimibe group for each of the composite endpoints except for non-fatal stroke and a higher overall event rate fo</w:t>
      </w:r>
      <w:r w:rsidR="00463A38">
        <w:rPr>
          <w:lang w:eastAsia="ja-JP"/>
        </w:rPr>
        <w:t>r this treatment group. C</w:t>
      </w:r>
      <w:r>
        <w:rPr>
          <w:lang w:eastAsia="ja-JP"/>
        </w:rPr>
        <w:t>larify the source of this discrepancy and discuss how the findings impact interpretation of the results for the composite primary endpoint analysis</w:t>
      </w:r>
      <w:r w:rsidR="00FF7EF3">
        <w:rPr>
          <w:lang w:eastAsia="ja-JP"/>
        </w:rPr>
        <w:t>.</w:t>
      </w:r>
    </w:p>
    <w:p w14:paraId="4D2D2A45" w14:textId="5BFB577A" w:rsidR="00D31167" w:rsidRDefault="00463A38" w:rsidP="00D31167">
      <w:pPr>
        <w:pStyle w:val="Numberbullet0"/>
        <w:numPr>
          <w:ilvl w:val="0"/>
          <w:numId w:val="25"/>
        </w:numPr>
        <w:rPr>
          <w:lang w:eastAsia="ja-JP"/>
        </w:rPr>
      </w:pPr>
      <w:r>
        <w:rPr>
          <w:lang w:eastAsia="ja-JP"/>
        </w:rPr>
        <w:t>P</w:t>
      </w:r>
      <w:r w:rsidR="00D31167">
        <w:rPr>
          <w:lang w:eastAsia="ja-JP"/>
        </w:rPr>
        <w:t xml:space="preserve">rovide the analysis of between group </w:t>
      </w:r>
      <w:proofErr w:type="gramStart"/>
      <w:r w:rsidR="00D31167">
        <w:rPr>
          <w:lang w:eastAsia="ja-JP"/>
        </w:rPr>
        <w:t>change</w:t>
      </w:r>
      <w:proofErr w:type="gramEnd"/>
      <w:r w:rsidR="00D31167">
        <w:rPr>
          <w:lang w:eastAsia="ja-JP"/>
        </w:rPr>
        <w:t xml:space="preserve"> in the </w:t>
      </w:r>
      <w:r w:rsidR="00D31167" w:rsidRPr="005E7CA1">
        <w:rPr>
          <w:lang w:eastAsia="ja-JP"/>
        </w:rPr>
        <w:t>non-HDL-C/HDL-C ratio</w:t>
      </w:r>
      <w:r w:rsidR="00D31167">
        <w:rPr>
          <w:lang w:eastAsia="ja-JP"/>
        </w:rPr>
        <w:t xml:space="preserve"> or identify the associated table in the submission.</w:t>
      </w:r>
    </w:p>
    <w:p w14:paraId="58BB80D7" w14:textId="77777777" w:rsidR="00D31167" w:rsidRPr="00D31167" w:rsidRDefault="00D31167" w:rsidP="00D31167">
      <w:pPr>
        <w:pStyle w:val="Heading4"/>
      </w:pPr>
      <w:r w:rsidRPr="00D31167">
        <w:t>Safety</w:t>
      </w:r>
      <w:bookmarkEnd w:id="153"/>
      <w:bookmarkEnd w:id="154"/>
      <w:bookmarkEnd w:id="155"/>
      <w:bookmarkEnd w:id="156"/>
      <w:bookmarkEnd w:id="157"/>
      <w:bookmarkEnd w:id="158"/>
    </w:p>
    <w:p w14:paraId="2C4AA7E6" w14:textId="24B9C8BC" w:rsidR="00D31167" w:rsidRDefault="00463A38" w:rsidP="00D31167">
      <w:pPr>
        <w:pStyle w:val="Numberbullet0"/>
        <w:numPr>
          <w:ilvl w:val="0"/>
          <w:numId w:val="25"/>
        </w:numPr>
        <w:rPr>
          <w:lang w:eastAsia="ja-JP"/>
        </w:rPr>
      </w:pPr>
      <w:r>
        <w:rPr>
          <w:lang w:eastAsia="ja-JP"/>
        </w:rPr>
        <w:t>S</w:t>
      </w:r>
      <w:r w:rsidR="00D31167">
        <w:rPr>
          <w:lang w:eastAsia="ja-JP"/>
        </w:rPr>
        <w:t xml:space="preserve">pecify the </w:t>
      </w:r>
      <w:r w:rsidR="007656CD">
        <w:rPr>
          <w:lang w:eastAsia="ja-JP"/>
        </w:rPr>
        <w:t>time period covered by the post-</w:t>
      </w:r>
      <w:r w:rsidR="00D31167">
        <w:rPr>
          <w:lang w:eastAsia="ja-JP"/>
        </w:rPr>
        <w:t>market review of safety.</w:t>
      </w:r>
    </w:p>
    <w:p w14:paraId="4717FCB1" w14:textId="77777777" w:rsidR="00605AD4" w:rsidRPr="00605AD4" w:rsidRDefault="00605AD4" w:rsidP="00605AD4">
      <w:pPr>
        <w:pStyle w:val="Heading3"/>
        <w:rPr>
          <w:rFonts w:eastAsia="Cambria"/>
        </w:rPr>
      </w:pPr>
      <w:bookmarkStart w:id="159" w:name="_Toc484783887"/>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e</w:t>
      </w:r>
      <w:r w:rsidRPr="00605AD4">
        <w:rPr>
          <w:rFonts w:eastAsia="Cambria"/>
        </w:rPr>
        <w:t>valuation</w:t>
      </w:r>
      <w:bookmarkEnd w:id="159"/>
    </w:p>
    <w:p w14:paraId="7E45FFD8" w14:textId="77777777" w:rsidR="00720DBB" w:rsidRPr="00605AD4" w:rsidRDefault="00720DBB" w:rsidP="00720DBB">
      <w:r>
        <w:t>Details of sponsor’s responses to clinical questions and evaluator’s subsequent comments are contained in Attachment 2.</w:t>
      </w:r>
    </w:p>
    <w:p w14:paraId="5E74F0BC" w14:textId="77777777" w:rsidR="00605AD4" w:rsidRPr="00605AD4" w:rsidRDefault="00605AD4" w:rsidP="00546154">
      <w:pPr>
        <w:pStyle w:val="Heading3"/>
        <w:rPr>
          <w:rFonts w:eastAsia="Cambria"/>
        </w:rPr>
      </w:pPr>
      <w:bookmarkStart w:id="160" w:name="_Toc484783888"/>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160"/>
    </w:p>
    <w:p w14:paraId="47445275" w14:textId="77777777" w:rsidR="00AA1284" w:rsidRPr="009E5085" w:rsidRDefault="00AA1284" w:rsidP="00AA1284">
      <w:pPr>
        <w:pStyle w:val="Heading4"/>
      </w:pPr>
      <w:bookmarkStart w:id="161" w:name="_Toc272414709"/>
      <w:bookmarkStart w:id="162" w:name="_Toc290846349"/>
      <w:bookmarkStart w:id="163" w:name="_Toc442359398"/>
      <w:r w:rsidRPr="009E5085">
        <w:t>Second round assessment of benefits</w:t>
      </w:r>
      <w:bookmarkEnd w:id="161"/>
      <w:bookmarkEnd w:id="162"/>
      <w:bookmarkEnd w:id="163"/>
    </w:p>
    <w:p w14:paraId="231C3D81" w14:textId="77777777" w:rsidR="00D31167" w:rsidRPr="0090173C" w:rsidRDefault="00D31167" w:rsidP="00945B36">
      <w:bookmarkStart w:id="164" w:name="_Toc272414710"/>
      <w:bookmarkStart w:id="165" w:name="_Toc290846350"/>
      <w:r w:rsidRPr="0090173C">
        <w:t xml:space="preserve">After consideration of the responses to clinical questions, the benefits of </w:t>
      </w:r>
      <w:r>
        <w:t>Atozet/Zeteze</w:t>
      </w:r>
      <w:r w:rsidRPr="0090173C">
        <w:t xml:space="preserve"> in the proposed usage are unchanged from those identified in </w:t>
      </w:r>
      <w:r>
        <w:t>the first round</w:t>
      </w:r>
      <w:r w:rsidRPr="0090173C">
        <w:t>.</w:t>
      </w:r>
    </w:p>
    <w:p w14:paraId="0D704007" w14:textId="77777777" w:rsidR="00AA1284" w:rsidRDefault="00AA1284" w:rsidP="00AA1284">
      <w:pPr>
        <w:pStyle w:val="Heading4"/>
      </w:pPr>
      <w:bookmarkStart w:id="166" w:name="_Toc442359399"/>
      <w:r w:rsidRPr="009E5085">
        <w:t>Second round assessment of risks</w:t>
      </w:r>
      <w:bookmarkEnd w:id="164"/>
      <w:bookmarkEnd w:id="165"/>
      <w:bookmarkEnd w:id="166"/>
    </w:p>
    <w:p w14:paraId="26550EEE" w14:textId="77777777" w:rsidR="00D71AD2" w:rsidRPr="0090173C" w:rsidRDefault="00D71AD2" w:rsidP="00945B36">
      <w:r w:rsidRPr="0090173C">
        <w:t xml:space="preserve">After consideration of the responses to clinical questions, the </w:t>
      </w:r>
      <w:r>
        <w:t>risks</w:t>
      </w:r>
      <w:r w:rsidRPr="0090173C">
        <w:t xml:space="preserve"> of </w:t>
      </w:r>
      <w:r>
        <w:t>Atozet/Zeteze</w:t>
      </w:r>
      <w:r w:rsidRPr="0090173C">
        <w:t xml:space="preserve"> in the proposed usage are unchanged from those identified in </w:t>
      </w:r>
      <w:r>
        <w:t>the first round</w:t>
      </w:r>
      <w:r w:rsidRPr="0090173C">
        <w:t>.</w:t>
      </w:r>
    </w:p>
    <w:p w14:paraId="282A97C1" w14:textId="77777777" w:rsidR="00AA1284" w:rsidRPr="009E5085" w:rsidRDefault="00AA1284" w:rsidP="00AA1284">
      <w:pPr>
        <w:pStyle w:val="Heading4"/>
      </w:pPr>
      <w:bookmarkStart w:id="167" w:name="_Toc272414711"/>
      <w:bookmarkStart w:id="168" w:name="_Toc290846351"/>
      <w:bookmarkStart w:id="169" w:name="_Toc442359400"/>
      <w:r w:rsidRPr="009E5085">
        <w:t>Second round assessment of benefit-risk balance</w:t>
      </w:r>
      <w:bookmarkEnd w:id="167"/>
      <w:bookmarkEnd w:id="168"/>
      <w:bookmarkEnd w:id="169"/>
    </w:p>
    <w:p w14:paraId="050C920C" w14:textId="77777777" w:rsidR="000F26CE" w:rsidRPr="000F26CE" w:rsidRDefault="000F26CE" w:rsidP="000F26CE">
      <w:r w:rsidRPr="000F26CE">
        <w:t xml:space="preserve">The benefit-risk balance of Atozet/Zeteze (ezetimibe plus atorvastatin) given the proposed usage, is unfavourable. As described, no direct evidence has been submitted to support the efficacy and safety of atorvastatin combined with ezetimibe for the proposed indication. The </w:t>
      </w:r>
      <w:r>
        <w:t>s</w:t>
      </w:r>
      <w:r w:rsidRPr="000F26CE">
        <w:t>ponsor has requested the indication apply to all dose strength combinations of atorvastatin and ezetimibe but no evidence has been submitted to support of the efficacy and safety of all dose strength combinations.</w:t>
      </w:r>
    </w:p>
    <w:p w14:paraId="4E4B7C0C" w14:textId="0C8B1B85" w:rsidR="000F26CE" w:rsidRPr="000F26CE" w:rsidRDefault="00F77C36" w:rsidP="000F26CE">
      <w:pPr>
        <w:rPr>
          <w:highlight w:val="green"/>
        </w:rPr>
      </w:pPr>
      <w:r>
        <w:t>The s</w:t>
      </w:r>
      <w:r w:rsidR="000F26CE" w:rsidRPr="000F26CE">
        <w:t>ponsor has submitted a justification to extrapolate the efficacy and safety of simvastatin with ezetimibe to atorvastatin with ezetimibe at all dose strength combinations but as discussed, the results of the IMPROVE-IT study cannot be extrapolated to Atozet therapy.</w:t>
      </w:r>
    </w:p>
    <w:p w14:paraId="68D3F2EB" w14:textId="77777777" w:rsidR="00FF7EF3" w:rsidRDefault="000F26CE" w:rsidP="000F26CE">
      <w:r w:rsidRPr="000F26CE">
        <w:lastRenderedPageBreak/>
        <w:t xml:space="preserve">The rejection of the proposed indication would not restrict access to this combination </w:t>
      </w:r>
      <w:proofErr w:type="gramStart"/>
      <w:r w:rsidRPr="000F26CE">
        <w:t>therapy,</w:t>
      </w:r>
      <w:proofErr w:type="gramEnd"/>
      <w:r w:rsidRPr="000F26CE">
        <w:t xml:space="preserve"> therefore rejection would not disadvantage patients and would have no impact on public health</w:t>
      </w:r>
      <w:r w:rsidR="00FF7EF3">
        <w:t>.</w:t>
      </w:r>
    </w:p>
    <w:p w14:paraId="55F4A804" w14:textId="484DB98B" w:rsidR="00AA1284" w:rsidRDefault="00AA1284" w:rsidP="00AA1284">
      <w:pPr>
        <w:pStyle w:val="Heading3"/>
      </w:pPr>
      <w:bookmarkStart w:id="170" w:name="_Toc460583202"/>
      <w:bookmarkStart w:id="171" w:name="_Toc484783889"/>
      <w:r>
        <w:t>Second round recommendation regarding authorisation</w:t>
      </w:r>
      <w:bookmarkEnd w:id="170"/>
      <w:bookmarkEnd w:id="171"/>
    </w:p>
    <w:p w14:paraId="25DE7779" w14:textId="77777777" w:rsidR="00500DD1" w:rsidRDefault="00500DD1" w:rsidP="00500DD1">
      <w:r>
        <w:t>Approval of Atozet/Zeteze</w:t>
      </w:r>
      <w:r w:rsidRPr="006701ED">
        <w:t xml:space="preserve"> </w:t>
      </w:r>
      <w:r>
        <w:t xml:space="preserve">(ezetimibe plus atorvastatin) </w:t>
      </w:r>
      <w:r w:rsidRPr="006701ED">
        <w:t xml:space="preserve">is </w:t>
      </w:r>
      <w:r>
        <w:t xml:space="preserve">not </w:t>
      </w:r>
      <w:r w:rsidRPr="006701ED">
        <w:t>recommended for</w:t>
      </w:r>
      <w:r>
        <w:t xml:space="preserve"> the proposed indication:</w:t>
      </w:r>
    </w:p>
    <w:p w14:paraId="629A2483" w14:textId="77777777" w:rsidR="00500DD1" w:rsidRPr="00500DD1" w:rsidRDefault="00500DD1" w:rsidP="00500DD1">
      <w:pPr>
        <w:ind w:left="720"/>
        <w:rPr>
          <w:b/>
          <w:i/>
        </w:rPr>
      </w:pPr>
      <w:r w:rsidRPr="00500DD1">
        <w:rPr>
          <w:b/>
          <w:i/>
        </w:rPr>
        <w:t>Prevention of Cardiovascular Disease</w:t>
      </w:r>
    </w:p>
    <w:p w14:paraId="4E77A156" w14:textId="77777777" w:rsidR="00500DD1" w:rsidRPr="00500DD1" w:rsidRDefault="00500DD1" w:rsidP="00500DD1">
      <w:pPr>
        <w:ind w:left="720"/>
        <w:rPr>
          <w:i/>
        </w:rPr>
      </w:pPr>
      <w:r w:rsidRPr="00500DD1">
        <w:rPr>
          <w:i/>
        </w:rPr>
        <w:t>Atozet/Zeteze is indicated to reduce the risk of cardiovascular events (cardiovascular death, nonfatal myocardial infarction, nonfatal stroke, hospitalization for unstable angina, or need for revascularization) in patients with coronary heart disease (CHD)).</w:t>
      </w:r>
    </w:p>
    <w:p w14:paraId="776892A7" w14:textId="77777777" w:rsidR="00FF7EF3" w:rsidRDefault="00500DD1" w:rsidP="00500DD1">
      <w:pPr>
        <w:rPr>
          <w:lang w:eastAsia="ja-JP"/>
        </w:rPr>
      </w:pPr>
      <w:r w:rsidRPr="0090173C">
        <w:t xml:space="preserve">After consideration of the responses to clinical questions, the benefits of </w:t>
      </w:r>
      <w:r>
        <w:t>Atozet/Zeteze</w:t>
      </w:r>
      <w:r w:rsidRPr="0090173C">
        <w:t xml:space="preserve"> in the proposed usage are unchanged from those identified </w:t>
      </w:r>
      <w:r w:rsidR="00F42B57">
        <w:t>in the first round</w:t>
      </w:r>
      <w:r>
        <w:t>.</w:t>
      </w:r>
      <w:r>
        <w:rPr>
          <w:lang w:eastAsia="ja-JP"/>
        </w:rPr>
        <w:t xml:space="preserve"> As stated, the main reasons for rejection are the lack of direct evidence for Atozet/Zeteze for the proposed indication, the </w:t>
      </w:r>
      <w:r w:rsidRPr="00DC3C42">
        <w:rPr>
          <w:lang w:eastAsia="ja-JP"/>
        </w:rPr>
        <w:t xml:space="preserve">insufficient justification to support </w:t>
      </w:r>
      <w:r>
        <w:rPr>
          <w:lang w:eastAsia="ja-JP"/>
        </w:rPr>
        <w:t xml:space="preserve">the use of indirect evidence, the extrapolation of the justification to </w:t>
      </w:r>
      <w:r w:rsidR="00F77C36">
        <w:rPr>
          <w:lang w:eastAsia="ja-JP"/>
        </w:rPr>
        <w:t xml:space="preserve">all doses of Atozet/Zeteze. </w:t>
      </w:r>
      <w:r>
        <w:rPr>
          <w:lang w:eastAsia="ja-JP"/>
        </w:rPr>
        <w:t>TGA has previously determined that the IMPROVE-IT study was not sufficient evidence to support the requested extension of indication for Vytorin and Ezetrol</w:t>
      </w:r>
      <w:r w:rsidR="00D11B4B">
        <w:rPr>
          <w:lang w:eastAsia="ja-JP"/>
        </w:rPr>
        <w:t xml:space="preserve"> (decision letter dated </w:t>
      </w:r>
      <w:r>
        <w:rPr>
          <w:lang w:eastAsia="ja-JP"/>
        </w:rPr>
        <w:t xml:space="preserve">August 2016). </w:t>
      </w:r>
      <w:r w:rsidRPr="00ED1B2C">
        <w:rPr>
          <w:lang w:eastAsia="ja-JP"/>
        </w:rPr>
        <w:t>The current submission included the same study and requested a similar extension of indication apply to all dosage strength of Atozet</w:t>
      </w:r>
      <w:r>
        <w:rPr>
          <w:lang w:eastAsia="ja-JP"/>
        </w:rPr>
        <w:t>/Zeteze</w:t>
      </w:r>
      <w:r w:rsidRPr="00ED1B2C">
        <w:rPr>
          <w:lang w:eastAsia="ja-JP"/>
        </w:rPr>
        <w:t>. The submission relied on extrapolation of the IMPROVE-IT study results to other statins without additional clinical data</w:t>
      </w:r>
      <w:r w:rsidR="00FF7EF3">
        <w:rPr>
          <w:lang w:eastAsia="ja-JP"/>
        </w:rPr>
        <w:t>.</w:t>
      </w:r>
    </w:p>
    <w:p w14:paraId="53673C1C" w14:textId="261B1104" w:rsidR="008E7846" w:rsidRPr="00E41208" w:rsidRDefault="008E7846" w:rsidP="00546154">
      <w:pPr>
        <w:pStyle w:val="Heading2"/>
      </w:pPr>
      <w:bookmarkStart w:id="172" w:name="_Toc484783890"/>
      <w:r w:rsidRPr="00E41208">
        <w:t xml:space="preserve">V. Pharmacovigilance </w:t>
      </w:r>
      <w:r>
        <w:t>f</w:t>
      </w:r>
      <w:r w:rsidRPr="00E41208">
        <w:t>indings</w:t>
      </w:r>
      <w:bookmarkEnd w:id="71"/>
      <w:bookmarkEnd w:id="72"/>
      <w:bookmarkEnd w:id="172"/>
    </w:p>
    <w:p w14:paraId="3A79D936" w14:textId="77777777" w:rsidR="008E7846" w:rsidRDefault="00386150" w:rsidP="008E7846">
      <w:pPr>
        <w:pStyle w:val="Heading3"/>
        <w:rPr>
          <w:lang w:eastAsia="en-AU"/>
        </w:rPr>
      </w:pPr>
      <w:bookmarkStart w:id="173" w:name="_Toc247691526"/>
      <w:bookmarkStart w:id="174" w:name="_Toc314842509"/>
      <w:bookmarkStart w:id="175" w:name="_Toc484783891"/>
      <w:r>
        <w:rPr>
          <w:lang w:eastAsia="en-AU"/>
        </w:rPr>
        <w:t>Risk m</w:t>
      </w:r>
      <w:r w:rsidR="008E7846">
        <w:rPr>
          <w:lang w:eastAsia="en-AU"/>
        </w:rPr>
        <w:t xml:space="preserve">anagement </w:t>
      </w:r>
      <w:r>
        <w:rPr>
          <w:lang w:eastAsia="en-AU"/>
        </w:rPr>
        <w:t>p</w:t>
      </w:r>
      <w:r w:rsidR="008E7846">
        <w:rPr>
          <w:lang w:eastAsia="en-AU"/>
        </w:rPr>
        <w:t>lan</w:t>
      </w:r>
      <w:bookmarkEnd w:id="173"/>
      <w:bookmarkEnd w:id="174"/>
      <w:bookmarkEnd w:id="175"/>
    </w:p>
    <w:p w14:paraId="6F8EBAB1" w14:textId="77777777" w:rsidR="0027658B" w:rsidRDefault="0027658B" w:rsidP="008E7846">
      <w:pPr>
        <w:rPr>
          <w:kern w:val="2"/>
        </w:rPr>
      </w:pPr>
      <w:r w:rsidRPr="00BE179B">
        <w:t>The most recently evaluated EU-RMP was version 1.0 (11 September 2013) and accompanying A</w:t>
      </w:r>
      <w:r w:rsidR="00486DF7">
        <w:t xml:space="preserve">ustralian </w:t>
      </w:r>
      <w:r w:rsidRPr="00BE179B">
        <w:t>S</w:t>
      </w:r>
      <w:r w:rsidR="00486DF7">
        <w:t xml:space="preserve">pecific </w:t>
      </w:r>
      <w:r w:rsidRPr="00BE179B">
        <w:t>A</w:t>
      </w:r>
      <w:r w:rsidR="00486DF7">
        <w:t>nnex (ASA)</w:t>
      </w:r>
      <w:r w:rsidRPr="00BE179B">
        <w:t xml:space="preserve"> (dated </w:t>
      </w:r>
      <w:r>
        <w:t>13 June 2014</w:t>
      </w:r>
      <w:r w:rsidRPr="00BE179B">
        <w:t xml:space="preserve">). In support of the extended indications, the </w:t>
      </w:r>
      <w:r>
        <w:t>sponsor</w:t>
      </w:r>
      <w:r w:rsidRPr="00BE179B">
        <w:t xml:space="preserve"> submitted</w:t>
      </w:r>
      <w:r w:rsidRPr="00BE179B">
        <w:rPr>
          <w:kern w:val="2"/>
        </w:rPr>
        <w:t xml:space="preserve"> EU-RMP version 4 (24 March 2015; DLP 23 January 2015) and ASA version 1.1 (7 February 2016).</w:t>
      </w:r>
    </w:p>
    <w:p w14:paraId="635BF82C" w14:textId="670A1DB3" w:rsidR="00B06994" w:rsidRDefault="00B06994" w:rsidP="00B06994">
      <w:r w:rsidRPr="00B06994">
        <w:t>The proposed Summary of Safety Concerns and their associated risk monitoring and mitigation</w:t>
      </w:r>
      <w:r>
        <w:t xml:space="preserve"> strategies are summarised in Table </w:t>
      </w:r>
      <w:r w:rsidR="00D66A42">
        <w:t>4</w:t>
      </w:r>
      <w:r>
        <w:t>.</w:t>
      </w:r>
    </w:p>
    <w:p w14:paraId="19384EB6" w14:textId="77777777" w:rsidR="00D66A42" w:rsidRDefault="00D66A42">
      <w:pPr>
        <w:spacing w:before="0" w:after="200" w:line="0" w:lineRule="auto"/>
        <w:rPr>
          <w:b/>
        </w:rPr>
      </w:pPr>
      <w:r>
        <w:br w:type="page"/>
      </w:r>
    </w:p>
    <w:p w14:paraId="38BF555F" w14:textId="77777777" w:rsidR="00F3304E" w:rsidRDefault="00F3304E" w:rsidP="00F3304E">
      <w:pPr>
        <w:pStyle w:val="TableTitle"/>
      </w:pPr>
      <w:proofErr w:type="gramStart"/>
      <w:r>
        <w:lastRenderedPageBreak/>
        <w:t>Table 4:</w:t>
      </w:r>
      <w:r w:rsidRPr="004C5C28">
        <w:t xml:space="preserve"> </w:t>
      </w:r>
      <w:r>
        <w:t>Ongoing safety concerns.</w:t>
      </w:r>
      <w:proofErr w:type="gramEnd"/>
    </w:p>
    <w:tbl>
      <w:tblPr>
        <w:tblStyle w:val="TableTGAblue"/>
        <w:tblW w:w="9322" w:type="dxa"/>
        <w:tblLayout w:type="fixed"/>
        <w:tblLook w:val="04A0" w:firstRow="1" w:lastRow="0" w:firstColumn="1" w:lastColumn="0" w:noHBand="0" w:noVBand="1"/>
      </w:tblPr>
      <w:tblGrid>
        <w:gridCol w:w="1668"/>
        <w:gridCol w:w="3685"/>
        <w:gridCol w:w="1225"/>
        <w:gridCol w:w="1043"/>
        <w:gridCol w:w="800"/>
        <w:gridCol w:w="901"/>
      </w:tblGrid>
      <w:tr w:rsidR="00992B65" w:rsidRPr="00B06994" w14:paraId="5EE8A135" w14:textId="77777777" w:rsidTr="001F576F">
        <w:trPr>
          <w:cnfStyle w:val="100000000000" w:firstRow="1" w:lastRow="0" w:firstColumn="0" w:lastColumn="0" w:oddVBand="0" w:evenVBand="0" w:oddHBand="0" w:evenHBand="0" w:firstRowFirstColumn="0" w:firstRowLastColumn="0" w:lastRowFirstColumn="0" w:lastRowLastColumn="0"/>
          <w:trHeight w:val="131"/>
        </w:trPr>
        <w:tc>
          <w:tcPr>
            <w:tcW w:w="5353" w:type="dxa"/>
            <w:gridSpan w:val="2"/>
            <w:vMerge w:val="restart"/>
          </w:tcPr>
          <w:p w14:paraId="46F6CF9E" w14:textId="77777777" w:rsidR="00992B65" w:rsidRPr="00B06994" w:rsidRDefault="00992B65" w:rsidP="001F576F">
            <w:pPr>
              <w:pStyle w:val="Tabletext"/>
              <w:spacing w:before="0" w:after="0" w:line="240" w:lineRule="auto"/>
              <w:rPr>
                <w:b w:val="0"/>
                <w:sz w:val="18"/>
                <w:szCs w:val="18"/>
              </w:rPr>
            </w:pPr>
            <w:r w:rsidRPr="00B06994">
              <w:rPr>
                <w:sz w:val="18"/>
                <w:szCs w:val="18"/>
              </w:rPr>
              <w:t>Summary of safety concerns</w:t>
            </w:r>
          </w:p>
        </w:tc>
        <w:tc>
          <w:tcPr>
            <w:tcW w:w="2268" w:type="dxa"/>
            <w:gridSpan w:val="2"/>
          </w:tcPr>
          <w:p w14:paraId="0587BEBD" w14:textId="77777777" w:rsidR="00992B65" w:rsidRPr="00B06994" w:rsidRDefault="00992B65" w:rsidP="001F576F">
            <w:pPr>
              <w:pStyle w:val="Tabletext"/>
              <w:spacing w:before="0" w:after="0" w:line="240" w:lineRule="auto"/>
              <w:rPr>
                <w:b w:val="0"/>
                <w:sz w:val="18"/>
                <w:szCs w:val="18"/>
              </w:rPr>
            </w:pPr>
            <w:r w:rsidRPr="00B06994">
              <w:rPr>
                <w:sz w:val="18"/>
                <w:szCs w:val="18"/>
              </w:rPr>
              <w:t>Pharmacovigilance</w:t>
            </w:r>
          </w:p>
        </w:tc>
        <w:tc>
          <w:tcPr>
            <w:tcW w:w="1701" w:type="dxa"/>
            <w:gridSpan w:val="2"/>
          </w:tcPr>
          <w:p w14:paraId="43AD0013" w14:textId="77777777" w:rsidR="00992B65" w:rsidRPr="00B06994" w:rsidRDefault="00992B65" w:rsidP="001F576F">
            <w:pPr>
              <w:pStyle w:val="Tabletext"/>
              <w:spacing w:before="0" w:after="0" w:line="240" w:lineRule="auto"/>
              <w:rPr>
                <w:b w:val="0"/>
                <w:sz w:val="18"/>
                <w:szCs w:val="18"/>
              </w:rPr>
            </w:pPr>
            <w:r w:rsidRPr="00B06994">
              <w:rPr>
                <w:sz w:val="18"/>
                <w:szCs w:val="18"/>
              </w:rPr>
              <w:t>Risk Minimisation</w:t>
            </w:r>
          </w:p>
        </w:tc>
      </w:tr>
      <w:tr w:rsidR="00992B65" w:rsidRPr="00B06994" w14:paraId="458538A8" w14:textId="77777777" w:rsidTr="001F576F">
        <w:trPr>
          <w:trHeight w:val="150"/>
        </w:trPr>
        <w:tc>
          <w:tcPr>
            <w:tcW w:w="5353" w:type="dxa"/>
            <w:gridSpan w:val="2"/>
            <w:vMerge/>
          </w:tcPr>
          <w:p w14:paraId="1D7D52F6" w14:textId="77777777" w:rsidR="00992B65" w:rsidRPr="00B06994" w:rsidRDefault="00992B65" w:rsidP="001F576F">
            <w:pPr>
              <w:pStyle w:val="Tabletext"/>
              <w:spacing w:before="0" w:after="0" w:line="240" w:lineRule="auto"/>
              <w:rPr>
                <w:b/>
                <w:sz w:val="18"/>
                <w:szCs w:val="18"/>
              </w:rPr>
            </w:pPr>
          </w:p>
        </w:tc>
        <w:tc>
          <w:tcPr>
            <w:tcW w:w="1225" w:type="dxa"/>
          </w:tcPr>
          <w:p w14:paraId="6BE45FA3" w14:textId="77777777" w:rsidR="00992B65" w:rsidRPr="00B06994" w:rsidRDefault="00992B65" w:rsidP="001F576F">
            <w:pPr>
              <w:pStyle w:val="Tabletext"/>
              <w:spacing w:before="0" w:after="0" w:line="240" w:lineRule="auto"/>
              <w:jc w:val="center"/>
              <w:rPr>
                <w:sz w:val="18"/>
                <w:szCs w:val="18"/>
              </w:rPr>
            </w:pPr>
            <w:r>
              <w:rPr>
                <w:sz w:val="18"/>
                <w:szCs w:val="18"/>
              </w:rPr>
              <w:t>R</w:t>
            </w:r>
          </w:p>
        </w:tc>
        <w:tc>
          <w:tcPr>
            <w:tcW w:w="1043" w:type="dxa"/>
          </w:tcPr>
          <w:p w14:paraId="3335D9DD" w14:textId="77777777" w:rsidR="00992B65" w:rsidRPr="00B06994" w:rsidRDefault="00992B65" w:rsidP="001F576F">
            <w:pPr>
              <w:pStyle w:val="Tabletext"/>
              <w:spacing w:before="0" w:after="0" w:line="240" w:lineRule="auto"/>
              <w:jc w:val="center"/>
              <w:rPr>
                <w:sz w:val="18"/>
                <w:szCs w:val="18"/>
              </w:rPr>
            </w:pPr>
            <w:r>
              <w:rPr>
                <w:sz w:val="18"/>
                <w:szCs w:val="18"/>
              </w:rPr>
              <w:t>A</w:t>
            </w:r>
          </w:p>
        </w:tc>
        <w:tc>
          <w:tcPr>
            <w:tcW w:w="800" w:type="dxa"/>
          </w:tcPr>
          <w:p w14:paraId="33F3D179" w14:textId="77777777" w:rsidR="00992B65" w:rsidRPr="00B06994" w:rsidRDefault="00992B65" w:rsidP="001F576F">
            <w:pPr>
              <w:pStyle w:val="Tabletext"/>
              <w:spacing w:before="0" w:after="0" w:line="240" w:lineRule="auto"/>
              <w:jc w:val="center"/>
              <w:rPr>
                <w:sz w:val="18"/>
                <w:szCs w:val="18"/>
              </w:rPr>
            </w:pPr>
            <w:r>
              <w:rPr>
                <w:sz w:val="18"/>
                <w:szCs w:val="18"/>
              </w:rPr>
              <w:t>R</w:t>
            </w:r>
          </w:p>
        </w:tc>
        <w:tc>
          <w:tcPr>
            <w:tcW w:w="901" w:type="dxa"/>
          </w:tcPr>
          <w:p w14:paraId="2BB7CECC" w14:textId="77777777" w:rsidR="00992B65" w:rsidRPr="00B06994" w:rsidRDefault="00992B65" w:rsidP="001F576F">
            <w:pPr>
              <w:pStyle w:val="Tabletext"/>
              <w:spacing w:before="0" w:after="0" w:line="240" w:lineRule="auto"/>
              <w:jc w:val="center"/>
              <w:rPr>
                <w:sz w:val="18"/>
                <w:szCs w:val="18"/>
              </w:rPr>
            </w:pPr>
            <w:r>
              <w:rPr>
                <w:sz w:val="18"/>
                <w:szCs w:val="18"/>
              </w:rPr>
              <w:t>A</w:t>
            </w:r>
          </w:p>
        </w:tc>
      </w:tr>
      <w:tr w:rsidR="00992B65" w:rsidRPr="00B06994" w14:paraId="24673AC4" w14:textId="77777777" w:rsidTr="001F576F">
        <w:trPr>
          <w:trHeight w:val="137"/>
        </w:trPr>
        <w:tc>
          <w:tcPr>
            <w:tcW w:w="1668" w:type="dxa"/>
            <w:vMerge w:val="restart"/>
          </w:tcPr>
          <w:p w14:paraId="22DB68FD" w14:textId="77777777" w:rsidR="00992B65" w:rsidRPr="00B06994" w:rsidRDefault="00992B65" w:rsidP="001F576F">
            <w:pPr>
              <w:pStyle w:val="Tabletext"/>
              <w:spacing w:before="0" w:after="0" w:line="240" w:lineRule="auto"/>
              <w:rPr>
                <w:b/>
                <w:sz w:val="18"/>
                <w:szCs w:val="18"/>
              </w:rPr>
            </w:pPr>
            <w:r w:rsidRPr="00B06994">
              <w:rPr>
                <w:b/>
                <w:sz w:val="18"/>
                <w:szCs w:val="18"/>
              </w:rPr>
              <w:t>Important identified risks</w:t>
            </w:r>
          </w:p>
        </w:tc>
        <w:tc>
          <w:tcPr>
            <w:tcW w:w="3685" w:type="dxa"/>
          </w:tcPr>
          <w:p w14:paraId="56577139" w14:textId="77777777" w:rsidR="00992B65" w:rsidRPr="00B06994" w:rsidRDefault="00992B65" w:rsidP="001F576F">
            <w:pPr>
              <w:pStyle w:val="Tabletext"/>
              <w:spacing w:before="0" w:after="0" w:line="240" w:lineRule="auto"/>
              <w:rPr>
                <w:sz w:val="18"/>
                <w:szCs w:val="18"/>
              </w:rPr>
            </w:pPr>
            <w:r w:rsidRPr="00B06994">
              <w:rPr>
                <w:rFonts w:eastAsia="TimesNewRoman"/>
                <w:sz w:val="18"/>
                <w:szCs w:val="18"/>
              </w:rPr>
              <w:t>Muscle injury (Rhabdomyolysis/myopathy)</w:t>
            </w:r>
          </w:p>
        </w:tc>
        <w:tc>
          <w:tcPr>
            <w:tcW w:w="1225" w:type="dxa"/>
          </w:tcPr>
          <w:p w14:paraId="739F8433"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499F9954"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0ACA0EA6"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04A0B5B3"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4691050F" w14:textId="77777777" w:rsidTr="001F576F">
        <w:trPr>
          <w:trHeight w:val="65"/>
        </w:trPr>
        <w:tc>
          <w:tcPr>
            <w:tcW w:w="1668" w:type="dxa"/>
            <w:vMerge/>
          </w:tcPr>
          <w:p w14:paraId="27464786" w14:textId="77777777" w:rsidR="00992B65" w:rsidRPr="00B06994" w:rsidRDefault="00992B65" w:rsidP="001F576F">
            <w:pPr>
              <w:pStyle w:val="Tabletext"/>
              <w:spacing w:before="0" w:after="0" w:line="240" w:lineRule="auto"/>
              <w:rPr>
                <w:b/>
                <w:sz w:val="18"/>
                <w:szCs w:val="18"/>
              </w:rPr>
            </w:pPr>
          </w:p>
        </w:tc>
        <w:tc>
          <w:tcPr>
            <w:tcW w:w="3685" w:type="dxa"/>
          </w:tcPr>
          <w:p w14:paraId="4E329CBF" w14:textId="77777777" w:rsidR="00992B65" w:rsidRPr="00B06994" w:rsidRDefault="00992B65" w:rsidP="001F576F">
            <w:pPr>
              <w:pStyle w:val="Tabletext"/>
              <w:spacing w:before="0" w:after="0" w:line="240" w:lineRule="auto"/>
              <w:rPr>
                <w:sz w:val="18"/>
                <w:szCs w:val="18"/>
              </w:rPr>
            </w:pPr>
            <w:r w:rsidRPr="00B06994">
              <w:rPr>
                <w:rFonts w:eastAsia="TimesNewRoman"/>
                <w:sz w:val="18"/>
                <w:szCs w:val="18"/>
              </w:rPr>
              <w:t>Abnormal liver function (Abnormal liver function)</w:t>
            </w:r>
          </w:p>
        </w:tc>
        <w:tc>
          <w:tcPr>
            <w:tcW w:w="1225" w:type="dxa"/>
          </w:tcPr>
          <w:p w14:paraId="06B426A7"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483B9149"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30417556"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5A3F3996"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76BC8BA2" w14:textId="77777777" w:rsidTr="001F576F">
        <w:trPr>
          <w:trHeight w:val="168"/>
        </w:trPr>
        <w:tc>
          <w:tcPr>
            <w:tcW w:w="1668" w:type="dxa"/>
            <w:vMerge/>
          </w:tcPr>
          <w:p w14:paraId="447BFAEC" w14:textId="77777777" w:rsidR="00992B65" w:rsidRPr="00B06994" w:rsidRDefault="00992B65" w:rsidP="001F576F">
            <w:pPr>
              <w:pStyle w:val="Tabletext"/>
              <w:spacing w:before="0" w:after="0" w:line="240" w:lineRule="auto"/>
              <w:rPr>
                <w:b/>
                <w:sz w:val="18"/>
                <w:szCs w:val="18"/>
              </w:rPr>
            </w:pPr>
          </w:p>
        </w:tc>
        <w:tc>
          <w:tcPr>
            <w:tcW w:w="3685" w:type="dxa"/>
          </w:tcPr>
          <w:p w14:paraId="63560DD8" w14:textId="77777777" w:rsidR="00992B65" w:rsidRPr="00B06994" w:rsidRDefault="00992B65" w:rsidP="001F576F">
            <w:pPr>
              <w:pStyle w:val="Tabletext"/>
              <w:spacing w:before="0" w:after="0" w:line="240" w:lineRule="auto"/>
              <w:rPr>
                <w:sz w:val="18"/>
                <w:szCs w:val="18"/>
              </w:rPr>
            </w:pPr>
            <w:r w:rsidRPr="00B06994">
              <w:rPr>
                <w:rFonts w:eastAsia="TimesNewRoman"/>
                <w:sz w:val="18"/>
                <w:szCs w:val="18"/>
              </w:rPr>
              <w:t>Allergic reactions (Hypersensitivity)</w:t>
            </w:r>
          </w:p>
        </w:tc>
        <w:tc>
          <w:tcPr>
            <w:tcW w:w="1225" w:type="dxa"/>
          </w:tcPr>
          <w:p w14:paraId="775DF6B3"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6ACE2C0F"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027D1F08"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151C38D2"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6D60D4D3" w14:textId="77777777" w:rsidTr="001F576F">
        <w:trPr>
          <w:trHeight w:val="366"/>
        </w:trPr>
        <w:tc>
          <w:tcPr>
            <w:tcW w:w="1668" w:type="dxa"/>
            <w:vMerge/>
          </w:tcPr>
          <w:p w14:paraId="3A45B14D" w14:textId="77777777" w:rsidR="00992B65" w:rsidRPr="00B06994" w:rsidRDefault="00992B65" w:rsidP="001F576F">
            <w:pPr>
              <w:pStyle w:val="Tabletext"/>
              <w:spacing w:before="0" w:after="0" w:line="240" w:lineRule="auto"/>
              <w:rPr>
                <w:b/>
                <w:sz w:val="18"/>
                <w:szCs w:val="18"/>
              </w:rPr>
            </w:pPr>
          </w:p>
        </w:tc>
        <w:tc>
          <w:tcPr>
            <w:tcW w:w="3685" w:type="dxa"/>
          </w:tcPr>
          <w:p w14:paraId="1EAF9C95" w14:textId="77777777" w:rsidR="00992B65" w:rsidRPr="00B06994" w:rsidRDefault="00992B65" w:rsidP="001F576F">
            <w:pPr>
              <w:pStyle w:val="Tabletext"/>
              <w:spacing w:before="0" w:after="0" w:line="240" w:lineRule="auto"/>
              <w:rPr>
                <w:sz w:val="18"/>
                <w:szCs w:val="18"/>
              </w:rPr>
            </w:pPr>
            <w:r>
              <w:rPr>
                <w:rFonts w:eastAsia="TimesNewRoman"/>
                <w:sz w:val="18"/>
                <w:szCs w:val="18"/>
              </w:rPr>
              <w:t xml:space="preserve">Drug interaction with warfarin, another </w:t>
            </w:r>
            <w:proofErr w:type="spellStart"/>
            <w:r>
              <w:rPr>
                <w:rFonts w:eastAsia="TimesNewRoman"/>
                <w:sz w:val="18"/>
                <w:szCs w:val="18"/>
              </w:rPr>
              <w:t>coumarin</w:t>
            </w:r>
            <w:proofErr w:type="spellEnd"/>
            <w:r>
              <w:rPr>
                <w:rFonts w:eastAsia="TimesNewRoman"/>
                <w:sz w:val="18"/>
                <w:szCs w:val="18"/>
              </w:rPr>
              <w:t xml:space="preserve"> anticoagulant or </w:t>
            </w:r>
            <w:proofErr w:type="spellStart"/>
            <w:r>
              <w:rPr>
                <w:rFonts w:eastAsia="TimesNewRoman"/>
                <w:sz w:val="18"/>
                <w:szCs w:val="18"/>
              </w:rPr>
              <w:t>fluindione</w:t>
            </w:r>
            <w:proofErr w:type="spellEnd"/>
          </w:p>
        </w:tc>
        <w:tc>
          <w:tcPr>
            <w:tcW w:w="1225" w:type="dxa"/>
          </w:tcPr>
          <w:p w14:paraId="5216D027"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503C41B5"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32B198EB"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624432E1"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31118C6E" w14:textId="77777777" w:rsidTr="001F576F">
        <w:trPr>
          <w:trHeight w:val="187"/>
        </w:trPr>
        <w:tc>
          <w:tcPr>
            <w:tcW w:w="1668" w:type="dxa"/>
            <w:vMerge/>
          </w:tcPr>
          <w:p w14:paraId="36D1A2DB" w14:textId="77777777" w:rsidR="00992B65" w:rsidRPr="00B06994" w:rsidRDefault="00992B65" w:rsidP="001F576F">
            <w:pPr>
              <w:pStyle w:val="Tabletext"/>
              <w:spacing w:before="0" w:after="0" w:line="240" w:lineRule="auto"/>
              <w:rPr>
                <w:b/>
                <w:sz w:val="18"/>
                <w:szCs w:val="18"/>
              </w:rPr>
            </w:pPr>
          </w:p>
        </w:tc>
        <w:tc>
          <w:tcPr>
            <w:tcW w:w="3685" w:type="dxa"/>
          </w:tcPr>
          <w:p w14:paraId="23617D4F" w14:textId="77777777" w:rsidR="00992B65" w:rsidRPr="00B06994" w:rsidRDefault="00992B65" w:rsidP="001F576F">
            <w:pPr>
              <w:pStyle w:val="Tabletext"/>
              <w:spacing w:before="0" w:after="0" w:line="240" w:lineRule="auto"/>
              <w:rPr>
                <w:sz w:val="18"/>
                <w:szCs w:val="18"/>
              </w:rPr>
            </w:pPr>
            <w:r>
              <w:rPr>
                <w:rFonts w:eastAsia="TimesNewRoman"/>
                <w:sz w:val="18"/>
                <w:szCs w:val="18"/>
              </w:rPr>
              <w:t xml:space="preserve">Drug interaction with </w:t>
            </w:r>
            <w:proofErr w:type="spellStart"/>
            <w:r>
              <w:rPr>
                <w:rFonts w:eastAsia="TimesNewRoman"/>
                <w:sz w:val="18"/>
                <w:szCs w:val="18"/>
              </w:rPr>
              <w:t>cyclosporin</w:t>
            </w:r>
            <w:proofErr w:type="spellEnd"/>
          </w:p>
        </w:tc>
        <w:tc>
          <w:tcPr>
            <w:tcW w:w="1225" w:type="dxa"/>
          </w:tcPr>
          <w:p w14:paraId="6E10F9B1"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1C47EBC5"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0E2CB0C6"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638644FD"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5139AEEE" w14:textId="77777777" w:rsidTr="001F576F">
        <w:trPr>
          <w:trHeight w:val="159"/>
        </w:trPr>
        <w:tc>
          <w:tcPr>
            <w:tcW w:w="1668" w:type="dxa"/>
            <w:vMerge w:val="restart"/>
          </w:tcPr>
          <w:p w14:paraId="09452EBB" w14:textId="77777777" w:rsidR="00992B65" w:rsidRPr="00B06994" w:rsidRDefault="00992B65" w:rsidP="001F576F">
            <w:pPr>
              <w:pStyle w:val="Tabletext"/>
              <w:spacing w:before="0" w:after="0" w:line="240" w:lineRule="auto"/>
              <w:rPr>
                <w:b/>
                <w:sz w:val="18"/>
                <w:szCs w:val="18"/>
              </w:rPr>
            </w:pPr>
            <w:r w:rsidRPr="00B06994">
              <w:rPr>
                <w:b/>
                <w:sz w:val="18"/>
                <w:szCs w:val="18"/>
              </w:rPr>
              <w:t>Important potential risks</w:t>
            </w:r>
          </w:p>
        </w:tc>
        <w:tc>
          <w:tcPr>
            <w:tcW w:w="3685" w:type="dxa"/>
          </w:tcPr>
          <w:p w14:paraId="3E1E7C73" w14:textId="77777777" w:rsidR="00992B65" w:rsidRPr="00B06994" w:rsidRDefault="00992B65" w:rsidP="001F576F">
            <w:pPr>
              <w:pStyle w:val="Tabletext"/>
              <w:spacing w:before="0" w:after="0" w:line="240" w:lineRule="auto"/>
              <w:rPr>
                <w:sz w:val="18"/>
                <w:szCs w:val="18"/>
              </w:rPr>
            </w:pPr>
            <w:r w:rsidRPr="00B06994">
              <w:rPr>
                <w:rFonts w:eastAsia="TimesNewRoman"/>
                <w:sz w:val="18"/>
                <w:szCs w:val="18"/>
              </w:rPr>
              <w:t>Gallbladder inflammation/gallstones (Cholecystitis/</w:t>
            </w:r>
            <w:proofErr w:type="spellStart"/>
            <w:r w:rsidRPr="00B06994">
              <w:rPr>
                <w:rFonts w:eastAsia="TimesNewRoman"/>
                <w:sz w:val="18"/>
                <w:szCs w:val="18"/>
              </w:rPr>
              <w:t>cholelithiasis</w:t>
            </w:r>
            <w:proofErr w:type="spellEnd"/>
            <w:r w:rsidRPr="00B06994">
              <w:rPr>
                <w:rFonts w:eastAsia="TimesNewRoman"/>
                <w:sz w:val="18"/>
                <w:szCs w:val="18"/>
              </w:rPr>
              <w:t>)</w:t>
            </w:r>
          </w:p>
        </w:tc>
        <w:tc>
          <w:tcPr>
            <w:tcW w:w="1225" w:type="dxa"/>
          </w:tcPr>
          <w:p w14:paraId="32990A51"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342D844B"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5138F3EE"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10F2E4A1"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1DB1FF85" w14:textId="77777777" w:rsidTr="001F576F">
        <w:trPr>
          <w:trHeight w:val="122"/>
        </w:trPr>
        <w:tc>
          <w:tcPr>
            <w:tcW w:w="1668" w:type="dxa"/>
            <w:vMerge/>
          </w:tcPr>
          <w:p w14:paraId="2CF8D460" w14:textId="77777777" w:rsidR="00992B65" w:rsidRPr="00B06994" w:rsidRDefault="00992B65" w:rsidP="001F576F">
            <w:pPr>
              <w:pStyle w:val="Tabletext"/>
              <w:spacing w:before="0" w:after="0" w:line="240" w:lineRule="auto"/>
              <w:rPr>
                <w:b/>
                <w:sz w:val="18"/>
                <w:szCs w:val="18"/>
              </w:rPr>
            </w:pPr>
          </w:p>
        </w:tc>
        <w:tc>
          <w:tcPr>
            <w:tcW w:w="3685" w:type="dxa"/>
          </w:tcPr>
          <w:p w14:paraId="60F840A3" w14:textId="77777777" w:rsidR="00992B65" w:rsidRPr="00B06994" w:rsidRDefault="00992B65" w:rsidP="001F576F">
            <w:pPr>
              <w:pStyle w:val="Tabletext"/>
              <w:spacing w:before="0" w:after="0" w:line="240" w:lineRule="auto"/>
              <w:rPr>
                <w:sz w:val="18"/>
                <w:szCs w:val="18"/>
              </w:rPr>
            </w:pPr>
            <w:r w:rsidRPr="00B06994">
              <w:rPr>
                <w:rFonts w:eastAsia="TimesNewRoman"/>
                <w:sz w:val="18"/>
                <w:szCs w:val="18"/>
              </w:rPr>
              <w:t>Pancreas inflammation (Pancreatitis)</w:t>
            </w:r>
          </w:p>
        </w:tc>
        <w:tc>
          <w:tcPr>
            <w:tcW w:w="1225" w:type="dxa"/>
          </w:tcPr>
          <w:p w14:paraId="2ED49E48"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2DC90DAB"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151E26F9"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40C9EDBB"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2017E49F" w14:textId="77777777" w:rsidTr="00AE606B">
        <w:trPr>
          <w:trHeight w:val="112"/>
        </w:trPr>
        <w:tc>
          <w:tcPr>
            <w:tcW w:w="1668" w:type="dxa"/>
            <w:vMerge/>
          </w:tcPr>
          <w:p w14:paraId="50A449F6" w14:textId="77777777" w:rsidR="00992B65" w:rsidRPr="00B06994" w:rsidRDefault="00992B65" w:rsidP="001F576F">
            <w:pPr>
              <w:pStyle w:val="Tabletext"/>
              <w:spacing w:before="0" w:after="0" w:line="240" w:lineRule="auto"/>
              <w:rPr>
                <w:b/>
                <w:sz w:val="18"/>
                <w:szCs w:val="18"/>
              </w:rPr>
            </w:pPr>
          </w:p>
        </w:tc>
        <w:tc>
          <w:tcPr>
            <w:tcW w:w="3685" w:type="dxa"/>
          </w:tcPr>
          <w:p w14:paraId="49B6487F" w14:textId="77777777" w:rsidR="00992B65" w:rsidRPr="00B06994" w:rsidRDefault="00992B65" w:rsidP="001F576F">
            <w:pPr>
              <w:pStyle w:val="Tabletext"/>
              <w:spacing w:before="0" w:after="0" w:line="240" w:lineRule="auto"/>
              <w:rPr>
                <w:sz w:val="18"/>
                <w:szCs w:val="18"/>
              </w:rPr>
            </w:pPr>
            <w:r w:rsidRPr="00B06994">
              <w:rPr>
                <w:rFonts w:eastAsia="TimesNewRoman"/>
                <w:sz w:val="18"/>
                <w:szCs w:val="18"/>
              </w:rPr>
              <w:t>Stroke due to bleeding in the brain (</w:t>
            </w:r>
            <w:proofErr w:type="spellStart"/>
            <w:r w:rsidRPr="00B06994">
              <w:rPr>
                <w:rFonts w:eastAsia="TimesNewRoman"/>
                <w:sz w:val="18"/>
                <w:szCs w:val="18"/>
              </w:rPr>
              <w:t>Hemorrhagic</w:t>
            </w:r>
            <w:proofErr w:type="spellEnd"/>
            <w:r w:rsidRPr="00B06994">
              <w:rPr>
                <w:rFonts w:eastAsia="TimesNewRoman"/>
                <w:sz w:val="18"/>
                <w:szCs w:val="18"/>
              </w:rPr>
              <w:t xml:space="preserve"> stroke)</w:t>
            </w:r>
          </w:p>
        </w:tc>
        <w:tc>
          <w:tcPr>
            <w:tcW w:w="1225" w:type="dxa"/>
          </w:tcPr>
          <w:p w14:paraId="7107F9B7"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5A03C98E"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5E5831F6"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7881A15A"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60B69144" w14:textId="77777777" w:rsidTr="00AE606B">
        <w:trPr>
          <w:trHeight w:val="112"/>
        </w:trPr>
        <w:tc>
          <w:tcPr>
            <w:tcW w:w="1668" w:type="dxa"/>
            <w:vMerge/>
          </w:tcPr>
          <w:p w14:paraId="4FAA6308" w14:textId="77777777" w:rsidR="00992B65" w:rsidRPr="00B06994" w:rsidRDefault="00992B65" w:rsidP="001F576F">
            <w:pPr>
              <w:pStyle w:val="Tabletext"/>
              <w:spacing w:before="0" w:after="0" w:line="240" w:lineRule="auto"/>
              <w:rPr>
                <w:b/>
                <w:sz w:val="18"/>
                <w:szCs w:val="18"/>
              </w:rPr>
            </w:pPr>
          </w:p>
        </w:tc>
        <w:tc>
          <w:tcPr>
            <w:tcW w:w="3685" w:type="dxa"/>
          </w:tcPr>
          <w:p w14:paraId="56A5F762" w14:textId="77777777" w:rsidR="00992B65" w:rsidRPr="00B06994" w:rsidRDefault="00992B65" w:rsidP="001F576F">
            <w:pPr>
              <w:pStyle w:val="Tabletext"/>
              <w:spacing w:before="0" w:after="0" w:line="240" w:lineRule="auto"/>
              <w:rPr>
                <w:rFonts w:eastAsia="TimesNewRoman"/>
                <w:sz w:val="18"/>
                <w:szCs w:val="18"/>
              </w:rPr>
            </w:pPr>
            <w:r w:rsidRPr="00B06994">
              <w:rPr>
                <w:rFonts w:eastAsia="TimesNewRoman"/>
                <w:sz w:val="18"/>
                <w:szCs w:val="18"/>
              </w:rPr>
              <w:t>Interstitial lung disease</w:t>
            </w:r>
          </w:p>
        </w:tc>
        <w:tc>
          <w:tcPr>
            <w:tcW w:w="1225" w:type="dxa"/>
          </w:tcPr>
          <w:p w14:paraId="38103D66"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621040E1"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2495D4E0"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231466C0"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4DD8AEEF" w14:textId="77777777" w:rsidTr="00AE606B">
        <w:trPr>
          <w:trHeight w:val="112"/>
        </w:trPr>
        <w:tc>
          <w:tcPr>
            <w:tcW w:w="1668" w:type="dxa"/>
            <w:vMerge/>
          </w:tcPr>
          <w:p w14:paraId="56EFBC69" w14:textId="77777777" w:rsidR="00992B65" w:rsidRPr="00B06994" w:rsidRDefault="00992B65" w:rsidP="001F576F">
            <w:pPr>
              <w:pStyle w:val="Tabletext"/>
              <w:spacing w:before="0" w:after="0" w:line="240" w:lineRule="auto"/>
              <w:rPr>
                <w:b/>
                <w:sz w:val="18"/>
                <w:szCs w:val="18"/>
              </w:rPr>
            </w:pPr>
          </w:p>
        </w:tc>
        <w:tc>
          <w:tcPr>
            <w:tcW w:w="3685" w:type="dxa"/>
          </w:tcPr>
          <w:p w14:paraId="461BF8C3" w14:textId="77777777" w:rsidR="00992B65" w:rsidRPr="00B06994" w:rsidRDefault="00992B65" w:rsidP="001F576F">
            <w:pPr>
              <w:pStyle w:val="Tabletext"/>
              <w:spacing w:before="0" w:after="0" w:line="240" w:lineRule="auto"/>
              <w:rPr>
                <w:rFonts w:eastAsia="TimesNewRoman"/>
                <w:sz w:val="18"/>
                <w:szCs w:val="18"/>
              </w:rPr>
            </w:pPr>
            <w:r w:rsidRPr="00B06994">
              <w:rPr>
                <w:rFonts w:eastAsia="TimesNewRoman"/>
                <w:sz w:val="18"/>
                <w:szCs w:val="18"/>
              </w:rPr>
              <w:t>Diabetes (New-onset diabetes)</w:t>
            </w:r>
          </w:p>
        </w:tc>
        <w:tc>
          <w:tcPr>
            <w:tcW w:w="1225" w:type="dxa"/>
          </w:tcPr>
          <w:p w14:paraId="3A232AE8"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7231C67E"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7A98C329"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5183F19B"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32B46960" w14:textId="77777777" w:rsidTr="001F576F">
        <w:trPr>
          <w:trHeight w:val="178"/>
        </w:trPr>
        <w:tc>
          <w:tcPr>
            <w:tcW w:w="1668" w:type="dxa"/>
            <w:vMerge w:val="restart"/>
          </w:tcPr>
          <w:p w14:paraId="0CBBE8AF" w14:textId="77777777" w:rsidR="00992B65" w:rsidRPr="00B06994" w:rsidRDefault="00992B65" w:rsidP="001F576F">
            <w:pPr>
              <w:pStyle w:val="Tabletext"/>
              <w:spacing w:before="0" w:after="0" w:line="240" w:lineRule="auto"/>
              <w:rPr>
                <w:b/>
                <w:sz w:val="18"/>
                <w:szCs w:val="18"/>
              </w:rPr>
            </w:pPr>
            <w:r w:rsidRPr="00B06994">
              <w:rPr>
                <w:b/>
                <w:sz w:val="18"/>
                <w:szCs w:val="18"/>
              </w:rPr>
              <w:t>Missing information</w:t>
            </w:r>
          </w:p>
        </w:tc>
        <w:tc>
          <w:tcPr>
            <w:tcW w:w="3685" w:type="dxa"/>
          </w:tcPr>
          <w:p w14:paraId="1FDA3D98" w14:textId="77777777" w:rsidR="00992B65" w:rsidRPr="00B06994" w:rsidRDefault="00992B65" w:rsidP="001F576F">
            <w:pPr>
              <w:pStyle w:val="Tabletext"/>
              <w:spacing w:before="0" w:after="0" w:line="240" w:lineRule="auto"/>
              <w:rPr>
                <w:sz w:val="18"/>
                <w:szCs w:val="18"/>
              </w:rPr>
            </w:pPr>
            <w:r w:rsidRPr="00B06994">
              <w:rPr>
                <w:rFonts w:eastAsia="TimesNewRoman"/>
                <w:sz w:val="18"/>
                <w:szCs w:val="18"/>
              </w:rPr>
              <w:t>Use in pregnancy and breastfeeding (Exposure during pregnancy and lactation)</w:t>
            </w:r>
          </w:p>
        </w:tc>
        <w:tc>
          <w:tcPr>
            <w:tcW w:w="1225" w:type="dxa"/>
          </w:tcPr>
          <w:p w14:paraId="1279B6A8"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6260F49D"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3C9523F8"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4091C160"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1CB72F59" w14:textId="77777777" w:rsidTr="001F576F">
        <w:trPr>
          <w:trHeight w:val="103"/>
        </w:trPr>
        <w:tc>
          <w:tcPr>
            <w:tcW w:w="1668" w:type="dxa"/>
            <w:vMerge/>
          </w:tcPr>
          <w:p w14:paraId="4E3B581F" w14:textId="77777777" w:rsidR="00992B65" w:rsidRPr="00B06994" w:rsidRDefault="00992B65" w:rsidP="001F576F">
            <w:pPr>
              <w:pStyle w:val="Tabletext"/>
              <w:spacing w:before="0" w:after="0" w:line="240" w:lineRule="auto"/>
              <w:rPr>
                <w:sz w:val="18"/>
                <w:szCs w:val="18"/>
              </w:rPr>
            </w:pPr>
          </w:p>
        </w:tc>
        <w:tc>
          <w:tcPr>
            <w:tcW w:w="3685" w:type="dxa"/>
          </w:tcPr>
          <w:p w14:paraId="55B08BB4" w14:textId="77777777" w:rsidR="00992B65" w:rsidRPr="00B06994" w:rsidRDefault="00992B65" w:rsidP="001F576F">
            <w:pPr>
              <w:pStyle w:val="Tabletext"/>
              <w:spacing w:before="0" w:after="0" w:line="240" w:lineRule="auto"/>
              <w:rPr>
                <w:sz w:val="18"/>
                <w:szCs w:val="18"/>
              </w:rPr>
            </w:pPr>
            <w:r w:rsidRPr="00B06994">
              <w:rPr>
                <w:rFonts w:eastAsia="TimesNewRoman"/>
                <w:sz w:val="18"/>
                <w:szCs w:val="18"/>
              </w:rPr>
              <w:t>Use in children less than 18 years of age</w:t>
            </w:r>
          </w:p>
        </w:tc>
        <w:tc>
          <w:tcPr>
            <w:tcW w:w="1225" w:type="dxa"/>
          </w:tcPr>
          <w:p w14:paraId="70EC6E8D"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395A0239"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4D1406DE"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14585B67"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992B65" w:rsidRPr="00B06994" w14:paraId="530E62B2" w14:textId="77777777" w:rsidTr="001F576F">
        <w:trPr>
          <w:trHeight w:val="140"/>
        </w:trPr>
        <w:tc>
          <w:tcPr>
            <w:tcW w:w="1668" w:type="dxa"/>
            <w:vMerge/>
          </w:tcPr>
          <w:p w14:paraId="3AA03443" w14:textId="77777777" w:rsidR="00992B65" w:rsidRPr="00B06994" w:rsidRDefault="00992B65" w:rsidP="001F576F">
            <w:pPr>
              <w:pStyle w:val="Tabletext"/>
              <w:spacing w:before="0" w:after="0" w:line="240" w:lineRule="auto"/>
              <w:rPr>
                <w:sz w:val="18"/>
                <w:szCs w:val="18"/>
              </w:rPr>
            </w:pPr>
          </w:p>
        </w:tc>
        <w:tc>
          <w:tcPr>
            <w:tcW w:w="3685" w:type="dxa"/>
          </w:tcPr>
          <w:p w14:paraId="2F01BA65" w14:textId="77777777" w:rsidR="00992B65" w:rsidRPr="00B06994" w:rsidRDefault="00992B65" w:rsidP="001F576F">
            <w:pPr>
              <w:pStyle w:val="Tabletext"/>
              <w:spacing w:before="0" w:after="0" w:line="240" w:lineRule="auto"/>
              <w:rPr>
                <w:sz w:val="18"/>
                <w:szCs w:val="18"/>
              </w:rPr>
            </w:pPr>
            <w:r w:rsidRPr="00B06994">
              <w:rPr>
                <w:rFonts w:eastAsia="TimesNewRoman"/>
                <w:sz w:val="18"/>
                <w:szCs w:val="18"/>
              </w:rPr>
              <w:t>Use in patients with moderate or severe liver problems (Exposure in patients with moderate or severe hepatic insufficiency)</w:t>
            </w:r>
          </w:p>
        </w:tc>
        <w:tc>
          <w:tcPr>
            <w:tcW w:w="1225" w:type="dxa"/>
          </w:tcPr>
          <w:p w14:paraId="7058762D"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1043" w:type="dxa"/>
          </w:tcPr>
          <w:p w14:paraId="0CBA931D"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c>
          <w:tcPr>
            <w:tcW w:w="800" w:type="dxa"/>
          </w:tcPr>
          <w:p w14:paraId="6CAA6F43" w14:textId="77777777" w:rsidR="00992B65" w:rsidRPr="00B06994" w:rsidRDefault="00992B65" w:rsidP="001F576F">
            <w:pPr>
              <w:pStyle w:val="Tabletext"/>
              <w:spacing w:before="0" w:after="0" w:line="240" w:lineRule="auto"/>
              <w:jc w:val="center"/>
              <w:rPr>
                <w:sz w:val="18"/>
                <w:szCs w:val="18"/>
              </w:rPr>
            </w:pPr>
            <w:r w:rsidRPr="00B06994">
              <w:rPr>
                <w:sz w:val="18"/>
                <w:szCs w:val="18"/>
              </w:rPr>
              <w:sym w:font="Wingdings" w:char="F0FC"/>
            </w:r>
          </w:p>
        </w:tc>
        <w:tc>
          <w:tcPr>
            <w:tcW w:w="901" w:type="dxa"/>
          </w:tcPr>
          <w:p w14:paraId="617B523A" w14:textId="77777777" w:rsidR="00992B65" w:rsidRPr="00B06994" w:rsidRDefault="00992B65" w:rsidP="001F576F">
            <w:pPr>
              <w:pStyle w:val="Tabletext"/>
              <w:spacing w:before="0" w:after="0" w:line="240" w:lineRule="auto"/>
              <w:jc w:val="center"/>
              <w:rPr>
                <w:sz w:val="18"/>
                <w:szCs w:val="18"/>
              </w:rPr>
            </w:pPr>
            <w:r w:rsidRPr="00B06994">
              <w:rPr>
                <w:sz w:val="18"/>
                <w:szCs w:val="18"/>
              </w:rPr>
              <w:t>–</w:t>
            </w:r>
          </w:p>
        </w:tc>
      </w:tr>
      <w:tr w:rsidR="00F3304E" w:rsidRPr="00B06994" w14:paraId="77445EB2" w14:textId="77777777" w:rsidTr="0031021A">
        <w:trPr>
          <w:trHeight w:val="131"/>
        </w:trPr>
        <w:tc>
          <w:tcPr>
            <w:tcW w:w="5353" w:type="dxa"/>
            <w:gridSpan w:val="2"/>
            <w:vMerge w:val="restart"/>
          </w:tcPr>
          <w:p w14:paraId="1F3AEAEA" w14:textId="77777777" w:rsidR="00F3304E" w:rsidRPr="00B06994" w:rsidRDefault="00F3304E" w:rsidP="00D60619">
            <w:pPr>
              <w:pStyle w:val="Tabletext"/>
              <w:spacing w:before="0" w:after="0" w:line="240" w:lineRule="auto"/>
              <w:rPr>
                <w:b/>
                <w:sz w:val="18"/>
                <w:szCs w:val="18"/>
              </w:rPr>
            </w:pPr>
            <w:r w:rsidRPr="00B06994">
              <w:rPr>
                <w:sz w:val="18"/>
                <w:szCs w:val="18"/>
              </w:rPr>
              <w:t>Summary of safety concerns</w:t>
            </w:r>
          </w:p>
        </w:tc>
        <w:tc>
          <w:tcPr>
            <w:tcW w:w="2268" w:type="dxa"/>
            <w:gridSpan w:val="2"/>
          </w:tcPr>
          <w:p w14:paraId="3252DED6" w14:textId="77777777" w:rsidR="00F3304E" w:rsidRPr="00B06994" w:rsidRDefault="00F3304E" w:rsidP="00D60619">
            <w:pPr>
              <w:pStyle w:val="Tabletext"/>
              <w:spacing w:before="0" w:after="0" w:line="240" w:lineRule="auto"/>
              <w:rPr>
                <w:b/>
                <w:sz w:val="18"/>
                <w:szCs w:val="18"/>
              </w:rPr>
            </w:pPr>
            <w:r w:rsidRPr="00B06994">
              <w:rPr>
                <w:sz w:val="18"/>
                <w:szCs w:val="18"/>
              </w:rPr>
              <w:t>Pharmacovigilance</w:t>
            </w:r>
          </w:p>
        </w:tc>
        <w:tc>
          <w:tcPr>
            <w:tcW w:w="1701" w:type="dxa"/>
            <w:gridSpan w:val="2"/>
          </w:tcPr>
          <w:p w14:paraId="303B8AB0" w14:textId="77777777" w:rsidR="00F3304E" w:rsidRPr="00B06994" w:rsidRDefault="00F3304E" w:rsidP="00D60619">
            <w:pPr>
              <w:pStyle w:val="Tabletext"/>
              <w:spacing w:before="0" w:after="0" w:line="240" w:lineRule="auto"/>
              <w:rPr>
                <w:b/>
                <w:sz w:val="18"/>
                <w:szCs w:val="18"/>
              </w:rPr>
            </w:pPr>
            <w:r w:rsidRPr="00B06994">
              <w:rPr>
                <w:sz w:val="18"/>
                <w:szCs w:val="18"/>
              </w:rPr>
              <w:t>Risk Minimisation</w:t>
            </w:r>
          </w:p>
        </w:tc>
      </w:tr>
      <w:tr w:rsidR="00F3304E" w:rsidRPr="00B06994" w14:paraId="653ECC12" w14:textId="77777777" w:rsidTr="0031021A">
        <w:trPr>
          <w:trHeight w:val="150"/>
        </w:trPr>
        <w:tc>
          <w:tcPr>
            <w:tcW w:w="5353" w:type="dxa"/>
            <w:gridSpan w:val="2"/>
            <w:vMerge/>
          </w:tcPr>
          <w:p w14:paraId="14F1CDED" w14:textId="77777777" w:rsidR="00F3304E" w:rsidRPr="00B06994" w:rsidRDefault="00F3304E" w:rsidP="00D60619">
            <w:pPr>
              <w:pStyle w:val="Tabletext"/>
              <w:spacing w:before="0" w:after="0" w:line="240" w:lineRule="auto"/>
              <w:rPr>
                <w:b/>
                <w:sz w:val="18"/>
                <w:szCs w:val="18"/>
              </w:rPr>
            </w:pPr>
          </w:p>
        </w:tc>
        <w:tc>
          <w:tcPr>
            <w:tcW w:w="1225" w:type="dxa"/>
          </w:tcPr>
          <w:p w14:paraId="1B75A8EF" w14:textId="77777777" w:rsidR="00F3304E" w:rsidRPr="00B06994" w:rsidRDefault="00F3304E" w:rsidP="00D60619">
            <w:pPr>
              <w:pStyle w:val="Tabletext"/>
              <w:spacing w:before="0" w:after="0" w:line="240" w:lineRule="auto"/>
              <w:jc w:val="center"/>
              <w:rPr>
                <w:sz w:val="18"/>
                <w:szCs w:val="18"/>
              </w:rPr>
            </w:pPr>
            <w:r>
              <w:rPr>
                <w:sz w:val="18"/>
                <w:szCs w:val="18"/>
              </w:rPr>
              <w:t>R</w:t>
            </w:r>
          </w:p>
        </w:tc>
        <w:tc>
          <w:tcPr>
            <w:tcW w:w="1043" w:type="dxa"/>
          </w:tcPr>
          <w:p w14:paraId="0BDE9645" w14:textId="77777777" w:rsidR="00F3304E" w:rsidRPr="00B06994" w:rsidRDefault="00F3304E" w:rsidP="00D60619">
            <w:pPr>
              <w:pStyle w:val="Tabletext"/>
              <w:spacing w:before="0" w:after="0" w:line="240" w:lineRule="auto"/>
              <w:jc w:val="center"/>
              <w:rPr>
                <w:sz w:val="18"/>
                <w:szCs w:val="18"/>
              </w:rPr>
            </w:pPr>
            <w:r>
              <w:rPr>
                <w:sz w:val="18"/>
                <w:szCs w:val="18"/>
              </w:rPr>
              <w:t>A</w:t>
            </w:r>
          </w:p>
        </w:tc>
        <w:tc>
          <w:tcPr>
            <w:tcW w:w="800" w:type="dxa"/>
          </w:tcPr>
          <w:p w14:paraId="75378671" w14:textId="77777777" w:rsidR="00F3304E" w:rsidRPr="00B06994" w:rsidRDefault="00F3304E" w:rsidP="00D60619">
            <w:pPr>
              <w:pStyle w:val="Tabletext"/>
              <w:spacing w:before="0" w:after="0" w:line="240" w:lineRule="auto"/>
              <w:jc w:val="center"/>
              <w:rPr>
                <w:sz w:val="18"/>
                <w:szCs w:val="18"/>
              </w:rPr>
            </w:pPr>
            <w:r>
              <w:rPr>
                <w:sz w:val="18"/>
                <w:szCs w:val="18"/>
              </w:rPr>
              <w:t>R</w:t>
            </w:r>
          </w:p>
        </w:tc>
        <w:tc>
          <w:tcPr>
            <w:tcW w:w="901" w:type="dxa"/>
          </w:tcPr>
          <w:p w14:paraId="6E2D91C9" w14:textId="77777777" w:rsidR="00F3304E" w:rsidRPr="00B06994" w:rsidRDefault="00F3304E" w:rsidP="00D60619">
            <w:pPr>
              <w:pStyle w:val="Tabletext"/>
              <w:spacing w:before="0" w:after="0" w:line="240" w:lineRule="auto"/>
              <w:jc w:val="center"/>
              <w:rPr>
                <w:sz w:val="18"/>
                <w:szCs w:val="18"/>
              </w:rPr>
            </w:pPr>
            <w:r>
              <w:rPr>
                <w:sz w:val="18"/>
                <w:szCs w:val="18"/>
              </w:rPr>
              <w:t>A</w:t>
            </w:r>
          </w:p>
        </w:tc>
      </w:tr>
      <w:tr w:rsidR="00F3304E" w:rsidRPr="00B06994" w14:paraId="2B94CB56" w14:textId="77777777" w:rsidTr="0031021A">
        <w:trPr>
          <w:trHeight w:val="137"/>
        </w:trPr>
        <w:tc>
          <w:tcPr>
            <w:tcW w:w="1668" w:type="dxa"/>
            <w:vMerge w:val="restart"/>
          </w:tcPr>
          <w:p w14:paraId="3527B8B7" w14:textId="77777777" w:rsidR="00F3304E" w:rsidRPr="00B06994" w:rsidRDefault="00F3304E" w:rsidP="00D60619">
            <w:pPr>
              <w:pStyle w:val="Tabletext"/>
              <w:spacing w:before="0" w:after="0" w:line="240" w:lineRule="auto"/>
              <w:rPr>
                <w:b/>
                <w:sz w:val="18"/>
                <w:szCs w:val="18"/>
              </w:rPr>
            </w:pPr>
            <w:r w:rsidRPr="00B06994">
              <w:rPr>
                <w:b/>
                <w:sz w:val="18"/>
                <w:szCs w:val="18"/>
              </w:rPr>
              <w:t>Important identified risks</w:t>
            </w:r>
          </w:p>
        </w:tc>
        <w:tc>
          <w:tcPr>
            <w:tcW w:w="3685" w:type="dxa"/>
          </w:tcPr>
          <w:p w14:paraId="4FE606B7" w14:textId="77777777" w:rsidR="00F3304E" w:rsidRPr="00B06994" w:rsidRDefault="00F3304E" w:rsidP="00D60619">
            <w:pPr>
              <w:pStyle w:val="Tabletext"/>
              <w:spacing w:before="0" w:after="0" w:line="240" w:lineRule="auto"/>
              <w:rPr>
                <w:sz w:val="18"/>
                <w:szCs w:val="18"/>
              </w:rPr>
            </w:pPr>
            <w:r w:rsidRPr="00B06994">
              <w:rPr>
                <w:rFonts w:eastAsia="TimesNewRoman"/>
                <w:sz w:val="18"/>
                <w:szCs w:val="18"/>
              </w:rPr>
              <w:t>Muscle injury (Rhabdomyolysis/myopathy)</w:t>
            </w:r>
          </w:p>
        </w:tc>
        <w:tc>
          <w:tcPr>
            <w:tcW w:w="1225" w:type="dxa"/>
          </w:tcPr>
          <w:p w14:paraId="469C8A33"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7E6E99B2"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740B3354"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6CBD0C7B"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61B3ACB8" w14:textId="77777777" w:rsidTr="0031021A">
        <w:trPr>
          <w:trHeight w:val="65"/>
        </w:trPr>
        <w:tc>
          <w:tcPr>
            <w:tcW w:w="1668" w:type="dxa"/>
            <w:vMerge/>
          </w:tcPr>
          <w:p w14:paraId="06497771" w14:textId="77777777" w:rsidR="00F3304E" w:rsidRPr="00B06994" w:rsidRDefault="00F3304E" w:rsidP="00D60619">
            <w:pPr>
              <w:pStyle w:val="Tabletext"/>
              <w:spacing w:before="0" w:after="0" w:line="240" w:lineRule="auto"/>
              <w:rPr>
                <w:b/>
                <w:sz w:val="18"/>
                <w:szCs w:val="18"/>
              </w:rPr>
            </w:pPr>
          </w:p>
        </w:tc>
        <w:tc>
          <w:tcPr>
            <w:tcW w:w="3685" w:type="dxa"/>
          </w:tcPr>
          <w:p w14:paraId="4B77CB52" w14:textId="77777777" w:rsidR="00F3304E" w:rsidRPr="00B06994" w:rsidRDefault="00F3304E" w:rsidP="00D60619">
            <w:pPr>
              <w:pStyle w:val="Tabletext"/>
              <w:spacing w:before="0" w:after="0" w:line="240" w:lineRule="auto"/>
              <w:rPr>
                <w:sz w:val="18"/>
                <w:szCs w:val="18"/>
              </w:rPr>
            </w:pPr>
            <w:r w:rsidRPr="00B06994">
              <w:rPr>
                <w:rFonts w:eastAsia="TimesNewRoman"/>
                <w:sz w:val="18"/>
                <w:szCs w:val="18"/>
              </w:rPr>
              <w:t>Abnormal liver function (Abnormal liver function)</w:t>
            </w:r>
          </w:p>
        </w:tc>
        <w:tc>
          <w:tcPr>
            <w:tcW w:w="1225" w:type="dxa"/>
          </w:tcPr>
          <w:p w14:paraId="4DBFD524"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5360A370"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3D6AE5F7"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49050C3F"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6A064A96" w14:textId="77777777" w:rsidTr="0031021A">
        <w:trPr>
          <w:trHeight w:val="168"/>
        </w:trPr>
        <w:tc>
          <w:tcPr>
            <w:tcW w:w="1668" w:type="dxa"/>
            <w:vMerge/>
          </w:tcPr>
          <w:p w14:paraId="44F5F4E5" w14:textId="77777777" w:rsidR="00F3304E" w:rsidRPr="00B06994" w:rsidRDefault="00F3304E" w:rsidP="00D60619">
            <w:pPr>
              <w:pStyle w:val="Tabletext"/>
              <w:spacing w:before="0" w:after="0" w:line="240" w:lineRule="auto"/>
              <w:rPr>
                <w:b/>
                <w:sz w:val="18"/>
                <w:szCs w:val="18"/>
              </w:rPr>
            </w:pPr>
          </w:p>
        </w:tc>
        <w:tc>
          <w:tcPr>
            <w:tcW w:w="3685" w:type="dxa"/>
          </w:tcPr>
          <w:p w14:paraId="2AC0DE2B" w14:textId="77777777" w:rsidR="00F3304E" w:rsidRPr="00B06994" w:rsidRDefault="00F3304E" w:rsidP="00D60619">
            <w:pPr>
              <w:pStyle w:val="Tabletext"/>
              <w:spacing w:before="0" w:after="0" w:line="240" w:lineRule="auto"/>
              <w:rPr>
                <w:sz w:val="18"/>
                <w:szCs w:val="18"/>
              </w:rPr>
            </w:pPr>
            <w:r w:rsidRPr="00B06994">
              <w:rPr>
                <w:rFonts w:eastAsia="TimesNewRoman"/>
                <w:sz w:val="18"/>
                <w:szCs w:val="18"/>
              </w:rPr>
              <w:t>Allergic reactions (Hypersensitivity)</w:t>
            </w:r>
          </w:p>
        </w:tc>
        <w:tc>
          <w:tcPr>
            <w:tcW w:w="1225" w:type="dxa"/>
          </w:tcPr>
          <w:p w14:paraId="4417DD74"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62979011"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6B7ECFB6"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7AF37CC3"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71DEF8C5" w14:textId="77777777" w:rsidTr="0031021A">
        <w:trPr>
          <w:trHeight w:val="366"/>
        </w:trPr>
        <w:tc>
          <w:tcPr>
            <w:tcW w:w="1668" w:type="dxa"/>
            <w:vMerge/>
          </w:tcPr>
          <w:p w14:paraId="0E683F2D" w14:textId="77777777" w:rsidR="00F3304E" w:rsidRPr="00B06994" w:rsidRDefault="00F3304E" w:rsidP="00D60619">
            <w:pPr>
              <w:pStyle w:val="Tabletext"/>
              <w:spacing w:before="0" w:after="0" w:line="240" w:lineRule="auto"/>
              <w:rPr>
                <w:b/>
                <w:sz w:val="18"/>
                <w:szCs w:val="18"/>
              </w:rPr>
            </w:pPr>
          </w:p>
        </w:tc>
        <w:tc>
          <w:tcPr>
            <w:tcW w:w="3685" w:type="dxa"/>
          </w:tcPr>
          <w:p w14:paraId="504C5D4A" w14:textId="77777777" w:rsidR="00F3304E" w:rsidRPr="00B06994" w:rsidRDefault="00F3304E" w:rsidP="00D60619">
            <w:pPr>
              <w:pStyle w:val="Tabletext"/>
              <w:spacing w:before="0" w:after="0" w:line="240" w:lineRule="auto"/>
              <w:rPr>
                <w:sz w:val="18"/>
                <w:szCs w:val="18"/>
              </w:rPr>
            </w:pPr>
            <w:r>
              <w:rPr>
                <w:rFonts w:eastAsia="TimesNewRoman"/>
                <w:sz w:val="18"/>
                <w:szCs w:val="18"/>
              </w:rPr>
              <w:t xml:space="preserve">Drug interaction with warfarin, another </w:t>
            </w:r>
            <w:proofErr w:type="spellStart"/>
            <w:r>
              <w:rPr>
                <w:rFonts w:eastAsia="TimesNewRoman"/>
                <w:sz w:val="18"/>
                <w:szCs w:val="18"/>
              </w:rPr>
              <w:t>coumarin</w:t>
            </w:r>
            <w:proofErr w:type="spellEnd"/>
            <w:r>
              <w:rPr>
                <w:rFonts w:eastAsia="TimesNewRoman"/>
                <w:sz w:val="18"/>
                <w:szCs w:val="18"/>
              </w:rPr>
              <w:t xml:space="preserve"> anticoagulant or </w:t>
            </w:r>
            <w:proofErr w:type="spellStart"/>
            <w:r>
              <w:rPr>
                <w:rFonts w:eastAsia="TimesNewRoman"/>
                <w:sz w:val="18"/>
                <w:szCs w:val="18"/>
              </w:rPr>
              <w:t>fluindione</w:t>
            </w:r>
            <w:proofErr w:type="spellEnd"/>
          </w:p>
        </w:tc>
        <w:tc>
          <w:tcPr>
            <w:tcW w:w="1225" w:type="dxa"/>
          </w:tcPr>
          <w:p w14:paraId="1CA3C5B6"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51E4AB30"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4C8822A2"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1DA584A9"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716EA8D9" w14:textId="77777777" w:rsidTr="0031021A">
        <w:trPr>
          <w:trHeight w:val="187"/>
        </w:trPr>
        <w:tc>
          <w:tcPr>
            <w:tcW w:w="1668" w:type="dxa"/>
            <w:vMerge/>
          </w:tcPr>
          <w:p w14:paraId="11FA924F" w14:textId="77777777" w:rsidR="00F3304E" w:rsidRPr="00B06994" w:rsidRDefault="00F3304E" w:rsidP="00D60619">
            <w:pPr>
              <w:pStyle w:val="Tabletext"/>
              <w:spacing w:before="0" w:after="0" w:line="240" w:lineRule="auto"/>
              <w:rPr>
                <w:b/>
                <w:sz w:val="18"/>
                <w:szCs w:val="18"/>
              </w:rPr>
            </w:pPr>
          </w:p>
        </w:tc>
        <w:tc>
          <w:tcPr>
            <w:tcW w:w="3685" w:type="dxa"/>
          </w:tcPr>
          <w:p w14:paraId="54CB9406" w14:textId="77777777" w:rsidR="00F3304E" w:rsidRPr="00B06994" w:rsidRDefault="00F3304E" w:rsidP="00D60619">
            <w:pPr>
              <w:pStyle w:val="Tabletext"/>
              <w:spacing w:before="0" w:after="0" w:line="240" w:lineRule="auto"/>
              <w:rPr>
                <w:sz w:val="18"/>
                <w:szCs w:val="18"/>
              </w:rPr>
            </w:pPr>
            <w:r>
              <w:rPr>
                <w:rFonts w:eastAsia="TimesNewRoman"/>
                <w:sz w:val="18"/>
                <w:szCs w:val="18"/>
              </w:rPr>
              <w:t xml:space="preserve">Drug interaction with </w:t>
            </w:r>
            <w:proofErr w:type="spellStart"/>
            <w:r>
              <w:rPr>
                <w:rFonts w:eastAsia="TimesNewRoman"/>
                <w:sz w:val="18"/>
                <w:szCs w:val="18"/>
              </w:rPr>
              <w:t>cyclosporin</w:t>
            </w:r>
            <w:proofErr w:type="spellEnd"/>
          </w:p>
        </w:tc>
        <w:tc>
          <w:tcPr>
            <w:tcW w:w="1225" w:type="dxa"/>
          </w:tcPr>
          <w:p w14:paraId="20FA9448"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4817496D"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4068A813"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0A04B3B4"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7CEC67D3" w14:textId="77777777" w:rsidTr="0031021A">
        <w:trPr>
          <w:trHeight w:val="159"/>
        </w:trPr>
        <w:tc>
          <w:tcPr>
            <w:tcW w:w="1668" w:type="dxa"/>
            <w:vMerge w:val="restart"/>
          </w:tcPr>
          <w:p w14:paraId="3D509055" w14:textId="77777777" w:rsidR="00F3304E" w:rsidRPr="00B06994" w:rsidRDefault="00F3304E" w:rsidP="00D60619">
            <w:pPr>
              <w:pStyle w:val="Tabletext"/>
              <w:spacing w:before="0" w:after="0" w:line="240" w:lineRule="auto"/>
              <w:rPr>
                <w:b/>
                <w:sz w:val="18"/>
                <w:szCs w:val="18"/>
              </w:rPr>
            </w:pPr>
            <w:r w:rsidRPr="00B06994">
              <w:rPr>
                <w:b/>
                <w:sz w:val="18"/>
                <w:szCs w:val="18"/>
              </w:rPr>
              <w:t>Important potential risks</w:t>
            </w:r>
          </w:p>
        </w:tc>
        <w:tc>
          <w:tcPr>
            <w:tcW w:w="3685" w:type="dxa"/>
          </w:tcPr>
          <w:p w14:paraId="56BDDE53" w14:textId="77777777" w:rsidR="00F3304E" w:rsidRPr="00B06994" w:rsidRDefault="00F3304E" w:rsidP="00D60619">
            <w:pPr>
              <w:pStyle w:val="Tabletext"/>
              <w:spacing w:before="0" w:after="0" w:line="240" w:lineRule="auto"/>
              <w:rPr>
                <w:sz w:val="18"/>
                <w:szCs w:val="18"/>
              </w:rPr>
            </w:pPr>
            <w:r w:rsidRPr="00B06994">
              <w:rPr>
                <w:rFonts w:eastAsia="TimesNewRoman"/>
                <w:sz w:val="18"/>
                <w:szCs w:val="18"/>
              </w:rPr>
              <w:t>Gallbladder inflammation/gallstones (Cholecystitis/</w:t>
            </w:r>
            <w:proofErr w:type="spellStart"/>
            <w:r w:rsidRPr="00B06994">
              <w:rPr>
                <w:rFonts w:eastAsia="TimesNewRoman"/>
                <w:sz w:val="18"/>
                <w:szCs w:val="18"/>
              </w:rPr>
              <w:t>cholelithiasis</w:t>
            </w:r>
            <w:proofErr w:type="spellEnd"/>
            <w:r w:rsidRPr="00B06994">
              <w:rPr>
                <w:rFonts w:eastAsia="TimesNewRoman"/>
                <w:sz w:val="18"/>
                <w:szCs w:val="18"/>
              </w:rPr>
              <w:t>)</w:t>
            </w:r>
          </w:p>
        </w:tc>
        <w:tc>
          <w:tcPr>
            <w:tcW w:w="1225" w:type="dxa"/>
          </w:tcPr>
          <w:p w14:paraId="4D070100"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20BE3797"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3C67667C"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65D37996"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69C59AFC" w14:textId="77777777" w:rsidTr="0031021A">
        <w:trPr>
          <w:trHeight w:val="122"/>
        </w:trPr>
        <w:tc>
          <w:tcPr>
            <w:tcW w:w="1668" w:type="dxa"/>
            <w:vMerge/>
          </w:tcPr>
          <w:p w14:paraId="1457FEEB" w14:textId="77777777" w:rsidR="00F3304E" w:rsidRPr="00B06994" w:rsidRDefault="00F3304E" w:rsidP="00D60619">
            <w:pPr>
              <w:pStyle w:val="Tabletext"/>
              <w:spacing w:before="0" w:after="0" w:line="240" w:lineRule="auto"/>
              <w:rPr>
                <w:b/>
                <w:sz w:val="18"/>
                <w:szCs w:val="18"/>
              </w:rPr>
            </w:pPr>
          </w:p>
        </w:tc>
        <w:tc>
          <w:tcPr>
            <w:tcW w:w="3685" w:type="dxa"/>
          </w:tcPr>
          <w:p w14:paraId="0EDB3B31" w14:textId="77777777" w:rsidR="00F3304E" w:rsidRPr="00B06994" w:rsidRDefault="00F3304E" w:rsidP="00D60619">
            <w:pPr>
              <w:pStyle w:val="Tabletext"/>
              <w:spacing w:before="0" w:after="0" w:line="240" w:lineRule="auto"/>
              <w:rPr>
                <w:sz w:val="18"/>
                <w:szCs w:val="18"/>
              </w:rPr>
            </w:pPr>
            <w:r w:rsidRPr="00B06994">
              <w:rPr>
                <w:rFonts w:eastAsia="TimesNewRoman"/>
                <w:sz w:val="18"/>
                <w:szCs w:val="18"/>
              </w:rPr>
              <w:t>Pancreas inflammation (Pancreatitis)</w:t>
            </w:r>
          </w:p>
        </w:tc>
        <w:tc>
          <w:tcPr>
            <w:tcW w:w="1225" w:type="dxa"/>
          </w:tcPr>
          <w:p w14:paraId="0B7A74A9"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73DA3129"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149CF3D3"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644297C7"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3214A1B0" w14:textId="77777777" w:rsidTr="0031021A">
        <w:trPr>
          <w:trHeight w:val="112"/>
        </w:trPr>
        <w:tc>
          <w:tcPr>
            <w:tcW w:w="1668" w:type="dxa"/>
            <w:vMerge/>
          </w:tcPr>
          <w:p w14:paraId="5CD7B2C0" w14:textId="77777777" w:rsidR="00F3304E" w:rsidRPr="00B06994" w:rsidRDefault="00F3304E" w:rsidP="00D60619">
            <w:pPr>
              <w:pStyle w:val="Tabletext"/>
              <w:spacing w:before="0" w:after="0" w:line="240" w:lineRule="auto"/>
              <w:rPr>
                <w:b/>
                <w:sz w:val="18"/>
                <w:szCs w:val="18"/>
              </w:rPr>
            </w:pPr>
          </w:p>
        </w:tc>
        <w:tc>
          <w:tcPr>
            <w:tcW w:w="3685" w:type="dxa"/>
          </w:tcPr>
          <w:p w14:paraId="59F15D98" w14:textId="77777777" w:rsidR="00F3304E" w:rsidRPr="00B06994" w:rsidRDefault="00F3304E" w:rsidP="00D60619">
            <w:pPr>
              <w:pStyle w:val="Tabletext"/>
              <w:spacing w:before="0" w:after="0" w:line="240" w:lineRule="auto"/>
              <w:rPr>
                <w:sz w:val="18"/>
                <w:szCs w:val="18"/>
              </w:rPr>
            </w:pPr>
            <w:r w:rsidRPr="00B06994">
              <w:rPr>
                <w:rFonts w:eastAsia="TimesNewRoman"/>
                <w:sz w:val="18"/>
                <w:szCs w:val="18"/>
              </w:rPr>
              <w:t>Stroke due to bleeding in the brain (</w:t>
            </w:r>
            <w:proofErr w:type="spellStart"/>
            <w:r w:rsidRPr="00B06994">
              <w:rPr>
                <w:rFonts w:eastAsia="TimesNewRoman"/>
                <w:sz w:val="18"/>
                <w:szCs w:val="18"/>
              </w:rPr>
              <w:t>Hemorrhagic</w:t>
            </w:r>
            <w:proofErr w:type="spellEnd"/>
            <w:r w:rsidRPr="00B06994">
              <w:rPr>
                <w:rFonts w:eastAsia="TimesNewRoman"/>
                <w:sz w:val="18"/>
                <w:szCs w:val="18"/>
              </w:rPr>
              <w:t xml:space="preserve"> stroke)</w:t>
            </w:r>
          </w:p>
        </w:tc>
        <w:tc>
          <w:tcPr>
            <w:tcW w:w="1225" w:type="dxa"/>
          </w:tcPr>
          <w:p w14:paraId="1BA07500"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75B5403D"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456E49B0"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330DC393"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295C6AD8" w14:textId="77777777" w:rsidTr="0031021A">
        <w:trPr>
          <w:trHeight w:val="112"/>
        </w:trPr>
        <w:tc>
          <w:tcPr>
            <w:tcW w:w="1668" w:type="dxa"/>
          </w:tcPr>
          <w:p w14:paraId="5C8BBB1F" w14:textId="77777777" w:rsidR="00F3304E" w:rsidRPr="00B06994" w:rsidRDefault="00F3304E" w:rsidP="00D60619">
            <w:pPr>
              <w:pStyle w:val="Tabletext"/>
              <w:spacing w:before="0" w:after="0" w:line="240" w:lineRule="auto"/>
              <w:rPr>
                <w:b/>
                <w:sz w:val="18"/>
                <w:szCs w:val="18"/>
              </w:rPr>
            </w:pPr>
          </w:p>
        </w:tc>
        <w:tc>
          <w:tcPr>
            <w:tcW w:w="3685" w:type="dxa"/>
          </w:tcPr>
          <w:p w14:paraId="77967A76" w14:textId="77777777" w:rsidR="00F3304E" w:rsidRPr="00B06994" w:rsidRDefault="00F3304E" w:rsidP="00D60619">
            <w:pPr>
              <w:pStyle w:val="Tabletext"/>
              <w:spacing w:before="0" w:after="0" w:line="240" w:lineRule="auto"/>
              <w:rPr>
                <w:rFonts w:eastAsia="TimesNewRoman"/>
                <w:sz w:val="18"/>
                <w:szCs w:val="18"/>
              </w:rPr>
            </w:pPr>
            <w:r w:rsidRPr="00B06994">
              <w:rPr>
                <w:rFonts w:eastAsia="TimesNewRoman"/>
                <w:sz w:val="18"/>
                <w:szCs w:val="18"/>
              </w:rPr>
              <w:t>Interstitial lung disease</w:t>
            </w:r>
          </w:p>
        </w:tc>
        <w:tc>
          <w:tcPr>
            <w:tcW w:w="1225" w:type="dxa"/>
          </w:tcPr>
          <w:p w14:paraId="62E4F7C7"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05027153"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49C2436F"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3CA1E1B3"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134876D3" w14:textId="77777777" w:rsidTr="0031021A">
        <w:trPr>
          <w:trHeight w:val="112"/>
        </w:trPr>
        <w:tc>
          <w:tcPr>
            <w:tcW w:w="1668" w:type="dxa"/>
          </w:tcPr>
          <w:p w14:paraId="597B99A3" w14:textId="77777777" w:rsidR="00F3304E" w:rsidRPr="00B06994" w:rsidRDefault="00F3304E" w:rsidP="00D60619">
            <w:pPr>
              <w:pStyle w:val="Tabletext"/>
              <w:spacing w:before="0" w:after="0" w:line="240" w:lineRule="auto"/>
              <w:rPr>
                <w:b/>
                <w:sz w:val="18"/>
                <w:szCs w:val="18"/>
              </w:rPr>
            </w:pPr>
          </w:p>
        </w:tc>
        <w:tc>
          <w:tcPr>
            <w:tcW w:w="3685" w:type="dxa"/>
          </w:tcPr>
          <w:p w14:paraId="75C1F2C1" w14:textId="77777777" w:rsidR="00F3304E" w:rsidRPr="00B06994" w:rsidRDefault="00F3304E" w:rsidP="00D60619">
            <w:pPr>
              <w:pStyle w:val="Tabletext"/>
              <w:spacing w:before="0" w:after="0" w:line="240" w:lineRule="auto"/>
              <w:rPr>
                <w:rFonts w:eastAsia="TimesNewRoman"/>
                <w:sz w:val="18"/>
                <w:szCs w:val="18"/>
              </w:rPr>
            </w:pPr>
            <w:r w:rsidRPr="00B06994">
              <w:rPr>
                <w:rFonts w:eastAsia="TimesNewRoman"/>
                <w:sz w:val="18"/>
                <w:szCs w:val="18"/>
              </w:rPr>
              <w:t>Diabetes (New-onset diabetes)</w:t>
            </w:r>
          </w:p>
        </w:tc>
        <w:tc>
          <w:tcPr>
            <w:tcW w:w="1225" w:type="dxa"/>
          </w:tcPr>
          <w:p w14:paraId="2C8ACF93"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6449FECF"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05C14530"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6287EAD2"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5BAF0282" w14:textId="77777777" w:rsidTr="0031021A">
        <w:trPr>
          <w:trHeight w:val="178"/>
        </w:trPr>
        <w:tc>
          <w:tcPr>
            <w:tcW w:w="1668" w:type="dxa"/>
            <w:vMerge w:val="restart"/>
          </w:tcPr>
          <w:p w14:paraId="5E032BC8" w14:textId="77777777" w:rsidR="00F3304E" w:rsidRPr="00B06994" w:rsidRDefault="00F3304E" w:rsidP="00D60619">
            <w:pPr>
              <w:pStyle w:val="Tabletext"/>
              <w:spacing w:before="0" w:after="0" w:line="240" w:lineRule="auto"/>
              <w:rPr>
                <w:b/>
                <w:sz w:val="18"/>
                <w:szCs w:val="18"/>
              </w:rPr>
            </w:pPr>
            <w:r w:rsidRPr="00B06994">
              <w:rPr>
                <w:b/>
                <w:sz w:val="18"/>
                <w:szCs w:val="18"/>
              </w:rPr>
              <w:t>Missing information</w:t>
            </w:r>
          </w:p>
        </w:tc>
        <w:tc>
          <w:tcPr>
            <w:tcW w:w="3685" w:type="dxa"/>
          </w:tcPr>
          <w:p w14:paraId="3AB37B29" w14:textId="77777777" w:rsidR="00F3304E" w:rsidRPr="00B06994" w:rsidRDefault="00F3304E" w:rsidP="00D60619">
            <w:pPr>
              <w:pStyle w:val="Tabletext"/>
              <w:spacing w:before="0" w:after="0" w:line="240" w:lineRule="auto"/>
              <w:rPr>
                <w:sz w:val="18"/>
                <w:szCs w:val="18"/>
              </w:rPr>
            </w:pPr>
            <w:r w:rsidRPr="00B06994">
              <w:rPr>
                <w:rFonts w:eastAsia="TimesNewRoman"/>
                <w:sz w:val="18"/>
                <w:szCs w:val="18"/>
              </w:rPr>
              <w:t>Use in pregnancy and breastfeeding (Exposure during pregnancy and lactation)</w:t>
            </w:r>
          </w:p>
        </w:tc>
        <w:tc>
          <w:tcPr>
            <w:tcW w:w="1225" w:type="dxa"/>
          </w:tcPr>
          <w:p w14:paraId="1288B621"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21BFC87D"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557B153D"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6DEA96FB"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1B4DC76B" w14:textId="77777777" w:rsidTr="0031021A">
        <w:trPr>
          <w:trHeight w:val="103"/>
        </w:trPr>
        <w:tc>
          <w:tcPr>
            <w:tcW w:w="1668" w:type="dxa"/>
            <w:vMerge/>
          </w:tcPr>
          <w:p w14:paraId="640021A5" w14:textId="77777777" w:rsidR="00F3304E" w:rsidRPr="00B06994" w:rsidRDefault="00F3304E" w:rsidP="00D60619">
            <w:pPr>
              <w:pStyle w:val="Tabletext"/>
              <w:spacing w:before="0" w:after="0" w:line="240" w:lineRule="auto"/>
              <w:rPr>
                <w:sz w:val="18"/>
                <w:szCs w:val="18"/>
              </w:rPr>
            </w:pPr>
          </w:p>
        </w:tc>
        <w:tc>
          <w:tcPr>
            <w:tcW w:w="3685" w:type="dxa"/>
          </w:tcPr>
          <w:p w14:paraId="7417B0C6" w14:textId="77777777" w:rsidR="00F3304E" w:rsidRPr="00B06994" w:rsidRDefault="00F3304E" w:rsidP="00D60619">
            <w:pPr>
              <w:pStyle w:val="Tabletext"/>
              <w:spacing w:before="0" w:after="0" w:line="240" w:lineRule="auto"/>
              <w:rPr>
                <w:sz w:val="18"/>
                <w:szCs w:val="18"/>
              </w:rPr>
            </w:pPr>
            <w:r w:rsidRPr="00B06994">
              <w:rPr>
                <w:rFonts w:eastAsia="TimesNewRoman"/>
                <w:sz w:val="18"/>
                <w:szCs w:val="18"/>
              </w:rPr>
              <w:t>Use in children less than 18 years of age</w:t>
            </w:r>
          </w:p>
        </w:tc>
        <w:tc>
          <w:tcPr>
            <w:tcW w:w="1225" w:type="dxa"/>
          </w:tcPr>
          <w:p w14:paraId="4BE5831B"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3EE3814B"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38E3F5F6"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1C5F9E6F"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r w:rsidR="00F3304E" w:rsidRPr="00B06994" w14:paraId="42428B4E" w14:textId="77777777" w:rsidTr="0031021A">
        <w:trPr>
          <w:trHeight w:val="140"/>
        </w:trPr>
        <w:tc>
          <w:tcPr>
            <w:tcW w:w="1668" w:type="dxa"/>
            <w:vMerge/>
          </w:tcPr>
          <w:p w14:paraId="11E8051A" w14:textId="77777777" w:rsidR="00F3304E" w:rsidRPr="00B06994" w:rsidRDefault="00F3304E" w:rsidP="00D60619">
            <w:pPr>
              <w:pStyle w:val="Tabletext"/>
              <w:spacing w:before="0" w:after="0" w:line="240" w:lineRule="auto"/>
              <w:rPr>
                <w:sz w:val="18"/>
                <w:szCs w:val="18"/>
              </w:rPr>
            </w:pPr>
          </w:p>
        </w:tc>
        <w:tc>
          <w:tcPr>
            <w:tcW w:w="3685" w:type="dxa"/>
          </w:tcPr>
          <w:p w14:paraId="0D1876E3" w14:textId="77777777" w:rsidR="00F3304E" w:rsidRPr="00B06994" w:rsidRDefault="00F3304E" w:rsidP="00D60619">
            <w:pPr>
              <w:pStyle w:val="Tabletext"/>
              <w:spacing w:before="0" w:after="0" w:line="240" w:lineRule="auto"/>
              <w:rPr>
                <w:sz w:val="18"/>
                <w:szCs w:val="18"/>
              </w:rPr>
            </w:pPr>
            <w:r w:rsidRPr="00B06994">
              <w:rPr>
                <w:rFonts w:eastAsia="TimesNewRoman"/>
                <w:sz w:val="18"/>
                <w:szCs w:val="18"/>
              </w:rPr>
              <w:t>Use in patients with moderate or severe liver problems (Exposure in patients with moderate or severe hepatic insufficiency)</w:t>
            </w:r>
          </w:p>
        </w:tc>
        <w:tc>
          <w:tcPr>
            <w:tcW w:w="1225" w:type="dxa"/>
          </w:tcPr>
          <w:p w14:paraId="7E959E08"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1043" w:type="dxa"/>
          </w:tcPr>
          <w:p w14:paraId="4CDC8241"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c>
          <w:tcPr>
            <w:tcW w:w="800" w:type="dxa"/>
          </w:tcPr>
          <w:p w14:paraId="427DE04A" w14:textId="77777777" w:rsidR="00F3304E" w:rsidRPr="00B06994" w:rsidRDefault="00F3304E" w:rsidP="00D60619">
            <w:pPr>
              <w:pStyle w:val="Tabletext"/>
              <w:spacing w:before="0" w:after="0" w:line="240" w:lineRule="auto"/>
              <w:jc w:val="center"/>
              <w:rPr>
                <w:sz w:val="18"/>
                <w:szCs w:val="18"/>
              </w:rPr>
            </w:pPr>
            <w:r w:rsidRPr="00B06994">
              <w:rPr>
                <w:sz w:val="18"/>
                <w:szCs w:val="18"/>
              </w:rPr>
              <w:sym w:font="Wingdings" w:char="F0FC"/>
            </w:r>
          </w:p>
        </w:tc>
        <w:tc>
          <w:tcPr>
            <w:tcW w:w="901" w:type="dxa"/>
          </w:tcPr>
          <w:p w14:paraId="72124734" w14:textId="77777777" w:rsidR="00F3304E" w:rsidRPr="00B06994" w:rsidRDefault="00F3304E" w:rsidP="00D60619">
            <w:pPr>
              <w:pStyle w:val="Tabletext"/>
              <w:spacing w:before="0" w:after="0" w:line="240" w:lineRule="auto"/>
              <w:jc w:val="center"/>
              <w:rPr>
                <w:sz w:val="18"/>
                <w:szCs w:val="18"/>
              </w:rPr>
            </w:pPr>
            <w:r w:rsidRPr="00B06994">
              <w:rPr>
                <w:sz w:val="18"/>
                <w:szCs w:val="18"/>
              </w:rPr>
              <w:t>–</w:t>
            </w:r>
          </w:p>
        </w:tc>
      </w:tr>
    </w:tbl>
    <w:p w14:paraId="0DE6FB18" w14:textId="77777777" w:rsidR="00F3304E" w:rsidRDefault="00F3304E" w:rsidP="00F3304E">
      <w:pPr>
        <w:pStyle w:val="TableDescription"/>
      </w:pPr>
      <w:r>
        <w:t>R = Routine</w:t>
      </w:r>
    </w:p>
    <w:p w14:paraId="713B6D55" w14:textId="77777777" w:rsidR="00F3304E" w:rsidRDefault="00F3304E" w:rsidP="00F3304E">
      <w:pPr>
        <w:pStyle w:val="TableDescription"/>
      </w:pPr>
      <w:r>
        <w:t>A = Additional</w:t>
      </w:r>
    </w:p>
    <w:p w14:paraId="0FDE36C4" w14:textId="77777777" w:rsidR="00F3304E" w:rsidRPr="00304C5A" w:rsidRDefault="00F3304E" w:rsidP="00F3304E">
      <w:r w:rsidRPr="00304C5A">
        <w:t>No additional pharmacovigilance or risk minimisation activities have been proposed which is consistent with the previously approved RMP. This continues to be acceptable for the proposed extension of indication.</w:t>
      </w:r>
    </w:p>
    <w:p w14:paraId="6165825D" w14:textId="77777777" w:rsidR="00B06994" w:rsidRPr="004E65CA" w:rsidRDefault="0029500A" w:rsidP="004E65CA">
      <w:pPr>
        <w:pStyle w:val="Heading5"/>
      </w:pPr>
      <w:r w:rsidRPr="004E65CA">
        <w:lastRenderedPageBreak/>
        <w:t>New and outstanding recommendations</w:t>
      </w:r>
    </w:p>
    <w:p w14:paraId="0E4715FC" w14:textId="77777777" w:rsidR="004E65CA" w:rsidRPr="004E65CA" w:rsidRDefault="004E65CA" w:rsidP="004E65CA">
      <w:pPr>
        <w:pStyle w:val="ListBullet"/>
      </w:pPr>
      <w:r>
        <w:t xml:space="preserve">Recommendation 1. </w:t>
      </w:r>
      <w:r w:rsidRPr="004E65CA">
        <w:t>The RMP evaluator has noted the sponsor’s justification to the removal of malignancy from the list of safety concerns. It is recommended that the Delegate considers whether the removal of malignancy is justified by the safety findings from IMPROVE-IT study.</w:t>
      </w:r>
    </w:p>
    <w:p w14:paraId="5823231C" w14:textId="17DAF1E2" w:rsidR="004E65CA" w:rsidRPr="004E65CA" w:rsidRDefault="004E65CA" w:rsidP="004E65CA">
      <w:pPr>
        <w:pStyle w:val="ListBullet"/>
      </w:pPr>
      <w:r>
        <w:t xml:space="preserve">Recommendation 2. </w:t>
      </w:r>
      <w:r w:rsidRPr="004E65CA">
        <w:t>The sponsor should provide approved version 4.2 of the</w:t>
      </w:r>
      <w:r w:rsidR="00D25D65">
        <w:t xml:space="preserve"> EU-RMP with amended ASA to </w:t>
      </w:r>
      <w:r w:rsidRPr="004E65CA">
        <w:t>TGA.</w:t>
      </w:r>
    </w:p>
    <w:p w14:paraId="5706DCB6" w14:textId="77777777" w:rsidR="004E65CA" w:rsidRPr="004E65CA" w:rsidRDefault="004E65CA" w:rsidP="004E65CA">
      <w:pPr>
        <w:pStyle w:val="ListBullet"/>
      </w:pPr>
      <w:r>
        <w:t xml:space="preserve">Recommendation 3. </w:t>
      </w:r>
      <w:r w:rsidRPr="004E65CA">
        <w:t xml:space="preserve">The sponsor should provide its pharmacovigilance plan to monitor/further characterise the newly added safety concern in the ASA.  </w:t>
      </w:r>
    </w:p>
    <w:p w14:paraId="3D4E0F67" w14:textId="77777777" w:rsidR="004E65CA" w:rsidRPr="004E65CA" w:rsidRDefault="004E65CA" w:rsidP="004E65CA">
      <w:pPr>
        <w:pStyle w:val="ListBullet"/>
      </w:pPr>
      <w:r>
        <w:t xml:space="preserve">Recommendation 4. </w:t>
      </w:r>
      <w:r w:rsidRPr="004E65CA">
        <w:t xml:space="preserve">The sponsor should provide its risk minimisation plan to mitigate the newly added safety concern in the ASA.  </w:t>
      </w:r>
    </w:p>
    <w:p w14:paraId="76B1C1B9" w14:textId="77777777" w:rsidR="004E65CA" w:rsidRPr="004E65CA" w:rsidRDefault="004E65CA" w:rsidP="004E65CA">
      <w:pPr>
        <w:pStyle w:val="Heading6"/>
      </w:pPr>
      <w:bookmarkStart w:id="176" w:name="_Toc463863502"/>
      <w:r w:rsidRPr="004E65CA">
        <w:t>Wording for conditions of registration</w:t>
      </w:r>
      <w:bookmarkEnd w:id="176"/>
    </w:p>
    <w:p w14:paraId="1C61D836" w14:textId="77777777" w:rsidR="004E65CA" w:rsidRPr="004E65CA" w:rsidRDefault="004E65CA" w:rsidP="004E65CA">
      <w:r w:rsidRPr="004E65CA">
        <w:t>No wording could be provided at this stage due to outstanding RMP issues to be resolved.</w:t>
      </w:r>
    </w:p>
    <w:p w14:paraId="70B048C9" w14:textId="77777777" w:rsidR="008E7846" w:rsidRPr="00792A32" w:rsidRDefault="008E7846" w:rsidP="008E7846">
      <w:pPr>
        <w:pStyle w:val="Heading2"/>
      </w:pPr>
      <w:bookmarkStart w:id="177" w:name="_Toc247691527"/>
      <w:bookmarkStart w:id="178" w:name="_Toc314842510"/>
      <w:bookmarkStart w:id="179" w:name="_Toc484783892"/>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73"/>
      <w:bookmarkEnd w:id="177"/>
      <w:bookmarkEnd w:id="178"/>
      <w:bookmarkEnd w:id="179"/>
    </w:p>
    <w:p w14:paraId="35E53790" w14:textId="77777777" w:rsidR="008E7846" w:rsidRDefault="008E7846" w:rsidP="008E7846">
      <w:bookmarkStart w:id="180" w:name="_Toc247691528"/>
      <w:r>
        <w:t xml:space="preserve">The submission was summarised in the following </w:t>
      </w:r>
      <w:r w:rsidRPr="00EF5C48">
        <w:t xml:space="preserve">Delegate’s </w:t>
      </w:r>
      <w:r>
        <w:t>overview</w:t>
      </w:r>
      <w:r w:rsidRPr="00EF5C48">
        <w:t xml:space="preserve"> and recommendation</w:t>
      </w:r>
      <w:r>
        <w:t>s:</w:t>
      </w:r>
    </w:p>
    <w:p w14:paraId="3591628F" w14:textId="77777777" w:rsidR="008E7846" w:rsidRDefault="008E7846" w:rsidP="008E7846">
      <w:pPr>
        <w:pStyle w:val="Heading3"/>
      </w:pPr>
      <w:bookmarkStart w:id="181" w:name="_Toc314842511"/>
      <w:bookmarkStart w:id="182" w:name="_Toc484783893"/>
      <w:r>
        <w:t>Quality</w:t>
      </w:r>
      <w:bookmarkEnd w:id="180"/>
      <w:bookmarkEnd w:id="181"/>
      <w:bookmarkEnd w:id="182"/>
    </w:p>
    <w:p w14:paraId="257EDA39" w14:textId="77777777" w:rsidR="00C75B00" w:rsidRDefault="00C75B00" w:rsidP="00C75B00">
      <w:r>
        <w:t>No new quality data were provided.</w:t>
      </w:r>
    </w:p>
    <w:p w14:paraId="0E86811F" w14:textId="77777777" w:rsidR="008E7846" w:rsidRDefault="008E7846" w:rsidP="008E7846">
      <w:pPr>
        <w:pStyle w:val="Heading3"/>
      </w:pPr>
      <w:bookmarkStart w:id="183" w:name="_Toc314842512"/>
      <w:bookmarkStart w:id="184" w:name="_Toc484783894"/>
      <w:r>
        <w:t>Nonclinical</w:t>
      </w:r>
      <w:bookmarkEnd w:id="183"/>
      <w:bookmarkEnd w:id="184"/>
    </w:p>
    <w:p w14:paraId="59142F84" w14:textId="77777777" w:rsidR="00F07EFD" w:rsidRDefault="00F07EFD" w:rsidP="00F07EFD">
      <w:r>
        <w:t>No new nonclinical data were provided.</w:t>
      </w:r>
    </w:p>
    <w:p w14:paraId="766FD010" w14:textId="77777777" w:rsidR="008E7846" w:rsidRDefault="008E7846" w:rsidP="008E7846">
      <w:pPr>
        <w:pStyle w:val="Heading3"/>
      </w:pPr>
      <w:bookmarkStart w:id="185" w:name="_Toc247691530"/>
      <w:bookmarkStart w:id="186" w:name="_Toc314842513"/>
      <w:bookmarkStart w:id="187" w:name="_Toc484783895"/>
      <w:r>
        <w:t>Clinical</w:t>
      </w:r>
      <w:bookmarkEnd w:id="185"/>
      <w:bookmarkEnd w:id="186"/>
      <w:bookmarkEnd w:id="187"/>
    </w:p>
    <w:p w14:paraId="3A8DF258" w14:textId="77777777" w:rsidR="00D47221" w:rsidRDefault="00D47221" w:rsidP="00D47221">
      <w:bookmarkStart w:id="188" w:name="_Toc314842514"/>
      <w:r w:rsidRPr="00BD5FC6">
        <w:t xml:space="preserve">The clinical evaluator recommended rejection of the </w:t>
      </w:r>
      <w:r w:rsidR="008F0C79">
        <w:t>application</w:t>
      </w:r>
      <w:r w:rsidRPr="00BD5FC6">
        <w:t>. The main reasons for rejection were the lack of direct evidence for Atozet/Zeteze for the proposed indication, the insufficient justification to support the use of indirect evidence, and the extrapolation to all doses of Atozet.</w:t>
      </w:r>
    </w:p>
    <w:p w14:paraId="7296EF9C" w14:textId="77777777" w:rsidR="00D47221" w:rsidRDefault="00D47221" w:rsidP="00D47221">
      <w:r>
        <w:t>The clinical dossier comprised:</w:t>
      </w:r>
    </w:p>
    <w:p w14:paraId="2373251E" w14:textId="365D5EA6" w:rsidR="00D47221" w:rsidRPr="00D47221" w:rsidRDefault="00D25D65" w:rsidP="00D47221">
      <w:pPr>
        <w:pStyle w:val="ListBullet"/>
      </w:pPr>
      <w:r>
        <w:t xml:space="preserve">One efficacy and safety study: </w:t>
      </w:r>
      <w:r w:rsidR="00D47221" w:rsidRPr="00D47221">
        <w:t>the IMPROVE-IT study</w:t>
      </w:r>
      <w:r>
        <w:t>;</w:t>
      </w:r>
    </w:p>
    <w:p w14:paraId="1363A3AD" w14:textId="52738D77" w:rsidR="00D47221" w:rsidRPr="00D47221" w:rsidRDefault="00D47221" w:rsidP="00D47221">
      <w:pPr>
        <w:pStyle w:val="ListBullet"/>
      </w:pPr>
      <w:r w:rsidRPr="00D47221">
        <w:t>An analysis of post market safety including CIOMS reports for various AEs</w:t>
      </w:r>
      <w:r w:rsidR="00D25D65">
        <w:t>; and</w:t>
      </w:r>
    </w:p>
    <w:p w14:paraId="708AEB07" w14:textId="3606E7B2" w:rsidR="00D47221" w:rsidRPr="00D47221" w:rsidRDefault="00D47221" w:rsidP="00D47221">
      <w:pPr>
        <w:pStyle w:val="ListBullet"/>
      </w:pPr>
      <w:r w:rsidRPr="00D47221">
        <w:t>Summary documents, letter of application, PI, CMI</w:t>
      </w:r>
      <w:r w:rsidR="00D25D65">
        <w:t>.</w:t>
      </w:r>
    </w:p>
    <w:p w14:paraId="1C675AD0" w14:textId="77777777" w:rsidR="00D47221" w:rsidRPr="00562592" w:rsidRDefault="00D47221" w:rsidP="00D47221">
      <w:pPr>
        <w:pStyle w:val="Heading4"/>
      </w:pPr>
      <w:r>
        <w:t>Pharmacology</w:t>
      </w:r>
    </w:p>
    <w:p w14:paraId="4413AD5C" w14:textId="77777777" w:rsidR="00D47221" w:rsidRDefault="00D47221" w:rsidP="00D47221">
      <w:r>
        <w:t>No new pharmacology data were provided.</w:t>
      </w:r>
    </w:p>
    <w:p w14:paraId="41EE8D6B" w14:textId="77777777" w:rsidR="00D47221" w:rsidRPr="00562592" w:rsidRDefault="00D47221" w:rsidP="00D47221">
      <w:pPr>
        <w:pStyle w:val="Heading4"/>
      </w:pPr>
      <w:r w:rsidRPr="00562592">
        <w:t>Efficacy</w:t>
      </w:r>
    </w:p>
    <w:p w14:paraId="77B42A65" w14:textId="30632FC1" w:rsidR="00D47221" w:rsidRDefault="00D47221" w:rsidP="00D47221">
      <w:r>
        <w:t xml:space="preserve">No clinical </w:t>
      </w:r>
      <w:r w:rsidR="00892D98">
        <w:t>efficacy data were provided to</w:t>
      </w:r>
      <w:r>
        <w:t xml:space="preserve"> directly support the proposed indication.</w:t>
      </w:r>
    </w:p>
    <w:p w14:paraId="55CB4D71" w14:textId="7AA07588" w:rsidR="00D47221" w:rsidRDefault="00D47221" w:rsidP="00D47221">
      <w:pPr>
        <w:rPr>
          <w:rFonts w:asciiTheme="minorHAnsi" w:hAnsiTheme="minorHAnsi"/>
        </w:rPr>
      </w:pPr>
      <w:r>
        <w:t>The sponsor relied on the IMPROV</w:t>
      </w:r>
      <w:r w:rsidR="004B47A8">
        <w:t xml:space="preserve">E-IT study. This was a Phase </w:t>
      </w:r>
      <w:proofErr w:type="spellStart"/>
      <w:r w:rsidR="004B47A8">
        <w:t>III</w:t>
      </w:r>
      <w:r>
        <w:t>b</w:t>
      </w:r>
      <w:proofErr w:type="spellEnd"/>
      <w:r>
        <w:t xml:space="preserve"> multicentre, multinational, randomised, double-blind, active-controlled trial that randomised a total of </w:t>
      </w:r>
      <w:r>
        <w:lastRenderedPageBreak/>
        <w:t>18,144 adult patients with a median age of 63.7 years (range 22-98 yea</w:t>
      </w:r>
      <w:r w:rsidR="003A7B1E">
        <w:t>rs) to either daily dosing with ezetimibe 10 mg</w:t>
      </w:r>
      <w:r>
        <w:t xml:space="preserve"> in combination with simvastatin 40 mg (9067 patients) or to simvastatin 40 mg daily plus placebo (9077 patients). Patients were adults presenting with unstable angina, NSTEMI or STEMI for whom a PCI was planned for the qualifying event. Inclusion criteria were extensive. Randomisation was 1:1 for the treatment groups, stratified by participation in the </w:t>
      </w:r>
      <w:r w:rsidRPr="00F24BB2">
        <w:t>EARLY-ACS trial,</w:t>
      </w:r>
      <w:r>
        <w:rPr>
          <w:rStyle w:val="FootnoteReference"/>
        </w:rPr>
        <w:footnoteReference w:id="3"/>
      </w:r>
      <w:r>
        <w:t xml:space="preserve"> receiving chronic prescription lipid lowering therapy for &gt; 4 weeks prior to the qualifying ACS event, and qualifying diagnosis of NSTE-ACS (non-ST elevation ACS) or STEMI. Chronic therapy must have been with a lipid-lowering potency equal to or less than simvastatin 40 mg daily. For </w:t>
      </w:r>
      <w:r w:rsidR="003A7B1E">
        <w:rPr>
          <w:rFonts w:asciiTheme="minorHAnsi" w:hAnsiTheme="minorHAnsi"/>
        </w:rPr>
        <w:t xml:space="preserve">lipid </w:t>
      </w:r>
      <w:r w:rsidRPr="00A13550">
        <w:rPr>
          <w:rFonts w:asciiTheme="minorHAnsi" w:hAnsiTheme="minorHAnsi"/>
        </w:rPr>
        <w:t>therapy naïve patients</w:t>
      </w:r>
      <w:r w:rsidR="003A7B1E">
        <w:rPr>
          <w:rFonts w:asciiTheme="minorHAnsi" w:hAnsiTheme="minorHAnsi"/>
        </w:rPr>
        <w:t>,</w:t>
      </w:r>
      <w:r w:rsidRPr="00A13550">
        <w:rPr>
          <w:rFonts w:asciiTheme="minorHAnsi" w:hAnsiTheme="minorHAnsi"/>
        </w:rPr>
        <w:t xml:space="preserve"> LDL-C at enrolment needed to be ≥ 1.3 </w:t>
      </w:r>
      <w:proofErr w:type="spellStart"/>
      <w:r w:rsidRPr="00A13550">
        <w:rPr>
          <w:rFonts w:asciiTheme="minorHAnsi" w:hAnsiTheme="minorHAnsi"/>
        </w:rPr>
        <w:t>mmol</w:t>
      </w:r>
      <w:proofErr w:type="spellEnd"/>
      <w:r w:rsidRPr="00A13550">
        <w:rPr>
          <w:rFonts w:asciiTheme="minorHAnsi" w:hAnsiTheme="minorHAnsi"/>
        </w:rPr>
        <w:t xml:space="preserve">/L and ≤ 3.2mmol/L and  total cholesterol (TC) </w:t>
      </w:r>
      <w:r>
        <w:rPr>
          <w:rFonts w:asciiTheme="minorHAnsi" w:hAnsiTheme="minorHAnsi"/>
        </w:rPr>
        <w:t>≤</w:t>
      </w:r>
      <w:r w:rsidRPr="00A13550">
        <w:rPr>
          <w:rFonts w:asciiTheme="minorHAnsi" w:hAnsiTheme="minorHAnsi"/>
        </w:rPr>
        <w:t xml:space="preserve"> 4.9 </w:t>
      </w:r>
      <w:proofErr w:type="spellStart"/>
      <w:r w:rsidRPr="00A13550">
        <w:rPr>
          <w:rFonts w:asciiTheme="minorHAnsi" w:hAnsiTheme="minorHAnsi"/>
        </w:rPr>
        <w:t>mmol</w:t>
      </w:r>
      <w:proofErr w:type="spellEnd"/>
      <w:r w:rsidRPr="00A13550">
        <w:rPr>
          <w:rFonts w:asciiTheme="minorHAnsi" w:hAnsiTheme="minorHAnsi"/>
        </w:rPr>
        <w:t xml:space="preserve">/L and for lipid-naïve patients and LDL-C  </w:t>
      </w:r>
      <w:r>
        <w:rPr>
          <w:rFonts w:asciiTheme="minorHAnsi" w:hAnsiTheme="minorHAnsi"/>
        </w:rPr>
        <w:t>≥</w:t>
      </w:r>
      <w:r w:rsidRPr="00A13550">
        <w:rPr>
          <w:rFonts w:asciiTheme="minorHAnsi" w:hAnsiTheme="minorHAnsi"/>
        </w:rPr>
        <w:t xml:space="preserve"> 1.3 </w:t>
      </w:r>
      <w:proofErr w:type="spellStart"/>
      <w:r w:rsidRPr="00A13550">
        <w:rPr>
          <w:rFonts w:asciiTheme="minorHAnsi" w:hAnsiTheme="minorHAnsi"/>
        </w:rPr>
        <w:t>mmol</w:t>
      </w:r>
      <w:proofErr w:type="spellEnd"/>
      <w:r w:rsidRPr="00A13550">
        <w:rPr>
          <w:rFonts w:asciiTheme="minorHAnsi" w:hAnsiTheme="minorHAnsi"/>
        </w:rPr>
        <w:t xml:space="preserve">/L and </w:t>
      </w:r>
      <w:r>
        <w:rPr>
          <w:rFonts w:asciiTheme="minorHAnsi" w:hAnsiTheme="minorHAnsi"/>
        </w:rPr>
        <w:t>≤</w:t>
      </w:r>
      <w:r w:rsidRPr="00A13550">
        <w:rPr>
          <w:rFonts w:asciiTheme="minorHAnsi" w:hAnsiTheme="minorHAnsi"/>
        </w:rPr>
        <w:t xml:space="preserve">2.6 </w:t>
      </w:r>
      <w:proofErr w:type="spellStart"/>
      <w:r w:rsidRPr="00A13550">
        <w:rPr>
          <w:rFonts w:asciiTheme="minorHAnsi" w:hAnsiTheme="minorHAnsi"/>
        </w:rPr>
        <w:t>mmol</w:t>
      </w:r>
      <w:proofErr w:type="spellEnd"/>
      <w:r w:rsidRPr="00A13550">
        <w:rPr>
          <w:rFonts w:asciiTheme="minorHAnsi" w:hAnsiTheme="minorHAnsi"/>
        </w:rPr>
        <w:t xml:space="preserve">/L, and TC </w:t>
      </w:r>
      <w:r>
        <w:rPr>
          <w:rFonts w:asciiTheme="minorHAnsi" w:hAnsiTheme="minorHAnsi"/>
        </w:rPr>
        <w:t>≤</w:t>
      </w:r>
      <w:r w:rsidRPr="00A13550">
        <w:rPr>
          <w:rFonts w:asciiTheme="minorHAnsi" w:hAnsiTheme="minorHAnsi"/>
        </w:rPr>
        <w:t xml:space="preserve"> 3.9 </w:t>
      </w:r>
      <w:proofErr w:type="spellStart"/>
      <w:r w:rsidRPr="00A13550">
        <w:rPr>
          <w:rFonts w:asciiTheme="minorHAnsi" w:hAnsiTheme="minorHAnsi"/>
        </w:rPr>
        <w:t>mmol</w:t>
      </w:r>
      <w:proofErr w:type="spellEnd"/>
      <w:r w:rsidRPr="00A13550">
        <w:rPr>
          <w:rFonts w:asciiTheme="minorHAnsi" w:hAnsiTheme="minorHAnsi"/>
        </w:rPr>
        <w:t>/L for  in patients already on therapy. All needed to have a fasting plasma TG</w:t>
      </w:r>
      <w:r w:rsidR="003A7B1E">
        <w:rPr>
          <w:rFonts w:asciiTheme="minorHAnsi" w:hAnsiTheme="minorHAnsi"/>
        </w:rPr>
        <w:t xml:space="preserve"> </w:t>
      </w:r>
      <w:r>
        <w:rPr>
          <w:rFonts w:asciiTheme="minorHAnsi" w:hAnsiTheme="minorHAnsi"/>
        </w:rPr>
        <w:t>≤</w:t>
      </w:r>
      <w:r w:rsidRPr="00A13550">
        <w:rPr>
          <w:rFonts w:asciiTheme="minorHAnsi" w:hAnsiTheme="minorHAnsi"/>
        </w:rPr>
        <w:t xml:space="preserve">4.0 </w:t>
      </w:r>
      <w:proofErr w:type="spellStart"/>
      <w:r w:rsidRPr="00A13550">
        <w:rPr>
          <w:rFonts w:asciiTheme="minorHAnsi" w:hAnsiTheme="minorHAnsi"/>
        </w:rPr>
        <w:t>mmol</w:t>
      </w:r>
      <w:proofErr w:type="spellEnd"/>
      <w:r w:rsidRPr="00A13550">
        <w:rPr>
          <w:rFonts w:asciiTheme="minorHAnsi" w:hAnsiTheme="minorHAnsi"/>
        </w:rPr>
        <w:t>/L.</w:t>
      </w:r>
    </w:p>
    <w:p w14:paraId="7366BF7D" w14:textId="74AB24F8" w:rsidR="00D47221" w:rsidRDefault="00D47221" w:rsidP="00D47221">
      <w:pPr>
        <w:rPr>
          <w:rFonts w:asciiTheme="minorHAnsi" w:hAnsiTheme="minorHAnsi"/>
        </w:rPr>
      </w:pPr>
      <w:r>
        <w:rPr>
          <w:rFonts w:asciiTheme="minorHAnsi" w:hAnsiTheme="minorHAnsi"/>
        </w:rPr>
        <w:t xml:space="preserve">Exclusion criteria were also extensive, but of note were </w:t>
      </w:r>
      <w:proofErr w:type="spellStart"/>
      <w:r>
        <w:rPr>
          <w:rFonts w:asciiTheme="minorHAnsi" w:hAnsiTheme="minorHAnsi"/>
        </w:rPr>
        <w:t>haemodynamically</w:t>
      </w:r>
      <w:proofErr w:type="spellEnd"/>
      <w:r>
        <w:rPr>
          <w:rFonts w:asciiTheme="minorHAnsi" w:hAnsiTheme="minorHAnsi"/>
        </w:rPr>
        <w:t xml:space="preserve"> unstable patients, recurrent symptoms of cardiovascular or cerebrovascular </w:t>
      </w:r>
      <w:proofErr w:type="spellStart"/>
      <w:r>
        <w:rPr>
          <w:rFonts w:asciiTheme="minorHAnsi" w:hAnsiTheme="minorHAnsi"/>
        </w:rPr>
        <w:t>ischaemia</w:t>
      </w:r>
      <w:proofErr w:type="spellEnd"/>
      <w:r>
        <w:rPr>
          <w:rFonts w:asciiTheme="minorHAnsi" w:hAnsiTheme="minorHAnsi"/>
        </w:rPr>
        <w:t xml:space="preserve">, arrhythmia, and CABG for the qualifying event (either planned or completed), and chronic therapy with a statin of greater potency than simvastatin 40 mg daily. The simvastatin could be increased to 80 mg in a blinded manner if the LDL-C was &gt; 2.0 </w:t>
      </w:r>
      <w:proofErr w:type="spellStart"/>
      <w:r>
        <w:rPr>
          <w:rFonts w:asciiTheme="minorHAnsi" w:hAnsiTheme="minorHAnsi"/>
        </w:rPr>
        <w:t>mmol</w:t>
      </w:r>
      <w:proofErr w:type="spellEnd"/>
      <w:r>
        <w:rPr>
          <w:rFonts w:asciiTheme="minorHAnsi" w:hAnsiTheme="minorHAnsi"/>
        </w:rPr>
        <w:t xml:space="preserve">/L at two consecutive visits, and not attributable to poor compliance. Modification to the protocol mid-study restricted the use of simvastatin 80 mg to those that had already </w:t>
      </w:r>
      <w:proofErr w:type="spellStart"/>
      <w:r>
        <w:rPr>
          <w:rFonts w:asciiTheme="minorHAnsi" w:hAnsiTheme="minorHAnsi"/>
        </w:rPr>
        <w:t>uptitrated</w:t>
      </w:r>
      <w:proofErr w:type="spellEnd"/>
      <w:r>
        <w:rPr>
          <w:rFonts w:asciiTheme="minorHAnsi" w:hAnsiTheme="minorHAnsi"/>
        </w:rPr>
        <w:t xml:space="preserve"> to that dose for more than 12 months unless concomitantly taking amlodipine or </w:t>
      </w:r>
      <w:proofErr w:type="spellStart"/>
      <w:r>
        <w:rPr>
          <w:rFonts w:asciiTheme="minorHAnsi" w:hAnsiTheme="minorHAnsi"/>
        </w:rPr>
        <w:t>ranolazine</w:t>
      </w:r>
      <w:proofErr w:type="spellEnd"/>
      <w:r>
        <w:rPr>
          <w:rFonts w:asciiTheme="minorHAnsi" w:hAnsiTheme="minorHAnsi"/>
        </w:rPr>
        <w:t>. For all other patients the maximum simvastatin dose remained at or was reduced to 40 mg daily. A sample size of the study was modified to 18,000 with a minimum follow-up of 2.5 years to have a 90% power to detect a 15 mg/</w:t>
      </w:r>
      <w:proofErr w:type="spellStart"/>
      <w:r>
        <w:rPr>
          <w:rFonts w:asciiTheme="minorHAnsi" w:hAnsiTheme="minorHAnsi"/>
        </w:rPr>
        <w:t>dL</w:t>
      </w:r>
      <w:proofErr w:type="spellEnd"/>
      <w:r>
        <w:rPr>
          <w:rFonts w:asciiTheme="minorHAnsi" w:hAnsiTheme="minorHAnsi"/>
        </w:rPr>
        <w:t xml:space="preserve"> (about 0.39 </w:t>
      </w:r>
      <w:proofErr w:type="spellStart"/>
      <w:r>
        <w:rPr>
          <w:rFonts w:asciiTheme="minorHAnsi" w:hAnsiTheme="minorHAnsi"/>
        </w:rPr>
        <w:t>mmol</w:t>
      </w:r>
      <w:proofErr w:type="spellEnd"/>
      <w:r>
        <w:rPr>
          <w:rFonts w:asciiTheme="minorHAnsi" w:hAnsiTheme="minorHAnsi"/>
        </w:rPr>
        <w:t xml:space="preserve">/L) difference in LDL-C between the treatment groups that would translate to a 9.375% risk reduction (based on the outcomes of the </w:t>
      </w:r>
      <w:r w:rsidR="003A7B1E">
        <w:rPr>
          <w:rFonts w:asciiTheme="minorHAnsi" w:hAnsiTheme="minorHAnsi"/>
        </w:rPr>
        <w:t>CTT</w:t>
      </w:r>
      <w:r>
        <w:rPr>
          <w:rFonts w:asciiTheme="minorHAnsi" w:hAnsiTheme="minorHAnsi"/>
        </w:rPr>
        <w:t xml:space="preserve"> meta-analysis).</w:t>
      </w:r>
    </w:p>
    <w:p w14:paraId="7E377EA8" w14:textId="77777777" w:rsidR="00FF7EF3" w:rsidRDefault="00D47221" w:rsidP="00D47221">
      <w:r>
        <w:rPr>
          <w:rFonts w:asciiTheme="minorHAnsi" w:hAnsiTheme="minorHAnsi"/>
        </w:rPr>
        <w:t xml:space="preserve">Baseline demographics were similar between the groups.  In each treatment arm about 4% were aged &lt; 50 years, and for most the qualifying event was </w:t>
      </w:r>
      <w:r w:rsidR="003A7B1E">
        <w:rPr>
          <w:rFonts w:asciiTheme="minorHAnsi" w:hAnsiTheme="minorHAnsi"/>
        </w:rPr>
        <w:t xml:space="preserve">an anterior wall STEMI. About 1/4 </w:t>
      </w:r>
      <w:r>
        <w:rPr>
          <w:rFonts w:asciiTheme="minorHAnsi" w:hAnsiTheme="minorHAnsi"/>
        </w:rPr>
        <w:t xml:space="preserve">of patients were female, 2/3 had NSTE-ACS as the </w:t>
      </w:r>
      <w:r w:rsidR="003A7B1E">
        <w:rPr>
          <w:rFonts w:asciiTheme="minorHAnsi" w:hAnsiTheme="minorHAnsi"/>
        </w:rPr>
        <w:t xml:space="preserve">qualifying event, </w:t>
      </w:r>
      <w:r>
        <w:rPr>
          <w:rFonts w:asciiTheme="minorHAnsi" w:hAnsiTheme="minorHAnsi"/>
        </w:rPr>
        <w:t xml:space="preserve">and </w:t>
      </w:r>
      <w:r>
        <w:t>1/3</w:t>
      </w:r>
      <w:r w:rsidRPr="001552BC">
        <w:t xml:space="preserve"> of subjects </w:t>
      </w:r>
      <w:r>
        <w:t xml:space="preserve">had prior prescription lipid </w:t>
      </w:r>
      <w:r w:rsidRPr="001552BC">
        <w:t>lowering therapy.</w:t>
      </w:r>
      <w:r>
        <w:t xml:space="preserve"> </w:t>
      </w:r>
      <w:r w:rsidRPr="001552BC">
        <w:t>A</w:t>
      </w:r>
      <w:r>
        <w:t>bout</w:t>
      </w:r>
      <w:r w:rsidRPr="001552BC">
        <w:t xml:space="preserve"> 61% had a histor</w:t>
      </w:r>
      <w:r>
        <w:t xml:space="preserve">y of hypertension, 21% </w:t>
      </w:r>
      <w:r w:rsidRPr="001552BC">
        <w:t xml:space="preserve">had a previously documented MI, </w:t>
      </w:r>
      <w:proofErr w:type="gramStart"/>
      <w:r w:rsidRPr="001552BC">
        <w:t>26.6</w:t>
      </w:r>
      <w:proofErr w:type="gramEnd"/>
      <w:r w:rsidRPr="001552BC">
        <w:t>% had a hi</w:t>
      </w:r>
      <w:r>
        <w:t>story of CHD</w:t>
      </w:r>
      <w:r w:rsidRPr="001552BC">
        <w:t>, with 29.2% exhibiting disease in 3 vessels. A hist</w:t>
      </w:r>
      <w:r>
        <w:t xml:space="preserve">ory of diabetes was reported by </w:t>
      </w:r>
      <w:r w:rsidRPr="001552BC">
        <w:t xml:space="preserve">27.2% </w:t>
      </w:r>
      <w:r>
        <w:t xml:space="preserve">and </w:t>
      </w:r>
      <w:r w:rsidRPr="001552BC">
        <w:t>20.4% of subjects</w:t>
      </w:r>
      <w:r>
        <w:t xml:space="preserve"> were treated with antidiabetic </w:t>
      </w:r>
      <w:r w:rsidRPr="001552BC">
        <w:t>medications. Prior to the qualifying event, 19% of s</w:t>
      </w:r>
      <w:r>
        <w:t>ubjects had a previous PCI,</w:t>
      </w:r>
      <w:r w:rsidRPr="001552BC">
        <w:t xml:space="preserve"> 9.3% </w:t>
      </w:r>
      <w:r>
        <w:t>had a prior</w:t>
      </w:r>
      <w:r w:rsidRPr="001552BC">
        <w:t xml:space="preserve"> CABG</w:t>
      </w:r>
      <w:r>
        <w:t>, and about</w:t>
      </w:r>
      <w:r w:rsidRPr="001552BC">
        <w:t xml:space="preserve"> 4% of</w:t>
      </w:r>
      <w:r>
        <w:t xml:space="preserve"> subjects had a history of stroke</w:t>
      </w:r>
      <w:r w:rsidR="00FF7EF3">
        <w:t>.</w:t>
      </w:r>
    </w:p>
    <w:p w14:paraId="22F6E08A" w14:textId="01CF0676" w:rsidR="00D47221" w:rsidRDefault="0005644E" w:rsidP="00D47221">
      <w:pPr>
        <w:rPr>
          <w:rFonts w:asciiTheme="minorHAnsi" w:hAnsiTheme="minorHAnsi"/>
        </w:rPr>
      </w:pPr>
      <w:proofErr w:type="gramStart"/>
      <w:r>
        <w:rPr>
          <w:rFonts w:asciiTheme="minorHAnsi" w:hAnsiTheme="minorHAnsi"/>
        </w:rPr>
        <w:t>Of the 75.7% of patients who</w:t>
      </w:r>
      <w:r w:rsidR="00D47221">
        <w:rPr>
          <w:rFonts w:asciiTheme="minorHAnsi" w:hAnsiTheme="minorHAnsi"/>
        </w:rPr>
        <w:t xml:space="preserve"> completed the study</w:t>
      </w:r>
      <w:r w:rsidR="003A7B1E">
        <w:rPr>
          <w:rFonts w:asciiTheme="minorHAnsi" w:hAnsiTheme="minorHAnsi"/>
        </w:rPr>
        <w:t>,</w:t>
      </w:r>
      <w:r w:rsidR="00D47221">
        <w:rPr>
          <w:rFonts w:asciiTheme="minorHAnsi" w:hAnsiTheme="minorHAnsi"/>
        </w:rPr>
        <w:t xml:space="preserve"> 46.6% completed on the study drug.</w:t>
      </w:r>
      <w:proofErr w:type="gramEnd"/>
      <w:r w:rsidR="00D47221">
        <w:rPr>
          <w:rFonts w:asciiTheme="minorHAnsi" w:hAnsiTheme="minorHAnsi"/>
        </w:rPr>
        <w:t xml:space="preserve"> The median follow-up was 6 years and the survival analysis was performed on the ITT population at 7 years.</w:t>
      </w:r>
    </w:p>
    <w:p w14:paraId="7410DE4E" w14:textId="77777777" w:rsidR="00D47221" w:rsidRDefault="00D47221" w:rsidP="00D47221">
      <w:pPr>
        <w:rPr>
          <w:rFonts w:asciiTheme="minorHAnsi" w:hAnsiTheme="minorHAnsi"/>
        </w:rPr>
      </w:pPr>
      <w:r>
        <w:rPr>
          <w:rFonts w:asciiTheme="minorHAnsi" w:hAnsiTheme="minorHAnsi"/>
        </w:rPr>
        <w:t xml:space="preserve">The composite primary endpoint of cardiovascular death, </w:t>
      </w:r>
      <w:proofErr w:type="spellStart"/>
      <w:r>
        <w:rPr>
          <w:rFonts w:asciiTheme="minorHAnsi" w:hAnsiTheme="minorHAnsi"/>
        </w:rPr>
        <w:t>non fatal</w:t>
      </w:r>
      <w:proofErr w:type="spellEnd"/>
      <w:r>
        <w:rPr>
          <w:rFonts w:asciiTheme="minorHAnsi" w:hAnsiTheme="minorHAnsi"/>
        </w:rPr>
        <w:t xml:space="preserve"> MI, documented unstable angina requiring hospitalisation, all coronary revascularisation with PCI or CABG ≥ 30 days, and nonfatal stroke </w:t>
      </w:r>
      <w:r w:rsidR="00816A9D">
        <w:rPr>
          <w:rFonts w:asciiTheme="minorHAnsi" w:hAnsiTheme="minorHAnsi"/>
        </w:rPr>
        <w:t>was as shown below.</w:t>
      </w:r>
    </w:p>
    <w:p w14:paraId="462D3DD0" w14:textId="7A0B1923" w:rsidR="00816A9D" w:rsidRDefault="00816A9D" w:rsidP="00816A9D">
      <w:pPr>
        <w:pStyle w:val="TableTitle"/>
      </w:pPr>
      <w:proofErr w:type="gramStart"/>
      <w:r>
        <w:lastRenderedPageBreak/>
        <w:t xml:space="preserve">Table </w:t>
      </w:r>
      <w:r w:rsidR="00D66A42">
        <w:t>5</w:t>
      </w:r>
      <w:r>
        <w:t>:</w:t>
      </w:r>
      <w:r w:rsidRPr="00816A9D">
        <w:t xml:space="preserve"> Composite primary endpoint ITT population at 7 years</w:t>
      </w:r>
      <w:r>
        <w:t>.</w:t>
      </w:r>
      <w:proofErr w:type="gramEnd"/>
    </w:p>
    <w:p w14:paraId="50A9288E" w14:textId="77777777" w:rsidR="00D47221" w:rsidRDefault="00816A9D" w:rsidP="00D47221">
      <w:pPr>
        <w:rPr>
          <w:rFonts w:asciiTheme="minorHAnsi" w:hAnsiTheme="minorHAnsi"/>
        </w:rPr>
      </w:pPr>
      <w:r>
        <w:rPr>
          <w:noProof/>
          <w:lang w:eastAsia="en-AU"/>
        </w:rPr>
        <w:drawing>
          <wp:inline distT="0" distB="0" distL="0" distR="0" wp14:anchorId="6DC64FC9" wp14:editId="0A94EC0E">
            <wp:extent cx="5177861" cy="3186928"/>
            <wp:effectExtent l="0" t="0" r="3810" b="0"/>
            <wp:docPr id="1" name="Picture 1" descr="Table 5: Composite primary endpoint ITT population at 7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82915" cy="3190039"/>
                    </a:xfrm>
                    <a:prstGeom prst="rect">
                      <a:avLst/>
                    </a:prstGeom>
                  </pic:spPr>
                </pic:pic>
              </a:graphicData>
            </a:graphic>
          </wp:inline>
        </w:drawing>
      </w:r>
    </w:p>
    <w:p w14:paraId="35C452B3" w14:textId="77777777" w:rsidR="00FF7EF3" w:rsidRDefault="00D47221" w:rsidP="00D47221">
      <w:pPr>
        <w:rPr>
          <w:rFonts w:asciiTheme="minorHAnsi" w:hAnsiTheme="minorHAnsi"/>
        </w:rPr>
      </w:pPr>
      <w:r>
        <w:rPr>
          <w:rFonts w:asciiTheme="minorHAnsi" w:hAnsiTheme="minorHAnsi"/>
        </w:rPr>
        <w:t xml:space="preserve">There was an </w:t>
      </w:r>
      <w:r w:rsidR="00BC2706">
        <w:rPr>
          <w:rFonts w:asciiTheme="minorHAnsi" w:hAnsiTheme="minorHAnsi"/>
        </w:rPr>
        <w:t>ARR</w:t>
      </w:r>
      <w:r>
        <w:rPr>
          <w:rFonts w:asciiTheme="minorHAnsi" w:hAnsiTheme="minorHAnsi"/>
        </w:rPr>
        <w:t xml:space="preserve"> of (</w:t>
      </w:r>
      <w:proofErr w:type="gramStart"/>
      <w:r>
        <w:rPr>
          <w:rFonts w:asciiTheme="minorHAnsi" w:hAnsiTheme="minorHAnsi"/>
        </w:rPr>
        <w:t>KM%</w:t>
      </w:r>
      <w:proofErr w:type="gramEnd"/>
      <w:r>
        <w:rPr>
          <w:rFonts w:asciiTheme="minorHAnsi" w:hAnsiTheme="minorHAnsi"/>
        </w:rPr>
        <w:t>) 1.95% an</w:t>
      </w:r>
      <w:r w:rsidR="00BC2706">
        <w:rPr>
          <w:rFonts w:asciiTheme="minorHAnsi" w:hAnsiTheme="minorHAnsi"/>
        </w:rPr>
        <w:t xml:space="preserve">d a RRR </w:t>
      </w:r>
      <w:r>
        <w:rPr>
          <w:rFonts w:asciiTheme="minorHAnsi" w:hAnsiTheme="minorHAnsi"/>
        </w:rPr>
        <w:t>of 6.4%. Among the components of the primary endpoint the greatest benefits were a reduction in non-fatal myocardial infarction and non-fatal stroke, although there was no overall benefit for cardiovascular death. The HR for the primary composite endpoint with events censored at 30 days after discontinuation of the stud</w:t>
      </w:r>
      <w:r w:rsidR="0069398A">
        <w:rPr>
          <w:rFonts w:asciiTheme="minorHAnsi" w:hAnsiTheme="minorHAnsi"/>
        </w:rPr>
        <w:t>y drug was 0.924 (95% CI 0.868-</w:t>
      </w:r>
      <w:r>
        <w:rPr>
          <w:rFonts w:asciiTheme="minorHAnsi" w:hAnsiTheme="minorHAnsi"/>
        </w:rPr>
        <w:t>0.983), p</w:t>
      </w:r>
      <w:r w:rsidR="00BC2706">
        <w:rPr>
          <w:rFonts w:asciiTheme="minorHAnsi" w:hAnsiTheme="minorHAnsi"/>
        </w:rPr>
        <w:t xml:space="preserve"> </w:t>
      </w:r>
      <w:r>
        <w:rPr>
          <w:rFonts w:asciiTheme="minorHAnsi" w:hAnsiTheme="minorHAnsi"/>
        </w:rPr>
        <w:t>=</w:t>
      </w:r>
      <w:r w:rsidR="00BC2706">
        <w:rPr>
          <w:rFonts w:asciiTheme="minorHAnsi" w:hAnsiTheme="minorHAnsi"/>
        </w:rPr>
        <w:t xml:space="preserve"> </w:t>
      </w:r>
      <w:r>
        <w:rPr>
          <w:rFonts w:asciiTheme="minorHAnsi" w:hAnsiTheme="minorHAnsi"/>
        </w:rPr>
        <w:t>0.012. More detail of the results of t</w:t>
      </w:r>
      <w:r w:rsidR="00BC2706">
        <w:rPr>
          <w:rFonts w:asciiTheme="minorHAnsi" w:hAnsiTheme="minorHAnsi"/>
        </w:rPr>
        <w:t>he study can be found in the clinical evaluation report</w:t>
      </w:r>
      <w:r>
        <w:rPr>
          <w:rFonts w:asciiTheme="minorHAnsi" w:hAnsiTheme="minorHAnsi"/>
        </w:rPr>
        <w:t>. Subgroup analysis showed less favourable outcomes for those non-diabetic and &lt;75 years of age, although the study was not specifically powered for subgroup analysis</w:t>
      </w:r>
      <w:r w:rsidR="00FF7EF3">
        <w:rPr>
          <w:rFonts w:asciiTheme="minorHAnsi" w:hAnsiTheme="minorHAnsi"/>
        </w:rPr>
        <w:t>.</w:t>
      </w:r>
    </w:p>
    <w:p w14:paraId="31A89601" w14:textId="77777777" w:rsidR="00FF7EF3" w:rsidRDefault="00D47221" w:rsidP="00D47221">
      <w:pPr>
        <w:rPr>
          <w:rFonts w:asciiTheme="minorHAnsi" w:hAnsiTheme="minorHAnsi"/>
        </w:rPr>
      </w:pPr>
      <w:r>
        <w:rPr>
          <w:rFonts w:asciiTheme="minorHAnsi" w:hAnsiTheme="minorHAnsi"/>
        </w:rPr>
        <w:t xml:space="preserve">The safety of ezetimibe with simvastatin was similar to simvastatin alone for AEs and TRAEs, and deaths both cardiovascular and non-cardiovascular (13.5% across the study) were similar between the groups (AEs resulting in death overall 3.7%). SAEs occurred in about 40.2% of each treatment groups and most commonly </w:t>
      </w:r>
      <w:r w:rsidRPr="004C5F91">
        <w:rPr>
          <w:rFonts w:asciiTheme="minorHAnsi" w:hAnsiTheme="minorHAnsi"/>
        </w:rPr>
        <w:t>were neoplasms (</w:t>
      </w:r>
      <w:r>
        <w:rPr>
          <w:rFonts w:asciiTheme="minorHAnsi" w:hAnsiTheme="minorHAnsi"/>
        </w:rPr>
        <w:t>benign, malignant and unspecified including cysts and polyps; all neoplasia was considered a SAE</w:t>
      </w:r>
      <w:r w:rsidRPr="004C5F91">
        <w:rPr>
          <w:rFonts w:asciiTheme="minorHAnsi" w:hAnsiTheme="minorHAnsi"/>
        </w:rPr>
        <w:t>)</w:t>
      </w:r>
      <w:r>
        <w:rPr>
          <w:rFonts w:asciiTheme="minorHAnsi" w:hAnsiTheme="minorHAnsi"/>
        </w:rPr>
        <w:t xml:space="preserve"> (11.82%/11.99%)</w:t>
      </w:r>
      <w:r w:rsidRPr="004C5F91">
        <w:rPr>
          <w:rFonts w:asciiTheme="minorHAnsi" w:hAnsiTheme="minorHAnsi"/>
        </w:rPr>
        <w:t>,</w:t>
      </w:r>
      <w:r w:rsidR="00816A9D">
        <w:rPr>
          <w:rStyle w:val="FootnoteReference"/>
          <w:rFonts w:asciiTheme="minorHAnsi" w:hAnsiTheme="minorHAnsi"/>
        </w:rPr>
        <w:footnoteReference w:id="4"/>
      </w:r>
      <w:r w:rsidR="00816A9D">
        <w:rPr>
          <w:rFonts w:asciiTheme="minorHAnsi" w:hAnsiTheme="minorHAnsi"/>
        </w:rPr>
        <w:t xml:space="preserve"> </w:t>
      </w:r>
      <w:r>
        <w:rPr>
          <w:rFonts w:asciiTheme="minorHAnsi" w:hAnsiTheme="minorHAnsi"/>
        </w:rPr>
        <w:t>infections and infestations (8.9% /8.81%), gastrointestinal disorders (7.46%/7.52%) and musculoskeletal disorders (5.8%/5.48%)</w:t>
      </w:r>
      <w:r w:rsidR="00FF7EF3">
        <w:rPr>
          <w:rFonts w:asciiTheme="minorHAnsi" w:hAnsiTheme="minorHAnsi"/>
        </w:rPr>
        <w:t>.</w:t>
      </w:r>
    </w:p>
    <w:p w14:paraId="27602BCC" w14:textId="47A575E4" w:rsidR="00D47221" w:rsidRDefault="00D47221" w:rsidP="00D47221">
      <w:pPr>
        <w:rPr>
          <w:rFonts w:asciiTheme="minorHAnsi" w:hAnsiTheme="minorHAnsi"/>
        </w:rPr>
      </w:pPr>
      <w:r>
        <w:rPr>
          <w:rFonts w:asciiTheme="minorHAnsi" w:hAnsiTheme="minorHAnsi"/>
        </w:rPr>
        <w:t>Increase in haemo</w:t>
      </w:r>
      <w:r w:rsidR="000A3902">
        <w:rPr>
          <w:rFonts w:asciiTheme="minorHAnsi" w:hAnsiTheme="minorHAnsi"/>
        </w:rPr>
        <w:t>rrhagic stroke in the ezetimibe-</w:t>
      </w:r>
      <w:r>
        <w:rPr>
          <w:rFonts w:asciiTheme="minorHAnsi" w:hAnsiTheme="minorHAnsi"/>
        </w:rPr>
        <w:t>simvastatin group compared with simvastatin</w:t>
      </w:r>
      <w:r w:rsidR="00CF6AD2">
        <w:rPr>
          <w:rFonts w:asciiTheme="minorHAnsi" w:hAnsiTheme="minorHAnsi"/>
        </w:rPr>
        <w:t xml:space="preserve"> alone (HR 1.377, 95% CI 0.93-</w:t>
      </w:r>
      <w:r>
        <w:rPr>
          <w:rFonts w:asciiTheme="minorHAnsi" w:hAnsiTheme="minorHAnsi"/>
        </w:rPr>
        <w:t>2.04, p</w:t>
      </w:r>
      <w:r w:rsidR="00CF6AD2">
        <w:rPr>
          <w:rFonts w:asciiTheme="minorHAnsi" w:hAnsiTheme="minorHAnsi"/>
        </w:rPr>
        <w:t xml:space="preserve"> </w:t>
      </w:r>
      <w:r>
        <w:rPr>
          <w:rFonts w:asciiTheme="minorHAnsi" w:hAnsiTheme="minorHAnsi"/>
        </w:rPr>
        <w:t>=</w:t>
      </w:r>
      <w:r w:rsidR="00CF6AD2">
        <w:rPr>
          <w:rFonts w:asciiTheme="minorHAnsi" w:hAnsiTheme="minorHAnsi"/>
        </w:rPr>
        <w:t xml:space="preserve"> </w:t>
      </w:r>
      <w:r>
        <w:rPr>
          <w:rFonts w:asciiTheme="minorHAnsi" w:hAnsiTheme="minorHAnsi"/>
        </w:rPr>
        <w:t>0.110) was based on relatively small numbers of events (59 v</w:t>
      </w:r>
      <w:r w:rsidR="00CF6AD2">
        <w:rPr>
          <w:rFonts w:asciiTheme="minorHAnsi" w:hAnsiTheme="minorHAnsi"/>
        </w:rPr>
        <w:t>ersus</w:t>
      </w:r>
      <w:r>
        <w:rPr>
          <w:rFonts w:asciiTheme="minorHAnsi" w:hAnsiTheme="minorHAnsi"/>
        </w:rPr>
        <w:t xml:space="preserve"> 43).</w:t>
      </w:r>
    </w:p>
    <w:p w14:paraId="375FEB4D" w14:textId="77777777" w:rsidR="00FF7EF3" w:rsidRDefault="00D47221" w:rsidP="00D47221">
      <w:pPr>
        <w:rPr>
          <w:rFonts w:asciiTheme="minorHAnsi" w:hAnsiTheme="minorHAnsi"/>
        </w:rPr>
      </w:pPr>
      <w:r>
        <w:rPr>
          <w:rFonts w:asciiTheme="minorHAnsi" w:hAnsiTheme="minorHAnsi"/>
        </w:rPr>
        <w:t>Discontinuations due to AEs occurred in 10.6%/10.1%, due to TRAEs in 7.0%/6.8% and due to SAEs in 2.0%/1.9% of the ezetimibe-simvastatin/simvastatin alone groups, respectively. Ezetimibe did not appear to contribute significantly to the adverse effect profile of participants in the study</w:t>
      </w:r>
      <w:r w:rsidR="00FF7EF3">
        <w:rPr>
          <w:rFonts w:asciiTheme="minorHAnsi" w:hAnsiTheme="minorHAnsi"/>
        </w:rPr>
        <w:t>.</w:t>
      </w:r>
    </w:p>
    <w:p w14:paraId="69E92BA8" w14:textId="2B8F669A" w:rsidR="00D47221" w:rsidRPr="00671044" w:rsidRDefault="00D47221" w:rsidP="00D47221">
      <w:pPr>
        <w:rPr>
          <w:rFonts w:asciiTheme="minorHAnsi" w:hAnsiTheme="minorHAnsi"/>
        </w:rPr>
      </w:pPr>
      <w:r>
        <w:rPr>
          <w:rFonts w:asciiTheme="minorHAnsi" w:hAnsiTheme="minorHAnsi"/>
        </w:rPr>
        <w:t>An account of post-market safety reports for eight adverse events of interest (rhabdomyolysis, malignancy, gall bladder disorders, interstitial lung disease, haemorrhagic stroke, pancreatitis, acute renal failure and hypersensitivity) for patients treated with ezetimibe/atorvastatin were included in the submission and did not indicate any new safety signals for this combination of products, however this summary did not include an analysis of the safety of ezetimibe and atorvastatin alone.</w:t>
      </w:r>
    </w:p>
    <w:p w14:paraId="313CB442" w14:textId="5E48D3BD" w:rsidR="00D47221" w:rsidRPr="003953EB" w:rsidRDefault="00D47221" w:rsidP="00D47221">
      <w:pPr>
        <w:rPr>
          <w:rFonts w:asciiTheme="minorHAnsi" w:hAnsiTheme="minorHAnsi"/>
        </w:rPr>
      </w:pPr>
      <w:r w:rsidRPr="003953EB">
        <w:rPr>
          <w:rFonts w:asciiTheme="minorHAnsi" w:hAnsiTheme="minorHAnsi"/>
        </w:rPr>
        <w:lastRenderedPageBreak/>
        <w:t xml:space="preserve">The sponsor </w:t>
      </w:r>
      <w:r>
        <w:rPr>
          <w:rFonts w:asciiTheme="minorHAnsi" w:hAnsiTheme="minorHAnsi"/>
        </w:rPr>
        <w:t>has provided a justification that the findings of the IMPROVE-IT study can be extrapolated to the combination of atorvastatin and ezetimibe to support its proposed new indication for Atozet, and in the response to the Round 2 clinical evaluation reports has noted</w:t>
      </w:r>
      <w:r w:rsidR="00931980">
        <w:rPr>
          <w:rFonts w:asciiTheme="minorHAnsi" w:hAnsiTheme="minorHAnsi"/>
        </w:rPr>
        <w:t xml:space="preserve"> the conclusions of the appeal D</w:t>
      </w:r>
      <w:r>
        <w:rPr>
          <w:rFonts w:asciiTheme="minorHAnsi" w:hAnsiTheme="minorHAnsi"/>
        </w:rPr>
        <w:t>elegate in resolving the issues of extrapolation and dose range.</w:t>
      </w:r>
    </w:p>
    <w:p w14:paraId="00DC14DB" w14:textId="77777777" w:rsidR="008E7846" w:rsidRDefault="00386150" w:rsidP="007B6132">
      <w:pPr>
        <w:pStyle w:val="Heading3"/>
        <w:rPr>
          <w:lang w:eastAsia="en-AU"/>
        </w:rPr>
      </w:pPr>
      <w:bookmarkStart w:id="189" w:name="_Toc484783896"/>
      <w:r>
        <w:rPr>
          <w:lang w:eastAsia="en-AU"/>
        </w:rPr>
        <w:t>Risk m</w:t>
      </w:r>
      <w:r w:rsidR="008E7846">
        <w:rPr>
          <w:lang w:eastAsia="en-AU"/>
        </w:rPr>
        <w:t xml:space="preserve">anagement </w:t>
      </w:r>
      <w:r>
        <w:rPr>
          <w:lang w:eastAsia="en-AU"/>
        </w:rPr>
        <w:t>p</w:t>
      </w:r>
      <w:r w:rsidR="008E7846">
        <w:rPr>
          <w:lang w:eastAsia="en-AU"/>
        </w:rPr>
        <w:t>lan</w:t>
      </w:r>
      <w:bookmarkEnd w:id="188"/>
      <w:bookmarkEnd w:id="189"/>
    </w:p>
    <w:p w14:paraId="3088A2BF" w14:textId="77777777" w:rsidR="00FF7EF3" w:rsidRDefault="00D47221" w:rsidP="00D47221">
      <w:r w:rsidRPr="00D47221">
        <w:t>The Pharmacovigilance and Specia</w:t>
      </w:r>
      <w:r w:rsidR="000A3902">
        <w:t xml:space="preserve">l Access Branch </w:t>
      </w:r>
      <w:r w:rsidR="00931980">
        <w:t xml:space="preserve">at TGA </w:t>
      </w:r>
      <w:r w:rsidR="000A3902">
        <w:t>has reviewed EU-</w:t>
      </w:r>
      <w:r w:rsidR="000640AB">
        <w:t>RMP version 4.0</w:t>
      </w:r>
      <w:r w:rsidRPr="00D47221">
        <w:t>. Th</w:t>
      </w:r>
      <w:r w:rsidR="000640AB">
        <w:t>e sponsor intends to provide EU-</w:t>
      </w:r>
      <w:r w:rsidRPr="00D47221">
        <w:t>RMP version 4.2 and an updated ASA prior to finalisation of this submission.  The RMP evaluator referred sponsor’s removal of malignancy from the Sum</w:t>
      </w:r>
      <w:r w:rsidR="000640AB">
        <w:t>mary of Safety Concerns to the D</w:t>
      </w:r>
      <w:r w:rsidRPr="00D47221">
        <w:t>elegate for consideration. The sponsor is encouraged to resolve any outstanding matters with the RMP team following the submission of these new documents</w:t>
      </w:r>
      <w:r w:rsidR="00FF7EF3">
        <w:t>.</w:t>
      </w:r>
    </w:p>
    <w:p w14:paraId="51FBD7E3" w14:textId="75D2BC24" w:rsidR="008E7846" w:rsidRDefault="00AA0ED0" w:rsidP="008E7846">
      <w:pPr>
        <w:pStyle w:val="Heading3"/>
      </w:pPr>
      <w:bookmarkStart w:id="190" w:name="_Toc247691531"/>
      <w:bookmarkStart w:id="191" w:name="_Toc314842515"/>
      <w:bookmarkStart w:id="192" w:name="_Toc484783897"/>
      <w:bookmarkStart w:id="193" w:name="_Toc196046505"/>
      <w:bookmarkStart w:id="194" w:name="_Toc196046949"/>
      <w:r>
        <w:t>Risk-benefit a</w:t>
      </w:r>
      <w:r w:rsidR="008E7846">
        <w:t>nalysis</w:t>
      </w:r>
      <w:bookmarkEnd w:id="190"/>
      <w:bookmarkEnd w:id="191"/>
      <w:bookmarkEnd w:id="192"/>
    </w:p>
    <w:p w14:paraId="4596051B" w14:textId="77777777" w:rsidR="00D23139" w:rsidRDefault="00D23139" w:rsidP="00D23139">
      <w:pPr>
        <w:pStyle w:val="Heading4"/>
      </w:pPr>
      <w:r w:rsidRPr="00D23139">
        <w:t xml:space="preserve">Delegate’s considerations </w:t>
      </w:r>
    </w:p>
    <w:p w14:paraId="7768877C" w14:textId="77777777" w:rsidR="00FF7EF3" w:rsidRDefault="00D47221" w:rsidP="00D47221">
      <w:r>
        <w:t>The efficacy of the combination of ezetimibe and atorvastatin and the safety of the combination of these products has been established in previous</w:t>
      </w:r>
      <w:r w:rsidR="000640AB">
        <w:t xml:space="preserve"> submissions. </w:t>
      </w:r>
      <w:r>
        <w:t>Atorvastatin is indicated to reduce the risk of non-fatal myocardial infarction and nonfatal stroke in hypertensive patients with multiple risk factors for CHD</w:t>
      </w:r>
      <w:r w:rsidRPr="006B49FD">
        <w:t xml:space="preserve"> </w:t>
      </w:r>
      <w:r>
        <w:t>but the approved indication for Atozet does not include any claims of cardiovascular benefit for the combination of ezetimibe and atorvastatin. Safety is monitored through post-market activities and no new safety concerns have been identified for this population using the combination of ezetimibe and atorvastatin from the safety data provided in the submission</w:t>
      </w:r>
      <w:r w:rsidR="00FF7EF3">
        <w:t>.</w:t>
      </w:r>
    </w:p>
    <w:p w14:paraId="112976D5" w14:textId="04D841FF" w:rsidR="00D47221" w:rsidRDefault="00D47221" w:rsidP="00D47221">
      <w:r>
        <w:t>No direct evidence of the cardiovascular benefit from adding ezetimibe to atorvastatin has been presented to support the requested new indication. The sponsor’s requested indication extends the population beyond the recently approved indications for Ezetrol and Vytorin that are restricted to patients with CHD and an ACS. As noted previously, these indications are based on evidence provided by a single clinical trial, the IMPROVE-IT study that demonstrated a 1.6% ARR and 6.4% RRR in cardiovascular events in patients taking ezetimibe and simvastatin compared to simvastatin alone over 7 years of therapy.</w:t>
      </w:r>
    </w:p>
    <w:p w14:paraId="49AA1D2C" w14:textId="77777777" w:rsidR="00FF7EF3" w:rsidRDefault="00D47221" w:rsidP="00D47221">
      <w:pPr>
        <w:rPr>
          <w:i/>
        </w:rPr>
      </w:pPr>
      <w:r>
        <w:t>The new indication for Ezetrol allows an extrapolation of the results of the IMPROVE-IT study to all statins registered in Australia with a demonstrated cardiovascular benefit. Atorvastatin is a statin with some cardiovascular benefit, as noted by a reduction in nonfatal MI and nonfatal stroke in the currently approved indications, so it may follow that this extrapolation could extend to Atozet.</w:t>
      </w:r>
      <w:r>
        <w:rPr>
          <w:i/>
        </w:rPr>
        <w:t xml:space="preserve"> </w:t>
      </w:r>
      <w:r>
        <w:t xml:space="preserve">The </w:t>
      </w:r>
      <w:r w:rsidR="000640AB">
        <w:t>sponsor in its response to the second round clinical evaluation r</w:t>
      </w:r>
      <w:r>
        <w:t xml:space="preserve">eport </w:t>
      </w:r>
      <w:r w:rsidRPr="0050548D">
        <w:rPr>
          <w:i/>
        </w:rPr>
        <w:t>contends this conclusion supports the approval of Atozet under the same conditions as for the approval of Ezetrol since atorvastatin meets the criteria of a ‘statin with proven cardiovascular benefits’</w:t>
      </w:r>
      <w:r w:rsidR="00FF7EF3">
        <w:rPr>
          <w:i/>
        </w:rPr>
        <w:t>.</w:t>
      </w:r>
    </w:p>
    <w:p w14:paraId="3D6DE219" w14:textId="00229491" w:rsidR="00D47221" w:rsidRDefault="00D47221" w:rsidP="00D47221">
      <w:r>
        <w:t>The new indication for Ezetrol indicates the modest benefit of adding ezetimibe to the ‘</w:t>
      </w:r>
      <w:r w:rsidRPr="00002ADE">
        <w:rPr>
          <w:i/>
        </w:rPr>
        <w:t>maximum tolerated dose of a statin with proven cardiovascular benefit’</w:t>
      </w:r>
      <w:r>
        <w:t>. There is no direct evidence to support an additional benefit from ezetimibe with the full range of doses for Atozet or the full range of doses of simvastatin, however it is difficult to contend the ‘</w:t>
      </w:r>
      <w:r w:rsidRPr="00002ADE">
        <w:rPr>
          <w:i/>
        </w:rPr>
        <w:t>maximum tolerated dose of statin’</w:t>
      </w:r>
      <w:r>
        <w:rPr>
          <w:i/>
        </w:rPr>
        <w:t xml:space="preserve"> </w:t>
      </w:r>
      <w:r>
        <w:t xml:space="preserve">in the Ezetrol indication </w:t>
      </w:r>
      <w:r w:rsidRPr="00002ADE">
        <w:t xml:space="preserve">does </w:t>
      </w:r>
      <w:r>
        <w:t>not fit within an approved dose range of atorvastatin or that any one of the dose combinations of Atozet could not be the maximally tolerated dose for an individual patient. Therefore the approved indication for Ezetrol as it relates to statin dose could include the dose range of atorvastatin.</w:t>
      </w:r>
      <w:r w:rsidRPr="00002ADE">
        <w:t xml:space="preserve"> </w:t>
      </w:r>
      <w:r>
        <w:t>The sponsor proposes the same dosage regimens will apply as currently approved for the currently approved combination product.</w:t>
      </w:r>
    </w:p>
    <w:p w14:paraId="6491F57E" w14:textId="77777777" w:rsidR="00FF7EF3" w:rsidRDefault="00D47221" w:rsidP="00D47221">
      <w:r>
        <w:lastRenderedPageBreak/>
        <w:t>The key concern is that the sponsor is extrapolating of the findings for ezetimibe from the IMPROVE-IT study, in the absence of additional evidence of a demonstrated cardiovascular benefit for ezetimibe with atorvastatin, not only to patients with CHD and ACS but to all patients with CHD. The IMPROVE-IT study required the patients to have an ACS event as an inclusion criterion. The sponsor has not demonstrated an additional cardiovascular benefit for the combination of simvastatin and ezetimibe for all patients with CHD. The sponsor did not include studies demonstrating cardiovascular benefit for atorvastatin in the submission and has relied on previously evaluated studies that are reported in the PI for atorvastatin and Atozet. In addition, the proposed indication itemises the cardiovascular benefits based on the composite primary endpoint of the IMPROVE-IT study, including a reduction in cardiovascular mortality. The Atozet PI specifically states in the description of the ASCOT study that a statistically significant reduction in cardiovascular mortality was not seen in the atorvastatin group compared to placebo. An improvement in cardiovascular mortality with ezetimibe was not demonstrated in the IMPROVE-IT study</w:t>
      </w:r>
      <w:r w:rsidR="00FF7EF3">
        <w:t>.</w:t>
      </w:r>
    </w:p>
    <w:p w14:paraId="33B8CD3A" w14:textId="77777777" w:rsidR="00FF7EF3" w:rsidRDefault="00D47221" w:rsidP="00D47221">
      <w:r>
        <w:t xml:space="preserve">Patients may already be prescribed ezetimibe and atorvastatin to achieve lower LDL-C than with a single agent and the current indication may include patients with CHD and ACS. Patients would not be disadvantaged by a restriction of the claims of benefit to align with the recently approved indication for </w:t>
      </w:r>
      <w:proofErr w:type="spellStart"/>
      <w:r>
        <w:t>Ezetrol</w:t>
      </w:r>
      <w:proofErr w:type="spellEnd"/>
      <w:r w:rsidR="00FF7EF3">
        <w:t>.</w:t>
      </w:r>
    </w:p>
    <w:p w14:paraId="2263F9A8" w14:textId="77777777" w:rsidR="00FF7EF3" w:rsidRDefault="00D47221" w:rsidP="00D47221">
      <w:r>
        <w:t>No direct evidence has been provided for the whole population in the claimed indication and only indirect evidence has been provided of a modest benefit after prolonged therapy for the studied population with a combination of ezetimibe and simvastatin over simvastatin from a single clinical study.  The sponsor’s requested extension of indication as stated in the letter of application is not supported</w:t>
      </w:r>
      <w:r w:rsidR="00FF7EF3">
        <w:t>.</w:t>
      </w:r>
    </w:p>
    <w:p w14:paraId="3FCFE64D" w14:textId="53A6003D" w:rsidR="00D47221" w:rsidRDefault="00D47221" w:rsidP="003065F2">
      <w:pPr>
        <w:pStyle w:val="Heading5"/>
      </w:pPr>
      <w:r w:rsidRPr="00391499">
        <w:t>Data deficiencies</w:t>
      </w:r>
    </w:p>
    <w:p w14:paraId="25C2F6E9" w14:textId="77777777" w:rsidR="00D47221" w:rsidRDefault="00D47221" w:rsidP="00D47221">
      <w:r>
        <w:t>The prominent data deficiency is the lack of direct data for the ezetimibe atorvastatin combination product to support the claims stated in the indication. The sponsor relies on a recent submission, a study with a related but not identical statin, and a good deal of extrapolation to support its proposed indication.</w:t>
      </w:r>
    </w:p>
    <w:p w14:paraId="43870171" w14:textId="77777777" w:rsidR="00D47221" w:rsidRDefault="00D47221" w:rsidP="003065F2">
      <w:pPr>
        <w:pStyle w:val="Heading5"/>
      </w:pPr>
      <w:r w:rsidRPr="00391499">
        <w:t>Indication</w:t>
      </w:r>
    </w:p>
    <w:p w14:paraId="2D4F19C1" w14:textId="77777777" w:rsidR="00D47221" w:rsidRDefault="00D47221" w:rsidP="00D47221">
      <w:r>
        <w:rPr>
          <w:rFonts w:ascii="Cambria Math" w:hAnsi="Cambria Math" w:cs="Cambria Math"/>
          <w:bCs/>
        </w:rPr>
        <w:t xml:space="preserve">The sponsor has requested an indication that is broader than the current indication for </w:t>
      </w:r>
      <w:r w:rsidRPr="00E64F21">
        <w:rPr>
          <w:rFonts w:ascii="Cambria Math" w:hAnsi="Cambria Math" w:cs="Cambria Math"/>
          <w:bCs/>
        </w:rPr>
        <w:t>atorvastatin and for ezetimibe without substantiating supportive evidence.</w:t>
      </w:r>
      <w:r w:rsidRPr="00E64F21">
        <w:t xml:space="preserve"> For the reasons outlined above the sponsor’s proposed indication is not supported. </w:t>
      </w:r>
      <w:r>
        <w:t>Subject to the advice of the ACM the</w:t>
      </w:r>
      <w:r w:rsidRPr="00E64F21">
        <w:t xml:space="preserve"> sponsor could consider alternative wording to amend</w:t>
      </w:r>
      <w:r>
        <w:t xml:space="preserve"> the</w:t>
      </w:r>
      <w:r w:rsidRPr="00E64F21">
        <w:t xml:space="preserve"> indication to align with the Ezetrol and Lipitor indications, consistent with the extrapolations implied in the Ezetrol indication</w:t>
      </w:r>
      <w:r>
        <w:t xml:space="preserve">.  </w:t>
      </w:r>
    </w:p>
    <w:p w14:paraId="4E9BC273" w14:textId="77777777" w:rsidR="00D47221" w:rsidRPr="00217F7D" w:rsidRDefault="00D47221" w:rsidP="003065F2">
      <w:pPr>
        <w:pStyle w:val="Heading5"/>
      </w:pPr>
      <w:r w:rsidRPr="00217F7D">
        <w:t xml:space="preserve">Conditions of </w:t>
      </w:r>
      <w:r w:rsidR="003065F2">
        <w:t>r</w:t>
      </w:r>
      <w:r w:rsidRPr="00217F7D">
        <w:t>egistration</w:t>
      </w:r>
    </w:p>
    <w:p w14:paraId="2EE8FD37" w14:textId="77777777" w:rsidR="00FF7EF3" w:rsidRDefault="00D47221" w:rsidP="00D47221">
      <w:pPr>
        <w:spacing w:before="0" w:after="0" w:line="240" w:lineRule="auto"/>
        <w:rPr>
          <w:rFonts w:asciiTheme="minorHAnsi" w:hAnsiTheme="minorHAnsi"/>
        </w:rPr>
      </w:pPr>
      <w:r>
        <w:rPr>
          <w:rFonts w:asciiTheme="minorHAnsi" w:hAnsiTheme="minorHAnsi"/>
        </w:rPr>
        <w:t>There will be a RMP condition imposed if the submission is approved. The sponsor has indicated to the RMP team an updated RMP and ASA will be provided within the current submission</w:t>
      </w:r>
      <w:r w:rsidR="00FF7EF3">
        <w:rPr>
          <w:rFonts w:asciiTheme="minorHAnsi" w:hAnsiTheme="minorHAnsi"/>
        </w:rPr>
        <w:t>.</w:t>
      </w:r>
    </w:p>
    <w:p w14:paraId="62F45834" w14:textId="706D5F2C" w:rsidR="00D47221" w:rsidRDefault="00D47221" w:rsidP="00D47221">
      <w:pPr>
        <w:spacing w:before="0" w:after="0" w:line="240" w:lineRule="auto"/>
        <w:rPr>
          <w:rFonts w:asciiTheme="minorHAnsi" w:hAnsiTheme="minorHAnsi"/>
        </w:rPr>
      </w:pPr>
    </w:p>
    <w:p w14:paraId="52E8B00F" w14:textId="77777777" w:rsidR="00D47221" w:rsidRDefault="00D47221" w:rsidP="003065F2">
      <w:pPr>
        <w:pStyle w:val="Heading5"/>
      </w:pPr>
      <w:r w:rsidRPr="006E681E">
        <w:t>Questions for the sponsor</w:t>
      </w:r>
    </w:p>
    <w:p w14:paraId="2EBAC12B" w14:textId="77777777" w:rsidR="00FF7EF3" w:rsidRDefault="00D47221" w:rsidP="003065F2">
      <w:pPr>
        <w:pStyle w:val="ListBullet"/>
      </w:pPr>
      <w:r w:rsidRPr="003065F2">
        <w:t xml:space="preserve">The conclusion of the Delegate is that there is insufficient evidence to support the proposed extension of indication in the submission. Please provide the sponsor’s view of an alternative indication that to align the wording of the indication, including the cardiovascular outcomes claim, with that of </w:t>
      </w:r>
      <w:proofErr w:type="spellStart"/>
      <w:r w:rsidRPr="003065F2">
        <w:t>Ezetrol</w:t>
      </w:r>
      <w:proofErr w:type="spellEnd"/>
      <w:r w:rsidRPr="003065F2">
        <w:t xml:space="preserve"> and </w:t>
      </w:r>
      <w:proofErr w:type="spellStart"/>
      <w:r w:rsidRPr="003065F2">
        <w:t>Vytorin</w:t>
      </w:r>
      <w:proofErr w:type="spellEnd"/>
      <w:r w:rsidR="00FF7EF3">
        <w:t>.</w:t>
      </w:r>
    </w:p>
    <w:p w14:paraId="63A9627D" w14:textId="3B4705EA" w:rsidR="003577DF" w:rsidRDefault="003577DF" w:rsidP="00D23139">
      <w:pPr>
        <w:pStyle w:val="Heading4"/>
      </w:pPr>
      <w:r>
        <w:lastRenderedPageBreak/>
        <w:t>Summary of issues</w:t>
      </w:r>
    </w:p>
    <w:p w14:paraId="5C8F9D7D" w14:textId="77777777" w:rsidR="00FF7EF3" w:rsidRDefault="003577DF" w:rsidP="003577DF">
      <w:r w:rsidRPr="003577DF">
        <w:t>There is no direct clinical evidence to support the proposed indication for ezetimibe/atorvastatin</w:t>
      </w:r>
      <w:r w:rsidR="00FF7EF3">
        <w:t>.</w:t>
      </w:r>
    </w:p>
    <w:p w14:paraId="12448D92" w14:textId="4D915C52" w:rsidR="003577DF" w:rsidRPr="003577DF" w:rsidRDefault="003577DF" w:rsidP="003577DF">
      <w:r w:rsidRPr="003577DF">
        <w:t>Efficacy is extrapolated from a single study comparing ezetimibe and simvastatin with simvastatin alone in patients with an acute ACS and elevated LDL-C with a modest reduction in a composite cardiovascular outcome after 7 years of therapy.</w:t>
      </w:r>
    </w:p>
    <w:p w14:paraId="6AF7D00F" w14:textId="77777777" w:rsidR="003577DF" w:rsidRPr="003577DF" w:rsidRDefault="003577DF" w:rsidP="003577DF">
      <w:r w:rsidRPr="003577DF">
        <w:t>The proposed indication also extrapolates the efficacy to a population outside the reference study.</w:t>
      </w:r>
    </w:p>
    <w:p w14:paraId="3FF5CE3A" w14:textId="77777777" w:rsidR="00D23139" w:rsidRDefault="00D23139" w:rsidP="00D23139">
      <w:pPr>
        <w:pStyle w:val="Heading4"/>
      </w:pPr>
      <w:r w:rsidRPr="00D23139">
        <w:t>Proposed action</w:t>
      </w:r>
    </w:p>
    <w:p w14:paraId="53F56DCC" w14:textId="77777777" w:rsidR="003577DF" w:rsidRPr="001F5803" w:rsidRDefault="003577DF" w:rsidP="001F5803">
      <w:r w:rsidRPr="001F5803">
        <w:t xml:space="preserve">The Delegate is not in a position to say, at this time, that the application for ezetimibe/atorvastatin (Atozet/Zeteze) should be approved for the requested indication.  </w:t>
      </w:r>
    </w:p>
    <w:p w14:paraId="09820613" w14:textId="77777777" w:rsidR="003577DF" w:rsidRPr="001F5803" w:rsidRDefault="00091310" w:rsidP="001F5803">
      <w:pPr>
        <w:ind w:left="720"/>
        <w:rPr>
          <w:i/>
        </w:rPr>
      </w:pPr>
      <w:r>
        <w:rPr>
          <w:i/>
        </w:rPr>
        <w:t>Atozet/Zeteze</w:t>
      </w:r>
      <w:r w:rsidR="003577DF" w:rsidRPr="001F5803">
        <w:rPr>
          <w:i/>
        </w:rPr>
        <w:t xml:space="preserve"> is indicated to reduce the risk of cardiovascular events (cardiovascular death, nonfatal myocardial infarction, nonfatal stroke, hospitalisation for unstable angina, or need for revascularisation) in patients with coronary heart disease (CHD)).</w:t>
      </w:r>
    </w:p>
    <w:p w14:paraId="5C2FCE02" w14:textId="77777777" w:rsidR="00232A97" w:rsidRPr="001F5803" w:rsidRDefault="003577DF" w:rsidP="001F5803">
      <w:r w:rsidRPr="001F5803">
        <w:t>The sponsor has requested an indication that is broader than the current indication for atorvastatin and for ezetimibe without substantiating supportive evidence.</w:t>
      </w:r>
    </w:p>
    <w:p w14:paraId="30FF0B07" w14:textId="77777777" w:rsidR="00D23139" w:rsidRDefault="00CC46F1" w:rsidP="00D23139">
      <w:pPr>
        <w:pStyle w:val="Heading4"/>
      </w:pPr>
      <w:r>
        <w:t>Request for AC</w:t>
      </w:r>
      <w:r w:rsidR="00D23139" w:rsidRPr="00D23139">
        <w:t>M advice</w:t>
      </w:r>
    </w:p>
    <w:p w14:paraId="4356DF63" w14:textId="77777777" w:rsidR="001F5803" w:rsidRPr="003577DF" w:rsidRDefault="001F5803" w:rsidP="001F5803">
      <w:r w:rsidRPr="003577DF">
        <w:t>The committee is requested to provide advice on the following specific issue</w:t>
      </w:r>
      <w:r w:rsidR="00CC46F1">
        <w:t>s</w:t>
      </w:r>
      <w:r w:rsidRPr="003577DF">
        <w:t>:</w:t>
      </w:r>
    </w:p>
    <w:p w14:paraId="76C4BC9E" w14:textId="77777777" w:rsidR="001F5803" w:rsidRPr="00CC46F1" w:rsidRDefault="00CC46F1" w:rsidP="00CC46F1">
      <w:pPr>
        <w:ind w:left="720"/>
        <w:rPr>
          <w:i/>
        </w:rPr>
      </w:pPr>
      <w:r w:rsidRPr="00CC46F1">
        <w:rPr>
          <w:i/>
        </w:rPr>
        <w:t xml:space="preserve">1. </w:t>
      </w:r>
      <w:r w:rsidR="001F5803" w:rsidRPr="00CC46F1">
        <w:rPr>
          <w:i/>
        </w:rPr>
        <w:t>A number of extrapolations underpin the sponsor’s proposed new indication for Atozet/Zeteze (see above). Please comment on whether the sponsor has provided sufficient justification for these extrapolations in support of its proposed indication.</w:t>
      </w:r>
    </w:p>
    <w:p w14:paraId="7484E990" w14:textId="77777777" w:rsidR="001F5803" w:rsidRPr="00CC46F1" w:rsidRDefault="00CC46F1" w:rsidP="00CC46F1">
      <w:pPr>
        <w:ind w:left="720"/>
      </w:pPr>
      <w:r w:rsidRPr="00CC46F1">
        <w:rPr>
          <w:i/>
        </w:rPr>
        <w:t xml:space="preserve">2. </w:t>
      </w:r>
      <w:r w:rsidR="001F5803" w:rsidRPr="00CC46F1">
        <w:rPr>
          <w:i/>
        </w:rPr>
        <w:t>The committee is (also) requested to provide advice on any other issues that it thinks may be relevant to a decision on whether or not to approve this application.</w:t>
      </w:r>
    </w:p>
    <w:p w14:paraId="2A01365F" w14:textId="77777777" w:rsidR="00D23139" w:rsidRDefault="00232A97" w:rsidP="00D23139">
      <w:pPr>
        <w:pStyle w:val="Heading4"/>
      </w:pPr>
      <w:r>
        <w:t>Response from s</w:t>
      </w:r>
      <w:r w:rsidR="00D23139" w:rsidRPr="00D23139">
        <w:t xml:space="preserve">ponsor </w:t>
      </w:r>
    </w:p>
    <w:p w14:paraId="0B8F9423" w14:textId="44FBC605" w:rsidR="00AB2D86" w:rsidRDefault="009A7CBE" w:rsidP="00232A97">
      <w:r>
        <w:t xml:space="preserve">MSD </w:t>
      </w:r>
      <w:r w:rsidR="00AB2D86" w:rsidRPr="00AB2D86">
        <w:t xml:space="preserve">acknowledges the Delegate’s concerns regarding the originally proposed indication in this submission, </w:t>
      </w:r>
      <w:r w:rsidR="00091310">
        <w:t>Atozet/Zeteze</w:t>
      </w:r>
      <w:r w:rsidR="00AB2D86" w:rsidRPr="00AB2D86">
        <w:t xml:space="preserve"> is indica</w:t>
      </w:r>
      <w:r>
        <w:t xml:space="preserve">ted to reduce the risk of CV events (CV </w:t>
      </w:r>
      <w:r w:rsidR="00AB2D86" w:rsidRPr="00AB2D86">
        <w:t xml:space="preserve">death, nonfatal myocardial infarction, nonfatal stroke, hospitalisation for </w:t>
      </w:r>
      <w:r w:rsidR="000C78C0">
        <w:t>UA</w:t>
      </w:r>
      <w:r w:rsidR="00AB2D86" w:rsidRPr="00AB2D86">
        <w:t>, or need for revascularisation) in patients w</w:t>
      </w:r>
      <w:r>
        <w:t>ith CHD</w:t>
      </w:r>
      <w:r w:rsidR="00AB2D86" w:rsidRPr="00AB2D86">
        <w:t>), but believes that modification of the indication to align with the approved indications for Ezetrol and Vytorin for Prevention of Cardiovascular Disease addresses these concerns.</w:t>
      </w:r>
    </w:p>
    <w:p w14:paraId="1E32A9FB" w14:textId="3FA84DAF" w:rsidR="00AB2D86" w:rsidRDefault="00AB2D86" w:rsidP="00232A97">
      <w:r w:rsidRPr="00AB2D86">
        <w:t>Consistent with the Delegat</w:t>
      </w:r>
      <w:r w:rsidR="007B76C3">
        <w:t>e’s request</w:t>
      </w:r>
      <w:r w:rsidRPr="00AB2D86">
        <w:t>, MSD proposes the following modifie</w:t>
      </w:r>
      <w:r>
        <w:t>d indication for Atozet/Zeteze:</w:t>
      </w:r>
    </w:p>
    <w:p w14:paraId="18AFBC8E" w14:textId="77777777" w:rsidR="00AB2D86" w:rsidRPr="00AB2D86" w:rsidRDefault="00AB2D86" w:rsidP="00AB2D86">
      <w:pPr>
        <w:ind w:left="720"/>
        <w:rPr>
          <w:i/>
        </w:rPr>
      </w:pPr>
      <w:r w:rsidRPr="00AB2D86">
        <w:rPr>
          <w:i/>
        </w:rPr>
        <w:t>Prevention of Cardiovascular Disease</w:t>
      </w:r>
    </w:p>
    <w:p w14:paraId="28E15A2C" w14:textId="77777777" w:rsidR="00AB2D86" w:rsidRDefault="00091310" w:rsidP="00AB2D86">
      <w:pPr>
        <w:ind w:left="720"/>
      </w:pPr>
      <w:r>
        <w:rPr>
          <w:i/>
        </w:rPr>
        <w:t>Atozet/Zeteze</w:t>
      </w:r>
      <w:r w:rsidR="00AB2D86" w:rsidRPr="00AB2D86">
        <w:rPr>
          <w:i/>
        </w:rPr>
        <w:t xml:space="preserve"> is indicated in patients with coronary heart disease (CHD) and a history of acute coronary syndrome (ACS) taking their maximum tolerated dose of atorvastatin and in need of additional lowering of LDL-C in the expectation of a modest further reduction in the risk of cardiovascular events following at least one year of therapy (see Clinical Trials).</w:t>
      </w:r>
    </w:p>
    <w:p w14:paraId="684D0181" w14:textId="2A99F5A7" w:rsidR="00CE0C8B" w:rsidRDefault="00AB2D86" w:rsidP="00232A97">
      <w:r w:rsidRPr="00AB2D86">
        <w:t>MSD has also, in accordance with the Delegate</w:t>
      </w:r>
      <w:r w:rsidR="007B76C3">
        <w:t>’s request,</w:t>
      </w:r>
      <w:r w:rsidRPr="00AB2D86">
        <w:t xml:space="preserve"> aligned the IMPROVE-IT clinical trial description in the Atozet/Zeteze PI with that approved in t</w:t>
      </w:r>
      <w:r w:rsidR="00CE0C8B">
        <w:t>he Ezetrol PI.</w:t>
      </w:r>
    </w:p>
    <w:p w14:paraId="6D3FA28E" w14:textId="77777777" w:rsidR="00232A97" w:rsidRDefault="00AB2D86" w:rsidP="00232A97">
      <w:r w:rsidRPr="00AB2D86">
        <w:t>In addition, MSD provides the following comments on issues presented in the Delegate’s request for ACM’s advice.</w:t>
      </w:r>
    </w:p>
    <w:p w14:paraId="3D4C029E" w14:textId="77777777" w:rsidR="00CE0C8B" w:rsidRDefault="00CE0C8B" w:rsidP="000B1C50">
      <w:pPr>
        <w:pStyle w:val="Heading5"/>
      </w:pPr>
      <w:r w:rsidRPr="00CE0C8B">
        <w:lastRenderedPageBreak/>
        <w:t xml:space="preserve">1. Evidence to </w:t>
      </w:r>
      <w:r w:rsidR="000B1C50">
        <w:t>s</w:t>
      </w:r>
      <w:r w:rsidRPr="00CE0C8B">
        <w:t xml:space="preserve">upport the </w:t>
      </w:r>
      <w:r w:rsidR="004A4E1F">
        <w:t>p</w:t>
      </w:r>
      <w:r w:rsidRPr="00CE0C8B">
        <w:t xml:space="preserve">roposed </w:t>
      </w:r>
      <w:r w:rsidR="004A4E1F">
        <w:t>i</w:t>
      </w:r>
      <w:r w:rsidRPr="00CE0C8B">
        <w:t>ndica</w:t>
      </w:r>
      <w:r>
        <w:t>tion for ezetimibe/atorvastatin</w:t>
      </w:r>
    </w:p>
    <w:p w14:paraId="280D49EE" w14:textId="77777777" w:rsidR="00CE0C8B" w:rsidRDefault="00CE0C8B" w:rsidP="00232A97">
      <w:r w:rsidRPr="00CE0C8B">
        <w:t>The Delegate has expressed concerns regarding the applicability of the results of the IMPROVE-IT trial to Atozet given that the statin used</w:t>
      </w:r>
      <w:r>
        <w:t xml:space="preserve"> in the trial was simvastatin:</w:t>
      </w:r>
    </w:p>
    <w:p w14:paraId="20DA03D5" w14:textId="77777777" w:rsidR="00CE0C8B" w:rsidRPr="00CE0C8B" w:rsidRDefault="00CE0C8B" w:rsidP="00CE0C8B">
      <w:pPr>
        <w:ind w:left="720"/>
        <w:rPr>
          <w:i/>
        </w:rPr>
      </w:pPr>
      <w:r w:rsidRPr="00CE0C8B">
        <w:rPr>
          <w:i/>
        </w:rPr>
        <w:t>No direct evidence of the cardiovascular benefit from adding ezetimibe to atorvastatin has been presented to support the requested new indication.</w:t>
      </w:r>
    </w:p>
    <w:p w14:paraId="66D1CA15" w14:textId="511DF15A" w:rsidR="00CE0C8B" w:rsidRDefault="00CE0C8B" w:rsidP="00232A97">
      <w:r w:rsidRPr="00CE0C8B">
        <w:t>This concern was also raised during the TGA evaluation of the related extension of indication submission for Ezetrol (PM-2015-01524-1-3) and was a contributing factor in the Delegate’s initial decision to not register Ezetrol for the proposed indication. However, this initia</w:t>
      </w:r>
      <w:r w:rsidR="005A5E16">
        <w:t>l decision was overturned by</w:t>
      </w:r>
      <w:r w:rsidRPr="00CE0C8B">
        <w:t xml:space="preserve"> TGA following MSD’s appeal under Section 60 of the </w:t>
      </w:r>
      <w:r w:rsidRPr="007B76C3">
        <w:rPr>
          <w:i/>
        </w:rPr>
        <w:t>Therapeutic Good</w:t>
      </w:r>
      <w:r w:rsidR="007B76C3" w:rsidRPr="007B76C3">
        <w:rPr>
          <w:i/>
        </w:rPr>
        <w:t>s</w:t>
      </w:r>
      <w:r w:rsidRPr="007B76C3">
        <w:rPr>
          <w:i/>
        </w:rPr>
        <w:t xml:space="preserve"> Act 1989</w:t>
      </w:r>
      <w:r w:rsidR="007B76C3">
        <w:t xml:space="preserve"> (dated </w:t>
      </w:r>
      <w:r w:rsidRPr="00CE0C8B">
        <w:t>Novembe</w:t>
      </w:r>
      <w:r w:rsidR="00C72CE4">
        <w:t>r 2016) (Section 60 appeal)</w:t>
      </w:r>
      <w:r w:rsidRPr="00CE0C8B">
        <w:t>. I</w:t>
      </w:r>
      <w:r w:rsidR="00C72CE4">
        <w:t>n the decision letter dated January 2017</w:t>
      </w:r>
      <w:r w:rsidRPr="00CE0C8B">
        <w:t>, the Section 60 reviewer voiced support for the use of ezetimibe with statins other than simvastatin:</w:t>
      </w:r>
    </w:p>
    <w:p w14:paraId="19428151" w14:textId="77777777" w:rsidR="004A4E1F" w:rsidRPr="004A4E1F" w:rsidRDefault="004A4E1F" w:rsidP="004A4E1F">
      <w:pPr>
        <w:ind w:left="720"/>
        <w:rPr>
          <w:i/>
        </w:rPr>
      </w:pPr>
      <w:r w:rsidRPr="004A4E1F">
        <w:rPr>
          <w:i/>
        </w:rPr>
        <w:t>I think that the body of available information suggests that it is likely that the combination of ezetimibe with a statin registered in Australia (a statin with proven cardiovascular benefits) would achieve similar clinical outcomes to those reported for combinations of ezetimibe and simvastatin in the IMPROVE-IT trial. It is important that prescribers are aware that this is an assumption as an IMPROVE-IT like study has not been conducted with any of the other statins registered in Australia. It is for this reason that the words “The incremental benefit is expected to be similar with co</w:t>
      </w:r>
      <w:r w:rsidR="00EF32B9">
        <w:rPr>
          <w:i/>
        </w:rPr>
        <w:t>-</w:t>
      </w:r>
      <w:r w:rsidRPr="004A4E1F">
        <w:rPr>
          <w:i/>
        </w:rPr>
        <w:t>administration of other statins shown to be effective in reducing the risk of cardiovascular events but this has not been demonstrated in studies similar to IMPROVE-IT” are to be included in the PI documents.</w:t>
      </w:r>
    </w:p>
    <w:p w14:paraId="2767B34E" w14:textId="7AA02580" w:rsidR="00EF32B9" w:rsidRDefault="004A4E1F" w:rsidP="00232A97">
      <w:r w:rsidRPr="004A4E1F">
        <w:t>In our request for S</w:t>
      </w:r>
      <w:r w:rsidR="00A44A36">
        <w:t xml:space="preserve">ection </w:t>
      </w:r>
      <w:r w:rsidRPr="004A4E1F">
        <w:t>60 review in relation to E</w:t>
      </w:r>
      <w:r w:rsidR="005A5E16">
        <w:t>zetrol and Vytorin</w:t>
      </w:r>
      <w:r w:rsidRPr="004A4E1F">
        <w:t>, MSD contended that there is a significant body of evidence to support the applicability of the findings from IMPROVE-IT to statins other</w:t>
      </w:r>
      <w:r w:rsidR="00EF32B9">
        <w:t xml:space="preserve"> than simvastatin, including:</w:t>
      </w:r>
    </w:p>
    <w:p w14:paraId="505677A0" w14:textId="2A860B64" w:rsidR="00EF32B9" w:rsidRDefault="004A4E1F" w:rsidP="00A44A36">
      <w:pPr>
        <w:pStyle w:val="ListBullet"/>
      </w:pPr>
      <w:r w:rsidRPr="004A4E1F">
        <w:t xml:space="preserve">the </w:t>
      </w:r>
      <w:r w:rsidR="00EF32B9">
        <w:t>ezetimibe mechanism of action</w:t>
      </w:r>
      <w:r w:rsidR="00D15CFD">
        <w:t>;</w:t>
      </w:r>
    </w:p>
    <w:p w14:paraId="2038091F" w14:textId="736FC4E8" w:rsidR="00EF32B9" w:rsidRDefault="004A4E1F" w:rsidP="00A44A36">
      <w:pPr>
        <w:pStyle w:val="ListBullet"/>
      </w:pPr>
      <w:r w:rsidRPr="004A4E1F">
        <w:t>the Cholesterol Treatment Trialists’ (C</w:t>
      </w:r>
      <w:r w:rsidR="00DD5263">
        <w:t>TT) meta-analyses</w:t>
      </w:r>
      <w:r w:rsidR="00D15CFD">
        <w:t>;</w:t>
      </w:r>
      <w:r w:rsidR="00DD5263">
        <w:rPr>
          <w:rStyle w:val="FootnoteReference"/>
        </w:rPr>
        <w:footnoteReference w:id="5"/>
      </w:r>
    </w:p>
    <w:p w14:paraId="20C2B57E" w14:textId="21E1E05C" w:rsidR="00EF32B9" w:rsidRDefault="004A4E1F" w:rsidP="00A44A36">
      <w:pPr>
        <w:pStyle w:val="ListBullet"/>
      </w:pPr>
      <w:r w:rsidRPr="004A4E1F">
        <w:t>a pooled analysis from</w:t>
      </w:r>
      <w:r w:rsidR="009774EE">
        <w:t xml:space="preserve"> 27 lipid-lowering trials</w:t>
      </w:r>
      <w:r w:rsidR="00D15CFD">
        <w:t>;</w:t>
      </w:r>
      <w:r w:rsidR="0086108A">
        <w:rPr>
          <w:rStyle w:val="FootnoteReference"/>
        </w:rPr>
        <w:footnoteReference w:id="6"/>
      </w:r>
    </w:p>
    <w:p w14:paraId="68B96455" w14:textId="7168E86F" w:rsidR="00EF32B9" w:rsidRDefault="004A4E1F" w:rsidP="00A44A36">
      <w:pPr>
        <w:pStyle w:val="ListBullet"/>
      </w:pPr>
      <w:r w:rsidRPr="004A4E1F">
        <w:t>endorsement from</w:t>
      </w:r>
      <w:r w:rsidR="00EF32B9">
        <w:t xml:space="preserve"> overseas regulatory agencies</w:t>
      </w:r>
      <w:r w:rsidR="00D15CFD">
        <w:t>;</w:t>
      </w:r>
    </w:p>
    <w:p w14:paraId="2B4B0E9C" w14:textId="60A9E14F" w:rsidR="00EF32B9" w:rsidRDefault="004A4E1F" w:rsidP="00A44A36">
      <w:pPr>
        <w:pStyle w:val="ListBullet"/>
      </w:pPr>
      <w:r w:rsidRPr="004A4E1F">
        <w:t xml:space="preserve">information from studies with people with naturally occurring genetic mutations in NPC1L1 and </w:t>
      </w:r>
      <w:proofErr w:type="spellStart"/>
      <w:r w:rsidRPr="004A4E1F">
        <w:t>HMGCoA</w:t>
      </w:r>
      <w:proofErr w:type="spellEnd"/>
      <w:r w:rsidRPr="004A4E1F">
        <w:t xml:space="preserve"> r</w:t>
      </w:r>
      <w:r w:rsidR="00721E5E">
        <w:t>eductase variants</w:t>
      </w:r>
      <w:r w:rsidR="00D15CFD">
        <w:t>;</w:t>
      </w:r>
      <w:r w:rsidR="00721E5E">
        <w:rPr>
          <w:rStyle w:val="FootnoteReference"/>
        </w:rPr>
        <w:footnoteReference w:id="7"/>
      </w:r>
    </w:p>
    <w:p w14:paraId="797C4891" w14:textId="6511E646" w:rsidR="00EF32B9" w:rsidRDefault="004A4E1F" w:rsidP="00A44A36">
      <w:pPr>
        <w:pStyle w:val="ListBullet"/>
      </w:pPr>
      <w:proofErr w:type="gramStart"/>
      <w:r w:rsidRPr="004A4E1F">
        <w:t>clinical</w:t>
      </w:r>
      <w:proofErr w:type="gramEnd"/>
      <w:r w:rsidRPr="004A4E1F">
        <w:t xml:space="preserve"> expert testimony (provided </w:t>
      </w:r>
      <w:r w:rsidR="00EF32B9">
        <w:t>for the S</w:t>
      </w:r>
      <w:r w:rsidR="00D15CFD">
        <w:t>ection 60 appeal</w:t>
      </w:r>
      <w:r w:rsidR="00EF32B9">
        <w:t>).</w:t>
      </w:r>
    </w:p>
    <w:p w14:paraId="2FF8D0F9" w14:textId="55F9F0F9" w:rsidR="00592CEA" w:rsidRDefault="004A4E1F" w:rsidP="00232A97">
      <w:r w:rsidRPr="004A4E1F">
        <w:t xml:space="preserve">The Section 60 reviewer has accepted that Ezetrol can be administered with any statin </w:t>
      </w:r>
      <w:r w:rsidR="0052215E">
        <w:t xml:space="preserve">with proven CV benefits (that is, </w:t>
      </w:r>
      <w:r w:rsidRPr="004A4E1F">
        <w:t xml:space="preserve">those with an approved CV prevention indication in </w:t>
      </w:r>
      <w:r w:rsidRPr="004A4E1F">
        <w:lastRenderedPageBreak/>
        <w:t xml:space="preserve">Australia), regardless of the fact that the indications for the individual statins vary in substance, provided the PI reflects the fact that the benefit is expected, but not specifically demonstrated in a </w:t>
      </w:r>
      <w:r w:rsidR="00592CEA">
        <w:t>clinical study like IMPROVE-IT.</w:t>
      </w:r>
    </w:p>
    <w:p w14:paraId="7775A251" w14:textId="77777777" w:rsidR="004A4E1F" w:rsidRDefault="004A4E1F" w:rsidP="00232A97">
      <w:r w:rsidRPr="004A4E1F">
        <w:t>MSD believes that the information base relating to lipid lowering in general and with ezetimibe, along with the results of the IMPROVE-IT trial, support the anticipated CV risk reduction for ezetimibe add-on therapy when used with all statins with proven outcomes benefit. As outlined in the Delegate’s request for ACM’s advice, Lipitor is currently approved for Prevention of Cardiovascular Disease as follows:</w:t>
      </w:r>
    </w:p>
    <w:p w14:paraId="76E0F0AA" w14:textId="77777777" w:rsidR="00592CEA" w:rsidRPr="00F43E7F" w:rsidRDefault="00592CEA" w:rsidP="00F43E7F">
      <w:pPr>
        <w:ind w:left="720"/>
        <w:rPr>
          <w:i/>
        </w:rPr>
      </w:pPr>
      <w:r w:rsidRPr="00F43E7F">
        <w:rPr>
          <w:i/>
        </w:rPr>
        <w:t>Lipitor is indicated in hypertensive patients with multiple risk factors for coronary heart disease (CHD) which may include diabetes, history of stroke or other cerebrovascular disease, peripheral vascular disease or existing asymptomatic HCD (see CLINICAL TRIALS, Prevention of Cardiovascular Disease) to reduce the risk of non-fatal myocardial infarction and non-fatal stroke.</w:t>
      </w:r>
    </w:p>
    <w:p w14:paraId="2E7D91AF" w14:textId="4349CD18" w:rsidR="00A77B44" w:rsidRDefault="00A77B44" w:rsidP="00232A97">
      <w:r w:rsidRPr="00A77B44">
        <w:t>Thus, in practice, atorvastatin can be considered a statin with proven cardiovascular benefit on the basis that a beneficial effect on CV outcomes has been demonstrated in a broader population, including both those with a history of CV outcomes, and those with asymptomatic CHD, than the patients included in the</w:t>
      </w:r>
      <w:r w:rsidR="00110F1E">
        <w:t xml:space="preserve"> proposed indication, that is,</w:t>
      </w:r>
      <w:r w:rsidR="00A85F99">
        <w:t xml:space="preserve"> “</w:t>
      </w:r>
      <w:r w:rsidRPr="00A77B44">
        <w:t>CHD and a history of ACS taking their maximum tolerated dose of atorvastatin and in need of</w:t>
      </w:r>
      <w:r w:rsidR="00A85F99">
        <w:t xml:space="preserve"> additional lowering of LDL-C”</w:t>
      </w:r>
      <w:r>
        <w:t>.</w:t>
      </w:r>
    </w:p>
    <w:p w14:paraId="224ABE05" w14:textId="3BB5B801" w:rsidR="00A77B44" w:rsidRDefault="00A77B44" w:rsidP="00232A97">
      <w:r w:rsidRPr="00A77B44">
        <w:t>However, MSD acknowledges that the proposed indication is based on indirect evidence, and hence in accordance with the requests of both the S</w:t>
      </w:r>
      <w:r w:rsidR="00110F1E">
        <w:t xml:space="preserve">ection </w:t>
      </w:r>
      <w:r w:rsidRPr="00A77B44">
        <w:t>60 reviewer an</w:t>
      </w:r>
      <w:r w:rsidR="008F0C79">
        <w:t xml:space="preserve">d the Delegate, the revised PI </w:t>
      </w:r>
      <w:r w:rsidRPr="00A77B44">
        <w:t>includes the statement that “no clinical trials have been undertaken that demonstrate an improvement in cardiovascular outcome when a combination of ezetimibe and atorvastatin is used compared to atorvastatin alone”. In this way, prescribers are suitably alerted to the evidence ba</w:t>
      </w:r>
      <w:r>
        <w:t>se for the proposed indication.</w:t>
      </w:r>
    </w:p>
    <w:p w14:paraId="28687852" w14:textId="5CA946CD" w:rsidR="00A77B44" w:rsidRDefault="00A77B44" w:rsidP="00232A97">
      <w:r w:rsidRPr="00A77B44">
        <w:t>MSD contends that this information supports the approval of Atozet under the same conditions as for the approval of Ezetrol, since ator</w:t>
      </w:r>
      <w:r w:rsidR="00A85F99">
        <w:t>vastatin meets the criteria of “</w:t>
      </w:r>
      <w:r w:rsidRPr="00A77B44">
        <w:t xml:space="preserve">a statin with </w:t>
      </w:r>
      <w:r w:rsidR="00A85F99">
        <w:t>proven cardiovascular benefit”</w:t>
      </w:r>
      <w:r>
        <w:t>.</w:t>
      </w:r>
    </w:p>
    <w:p w14:paraId="4ADCA599" w14:textId="6720185C" w:rsidR="00A77B44" w:rsidRDefault="00A77B44" w:rsidP="00232A97">
      <w:r w:rsidRPr="00A77B44">
        <w:t xml:space="preserve">The published CTT meta-analyses provide robust support for the consistent benefit of ezetimibe add-on therapy with all statins. </w:t>
      </w:r>
      <w:r w:rsidR="00A85F99">
        <w:t>A clinical expert</w:t>
      </w:r>
      <w:r w:rsidRPr="00A77B44">
        <w:t xml:space="preserve"> provided further exp</w:t>
      </w:r>
      <w:r w:rsidR="008F0C79">
        <w:t xml:space="preserve">lanation of this in his report </w:t>
      </w:r>
      <w:r w:rsidRPr="00A77B44">
        <w:t>provided to MSD in support of the S</w:t>
      </w:r>
      <w:r w:rsidR="008F0C79">
        <w:t xml:space="preserve">ection </w:t>
      </w:r>
      <w:r w:rsidRPr="00A77B44">
        <w:t xml:space="preserve">60 appeal </w:t>
      </w:r>
      <w:r>
        <w:t>related to Ezetrol and Vytorin:</w:t>
      </w:r>
    </w:p>
    <w:p w14:paraId="0DC9C72F" w14:textId="77777777" w:rsidR="00A77B44" w:rsidRPr="00A77B44" w:rsidRDefault="00A77B44" w:rsidP="00A77B44">
      <w:pPr>
        <w:ind w:left="720"/>
        <w:rPr>
          <w:i/>
        </w:rPr>
      </w:pPr>
      <w:r w:rsidRPr="00A77B44">
        <w:rPr>
          <w:i/>
        </w:rPr>
        <w:t>These meta-analyses show a generally linear link between reduction in LDL-C levels by statins and reduction of risk of 'major vascular events' (non-fatal myocardial infarction or coronary death, strokes, or coronary revascularisations). Significantly, this linear relationship was the same across patients treated with different statins. These meta-analyses confirm that the reduced risk of major vascular events delivered by statins is due to the lowering of LDL-C by the treatment with the statin – often referred to as the LDL-C hypothesis. They confirm that different statins work in the same manner, and there was generally no difference in benefit delivered by different statins other than that due to different levels of reduction of LDL-C.</w:t>
      </w:r>
    </w:p>
    <w:p w14:paraId="10EB1F6F" w14:textId="77777777" w:rsidR="00495427" w:rsidRDefault="00A77B44" w:rsidP="00232A97">
      <w:r w:rsidRPr="00A77B44">
        <w:t xml:space="preserve">This acceptance of statin equivalence is also observed in lipid management guidelines worldwide. The consistent benefit of ezetimibe add-on therapy with all statins is endorsed in current European guidelines for </w:t>
      </w:r>
      <w:r w:rsidR="00FF7D2C">
        <w:t>management of dyslipidaemias</w:t>
      </w:r>
      <w:r w:rsidRPr="00A77B44">
        <w:t>.</w:t>
      </w:r>
      <w:r w:rsidR="00FF7D2C">
        <w:rPr>
          <w:rStyle w:val="FootnoteReference"/>
        </w:rPr>
        <w:footnoteReference w:id="8"/>
      </w:r>
      <w:r w:rsidRPr="00A77B44">
        <w:t xml:space="preserve"> Furthermore, based on the results of the IMPROVE-IT trial, the 2015 ESC Guidelines for the Management of </w:t>
      </w:r>
      <w:r w:rsidRPr="00A77B44">
        <w:lastRenderedPageBreak/>
        <w:t>NSTE-ACS Patients and 2016 ACC Expert Consensus Decision Pathway recommend the use of add-on ezetimibe therapy when additional LDL-C lowering is ne</w:t>
      </w:r>
      <w:r w:rsidR="00E4776D">
        <w:t>eded with all statins.</w:t>
      </w:r>
      <w:r w:rsidR="00E4776D">
        <w:rPr>
          <w:rStyle w:val="FootnoteReference"/>
        </w:rPr>
        <w:footnoteReference w:id="9"/>
      </w:r>
    </w:p>
    <w:p w14:paraId="27219222" w14:textId="55EDA6DF" w:rsidR="00495427" w:rsidRDefault="00A85F99" w:rsidP="00232A97">
      <w:r>
        <w:t>Further</w:t>
      </w:r>
      <w:r w:rsidR="00A77B44" w:rsidRPr="00A77B44">
        <w:t xml:space="preserve">, numerous regulatory agencies have provided endorsement of the additive effect of ezetimibe being independent of the statin type or dose through the approved indications and dosage information for Ezetrol (see Australian </w:t>
      </w:r>
      <w:r>
        <w:t xml:space="preserve">PI as available online for </w:t>
      </w:r>
      <w:r w:rsidR="00495427" w:rsidRPr="00495427">
        <w:t>ARTG ID: 91161,</w:t>
      </w:r>
      <w:r>
        <w:t xml:space="preserve"> USPI</w:t>
      </w:r>
      <w:r w:rsidR="00A40AD9">
        <w:rPr>
          <w:rStyle w:val="FootnoteReference"/>
        </w:rPr>
        <w:footnoteReference w:id="10"/>
      </w:r>
      <w:r w:rsidR="00495427" w:rsidRPr="00495427">
        <w:t>, E</w:t>
      </w:r>
      <w:r w:rsidR="001140DD">
        <w:t>U SPC</w:t>
      </w:r>
      <w:r w:rsidR="00495427" w:rsidRPr="00495427">
        <w:t>)</w:t>
      </w:r>
      <w:r w:rsidR="00A40AD9">
        <w:t>.</w:t>
      </w:r>
      <w:r w:rsidR="00A40AD9">
        <w:rPr>
          <w:rStyle w:val="FootnoteReference"/>
        </w:rPr>
        <w:footnoteReference w:id="11"/>
      </w:r>
      <w:r w:rsidR="00495427" w:rsidRPr="00495427">
        <w:t xml:space="preserve"> MSD believes all available evidence indicates that the use of ezetimibe with all statins of proven cardiovascular benefit, including atorvastatin, can be expected to be safe and efficaci</w:t>
      </w:r>
      <w:r w:rsidR="00495427">
        <w:t>ous in the proposed indication.</w:t>
      </w:r>
    </w:p>
    <w:p w14:paraId="4DEFEDA7" w14:textId="77777777" w:rsidR="00495427" w:rsidRDefault="00495427" w:rsidP="00495427">
      <w:pPr>
        <w:pStyle w:val="Heading5"/>
      </w:pPr>
      <w:r w:rsidRPr="00495427">
        <w:t>2. Population st</w:t>
      </w:r>
      <w:r>
        <w:t>ated in the proposed indication</w:t>
      </w:r>
    </w:p>
    <w:p w14:paraId="087D0E91" w14:textId="77777777" w:rsidR="00495427" w:rsidRDefault="00495427" w:rsidP="00232A97">
      <w:r w:rsidRPr="00495427">
        <w:t>MSD concurs th</w:t>
      </w:r>
      <w:r>
        <w:t>at, as stated by the Delegate:</w:t>
      </w:r>
    </w:p>
    <w:p w14:paraId="40A47D8F" w14:textId="77777777" w:rsidR="00495427" w:rsidRPr="00495427" w:rsidRDefault="00495427" w:rsidP="00495427">
      <w:pPr>
        <w:ind w:left="720"/>
        <w:rPr>
          <w:i/>
        </w:rPr>
      </w:pPr>
      <w:r w:rsidRPr="00495427">
        <w:rPr>
          <w:i/>
        </w:rPr>
        <w:t>The proposed indication also extrapolates the efficacy to a population outside the reference study.</w:t>
      </w:r>
    </w:p>
    <w:p w14:paraId="0171A93A" w14:textId="77777777" w:rsidR="006E1B69" w:rsidRDefault="00495427" w:rsidP="00232A97">
      <w:r w:rsidRPr="00495427">
        <w:t>In accordance with the Delegate’s request to align the wording of the Atozet indication for Prevention of Cardiovascular Disease with that of Ezetrol and Vytorin, MSD agrees to revise the indication for the Prevention of Cardiovascular Disease for Atozet to patients with CHD and a hist</w:t>
      </w:r>
      <w:r w:rsidR="006E1B69">
        <w:t>ory of ACS, as specified above.</w:t>
      </w:r>
    </w:p>
    <w:p w14:paraId="0075B41F" w14:textId="77777777" w:rsidR="00592CEA" w:rsidRDefault="006E1B69" w:rsidP="00232A97">
      <w:r>
        <w:t>T</w:t>
      </w:r>
      <w:r w:rsidR="00495427" w:rsidRPr="00495427">
        <w:t>he proposed indication is, therefore, in alignment with the population seen in the reference study.</w:t>
      </w:r>
    </w:p>
    <w:p w14:paraId="3E8BB685" w14:textId="77777777" w:rsidR="002C6F5E" w:rsidRDefault="006E1B69" w:rsidP="002C6F5E">
      <w:pPr>
        <w:pStyle w:val="Heading5"/>
      </w:pPr>
      <w:r w:rsidRPr="006E1B69">
        <w:t xml:space="preserve">3. Proven </w:t>
      </w:r>
      <w:r>
        <w:t>c</w:t>
      </w:r>
      <w:r w:rsidRPr="006E1B69">
        <w:t xml:space="preserve">ardiovascular </w:t>
      </w:r>
      <w:r>
        <w:t>b</w:t>
      </w:r>
      <w:r w:rsidRPr="006E1B69">
        <w:t>e</w:t>
      </w:r>
      <w:r>
        <w:t>nefit of Lipitor (atorvastatin)</w:t>
      </w:r>
      <w:r w:rsidR="002C6F5E">
        <w:t xml:space="preserve"> c</w:t>
      </w:r>
      <w:r w:rsidRPr="006E1B69">
        <w:t>ompared to Atozet (ezetimib</w:t>
      </w:r>
      <w:r w:rsidR="002C6F5E">
        <w:t>e/atorvastatin)</w:t>
      </w:r>
    </w:p>
    <w:p w14:paraId="10E5E692" w14:textId="77777777" w:rsidR="00C233ED" w:rsidRDefault="006E1B69" w:rsidP="00232A97">
      <w:r w:rsidRPr="006E1B69">
        <w:t xml:space="preserve">The Delegate has expressed concerns that the proposed indication for Atozet is broader than the approved indication </w:t>
      </w:r>
      <w:r w:rsidR="00C233ED">
        <w:t>for ezetimibe and atorvastatin.</w:t>
      </w:r>
    </w:p>
    <w:p w14:paraId="5ECB1686" w14:textId="03275C52" w:rsidR="00C233ED" w:rsidRDefault="006E1B69" w:rsidP="00232A97">
      <w:r w:rsidRPr="006E1B69">
        <w:t>When discus</w:t>
      </w:r>
      <w:r w:rsidR="00DC21AC">
        <w:t xml:space="preserve">sing the claimed CV </w:t>
      </w:r>
      <w:r w:rsidRPr="006E1B69">
        <w:t>benefits of Atozet in comparison to the approved claims for at</w:t>
      </w:r>
      <w:r w:rsidR="00DC21AC">
        <w:t xml:space="preserve">orvastatin, </w:t>
      </w:r>
      <w:r w:rsidR="00C233ED">
        <w:t>the Delegate notes:</w:t>
      </w:r>
    </w:p>
    <w:p w14:paraId="302C0852" w14:textId="77777777" w:rsidR="00C233ED" w:rsidRPr="00C233ED" w:rsidRDefault="006E1B69" w:rsidP="00C233ED">
      <w:pPr>
        <w:ind w:left="720"/>
        <w:rPr>
          <w:i/>
        </w:rPr>
      </w:pPr>
      <w:proofErr w:type="gramStart"/>
      <w:r w:rsidRPr="00C233ED">
        <w:rPr>
          <w:i/>
        </w:rPr>
        <w:t>the</w:t>
      </w:r>
      <w:proofErr w:type="gramEnd"/>
      <w:r w:rsidRPr="00C233ED">
        <w:rPr>
          <w:i/>
        </w:rPr>
        <w:t xml:space="preserve"> proposed indication itemises the cardiovascular benefits based on the composite primary endpoint of the IMPROVE-IT study, including a reduction in cardiovascular mortality. The Atozet PI specifically states in the description of the ASCOT study that a statistically significant reduction in cardiovascular mortality was not seen in the atorvastatin group compared to placebo. An improvement in cardiovascular mortality with ezetimibe was not demonstrated in the I</w:t>
      </w:r>
      <w:r w:rsidR="00C233ED">
        <w:rPr>
          <w:i/>
        </w:rPr>
        <w:t>MPROVE-IT study.</w:t>
      </w:r>
    </w:p>
    <w:p w14:paraId="2447EC03" w14:textId="16CDB67A" w:rsidR="00C233ED" w:rsidRDefault="006E1B69" w:rsidP="00232A97">
      <w:r w:rsidRPr="006E1B69">
        <w:t>The revised indication (above) no lon</w:t>
      </w:r>
      <w:r w:rsidR="008430C3">
        <w:t xml:space="preserve">ger itemises the CV </w:t>
      </w:r>
      <w:r w:rsidRPr="006E1B69">
        <w:t>benefits based on the composite primary endpoint of IMPROVE-IT and thus removes the contradiction in relation to specific cardiovas</w:t>
      </w:r>
      <w:r w:rsidR="00C233ED">
        <w:t>cular benefits of atorvastatin.</w:t>
      </w:r>
    </w:p>
    <w:p w14:paraId="7635E7BC" w14:textId="77777777" w:rsidR="00C233ED" w:rsidRDefault="006E1B69" w:rsidP="00232A97">
      <w:r w:rsidRPr="006E1B69">
        <w:t>MSD concurs with the Delegate’s request to align the IMPROVE-IT clinical trial description in the Atozet PI with the Ezetrol PI. The approved Ezetrol text details which of the components of the composite endpoint in IMPROVE-IT achieved statistical significance, as a tertiary outcome measure in the study, and which, including mortality endpoints, did not. Thus, there is greater</w:t>
      </w:r>
      <w:r w:rsidR="00C233ED" w:rsidRPr="00C233ED">
        <w:t xml:space="preserve"> consistency between the proposed mortality claims fro</w:t>
      </w:r>
      <w:r w:rsidR="008F0C79">
        <w:t>m IMPROVE-IT and ASCOT</w:t>
      </w:r>
      <w:r w:rsidR="00C233ED">
        <w:t>.</w:t>
      </w:r>
    </w:p>
    <w:p w14:paraId="0D07FD6D" w14:textId="0EEA5F05" w:rsidR="00C233ED" w:rsidRDefault="00C233ED" w:rsidP="00232A97">
      <w:r w:rsidRPr="00C233ED">
        <w:lastRenderedPageBreak/>
        <w:t xml:space="preserve">In addition, MSD has proposed a reference to the ASCOT study </w:t>
      </w:r>
      <w:r w:rsidR="008430C3">
        <w:t xml:space="preserve">be added to the ‘Clinical Trials’ </w:t>
      </w:r>
      <w:r w:rsidRPr="00C233ED">
        <w:t>description of IMPROVE-IT to ensure clarity around the body of evidence for the cardiovas</w:t>
      </w:r>
      <w:r>
        <w:t>cular benefits of atorvastatin.</w:t>
      </w:r>
    </w:p>
    <w:p w14:paraId="06920842" w14:textId="74252ADA" w:rsidR="00C233ED" w:rsidRDefault="00C233ED" w:rsidP="00232A97">
      <w:r w:rsidRPr="00C233ED">
        <w:t>With regard to the claimed cardiovascular benefit for ezetimibe proposed in this application, the IMPROVE-IT trial has demonstrated the contribution of ezetimibe to the reduction of cardiovascular outcomes. With respect to this indication, ezetimibe is not intended to be the primary lipid lo</w:t>
      </w:r>
      <w:r w:rsidR="008430C3">
        <w:t xml:space="preserve">wering therapy, but is a second </w:t>
      </w:r>
      <w:r w:rsidRPr="00C233ED">
        <w:t xml:space="preserve">line option for patients who have not reached treatment goals on their maximally tolerated dose of a statin. Hence, the IMPROVE-IT study investigates ezetimibe on combination with a statin, and the proposed </w:t>
      </w:r>
      <w:r w:rsidR="008430C3">
        <w:t>indication reflects this. While</w:t>
      </w:r>
      <w:r w:rsidRPr="00C233ED">
        <w:t xml:space="preserve"> the indication is broader than the approved ezetimib</w:t>
      </w:r>
      <w:r w:rsidR="008430C3">
        <w:t>e indication in this sense, that is</w:t>
      </w:r>
      <w:r w:rsidRPr="00C233ED">
        <w:t xml:space="preserve">, that ezetimibe monotherapy does not have an indication for reduction in </w:t>
      </w:r>
      <w:r w:rsidR="0038421F">
        <w:t>CV</w:t>
      </w:r>
      <w:r w:rsidRPr="00C233ED">
        <w:t xml:space="preserve"> outcomes, this is consistent with</w:t>
      </w:r>
      <w:r>
        <w:t xml:space="preserve"> the intended use of ezetimibe.</w:t>
      </w:r>
    </w:p>
    <w:p w14:paraId="2B536E4C" w14:textId="77777777" w:rsidR="00C233ED" w:rsidRDefault="00C233ED" w:rsidP="00232A97">
      <w:r w:rsidRPr="00C233ED">
        <w:t>This is in accordance with EMA Guideline on Clinical Development of Fixed Combination Medicinal Products (CHMP/EWP/240/95 Rev.1), which sta</w:t>
      </w:r>
      <w:r>
        <w:t>tes in relation to indications:</w:t>
      </w:r>
    </w:p>
    <w:p w14:paraId="3ABB146E" w14:textId="77777777" w:rsidR="00C233ED" w:rsidRPr="00C233ED" w:rsidRDefault="00C233ED" w:rsidP="00C233ED">
      <w:pPr>
        <w:ind w:left="720"/>
        <w:rPr>
          <w:i/>
        </w:rPr>
      </w:pPr>
      <w:r w:rsidRPr="00C233ED">
        <w:rPr>
          <w:i/>
        </w:rPr>
        <w:t>The indications claimed for a fixed combination medicinal product should be such that the presence of each active substance makes a contribution to the claimed effect or improves the overall benefit risk ratio by mitigating side effects.</w:t>
      </w:r>
    </w:p>
    <w:p w14:paraId="360B89FE" w14:textId="37A466A1" w:rsidR="00F50C62" w:rsidRDefault="00C233ED" w:rsidP="00232A97">
      <w:r w:rsidRPr="00C233ED">
        <w:t xml:space="preserve">At the time of registration of the Atozet </w:t>
      </w:r>
      <w:r w:rsidR="0038421F">
        <w:t>fixed dose combination</w:t>
      </w:r>
      <w:r w:rsidRPr="00C233ED">
        <w:t xml:space="preserve">, evidence was not available to show that </w:t>
      </w:r>
      <w:r w:rsidRPr="00F50C62">
        <w:rPr>
          <w:b/>
        </w:rPr>
        <w:t xml:space="preserve">each </w:t>
      </w:r>
      <w:r w:rsidRPr="00C233ED">
        <w:t>active substance in Atozet (atorvastatin and ezetimibe) made a contribution to the prevention of cardiovascular disease. As a result, the Prevention of Cardiovascular disease indication in the Lipitor PI at the time was not included in the Atozet PI</w:t>
      </w:r>
      <w:r w:rsidR="00F50C62">
        <w:t xml:space="preserve"> at registration.</w:t>
      </w:r>
    </w:p>
    <w:p w14:paraId="73B99A6E" w14:textId="77777777" w:rsidR="00F50C62" w:rsidRDefault="00C233ED" w:rsidP="00232A97">
      <w:r w:rsidRPr="00C233ED">
        <w:t>However, the IMPROVE-IT trial has now proven the incremental benefit of ezetimibe add-on therapy over statin monotherapy. The contribution of ezetimibe to reduction of cardiovascular outcomes is in the context of co-administration with a statin, and this is reflected in the proposed indication.</w:t>
      </w:r>
    </w:p>
    <w:p w14:paraId="326660E7" w14:textId="77777777" w:rsidR="00F50C62" w:rsidRDefault="00F50C62" w:rsidP="00F50C62">
      <w:pPr>
        <w:pStyle w:val="Heading5"/>
      </w:pPr>
      <w:r>
        <w:t>Conclusion</w:t>
      </w:r>
    </w:p>
    <w:p w14:paraId="1CA049F9" w14:textId="77777777" w:rsidR="006E1B69" w:rsidRDefault="00C233ED" w:rsidP="00232A97">
      <w:r w:rsidRPr="00C233ED">
        <w:t>MSD acknowledges the Delegate’s concerns regarding the extrapolations relating to both the drug and patient population which underpin the originally proposed indication for Atozet; however, believes the proposed modification of the indication statement and clinical trial description in the Atozet PI addresses these concerns.</w:t>
      </w:r>
    </w:p>
    <w:p w14:paraId="4C4296F2" w14:textId="77777777" w:rsidR="00F50C62" w:rsidRDefault="00F50C62" w:rsidP="00232A97">
      <w:r w:rsidRPr="00F50C62">
        <w:t>In addition, the body of evidence available, supported by the S</w:t>
      </w:r>
      <w:r>
        <w:t xml:space="preserve">ection </w:t>
      </w:r>
      <w:r w:rsidRPr="00F50C62">
        <w:t>60 reviewer’s comments, suggest that the combination of ezetimibe with a statin with proven cardiovascular benefit other than simvastatin, such as atorvastatin, is likely to achieve similar clinical outc</w:t>
      </w:r>
      <w:r>
        <w:t>omes in this patient population.</w:t>
      </w:r>
    </w:p>
    <w:p w14:paraId="31A59250" w14:textId="1D9BF4FA" w:rsidR="00F50C62" w:rsidRDefault="00F50C62" w:rsidP="00232A97">
      <w:r w:rsidRPr="00F50C62">
        <w:t>The findings of IMPROVE-IT have been endorsed in treatment guidelines from major cardiovascular soc</w:t>
      </w:r>
      <w:r w:rsidR="00685DD7">
        <w:t>ieties around the world (EU</w:t>
      </w:r>
      <w:r w:rsidRPr="00F50C62">
        <w:t>,</w:t>
      </w:r>
      <w:r w:rsidR="00685DD7">
        <w:rPr>
          <w:rStyle w:val="FootnoteReference"/>
        </w:rPr>
        <w:footnoteReference w:id="12"/>
      </w:r>
      <w:r w:rsidR="00987C25">
        <w:t xml:space="preserve"> AU</w:t>
      </w:r>
      <w:r w:rsidRPr="00F50C62">
        <w:t>,</w:t>
      </w:r>
      <w:r w:rsidR="00987C25">
        <w:rPr>
          <w:rStyle w:val="FootnoteReference"/>
        </w:rPr>
        <w:footnoteReference w:id="13"/>
      </w:r>
      <w:r w:rsidR="00BC496F">
        <w:t xml:space="preserve"> US</w:t>
      </w:r>
      <w:r w:rsidRPr="00F50C62">
        <w:t>).</w:t>
      </w:r>
      <w:r w:rsidR="00BC496F">
        <w:rPr>
          <w:rStyle w:val="FootnoteReference"/>
        </w:rPr>
        <w:footnoteReference w:id="14"/>
      </w:r>
      <w:r w:rsidR="0068126B">
        <w:t xml:space="preserve"> While</w:t>
      </w:r>
      <w:r w:rsidRPr="00F50C62">
        <w:t xml:space="preserve"> the S</w:t>
      </w:r>
      <w:r w:rsidR="0068126B">
        <w:t xml:space="preserve">ection </w:t>
      </w:r>
      <w:r w:rsidRPr="00F50C62">
        <w:t>60 revie</w:t>
      </w:r>
      <w:r w:rsidR="0038421F">
        <w:t>wer has noted that the various g</w:t>
      </w:r>
      <w:r w:rsidRPr="00F50C62">
        <w:t xml:space="preserve">uidelines quoted express opinions and do not </w:t>
      </w:r>
      <w:r w:rsidRPr="00F50C62">
        <w:lastRenderedPageBreak/>
        <w:t>constitute evaluable evidence, these guidelines do represent an evidence based consensus from leading experts in cardiovascular medicine, and provide a framework for clinicians based on the current evidence. The consistency of recommendations incorporated</w:t>
      </w:r>
      <w:r w:rsidR="00987C25">
        <w:t xml:space="preserve"> into recent guidelines (EU</w:t>
      </w:r>
      <w:r w:rsidRPr="00F50C62">
        <w:t>,</w:t>
      </w:r>
      <w:r w:rsidR="00987C25">
        <w:rPr>
          <w:rStyle w:val="FootnoteReference"/>
        </w:rPr>
        <w:footnoteReference w:id="15"/>
      </w:r>
      <w:r w:rsidR="00BC496F">
        <w:t xml:space="preserve"> AU</w:t>
      </w:r>
      <w:r w:rsidRPr="00F50C62">
        <w:t>),</w:t>
      </w:r>
      <w:r w:rsidR="00BC496F">
        <w:rPr>
          <w:rStyle w:val="FootnoteReference"/>
        </w:rPr>
        <w:footnoteReference w:id="16"/>
      </w:r>
      <w:r w:rsidRPr="00F50C62">
        <w:t xml:space="preserve"> based on the IMPROVE-IT study, and in the ACC Consensus Decision Pathway, indicate that consensus around the findings from IMPROVE-IT exists between Europ</w:t>
      </w:r>
      <w:r>
        <w:t>ean, US and Australian experts.</w:t>
      </w:r>
    </w:p>
    <w:p w14:paraId="37EADD15" w14:textId="5CED6DBD" w:rsidR="00F50C62" w:rsidRDefault="00F50C62" w:rsidP="00232A97">
      <w:r w:rsidRPr="00F50C62">
        <w:t>The results of the IMPROVE-IT trial have shown the efficacy of ezetimibe in Prevention of Cardiovascular Disease as add-on therapy with statins. The totality of evidence supports the consistent effect of ezetimibe when added to all statins with proven cardiovascular benefit. Together, these sup</w:t>
      </w:r>
      <w:r w:rsidR="0038421F">
        <w:t xml:space="preserve">port an indication for second </w:t>
      </w:r>
      <w:r w:rsidRPr="00F50C62">
        <w:t xml:space="preserve">line use of </w:t>
      </w:r>
      <w:proofErr w:type="spellStart"/>
      <w:r w:rsidRPr="00F50C62">
        <w:t>ezetimbe</w:t>
      </w:r>
      <w:proofErr w:type="spellEnd"/>
      <w:r w:rsidRPr="00F50C62">
        <w:t xml:space="preserve"> added to atorvastatin in patients with CHD and a history of ACS who are unable to achieve the desired results on statin therapy.</w:t>
      </w:r>
    </w:p>
    <w:p w14:paraId="4830362F" w14:textId="77777777" w:rsidR="00355C09" w:rsidRDefault="00355C09" w:rsidP="00355C09">
      <w:pPr>
        <w:pStyle w:val="Heading5"/>
      </w:pPr>
      <w:r>
        <w:t>Question for the sponsor</w:t>
      </w:r>
    </w:p>
    <w:p w14:paraId="7C9B94D1" w14:textId="77777777" w:rsidR="00355C09" w:rsidRPr="00355C09" w:rsidRDefault="00355C09" w:rsidP="00355C09">
      <w:pPr>
        <w:pStyle w:val="ListBullet"/>
        <w:rPr>
          <w:i/>
        </w:rPr>
      </w:pPr>
      <w:r w:rsidRPr="00355C09">
        <w:rPr>
          <w:i/>
        </w:rPr>
        <w:t>The conclusion of the Delegate is that there is insufficient evidence to support the proposed extension of indication in the submission. Please provide the sponsor’s view of an alternative indication that to align the wording of the indication, including the cardiovascular outcomes claim, with that of Ezetrol and Vytorin.</w:t>
      </w:r>
    </w:p>
    <w:p w14:paraId="71DFD048" w14:textId="77777777" w:rsidR="0038421F" w:rsidRDefault="00355C09" w:rsidP="00232A97">
      <w:r w:rsidRPr="00355C09">
        <w:t>MSD is agreeable to consideration of an alternative indication for Prevention of Cardiovascular Disease aligned with the indications approved for Ezetrol and Vyto</w:t>
      </w:r>
      <w:r w:rsidR="0038421F">
        <w:t>rin, and propose the following:</w:t>
      </w:r>
    </w:p>
    <w:p w14:paraId="77A91DC5" w14:textId="3246533E" w:rsidR="00355C09" w:rsidRPr="0038421F" w:rsidRDefault="00355C09" w:rsidP="0038421F">
      <w:pPr>
        <w:ind w:left="720"/>
        <w:rPr>
          <w:i/>
        </w:rPr>
      </w:pPr>
      <w:r w:rsidRPr="0038421F">
        <w:rPr>
          <w:i/>
        </w:rPr>
        <w:t xml:space="preserve">Prevention of Cardiovascular Disease </w:t>
      </w:r>
      <w:r w:rsidR="00091310" w:rsidRPr="0038421F">
        <w:rPr>
          <w:i/>
        </w:rPr>
        <w:t>Atozet/Zeteze</w:t>
      </w:r>
      <w:r w:rsidRPr="0038421F">
        <w:rPr>
          <w:i/>
        </w:rPr>
        <w:t xml:space="preserve"> is indicated in patients with coronary heart disease (CHD) and a history of acute coronary syndrome (ACS) taking their maximum tolerated dose of atorvastatin and in need of additional lowering of LDL-C in the expectation of a modest further reduction in the risk of cardiovascular events following at least one year of therapy (see Clinical Trials).</w:t>
      </w:r>
    </w:p>
    <w:p w14:paraId="2DE7F48C" w14:textId="77777777" w:rsidR="008E7846" w:rsidRDefault="008E7846" w:rsidP="008E7846">
      <w:pPr>
        <w:pStyle w:val="Heading4"/>
      </w:pPr>
      <w:r>
        <w:t xml:space="preserve">Advisory Committee </w:t>
      </w:r>
      <w:r w:rsidR="00E63418">
        <w:t>c</w:t>
      </w:r>
      <w:r>
        <w:t>onsiderations</w:t>
      </w:r>
    </w:p>
    <w:p w14:paraId="369D5A94" w14:textId="77777777" w:rsidR="008E7846" w:rsidRDefault="00D23139" w:rsidP="008E7846">
      <w:pPr>
        <w:rPr>
          <w:bCs/>
        </w:rPr>
      </w:pPr>
      <w:r w:rsidRPr="00D23139">
        <w:rPr>
          <w:bCs/>
        </w:rPr>
        <w:t>The Advisory Committee on Medicines (ACM), having considered the evaluations and the Delegate’s overview, as well as the sponsor’s response to these d</w:t>
      </w:r>
      <w:r w:rsidR="00517B6C">
        <w:rPr>
          <w:bCs/>
        </w:rPr>
        <w:t>ocuments, advised the following.</w:t>
      </w:r>
    </w:p>
    <w:p w14:paraId="4DA8B0B0" w14:textId="58A71C22" w:rsidR="00517B6C" w:rsidRDefault="00517B6C" w:rsidP="00517B6C">
      <w:pPr>
        <w:pStyle w:val="Default"/>
        <w:spacing w:after="200"/>
        <w:rPr>
          <w:sz w:val="22"/>
          <w:szCs w:val="22"/>
        </w:rPr>
      </w:pPr>
      <w:r>
        <w:rPr>
          <w:sz w:val="22"/>
          <w:szCs w:val="22"/>
        </w:rPr>
        <w:t xml:space="preserve">The ACM, taking into account the submitted evidence of efficacy, safety and quality, considered </w:t>
      </w:r>
      <w:r w:rsidR="00082229">
        <w:rPr>
          <w:sz w:val="22"/>
          <w:szCs w:val="22"/>
        </w:rPr>
        <w:t>Atozet/Zeteze</w:t>
      </w:r>
      <w:r>
        <w:rPr>
          <w:sz w:val="22"/>
          <w:szCs w:val="22"/>
        </w:rPr>
        <w:t xml:space="preserve"> tablet containing 10 mg/10</w:t>
      </w:r>
      <w:r w:rsidR="0038421F">
        <w:rPr>
          <w:sz w:val="22"/>
          <w:szCs w:val="22"/>
        </w:rPr>
        <w:t xml:space="preserve"> </w:t>
      </w:r>
      <w:r>
        <w:rPr>
          <w:sz w:val="22"/>
          <w:szCs w:val="22"/>
        </w:rPr>
        <w:t>mg, 10 mg/20 mg, 10 mg/40</w:t>
      </w:r>
      <w:r w:rsidR="0038421F">
        <w:rPr>
          <w:sz w:val="22"/>
          <w:szCs w:val="22"/>
        </w:rPr>
        <w:t xml:space="preserve"> </w:t>
      </w:r>
      <w:r>
        <w:rPr>
          <w:sz w:val="22"/>
          <w:szCs w:val="22"/>
        </w:rPr>
        <w:t>mg and 10 mg/80</w:t>
      </w:r>
      <w:r w:rsidR="0038421F">
        <w:rPr>
          <w:sz w:val="22"/>
          <w:szCs w:val="22"/>
        </w:rPr>
        <w:t xml:space="preserve"> </w:t>
      </w:r>
      <w:r>
        <w:rPr>
          <w:sz w:val="22"/>
          <w:szCs w:val="22"/>
        </w:rPr>
        <w:t>mg of ezetimibe/atorvastatin to have an overall positive benefit-r</w:t>
      </w:r>
      <w:r w:rsidR="00A327C1">
        <w:rPr>
          <w:sz w:val="22"/>
          <w:szCs w:val="22"/>
        </w:rPr>
        <w:t>isk profile for the indication:</w:t>
      </w:r>
    </w:p>
    <w:p w14:paraId="5B8F305E" w14:textId="77777777" w:rsidR="00517B6C" w:rsidRPr="00F1333B" w:rsidRDefault="00B37144" w:rsidP="006A2233">
      <w:pPr>
        <w:pStyle w:val="ListBullet"/>
      </w:pPr>
      <w:r>
        <w:t>Current i</w:t>
      </w:r>
      <w:r w:rsidR="00283DA6">
        <w:t>ndication:</w:t>
      </w:r>
    </w:p>
    <w:p w14:paraId="1F3F7D96" w14:textId="77777777" w:rsidR="00517B6C" w:rsidRPr="00F1333B" w:rsidRDefault="00517B6C" w:rsidP="00F1333B">
      <w:pPr>
        <w:ind w:left="720"/>
        <w:rPr>
          <w:b/>
          <w:i/>
        </w:rPr>
      </w:pPr>
      <w:r w:rsidRPr="00F1333B">
        <w:rPr>
          <w:b/>
          <w:i/>
        </w:rPr>
        <w:t xml:space="preserve">Primary Hypercholesterolaemia </w:t>
      </w:r>
    </w:p>
    <w:p w14:paraId="2951631A" w14:textId="77777777" w:rsidR="00FF7EF3" w:rsidRDefault="00F1333B" w:rsidP="00F1333B">
      <w:pPr>
        <w:ind w:left="720"/>
        <w:rPr>
          <w:i/>
        </w:rPr>
      </w:pPr>
      <w:r w:rsidRPr="00F1333B">
        <w:rPr>
          <w:i/>
        </w:rPr>
        <w:t xml:space="preserve">Atozet/Zeteze </w:t>
      </w:r>
      <w:r w:rsidR="00517B6C" w:rsidRPr="00F1333B">
        <w:rPr>
          <w:i/>
        </w:rPr>
        <w:t>is indicated as adjunctive therapy to diet in patients with primary (heterozygous familial and non-familial) hypercholesterolaemia where use of a combination product is appropriate in those patients</w:t>
      </w:r>
      <w:r w:rsidR="00FF7EF3">
        <w:rPr>
          <w:i/>
        </w:rPr>
        <w:t>:</w:t>
      </w:r>
    </w:p>
    <w:p w14:paraId="5DDD1654" w14:textId="6FC9BC80" w:rsidR="00517B6C" w:rsidRPr="00F1333B" w:rsidRDefault="00517B6C" w:rsidP="00F1333B">
      <w:pPr>
        <w:pStyle w:val="ListBullet3"/>
        <w:rPr>
          <w:i/>
        </w:rPr>
      </w:pPr>
      <w:r w:rsidRPr="00F1333B">
        <w:rPr>
          <w:i/>
        </w:rPr>
        <w:t xml:space="preserve">not appropriately controlled with atorvastatin or ezetimibe alone; or </w:t>
      </w:r>
    </w:p>
    <w:p w14:paraId="05AE83A3" w14:textId="77777777" w:rsidR="00517B6C" w:rsidRPr="00F1333B" w:rsidRDefault="00517B6C" w:rsidP="00F1333B">
      <w:pPr>
        <w:pStyle w:val="ListBullet3"/>
        <w:rPr>
          <w:i/>
        </w:rPr>
      </w:pPr>
      <w:r w:rsidRPr="00F1333B">
        <w:rPr>
          <w:i/>
        </w:rPr>
        <w:lastRenderedPageBreak/>
        <w:t xml:space="preserve">already treated with atorvastatin and ezetimibe </w:t>
      </w:r>
    </w:p>
    <w:p w14:paraId="12FCC601" w14:textId="77777777" w:rsidR="00517B6C" w:rsidRPr="00F1333B" w:rsidRDefault="00517B6C" w:rsidP="00F1333B">
      <w:pPr>
        <w:ind w:left="720"/>
        <w:rPr>
          <w:b/>
          <w:i/>
        </w:rPr>
      </w:pPr>
      <w:r w:rsidRPr="00F1333B">
        <w:rPr>
          <w:b/>
          <w:i/>
        </w:rPr>
        <w:t xml:space="preserve">Homozygous Familial </w:t>
      </w:r>
      <w:proofErr w:type="spellStart"/>
      <w:r w:rsidRPr="00F1333B">
        <w:rPr>
          <w:b/>
          <w:i/>
        </w:rPr>
        <w:t>Hypercholesterolaemia</w:t>
      </w:r>
      <w:proofErr w:type="spellEnd"/>
      <w:r w:rsidRPr="00F1333B">
        <w:rPr>
          <w:b/>
          <w:i/>
        </w:rPr>
        <w:t xml:space="preserve"> (</w:t>
      </w:r>
      <w:proofErr w:type="spellStart"/>
      <w:r w:rsidRPr="00F1333B">
        <w:rPr>
          <w:b/>
          <w:i/>
        </w:rPr>
        <w:t>HoFH</w:t>
      </w:r>
      <w:proofErr w:type="spellEnd"/>
      <w:r w:rsidRPr="00F1333B">
        <w:rPr>
          <w:b/>
          <w:i/>
        </w:rPr>
        <w:t xml:space="preserve">) </w:t>
      </w:r>
    </w:p>
    <w:p w14:paraId="7E97B50E" w14:textId="77777777" w:rsidR="00FF7EF3" w:rsidRDefault="006A2233" w:rsidP="00F1333B">
      <w:pPr>
        <w:ind w:left="720"/>
        <w:rPr>
          <w:i/>
        </w:rPr>
      </w:pPr>
      <w:r w:rsidRPr="00F1333B">
        <w:rPr>
          <w:i/>
        </w:rPr>
        <w:t>Atozet/Zeteze</w:t>
      </w:r>
      <w:r w:rsidR="00517B6C" w:rsidRPr="00F1333B">
        <w:rPr>
          <w:i/>
        </w:rPr>
        <w:t xml:space="preserve"> is indicated in patients with </w:t>
      </w:r>
      <w:proofErr w:type="spellStart"/>
      <w:r w:rsidR="00517B6C" w:rsidRPr="00F1333B">
        <w:rPr>
          <w:i/>
        </w:rPr>
        <w:t>HoFH</w:t>
      </w:r>
      <w:proofErr w:type="spellEnd"/>
      <w:r w:rsidR="00517B6C" w:rsidRPr="00F1333B">
        <w:rPr>
          <w:i/>
        </w:rPr>
        <w:t>. Patients may also receive adjunctive treatments (e.g. LDL apheresis)</w:t>
      </w:r>
      <w:r w:rsidR="00FF7EF3">
        <w:rPr>
          <w:i/>
        </w:rPr>
        <w:t>.</w:t>
      </w:r>
    </w:p>
    <w:p w14:paraId="4E0C7CA4" w14:textId="0C99AD3D" w:rsidR="00FF7EF3" w:rsidRDefault="00517B6C" w:rsidP="006A2233">
      <w:pPr>
        <w:pStyle w:val="ListBullet"/>
      </w:pPr>
      <w:r w:rsidRPr="00283DA6">
        <w:t xml:space="preserve">Proposed </w:t>
      </w:r>
      <w:r w:rsidR="00283DA6" w:rsidRPr="00283DA6">
        <w:t>e</w:t>
      </w:r>
      <w:r w:rsidRPr="00283DA6">
        <w:t xml:space="preserve">xtension of </w:t>
      </w:r>
      <w:r w:rsidR="00283DA6" w:rsidRPr="00283DA6">
        <w:t>i</w:t>
      </w:r>
      <w:r w:rsidRPr="00283DA6">
        <w:t>ndication</w:t>
      </w:r>
      <w:r w:rsidR="00FF7EF3">
        <w:t>:</w:t>
      </w:r>
    </w:p>
    <w:p w14:paraId="4D71F0C9" w14:textId="3253A5CD" w:rsidR="00517B6C" w:rsidRPr="00F1333B" w:rsidRDefault="00283DA6" w:rsidP="00F1333B">
      <w:pPr>
        <w:ind w:left="720"/>
        <w:rPr>
          <w:i/>
        </w:rPr>
      </w:pPr>
      <w:proofErr w:type="spellStart"/>
      <w:r w:rsidRPr="00F1333B">
        <w:rPr>
          <w:i/>
        </w:rPr>
        <w:t>Atozet</w:t>
      </w:r>
      <w:proofErr w:type="spellEnd"/>
      <w:r w:rsidRPr="00F1333B">
        <w:rPr>
          <w:i/>
        </w:rPr>
        <w:t>/</w:t>
      </w:r>
      <w:proofErr w:type="spellStart"/>
      <w:r w:rsidRPr="00F1333B">
        <w:rPr>
          <w:i/>
        </w:rPr>
        <w:t>Zeteze</w:t>
      </w:r>
      <w:proofErr w:type="spellEnd"/>
      <w:r w:rsidRPr="00F1333B">
        <w:rPr>
          <w:i/>
        </w:rPr>
        <w:t xml:space="preserve"> </w:t>
      </w:r>
      <w:r w:rsidR="00517B6C" w:rsidRPr="00F1333B">
        <w:rPr>
          <w:i/>
        </w:rPr>
        <w:t xml:space="preserve">is indicated to reduce the risk of cardiovascular events (cardiovascular death, nonfatal myocardial infarction, nonfatal stroke, hospitalisation for unstable angina, or need for revascularisation) in patients with coronary heart disease (CHD) </w:t>
      </w:r>
    </w:p>
    <w:p w14:paraId="272F2CAF" w14:textId="77777777" w:rsidR="00517B6C" w:rsidRDefault="00157210" w:rsidP="00517B6C">
      <w:r>
        <w:t xml:space="preserve">In the pre ACM response, </w:t>
      </w:r>
      <w:r w:rsidR="00517B6C">
        <w:t>the sponsor proposed a modification of the new indication for Atozet/Zeteze as follows:</w:t>
      </w:r>
    </w:p>
    <w:p w14:paraId="0CCEE66C" w14:textId="77777777" w:rsidR="00FF7EF3" w:rsidRDefault="00283DA6" w:rsidP="006A2233">
      <w:pPr>
        <w:pStyle w:val="ListBullet"/>
      </w:pPr>
      <w:r w:rsidRPr="00283DA6">
        <w:t>Modified extension of indication</w:t>
      </w:r>
      <w:r w:rsidR="00FF7EF3">
        <w:t>:</w:t>
      </w:r>
    </w:p>
    <w:p w14:paraId="2B312609" w14:textId="5016913E" w:rsidR="00283DA6" w:rsidRPr="001E6856" w:rsidRDefault="000B2C33" w:rsidP="001E6856">
      <w:pPr>
        <w:ind w:left="720"/>
        <w:rPr>
          <w:i/>
        </w:rPr>
      </w:pPr>
      <w:proofErr w:type="spellStart"/>
      <w:r w:rsidRPr="00F1333B">
        <w:rPr>
          <w:i/>
        </w:rPr>
        <w:t>Atozet</w:t>
      </w:r>
      <w:proofErr w:type="spellEnd"/>
      <w:r w:rsidRPr="00F1333B">
        <w:rPr>
          <w:i/>
        </w:rPr>
        <w:t>/</w:t>
      </w:r>
      <w:proofErr w:type="spellStart"/>
      <w:r w:rsidRPr="00F1333B">
        <w:rPr>
          <w:i/>
        </w:rPr>
        <w:t>Zeteze</w:t>
      </w:r>
      <w:proofErr w:type="spellEnd"/>
      <w:r w:rsidRPr="00F1333B">
        <w:rPr>
          <w:i/>
        </w:rPr>
        <w:t xml:space="preserve"> </w:t>
      </w:r>
      <w:r w:rsidR="00283DA6" w:rsidRPr="001E6856">
        <w:rPr>
          <w:i/>
        </w:rPr>
        <w:t>is indicated in patients with coronary heart disease (CHD) and a history of acute coronary syndrome (ACS) taking their maximum tolerated dose of atorvastatin and in need of additional lowering of LDL-C in the expectation of a modest further reduction in the risk of cardiovascular events following at least one year of therapy (see Clinical Trial</w:t>
      </w:r>
      <w:r w:rsidR="001E6856" w:rsidRPr="001E6856">
        <w:rPr>
          <w:i/>
        </w:rPr>
        <w:t>s).</w:t>
      </w:r>
    </w:p>
    <w:p w14:paraId="1B2DFB7B" w14:textId="77777777" w:rsidR="00FF7EF3" w:rsidRDefault="009C23F0" w:rsidP="00CE1730">
      <w:r w:rsidRPr="00CE1730">
        <w:t>The ACM provided comments on the submission taking the modified proposed indication into account</w:t>
      </w:r>
      <w:r w:rsidR="00FF7EF3">
        <w:t>.</w:t>
      </w:r>
    </w:p>
    <w:p w14:paraId="12D01621" w14:textId="1D09C742" w:rsidR="009C23F0" w:rsidRPr="00CE1730" w:rsidRDefault="009C23F0" w:rsidP="00CE1730">
      <w:r w:rsidRPr="00CE1730">
        <w:t>In making this recommendation, the ACM:</w:t>
      </w:r>
    </w:p>
    <w:p w14:paraId="53EDACE7" w14:textId="77777777" w:rsidR="009C23F0" w:rsidRPr="00CE1730" w:rsidRDefault="00CE1730" w:rsidP="009F1E1A">
      <w:pPr>
        <w:pStyle w:val="ListBullet"/>
      </w:pPr>
      <w:r>
        <w:t>n</w:t>
      </w:r>
      <w:r w:rsidR="009C23F0" w:rsidRPr="00CE1730">
        <w:t>oted the recent revised indication appro</w:t>
      </w:r>
      <w:r w:rsidR="00D47AE3">
        <w:t xml:space="preserve">ved by </w:t>
      </w:r>
      <w:r w:rsidR="009F1E1A">
        <w:t>TGA for ezetimibe in January 2017</w:t>
      </w:r>
      <w:r w:rsidR="00D47AE3">
        <w:t>;</w:t>
      </w:r>
    </w:p>
    <w:p w14:paraId="600F0D9B" w14:textId="77777777" w:rsidR="009C23F0" w:rsidRPr="00CE1730" w:rsidRDefault="009C23F0" w:rsidP="009F1E1A">
      <w:pPr>
        <w:pStyle w:val="ListBullet"/>
      </w:pPr>
      <w:r w:rsidRPr="00CE1730">
        <w:t xml:space="preserve">noted the unique subset of patients </w:t>
      </w:r>
      <w:r w:rsidR="00D47AE3">
        <w:t>who would require this medicine; and</w:t>
      </w:r>
    </w:p>
    <w:p w14:paraId="2575256F" w14:textId="77777777" w:rsidR="00FF7EF3" w:rsidRDefault="00DE62E8" w:rsidP="009F1E1A">
      <w:pPr>
        <w:pStyle w:val="ListBullet"/>
      </w:pPr>
      <w:proofErr w:type="gramStart"/>
      <w:r>
        <w:t>noted</w:t>
      </w:r>
      <w:proofErr w:type="gramEnd"/>
      <w:r>
        <w:t xml:space="preserve"> </w:t>
      </w:r>
      <w:r w:rsidR="009C23F0" w:rsidRPr="00CE1730">
        <w:t>both ezetimibe and atorvastatin as individual medicines are available on the Australian market</w:t>
      </w:r>
      <w:r w:rsidR="00FF7EF3">
        <w:t>.</w:t>
      </w:r>
    </w:p>
    <w:p w14:paraId="102ADE7A" w14:textId="4E15629E" w:rsidR="009C23F0" w:rsidRPr="006A2233" w:rsidRDefault="009C23F0" w:rsidP="006A2233">
      <w:pPr>
        <w:pStyle w:val="Heading5"/>
      </w:pPr>
      <w:r w:rsidRPr="006A2233">
        <w:t xml:space="preserve">Proposed conditions of registration </w:t>
      </w:r>
    </w:p>
    <w:p w14:paraId="57A5A458" w14:textId="77777777" w:rsidR="009C23F0" w:rsidRDefault="009C23F0" w:rsidP="009C23F0">
      <w:pPr>
        <w:pStyle w:val="Default"/>
        <w:spacing w:after="200"/>
        <w:rPr>
          <w:sz w:val="22"/>
          <w:szCs w:val="22"/>
        </w:rPr>
      </w:pPr>
      <w:r>
        <w:rPr>
          <w:sz w:val="22"/>
          <w:szCs w:val="22"/>
        </w:rPr>
        <w:t xml:space="preserve">The ACM agreed with the </w:t>
      </w:r>
      <w:r w:rsidR="006A2233">
        <w:rPr>
          <w:sz w:val="22"/>
          <w:szCs w:val="22"/>
        </w:rPr>
        <w:t>D</w:t>
      </w:r>
      <w:r>
        <w:rPr>
          <w:sz w:val="22"/>
          <w:szCs w:val="22"/>
        </w:rPr>
        <w:t xml:space="preserve">elegate on the proposed conditions of registration and advised on </w:t>
      </w:r>
      <w:r w:rsidR="00B904DA">
        <w:rPr>
          <w:sz w:val="22"/>
          <w:szCs w:val="22"/>
        </w:rPr>
        <w:t>the inclusion of the following:</w:t>
      </w:r>
    </w:p>
    <w:p w14:paraId="089E9C63" w14:textId="77777777" w:rsidR="009C23F0" w:rsidRPr="00B904DA" w:rsidRDefault="009C23F0" w:rsidP="00B904DA">
      <w:pPr>
        <w:pStyle w:val="ListBullet"/>
      </w:pPr>
      <w:r w:rsidRPr="00B904DA">
        <w:t xml:space="preserve">Subject to satisfactory implementation of the </w:t>
      </w:r>
      <w:r w:rsidR="00B904DA">
        <w:t>RMP</w:t>
      </w:r>
      <w:r w:rsidRPr="00B904DA">
        <w:t xml:space="preserve"> most recently negotiated by </w:t>
      </w:r>
      <w:r w:rsidR="0014338D">
        <w:t>TGA; and</w:t>
      </w:r>
    </w:p>
    <w:p w14:paraId="553FD8A5" w14:textId="77777777" w:rsidR="00FF7EF3" w:rsidRDefault="009C23F0" w:rsidP="00B904DA">
      <w:pPr>
        <w:pStyle w:val="ListBullet"/>
      </w:pPr>
      <w:r w:rsidRPr="00B904DA">
        <w:t xml:space="preserve">Negotiation of the </w:t>
      </w:r>
      <w:r w:rsidR="00086C66">
        <w:t>PI and CMI</w:t>
      </w:r>
      <w:r w:rsidR="00E04A63">
        <w:t xml:space="preserve"> to the satisfaction of </w:t>
      </w:r>
      <w:r w:rsidRPr="00B904DA">
        <w:t>TGA</w:t>
      </w:r>
      <w:r w:rsidR="00FF7EF3">
        <w:t>.</w:t>
      </w:r>
    </w:p>
    <w:p w14:paraId="4E176B7A" w14:textId="1A29EB98" w:rsidR="009C23F0" w:rsidRPr="00E04A63" w:rsidRDefault="009C23F0" w:rsidP="00E04A63">
      <w:pPr>
        <w:pStyle w:val="Heading5"/>
      </w:pPr>
      <w:r w:rsidRPr="00E04A63">
        <w:t>Pro</w:t>
      </w:r>
      <w:r w:rsidR="00E04A63">
        <w:t>posed Product Information (PI)/</w:t>
      </w:r>
      <w:r w:rsidRPr="00E04A63">
        <w:t xml:space="preserve">Consumer Medicine Information (CMI) amendments </w:t>
      </w:r>
    </w:p>
    <w:p w14:paraId="738314CA" w14:textId="77777777" w:rsidR="001E6856" w:rsidRDefault="00E04A63" w:rsidP="00E04A63">
      <w:r>
        <w:t>The ACM agreed with the D</w:t>
      </w:r>
      <w:r w:rsidR="009C23F0" w:rsidRPr="00E04A63">
        <w:t xml:space="preserve">elegate to the proposed amendments to the </w:t>
      </w:r>
      <w:r>
        <w:t>PI</w:t>
      </w:r>
      <w:r w:rsidR="009C23F0" w:rsidRPr="00E04A63">
        <w:t xml:space="preserve"> and C</w:t>
      </w:r>
      <w:r>
        <w:t>MI</w:t>
      </w:r>
      <w:r w:rsidR="009C23F0" w:rsidRPr="00E04A63">
        <w:t xml:space="preserve"> and specifically advised on the inclusion of the following:</w:t>
      </w:r>
    </w:p>
    <w:p w14:paraId="2575D32C" w14:textId="77777777" w:rsidR="00FF7EF3" w:rsidRDefault="00186DB6" w:rsidP="00186DB6">
      <w:pPr>
        <w:ind w:firstLine="720"/>
        <w:rPr>
          <w:b/>
          <w:i/>
        </w:rPr>
      </w:pPr>
      <w:r w:rsidRPr="00186DB6">
        <w:rPr>
          <w:b/>
          <w:i/>
        </w:rPr>
        <w:t>Prevention of Cardiovascular disease</w:t>
      </w:r>
      <w:r w:rsidR="00FF7EF3">
        <w:rPr>
          <w:b/>
          <w:i/>
        </w:rPr>
        <w:t>:</w:t>
      </w:r>
    </w:p>
    <w:p w14:paraId="24160D50" w14:textId="77777777" w:rsidR="00FF7EF3" w:rsidRDefault="00186DB6" w:rsidP="00DE62E8">
      <w:pPr>
        <w:pStyle w:val="ListBullet3"/>
        <w:numPr>
          <w:ilvl w:val="0"/>
          <w:numId w:val="0"/>
        </w:numPr>
        <w:ind w:left="720"/>
      </w:pPr>
      <w:r w:rsidRPr="00186DB6">
        <w:t>A statement in the PI and relevant sections of t</w:t>
      </w:r>
      <w:r w:rsidR="00DE62E8">
        <w:t xml:space="preserve">he CMI to address product usage </w:t>
      </w:r>
      <w:r w:rsidRPr="00186DB6">
        <w:t>including</w:t>
      </w:r>
      <w:r w:rsidR="00FF7EF3">
        <w:t>:</w:t>
      </w:r>
    </w:p>
    <w:p w14:paraId="46A3192A" w14:textId="77777777" w:rsidR="00FF7EF3" w:rsidRDefault="00186DB6" w:rsidP="00DE62E8">
      <w:pPr>
        <w:pStyle w:val="ListBullet3"/>
      </w:pPr>
      <w:r w:rsidRPr="00186DB6">
        <w:t>Clear statements that no clinical trials have been undertaken with atorvastatin and ezetimibe combination for the requested indication</w:t>
      </w:r>
      <w:r w:rsidR="00FF7EF3">
        <w:t>.</w:t>
      </w:r>
    </w:p>
    <w:p w14:paraId="4C7FDFDA" w14:textId="77777777" w:rsidR="00FF7EF3" w:rsidRDefault="00186DB6" w:rsidP="00DE62E8">
      <w:pPr>
        <w:pStyle w:val="ListBullet3"/>
      </w:pPr>
      <w:r w:rsidRPr="00186DB6">
        <w:t>Highlight that the benefit may be smaller when ezetimibe is used in conjunction with a higher potency statin such as atorvastatin</w:t>
      </w:r>
      <w:r w:rsidR="00FF7EF3">
        <w:t>.</w:t>
      </w:r>
    </w:p>
    <w:p w14:paraId="164A4857" w14:textId="77777777" w:rsidR="00FF7EF3" w:rsidRDefault="00186DB6" w:rsidP="00DE62E8">
      <w:pPr>
        <w:pStyle w:val="ListBullet3"/>
      </w:pPr>
      <w:r w:rsidRPr="00186DB6">
        <w:t>Clarification as to why Atozet is only available after maximum tolerated dose of atorvastatin has been established and a further lowering of Low-Density Lipoprotein (LDL) is still desired, for the proposed indication</w:t>
      </w:r>
      <w:r w:rsidR="00FF7EF3">
        <w:t>.</w:t>
      </w:r>
    </w:p>
    <w:p w14:paraId="55FA9C67" w14:textId="77777777" w:rsidR="00FF7EF3" w:rsidRDefault="00186DB6" w:rsidP="00DE62E8">
      <w:pPr>
        <w:pStyle w:val="ListBullet3"/>
      </w:pPr>
      <w:r w:rsidRPr="00186DB6">
        <w:lastRenderedPageBreak/>
        <w:t>Inclusion of IMPROVE-IT data with clear identification that this refers to a different drug combination</w:t>
      </w:r>
      <w:r w:rsidR="000E63D4">
        <w:t xml:space="preserve"> </w:t>
      </w:r>
      <w:r w:rsidRPr="00186DB6">
        <w:t>(ezetimibe/simvastatin)</w:t>
      </w:r>
      <w:r w:rsidR="00FF7EF3">
        <w:t>.</w:t>
      </w:r>
    </w:p>
    <w:p w14:paraId="12BEEFAB" w14:textId="77777777" w:rsidR="00FF7EF3" w:rsidRDefault="00186DB6" w:rsidP="00DE62E8">
      <w:pPr>
        <w:pStyle w:val="ListBullet3"/>
      </w:pPr>
      <w:r w:rsidRPr="00186DB6">
        <w:t>Highlight that it is unlikely that many patients would require prescription of the lower dose of Atozet for the requested indication</w:t>
      </w:r>
      <w:r w:rsidR="00FF7EF3">
        <w:t>.</w:t>
      </w:r>
    </w:p>
    <w:p w14:paraId="69BD463D" w14:textId="0A4EF94F" w:rsidR="000E63D4" w:rsidRPr="000E63D4" w:rsidRDefault="000E63D4" w:rsidP="000E63D4">
      <w:pPr>
        <w:pStyle w:val="Heading5"/>
        <w:rPr>
          <w:rFonts w:eastAsiaTheme="minorHAnsi"/>
        </w:rPr>
      </w:pPr>
      <w:r w:rsidRPr="000E63D4">
        <w:rPr>
          <w:rFonts w:eastAsiaTheme="minorHAnsi"/>
        </w:rPr>
        <w:t xml:space="preserve">Specific </w:t>
      </w:r>
      <w:r>
        <w:rPr>
          <w:rFonts w:eastAsiaTheme="minorHAnsi"/>
        </w:rPr>
        <w:t>a</w:t>
      </w:r>
      <w:r w:rsidRPr="000E63D4">
        <w:rPr>
          <w:rFonts w:eastAsiaTheme="minorHAnsi"/>
        </w:rPr>
        <w:t xml:space="preserve">dvice </w:t>
      </w:r>
    </w:p>
    <w:p w14:paraId="7138F5BA" w14:textId="77777777" w:rsidR="00FF7EF3" w:rsidRDefault="000E63D4" w:rsidP="000E63D4">
      <w:r w:rsidRPr="000E63D4">
        <w:t xml:space="preserve">The ACM advised the following in response to the </w:t>
      </w:r>
      <w:r w:rsidR="00DE2797">
        <w:t>D</w:t>
      </w:r>
      <w:r w:rsidRPr="000E63D4">
        <w:t>elegate’s specific questions on the submission</w:t>
      </w:r>
      <w:r w:rsidR="00FF7EF3">
        <w:t>:</w:t>
      </w:r>
    </w:p>
    <w:p w14:paraId="28D280D7" w14:textId="77777777" w:rsidR="00FF7EF3" w:rsidRDefault="000E63D4" w:rsidP="005D3047">
      <w:pPr>
        <w:pStyle w:val="ListBullet"/>
        <w:numPr>
          <w:ilvl w:val="0"/>
          <w:numId w:val="0"/>
        </w:numPr>
        <w:ind w:left="360"/>
        <w:rPr>
          <w:i/>
        </w:rPr>
      </w:pPr>
      <w:r w:rsidRPr="005863CA">
        <w:rPr>
          <w:i/>
        </w:rPr>
        <w:t>1. A number of extrapolations underpin the sponsor’s proposed new indication for Atozet/Zeteze (see Summary of Issues, above). Please comment on whether the sponsor has provided sufficient justification for these extrapolations in support of its proposed indication</w:t>
      </w:r>
      <w:r w:rsidR="00FF7EF3">
        <w:rPr>
          <w:i/>
        </w:rPr>
        <w:t>.</w:t>
      </w:r>
    </w:p>
    <w:p w14:paraId="1EFF980E" w14:textId="77777777" w:rsidR="00FF7EF3" w:rsidRDefault="000E63D4" w:rsidP="000E63D4">
      <w:r w:rsidRPr="000E63D4">
        <w:t>The ACM discussed that the existing accepted indications for each c</w:t>
      </w:r>
      <w:r w:rsidR="000F2199">
        <w:t>omponent of the proposed FDC (that is,</w:t>
      </w:r>
      <w:r w:rsidRPr="000E63D4">
        <w:t xml:space="preserve"> ezetimibe and atorvastatin) allow for the revised indication proposed for the FDC</w:t>
      </w:r>
      <w:r w:rsidR="00FF7EF3">
        <w:t>.</w:t>
      </w:r>
    </w:p>
    <w:p w14:paraId="186823AC" w14:textId="77777777" w:rsidR="00FF7EF3" w:rsidRDefault="000E63D4" w:rsidP="005D3047">
      <w:pPr>
        <w:pStyle w:val="ListBullet"/>
        <w:numPr>
          <w:ilvl w:val="0"/>
          <w:numId w:val="0"/>
        </w:numPr>
        <w:ind w:left="360"/>
        <w:rPr>
          <w:i/>
        </w:rPr>
      </w:pPr>
      <w:r w:rsidRPr="005863CA">
        <w:rPr>
          <w:i/>
        </w:rPr>
        <w:t>2. The committee is (also) requested to provide advice on any other issues that it thinks may be relevant to a decision on whether or not to approve this application</w:t>
      </w:r>
      <w:r w:rsidR="00FF7EF3">
        <w:rPr>
          <w:i/>
        </w:rPr>
        <w:t>.</w:t>
      </w:r>
    </w:p>
    <w:p w14:paraId="55FE6793" w14:textId="77777777" w:rsidR="00FF7EF3" w:rsidRDefault="000E63D4" w:rsidP="000E63D4">
      <w:r w:rsidRPr="000E63D4">
        <w:t>The ACM advised that this combination should only be available as a second line agent once maximum tolerated dose of atorvastatin (or equivalent statin and dose) has been established</w:t>
      </w:r>
      <w:r w:rsidR="00FF7EF3">
        <w:t>.</w:t>
      </w:r>
    </w:p>
    <w:p w14:paraId="343F9038" w14:textId="6E2D2C03" w:rsidR="000E63D4" w:rsidRPr="000E63D4" w:rsidRDefault="000E63D4" w:rsidP="000E63D4">
      <w:r w:rsidRPr="000E63D4">
        <w:t>The ACM advised that implementation by the sponsor of the recommendations outlined a</w:t>
      </w:r>
      <w:r w:rsidR="00DE2797">
        <w:t xml:space="preserve">bove to the satisfaction of </w:t>
      </w:r>
      <w:r w:rsidRPr="000E63D4">
        <w:t>TGA, in addition to the evidence of efficacy and safety provided would support the safe and effective use of these products.</w:t>
      </w:r>
    </w:p>
    <w:p w14:paraId="058C8233" w14:textId="77777777" w:rsidR="008E7846" w:rsidRPr="002E238E" w:rsidRDefault="008E7846" w:rsidP="008E7846">
      <w:pPr>
        <w:pStyle w:val="Heading3"/>
      </w:pPr>
      <w:bookmarkStart w:id="195" w:name="_Toc247691532"/>
      <w:bookmarkStart w:id="196" w:name="_Toc314842516"/>
      <w:bookmarkStart w:id="197" w:name="_Toc484783898"/>
      <w:bookmarkEnd w:id="74"/>
      <w:bookmarkEnd w:id="193"/>
      <w:bookmarkEnd w:id="194"/>
      <w:r>
        <w:t>Outcome</w:t>
      </w:r>
      <w:bookmarkEnd w:id="195"/>
      <w:bookmarkEnd w:id="196"/>
      <w:bookmarkEnd w:id="197"/>
    </w:p>
    <w:p w14:paraId="7A6B876F" w14:textId="77777777" w:rsidR="00D23139" w:rsidRDefault="00D23139" w:rsidP="00D23139">
      <w:bookmarkStart w:id="198" w:name="_Toc247691533"/>
      <w:bookmarkStart w:id="199" w:name="_Toc314842517"/>
      <w:r w:rsidRPr="00D23139">
        <w:t xml:space="preserve">Based on a review of quality, safety and efficacy, TGA approved </w:t>
      </w:r>
      <w:r w:rsidR="00EE19F3" w:rsidRPr="00EE19F3">
        <w:t>the registration of A</w:t>
      </w:r>
      <w:r w:rsidR="00C53AB0">
        <w:t>tozet</w:t>
      </w:r>
      <w:r w:rsidR="00CB6FFC">
        <w:t>/</w:t>
      </w:r>
      <w:r w:rsidR="00EE19F3" w:rsidRPr="00EE19F3">
        <w:t>Z</w:t>
      </w:r>
      <w:r w:rsidR="00EE19F3">
        <w:t>eteze</w:t>
      </w:r>
      <w:r w:rsidR="00EE19F3" w:rsidRPr="00EE19F3">
        <w:t xml:space="preserve"> containing ezetimibe and atorvastatin for the </w:t>
      </w:r>
      <w:r w:rsidR="00EE19F3" w:rsidRPr="00C44616">
        <w:rPr>
          <w:b/>
        </w:rPr>
        <w:t>new indication</w:t>
      </w:r>
      <w:r w:rsidRPr="00D23139">
        <w:t>:</w:t>
      </w:r>
    </w:p>
    <w:p w14:paraId="0A37B446" w14:textId="77777777" w:rsidR="00CB6FFC" w:rsidRPr="008E52BD" w:rsidRDefault="00CB6FFC" w:rsidP="00A338FB">
      <w:pPr>
        <w:ind w:left="720"/>
        <w:rPr>
          <w:b/>
          <w:i/>
        </w:rPr>
      </w:pPr>
      <w:r w:rsidRPr="008E52BD">
        <w:rPr>
          <w:b/>
          <w:i/>
        </w:rPr>
        <w:t>Prevention of Cardiovascular Disease</w:t>
      </w:r>
    </w:p>
    <w:p w14:paraId="160B9A27" w14:textId="77777777" w:rsidR="00CB6FFC" w:rsidRDefault="00CB6FFC" w:rsidP="00A338FB">
      <w:pPr>
        <w:ind w:left="720"/>
      </w:pPr>
      <w:r w:rsidRPr="00A338FB">
        <w:rPr>
          <w:i/>
        </w:rPr>
        <w:t>A</w:t>
      </w:r>
      <w:r w:rsidR="00C53AB0">
        <w:rPr>
          <w:i/>
        </w:rPr>
        <w:t>tozet/</w:t>
      </w:r>
      <w:r w:rsidRPr="00A338FB">
        <w:rPr>
          <w:i/>
        </w:rPr>
        <w:t>Zeteze is indicated in patients with coronary heart disease (CHD) and a history of acute coronary syndrome (ACS) taking their maximum tolerated dose of atorvastatin and in need of additional lowering of LDL-C in the expectation of a modest further reduction in the risk of cardiovascular events following at least one year of therapy (see Clinical Trials).</w:t>
      </w:r>
    </w:p>
    <w:p w14:paraId="562590E6" w14:textId="77777777" w:rsidR="004064A0" w:rsidRDefault="004B26C1" w:rsidP="00D23139">
      <w:r>
        <w:t xml:space="preserve">The </w:t>
      </w:r>
      <w:r w:rsidRPr="00C44616">
        <w:rPr>
          <w:b/>
        </w:rPr>
        <w:t>full indications</w:t>
      </w:r>
      <w:r>
        <w:t xml:space="preserve"> are now:</w:t>
      </w:r>
    </w:p>
    <w:p w14:paraId="7A34B360" w14:textId="77777777" w:rsidR="00C44616" w:rsidRPr="008E52BD" w:rsidRDefault="00C44616" w:rsidP="00C44616">
      <w:pPr>
        <w:ind w:left="720"/>
        <w:rPr>
          <w:b/>
          <w:i/>
        </w:rPr>
      </w:pPr>
      <w:r w:rsidRPr="008E52BD">
        <w:rPr>
          <w:b/>
          <w:i/>
        </w:rPr>
        <w:t>Prevention of Cardiovascular Disease</w:t>
      </w:r>
    </w:p>
    <w:p w14:paraId="52D25253" w14:textId="77777777" w:rsidR="00C44616" w:rsidRPr="00C44616" w:rsidRDefault="00C44616" w:rsidP="00C44616">
      <w:pPr>
        <w:ind w:left="720"/>
      </w:pPr>
      <w:r w:rsidRPr="00A338FB">
        <w:rPr>
          <w:i/>
        </w:rPr>
        <w:t>A</w:t>
      </w:r>
      <w:r w:rsidR="00C53AB0">
        <w:rPr>
          <w:i/>
        </w:rPr>
        <w:t>tozet/</w:t>
      </w:r>
      <w:r w:rsidRPr="00A338FB">
        <w:rPr>
          <w:i/>
        </w:rPr>
        <w:t>Zeteze is indicated in patients with coronary heart disease (CHD) and a history of acute coronary syndrome (ACS) taking their maximum tolerated dose of atorvastatin and in need of additional lowering of LDL-C in the expectation of a modest further reduction in the risk of cardiovascular events following at least one year of therapy (see Clinical Trials).</w:t>
      </w:r>
    </w:p>
    <w:p w14:paraId="69AD1C15" w14:textId="77777777" w:rsidR="00C44616" w:rsidRPr="008E52BD" w:rsidRDefault="00C44616" w:rsidP="008E52BD">
      <w:pPr>
        <w:ind w:left="720"/>
        <w:rPr>
          <w:b/>
          <w:i/>
        </w:rPr>
      </w:pPr>
      <w:r w:rsidRPr="008E52BD">
        <w:rPr>
          <w:b/>
          <w:i/>
        </w:rPr>
        <w:t>Primary Hypercholesterolaemia</w:t>
      </w:r>
    </w:p>
    <w:p w14:paraId="311B3AFB" w14:textId="77777777" w:rsidR="00C44616" w:rsidRPr="008E52BD" w:rsidRDefault="008E52BD" w:rsidP="008E52BD">
      <w:pPr>
        <w:ind w:left="720"/>
        <w:rPr>
          <w:i/>
        </w:rPr>
      </w:pPr>
      <w:r w:rsidRPr="00A338FB">
        <w:rPr>
          <w:i/>
        </w:rPr>
        <w:t>A</w:t>
      </w:r>
      <w:r w:rsidR="00C53AB0">
        <w:rPr>
          <w:i/>
        </w:rPr>
        <w:t>tozet/</w:t>
      </w:r>
      <w:r w:rsidRPr="00A338FB">
        <w:rPr>
          <w:i/>
        </w:rPr>
        <w:t xml:space="preserve">Zeteze </w:t>
      </w:r>
      <w:r w:rsidR="00C44616" w:rsidRPr="008E52BD">
        <w:rPr>
          <w:i/>
        </w:rPr>
        <w:t>is indicated as adjunctive therapy to diet in patients with primary (heterozygous familial and non-familial) hypercholesterolaemia where use of a combination product is appropriate in those patients:</w:t>
      </w:r>
    </w:p>
    <w:p w14:paraId="7CB2717E" w14:textId="77777777" w:rsidR="00C44616" w:rsidRPr="008E52BD" w:rsidRDefault="00C44616" w:rsidP="008E52BD">
      <w:pPr>
        <w:pStyle w:val="ListBullet3"/>
        <w:rPr>
          <w:i/>
        </w:rPr>
      </w:pPr>
      <w:r w:rsidRPr="008E52BD">
        <w:rPr>
          <w:i/>
        </w:rPr>
        <w:t>not appropriately controlled with atorvastatin or ezetimibe alone; or</w:t>
      </w:r>
    </w:p>
    <w:p w14:paraId="64B8E575" w14:textId="77777777" w:rsidR="00C44616" w:rsidRPr="008E52BD" w:rsidRDefault="00C44616" w:rsidP="008E52BD">
      <w:pPr>
        <w:pStyle w:val="ListBullet3"/>
        <w:rPr>
          <w:i/>
        </w:rPr>
      </w:pPr>
      <w:r w:rsidRPr="008E52BD">
        <w:rPr>
          <w:i/>
        </w:rPr>
        <w:t>already treated with atorvastatin and ezetimibe</w:t>
      </w:r>
    </w:p>
    <w:p w14:paraId="2447AEEB" w14:textId="77777777" w:rsidR="00C44616" w:rsidRPr="008E52BD" w:rsidRDefault="00C44616" w:rsidP="008E52BD">
      <w:pPr>
        <w:ind w:left="720"/>
        <w:rPr>
          <w:b/>
          <w:i/>
        </w:rPr>
      </w:pPr>
      <w:r w:rsidRPr="008E52BD">
        <w:rPr>
          <w:b/>
          <w:i/>
        </w:rPr>
        <w:lastRenderedPageBreak/>
        <w:t xml:space="preserve">Homozygous Familial </w:t>
      </w:r>
      <w:proofErr w:type="spellStart"/>
      <w:r w:rsidRPr="008E52BD">
        <w:rPr>
          <w:b/>
          <w:i/>
        </w:rPr>
        <w:t>Hypercholesterolaemia</w:t>
      </w:r>
      <w:proofErr w:type="spellEnd"/>
      <w:r w:rsidRPr="008E52BD">
        <w:rPr>
          <w:b/>
          <w:i/>
        </w:rPr>
        <w:t xml:space="preserve"> (</w:t>
      </w:r>
      <w:proofErr w:type="spellStart"/>
      <w:r w:rsidRPr="008E52BD">
        <w:rPr>
          <w:b/>
          <w:i/>
        </w:rPr>
        <w:t>HoFH</w:t>
      </w:r>
      <w:proofErr w:type="spellEnd"/>
      <w:r w:rsidRPr="008E52BD">
        <w:rPr>
          <w:b/>
          <w:i/>
        </w:rPr>
        <w:t>)</w:t>
      </w:r>
    </w:p>
    <w:p w14:paraId="6D0E390C" w14:textId="77777777" w:rsidR="004B26C1" w:rsidRPr="008E52BD" w:rsidRDefault="008E52BD" w:rsidP="008E52BD">
      <w:pPr>
        <w:ind w:left="720"/>
      </w:pPr>
      <w:r w:rsidRPr="00A338FB">
        <w:rPr>
          <w:i/>
        </w:rPr>
        <w:t>A</w:t>
      </w:r>
      <w:r w:rsidR="00C53AB0">
        <w:rPr>
          <w:i/>
        </w:rPr>
        <w:t>tozet/</w:t>
      </w:r>
      <w:r w:rsidRPr="00A338FB">
        <w:rPr>
          <w:i/>
        </w:rPr>
        <w:t xml:space="preserve">Zeteze </w:t>
      </w:r>
      <w:r w:rsidR="00C44616" w:rsidRPr="008E52BD">
        <w:rPr>
          <w:i/>
        </w:rPr>
        <w:t xml:space="preserve">is indicated in patients with </w:t>
      </w:r>
      <w:proofErr w:type="spellStart"/>
      <w:r w:rsidR="00C44616" w:rsidRPr="008E52BD">
        <w:rPr>
          <w:i/>
        </w:rPr>
        <w:t>HoFH</w:t>
      </w:r>
      <w:proofErr w:type="spellEnd"/>
      <w:r w:rsidR="00C44616" w:rsidRPr="008E52BD">
        <w:rPr>
          <w:i/>
        </w:rPr>
        <w:t>. Patients may also receive adjunctive treatments (e.g. LDL apheresis).</w:t>
      </w:r>
    </w:p>
    <w:p w14:paraId="55AF6CBB" w14:textId="77777777" w:rsidR="00D23139" w:rsidRPr="00D23139" w:rsidRDefault="00D23139" w:rsidP="00D23139">
      <w:pPr>
        <w:pStyle w:val="Heading4"/>
      </w:pPr>
      <w:r w:rsidRPr="00D23139">
        <w:t>Specific conditions of registration applying to these goods</w:t>
      </w:r>
    </w:p>
    <w:p w14:paraId="45EB2703" w14:textId="77777777" w:rsidR="00D23139" w:rsidRPr="00D23139" w:rsidRDefault="00BE774A" w:rsidP="00D23139">
      <w:r w:rsidRPr="00BE774A">
        <w:t xml:space="preserve">The ezetimibe/atorvastatin </w:t>
      </w:r>
      <w:r w:rsidR="003577DF">
        <w:t>EU-RMP</w:t>
      </w:r>
      <w:r w:rsidRPr="00BE774A">
        <w:t>, version 4.0 dated 14 March 2</w:t>
      </w:r>
      <w:bookmarkStart w:id="200" w:name="_GoBack"/>
      <w:bookmarkEnd w:id="200"/>
      <w:r w:rsidRPr="00BE774A">
        <w:t xml:space="preserve">015 (DLP 23 January 2015) with </w:t>
      </w:r>
      <w:r w:rsidR="00581676">
        <w:t>ASA</w:t>
      </w:r>
      <w:r w:rsidRPr="00BE774A">
        <w:t xml:space="preserve"> version 1.1 dated February 2016, included with submission PM-2016-00417-1-3, and any subsequen</w:t>
      </w:r>
      <w:r>
        <w:t xml:space="preserve">t revisions, as agreed with </w:t>
      </w:r>
      <w:r w:rsidRPr="00BE774A">
        <w:t>TGA will be implemented in Australia.</w:t>
      </w:r>
    </w:p>
    <w:p w14:paraId="69447933" w14:textId="77777777" w:rsidR="008E7846" w:rsidRDefault="00A80B5B" w:rsidP="00D23139">
      <w:pPr>
        <w:pStyle w:val="Heading2"/>
      </w:pPr>
      <w:bookmarkStart w:id="201" w:name="_Toc484783899"/>
      <w:proofErr w:type="gramStart"/>
      <w:r>
        <w:t>Attachment 1.</w:t>
      </w:r>
      <w:proofErr w:type="gramEnd"/>
      <w:r>
        <w:t xml:space="preserve"> </w:t>
      </w:r>
      <w:r w:rsidR="008E7846">
        <w:t xml:space="preserve">Product </w:t>
      </w:r>
      <w:r w:rsidR="00AA0ED0">
        <w:t>I</w:t>
      </w:r>
      <w:r w:rsidR="008E7846">
        <w:t>nformation</w:t>
      </w:r>
      <w:bookmarkEnd w:id="198"/>
      <w:bookmarkEnd w:id="199"/>
      <w:bookmarkEnd w:id="201"/>
    </w:p>
    <w:p w14:paraId="02EA94F0" w14:textId="77777777" w:rsidR="00C80137" w:rsidRDefault="002B3624" w:rsidP="00C80137">
      <w:pPr>
        <w:rPr>
          <w:color w:val="000000"/>
          <w:lang w:eastAsia="en-AU"/>
        </w:rPr>
      </w:pPr>
      <w:r w:rsidRPr="00232A97">
        <w:t xml:space="preserve">The </w:t>
      </w:r>
      <w:r w:rsidR="00133A1B" w:rsidRPr="00232A97">
        <w:t>PI</w:t>
      </w:r>
      <w:r w:rsidRPr="00232A97">
        <w:t xml:space="preserve"> approved for </w:t>
      </w:r>
      <w:r w:rsidR="00BE774A">
        <w:t>Atozet/</w:t>
      </w:r>
      <w:r w:rsidR="00A8772E">
        <w:t>Zeteze</w:t>
      </w:r>
      <w:r w:rsidRPr="00232A97">
        <w:t xml:space="preserve"> at the time this AusPAR was published is at Attachment 1. For the most recent </w:t>
      </w:r>
      <w:r w:rsidR="00133A1B" w:rsidRPr="00232A97">
        <w:t>PI,</w:t>
      </w:r>
      <w:r w:rsidRPr="00232A97">
        <w:t xml:space="preserve"> please refer to the </w:t>
      </w:r>
      <w:r w:rsidR="007C6B9B" w:rsidRPr="00232A97">
        <w:t>TGA website at &lt;</w:t>
      </w:r>
      <w:hyperlink r:id="rId16" w:history="1">
        <w:r w:rsidR="007C6B9B" w:rsidRPr="00232A97">
          <w:rPr>
            <w:rStyle w:val="Hyperlink"/>
          </w:rPr>
          <w:t>https://www.tga.gov.au/product-information-pi</w:t>
        </w:r>
      </w:hyperlink>
      <w:r w:rsidR="00232A97">
        <w:t>&gt;.</w:t>
      </w:r>
    </w:p>
    <w:p w14:paraId="7C6074E1" w14:textId="77777777" w:rsidR="00C80137" w:rsidRDefault="00C80137" w:rsidP="00C80137">
      <w:pPr>
        <w:pStyle w:val="Heading2"/>
        <w:rPr>
          <w:lang w:eastAsia="en-AU"/>
        </w:rPr>
      </w:pPr>
      <w:bookmarkStart w:id="202" w:name="_Toc484783900"/>
      <w:proofErr w:type="gramStart"/>
      <w:r>
        <w:rPr>
          <w:lang w:eastAsia="en-AU"/>
        </w:rPr>
        <w:t>Attachment 2.</w:t>
      </w:r>
      <w:proofErr w:type="gramEnd"/>
      <w:r w:rsidR="00A80B5B">
        <w:rPr>
          <w:lang w:eastAsia="en-AU"/>
        </w:rPr>
        <w:t xml:space="preserve"> </w:t>
      </w:r>
      <w:r>
        <w:rPr>
          <w:lang w:eastAsia="en-AU"/>
        </w:rPr>
        <w:t>Extract from the Clinical Evaluation Report</w:t>
      </w:r>
      <w:bookmarkEnd w:id="202"/>
    </w:p>
    <w:p w14:paraId="1B70D6B3" w14:textId="77777777" w:rsidR="00291957" w:rsidRDefault="008E7846" w:rsidP="00232A97">
      <w:pPr>
        <w:autoSpaceDE w:val="0"/>
        <w:autoSpaceDN w:val="0"/>
        <w:adjustRightInd w:val="0"/>
        <w:spacing w:after="0"/>
        <w:rPr>
          <w:lang w:eastAsia="ja-JP"/>
        </w:rPr>
      </w:pPr>
      <w:r w:rsidRPr="00C80137">
        <w:rPr>
          <w:b/>
        </w:rPr>
        <w:br w:type="page"/>
      </w:r>
    </w:p>
    <w:p w14:paraId="52E95E47" w14:textId="77777777" w:rsidR="00C80137" w:rsidRPr="001D043B" w:rsidRDefault="00C80137" w:rsidP="003A7F6C">
      <w:pPr>
        <w:pStyle w:val="TableTitle"/>
        <w:sectPr w:rsidR="00C80137" w:rsidRPr="001D043B" w:rsidSect="00B452CE">
          <w:headerReference w:type="even" r:id="rId17"/>
          <w:headerReference w:type="default" r:id="rId18"/>
          <w:headerReference w:type="first" r:id="rId19"/>
          <w:footerReference w:type="first" r:id="rId20"/>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766BDD8B" w14:textId="77777777" w:rsidTr="00A05FA4">
        <w:trPr>
          <w:trHeight w:hRule="exact" w:val="704"/>
        </w:trPr>
        <w:tc>
          <w:tcPr>
            <w:tcW w:w="9175" w:type="dxa"/>
          </w:tcPr>
          <w:p w14:paraId="5DD2AE0C" w14:textId="77777777" w:rsidR="001C32CD" w:rsidRPr="00487162" w:rsidRDefault="001C32CD" w:rsidP="00A05FA4">
            <w:pPr>
              <w:pStyle w:val="TGASignoff"/>
            </w:pPr>
            <w:r w:rsidRPr="00487162">
              <w:lastRenderedPageBreak/>
              <w:t>Therapeutic Goods Administration</w:t>
            </w:r>
          </w:p>
        </w:tc>
      </w:tr>
      <w:tr w:rsidR="001C32CD" w:rsidRPr="004C239D" w14:paraId="132ABE21" w14:textId="77777777" w:rsidTr="00A05FA4">
        <w:trPr>
          <w:trHeight w:val="1221"/>
        </w:trPr>
        <w:tc>
          <w:tcPr>
            <w:tcW w:w="9175" w:type="dxa"/>
            <w:tcMar>
              <w:top w:w="28" w:type="dxa"/>
            </w:tcMar>
          </w:tcPr>
          <w:p w14:paraId="231F1FE0" w14:textId="77777777" w:rsidR="001C32CD" w:rsidRPr="00487162" w:rsidRDefault="001C32CD" w:rsidP="00A05FA4">
            <w:pPr>
              <w:pStyle w:val="Address"/>
            </w:pPr>
            <w:r w:rsidRPr="00487162">
              <w:t>PO Box 100 Woden ACT 2606 Australia</w:t>
            </w:r>
          </w:p>
          <w:p w14:paraId="7C1689F2" w14:textId="77777777" w:rsidR="001C32CD" w:rsidRPr="00487162" w:rsidRDefault="001C32CD" w:rsidP="00A05FA4">
            <w:pPr>
              <w:pStyle w:val="Address"/>
            </w:pPr>
            <w:r w:rsidRPr="00487162">
              <w:t xml:space="preserve">Email: </w:t>
            </w:r>
            <w:hyperlink r:id="rId21" w:history="1">
              <w:r w:rsidRPr="004C239D">
                <w:rPr>
                  <w:rStyle w:val="Hyperlink"/>
                </w:rPr>
                <w:t>info@tga.gov.au</w:t>
              </w:r>
            </w:hyperlink>
            <w:r w:rsidRPr="00487162">
              <w:t xml:space="preserve">  Phone: 1800 020 653  Fax: 02 6232 8605</w:t>
            </w:r>
          </w:p>
          <w:p w14:paraId="07B70440" w14:textId="77777777" w:rsidR="001C32CD" w:rsidRPr="004C239D" w:rsidRDefault="008F361A" w:rsidP="00A05FA4">
            <w:pPr>
              <w:pStyle w:val="Address"/>
              <w:spacing w:line="260" w:lineRule="atLeast"/>
              <w:rPr>
                <w:b/>
                <w:color w:val="0000FF"/>
                <w:u w:val="single"/>
              </w:rPr>
            </w:pPr>
            <w:hyperlink r:id="rId22" w:history="1">
              <w:r w:rsidR="007C6B9B" w:rsidRPr="007C6B9B">
                <w:rPr>
                  <w:rStyle w:val="Hyperlink"/>
                  <w:b/>
                </w:rPr>
                <w:t>https://www.tga.gov.au</w:t>
              </w:r>
            </w:hyperlink>
          </w:p>
        </w:tc>
      </w:tr>
    </w:tbl>
    <w:p w14:paraId="69CCB846" w14:textId="77777777" w:rsidR="00774E1D" w:rsidRPr="008A5E0B" w:rsidRDefault="00774E1D" w:rsidP="004C239D"/>
    <w:sectPr w:rsidR="00774E1D" w:rsidRPr="008A5E0B" w:rsidSect="001C32CD">
      <w:headerReference w:type="even" r:id="rId23"/>
      <w:headerReference w:type="default" r:id="rId24"/>
      <w:footerReference w:type="default" r:id="rId25"/>
      <w:headerReference w:type="first" r:id="rId26"/>
      <w:footerReference w:type="first" r:id="rId27"/>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54F42" w14:textId="77777777" w:rsidR="000E310E" w:rsidRDefault="000E310E" w:rsidP="00C40A36">
      <w:pPr>
        <w:spacing w:after="0"/>
      </w:pPr>
      <w:r>
        <w:separator/>
      </w:r>
    </w:p>
  </w:endnote>
  <w:endnote w:type="continuationSeparator" w:id="0">
    <w:p w14:paraId="6937DD05" w14:textId="77777777" w:rsidR="000E310E" w:rsidRDefault="000E310E"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83" w:usb1="090F0000" w:usb2="00000010" w:usb3="00000000" w:csb0="001A0009"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291CD7" w:rsidRPr="00487162" w14:paraId="1B574A43" w14:textId="77777777" w:rsidTr="00DB750B">
      <w:trPr>
        <w:trHeight w:val="269"/>
      </w:trPr>
      <w:tc>
        <w:tcPr>
          <w:tcW w:w="7371" w:type="dxa"/>
          <w:tcMar>
            <w:top w:w="142" w:type="dxa"/>
            <w:bottom w:w="0" w:type="dxa"/>
          </w:tcMar>
        </w:tcPr>
        <w:p w14:paraId="64E3A3AC" w14:textId="09EBA5D4" w:rsidR="00291CD7" w:rsidRPr="00487162" w:rsidRDefault="00291CD7" w:rsidP="00692DC2">
          <w:pPr>
            <w:pStyle w:val="Footer"/>
          </w:pPr>
          <w:r w:rsidRPr="00487162">
            <w:t>AusPA</w:t>
          </w:r>
          <w:r>
            <w:t xml:space="preserve">R </w:t>
          </w:r>
          <w:r w:rsidRPr="00D24B1E">
            <w:t>Atozet / Zeteze</w:t>
          </w:r>
          <w:r>
            <w:t xml:space="preserve"> </w:t>
          </w:r>
          <w:r w:rsidRPr="00D24B1E">
            <w:t xml:space="preserve">Merck Sharp &amp; Dohme (Australia) Pty Limited </w:t>
          </w:r>
          <w:r w:rsidRPr="009354A7">
            <w:t>PM-2015-04334-1-3</w:t>
          </w:r>
          <w:r w:rsidR="00201FF6">
            <w:br/>
          </w:r>
          <w:r w:rsidR="008F361A">
            <w:t>Final 11</w:t>
          </w:r>
          <w:r w:rsidR="00943032">
            <w:t xml:space="preserve"> July</w:t>
          </w:r>
          <w:r>
            <w:t xml:space="preserve"> 2017</w:t>
          </w:r>
        </w:p>
      </w:tc>
      <w:tc>
        <w:tcPr>
          <w:tcW w:w="1490" w:type="dxa"/>
          <w:tcMar>
            <w:top w:w="142" w:type="dxa"/>
            <w:bottom w:w="0" w:type="dxa"/>
          </w:tcMar>
        </w:tcPr>
        <w:p w14:paraId="0C0AF4A0" w14:textId="77777777" w:rsidR="00291CD7" w:rsidRPr="00487162" w:rsidRDefault="00291CD7" w:rsidP="00DB750B">
          <w:pPr>
            <w:pStyle w:val="Footer"/>
            <w:jc w:val="right"/>
          </w:pPr>
          <w:r w:rsidRPr="00487162">
            <w:t xml:space="preserve">Page </w:t>
          </w:r>
          <w:r>
            <w:fldChar w:fldCharType="begin"/>
          </w:r>
          <w:r>
            <w:instrText xml:space="preserve"> PAGE  \* Arabic </w:instrText>
          </w:r>
          <w:r>
            <w:fldChar w:fldCharType="separate"/>
          </w:r>
          <w:r w:rsidR="008F361A">
            <w:rPr>
              <w:noProof/>
            </w:rPr>
            <w:t>41</w:t>
          </w:r>
          <w:r>
            <w:fldChar w:fldCharType="end"/>
          </w:r>
          <w:r w:rsidRPr="00487162">
            <w:t xml:space="preserve"> of </w:t>
          </w:r>
          <w:fldSimple w:instr=" NUMPAGES  \* Arabic ">
            <w:r w:rsidR="008F361A">
              <w:rPr>
                <w:noProof/>
              </w:rPr>
              <w:t>42</w:t>
            </w:r>
          </w:fldSimple>
        </w:p>
      </w:tc>
    </w:tr>
  </w:tbl>
  <w:p w14:paraId="7EC89F4A" w14:textId="77777777" w:rsidR="00291CD7" w:rsidRDefault="00291CD7"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291CD7" w:rsidRPr="00487162" w14:paraId="0F0C94E2" w14:textId="77777777" w:rsidTr="00E45619">
      <w:trPr>
        <w:trHeight w:val="269"/>
      </w:trPr>
      <w:tc>
        <w:tcPr>
          <w:tcW w:w="4519" w:type="dxa"/>
          <w:tcBorders>
            <w:top w:val="single" w:sz="4" w:space="0" w:color="auto"/>
          </w:tcBorders>
          <w:tcMar>
            <w:top w:w="142" w:type="dxa"/>
            <w:bottom w:w="0" w:type="dxa"/>
          </w:tcMar>
        </w:tcPr>
        <w:p w14:paraId="3A0178CA" w14:textId="77777777" w:rsidR="00291CD7" w:rsidRPr="00487162" w:rsidRDefault="00291CD7" w:rsidP="00FE1DEE">
          <w:pPr>
            <w:pStyle w:val="Footer"/>
          </w:pPr>
          <w:r w:rsidRPr="00487162">
            <w:t>Document title, Part #, Section # - Section title</w:t>
          </w:r>
        </w:p>
        <w:p w14:paraId="6583BD37" w14:textId="77777777" w:rsidR="00291CD7" w:rsidRPr="00487162" w:rsidRDefault="00291CD7" w:rsidP="00FE1DEE">
          <w:pPr>
            <w:pStyle w:val="Footer"/>
          </w:pPr>
          <w:r w:rsidRPr="00487162">
            <w:t>V1.0 October 2010</w:t>
          </w:r>
        </w:p>
      </w:tc>
      <w:tc>
        <w:tcPr>
          <w:tcW w:w="4342" w:type="dxa"/>
          <w:tcBorders>
            <w:top w:val="single" w:sz="4" w:space="0" w:color="auto"/>
          </w:tcBorders>
          <w:tcMar>
            <w:top w:w="142" w:type="dxa"/>
            <w:bottom w:w="0" w:type="dxa"/>
          </w:tcMar>
        </w:tcPr>
        <w:p w14:paraId="09FECD09" w14:textId="77777777" w:rsidR="00291CD7" w:rsidRPr="00487162" w:rsidRDefault="00291CD7"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4</w:t>
            </w:r>
          </w:fldSimple>
        </w:p>
      </w:tc>
    </w:tr>
  </w:tbl>
  <w:p w14:paraId="70B867EF" w14:textId="77777777" w:rsidR="00291CD7" w:rsidRDefault="00291C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8B130" w14:textId="77777777" w:rsidR="00291CD7" w:rsidRPr="001C32CD" w:rsidRDefault="00291CD7"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291CD7" w14:paraId="3BE22A43" w14:textId="77777777" w:rsidTr="0010601F">
      <w:trPr>
        <w:trHeight w:val="108"/>
      </w:trPr>
      <w:tc>
        <w:tcPr>
          <w:tcW w:w="8875" w:type="dxa"/>
          <w:gridSpan w:val="2"/>
          <w:tcBorders>
            <w:bottom w:val="single" w:sz="4" w:space="0" w:color="auto"/>
          </w:tcBorders>
          <w:tcMar>
            <w:right w:w="284" w:type="dxa"/>
          </w:tcMar>
        </w:tcPr>
        <w:p w14:paraId="50B2F5A7" w14:textId="77777777" w:rsidR="00291CD7" w:rsidRDefault="00291CD7" w:rsidP="006E08B3">
          <w:pPr>
            <w:pStyle w:val="Heading3"/>
          </w:pPr>
          <w:r>
            <w:t>Copyright</w:t>
          </w:r>
        </w:p>
        <w:p w14:paraId="7C86DB82" w14:textId="77777777" w:rsidR="00291CD7" w:rsidRDefault="00291CD7" w:rsidP="006E08B3">
          <w:r>
            <w:rPr>
              <w:rFonts w:cs="Arial"/>
            </w:rPr>
            <w:t>©</w:t>
          </w:r>
          <w:r>
            <w:t xml:space="preserve"> Commonwealth of Australia [add year]</w:t>
          </w:r>
        </w:p>
        <w:p w14:paraId="5CA0143E" w14:textId="77777777" w:rsidR="00291CD7" w:rsidRDefault="00291CD7" w:rsidP="006E08B3"/>
        <w:p w14:paraId="04357ED8" w14:textId="77777777" w:rsidR="00291CD7" w:rsidRDefault="00291CD7"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134FE2AA" w14:textId="77777777" w:rsidR="00291CD7" w:rsidRDefault="00291CD7" w:rsidP="006E08B3"/>
        <w:p w14:paraId="7AB73E17" w14:textId="77777777" w:rsidR="00291CD7" w:rsidRDefault="00291CD7" w:rsidP="006E08B3">
          <w:pPr>
            <w:pStyle w:val="Heading3"/>
          </w:pPr>
          <w:r>
            <w:t>Confidentiality</w:t>
          </w:r>
        </w:p>
        <w:p w14:paraId="62D5EA3F" w14:textId="77777777" w:rsidR="00291CD7" w:rsidRDefault="00291CD7"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43885053" w14:textId="77777777" w:rsidR="00291CD7" w:rsidRDefault="00291CD7" w:rsidP="006E08B3"/>
        <w:p w14:paraId="5F7E4708" w14:textId="77777777" w:rsidR="00291CD7" w:rsidRDefault="00291CD7" w:rsidP="006E08B3">
          <w:r>
            <w:t>For submission made by individuals, all personal details, other than your name, will be removed from your submission before it is published on the TGA’s Internet site.</w:t>
          </w:r>
        </w:p>
        <w:p w14:paraId="0A77F7AB" w14:textId="77777777" w:rsidR="00291CD7" w:rsidRDefault="00291CD7" w:rsidP="006E08B3"/>
        <w:p w14:paraId="376514F7" w14:textId="77777777" w:rsidR="00291CD7" w:rsidRDefault="00291CD7"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291CD7" w14:paraId="2B97EB92" w14:textId="77777777" w:rsidTr="0010601F">
      <w:trPr>
        <w:trHeight w:val="417"/>
      </w:trPr>
      <w:tc>
        <w:tcPr>
          <w:tcW w:w="4519" w:type="dxa"/>
          <w:tcBorders>
            <w:top w:val="single" w:sz="4" w:space="0" w:color="auto"/>
          </w:tcBorders>
          <w:tcMar>
            <w:top w:w="142" w:type="dxa"/>
            <w:bottom w:w="0" w:type="dxa"/>
          </w:tcMar>
        </w:tcPr>
        <w:p w14:paraId="6E7C20B5" w14:textId="77777777" w:rsidR="00291CD7" w:rsidRDefault="00291CD7" w:rsidP="006E08B3">
          <w:r>
            <w:t>Document title, Part #, Section # - Section title</w:t>
          </w:r>
        </w:p>
        <w:p w14:paraId="2AFFADD3" w14:textId="77777777" w:rsidR="00291CD7" w:rsidRDefault="00291CD7" w:rsidP="006E08B3">
          <w:r>
            <w:t>V1.0 October 2010</w:t>
          </w:r>
        </w:p>
      </w:tc>
      <w:tc>
        <w:tcPr>
          <w:tcW w:w="4356" w:type="dxa"/>
          <w:tcBorders>
            <w:top w:val="single" w:sz="4" w:space="0" w:color="auto"/>
          </w:tcBorders>
          <w:tcMar>
            <w:top w:w="142" w:type="dxa"/>
            <w:bottom w:w="0" w:type="dxa"/>
          </w:tcMar>
        </w:tcPr>
        <w:p w14:paraId="2DBC4B0D" w14:textId="77777777" w:rsidR="00291CD7" w:rsidRDefault="00291CD7"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4</w:t>
            </w:r>
          </w:fldSimple>
          <w:r>
            <w:t xml:space="preserve">  </w:t>
          </w:r>
        </w:p>
      </w:tc>
    </w:tr>
  </w:tbl>
  <w:p w14:paraId="7E34FC34" w14:textId="77777777" w:rsidR="00291CD7" w:rsidRDefault="00291C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E4778" w14:textId="77777777" w:rsidR="000E310E" w:rsidRDefault="000E310E" w:rsidP="00C40A36">
      <w:pPr>
        <w:spacing w:after="0"/>
      </w:pPr>
      <w:r>
        <w:separator/>
      </w:r>
    </w:p>
  </w:footnote>
  <w:footnote w:type="continuationSeparator" w:id="0">
    <w:p w14:paraId="29B0825A" w14:textId="77777777" w:rsidR="000E310E" w:rsidRDefault="000E310E" w:rsidP="00C40A36">
      <w:pPr>
        <w:spacing w:after="0"/>
      </w:pPr>
      <w:r>
        <w:continuationSeparator/>
      </w:r>
    </w:p>
  </w:footnote>
  <w:footnote w:id="1">
    <w:p w14:paraId="0554C435" w14:textId="77777777" w:rsidR="00291CD7" w:rsidRPr="006C3BAA" w:rsidRDefault="00291CD7">
      <w:pPr>
        <w:pStyle w:val="FootnoteText"/>
        <w:rPr>
          <w:lang w:val="en-US"/>
        </w:rPr>
      </w:pPr>
      <w:r>
        <w:rPr>
          <w:rStyle w:val="FootnoteReference"/>
        </w:rPr>
        <w:footnoteRef/>
      </w:r>
      <w:r>
        <w:t xml:space="preserve"> </w:t>
      </w:r>
      <w:r>
        <w:rPr>
          <w:lang w:val="en-US"/>
        </w:rPr>
        <w:t>Dated 7 August 20</w:t>
      </w:r>
      <w:r w:rsidRPr="006C3BAA">
        <w:rPr>
          <w:lang w:val="en-US"/>
        </w:rPr>
        <w:t>15</w:t>
      </w:r>
      <w:r>
        <w:rPr>
          <w:lang w:val="en-US"/>
        </w:rPr>
        <w:t>, published 25 August 2015.</w:t>
      </w:r>
    </w:p>
  </w:footnote>
  <w:footnote w:id="2">
    <w:p w14:paraId="1FF7CB2B" w14:textId="586BA34B" w:rsidR="00291CD7" w:rsidRPr="004159EC" w:rsidRDefault="00291CD7">
      <w:pPr>
        <w:pStyle w:val="FootnoteText"/>
        <w:rPr>
          <w:lang w:val="en-US"/>
        </w:rPr>
      </w:pPr>
      <w:r>
        <w:rPr>
          <w:rStyle w:val="FootnoteReference"/>
        </w:rPr>
        <w:footnoteRef/>
      </w:r>
      <w:r>
        <w:t xml:space="preserve"> </w:t>
      </w:r>
      <w:r>
        <w:rPr>
          <w:lang w:val="en-US"/>
        </w:rPr>
        <w:t>A</w:t>
      </w:r>
      <w:r w:rsidR="002F4627">
        <w:rPr>
          <w:lang w:val="en-US"/>
        </w:rPr>
        <w:t>t the time of the writing of this</w:t>
      </w:r>
      <w:r>
        <w:rPr>
          <w:lang w:val="en-US"/>
        </w:rPr>
        <w:t xml:space="preserve"> clinical evaluation report.</w:t>
      </w:r>
    </w:p>
  </w:footnote>
  <w:footnote w:id="3">
    <w:p w14:paraId="003A0705" w14:textId="77777777" w:rsidR="00291CD7" w:rsidRPr="00D47221" w:rsidRDefault="00291CD7">
      <w:pPr>
        <w:pStyle w:val="FootnoteText"/>
        <w:rPr>
          <w:lang w:val="en-US"/>
        </w:rPr>
      </w:pPr>
      <w:r>
        <w:rPr>
          <w:rStyle w:val="FootnoteReference"/>
        </w:rPr>
        <w:footnoteRef/>
      </w:r>
      <w:r>
        <w:t xml:space="preserve"> </w:t>
      </w:r>
      <w:r w:rsidRPr="00D47221">
        <w:t xml:space="preserve">The Early Glycoprotein </w:t>
      </w:r>
      <w:proofErr w:type="spellStart"/>
      <w:r w:rsidRPr="00D47221">
        <w:t>IIb</w:t>
      </w:r>
      <w:proofErr w:type="spellEnd"/>
      <w:r w:rsidRPr="00D47221">
        <w:t>/</w:t>
      </w:r>
      <w:proofErr w:type="spellStart"/>
      <w:r w:rsidRPr="00D47221">
        <w:t>IIIa</w:t>
      </w:r>
      <w:proofErr w:type="spellEnd"/>
      <w:r w:rsidRPr="00D47221">
        <w:t xml:space="preserve"> inhibition in Non-ST Elevation Acute Coronary Syndrome study in patients with acute coronary syndromes who were assigned invasive treatment planned for the next calendar day after the index event, that compared </w:t>
      </w:r>
      <w:proofErr w:type="spellStart"/>
      <w:r w:rsidRPr="00D47221">
        <w:t>eptifibatide</w:t>
      </w:r>
      <w:proofErr w:type="spellEnd"/>
      <w:r w:rsidRPr="00D47221">
        <w:t xml:space="preserve"> prior to or after angiography.</w:t>
      </w:r>
    </w:p>
  </w:footnote>
  <w:footnote w:id="4">
    <w:p w14:paraId="4D2BE87D" w14:textId="77777777" w:rsidR="00291CD7" w:rsidRPr="00816A9D" w:rsidRDefault="00291CD7">
      <w:pPr>
        <w:pStyle w:val="FootnoteText"/>
        <w:rPr>
          <w:lang w:val="en-US"/>
        </w:rPr>
      </w:pPr>
      <w:r>
        <w:rPr>
          <w:rStyle w:val="FootnoteReference"/>
        </w:rPr>
        <w:footnoteRef/>
      </w:r>
      <w:r>
        <w:t xml:space="preserve"> N</w:t>
      </w:r>
      <w:r w:rsidRPr="00816A9D">
        <w:t>ew malignancies: ezetimibe-simvastatin 1.82%/y</w:t>
      </w:r>
      <w:r>
        <w:t>ea</w:t>
      </w:r>
      <w:r w:rsidRPr="00816A9D">
        <w:t>r and 1.84%/y</w:t>
      </w:r>
      <w:r>
        <w:t>ea</w:t>
      </w:r>
      <w:r w:rsidRPr="00816A9D">
        <w:t>r simvastatin alone</w:t>
      </w:r>
      <w:r>
        <w:t>.</w:t>
      </w:r>
    </w:p>
  </w:footnote>
  <w:footnote w:id="5">
    <w:p w14:paraId="2882DA8E" w14:textId="77777777" w:rsidR="00291CD7" w:rsidRPr="00DD5263" w:rsidRDefault="00291CD7">
      <w:pPr>
        <w:pStyle w:val="FootnoteText"/>
        <w:rPr>
          <w:lang w:val="en-US"/>
        </w:rPr>
      </w:pPr>
      <w:r>
        <w:rPr>
          <w:rStyle w:val="FootnoteReference"/>
        </w:rPr>
        <w:footnoteRef/>
      </w:r>
      <w:r>
        <w:t xml:space="preserve"> </w:t>
      </w:r>
      <w:proofErr w:type="gramStart"/>
      <w:r w:rsidRPr="00DD5263">
        <w:t>Cholesterol Treatment Trialists' (CTT) Collaborators</w:t>
      </w:r>
      <w:r>
        <w:t>, et al.</w:t>
      </w:r>
      <w:proofErr w:type="gramEnd"/>
      <w:r>
        <w:t xml:space="preserve"> </w:t>
      </w:r>
      <w:r w:rsidRPr="00DD5263">
        <w:t xml:space="preserve">The effects of lowering LDL cholesterol with statin therapy in people at low risk of vascular disease: meta-analysis of individual data from 27 randomised trials. </w:t>
      </w:r>
      <w:r w:rsidRPr="001075BD">
        <w:rPr>
          <w:i/>
        </w:rPr>
        <w:t xml:space="preserve">Lancet </w:t>
      </w:r>
      <w:r>
        <w:t>380</w:t>
      </w:r>
      <w:r w:rsidRPr="00DD5263">
        <w:t>:</w:t>
      </w:r>
      <w:r>
        <w:t xml:space="preserve"> </w:t>
      </w:r>
      <w:r w:rsidRPr="00DD5263">
        <w:t>581-</w:t>
      </w:r>
      <w:r>
        <w:t>5</w:t>
      </w:r>
      <w:r w:rsidRPr="00DD5263">
        <w:t>90</w:t>
      </w:r>
      <w:r>
        <w:t xml:space="preserve"> (2012);</w:t>
      </w:r>
      <w:r w:rsidRPr="00F15306">
        <w:t xml:space="preserve"> Cholesterol Treatment Trialists’ (CTT) Collaboration</w:t>
      </w:r>
      <w:r>
        <w:t xml:space="preserve">, et al. </w:t>
      </w:r>
      <w:r w:rsidRPr="00F15306">
        <w:t xml:space="preserve">Efficacy and safety of more intensive lowering of LDL cholesterol: a meta-analysis of data from 170,000 participants in 26 randomised trials. </w:t>
      </w:r>
      <w:r w:rsidRPr="00F15306">
        <w:rPr>
          <w:i/>
        </w:rPr>
        <w:t xml:space="preserve">Lancet </w:t>
      </w:r>
      <w:r>
        <w:t>376: 1670-1681 (2010);</w:t>
      </w:r>
      <w:r w:rsidRPr="00F32B73">
        <w:t xml:space="preserve"> </w:t>
      </w:r>
      <w:proofErr w:type="spellStart"/>
      <w:r w:rsidRPr="00F32B73">
        <w:t>Baigent</w:t>
      </w:r>
      <w:proofErr w:type="spellEnd"/>
      <w:r w:rsidRPr="00F32B73">
        <w:t xml:space="preserve"> C, </w:t>
      </w:r>
      <w:r>
        <w:t xml:space="preserve">et al. </w:t>
      </w:r>
      <w:r w:rsidRPr="00F32B73">
        <w:t xml:space="preserve">Efficacy and safety of cholesterol-lowering treatment: prospective meta-analysis of data from 90,056 participants in 14 randomised trials of statins. </w:t>
      </w:r>
      <w:r w:rsidRPr="00F32B73">
        <w:rPr>
          <w:i/>
        </w:rPr>
        <w:t>Lancet</w:t>
      </w:r>
      <w:r>
        <w:t xml:space="preserve"> 366</w:t>
      </w:r>
      <w:r w:rsidRPr="00F32B73">
        <w:t>:</w:t>
      </w:r>
      <w:r>
        <w:t xml:space="preserve"> </w:t>
      </w:r>
      <w:r w:rsidRPr="00F32B73">
        <w:t>1267-</w:t>
      </w:r>
      <w:r>
        <w:t>12</w:t>
      </w:r>
      <w:r w:rsidRPr="00F32B73">
        <w:t>78</w:t>
      </w:r>
      <w:r>
        <w:t xml:space="preserve"> (2005)</w:t>
      </w:r>
      <w:r w:rsidRPr="00F32B73">
        <w:t>.</w:t>
      </w:r>
    </w:p>
  </w:footnote>
  <w:footnote w:id="6">
    <w:p w14:paraId="3F0744F7" w14:textId="77777777" w:rsidR="00291CD7" w:rsidRPr="0086108A" w:rsidRDefault="00291CD7">
      <w:pPr>
        <w:pStyle w:val="FootnoteText"/>
        <w:rPr>
          <w:lang w:val="en-US"/>
        </w:rPr>
      </w:pPr>
      <w:r>
        <w:rPr>
          <w:rStyle w:val="FootnoteReference"/>
        </w:rPr>
        <w:footnoteRef/>
      </w:r>
      <w:r>
        <w:t xml:space="preserve"> </w:t>
      </w:r>
      <w:proofErr w:type="spellStart"/>
      <w:r w:rsidRPr="0086108A">
        <w:t>Morrone</w:t>
      </w:r>
      <w:proofErr w:type="spellEnd"/>
      <w:r w:rsidRPr="0086108A">
        <w:t xml:space="preserve"> D</w:t>
      </w:r>
      <w:r>
        <w:t>, et al.</w:t>
      </w:r>
      <w:r w:rsidRPr="0086108A">
        <w:t xml:space="preserve"> Lipid-altering efficacy of ezetimibe plus statin and statin monotherapy and identification of factors associated with treatment response: a pooled analysis of over 21,000 subjects from 27 clinical trials. </w:t>
      </w:r>
      <w:r w:rsidRPr="0059774C">
        <w:rPr>
          <w:i/>
        </w:rPr>
        <w:t xml:space="preserve">Atherosclerosis </w:t>
      </w:r>
      <w:r>
        <w:t>223</w:t>
      </w:r>
      <w:r w:rsidRPr="0086108A">
        <w:t>:</w:t>
      </w:r>
      <w:r>
        <w:t xml:space="preserve"> </w:t>
      </w:r>
      <w:r w:rsidRPr="0086108A">
        <w:t>251-</w:t>
      </w:r>
      <w:r>
        <w:t>2</w:t>
      </w:r>
      <w:r w:rsidRPr="0086108A">
        <w:t>61</w:t>
      </w:r>
      <w:r>
        <w:t xml:space="preserve"> (2012).</w:t>
      </w:r>
    </w:p>
  </w:footnote>
  <w:footnote w:id="7">
    <w:p w14:paraId="14ED873B" w14:textId="77777777" w:rsidR="00291CD7" w:rsidRPr="00721E5E" w:rsidRDefault="00291CD7">
      <w:pPr>
        <w:pStyle w:val="FootnoteText"/>
        <w:rPr>
          <w:lang w:val="en-US"/>
        </w:rPr>
      </w:pPr>
      <w:r>
        <w:rPr>
          <w:rStyle w:val="FootnoteReference"/>
        </w:rPr>
        <w:footnoteRef/>
      </w:r>
      <w:r>
        <w:t xml:space="preserve"> </w:t>
      </w:r>
      <w:proofErr w:type="spellStart"/>
      <w:r w:rsidRPr="00721E5E">
        <w:t>Stitziel</w:t>
      </w:r>
      <w:proofErr w:type="spellEnd"/>
      <w:r w:rsidRPr="00721E5E">
        <w:t xml:space="preserve"> NO, et al. Inactivating mutations in NPC1L1 and protection from coronary heart dis</w:t>
      </w:r>
      <w:r>
        <w:t xml:space="preserve">ease. </w:t>
      </w:r>
      <w:r w:rsidRPr="00147380">
        <w:rPr>
          <w:i/>
        </w:rPr>
        <w:t xml:space="preserve">N </w:t>
      </w:r>
      <w:proofErr w:type="spellStart"/>
      <w:r w:rsidRPr="00147380">
        <w:rPr>
          <w:i/>
        </w:rPr>
        <w:t>Engl</w:t>
      </w:r>
      <w:proofErr w:type="spellEnd"/>
      <w:r w:rsidRPr="00147380">
        <w:rPr>
          <w:i/>
        </w:rPr>
        <w:t xml:space="preserve"> J Med.</w:t>
      </w:r>
      <w:r>
        <w:t xml:space="preserve"> </w:t>
      </w:r>
      <w:r w:rsidRPr="00721E5E">
        <w:t>371</w:t>
      </w:r>
      <w:r>
        <w:t xml:space="preserve">: 2072-82 (2014); </w:t>
      </w:r>
      <w:proofErr w:type="spellStart"/>
      <w:r>
        <w:t>Ference</w:t>
      </w:r>
      <w:proofErr w:type="spellEnd"/>
      <w:r>
        <w:t xml:space="preserve"> BA</w:t>
      </w:r>
      <w:r w:rsidRPr="00147380">
        <w:t xml:space="preserve">, </w:t>
      </w:r>
      <w:r>
        <w:t>et al</w:t>
      </w:r>
      <w:r w:rsidRPr="00147380">
        <w:t xml:space="preserve">. Effect of naturally random allocation to lower low-density lipoprotein cholesterol on the risk of coronary heart disease mediated by polymorphisms in NPC1L1, HMGCR, or both: a 2 × 2 factorial Mendelian </w:t>
      </w:r>
      <w:r>
        <w:t xml:space="preserve">randomization study. </w:t>
      </w:r>
      <w:r w:rsidRPr="00147380">
        <w:rPr>
          <w:i/>
        </w:rPr>
        <w:t xml:space="preserve">J Am </w:t>
      </w:r>
      <w:proofErr w:type="spellStart"/>
      <w:r w:rsidRPr="00147380">
        <w:rPr>
          <w:i/>
        </w:rPr>
        <w:t>Coll</w:t>
      </w:r>
      <w:proofErr w:type="spellEnd"/>
      <w:r w:rsidRPr="00147380">
        <w:rPr>
          <w:i/>
        </w:rPr>
        <w:t xml:space="preserve"> </w:t>
      </w:r>
      <w:proofErr w:type="spellStart"/>
      <w:r w:rsidRPr="00147380">
        <w:rPr>
          <w:i/>
        </w:rPr>
        <w:t>Cardiol</w:t>
      </w:r>
      <w:proofErr w:type="spellEnd"/>
      <w:r w:rsidRPr="00147380">
        <w:rPr>
          <w:i/>
        </w:rPr>
        <w:t>.</w:t>
      </w:r>
      <w:r>
        <w:t xml:space="preserve"> 65: 1552-1561 (2015); </w:t>
      </w:r>
      <w:proofErr w:type="spellStart"/>
      <w:r w:rsidRPr="00147380">
        <w:t>Catapano</w:t>
      </w:r>
      <w:proofErr w:type="spellEnd"/>
      <w:r w:rsidRPr="00147380">
        <w:t xml:space="preserve"> AL, </w:t>
      </w:r>
      <w:proofErr w:type="spellStart"/>
      <w:r w:rsidRPr="00147380">
        <w:t>Ference</w:t>
      </w:r>
      <w:proofErr w:type="spellEnd"/>
      <w:r w:rsidRPr="00147380">
        <w:t xml:space="preserve"> BA. IMPROVE-IT and genetics reaffirm the causal role of LDL in cardiovascular disease. </w:t>
      </w:r>
      <w:r w:rsidRPr="00DA2E7F">
        <w:rPr>
          <w:i/>
        </w:rPr>
        <w:t>Atherosclerosis</w:t>
      </w:r>
      <w:r>
        <w:t xml:space="preserve"> 241: 498-501 (2015).</w:t>
      </w:r>
    </w:p>
  </w:footnote>
  <w:footnote w:id="8">
    <w:p w14:paraId="7769B18E" w14:textId="77777777" w:rsidR="00291CD7" w:rsidRPr="00FF7D2C" w:rsidRDefault="00291CD7">
      <w:pPr>
        <w:pStyle w:val="FootnoteText"/>
        <w:rPr>
          <w:lang w:val="en-US"/>
        </w:rPr>
      </w:pPr>
      <w:r>
        <w:rPr>
          <w:rStyle w:val="FootnoteReference"/>
        </w:rPr>
        <w:footnoteRef/>
      </w:r>
      <w:r>
        <w:t xml:space="preserve"> </w:t>
      </w:r>
      <w:proofErr w:type="spellStart"/>
      <w:r w:rsidRPr="00C96705">
        <w:t>Catapano</w:t>
      </w:r>
      <w:proofErr w:type="spellEnd"/>
      <w:r w:rsidRPr="00C96705">
        <w:t xml:space="preserve"> AL, </w:t>
      </w:r>
      <w:r>
        <w:t xml:space="preserve">et al. 2016 </w:t>
      </w:r>
      <w:r w:rsidRPr="00C96705">
        <w:t>ESC/EAS Guidelines for the Management of Dyslipidaemias: The Task Force for the Management of Dyslipidaemias of the European Society of Cardiology (ESC) and European Atherosclerosis Society (EAS) Developed with the special con</w:t>
      </w:r>
      <w:r>
        <w:t>tribution of the European Assoc</w:t>
      </w:r>
      <w:r w:rsidRPr="00C96705">
        <w:t xml:space="preserve">iation for Cardiovascular Prevention &amp; Rehabilitation (EACPR). </w:t>
      </w:r>
      <w:r w:rsidRPr="00C96705">
        <w:rPr>
          <w:i/>
        </w:rPr>
        <w:t xml:space="preserve">Atherosclerosis </w:t>
      </w:r>
      <w:r>
        <w:t>253: 281-344 (2016).</w:t>
      </w:r>
    </w:p>
  </w:footnote>
  <w:footnote w:id="9">
    <w:p w14:paraId="2CCD8D99" w14:textId="77777777" w:rsidR="00291CD7" w:rsidRPr="00E4776D" w:rsidRDefault="00291CD7">
      <w:pPr>
        <w:pStyle w:val="FootnoteText"/>
        <w:rPr>
          <w:lang w:val="en-US"/>
        </w:rPr>
      </w:pPr>
      <w:r>
        <w:rPr>
          <w:rStyle w:val="FootnoteReference"/>
        </w:rPr>
        <w:footnoteRef/>
      </w:r>
      <w:r>
        <w:t xml:space="preserve"> </w:t>
      </w:r>
      <w:proofErr w:type="spellStart"/>
      <w:r>
        <w:t>Roffi</w:t>
      </w:r>
      <w:proofErr w:type="spellEnd"/>
      <w:r>
        <w:t xml:space="preserve"> M, et al. </w:t>
      </w:r>
      <w:r w:rsidRPr="00E4776D">
        <w:t>2015 ESC Guidelines for the management of acute coronary syndromes in patients presenting without persistent ST-segment elevation: Task Force for the Management of Acute Coronary Syndromes in Patients Presenting without Persistent ST-Segment Elevation of the European Socie</w:t>
      </w:r>
      <w:r>
        <w:t xml:space="preserve">ty of Cardiology (ESC). </w:t>
      </w:r>
      <w:proofErr w:type="spellStart"/>
      <w:r w:rsidRPr="00C07754">
        <w:rPr>
          <w:i/>
        </w:rPr>
        <w:t>Eur</w:t>
      </w:r>
      <w:proofErr w:type="spellEnd"/>
      <w:r w:rsidRPr="00C07754">
        <w:rPr>
          <w:i/>
        </w:rPr>
        <w:t xml:space="preserve"> Heart J.</w:t>
      </w:r>
      <w:r>
        <w:t xml:space="preserve"> 37: 267-315 (2016); </w:t>
      </w:r>
      <w:r w:rsidRPr="00C07754">
        <w:t xml:space="preserve">Lloyd-Jones DM, et al. 2016 ACC Expert Consensus Decision Pathway on the Role of Non-Statin Therapies for LDL-Cholesterol Lowering in the Management of Atherosclerotic Cardiovascular Disease Risk: A Report of the American College of Cardiology Task Force on Clinical Expert Consensus Documents. </w:t>
      </w:r>
      <w:r w:rsidRPr="00333E8F">
        <w:rPr>
          <w:i/>
        </w:rPr>
        <w:t xml:space="preserve">J Am </w:t>
      </w:r>
      <w:proofErr w:type="spellStart"/>
      <w:r w:rsidRPr="00333E8F">
        <w:rPr>
          <w:i/>
        </w:rPr>
        <w:t>Coll</w:t>
      </w:r>
      <w:proofErr w:type="spellEnd"/>
      <w:r w:rsidRPr="00333E8F">
        <w:rPr>
          <w:i/>
        </w:rPr>
        <w:t xml:space="preserve"> </w:t>
      </w:r>
      <w:proofErr w:type="spellStart"/>
      <w:r w:rsidRPr="00333E8F">
        <w:rPr>
          <w:i/>
        </w:rPr>
        <w:t>Cardiol</w:t>
      </w:r>
      <w:proofErr w:type="spellEnd"/>
      <w:r w:rsidRPr="00333E8F">
        <w:rPr>
          <w:i/>
        </w:rPr>
        <w:t>.</w:t>
      </w:r>
      <w:r>
        <w:t xml:space="preserve"> 68: 92-125 (2016).</w:t>
      </w:r>
    </w:p>
  </w:footnote>
  <w:footnote w:id="10">
    <w:p w14:paraId="64BDE78B" w14:textId="77777777" w:rsidR="00291CD7" w:rsidRPr="00A40AD9" w:rsidRDefault="00291CD7">
      <w:pPr>
        <w:pStyle w:val="FootnoteText"/>
        <w:rPr>
          <w:lang w:val="en-US"/>
        </w:rPr>
      </w:pPr>
      <w:r>
        <w:rPr>
          <w:rStyle w:val="FootnoteReference"/>
        </w:rPr>
        <w:footnoteRef/>
      </w:r>
      <w:r>
        <w:t xml:space="preserve"> </w:t>
      </w:r>
      <w:r w:rsidRPr="00A40AD9">
        <w:t>U.S. Product Information for ZETIA (ezetimibe) Tablets: August 2013.</w:t>
      </w:r>
    </w:p>
  </w:footnote>
  <w:footnote w:id="11">
    <w:p w14:paraId="6468ABD7" w14:textId="77777777" w:rsidR="00291CD7" w:rsidRPr="00A40AD9" w:rsidRDefault="00291CD7">
      <w:pPr>
        <w:pStyle w:val="FootnoteText"/>
        <w:rPr>
          <w:lang w:val="en-US"/>
        </w:rPr>
      </w:pPr>
      <w:r>
        <w:rPr>
          <w:rStyle w:val="FootnoteReference"/>
        </w:rPr>
        <w:footnoteRef/>
      </w:r>
      <w:r>
        <w:t xml:space="preserve"> </w:t>
      </w:r>
      <w:r w:rsidRPr="00A40AD9">
        <w:t>European Summary of Product Characteristics for EZETROL (ezetimibe) Tablets: Feb 2016.</w:t>
      </w:r>
    </w:p>
  </w:footnote>
  <w:footnote w:id="12">
    <w:p w14:paraId="1E9549F9" w14:textId="77777777" w:rsidR="00291CD7" w:rsidRPr="00685DD7" w:rsidRDefault="00291CD7">
      <w:pPr>
        <w:pStyle w:val="FootnoteText"/>
        <w:rPr>
          <w:lang w:val="en-US"/>
        </w:rPr>
      </w:pPr>
      <w:r>
        <w:rPr>
          <w:rStyle w:val="FootnoteReference"/>
        </w:rPr>
        <w:footnoteRef/>
      </w:r>
      <w:r>
        <w:t xml:space="preserve"> </w:t>
      </w:r>
      <w:proofErr w:type="spellStart"/>
      <w:r w:rsidRPr="00685DD7">
        <w:t>Piepoli</w:t>
      </w:r>
      <w:proofErr w:type="spellEnd"/>
      <w:r w:rsidRPr="00685DD7">
        <w:t xml:space="preserve"> MF, et al. 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 </w:t>
      </w:r>
      <w:proofErr w:type="gramStart"/>
      <w:r w:rsidRPr="00685DD7">
        <w:t>Developed with the special contribution of the European Association for Cardiovascular Prevention &amp; Rehabilitation (EACPR).</w:t>
      </w:r>
      <w:proofErr w:type="gramEnd"/>
      <w:r w:rsidRPr="00685DD7">
        <w:t xml:space="preserve"> </w:t>
      </w:r>
      <w:proofErr w:type="spellStart"/>
      <w:r w:rsidRPr="000F2DF3">
        <w:rPr>
          <w:i/>
        </w:rPr>
        <w:t>Eur</w:t>
      </w:r>
      <w:proofErr w:type="spellEnd"/>
      <w:r w:rsidRPr="000F2DF3">
        <w:rPr>
          <w:i/>
        </w:rPr>
        <w:t xml:space="preserve"> Heart J.</w:t>
      </w:r>
      <w:r>
        <w:t xml:space="preserve"> 37: 2315-2381 (2016).</w:t>
      </w:r>
    </w:p>
  </w:footnote>
  <w:footnote w:id="13">
    <w:p w14:paraId="60439A64" w14:textId="77777777" w:rsidR="00291CD7" w:rsidRPr="00987C25" w:rsidRDefault="00291CD7">
      <w:pPr>
        <w:pStyle w:val="FootnoteText"/>
        <w:rPr>
          <w:lang w:val="en-US"/>
        </w:rPr>
      </w:pPr>
      <w:r>
        <w:rPr>
          <w:rStyle w:val="FootnoteReference"/>
        </w:rPr>
        <w:footnoteRef/>
      </w:r>
      <w:r>
        <w:t xml:space="preserve"> </w:t>
      </w:r>
      <w:r w:rsidRPr="00987C25">
        <w:t>Chew DP</w:t>
      </w:r>
      <w:r>
        <w:t xml:space="preserve">, et al. </w:t>
      </w:r>
      <w:r w:rsidRPr="00987C25">
        <w:t xml:space="preserve">National Heart Foundation of Australia &amp; Cardiac Society of Australia and New Zealand: Australian Clinical Guidelines for the Management of Acute Coronary Syndromes 2016. </w:t>
      </w:r>
      <w:r w:rsidRPr="006567D1">
        <w:rPr>
          <w:i/>
        </w:rPr>
        <w:t>Heart Lung Circ.</w:t>
      </w:r>
      <w:r>
        <w:t xml:space="preserve"> 25: 895-951 (2016).</w:t>
      </w:r>
    </w:p>
  </w:footnote>
  <w:footnote w:id="14">
    <w:p w14:paraId="1C86CC5E" w14:textId="77777777" w:rsidR="00291CD7" w:rsidRPr="00BC496F" w:rsidRDefault="00291CD7">
      <w:pPr>
        <w:pStyle w:val="FootnoteText"/>
        <w:rPr>
          <w:lang w:val="en-US"/>
        </w:rPr>
      </w:pPr>
      <w:r>
        <w:rPr>
          <w:rStyle w:val="FootnoteReference"/>
        </w:rPr>
        <w:footnoteRef/>
      </w:r>
      <w:r>
        <w:t xml:space="preserve"> </w:t>
      </w:r>
      <w:r w:rsidRPr="00C07754">
        <w:t xml:space="preserve">Lloyd-Jones DM, et al. 2016 ACC Expert Consensus Decision Pathway on the Role of Non-Statin Therapies for LDL-Cholesterol Lowering in the Management of Atherosclerotic Cardiovascular Disease Risk: A Report of the American College of Cardiology Task Force on Clinical Expert Consensus Documents. </w:t>
      </w:r>
      <w:r w:rsidRPr="00333E8F">
        <w:rPr>
          <w:i/>
        </w:rPr>
        <w:t xml:space="preserve">J Am </w:t>
      </w:r>
      <w:proofErr w:type="spellStart"/>
      <w:r w:rsidRPr="00333E8F">
        <w:rPr>
          <w:i/>
        </w:rPr>
        <w:t>Coll</w:t>
      </w:r>
      <w:proofErr w:type="spellEnd"/>
      <w:r w:rsidRPr="00333E8F">
        <w:rPr>
          <w:i/>
        </w:rPr>
        <w:t xml:space="preserve"> </w:t>
      </w:r>
      <w:proofErr w:type="spellStart"/>
      <w:r w:rsidRPr="00333E8F">
        <w:rPr>
          <w:i/>
        </w:rPr>
        <w:t>Cardiol</w:t>
      </w:r>
      <w:proofErr w:type="spellEnd"/>
      <w:r w:rsidRPr="00333E8F">
        <w:rPr>
          <w:i/>
        </w:rPr>
        <w:t>.</w:t>
      </w:r>
      <w:r>
        <w:t xml:space="preserve"> 68: 92-125 (2016).</w:t>
      </w:r>
    </w:p>
  </w:footnote>
  <w:footnote w:id="15">
    <w:p w14:paraId="7A5AE40C" w14:textId="77777777" w:rsidR="00291CD7" w:rsidRPr="00987C25" w:rsidRDefault="00291CD7">
      <w:pPr>
        <w:pStyle w:val="FootnoteText"/>
        <w:rPr>
          <w:lang w:val="en-US"/>
        </w:rPr>
      </w:pPr>
      <w:r>
        <w:rPr>
          <w:rStyle w:val="FootnoteReference"/>
        </w:rPr>
        <w:footnoteRef/>
      </w:r>
      <w:r>
        <w:t xml:space="preserve"> </w:t>
      </w:r>
      <w:proofErr w:type="spellStart"/>
      <w:r w:rsidRPr="00685DD7">
        <w:t>Piepoli</w:t>
      </w:r>
      <w:proofErr w:type="spellEnd"/>
      <w:r w:rsidRPr="00685DD7">
        <w:t xml:space="preserve"> MF, et al. 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 </w:t>
      </w:r>
      <w:proofErr w:type="gramStart"/>
      <w:r w:rsidRPr="00685DD7">
        <w:t>Developed with the special contribution of the European Association for Cardiovascular Prevention &amp; Rehabilitation (EACPR).</w:t>
      </w:r>
      <w:proofErr w:type="gramEnd"/>
      <w:r w:rsidRPr="00685DD7">
        <w:t xml:space="preserve"> </w:t>
      </w:r>
      <w:proofErr w:type="spellStart"/>
      <w:r w:rsidRPr="000F2DF3">
        <w:rPr>
          <w:i/>
        </w:rPr>
        <w:t>Eur</w:t>
      </w:r>
      <w:proofErr w:type="spellEnd"/>
      <w:r w:rsidRPr="000F2DF3">
        <w:rPr>
          <w:i/>
        </w:rPr>
        <w:t xml:space="preserve"> Heart J.</w:t>
      </w:r>
      <w:r>
        <w:t xml:space="preserve"> 37: 2315-2381 (2016).</w:t>
      </w:r>
    </w:p>
  </w:footnote>
  <w:footnote w:id="16">
    <w:p w14:paraId="0BEB9F84" w14:textId="77777777" w:rsidR="00291CD7" w:rsidRPr="00BC496F" w:rsidRDefault="00291CD7">
      <w:pPr>
        <w:pStyle w:val="FootnoteText"/>
        <w:rPr>
          <w:lang w:val="en-US"/>
        </w:rPr>
      </w:pPr>
      <w:r>
        <w:rPr>
          <w:rStyle w:val="FootnoteReference"/>
        </w:rPr>
        <w:footnoteRef/>
      </w:r>
      <w:r>
        <w:t xml:space="preserve"> </w:t>
      </w:r>
      <w:r w:rsidRPr="00987C25">
        <w:t>Chew DP</w:t>
      </w:r>
      <w:r>
        <w:t xml:space="preserve">, et al. </w:t>
      </w:r>
      <w:r w:rsidRPr="00987C25">
        <w:t xml:space="preserve">National Heart Foundation of Australia &amp; Cardiac Society of Australia and New Zealand: Australian Clinical Guidelines for the Management of Acute Coronary Syndromes 2016. </w:t>
      </w:r>
      <w:r w:rsidRPr="006567D1">
        <w:rPr>
          <w:i/>
        </w:rPr>
        <w:t>Heart Lung Circ.</w:t>
      </w:r>
      <w:r>
        <w:t xml:space="preserve"> 25: 895-951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18C98" w14:textId="77777777" w:rsidR="00291CD7" w:rsidRDefault="00291CD7"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6FD0" w14:textId="77777777" w:rsidR="00291CD7" w:rsidRDefault="00291CD7">
    <w:pPr>
      <w:rPr>
        <w:noProof/>
        <w:lang w:eastAsia="en-AU"/>
      </w:rPr>
    </w:pPr>
    <w:r w:rsidRPr="00347824">
      <w:rPr>
        <w:noProof/>
        <w:lang w:eastAsia="en-AU"/>
      </w:rPr>
      <w:drawing>
        <wp:anchor distT="0" distB="0" distL="114300" distR="114300" simplePos="0" relativeHeight="251659264" behindDoc="1" locked="0" layoutInCell="1" allowOverlap="1" wp14:anchorId="0FDB3472" wp14:editId="6777A40C">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7B235135" w14:textId="77777777" w:rsidR="00291CD7" w:rsidRDefault="00291CD7" w:rsidP="00593AD1">
    <w:pPr>
      <w:pStyle w:val="HeaderNoLine"/>
    </w:pPr>
    <w:r>
      <w:rPr>
        <w:noProof/>
        <w:lang w:eastAsia="en-AU"/>
      </w:rPr>
      <w:drawing>
        <wp:inline distT="0" distB="0" distL="0" distR="0" wp14:anchorId="73DD47C2" wp14:editId="0B16D0CB">
          <wp:extent cx="5400675" cy="7639050"/>
          <wp:effectExtent l="0" t="0" r="9525" b="0"/>
          <wp:docPr id="4" name="Picture 4"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A4B64" w14:textId="77777777" w:rsidR="00291CD7" w:rsidRDefault="00291C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CFC26" w14:textId="77777777" w:rsidR="00291CD7" w:rsidRDefault="00291CD7">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6FA37" w14:textId="77777777" w:rsidR="00291CD7" w:rsidRDefault="00291CD7">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D595E" w14:textId="77777777" w:rsidR="00291CD7" w:rsidRDefault="00291C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81FB0" w14:textId="77777777" w:rsidR="00291CD7" w:rsidRDefault="00291CD7"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ACFED" w14:textId="77777777" w:rsidR="00291CD7" w:rsidRDefault="00291CD7" w:rsidP="006E08B3">
    <w:r>
      <w:t>Therapeutic Goods Administration</w:t>
    </w:r>
  </w:p>
  <w:p w14:paraId="16176BB3" w14:textId="77777777" w:rsidR="00291CD7" w:rsidRDefault="00291CD7"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280AD9C"/>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2C977A8"/>
    <w:multiLevelType w:val="hybridMultilevel"/>
    <w:tmpl w:val="E6504B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9108CD"/>
    <w:multiLevelType w:val="hybridMultilevel"/>
    <w:tmpl w:val="F07C7BCA"/>
    <w:lvl w:ilvl="0" w:tplc="7E7496A6">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0C87FFD"/>
    <w:multiLevelType w:val="hybridMultilevel"/>
    <w:tmpl w:val="3EA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227A52BD"/>
    <w:multiLevelType w:val="multilevel"/>
    <w:tmpl w:val="6284B7C8"/>
    <w:numStyleLink w:val="Recommendations"/>
  </w:abstractNum>
  <w:abstractNum w:abstractNumId="10">
    <w:nsid w:val="374224A8"/>
    <w:multiLevelType w:val="hybridMultilevel"/>
    <w:tmpl w:val="C30AF4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8292AD4"/>
    <w:multiLevelType w:val="multilevel"/>
    <w:tmpl w:val="7110D424"/>
    <w:styleLink w:val="Headings"/>
    <w:lvl w:ilvl="0">
      <w:start w:val="1"/>
      <w:numFmt w:val="decimal"/>
      <w:suff w:val="space"/>
      <w:lvlText w:val="%1."/>
      <w:lvlJc w:val="left"/>
      <w:pPr>
        <w:ind w:left="357" w:hanging="357"/>
      </w:pPr>
      <w:rPr>
        <w:rFonts w:asciiTheme="majorHAnsi" w:hAnsiTheme="majorHAnsi" w:hint="default"/>
      </w:rPr>
    </w:lvl>
    <w:lvl w:ilvl="1">
      <w:start w:val="1"/>
      <w:numFmt w:val="decimal"/>
      <w:suff w:val="space"/>
      <w:lvlText w:val="%1.%2."/>
      <w:lvlJc w:val="left"/>
      <w:pPr>
        <w:ind w:left="357" w:hanging="357"/>
      </w:pPr>
      <w:rPr>
        <w:rFonts w:asciiTheme="majorHAnsi" w:hAnsiTheme="majorHAnsi" w:hint="default"/>
      </w:rPr>
    </w:lvl>
    <w:lvl w:ilvl="2">
      <w:start w:val="1"/>
      <w:numFmt w:val="decimal"/>
      <w:suff w:val="space"/>
      <w:lvlText w:val="%1.%2.%3."/>
      <w:lvlJc w:val="left"/>
      <w:pPr>
        <w:ind w:left="357" w:hanging="357"/>
      </w:pPr>
      <w:rPr>
        <w:rFonts w:asciiTheme="majorHAnsi" w:hAnsiTheme="majorHAnsi" w:hint="default"/>
      </w:rPr>
    </w:lvl>
    <w:lvl w:ilvl="3">
      <w:start w:val="1"/>
      <w:numFmt w:val="decimal"/>
      <w:suff w:val="space"/>
      <w:lvlText w:val="%1.%2.%3.%4."/>
      <w:lvlJc w:val="left"/>
      <w:pPr>
        <w:ind w:left="357" w:hanging="357"/>
      </w:pPr>
      <w:rPr>
        <w:rFonts w:asciiTheme="majorHAnsi" w:hAnsiTheme="majorHAnsi"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nsid w:val="3E3E143B"/>
    <w:multiLevelType w:val="hybridMultilevel"/>
    <w:tmpl w:val="C10C5DC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nsid w:val="3E725E07"/>
    <w:multiLevelType w:val="hybridMultilevel"/>
    <w:tmpl w:val="86CCDF5C"/>
    <w:lvl w:ilvl="0" w:tplc="0C09000F">
      <w:start w:val="1"/>
      <w:numFmt w:val="decimal"/>
      <w:lvlText w:val="%1."/>
      <w:lvlJc w:val="left"/>
      <w:pPr>
        <w:ind w:left="720" w:hanging="360"/>
      </w:pPr>
    </w:lvl>
    <w:lvl w:ilvl="1" w:tplc="0BAC0B7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062247C"/>
    <w:multiLevelType w:val="multilevel"/>
    <w:tmpl w:val="6284B7C8"/>
    <w:styleLink w:val="Recommendations"/>
    <w:lvl w:ilvl="0">
      <w:start w:val="1"/>
      <w:numFmt w:val="decimal"/>
      <w:suff w:val="space"/>
      <w:lvlText w:val="Recommendation %1."/>
      <w:lvlJc w:val="left"/>
      <w:pPr>
        <w:ind w:left="360" w:hanging="360"/>
      </w:pPr>
      <w:rPr>
        <w:rFonts w:asciiTheme="majorHAnsi" w:hAnsiTheme="majorHAnsi" w:hint="default"/>
        <w:b w:val="0"/>
        <w:sz w:val="2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0D56DAD"/>
    <w:multiLevelType w:val="hybridMultilevel"/>
    <w:tmpl w:val="5B52DB7A"/>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E33FE0"/>
    <w:multiLevelType w:val="hybridMultilevel"/>
    <w:tmpl w:val="164821A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5972DD7C">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F573FF"/>
    <w:multiLevelType w:val="hybridMultilevel"/>
    <w:tmpl w:val="B226F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E151D4"/>
    <w:multiLevelType w:val="hybridMultilevel"/>
    <w:tmpl w:val="1DBE8A8C"/>
    <w:lvl w:ilvl="0" w:tplc="0C090017">
      <w:start w:val="1"/>
      <w:numFmt w:val="lowerLetter"/>
      <w:lvlText w:val="%1)"/>
      <w:lvlJc w:val="left"/>
      <w:pPr>
        <w:ind w:left="1080" w:hanging="360"/>
      </w:pPr>
    </w:lvl>
    <w:lvl w:ilvl="1" w:tplc="B3345A3E">
      <w:numFmt w:val="bullet"/>
      <w:lvlText w:val="•"/>
      <w:lvlJc w:val="left"/>
      <w:pPr>
        <w:ind w:left="1800" w:hanging="360"/>
      </w:pPr>
      <w:rPr>
        <w:rFonts w:ascii="Calibri" w:eastAsia="Times New Roman" w:hAnsi="Calibri" w:cs="Aria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C2A6060"/>
    <w:multiLevelType w:val="hybridMultilevel"/>
    <w:tmpl w:val="E250A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DAE752B"/>
    <w:multiLevelType w:val="hybridMultilevel"/>
    <w:tmpl w:val="F36AB4A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8"/>
  </w:num>
  <w:num w:numId="5">
    <w:abstractNumId w:val="0"/>
  </w:num>
  <w:num w:numId="6">
    <w:abstractNumId w:val="8"/>
  </w:num>
  <w:num w:numId="7">
    <w:abstractNumId w:val="8"/>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8"/>
  </w:num>
  <w:num w:numId="14">
    <w:abstractNumId w:val="8"/>
  </w:num>
  <w:num w:numId="15">
    <w:abstractNumId w:val="8"/>
  </w:num>
  <w:num w:numId="16">
    <w:abstractNumId w:val="6"/>
  </w:num>
  <w:num w:numId="17">
    <w:abstractNumId w:val="6"/>
  </w:num>
  <w:num w:numId="18">
    <w:abstractNumId w:val="6"/>
  </w:num>
  <w:num w:numId="19">
    <w:abstractNumId w:val="8"/>
  </w:num>
  <w:num w:numId="20">
    <w:abstractNumId w:val="8"/>
  </w:num>
  <w:num w:numId="21">
    <w:abstractNumId w:val="8"/>
  </w:num>
  <w:num w:numId="22">
    <w:abstractNumId w:val="6"/>
  </w:num>
  <w:num w:numId="23">
    <w:abstractNumId w:val="6"/>
  </w:num>
  <w:num w:numId="24">
    <w:abstractNumId w:val="6"/>
  </w:num>
  <w:num w:numId="2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4"/>
  </w:num>
  <w:num w:numId="28">
    <w:abstractNumId w:val="12"/>
  </w:num>
  <w:num w:numId="29">
    <w:abstractNumId w:val="7"/>
  </w:num>
  <w:num w:numId="30">
    <w:abstractNumId w:val="15"/>
  </w:num>
  <w:num w:numId="31">
    <w:abstractNumId w:val="19"/>
  </w:num>
  <w:num w:numId="32">
    <w:abstractNumId w:val="16"/>
  </w:num>
  <w:num w:numId="33">
    <w:abstractNumId w:val="13"/>
  </w:num>
  <w:num w:numId="34">
    <w:abstractNumId w:val="20"/>
  </w:num>
  <w:num w:numId="35">
    <w:abstractNumId w:val="18"/>
  </w:num>
  <w:num w:numId="36">
    <w:abstractNumId w:val="5"/>
  </w:num>
  <w:num w:numId="37">
    <w:abstractNumId w:val="11"/>
  </w:num>
  <w:num w:numId="38">
    <w:abstractNumId w:val="17"/>
  </w:num>
  <w:num w:numId="39">
    <w:abstractNumId w:val="10"/>
  </w:num>
  <w:num w:numId="40">
    <w:abstractNumId w:val="1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0A"/>
    <w:rsid w:val="00002031"/>
    <w:rsid w:val="00004734"/>
    <w:rsid w:val="00006B22"/>
    <w:rsid w:val="00010C55"/>
    <w:rsid w:val="00012435"/>
    <w:rsid w:val="0001276A"/>
    <w:rsid w:val="000246AE"/>
    <w:rsid w:val="00025C67"/>
    <w:rsid w:val="0004466E"/>
    <w:rsid w:val="00044772"/>
    <w:rsid w:val="00053CDF"/>
    <w:rsid w:val="0005559E"/>
    <w:rsid w:val="0005644E"/>
    <w:rsid w:val="00060053"/>
    <w:rsid w:val="000604D6"/>
    <w:rsid w:val="000640AB"/>
    <w:rsid w:val="000655F5"/>
    <w:rsid w:val="00067394"/>
    <w:rsid w:val="000734D8"/>
    <w:rsid w:val="00077775"/>
    <w:rsid w:val="00082229"/>
    <w:rsid w:val="00085175"/>
    <w:rsid w:val="00086C66"/>
    <w:rsid w:val="00090471"/>
    <w:rsid w:val="00091310"/>
    <w:rsid w:val="00096AA7"/>
    <w:rsid w:val="000A088C"/>
    <w:rsid w:val="000A3902"/>
    <w:rsid w:val="000A3AED"/>
    <w:rsid w:val="000A4B0C"/>
    <w:rsid w:val="000B1C50"/>
    <w:rsid w:val="000B2C33"/>
    <w:rsid w:val="000B3532"/>
    <w:rsid w:val="000B3A75"/>
    <w:rsid w:val="000B442F"/>
    <w:rsid w:val="000C00C2"/>
    <w:rsid w:val="000C2528"/>
    <w:rsid w:val="000C690F"/>
    <w:rsid w:val="000C78C0"/>
    <w:rsid w:val="000D0F59"/>
    <w:rsid w:val="000D1295"/>
    <w:rsid w:val="000D391B"/>
    <w:rsid w:val="000D3D6D"/>
    <w:rsid w:val="000D4FC7"/>
    <w:rsid w:val="000E310E"/>
    <w:rsid w:val="000E6196"/>
    <w:rsid w:val="000E63D4"/>
    <w:rsid w:val="000F2199"/>
    <w:rsid w:val="000F26CE"/>
    <w:rsid w:val="000F2DF3"/>
    <w:rsid w:val="000F34D5"/>
    <w:rsid w:val="000F4869"/>
    <w:rsid w:val="000F52F6"/>
    <w:rsid w:val="000F5B42"/>
    <w:rsid w:val="000F6E6F"/>
    <w:rsid w:val="0010304C"/>
    <w:rsid w:val="0010601F"/>
    <w:rsid w:val="001075BD"/>
    <w:rsid w:val="0010788A"/>
    <w:rsid w:val="00107A31"/>
    <w:rsid w:val="00110EA5"/>
    <w:rsid w:val="00110F1E"/>
    <w:rsid w:val="00112F56"/>
    <w:rsid w:val="001140DD"/>
    <w:rsid w:val="00125318"/>
    <w:rsid w:val="001305A2"/>
    <w:rsid w:val="0013143F"/>
    <w:rsid w:val="00133238"/>
    <w:rsid w:val="00133A1B"/>
    <w:rsid w:val="0014197B"/>
    <w:rsid w:val="0014338D"/>
    <w:rsid w:val="001447CD"/>
    <w:rsid w:val="00147380"/>
    <w:rsid w:val="001516B1"/>
    <w:rsid w:val="00154EBB"/>
    <w:rsid w:val="00156316"/>
    <w:rsid w:val="00157210"/>
    <w:rsid w:val="00161181"/>
    <w:rsid w:val="00162D14"/>
    <w:rsid w:val="00165389"/>
    <w:rsid w:val="00171C49"/>
    <w:rsid w:val="0017693F"/>
    <w:rsid w:val="00180A2A"/>
    <w:rsid w:val="0018110E"/>
    <w:rsid w:val="00181684"/>
    <w:rsid w:val="001843C6"/>
    <w:rsid w:val="001850E0"/>
    <w:rsid w:val="00186DB6"/>
    <w:rsid w:val="001A2158"/>
    <w:rsid w:val="001A525F"/>
    <w:rsid w:val="001B09F9"/>
    <w:rsid w:val="001B5C90"/>
    <w:rsid w:val="001B6448"/>
    <w:rsid w:val="001C32CD"/>
    <w:rsid w:val="001D12C8"/>
    <w:rsid w:val="001D2984"/>
    <w:rsid w:val="001D5F7B"/>
    <w:rsid w:val="001D7E1E"/>
    <w:rsid w:val="001E07CF"/>
    <w:rsid w:val="001E2E25"/>
    <w:rsid w:val="001E59F1"/>
    <w:rsid w:val="001E6856"/>
    <w:rsid w:val="001F2CEE"/>
    <w:rsid w:val="001F49EB"/>
    <w:rsid w:val="001F5803"/>
    <w:rsid w:val="001F6CBA"/>
    <w:rsid w:val="00200C62"/>
    <w:rsid w:val="00201D4E"/>
    <w:rsid w:val="00201FF6"/>
    <w:rsid w:val="002076C9"/>
    <w:rsid w:val="00220B8A"/>
    <w:rsid w:val="002245BC"/>
    <w:rsid w:val="002257F3"/>
    <w:rsid w:val="00226A7D"/>
    <w:rsid w:val="00227CB2"/>
    <w:rsid w:val="00232A97"/>
    <w:rsid w:val="00233456"/>
    <w:rsid w:val="002339A5"/>
    <w:rsid w:val="002355A4"/>
    <w:rsid w:val="0025178E"/>
    <w:rsid w:val="00256F71"/>
    <w:rsid w:val="00257848"/>
    <w:rsid w:val="0027084A"/>
    <w:rsid w:val="0027658B"/>
    <w:rsid w:val="00283DA6"/>
    <w:rsid w:val="00286434"/>
    <w:rsid w:val="00286C59"/>
    <w:rsid w:val="00291957"/>
    <w:rsid w:val="00291CD7"/>
    <w:rsid w:val="002942D1"/>
    <w:rsid w:val="0029500A"/>
    <w:rsid w:val="0029501A"/>
    <w:rsid w:val="002A3721"/>
    <w:rsid w:val="002B1638"/>
    <w:rsid w:val="002B3624"/>
    <w:rsid w:val="002C09B7"/>
    <w:rsid w:val="002C0AA4"/>
    <w:rsid w:val="002C5D31"/>
    <w:rsid w:val="002C6F5E"/>
    <w:rsid w:val="002D0952"/>
    <w:rsid w:val="002D3CBA"/>
    <w:rsid w:val="002D51FF"/>
    <w:rsid w:val="002E40B3"/>
    <w:rsid w:val="002E4C9A"/>
    <w:rsid w:val="002F11F8"/>
    <w:rsid w:val="002F3F56"/>
    <w:rsid w:val="002F44B5"/>
    <w:rsid w:val="002F4627"/>
    <w:rsid w:val="00304C5A"/>
    <w:rsid w:val="003065F2"/>
    <w:rsid w:val="0031021A"/>
    <w:rsid w:val="0031180B"/>
    <w:rsid w:val="00311AC0"/>
    <w:rsid w:val="003229B4"/>
    <w:rsid w:val="00324B4B"/>
    <w:rsid w:val="0032583B"/>
    <w:rsid w:val="00327883"/>
    <w:rsid w:val="00332BD7"/>
    <w:rsid w:val="00333E8F"/>
    <w:rsid w:val="00335504"/>
    <w:rsid w:val="003358FD"/>
    <w:rsid w:val="00340C18"/>
    <w:rsid w:val="003442FD"/>
    <w:rsid w:val="00347824"/>
    <w:rsid w:val="00347981"/>
    <w:rsid w:val="00350567"/>
    <w:rsid w:val="003516DE"/>
    <w:rsid w:val="003521E8"/>
    <w:rsid w:val="00355C09"/>
    <w:rsid w:val="003577DF"/>
    <w:rsid w:val="00357981"/>
    <w:rsid w:val="00370CE3"/>
    <w:rsid w:val="003728F3"/>
    <w:rsid w:val="0037496E"/>
    <w:rsid w:val="00383221"/>
    <w:rsid w:val="0038421F"/>
    <w:rsid w:val="00386150"/>
    <w:rsid w:val="003874CE"/>
    <w:rsid w:val="00390900"/>
    <w:rsid w:val="003A5002"/>
    <w:rsid w:val="003A7B1E"/>
    <w:rsid w:val="003A7F6C"/>
    <w:rsid w:val="003B05AF"/>
    <w:rsid w:val="003B4D60"/>
    <w:rsid w:val="003B7E39"/>
    <w:rsid w:val="003C51AE"/>
    <w:rsid w:val="003C529A"/>
    <w:rsid w:val="003C58DC"/>
    <w:rsid w:val="003D1E62"/>
    <w:rsid w:val="003E0B99"/>
    <w:rsid w:val="003E2486"/>
    <w:rsid w:val="003E3208"/>
    <w:rsid w:val="003E4E66"/>
    <w:rsid w:val="003F0B04"/>
    <w:rsid w:val="0040134E"/>
    <w:rsid w:val="004064A0"/>
    <w:rsid w:val="00406B3B"/>
    <w:rsid w:val="004159EC"/>
    <w:rsid w:val="004251F0"/>
    <w:rsid w:val="0042768F"/>
    <w:rsid w:val="004334C7"/>
    <w:rsid w:val="00440A2D"/>
    <w:rsid w:val="00441984"/>
    <w:rsid w:val="00441C3F"/>
    <w:rsid w:val="004564A7"/>
    <w:rsid w:val="004617BF"/>
    <w:rsid w:val="00463658"/>
    <w:rsid w:val="004637A0"/>
    <w:rsid w:val="00463A38"/>
    <w:rsid w:val="00465A06"/>
    <w:rsid w:val="004722CC"/>
    <w:rsid w:val="00486DF7"/>
    <w:rsid w:val="0049179D"/>
    <w:rsid w:val="004936E4"/>
    <w:rsid w:val="00494E60"/>
    <w:rsid w:val="00495427"/>
    <w:rsid w:val="00497487"/>
    <w:rsid w:val="004A4E1F"/>
    <w:rsid w:val="004A6189"/>
    <w:rsid w:val="004A7390"/>
    <w:rsid w:val="004B26C1"/>
    <w:rsid w:val="004B47A8"/>
    <w:rsid w:val="004B628D"/>
    <w:rsid w:val="004B7B76"/>
    <w:rsid w:val="004C239D"/>
    <w:rsid w:val="004C2DCA"/>
    <w:rsid w:val="004C61D2"/>
    <w:rsid w:val="004D74E4"/>
    <w:rsid w:val="004E65CA"/>
    <w:rsid w:val="004F00BF"/>
    <w:rsid w:val="004F0C4A"/>
    <w:rsid w:val="004F0F38"/>
    <w:rsid w:val="004F47D6"/>
    <w:rsid w:val="00500DD1"/>
    <w:rsid w:val="0050100E"/>
    <w:rsid w:val="00501921"/>
    <w:rsid w:val="00517B6C"/>
    <w:rsid w:val="0052215E"/>
    <w:rsid w:val="00530354"/>
    <w:rsid w:val="0053625B"/>
    <w:rsid w:val="005425A7"/>
    <w:rsid w:val="005434C6"/>
    <w:rsid w:val="00543B39"/>
    <w:rsid w:val="00546154"/>
    <w:rsid w:val="00550096"/>
    <w:rsid w:val="00555280"/>
    <w:rsid w:val="00557FF9"/>
    <w:rsid w:val="00562327"/>
    <w:rsid w:val="005711D5"/>
    <w:rsid w:val="00576378"/>
    <w:rsid w:val="00577130"/>
    <w:rsid w:val="00577945"/>
    <w:rsid w:val="00577E38"/>
    <w:rsid w:val="00581676"/>
    <w:rsid w:val="00585322"/>
    <w:rsid w:val="005857C6"/>
    <w:rsid w:val="005863CA"/>
    <w:rsid w:val="00591C77"/>
    <w:rsid w:val="00592CEA"/>
    <w:rsid w:val="00592F6E"/>
    <w:rsid w:val="00593AD1"/>
    <w:rsid w:val="00595EA3"/>
    <w:rsid w:val="0059774C"/>
    <w:rsid w:val="005A5E16"/>
    <w:rsid w:val="005A6579"/>
    <w:rsid w:val="005A68B6"/>
    <w:rsid w:val="005A6C65"/>
    <w:rsid w:val="005B1D74"/>
    <w:rsid w:val="005B4097"/>
    <w:rsid w:val="005C5570"/>
    <w:rsid w:val="005C79A4"/>
    <w:rsid w:val="005D07BF"/>
    <w:rsid w:val="005D3047"/>
    <w:rsid w:val="005D5442"/>
    <w:rsid w:val="005E1095"/>
    <w:rsid w:val="005F4AFA"/>
    <w:rsid w:val="005F5D1D"/>
    <w:rsid w:val="00603F32"/>
    <w:rsid w:val="00605AD4"/>
    <w:rsid w:val="0062348A"/>
    <w:rsid w:val="00625A6E"/>
    <w:rsid w:val="00632398"/>
    <w:rsid w:val="00637A71"/>
    <w:rsid w:val="00640FC3"/>
    <w:rsid w:val="00641B70"/>
    <w:rsid w:val="00642020"/>
    <w:rsid w:val="00646666"/>
    <w:rsid w:val="0065337B"/>
    <w:rsid w:val="0065419D"/>
    <w:rsid w:val="006567D1"/>
    <w:rsid w:val="006604D8"/>
    <w:rsid w:val="00664A5B"/>
    <w:rsid w:val="0066735C"/>
    <w:rsid w:val="006737C4"/>
    <w:rsid w:val="006763D2"/>
    <w:rsid w:val="00680C08"/>
    <w:rsid w:val="0068126B"/>
    <w:rsid w:val="00682E41"/>
    <w:rsid w:val="00685DD7"/>
    <w:rsid w:val="006916A0"/>
    <w:rsid w:val="00692DC2"/>
    <w:rsid w:val="006931B1"/>
    <w:rsid w:val="0069398A"/>
    <w:rsid w:val="00695D17"/>
    <w:rsid w:val="006A15C0"/>
    <w:rsid w:val="006A2233"/>
    <w:rsid w:val="006B3AFC"/>
    <w:rsid w:val="006C3497"/>
    <w:rsid w:val="006C3BAA"/>
    <w:rsid w:val="006C3E2A"/>
    <w:rsid w:val="006C642F"/>
    <w:rsid w:val="006D03E5"/>
    <w:rsid w:val="006D326F"/>
    <w:rsid w:val="006D5D3E"/>
    <w:rsid w:val="006E08B3"/>
    <w:rsid w:val="006E1B69"/>
    <w:rsid w:val="006F17AC"/>
    <w:rsid w:val="006F25B8"/>
    <w:rsid w:val="006F572E"/>
    <w:rsid w:val="0070133A"/>
    <w:rsid w:val="007046D6"/>
    <w:rsid w:val="00705DB0"/>
    <w:rsid w:val="00713E62"/>
    <w:rsid w:val="00716EFB"/>
    <w:rsid w:val="00720DBB"/>
    <w:rsid w:val="00721E5E"/>
    <w:rsid w:val="00722B57"/>
    <w:rsid w:val="00730F8A"/>
    <w:rsid w:val="00734967"/>
    <w:rsid w:val="00735A8C"/>
    <w:rsid w:val="0074253D"/>
    <w:rsid w:val="0074429B"/>
    <w:rsid w:val="0074664C"/>
    <w:rsid w:val="007569DC"/>
    <w:rsid w:val="007615BC"/>
    <w:rsid w:val="00762F05"/>
    <w:rsid w:val="007652FF"/>
    <w:rsid w:val="007656CD"/>
    <w:rsid w:val="00767662"/>
    <w:rsid w:val="00770CAC"/>
    <w:rsid w:val="00770EF1"/>
    <w:rsid w:val="00771F2E"/>
    <w:rsid w:val="00773DDF"/>
    <w:rsid w:val="00773EF7"/>
    <w:rsid w:val="00774E1D"/>
    <w:rsid w:val="007765D8"/>
    <w:rsid w:val="0077675A"/>
    <w:rsid w:val="00780355"/>
    <w:rsid w:val="007813CB"/>
    <w:rsid w:val="00781923"/>
    <w:rsid w:val="007819FD"/>
    <w:rsid w:val="00785717"/>
    <w:rsid w:val="00785721"/>
    <w:rsid w:val="00793A59"/>
    <w:rsid w:val="007A3B0A"/>
    <w:rsid w:val="007B6132"/>
    <w:rsid w:val="007B6E9F"/>
    <w:rsid w:val="007B76C3"/>
    <w:rsid w:val="007C1216"/>
    <w:rsid w:val="007C1AF7"/>
    <w:rsid w:val="007C6B9B"/>
    <w:rsid w:val="007E2ADF"/>
    <w:rsid w:val="007E3009"/>
    <w:rsid w:val="007F3C03"/>
    <w:rsid w:val="00802B65"/>
    <w:rsid w:val="00805D27"/>
    <w:rsid w:val="00806DCB"/>
    <w:rsid w:val="00816A9D"/>
    <w:rsid w:val="00821776"/>
    <w:rsid w:val="008321F5"/>
    <w:rsid w:val="00832369"/>
    <w:rsid w:val="00834660"/>
    <w:rsid w:val="00836BC2"/>
    <w:rsid w:val="0084305A"/>
    <w:rsid w:val="008430C3"/>
    <w:rsid w:val="0085156D"/>
    <w:rsid w:val="0085641B"/>
    <w:rsid w:val="00857136"/>
    <w:rsid w:val="0086108A"/>
    <w:rsid w:val="0088380F"/>
    <w:rsid w:val="00885B11"/>
    <w:rsid w:val="00886D15"/>
    <w:rsid w:val="00887DD8"/>
    <w:rsid w:val="00891BA9"/>
    <w:rsid w:val="00892680"/>
    <w:rsid w:val="00892D98"/>
    <w:rsid w:val="00896018"/>
    <w:rsid w:val="008960DD"/>
    <w:rsid w:val="0089635C"/>
    <w:rsid w:val="008A2356"/>
    <w:rsid w:val="008A2B9D"/>
    <w:rsid w:val="008A3D9F"/>
    <w:rsid w:val="008A5E0B"/>
    <w:rsid w:val="008A6D59"/>
    <w:rsid w:val="008B4B03"/>
    <w:rsid w:val="008B596F"/>
    <w:rsid w:val="008C159F"/>
    <w:rsid w:val="008C1623"/>
    <w:rsid w:val="008C1850"/>
    <w:rsid w:val="008C51A9"/>
    <w:rsid w:val="008D290D"/>
    <w:rsid w:val="008D6EF3"/>
    <w:rsid w:val="008E52BD"/>
    <w:rsid w:val="008E7846"/>
    <w:rsid w:val="008F02E5"/>
    <w:rsid w:val="008F0C79"/>
    <w:rsid w:val="008F1CCC"/>
    <w:rsid w:val="008F2967"/>
    <w:rsid w:val="008F361A"/>
    <w:rsid w:val="008F6943"/>
    <w:rsid w:val="00902A21"/>
    <w:rsid w:val="00906DB7"/>
    <w:rsid w:val="00920330"/>
    <w:rsid w:val="0092160C"/>
    <w:rsid w:val="009219D7"/>
    <w:rsid w:val="00922D53"/>
    <w:rsid w:val="00923B70"/>
    <w:rsid w:val="00924482"/>
    <w:rsid w:val="00930237"/>
    <w:rsid w:val="00931980"/>
    <w:rsid w:val="009354A7"/>
    <w:rsid w:val="00937C17"/>
    <w:rsid w:val="00940A89"/>
    <w:rsid w:val="00943032"/>
    <w:rsid w:val="009433ED"/>
    <w:rsid w:val="00945B36"/>
    <w:rsid w:val="00946EA5"/>
    <w:rsid w:val="00954150"/>
    <w:rsid w:val="00963C08"/>
    <w:rsid w:val="009676EE"/>
    <w:rsid w:val="009752A5"/>
    <w:rsid w:val="009774EE"/>
    <w:rsid w:val="0098585A"/>
    <w:rsid w:val="00987C25"/>
    <w:rsid w:val="00992B65"/>
    <w:rsid w:val="0099372C"/>
    <w:rsid w:val="009A4CED"/>
    <w:rsid w:val="009A690D"/>
    <w:rsid w:val="009A7CBE"/>
    <w:rsid w:val="009B1D12"/>
    <w:rsid w:val="009B234D"/>
    <w:rsid w:val="009B416B"/>
    <w:rsid w:val="009B75D6"/>
    <w:rsid w:val="009C23F0"/>
    <w:rsid w:val="009C4BD5"/>
    <w:rsid w:val="009D7B77"/>
    <w:rsid w:val="009E02CB"/>
    <w:rsid w:val="009E0BB0"/>
    <w:rsid w:val="009E3FBB"/>
    <w:rsid w:val="009F1497"/>
    <w:rsid w:val="009F1E1A"/>
    <w:rsid w:val="009F7353"/>
    <w:rsid w:val="00A04F85"/>
    <w:rsid w:val="00A05FA4"/>
    <w:rsid w:val="00A102E4"/>
    <w:rsid w:val="00A12C42"/>
    <w:rsid w:val="00A14DF7"/>
    <w:rsid w:val="00A3246D"/>
    <w:rsid w:val="00A327C1"/>
    <w:rsid w:val="00A338FB"/>
    <w:rsid w:val="00A36FA7"/>
    <w:rsid w:val="00A40AD9"/>
    <w:rsid w:val="00A44A36"/>
    <w:rsid w:val="00A44DDB"/>
    <w:rsid w:val="00A475B7"/>
    <w:rsid w:val="00A47AF7"/>
    <w:rsid w:val="00A47C3E"/>
    <w:rsid w:val="00A50226"/>
    <w:rsid w:val="00A51670"/>
    <w:rsid w:val="00A60BAD"/>
    <w:rsid w:val="00A61AD1"/>
    <w:rsid w:val="00A64338"/>
    <w:rsid w:val="00A77B44"/>
    <w:rsid w:val="00A80B5B"/>
    <w:rsid w:val="00A818DC"/>
    <w:rsid w:val="00A84E36"/>
    <w:rsid w:val="00A85F99"/>
    <w:rsid w:val="00A8772E"/>
    <w:rsid w:val="00A964D1"/>
    <w:rsid w:val="00AA0ED0"/>
    <w:rsid w:val="00AA1284"/>
    <w:rsid w:val="00AA13AD"/>
    <w:rsid w:val="00AB2D86"/>
    <w:rsid w:val="00AC2B40"/>
    <w:rsid w:val="00AC2BB2"/>
    <w:rsid w:val="00AC2C3C"/>
    <w:rsid w:val="00AC512D"/>
    <w:rsid w:val="00AD0083"/>
    <w:rsid w:val="00AD3935"/>
    <w:rsid w:val="00AE65EB"/>
    <w:rsid w:val="00AE67A7"/>
    <w:rsid w:val="00AF1D94"/>
    <w:rsid w:val="00AF60C5"/>
    <w:rsid w:val="00B009C6"/>
    <w:rsid w:val="00B01548"/>
    <w:rsid w:val="00B06994"/>
    <w:rsid w:val="00B13EBD"/>
    <w:rsid w:val="00B21D29"/>
    <w:rsid w:val="00B25034"/>
    <w:rsid w:val="00B31CA3"/>
    <w:rsid w:val="00B33588"/>
    <w:rsid w:val="00B33863"/>
    <w:rsid w:val="00B37144"/>
    <w:rsid w:val="00B37D17"/>
    <w:rsid w:val="00B4175E"/>
    <w:rsid w:val="00B452CE"/>
    <w:rsid w:val="00B46A91"/>
    <w:rsid w:val="00B51D08"/>
    <w:rsid w:val="00B54C25"/>
    <w:rsid w:val="00B65B3F"/>
    <w:rsid w:val="00B72964"/>
    <w:rsid w:val="00B76B91"/>
    <w:rsid w:val="00B77EB1"/>
    <w:rsid w:val="00B811C6"/>
    <w:rsid w:val="00B855B0"/>
    <w:rsid w:val="00B86B18"/>
    <w:rsid w:val="00B904DA"/>
    <w:rsid w:val="00B92DBD"/>
    <w:rsid w:val="00B92E08"/>
    <w:rsid w:val="00B974F9"/>
    <w:rsid w:val="00BC2706"/>
    <w:rsid w:val="00BC496F"/>
    <w:rsid w:val="00BC622A"/>
    <w:rsid w:val="00BD37A1"/>
    <w:rsid w:val="00BE0A78"/>
    <w:rsid w:val="00BE774A"/>
    <w:rsid w:val="00BE79F0"/>
    <w:rsid w:val="00BF046D"/>
    <w:rsid w:val="00BF1190"/>
    <w:rsid w:val="00BF5D04"/>
    <w:rsid w:val="00C009AA"/>
    <w:rsid w:val="00C07754"/>
    <w:rsid w:val="00C1164D"/>
    <w:rsid w:val="00C12493"/>
    <w:rsid w:val="00C16861"/>
    <w:rsid w:val="00C22878"/>
    <w:rsid w:val="00C233ED"/>
    <w:rsid w:val="00C346AB"/>
    <w:rsid w:val="00C404A6"/>
    <w:rsid w:val="00C40A36"/>
    <w:rsid w:val="00C44419"/>
    <w:rsid w:val="00C44616"/>
    <w:rsid w:val="00C45E7B"/>
    <w:rsid w:val="00C471B1"/>
    <w:rsid w:val="00C50C17"/>
    <w:rsid w:val="00C53AB0"/>
    <w:rsid w:val="00C61411"/>
    <w:rsid w:val="00C6316B"/>
    <w:rsid w:val="00C634A9"/>
    <w:rsid w:val="00C64586"/>
    <w:rsid w:val="00C70D53"/>
    <w:rsid w:val="00C72CE4"/>
    <w:rsid w:val="00C73D0B"/>
    <w:rsid w:val="00C75B00"/>
    <w:rsid w:val="00C772FF"/>
    <w:rsid w:val="00C80137"/>
    <w:rsid w:val="00C801AF"/>
    <w:rsid w:val="00C80256"/>
    <w:rsid w:val="00C8187B"/>
    <w:rsid w:val="00C87FB2"/>
    <w:rsid w:val="00C9475A"/>
    <w:rsid w:val="00C94CD4"/>
    <w:rsid w:val="00C96705"/>
    <w:rsid w:val="00C9747E"/>
    <w:rsid w:val="00C9757C"/>
    <w:rsid w:val="00CB6BC0"/>
    <w:rsid w:val="00CB6FFC"/>
    <w:rsid w:val="00CC1B7C"/>
    <w:rsid w:val="00CC39CA"/>
    <w:rsid w:val="00CC46F1"/>
    <w:rsid w:val="00CC66CA"/>
    <w:rsid w:val="00CC727F"/>
    <w:rsid w:val="00CE0C8B"/>
    <w:rsid w:val="00CE1581"/>
    <w:rsid w:val="00CE1730"/>
    <w:rsid w:val="00CE3C93"/>
    <w:rsid w:val="00CF15C3"/>
    <w:rsid w:val="00CF2B6F"/>
    <w:rsid w:val="00CF2F3E"/>
    <w:rsid w:val="00CF58B6"/>
    <w:rsid w:val="00CF6AD2"/>
    <w:rsid w:val="00D0062D"/>
    <w:rsid w:val="00D017ED"/>
    <w:rsid w:val="00D040D3"/>
    <w:rsid w:val="00D04C65"/>
    <w:rsid w:val="00D07408"/>
    <w:rsid w:val="00D11B4B"/>
    <w:rsid w:val="00D11BD4"/>
    <w:rsid w:val="00D12AF4"/>
    <w:rsid w:val="00D15CFD"/>
    <w:rsid w:val="00D201D2"/>
    <w:rsid w:val="00D224FE"/>
    <w:rsid w:val="00D23139"/>
    <w:rsid w:val="00D24B1E"/>
    <w:rsid w:val="00D25D65"/>
    <w:rsid w:val="00D31167"/>
    <w:rsid w:val="00D37BCF"/>
    <w:rsid w:val="00D425BB"/>
    <w:rsid w:val="00D44E78"/>
    <w:rsid w:val="00D47221"/>
    <w:rsid w:val="00D47AE3"/>
    <w:rsid w:val="00D5675B"/>
    <w:rsid w:val="00D620E2"/>
    <w:rsid w:val="00D6493E"/>
    <w:rsid w:val="00D66A42"/>
    <w:rsid w:val="00D7195D"/>
    <w:rsid w:val="00D71AD2"/>
    <w:rsid w:val="00D7301E"/>
    <w:rsid w:val="00D83AE1"/>
    <w:rsid w:val="00D855D4"/>
    <w:rsid w:val="00D902C9"/>
    <w:rsid w:val="00D93466"/>
    <w:rsid w:val="00DA0BB4"/>
    <w:rsid w:val="00DA1124"/>
    <w:rsid w:val="00DA2E7F"/>
    <w:rsid w:val="00DB6124"/>
    <w:rsid w:val="00DB750B"/>
    <w:rsid w:val="00DB75B7"/>
    <w:rsid w:val="00DC21AC"/>
    <w:rsid w:val="00DC6E02"/>
    <w:rsid w:val="00DD28CD"/>
    <w:rsid w:val="00DD5263"/>
    <w:rsid w:val="00DE02AE"/>
    <w:rsid w:val="00DE2797"/>
    <w:rsid w:val="00DE62E8"/>
    <w:rsid w:val="00DF1D7F"/>
    <w:rsid w:val="00DF4BE4"/>
    <w:rsid w:val="00E012C2"/>
    <w:rsid w:val="00E02FB4"/>
    <w:rsid w:val="00E04664"/>
    <w:rsid w:val="00E04A63"/>
    <w:rsid w:val="00E06BB6"/>
    <w:rsid w:val="00E07D91"/>
    <w:rsid w:val="00E13FC7"/>
    <w:rsid w:val="00E20571"/>
    <w:rsid w:val="00E21B22"/>
    <w:rsid w:val="00E235F7"/>
    <w:rsid w:val="00E23659"/>
    <w:rsid w:val="00E239D4"/>
    <w:rsid w:val="00E240CD"/>
    <w:rsid w:val="00E2588D"/>
    <w:rsid w:val="00E26130"/>
    <w:rsid w:val="00E32FAA"/>
    <w:rsid w:val="00E40B22"/>
    <w:rsid w:val="00E44ED1"/>
    <w:rsid w:val="00E45619"/>
    <w:rsid w:val="00E4588F"/>
    <w:rsid w:val="00E46DA3"/>
    <w:rsid w:val="00E4776D"/>
    <w:rsid w:val="00E510D6"/>
    <w:rsid w:val="00E51BB1"/>
    <w:rsid w:val="00E56C0A"/>
    <w:rsid w:val="00E624A5"/>
    <w:rsid w:val="00E63418"/>
    <w:rsid w:val="00E64541"/>
    <w:rsid w:val="00E649FC"/>
    <w:rsid w:val="00E64BA4"/>
    <w:rsid w:val="00E7344E"/>
    <w:rsid w:val="00E74840"/>
    <w:rsid w:val="00E80FB1"/>
    <w:rsid w:val="00E82665"/>
    <w:rsid w:val="00E936B5"/>
    <w:rsid w:val="00EA40CB"/>
    <w:rsid w:val="00EA6C08"/>
    <w:rsid w:val="00EB0798"/>
    <w:rsid w:val="00EB40AD"/>
    <w:rsid w:val="00EB586E"/>
    <w:rsid w:val="00EB5FC8"/>
    <w:rsid w:val="00EC463D"/>
    <w:rsid w:val="00EC7A85"/>
    <w:rsid w:val="00ED2922"/>
    <w:rsid w:val="00ED3CAD"/>
    <w:rsid w:val="00ED5A41"/>
    <w:rsid w:val="00EE19F3"/>
    <w:rsid w:val="00EE1DE8"/>
    <w:rsid w:val="00EE27C2"/>
    <w:rsid w:val="00EF32B9"/>
    <w:rsid w:val="00EF4BAD"/>
    <w:rsid w:val="00F033EC"/>
    <w:rsid w:val="00F04F68"/>
    <w:rsid w:val="00F07EFD"/>
    <w:rsid w:val="00F1158B"/>
    <w:rsid w:val="00F12670"/>
    <w:rsid w:val="00F1333B"/>
    <w:rsid w:val="00F14B27"/>
    <w:rsid w:val="00F15306"/>
    <w:rsid w:val="00F3148D"/>
    <w:rsid w:val="00F325C5"/>
    <w:rsid w:val="00F32B73"/>
    <w:rsid w:val="00F32FE0"/>
    <w:rsid w:val="00F3304E"/>
    <w:rsid w:val="00F35298"/>
    <w:rsid w:val="00F35DF3"/>
    <w:rsid w:val="00F41004"/>
    <w:rsid w:val="00F42B57"/>
    <w:rsid w:val="00F43E7F"/>
    <w:rsid w:val="00F45446"/>
    <w:rsid w:val="00F47333"/>
    <w:rsid w:val="00F47E37"/>
    <w:rsid w:val="00F50C62"/>
    <w:rsid w:val="00F53C07"/>
    <w:rsid w:val="00F54B65"/>
    <w:rsid w:val="00F6280A"/>
    <w:rsid w:val="00F640B6"/>
    <w:rsid w:val="00F66DF2"/>
    <w:rsid w:val="00F729E8"/>
    <w:rsid w:val="00F75990"/>
    <w:rsid w:val="00F77C36"/>
    <w:rsid w:val="00F80E40"/>
    <w:rsid w:val="00F848D9"/>
    <w:rsid w:val="00F86197"/>
    <w:rsid w:val="00FA5B82"/>
    <w:rsid w:val="00FA639E"/>
    <w:rsid w:val="00FA63BB"/>
    <w:rsid w:val="00FA64DE"/>
    <w:rsid w:val="00FC0686"/>
    <w:rsid w:val="00FC0C1C"/>
    <w:rsid w:val="00FC1FCA"/>
    <w:rsid w:val="00FC25E4"/>
    <w:rsid w:val="00FC4EF7"/>
    <w:rsid w:val="00FD0824"/>
    <w:rsid w:val="00FD119B"/>
    <w:rsid w:val="00FD1957"/>
    <w:rsid w:val="00FD1EDC"/>
    <w:rsid w:val="00FD25A8"/>
    <w:rsid w:val="00FD6063"/>
    <w:rsid w:val="00FE1DEE"/>
    <w:rsid w:val="00FF2126"/>
    <w:rsid w:val="00FF3719"/>
    <w:rsid w:val="00FF5755"/>
    <w:rsid w:val="00FF69BE"/>
    <w:rsid w:val="00FF7B93"/>
    <w:rsid w:val="00FF7D2C"/>
    <w:rsid w:val="00FF7EF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01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uiPriority w:val="9"/>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uiPriority w:val="9"/>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uiPriority w:val="9"/>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uiPriority w:val="9"/>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517B6C"/>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CE0C8B"/>
    <w:pPr>
      <w:ind w:left="720"/>
      <w:contextualSpacing/>
    </w:pPr>
  </w:style>
  <w:style w:type="paragraph" w:customStyle="1" w:styleId="Standard">
    <w:name w:val="Standard"/>
    <w:basedOn w:val="Normal"/>
    <w:link w:val="StandardChar"/>
    <w:qFormat/>
    <w:rsid w:val="006B3AFC"/>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6B3AFC"/>
    <w:rPr>
      <w:rFonts w:ascii="Cambria" w:eastAsia="Times New Roman" w:hAnsi="Cambria" w:cs="Times New Roman"/>
      <w:snapToGrid w:val="0"/>
      <w:kern w:val="16"/>
      <w:sz w:val="23"/>
      <w:szCs w:val="24"/>
    </w:rPr>
  </w:style>
  <w:style w:type="paragraph" w:customStyle="1" w:styleId="Bulletlist">
    <w:name w:val="Bullet list"/>
    <w:basedOn w:val="Standard"/>
    <w:link w:val="BulletlistChar"/>
    <w:qFormat/>
    <w:rsid w:val="006B3AFC"/>
    <w:pPr>
      <w:numPr>
        <w:numId w:val="36"/>
      </w:numPr>
      <w:spacing w:after="180"/>
      <w:ind w:left="426" w:hanging="284"/>
    </w:pPr>
    <w:rPr>
      <w:kern w:val="2"/>
    </w:rPr>
  </w:style>
  <w:style w:type="character" w:customStyle="1" w:styleId="TabletextChar">
    <w:name w:val="Table text Char"/>
    <w:basedOn w:val="StandardChar"/>
    <w:link w:val="Tabletext"/>
    <w:rsid w:val="006B3AFC"/>
    <w:rPr>
      <w:rFonts w:ascii="Cambria" w:eastAsia="Cambria" w:hAnsi="Cambria" w:cs="Times New Roman"/>
      <w:snapToGrid/>
      <w:kern w:val="16"/>
      <w:sz w:val="19"/>
      <w:szCs w:val="24"/>
    </w:rPr>
  </w:style>
  <w:style w:type="character" w:customStyle="1" w:styleId="BulletlistChar">
    <w:name w:val="Bullet list Char"/>
    <w:basedOn w:val="StandardChar"/>
    <w:link w:val="Bulletlist"/>
    <w:rsid w:val="006B3AFC"/>
    <w:rPr>
      <w:rFonts w:ascii="Cambria" w:eastAsia="Times New Roman" w:hAnsi="Cambria" w:cs="Times New Roman"/>
      <w:snapToGrid w:val="0"/>
      <w:kern w:val="2"/>
      <w:sz w:val="23"/>
      <w:szCs w:val="24"/>
    </w:rPr>
  </w:style>
  <w:style w:type="numbering" w:customStyle="1" w:styleId="Headings">
    <w:name w:val="Headings"/>
    <w:uiPriority w:val="99"/>
    <w:rsid w:val="0027658B"/>
    <w:pPr>
      <w:numPr>
        <w:numId w:val="37"/>
      </w:numPr>
    </w:pPr>
  </w:style>
  <w:style w:type="numbering" w:customStyle="1" w:styleId="Recommendations">
    <w:name w:val="Recommendations"/>
    <w:uiPriority w:val="99"/>
    <w:rsid w:val="00767662"/>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uiPriority w:val="9"/>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uiPriority w:val="9"/>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uiPriority w:val="9"/>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uiPriority w:val="9"/>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517B6C"/>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CE0C8B"/>
    <w:pPr>
      <w:ind w:left="720"/>
      <w:contextualSpacing/>
    </w:pPr>
  </w:style>
  <w:style w:type="paragraph" w:customStyle="1" w:styleId="Standard">
    <w:name w:val="Standard"/>
    <w:basedOn w:val="Normal"/>
    <w:link w:val="StandardChar"/>
    <w:qFormat/>
    <w:rsid w:val="006B3AFC"/>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6B3AFC"/>
    <w:rPr>
      <w:rFonts w:ascii="Cambria" w:eastAsia="Times New Roman" w:hAnsi="Cambria" w:cs="Times New Roman"/>
      <w:snapToGrid w:val="0"/>
      <w:kern w:val="16"/>
      <w:sz w:val="23"/>
      <w:szCs w:val="24"/>
    </w:rPr>
  </w:style>
  <w:style w:type="paragraph" w:customStyle="1" w:styleId="Bulletlist">
    <w:name w:val="Bullet list"/>
    <w:basedOn w:val="Standard"/>
    <w:link w:val="BulletlistChar"/>
    <w:qFormat/>
    <w:rsid w:val="006B3AFC"/>
    <w:pPr>
      <w:numPr>
        <w:numId w:val="36"/>
      </w:numPr>
      <w:spacing w:after="180"/>
      <w:ind w:left="426" w:hanging="284"/>
    </w:pPr>
    <w:rPr>
      <w:kern w:val="2"/>
    </w:rPr>
  </w:style>
  <w:style w:type="character" w:customStyle="1" w:styleId="TabletextChar">
    <w:name w:val="Table text Char"/>
    <w:basedOn w:val="StandardChar"/>
    <w:link w:val="Tabletext"/>
    <w:rsid w:val="006B3AFC"/>
    <w:rPr>
      <w:rFonts w:ascii="Cambria" w:eastAsia="Cambria" w:hAnsi="Cambria" w:cs="Times New Roman"/>
      <w:snapToGrid/>
      <w:kern w:val="16"/>
      <w:sz w:val="19"/>
      <w:szCs w:val="24"/>
    </w:rPr>
  </w:style>
  <w:style w:type="character" w:customStyle="1" w:styleId="BulletlistChar">
    <w:name w:val="Bullet list Char"/>
    <w:basedOn w:val="StandardChar"/>
    <w:link w:val="Bulletlist"/>
    <w:rsid w:val="006B3AFC"/>
    <w:rPr>
      <w:rFonts w:ascii="Cambria" w:eastAsia="Times New Roman" w:hAnsi="Cambria" w:cs="Times New Roman"/>
      <w:snapToGrid w:val="0"/>
      <w:kern w:val="2"/>
      <w:sz w:val="23"/>
      <w:szCs w:val="24"/>
    </w:rPr>
  </w:style>
  <w:style w:type="numbering" w:customStyle="1" w:styleId="Headings">
    <w:name w:val="Headings"/>
    <w:uiPriority w:val="99"/>
    <w:rsid w:val="0027658B"/>
    <w:pPr>
      <w:numPr>
        <w:numId w:val="37"/>
      </w:numPr>
    </w:pPr>
  </w:style>
  <w:style w:type="numbering" w:customStyle="1" w:styleId="Recommendations">
    <w:name w:val="Recommendations"/>
    <w:uiPriority w:val="99"/>
    <w:rsid w:val="0076766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info@tga.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ga.gov.au/product-information-pi"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mailto:tga.copyright@tga.gov.a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yperlink" Target="https://www.tga.gov.au"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517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7450-1E0F-45BC-924A-F3A3EAAD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668</TotalTime>
  <Pages>42</Pages>
  <Words>16360</Words>
  <Characters>93252</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Australian public Assessment Report for ezetimibe / atorvastatin</vt:lpstr>
    </vt:vector>
  </TitlesOfParts>
  <Company/>
  <LinksUpToDate>false</LinksUpToDate>
  <CharactersWithSpaces>109394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ezetimibe / atorvastatin</dc:title>
  <dc:subject>prescription medicines</dc:subject>
  <dc:creator>Therapeutic Goods Administration</dc:creator>
  <cp:keywords>AusPARs</cp:keywords>
  <cp:lastModifiedBy>THOMPSON, Lynette</cp:lastModifiedBy>
  <cp:revision>305</cp:revision>
  <cp:lastPrinted>2015-09-22T23:39:00Z</cp:lastPrinted>
  <dcterms:created xsi:type="dcterms:W3CDTF">2015-11-02T01:43:00Z</dcterms:created>
  <dcterms:modified xsi:type="dcterms:W3CDTF">2017-08-14T05:19:00Z</dcterms:modified>
  <cp:category/>
</cp:coreProperties>
</file>