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09" w:rsidRPr="00967DB6" w:rsidRDefault="009C4A09" w:rsidP="009C4A09">
      <w:pPr>
        <w:pStyle w:val="Title"/>
      </w:pPr>
      <w:bookmarkStart w:id="0" w:name="_GoBack"/>
      <w:bookmarkEnd w:id="0"/>
      <w:r w:rsidRPr="00967DB6">
        <w:t>PRODUCT INFORMATION</w:t>
      </w:r>
    </w:p>
    <w:p w:rsidR="009C4A09" w:rsidRPr="00967DB6" w:rsidRDefault="009C4A09" w:rsidP="009C4A09">
      <w:pPr>
        <w:pStyle w:val="Subtitle"/>
      </w:pPr>
      <w:r w:rsidRPr="00967DB6">
        <w:t>LIPIDIL</w:t>
      </w:r>
      <w:r w:rsidRPr="00CA49DE">
        <w:rPr>
          <w:vertAlign w:val="superscript"/>
        </w:rPr>
        <w:t>®</w:t>
      </w:r>
    </w:p>
    <w:p w:rsidR="008B2E99" w:rsidRPr="00363E65" w:rsidRDefault="008B2E99">
      <w:pPr>
        <w:pStyle w:val="Heading1"/>
      </w:pPr>
      <w:r w:rsidRPr="00363E65">
        <w:t xml:space="preserve">Name of the </w:t>
      </w:r>
      <w:r w:rsidR="009C4A09" w:rsidRPr="00363E65">
        <w:t>MEDICINE</w:t>
      </w:r>
    </w:p>
    <w:p w:rsidR="009C4A09" w:rsidRPr="00967DB6" w:rsidRDefault="009C4A09" w:rsidP="00967DB6">
      <w:pPr>
        <w:pStyle w:val="Heading2"/>
        <w:spacing w:before="120" w:after="120"/>
      </w:pPr>
      <w:r w:rsidRPr="00967DB6">
        <w:t>Non-proprietary Name</w:t>
      </w:r>
    </w:p>
    <w:p w:rsidR="009C4A09" w:rsidRPr="00967DB6" w:rsidRDefault="008B2E99" w:rsidP="009C4A09">
      <w:r w:rsidRPr="00967DB6">
        <w:t>Fenofibrate</w:t>
      </w:r>
    </w:p>
    <w:p w:rsidR="009C4A09" w:rsidRPr="00967DB6" w:rsidRDefault="00B97E32" w:rsidP="00967DB6">
      <w:pPr>
        <w:pStyle w:val="Heading2"/>
        <w:spacing w:before="120" w:after="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2.15pt;margin-top:26.1pt;width:252pt;height:49.35pt;z-index:251657728">
            <v:imagedata r:id="rId8" o:title=""/>
            <w10:wrap type="topAndBottom"/>
          </v:shape>
          <o:OLEObject Type="Embed" ProgID="ChemDraw.Document.4.0" ShapeID="_x0000_s1032" DrawAspect="Content" ObjectID="_1482217948" r:id="rId9"/>
        </w:pict>
      </w:r>
      <w:r w:rsidR="009C4A09" w:rsidRPr="00967DB6">
        <w:t>Chemical Structure</w:t>
      </w:r>
    </w:p>
    <w:p w:rsidR="009C4A09" w:rsidRPr="00967DB6" w:rsidRDefault="009C4A09" w:rsidP="00967DB6">
      <w:pPr>
        <w:pStyle w:val="Heading2"/>
        <w:spacing w:before="120" w:after="120"/>
      </w:pPr>
      <w:r w:rsidRPr="00967DB6">
        <w:t>CAS Number</w:t>
      </w:r>
    </w:p>
    <w:p w:rsidR="009C4A09" w:rsidRPr="00967DB6" w:rsidRDefault="009C4A09" w:rsidP="009C4A09">
      <w:r w:rsidRPr="00967DB6">
        <w:t>49562-28-9</w:t>
      </w:r>
    </w:p>
    <w:p w:rsidR="008B2E99" w:rsidRPr="00363E65" w:rsidRDefault="008B2E99">
      <w:pPr>
        <w:pStyle w:val="Heading1"/>
      </w:pPr>
      <w:r w:rsidRPr="00363E65">
        <w:t>DESCRIPTION</w:t>
      </w:r>
    </w:p>
    <w:p w:rsidR="008B2E99" w:rsidRPr="00967DB6" w:rsidRDefault="008B2E99">
      <w:r w:rsidRPr="00967DB6">
        <w:t>Fenofibrate is a fibric acid derivative.  Chemical name: 2-[4-(4-chlorobenzoyl) phenoxy]-2-methyl-propanoic acid, 1-methylethyl ester. The empirical formula is C</w:t>
      </w:r>
      <w:r w:rsidRPr="00967DB6">
        <w:rPr>
          <w:vertAlign w:val="subscript"/>
        </w:rPr>
        <w:t>20</w:t>
      </w:r>
      <w:r w:rsidRPr="00967DB6">
        <w:t>H</w:t>
      </w:r>
      <w:r w:rsidRPr="00967DB6">
        <w:rPr>
          <w:vertAlign w:val="subscript"/>
        </w:rPr>
        <w:t>21</w:t>
      </w:r>
      <w:r w:rsidRPr="00967DB6">
        <w:t>O</w:t>
      </w:r>
      <w:r w:rsidRPr="00967DB6">
        <w:rPr>
          <w:vertAlign w:val="subscript"/>
        </w:rPr>
        <w:t>4</w:t>
      </w:r>
      <w:r w:rsidRPr="00967DB6">
        <w:t>Cl. MW: 360.83.  Fenofibrate is a white solid powder, stable under ordinary conditions and practically insoluble in water. The melting point is 79-82</w:t>
      </w:r>
      <w:r w:rsidRPr="00967DB6">
        <w:sym w:font="Symbol" w:char="F0B0"/>
      </w:r>
      <w:r w:rsidRPr="00967DB6">
        <w:t>C.</w:t>
      </w:r>
    </w:p>
    <w:p w:rsidR="008B2E99" w:rsidRPr="00967DB6" w:rsidRDefault="008B2E99">
      <w:r w:rsidRPr="00967DB6">
        <w:t>Lipidil 48</w:t>
      </w:r>
      <w:r w:rsidR="009C4A09" w:rsidRPr="00967DB6">
        <w:t xml:space="preserve"> </w:t>
      </w:r>
      <w:r w:rsidRPr="00967DB6">
        <w:t>mg tablets contain 48</w:t>
      </w:r>
      <w:r w:rsidR="009C4A09" w:rsidRPr="00967DB6">
        <w:t xml:space="preserve"> </w:t>
      </w:r>
      <w:r w:rsidRPr="00967DB6">
        <w:t>mg of fenofibrate nanoparticles.  The tablets also contain sucrose, hypromellose, sodium laurylsulfate, lactose, cellulose microcrystalline, silica - colloidal anhydrous, crospovidone, docusate sodium, magnesium stearate.  The film coating for the tablets consists of polyvinyl alcohol, titanium dioxide, purified talc, lecithin and xanthan gum and indigo carmine CI 73015 (aluminum lake), quinoline yellow CI 47005 (aluminum lake) and sunset yellow FCF CI 15985 (aluminum lake) as colouring agents.</w:t>
      </w:r>
    </w:p>
    <w:p w:rsidR="008B2E99" w:rsidRPr="00967DB6" w:rsidRDefault="008B2E99">
      <w:r w:rsidRPr="00967DB6">
        <w:t>Lipidil 145</w:t>
      </w:r>
      <w:r w:rsidR="009C4A09" w:rsidRPr="00967DB6">
        <w:t xml:space="preserve"> </w:t>
      </w:r>
      <w:r w:rsidRPr="00967DB6">
        <w:t>mg tablets contain 145</w:t>
      </w:r>
      <w:r w:rsidR="009C4A09" w:rsidRPr="00967DB6">
        <w:t xml:space="preserve"> </w:t>
      </w:r>
      <w:r w:rsidRPr="00967DB6">
        <w:t xml:space="preserve">mg of fenofibrate nanoparticles.  The tablets also contain sucrose, hypromellose, sodium laurylsulfate, lactose, cellulose microcrystalline, silica - colloidal anhydrous, crospovidone, docusate sodium, magnesium </w:t>
      </w:r>
      <w:proofErr w:type="gramStart"/>
      <w:r w:rsidRPr="00967DB6">
        <w:t>stearate .</w:t>
      </w:r>
      <w:proofErr w:type="gramEnd"/>
      <w:r w:rsidRPr="00967DB6">
        <w:t xml:space="preserve">  The film coating for the tablets consists of polyvinyl alcohol, titanium dioxide, purified talc, lecithin and xanthan gum. </w:t>
      </w:r>
    </w:p>
    <w:p w:rsidR="008B2E99" w:rsidRPr="00363E65" w:rsidRDefault="008B2E99">
      <w:pPr>
        <w:pStyle w:val="Heading1"/>
      </w:pPr>
      <w:r w:rsidRPr="00363E65">
        <w:t>PHARMACOLOGY</w:t>
      </w:r>
    </w:p>
    <w:p w:rsidR="008B2E99" w:rsidRPr="00967DB6" w:rsidRDefault="008B2E99">
      <w:r w:rsidRPr="00967DB6">
        <w:t>The majority of clinical trials have been conducted with a micronised fenofibrate 200</w:t>
      </w:r>
      <w:r w:rsidR="009C4A09" w:rsidRPr="00967DB6">
        <w:t xml:space="preserve"> </w:t>
      </w:r>
      <w:r w:rsidRPr="00967DB6">
        <w:t>mg capsule formulation.</w:t>
      </w:r>
      <w:r w:rsidR="009C4A09" w:rsidRPr="00967DB6">
        <w:t xml:space="preserve"> </w:t>
      </w:r>
      <w:r w:rsidRPr="00967DB6">
        <w:t xml:space="preserve">The micronised fenofibrate 200 mg capsule, 3 tablets of 48 mg and the 145 mg tablet have been demonstrated to be bioequivalent in a bioequivalence study carried out under fed conditions. </w:t>
      </w:r>
    </w:p>
    <w:p w:rsidR="008B2E99" w:rsidRPr="00967DB6" w:rsidRDefault="008B2E99" w:rsidP="00967DB6">
      <w:pPr>
        <w:pStyle w:val="Heading2"/>
        <w:spacing w:before="120" w:after="120"/>
      </w:pPr>
      <w:r w:rsidRPr="00967DB6">
        <w:t>Pharmacodynamics</w:t>
      </w:r>
    </w:p>
    <w:p w:rsidR="008B2E99" w:rsidRPr="00967DB6" w:rsidRDefault="008B2E99">
      <w:r w:rsidRPr="00967DB6">
        <w:t xml:space="preserve">The lipid-lowering properties of fenofibrate seen in clinical practice have been explained in vivo in transgenic mice and in human hepatocyte cultures by the activation of Peroxisome Proliferator Activated Receptor type </w:t>
      </w:r>
      <w:r w:rsidRPr="00967DB6">
        <w:sym w:font="Symbol" w:char="F061"/>
      </w:r>
      <w:r w:rsidRPr="00967DB6">
        <w:t xml:space="preserve"> (PPAR</w:t>
      </w:r>
      <w:r w:rsidRPr="00967DB6">
        <w:sym w:font="Symbol" w:char="F061"/>
      </w:r>
      <w:r w:rsidRPr="00967DB6">
        <w:t>). Through this mechanism, fenofibrate increases lipolysis and elimination of triglyceride-rich particles from plasma by activating lipoprotein lipase and reducing production of Apoprotein C-III. Activation of PPAR</w:t>
      </w:r>
      <w:r w:rsidRPr="00967DB6">
        <w:sym w:font="Symbol" w:char="F061"/>
      </w:r>
      <w:r w:rsidRPr="00967DB6">
        <w:t xml:space="preserve"> also induces an increase in the synthesis of Apoproteins A-I, A-II and of HDL cholesterol.</w:t>
      </w:r>
    </w:p>
    <w:p w:rsidR="008B2E99" w:rsidRPr="00967DB6" w:rsidRDefault="008B2E99">
      <w:r w:rsidRPr="00967DB6">
        <w:t>The above stated effects of fenofibrate on lipoproteins lead to a reduction in the very low- and low-density (VLDL and LDL) fractions containing apoprotein B and to an increase in the high density lipoprotein (HDL) fraction containing apoprotein AI and AII.</w:t>
      </w:r>
    </w:p>
    <w:p w:rsidR="008B2E99" w:rsidRPr="00967DB6" w:rsidRDefault="008B2E99">
      <w:r w:rsidRPr="00967DB6">
        <w:t xml:space="preserve">In addition, through modulation of the synthesis and the catabolism of VLDL fractions fenofibrate increases the LDL clearance and reduces small dense LDL, the levels of which are elevated in the atherogenic lipoprotein phenotype, a common disorder in patients at risk of coronary heart </w:t>
      </w:r>
      <w:r w:rsidRPr="00967DB6">
        <w:lastRenderedPageBreak/>
        <w:t>disease.</w:t>
      </w:r>
      <w:r w:rsidR="00967DB6" w:rsidRPr="00967DB6">
        <w:t xml:space="preserve"> </w:t>
      </w:r>
      <w:r w:rsidRPr="00967DB6">
        <w:t>Extravascular deposits of cholesterol (tendinous and tuberous xanthoma) may be markedly reduced or even entirely eliminated during fenofibrate therapy. The uricosuric effect of fenofibrate leading to reduction in uric acid levels of approximately 25% should be of additional benefit in those dyslipidaemic patients with hyperuricaemia.</w:t>
      </w:r>
    </w:p>
    <w:p w:rsidR="008B2E99" w:rsidRPr="00967DB6" w:rsidRDefault="008B2E99" w:rsidP="00967DB6">
      <w:pPr>
        <w:pStyle w:val="Heading2"/>
        <w:spacing w:before="120" w:after="120"/>
      </w:pPr>
      <w:r w:rsidRPr="00967DB6">
        <w:t>Pharmacokinetics</w:t>
      </w:r>
    </w:p>
    <w:p w:rsidR="00343301" w:rsidRDefault="00343301" w:rsidP="00343301">
      <w:pPr>
        <w:pStyle w:val="Heading3"/>
        <w:spacing w:before="120" w:after="120"/>
      </w:pPr>
      <w:r>
        <w:t>Absorption and Bioavailability</w:t>
      </w:r>
    </w:p>
    <w:p w:rsidR="008B2E99" w:rsidRPr="00967DB6" w:rsidRDefault="008B2E99">
      <w:r w:rsidRPr="00967DB6">
        <w:t>Unlike that observed for Lipidil 160 mg tablets and 67 mg and 200 mg capsules, in which the absorption of fenofibrate is increased significantly when administered with food, the rate and extent of absorption of fenofibrate from Lipidil 48 mg and 145 mg tablets is not significantly affected by food.</w:t>
      </w:r>
      <w:r w:rsidR="00343301">
        <w:t xml:space="preserve"> </w:t>
      </w:r>
      <w:r w:rsidRPr="00967DB6">
        <w:t xml:space="preserve">A food-effect study involving </w:t>
      </w:r>
      <w:r w:rsidRPr="00967DB6">
        <w:rPr>
          <w:color w:val="000000"/>
        </w:rPr>
        <w:t>administration of the new 145 mg tablet formulation of fenofibrate to</w:t>
      </w:r>
      <w:r w:rsidRPr="00967DB6">
        <w:t xml:space="preserve"> healthy male and female subjects under fasting conditions and with a high fat meal indicated that exposure (AUC and Cmax) to fenofibric acid is not affected by food. </w:t>
      </w:r>
      <w:r w:rsidRPr="00967DB6">
        <w:rPr>
          <w:color w:val="000000"/>
        </w:rPr>
        <w:t xml:space="preserve">Therefore, </w:t>
      </w:r>
      <w:r w:rsidRPr="00967DB6">
        <w:t xml:space="preserve">LIPIDIL 145 mg and 48 mg tablets </w:t>
      </w:r>
      <w:r w:rsidRPr="00967DB6">
        <w:rPr>
          <w:color w:val="000000"/>
        </w:rPr>
        <w:t>may be taken without regard to meals.</w:t>
      </w:r>
    </w:p>
    <w:p w:rsidR="008B2E99" w:rsidRPr="00967DB6" w:rsidRDefault="008B2E99" w:rsidP="00967DB6">
      <w:r w:rsidRPr="00967DB6">
        <w:t>The nanosized formulation of Lipidil 145</w:t>
      </w:r>
      <w:r w:rsidR="009C4A09" w:rsidRPr="00967DB6">
        <w:t xml:space="preserve"> </w:t>
      </w:r>
      <w:r w:rsidRPr="00967DB6">
        <w:t>mg and Lipidil 160</w:t>
      </w:r>
      <w:r w:rsidR="009C4A09" w:rsidRPr="00967DB6">
        <w:t xml:space="preserve"> </w:t>
      </w:r>
      <w:r w:rsidRPr="00967DB6">
        <w:t>mg are bioequivalent in respect of AUC and Cmax under low fat fed conditions. The average Cmax of Lipidil 145</w:t>
      </w:r>
      <w:r w:rsidR="009C4A09" w:rsidRPr="00967DB6">
        <w:t xml:space="preserve"> </w:t>
      </w:r>
      <w:r w:rsidRPr="00967DB6">
        <w:t>mg is 15.5% higher than that from 160</w:t>
      </w:r>
      <w:r w:rsidR="009C4A09" w:rsidRPr="00967DB6">
        <w:t xml:space="preserve"> </w:t>
      </w:r>
      <w:r w:rsidRPr="00967DB6">
        <w:t>mg tablets and its median Tmax significantly shorter (2.9 and 3.7 hours for Lipidil 145</w:t>
      </w:r>
      <w:r w:rsidR="009C4A09" w:rsidRPr="00967DB6">
        <w:t xml:space="preserve"> </w:t>
      </w:r>
      <w:r w:rsidRPr="00967DB6">
        <w:t>mg and 160</w:t>
      </w:r>
      <w:r w:rsidR="009C4A09" w:rsidRPr="00967DB6">
        <w:t xml:space="preserve"> </w:t>
      </w:r>
      <w:r w:rsidRPr="00967DB6">
        <w:t>mg respectively).</w:t>
      </w:r>
    </w:p>
    <w:p w:rsidR="00343301" w:rsidRPr="00967DB6" w:rsidRDefault="00343301" w:rsidP="00343301">
      <w:pPr>
        <w:pStyle w:val="Heading3"/>
        <w:spacing w:before="120" w:after="120"/>
      </w:pPr>
      <w:r>
        <w:t>Distribution</w:t>
      </w:r>
    </w:p>
    <w:p w:rsidR="008B2E99" w:rsidRPr="00967DB6" w:rsidRDefault="008B2E99">
      <w:r w:rsidRPr="00967DB6">
        <w:t>After oral administration, fenofibrate is rapidly hydrolysed by esterases to the active metabolite fenofibric acid.</w:t>
      </w:r>
      <w:r w:rsidR="00967DB6" w:rsidRPr="00967DB6">
        <w:t xml:space="preserve"> </w:t>
      </w:r>
      <w:r w:rsidRPr="00967DB6">
        <w:t xml:space="preserve">Unchanged fenofibrate is not recovered in the plasma. Fenofibric acid, the major plasma metabolite, is highly bound to plasma albumin (more than 99%). </w:t>
      </w:r>
    </w:p>
    <w:p w:rsidR="008B2E99" w:rsidRPr="00967DB6" w:rsidRDefault="008B2E99">
      <w:r w:rsidRPr="00967DB6">
        <w:t>Peak plasma concentration occurs after a mean period of 2 to 4 hours following administration of 145 mg fenofibrate tablets.</w:t>
      </w:r>
      <w:r w:rsidR="00967DB6" w:rsidRPr="00967DB6">
        <w:t xml:space="preserve"> </w:t>
      </w:r>
      <w:r w:rsidRPr="00967DB6">
        <w:t>Kinetic studies after administration of repeated doses show the absence of accumulation of the product. The plasma half-life of elimination of fenofibric acid is approximately 20 hours.</w:t>
      </w:r>
    </w:p>
    <w:p w:rsidR="00343301" w:rsidRDefault="00343301" w:rsidP="00343301">
      <w:pPr>
        <w:pStyle w:val="Heading3"/>
        <w:spacing w:before="120" w:after="120"/>
      </w:pPr>
      <w:r>
        <w:t>Excretion</w:t>
      </w:r>
    </w:p>
    <w:p w:rsidR="008B2E99" w:rsidRPr="00967DB6" w:rsidRDefault="008B2E99">
      <w:r w:rsidRPr="00967DB6">
        <w:t>The product is mainly excreted in the urine: 70% in 24 hours and 88% in 6 days, at which time total excretion in urine and faeces reaches 93%. Fenofibrate is mainly excreted as fenofibric acid and its derived glucuronoconjugate.</w:t>
      </w:r>
      <w:r w:rsidR="00967DB6" w:rsidRPr="00967DB6">
        <w:t xml:space="preserve"> </w:t>
      </w:r>
      <w:r w:rsidRPr="00967DB6">
        <w:t>Fenofibric acid is not eliminated during haemodialysis.</w:t>
      </w:r>
    </w:p>
    <w:p w:rsidR="008B2E99" w:rsidRPr="00363E65" w:rsidRDefault="008B2E99">
      <w:pPr>
        <w:pStyle w:val="Heading1"/>
      </w:pPr>
      <w:r w:rsidRPr="00363E65">
        <w:t>clinical trials</w:t>
      </w:r>
    </w:p>
    <w:p w:rsidR="0021594D" w:rsidRDefault="0021594D" w:rsidP="00B96C5E">
      <w:pPr>
        <w:pStyle w:val="Heading2"/>
        <w:spacing w:before="120" w:after="120"/>
      </w:pPr>
      <w:r>
        <w:t>Dyslipidaemia</w:t>
      </w:r>
    </w:p>
    <w:p w:rsidR="008B2E99" w:rsidRPr="00967DB6" w:rsidRDefault="008B2E99" w:rsidP="00343301">
      <w:r w:rsidRPr="00967DB6">
        <w:t>During clinical trials with fenofibrate total cholesterol was reduced by 20 to 25%, triglycerides by 40-50% and HDL cholesterol was increased by 10 to 30%. In hypercholesterolaemic patients, where LDL cholesterol levels were reduced by 20 to 30%, the overall effect on cholesterol resulted in a decrease in the ratios of total cholesterol to HDL cholesterol, LDL cholesterol to HDL cholesterol, and Apo B to Apo AI, all of which are markers of atherogenic risk.</w:t>
      </w:r>
      <w:r w:rsidR="00343301">
        <w:t xml:space="preserve"> </w:t>
      </w:r>
      <w:r w:rsidRPr="00967DB6">
        <w:t xml:space="preserve">Patients with raised levels of fibrinogen treated with fenofibrate have shown significant reductions in this parameter, as have those with raised levels of </w:t>
      </w:r>
      <w:proofErr w:type="gramStart"/>
      <w:r w:rsidRPr="00967DB6">
        <w:t>Lp(</w:t>
      </w:r>
      <w:proofErr w:type="gramEnd"/>
      <w:r w:rsidRPr="00967DB6">
        <w:t>a). Other inflammatory markers such as C Reactive Protein are reduced with fenofibrate treatment.</w:t>
      </w:r>
    </w:p>
    <w:p w:rsidR="008B2E99" w:rsidRPr="00967DB6" w:rsidRDefault="008B2E99">
      <w:r w:rsidRPr="00967DB6">
        <w:t>The long-term effects of fenofibrate were assessed in an open-label, prospective six month trial that examined the efficacy of fenofibrate 145</w:t>
      </w:r>
      <w:r w:rsidR="00967DB6">
        <w:t xml:space="preserve"> </w:t>
      </w:r>
      <w:r w:rsidRPr="00967DB6">
        <w:t xml:space="preserve">mg/day equivalent (see </w:t>
      </w:r>
      <w:r w:rsidR="00967DB6">
        <w:t>’Pharmacology’</w:t>
      </w:r>
      <w:r w:rsidRPr="00967DB6">
        <w:t>) in 1334 patients with type IIa, IIb or IV dyslipidaemia. The results of the trial are summarized in Table 1.</w:t>
      </w:r>
      <w:bookmarkStart w:id="1" w:name="_Ref49827374"/>
    </w:p>
    <w:p w:rsidR="008B2E99" w:rsidRPr="00343301" w:rsidRDefault="00AE4DE0">
      <w:pPr>
        <w:rPr>
          <w:b/>
        </w:rPr>
      </w:pPr>
      <w:r>
        <w:br w:type="page"/>
      </w:r>
      <w:r w:rsidR="008B2E99" w:rsidRPr="00343301">
        <w:rPr>
          <w:b/>
        </w:rPr>
        <w:lastRenderedPageBreak/>
        <w:t xml:space="preserve">Table </w:t>
      </w:r>
      <w:r w:rsidR="00E863EE" w:rsidRPr="00343301">
        <w:rPr>
          <w:b/>
        </w:rPr>
        <w:fldChar w:fldCharType="begin"/>
      </w:r>
      <w:r w:rsidR="008B2E99" w:rsidRPr="00343301">
        <w:rPr>
          <w:b/>
        </w:rPr>
        <w:instrText xml:space="preserve"> SEQ Table \* ARABIC </w:instrText>
      </w:r>
      <w:r w:rsidR="00E863EE" w:rsidRPr="00343301">
        <w:rPr>
          <w:b/>
        </w:rPr>
        <w:fldChar w:fldCharType="separate"/>
      </w:r>
      <w:r w:rsidR="00210D02">
        <w:rPr>
          <w:b/>
          <w:noProof/>
        </w:rPr>
        <w:t>1</w:t>
      </w:r>
      <w:r w:rsidR="00E863EE" w:rsidRPr="00343301">
        <w:rPr>
          <w:b/>
        </w:rPr>
        <w:fldChar w:fldCharType="end"/>
      </w:r>
      <w:bookmarkEnd w:id="1"/>
      <w:r w:rsidR="008B2E99" w:rsidRPr="00343301">
        <w:rPr>
          <w:b/>
        </w:rPr>
        <w:t>: Change in lipid parameters compared to baseline after 6 months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687"/>
        <w:gridCol w:w="1700"/>
        <w:gridCol w:w="2777"/>
      </w:tblGrid>
      <w:tr w:rsidR="008B2E99" w:rsidRPr="00AE4DE0" w:rsidTr="00AE4DE0">
        <w:trPr>
          <w:tblHeader/>
        </w:trPr>
        <w:tc>
          <w:tcPr>
            <w:tcW w:w="2694" w:type="dxa"/>
            <w:tcBorders>
              <w:top w:val="single" w:sz="4" w:space="0" w:color="auto"/>
            </w:tcBorders>
          </w:tcPr>
          <w:p w:rsidR="008B2E99" w:rsidRPr="00AE4DE0" w:rsidRDefault="008B2E99">
            <w:pPr>
              <w:pStyle w:val="Tabletext"/>
              <w:jc w:val="center"/>
              <w:rPr>
                <w:b/>
                <w:bCs/>
                <w:sz w:val="22"/>
                <w:szCs w:val="22"/>
              </w:rPr>
            </w:pPr>
            <w:r w:rsidRPr="00AE4DE0">
              <w:rPr>
                <w:b/>
                <w:bCs/>
                <w:sz w:val="22"/>
                <w:szCs w:val="22"/>
              </w:rPr>
              <w:t>Parameter (mmol/L):</w:t>
            </w:r>
          </w:p>
        </w:tc>
        <w:tc>
          <w:tcPr>
            <w:tcW w:w="1687" w:type="dxa"/>
            <w:tcBorders>
              <w:top w:val="single" w:sz="4" w:space="0" w:color="auto"/>
            </w:tcBorders>
          </w:tcPr>
          <w:p w:rsidR="008B2E99" w:rsidRPr="00AE4DE0" w:rsidRDefault="008B2E99">
            <w:pPr>
              <w:pStyle w:val="Tabletext"/>
              <w:jc w:val="center"/>
              <w:rPr>
                <w:b/>
                <w:bCs/>
                <w:sz w:val="22"/>
                <w:szCs w:val="22"/>
              </w:rPr>
            </w:pPr>
            <w:r w:rsidRPr="00AE4DE0">
              <w:rPr>
                <w:b/>
                <w:bCs/>
                <w:sz w:val="22"/>
                <w:szCs w:val="22"/>
              </w:rPr>
              <w:t>Baseline</w:t>
            </w:r>
          </w:p>
        </w:tc>
        <w:tc>
          <w:tcPr>
            <w:tcW w:w="1700" w:type="dxa"/>
            <w:tcBorders>
              <w:top w:val="single" w:sz="4" w:space="0" w:color="auto"/>
            </w:tcBorders>
          </w:tcPr>
          <w:p w:rsidR="008B2E99" w:rsidRPr="00AE4DE0" w:rsidRDefault="008B2E99">
            <w:pPr>
              <w:pStyle w:val="Tabletext"/>
              <w:jc w:val="center"/>
              <w:rPr>
                <w:b/>
                <w:bCs/>
                <w:sz w:val="22"/>
                <w:szCs w:val="22"/>
              </w:rPr>
            </w:pPr>
            <w:r w:rsidRPr="00AE4DE0">
              <w:rPr>
                <w:b/>
                <w:bCs/>
                <w:sz w:val="22"/>
                <w:szCs w:val="22"/>
              </w:rPr>
              <w:t>Month 6</w:t>
            </w:r>
          </w:p>
        </w:tc>
        <w:tc>
          <w:tcPr>
            <w:tcW w:w="2777" w:type="dxa"/>
            <w:tcBorders>
              <w:top w:val="single" w:sz="4" w:space="0" w:color="auto"/>
            </w:tcBorders>
          </w:tcPr>
          <w:p w:rsidR="008B2E99" w:rsidRPr="00AE4DE0" w:rsidRDefault="008B2E99">
            <w:pPr>
              <w:pStyle w:val="Tabletext"/>
              <w:jc w:val="center"/>
              <w:rPr>
                <w:b/>
                <w:bCs/>
                <w:sz w:val="22"/>
                <w:szCs w:val="22"/>
              </w:rPr>
            </w:pPr>
            <w:r w:rsidRPr="00AE4DE0">
              <w:rPr>
                <w:b/>
                <w:bCs/>
                <w:sz w:val="22"/>
                <w:szCs w:val="22"/>
              </w:rPr>
              <w:t>Absolute change</w:t>
            </w:r>
          </w:p>
        </w:tc>
      </w:tr>
      <w:tr w:rsidR="008B2E99" w:rsidRPr="00AE4DE0" w:rsidTr="00AE4DE0">
        <w:trPr>
          <w:cantSplit/>
        </w:trPr>
        <w:tc>
          <w:tcPr>
            <w:tcW w:w="8858" w:type="dxa"/>
            <w:gridSpan w:val="4"/>
          </w:tcPr>
          <w:p w:rsidR="008B2E99" w:rsidRPr="00AE4DE0" w:rsidRDefault="008B2E99">
            <w:pPr>
              <w:pStyle w:val="Tabletext"/>
              <w:rPr>
                <w:b/>
                <w:bCs/>
                <w:i/>
                <w:iCs/>
                <w:sz w:val="22"/>
                <w:szCs w:val="22"/>
              </w:rPr>
            </w:pPr>
            <w:r w:rsidRPr="00AE4DE0">
              <w:rPr>
                <w:b/>
                <w:bCs/>
                <w:i/>
                <w:iCs/>
                <w:sz w:val="22"/>
                <w:szCs w:val="22"/>
              </w:rPr>
              <w:t>Type IIa patients:</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LDL-C</w:t>
            </w:r>
          </w:p>
        </w:tc>
        <w:tc>
          <w:tcPr>
            <w:tcW w:w="1687" w:type="dxa"/>
          </w:tcPr>
          <w:p w:rsidR="008B2E99" w:rsidRPr="00AE4DE0" w:rsidRDefault="008B2E99">
            <w:pPr>
              <w:pStyle w:val="Tabletext"/>
              <w:jc w:val="center"/>
              <w:rPr>
                <w:sz w:val="22"/>
                <w:szCs w:val="22"/>
              </w:rPr>
            </w:pPr>
            <w:r w:rsidRPr="00AE4DE0">
              <w:rPr>
                <w:sz w:val="22"/>
                <w:szCs w:val="22"/>
              </w:rPr>
              <w:t>5.55</w:t>
            </w:r>
          </w:p>
        </w:tc>
        <w:tc>
          <w:tcPr>
            <w:tcW w:w="1700" w:type="dxa"/>
          </w:tcPr>
          <w:p w:rsidR="008B2E99" w:rsidRPr="00AE4DE0" w:rsidRDefault="008B2E99">
            <w:pPr>
              <w:pStyle w:val="Tabletext"/>
              <w:jc w:val="center"/>
              <w:rPr>
                <w:sz w:val="22"/>
                <w:szCs w:val="22"/>
              </w:rPr>
            </w:pPr>
            <w:r w:rsidRPr="00AE4DE0">
              <w:rPr>
                <w:sz w:val="22"/>
                <w:szCs w:val="22"/>
              </w:rPr>
              <w:t>3.98</w:t>
            </w:r>
          </w:p>
        </w:tc>
        <w:tc>
          <w:tcPr>
            <w:tcW w:w="2777" w:type="dxa"/>
          </w:tcPr>
          <w:p w:rsidR="008B2E99" w:rsidRPr="00AE4DE0" w:rsidRDefault="008B2E99">
            <w:pPr>
              <w:pStyle w:val="Tabletext"/>
              <w:jc w:val="center"/>
              <w:rPr>
                <w:sz w:val="22"/>
                <w:szCs w:val="22"/>
              </w:rPr>
            </w:pPr>
            <w:r w:rsidRPr="00AE4DE0">
              <w:rPr>
                <w:sz w:val="22"/>
                <w:szCs w:val="22"/>
              </w:rPr>
              <w:t>-1.57</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 xml:space="preserve">Total Cholesterol </w:t>
            </w:r>
          </w:p>
        </w:tc>
        <w:tc>
          <w:tcPr>
            <w:tcW w:w="1687" w:type="dxa"/>
          </w:tcPr>
          <w:p w:rsidR="008B2E99" w:rsidRPr="00AE4DE0" w:rsidRDefault="008B2E99">
            <w:pPr>
              <w:pStyle w:val="Tabletext"/>
              <w:jc w:val="center"/>
              <w:rPr>
                <w:sz w:val="22"/>
                <w:szCs w:val="22"/>
              </w:rPr>
            </w:pPr>
            <w:r w:rsidRPr="00AE4DE0">
              <w:rPr>
                <w:sz w:val="22"/>
                <w:szCs w:val="22"/>
              </w:rPr>
              <w:t>7.68</w:t>
            </w:r>
          </w:p>
        </w:tc>
        <w:tc>
          <w:tcPr>
            <w:tcW w:w="1700" w:type="dxa"/>
          </w:tcPr>
          <w:p w:rsidR="008B2E99" w:rsidRPr="00AE4DE0" w:rsidRDefault="008B2E99">
            <w:pPr>
              <w:pStyle w:val="Tabletext"/>
              <w:jc w:val="center"/>
              <w:rPr>
                <w:sz w:val="22"/>
                <w:szCs w:val="22"/>
              </w:rPr>
            </w:pPr>
            <w:r w:rsidRPr="00AE4DE0">
              <w:rPr>
                <w:sz w:val="22"/>
                <w:szCs w:val="22"/>
              </w:rPr>
              <w:t>6.05</w:t>
            </w:r>
          </w:p>
        </w:tc>
        <w:tc>
          <w:tcPr>
            <w:tcW w:w="2777" w:type="dxa"/>
          </w:tcPr>
          <w:p w:rsidR="008B2E99" w:rsidRPr="00AE4DE0" w:rsidRDefault="008B2E99">
            <w:pPr>
              <w:pStyle w:val="Tabletext"/>
              <w:jc w:val="center"/>
              <w:rPr>
                <w:sz w:val="22"/>
                <w:szCs w:val="22"/>
              </w:rPr>
            </w:pPr>
            <w:r w:rsidRPr="00AE4DE0">
              <w:rPr>
                <w:sz w:val="22"/>
                <w:szCs w:val="22"/>
              </w:rPr>
              <w:t>-1.63</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HDL-C</w:t>
            </w:r>
          </w:p>
        </w:tc>
        <w:tc>
          <w:tcPr>
            <w:tcW w:w="1687" w:type="dxa"/>
          </w:tcPr>
          <w:p w:rsidR="008B2E99" w:rsidRPr="00AE4DE0" w:rsidRDefault="008B2E99">
            <w:pPr>
              <w:pStyle w:val="Tabletext"/>
              <w:jc w:val="center"/>
              <w:rPr>
                <w:sz w:val="22"/>
                <w:szCs w:val="22"/>
              </w:rPr>
            </w:pPr>
            <w:r w:rsidRPr="00AE4DE0">
              <w:rPr>
                <w:sz w:val="22"/>
                <w:szCs w:val="22"/>
              </w:rPr>
              <w:t>1.47</w:t>
            </w:r>
          </w:p>
        </w:tc>
        <w:tc>
          <w:tcPr>
            <w:tcW w:w="1700" w:type="dxa"/>
          </w:tcPr>
          <w:p w:rsidR="008B2E99" w:rsidRPr="00AE4DE0" w:rsidRDefault="008B2E99">
            <w:pPr>
              <w:pStyle w:val="Tabletext"/>
              <w:jc w:val="center"/>
              <w:rPr>
                <w:sz w:val="22"/>
                <w:szCs w:val="22"/>
              </w:rPr>
            </w:pPr>
            <w:r w:rsidRPr="00AE4DE0">
              <w:rPr>
                <w:sz w:val="22"/>
                <w:szCs w:val="22"/>
              </w:rPr>
              <w:t>1.57</w:t>
            </w:r>
          </w:p>
        </w:tc>
        <w:tc>
          <w:tcPr>
            <w:tcW w:w="2777" w:type="dxa"/>
          </w:tcPr>
          <w:p w:rsidR="008B2E99" w:rsidRPr="00AE4DE0" w:rsidRDefault="008B2E99">
            <w:pPr>
              <w:pStyle w:val="Tabletext"/>
              <w:jc w:val="center"/>
              <w:rPr>
                <w:sz w:val="22"/>
                <w:szCs w:val="22"/>
              </w:rPr>
            </w:pPr>
            <w:r w:rsidRPr="00AE4DE0">
              <w:rPr>
                <w:sz w:val="22"/>
                <w:szCs w:val="22"/>
              </w:rPr>
              <w:t>0.10</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Triglycerides</w:t>
            </w:r>
          </w:p>
        </w:tc>
        <w:tc>
          <w:tcPr>
            <w:tcW w:w="1687" w:type="dxa"/>
          </w:tcPr>
          <w:p w:rsidR="008B2E99" w:rsidRPr="00AE4DE0" w:rsidRDefault="008B2E99">
            <w:pPr>
              <w:pStyle w:val="Tabletext"/>
              <w:jc w:val="center"/>
              <w:rPr>
                <w:sz w:val="22"/>
                <w:szCs w:val="22"/>
              </w:rPr>
            </w:pPr>
            <w:r w:rsidRPr="00AE4DE0">
              <w:rPr>
                <w:sz w:val="22"/>
                <w:szCs w:val="22"/>
              </w:rPr>
              <w:t>1.46</w:t>
            </w:r>
          </w:p>
        </w:tc>
        <w:tc>
          <w:tcPr>
            <w:tcW w:w="1700" w:type="dxa"/>
          </w:tcPr>
          <w:p w:rsidR="008B2E99" w:rsidRPr="00AE4DE0" w:rsidRDefault="008B2E99">
            <w:pPr>
              <w:pStyle w:val="Tabletext"/>
              <w:jc w:val="center"/>
              <w:rPr>
                <w:sz w:val="22"/>
                <w:szCs w:val="22"/>
              </w:rPr>
            </w:pPr>
            <w:r w:rsidRPr="00AE4DE0">
              <w:rPr>
                <w:sz w:val="22"/>
                <w:szCs w:val="22"/>
              </w:rPr>
              <w:t>1.10</w:t>
            </w:r>
          </w:p>
        </w:tc>
        <w:tc>
          <w:tcPr>
            <w:tcW w:w="2777" w:type="dxa"/>
          </w:tcPr>
          <w:p w:rsidR="008B2E99" w:rsidRPr="00AE4DE0" w:rsidRDefault="008B2E99">
            <w:pPr>
              <w:pStyle w:val="Tabletext"/>
              <w:jc w:val="center"/>
              <w:rPr>
                <w:sz w:val="22"/>
                <w:szCs w:val="22"/>
              </w:rPr>
            </w:pPr>
            <w:r w:rsidRPr="00AE4DE0">
              <w:rPr>
                <w:sz w:val="22"/>
                <w:szCs w:val="22"/>
              </w:rPr>
              <w:t>-0.36</w:t>
            </w:r>
          </w:p>
        </w:tc>
      </w:tr>
      <w:tr w:rsidR="008B2E99" w:rsidRPr="00AE4DE0" w:rsidTr="00AE4DE0">
        <w:trPr>
          <w:cantSplit/>
        </w:trPr>
        <w:tc>
          <w:tcPr>
            <w:tcW w:w="8858" w:type="dxa"/>
            <w:gridSpan w:val="4"/>
          </w:tcPr>
          <w:p w:rsidR="008B2E99" w:rsidRPr="00AE4DE0" w:rsidRDefault="008B2E99">
            <w:pPr>
              <w:pStyle w:val="Tabletext"/>
              <w:rPr>
                <w:b/>
                <w:bCs/>
                <w:i/>
                <w:iCs/>
                <w:sz w:val="22"/>
                <w:szCs w:val="22"/>
              </w:rPr>
            </w:pPr>
            <w:r w:rsidRPr="00AE4DE0">
              <w:rPr>
                <w:b/>
                <w:bCs/>
                <w:i/>
                <w:iCs/>
                <w:sz w:val="22"/>
                <w:szCs w:val="22"/>
              </w:rPr>
              <w:t>Type IIb patients:</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LDL-C</w:t>
            </w:r>
          </w:p>
        </w:tc>
        <w:tc>
          <w:tcPr>
            <w:tcW w:w="1687" w:type="dxa"/>
          </w:tcPr>
          <w:p w:rsidR="008B2E99" w:rsidRPr="00AE4DE0" w:rsidRDefault="008B2E99">
            <w:pPr>
              <w:pStyle w:val="Tabletext"/>
              <w:jc w:val="center"/>
              <w:rPr>
                <w:sz w:val="22"/>
                <w:szCs w:val="22"/>
              </w:rPr>
            </w:pPr>
            <w:r w:rsidRPr="00AE4DE0">
              <w:rPr>
                <w:sz w:val="22"/>
                <w:szCs w:val="22"/>
              </w:rPr>
              <w:t>5.25</w:t>
            </w:r>
          </w:p>
        </w:tc>
        <w:tc>
          <w:tcPr>
            <w:tcW w:w="1700" w:type="dxa"/>
          </w:tcPr>
          <w:p w:rsidR="008B2E99" w:rsidRPr="00AE4DE0" w:rsidRDefault="008B2E99">
            <w:pPr>
              <w:pStyle w:val="Tabletext"/>
              <w:jc w:val="center"/>
              <w:rPr>
                <w:sz w:val="22"/>
                <w:szCs w:val="22"/>
              </w:rPr>
            </w:pPr>
            <w:r w:rsidRPr="00AE4DE0">
              <w:rPr>
                <w:sz w:val="22"/>
                <w:szCs w:val="22"/>
              </w:rPr>
              <w:t>4.15</w:t>
            </w:r>
          </w:p>
        </w:tc>
        <w:tc>
          <w:tcPr>
            <w:tcW w:w="2777" w:type="dxa"/>
          </w:tcPr>
          <w:p w:rsidR="008B2E99" w:rsidRPr="00AE4DE0" w:rsidRDefault="008B2E99">
            <w:pPr>
              <w:pStyle w:val="Tabletext"/>
              <w:jc w:val="center"/>
              <w:rPr>
                <w:sz w:val="22"/>
                <w:szCs w:val="22"/>
              </w:rPr>
            </w:pPr>
            <w:r w:rsidRPr="00AE4DE0">
              <w:rPr>
                <w:sz w:val="22"/>
                <w:szCs w:val="22"/>
              </w:rPr>
              <w:t>-1.10</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 xml:space="preserve">Total Cholesterol </w:t>
            </w:r>
          </w:p>
        </w:tc>
        <w:tc>
          <w:tcPr>
            <w:tcW w:w="1687" w:type="dxa"/>
          </w:tcPr>
          <w:p w:rsidR="008B2E99" w:rsidRPr="00AE4DE0" w:rsidRDefault="008B2E99">
            <w:pPr>
              <w:pStyle w:val="Tabletext"/>
              <w:jc w:val="center"/>
              <w:rPr>
                <w:sz w:val="22"/>
                <w:szCs w:val="22"/>
              </w:rPr>
            </w:pPr>
            <w:r w:rsidRPr="00AE4DE0">
              <w:rPr>
                <w:sz w:val="22"/>
                <w:szCs w:val="22"/>
              </w:rPr>
              <w:t>7.91</w:t>
            </w:r>
          </w:p>
        </w:tc>
        <w:tc>
          <w:tcPr>
            <w:tcW w:w="1700" w:type="dxa"/>
          </w:tcPr>
          <w:p w:rsidR="008B2E99" w:rsidRPr="00AE4DE0" w:rsidRDefault="008B2E99">
            <w:pPr>
              <w:pStyle w:val="Tabletext"/>
              <w:jc w:val="center"/>
              <w:rPr>
                <w:sz w:val="22"/>
                <w:szCs w:val="22"/>
              </w:rPr>
            </w:pPr>
            <w:r w:rsidRPr="00AE4DE0">
              <w:rPr>
                <w:sz w:val="22"/>
                <w:szCs w:val="22"/>
              </w:rPr>
              <w:t>6.39</w:t>
            </w:r>
          </w:p>
        </w:tc>
        <w:tc>
          <w:tcPr>
            <w:tcW w:w="2777" w:type="dxa"/>
          </w:tcPr>
          <w:p w:rsidR="008B2E99" w:rsidRPr="00AE4DE0" w:rsidRDefault="008B2E99">
            <w:pPr>
              <w:pStyle w:val="Tabletext"/>
              <w:jc w:val="center"/>
              <w:rPr>
                <w:sz w:val="22"/>
                <w:szCs w:val="22"/>
              </w:rPr>
            </w:pPr>
            <w:r w:rsidRPr="00AE4DE0">
              <w:rPr>
                <w:sz w:val="22"/>
                <w:szCs w:val="22"/>
              </w:rPr>
              <w:t>-1.52</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HDL-C</w:t>
            </w:r>
          </w:p>
        </w:tc>
        <w:tc>
          <w:tcPr>
            <w:tcW w:w="1687" w:type="dxa"/>
          </w:tcPr>
          <w:p w:rsidR="008B2E99" w:rsidRPr="00AE4DE0" w:rsidRDefault="008B2E99">
            <w:pPr>
              <w:pStyle w:val="Tabletext"/>
              <w:jc w:val="center"/>
              <w:rPr>
                <w:sz w:val="22"/>
                <w:szCs w:val="22"/>
              </w:rPr>
            </w:pPr>
            <w:r w:rsidRPr="00AE4DE0">
              <w:rPr>
                <w:sz w:val="22"/>
                <w:szCs w:val="22"/>
              </w:rPr>
              <w:t>1.15</w:t>
            </w:r>
          </w:p>
        </w:tc>
        <w:tc>
          <w:tcPr>
            <w:tcW w:w="1700" w:type="dxa"/>
          </w:tcPr>
          <w:p w:rsidR="008B2E99" w:rsidRPr="00AE4DE0" w:rsidRDefault="008B2E99">
            <w:pPr>
              <w:pStyle w:val="Tabletext"/>
              <w:jc w:val="center"/>
              <w:rPr>
                <w:sz w:val="22"/>
                <w:szCs w:val="22"/>
              </w:rPr>
            </w:pPr>
            <w:r w:rsidRPr="00AE4DE0">
              <w:rPr>
                <w:sz w:val="22"/>
                <w:szCs w:val="22"/>
              </w:rPr>
              <w:t>1.32</w:t>
            </w:r>
          </w:p>
        </w:tc>
        <w:tc>
          <w:tcPr>
            <w:tcW w:w="2777" w:type="dxa"/>
          </w:tcPr>
          <w:p w:rsidR="008B2E99" w:rsidRPr="00AE4DE0" w:rsidRDefault="008B2E99">
            <w:pPr>
              <w:pStyle w:val="Tabletext"/>
              <w:jc w:val="center"/>
              <w:rPr>
                <w:sz w:val="22"/>
                <w:szCs w:val="22"/>
              </w:rPr>
            </w:pPr>
            <w:r w:rsidRPr="00AE4DE0">
              <w:rPr>
                <w:sz w:val="22"/>
                <w:szCs w:val="22"/>
              </w:rPr>
              <w:t>0.17</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Triglycerides</w:t>
            </w:r>
          </w:p>
        </w:tc>
        <w:tc>
          <w:tcPr>
            <w:tcW w:w="1687" w:type="dxa"/>
          </w:tcPr>
          <w:p w:rsidR="008B2E99" w:rsidRPr="00AE4DE0" w:rsidRDefault="008B2E99">
            <w:pPr>
              <w:pStyle w:val="Tabletext"/>
              <w:jc w:val="center"/>
              <w:rPr>
                <w:sz w:val="22"/>
                <w:szCs w:val="22"/>
              </w:rPr>
            </w:pPr>
            <w:r w:rsidRPr="00AE4DE0">
              <w:rPr>
                <w:sz w:val="22"/>
                <w:szCs w:val="22"/>
              </w:rPr>
              <w:t>3.77</w:t>
            </w:r>
          </w:p>
        </w:tc>
        <w:tc>
          <w:tcPr>
            <w:tcW w:w="1700" w:type="dxa"/>
          </w:tcPr>
          <w:p w:rsidR="008B2E99" w:rsidRPr="00AE4DE0" w:rsidRDefault="008B2E99">
            <w:pPr>
              <w:pStyle w:val="Tabletext"/>
              <w:jc w:val="center"/>
              <w:rPr>
                <w:sz w:val="22"/>
                <w:szCs w:val="22"/>
              </w:rPr>
            </w:pPr>
            <w:r w:rsidRPr="00AE4DE0">
              <w:rPr>
                <w:sz w:val="22"/>
                <w:szCs w:val="22"/>
              </w:rPr>
              <w:t>2.11</w:t>
            </w:r>
          </w:p>
        </w:tc>
        <w:tc>
          <w:tcPr>
            <w:tcW w:w="2777" w:type="dxa"/>
          </w:tcPr>
          <w:p w:rsidR="008B2E99" w:rsidRPr="00AE4DE0" w:rsidRDefault="008B2E99">
            <w:pPr>
              <w:pStyle w:val="Tabletext"/>
              <w:jc w:val="center"/>
              <w:rPr>
                <w:sz w:val="22"/>
                <w:szCs w:val="22"/>
              </w:rPr>
            </w:pPr>
            <w:r w:rsidRPr="00AE4DE0">
              <w:rPr>
                <w:sz w:val="22"/>
                <w:szCs w:val="22"/>
              </w:rPr>
              <w:t>-1.66</w:t>
            </w:r>
          </w:p>
        </w:tc>
      </w:tr>
      <w:tr w:rsidR="008B2E99" w:rsidRPr="00AE4DE0" w:rsidTr="00AE4DE0">
        <w:trPr>
          <w:cantSplit/>
        </w:trPr>
        <w:tc>
          <w:tcPr>
            <w:tcW w:w="8858" w:type="dxa"/>
            <w:gridSpan w:val="4"/>
          </w:tcPr>
          <w:p w:rsidR="008B2E99" w:rsidRPr="00AE4DE0" w:rsidRDefault="008B2E99">
            <w:pPr>
              <w:pStyle w:val="Tabletext"/>
              <w:rPr>
                <w:b/>
                <w:bCs/>
                <w:i/>
                <w:iCs/>
                <w:sz w:val="22"/>
                <w:szCs w:val="22"/>
              </w:rPr>
            </w:pPr>
            <w:r w:rsidRPr="00AE4DE0">
              <w:rPr>
                <w:b/>
                <w:bCs/>
                <w:i/>
                <w:iCs/>
                <w:sz w:val="22"/>
                <w:szCs w:val="22"/>
              </w:rPr>
              <w:t>Type IV patients:</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 xml:space="preserve">LDL-C </w:t>
            </w:r>
          </w:p>
        </w:tc>
        <w:tc>
          <w:tcPr>
            <w:tcW w:w="1687" w:type="dxa"/>
          </w:tcPr>
          <w:p w:rsidR="008B2E99" w:rsidRPr="00AE4DE0" w:rsidRDefault="008B2E99">
            <w:pPr>
              <w:pStyle w:val="Tabletext"/>
              <w:jc w:val="center"/>
              <w:rPr>
                <w:sz w:val="22"/>
                <w:szCs w:val="22"/>
              </w:rPr>
            </w:pPr>
            <w:r w:rsidRPr="00AE4DE0">
              <w:rPr>
                <w:sz w:val="22"/>
                <w:szCs w:val="22"/>
              </w:rPr>
              <w:t>3.24</w:t>
            </w:r>
          </w:p>
        </w:tc>
        <w:tc>
          <w:tcPr>
            <w:tcW w:w="1700" w:type="dxa"/>
          </w:tcPr>
          <w:p w:rsidR="008B2E99" w:rsidRPr="00AE4DE0" w:rsidRDefault="008B2E99">
            <w:pPr>
              <w:pStyle w:val="Tabletext"/>
              <w:jc w:val="center"/>
              <w:rPr>
                <w:sz w:val="22"/>
                <w:szCs w:val="22"/>
              </w:rPr>
            </w:pPr>
            <w:r w:rsidRPr="00AE4DE0">
              <w:rPr>
                <w:sz w:val="22"/>
                <w:szCs w:val="22"/>
              </w:rPr>
              <w:t>3.12</w:t>
            </w:r>
          </w:p>
        </w:tc>
        <w:tc>
          <w:tcPr>
            <w:tcW w:w="2777" w:type="dxa"/>
          </w:tcPr>
          <w:p w:rsidR="008B2E99" w:rsidRPr="00AE4DE0" w:rsidRDefault="008B2E99">
            <w:pPr>
              <w:pStyle w:val="Tabletext"/>
              <w:jc w:val="center"/>
              <w:rPr>
                <w:sz w:val="22"/>
                <w:szCs w:val="22"/>
              </w:rPr>
            </w:pPr>
            <w:r w:rsidRPr="00AE4DE0">
              <w:rPr>
                <w:sz w:val="22"/>
                <w:szCs w:val="22"/>
              </w:rPr>
              <w:t>-0.12</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 xml:space="preserve">Total Cholesterol </w:t>
            </w:r>
          </w:p>
        </w:tc>
        <w:tc>
          <w:tcPr>
            <w:tcW w:w="1687" w:type="dxa"/>
          </w:tcPr>
          <w:p w:rsidR="008B2E99" w:rsidRPr="00AE4DE0" w:rsidRDefault="008B2E99">
            <w:pPr>
              <w:pStyle w:val="Tabletext"/>
              <w:jc w:val="center"/>
              <w:rPr>
                <w:sz w:val="22"/>
                <w:szCs w:val="22"/>
              </w:rPr>
            </w:pPr>
            <w:r w:rsidRPr="00AE4DE0">
              <w:rPr>
                <w:sz w:val="22"/>
                <w:szCs w:val="22"/>
              </w:rPr>
              <w:t>7.65</w:t>
            </w:r>
          </w:p>
        </w:tc>
        <w:tc>
          <w:tcPr>
            <w:tcW w:w="1700" w:type="dxa"/>
          </w:tcPr>
          <w:p w:rsidR="008B2E99" w:rsidRPr="00AE4DE0" w:rsidRDefault="008B2E99">
            <w:pPr>
              <w:pStyle w:val="Tabletext"/>
              <w:jc w:val="center"/>
              <w:rPr>
                <w:sz w:val="22"/>
                <w:szCs w:val="22"/>
              </w:rPr>
            </w:pPr>
            <w:r w:rsidRPr="00AE4DE0">
              <w:rPr>
                <w:sz w:val="22"/>
                <w:szCs w:val="22"/>
              </w:rPr>
              <w:t>6.13</w:t>
            </w:r>
          </w:p>
        </w:tc>
        <w:tc>
          <w:tcPr>
            <w:tcW w:w="2777" w:type="dxa"/>
          </w:tcPr>
          <w:p w:rsidR="008B2E99" w:rsidRPr="00AE4DE0" w:rsidRDefault="008B2E99">
            <w:pPr>
              <w:pStyle w:val="Tabletext"/>
              <w:jc w:val="center"/>
              <w:rPr>
                <w:sz w:val="22"/>
                <w:szCs w:val="22"/>
              </w:rPr>
            </w:pPr>
            <w:r w:rsidRPr="00AE4DE0">
              <w:rPr>
                <w:sz w:val="22"/>
                <w:szCs w:val="22"/>
              </w:rPr>
              <w:t>-1.52</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 xml:space="preserve">HDL-C </w:t>
            </w:r>
          </w:p>
        </w:tc>
        <w:tc>
          <w:tcPr>
            <w:tcW w:w="1687" w:type="dxa"/>
          </w:tcPr>
          <w:p w:rsidR="008B2E99" w:rsidRPr="00AE4DE0" w:rsidRDefault="008B2E99">
            <w:pPr>
              <w:pStyle w:val="Tabletext"/>
              <w:jc w:val="center"/>
              <w:rPr>
                <w:sz w:val="22"/>
                <w:szCs w:val="22"/>
              </w:rPr>
            </w:pPr>
            <w:r w:rsidRPr="00AE4DE0">
              <w:rPr>
                <w:sz w:val="22"/>
                <w:szCs w:val="22"/>
              </w:rPr>
              <w:t>0.95</w:t>
            </w:r>
          </w:p>
        </w:tc>
        <w:tc>
          <w:tcPr>
            <w:tcW w:w="1700" w:type="dxa"/>
          </w:tcPr>
          <w:p w:rsidR="008B2E99" w:rsidRPr="00AE4DE0" w:rsidRDefault="008B2E99">
            <w:pPr>
              <w:pStyle w:val="Tabletext"/>
              <w:jc w:val="center"/>
              <w:rPr>
                <w:sz w:val="22"/>
                <w:szCs w:val="22"/>
              </w:rPr>
            </w:pPr>
            <w:r w:rsidRPr="00AE4DE0">
              <w:rPr>
                <w:sz w:val="22"/>
                <w:szCs w:val="22"/>
              </w:rPr>
              <w:t>1.13</w:t>
            </w:r>
          </w:p>
        </w:tc>
        <w:tc>
          <w:tcPr>
            <w:tcW w:w="2777" w:type="dxa"/>
          </w:tcPr>
          <w:p w:rsidR="008B2E99" w:rsidRPr="00AE4DE0" w:rsidRDefault="008B2E99">
            <w:pPr>
              <w:pStyle w:val="Tabletext"/>
              <w:jc w:val="center"/>
              <w:rPr>
                <w:sz w:val="22"/>
                <w:szCs w:val="22"/>
              </w:rPr>
            </w:pPr>
            <w:r w:rsidRPr="00AE4DE0">
              <w:rPr>
                <w:sz w:val="22"/>
                <w:szCs w:val="22"/>
              </w:rPr>
              <w:t>0.18</w:t>
            </w:r>
          </w:p>
        </w:tc>
      </w:tr>
      <w:tr w:rsidR="008B2E99" w:rsidRPr="00AE4DE0" w:rsidTr="00AE4DE0">
        <w:tc>
          <w:tcPr>
            <w:tcW w:w="2694" w:type="dxa"/>
          </w:tcPr>
          <w:p w:rsidR="008B2E99" w:rsidRPr="00AE4DE0" w:rsidRDefault="008B2E99">
            <w:pPr>
              <w:pStyle w:val="Tabletext"/>
              <w:rPr>
                <w:sz w:val="22"/>
                <w:szCs w:val="22"/>
              </w:rPr>
            </w:pPr>
            <w:r w:rsidRPr="00AE4DE0">
              <w:rPr>
                <w:sz w:val="22"/>
                <w:szCs w:val="22"/>
              </w:rPr>
              <w:t xml:space="preserve">Triglycerides </w:t>
            </w:r>
          </w:p>
        </w:tc>
        <w:tc>
          <w:tcPr>
            <w:tcW w:w="1687" w:type="dxa"/>
          </w:tcPr>
          <w:p w:rsidR="008B2E99" w:rsidRPr="00AE4DE0" w:rsidRDefault="008B2E99">
            <w:pPr>
              <w:pStyle w:val="Tabletext"/>
              <w:jc w:val="center"/>
              <w:rPr>
                <w:sz w:val="22"/>
                <w:szCs w:val="22"/>
              </w:rPr>
            </w:pPr>
            <w:r w:rsidRPr="00AE4DE0">
              <w:rPr>
                <w:sz w:val="22"/>
                <w:szCs w:val="22"/>
              </w:rPr>
              <w:t>3.72</w:t>
            </w:r>
          </w:p>
        </w:tc>
        <w:tc>
          <w:tcPr>
            <w:tcW w:w="1700" w:type="dxa"/>
          </w:tcPr>
          <w:p w:rsidR="008B2E99" w:rsidRPr="00AE4DE0" w:rsidRDefault="008B2E99">
            <w:pPr>
              <w:pStyle w:val="Tabletext"/>
              <w:jc w:val="center"/>
              <w:rPr>
                <w:sz w:val="22"/>
                <w:szCs w:val="22"/>
              </w:rPr>
            </w:pPr>
            <w:r w:rsidRPr="00AE4DE0">
              <w:rPr>
                <w:sz w:val="22"/>
                <w:szCs w:val="22"/>
              </w:rPr>
              <w:t>2.60</w:t>
            </w:r>
          </w:p>
        </w:tc>
        <w:tc>
          <w:tcPr>
            <w:tcW w:w="2777" w:type="dxa"/>
          </w:tcPr>
          <w:p w:rsidR="008B2E99" w:rsidRPr="00AE4DE0" w:rsidRDefault="008B2E99">
            <w:pPr>
              <w:pStyle w:val="Tabletext"/>
              <w:jc w:val="center"/>
              <w:rPr>
                <w:sz w:val="22"/>
                <w:szCs w:val="22"/>
              </w:rPr>
            </w:pPr>
            <w:r w:rsidRPr="00AE4DE0">
              <w:rPr>
                <w:sz w:val="22"/>
                <w:szCs w:val="22"/>
              </w:rPr>
              <w:t>-1.12</w:t>
            </w:r>
          </w:p>
        </w:tc>
      </w:tr>
    </w:tbl>
    <w:p w:rsidR="008B2E99" w:rsidRDefault="008B2E99"/>
    <w:p w:rsidR="00C96932" w:rsidRPr="00C96932" w:rsidRDefault="00C96932" w:rsidP="00B96C5E">
      <w:pPr>
        <w:pStyle w:val="Heading3"/>
        <w:spacing w:before="120" w:after="120"/>
      </w:pPr>
      <w:r w:rsidRPr="00C96932">
        <w:t>DAIS Study</w:t>
      </w:r>
    </w:p>
    <w:p w:rsidR="008B2E99" w:rsidRPr="00967DB6" w:rsidRDefault="008B2E99">
      <w:r w:rsidRPr="00967DB6">
        <w:t>The Diabetes Atherosclerosis Intervention Study (DAIS) was a double-blind, randomised, placebo-controlled study in 418 patients with type 2 diabetes and hyperlipoproteinaemia.  Patients were randomised to fenofibrate 145</w:t>
      </w:r>
      <w:r w:rsidR="00CA49DE">
        <w:t xml:space="preserve"> </w:t>
      </w:r>
      <w:r w:rsidRPr="00967DB6">
        <w:t>mg/day equivalent (</w:t>
      </w:r>
      <w:r w:rsidR="00967DB6" w:rsidRPr="00967DB6">
        <w:t xml:space="preserve">see </w:t>
      </w:r>
      <w:r w:rsidR="00967DB6">
        <w:t>’Pharmacology’</w:t>
      </w:r>
      <w:r w:rsidR="00967DB6" w:rsidRPr="00967DB6">
        <w:t>)</w:t>
      </w:r>
      <w:r w:rsidRPr="00967DB6">
        <w:t xml:space="preserve">) or placebo for at least 3 years.  Patients had stable glycaemic control, (mean HbA1c 7.5%), mild lipoprotein abnormalities typical of type 2 diabetes and at least one visible coronary lesion.  </w:t>
      </w:r>
    </w:p>
    <w:p w:rsidR="008B2E99" w:rsidRPr="00967DB6" w:rsidRDefault="008B2E99">
      <w:r w:rsidRPr="00967DB6">
        <w:t>The primary efficacy criterion was the mean segment diameter averaged per patient across all pairs of analysable coronary segments, a criterion believed to reflect diffuse coronary artery disease. Among the secondary criteria were other angiographic parameters (mean diameter averaged per segment and minimum segment diameter averaged per patient and per segment).</w:t>
      </w:r>
    </w:p>
    <w:p w:rsidR="008B2E99" w:rsidRPr="00967DB6" w:rsidRDefault="008B2E99">
      <w:r w:rsidRPr="00967DB6">
        <w:t>Results (see Table</w:t>
      </w:r>
      <w:r w:rsidR="00363E65">
        <w:t xml:space="preserve"> </w:t>
      </w:r>
      <w:r w:rsidRPr="00967DB6">
        <w:t xml:space="preserve">2) showed that fenofibrate significantly reduces the angiographic progression of focal coronary atherosclerosis  characterized by minimum segment diameter and percent diameter stenosis in patients with type 2 diabetes and hyperlipoproteinaemia (mean total chlolesterol 5.57 mmol/L, triglycerides 2.54 mmol/L, LDL cholesterol 3.37 mmol/L and HDL-cholesterol 1.03 mmol/L).  </w:t>
      </w:r>
    </w:p>
    <w:p w:rsidR="008B2E99" w:rsidRPr="00967DB6" w:rsidRDefault="008B2E99">
      <w:r w:rsidRPr="00967DB6">
        <w:t>The reduction in the progression of angiographic coronary disease was associated with a reduction in lipid parameters (total cholesterol, LDL-cholesterol, triglycerides, TC/HDL-C), and an increase in HDL-cholesterol and therefore results apply to patients who respond to treatment.  This trial did not assess whether the observed change in angiographic endpoints, particularly in asymptomatic patients, had any effect on card</w:t>
      </w:r>
      <w:bookmarkStart w:id="2" w:name="_Ref49827410"/>
      <w:r w:rsidRPr="00967DB6">
        <w:t>iovascular events or mortality.</w:t>
      </w:r>
      <w:bookmarkEnd w:id="2"/>
    </w:p>
    <w:p w:rsidR="00967DB6" w:rsidRPr="00967DB6" w:rsidRDefault="00967DB6">
      <w:pPr>
        <w:rPr>
          <w:b/>
          <w:bCs/>
          <w:sz w:val="20"/>
        </w:rPr>
      </w:pPr>
    </w:p>
    <w:p w:rsidR="008B2E99" w:rsidRPr="00343301" w:rsidRDefault="008B2E99">
      <w:pPr>
        <w:rPr>
          <w:b/>
        </w:rPr>
      </w:pPr>
      <w:r w:rsidRPr="00343301">
        <w:rPr>
          <w:b/>
        </w:rPr>
        <w:t>Table 2: Coronary angiogram values (</w:t>
      </w:r>
      <w:proofErr w:type="gramStart"/>
      <w:r w:rsidRPr="00343301">
        <w:rPr>
          <w:b/>
        </w:rPr>
        <w:t>mean</w:t>
      </w:r>
      <w:proofErr w:type="gramEnd"/>
      <w:r w:rsidRPr="00343301">
        <w:rPr>
          <w:b/>
        </w:rPr>
        <w:t xml:space="preserve"> </w:t>
      </w:r>
      <w:r w:rsidRPr="00343301">
        <w:rPr>
          <w:b/>
        </w:rPr>
        <w:sym w:font="Symbol" w:char="F0B1"/>
      </w:r>
      <w:r w:rsidRPr="00343301">
        <w:rPr>
          <w:b/>
        </w:rPr>
        <w:t xml:space="preserve"> SD) averaged per patient at baseline and at the end of study (ITT population)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559"/>
        <w:gridCol w:w="1701"/>
        <w:gridCol w:w="1560"/>
      </w:tblGrid>
      <w:tr w:rsidR="008B2E99" w:rsidRPr="00AE4DE0" w:rsidTr="003E7C6C">
        <w:trPr>
          <w:cantSplit/>
        </w:trPr>
        <w:tc>
          <w:tcPr>
            <w:tcW w:w="3652" w:type="dxa"/>
            <w:tcBorders>
              <w:top w:val="single" w:sz="4" w:space="0" w:color="auto"/>
              <w:left w:val="single" w:sz="4" w:space="0" w:color="auto"/>
              <w:right w:val="single" w:sz="4" w:space="0" w:color="auto"/>
            </w:tcBorders>
          </w:tcPr>
          <w:p w:rsidR="008B2E99" w:rsidRPr="00AE4DE0" w:rsidRDefault="008B2E99" w:rsidP="00AE4DE0">
            <w:pPr>
              <w:pStyle w:val="Tabletext"/>
              <w:jc w:val="left"/>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B2E99" w:rsidRPr="00AE4DE0" w:rsidRDefault="008B2E99">
            <w:pPr>
              <w:pStyle w:val="Tabletext"/>
              <w:jc w:val="center"/>
              <w:rPr>
                <w:b/>
                <w:bCs/>
                <w:sz w:val="22"/>
                <w:szCs w:val="22"/>
              </w:rPr>
            </w:pPr>
            <w:r w:rsidRPr="00AE4DE0">
              <w:rPr>
                <w:b/>
                <w:bCs/>
                <w:sz w:val="22"/>
                <w:szCs w:val="22"/>
              </w:rPr>
              <w:t>Fenofibrate</w:t>
            </w:r>
          </w:p>
          <w:p w:rsidR="008B2E99" w:rsidRPr="00AE4DE0" w:rsidRDefault="008B2E99">
            <w:pPr>
              <w:pStyle w:val="Tabletext"/>
              <w:jc w:val="center"/>
              <w:rPr>
                <w:b/>
                <w:bCs/>
                <w:sz w:val="22"/>
                <w:szCs w:val="22"/>
              </w:rPr>
            </w:pPr>
            <w:r w:rsidRPr="00AE4DE0">
              <w:rPr>
                <w:b/>
                <w:bCs/>
                <w:sz w:val="22"/>
                <w:szCs w:val="22"/>
              </w:rPr>
              <w:t>(n=207)</w:t>
            </w:r>
          </w:p>
        </w:tc>
        <w:tc>
          <w:tcPr>
            <w:tcW w:w="1701" w:type="dxa"/>
            <w:tcBorders>
              <w:top w:val="single" w:sz="4" w:space="0" w:color="auto"/>
              <w:left w:val="single" w:sz="4" w:space="0" w:color="auto"/>
              <w:bottom w:val="single" w:sz="4" w:space="0" w:color="auto"/>
              <w:right w:val="single" w:sz="4" w:space="0" w:color="auto"/>
            </w:tcBorders>
          </w:tcPr>
          <w:p w:rsidR="008B2E99" w:rsidRPr="00AE4DE0" w:rsidRDefault="008B2E99">
            <w:pPr>
              <w:pStyle w:val="Tabletext"/>
              <w:jc w:val="center"/>
              <w:rPr>
                <w:b/>
                <w:bCs/>
                <w:sz w:val="22"/>
                <w:szCs w:val="22"/>
              </w:rPr>
            </w:pPr>
            <w:r w:rsidRPr="00AE4DE0">
              <w:rPr>
                <w:b/>
                <w:bCs/>
                <w:sz w:val="22"/>
                <w:szCs w:val="22"/>
              </w:rPr>
              <w:t>Placebo</w:t>
            </w:r>
          </w:p>
          <w:p w:rsidR="008B2E99" w:rsidRPr="00AE4DE0" w:rsidRDefault="008B2E99">
            <w:pPr>
              <w:pStyle w:val="Tabletext"/>
              <w:jc w:val="center"/>
              <w:rPr>
                <w:b/>
                <w:bCs/>
                <w:sz w:val="22"/>
                <w:szCs w:val="22"/>
              </w:rPr>
            </w:pPr>
            <w:r w:rsidRPr="00AE4DE0">
              <w:rPr>
                <w:b/>
                <w:bCs/>
                <w:sz w:val="22"/>
                <w:szCs w:val="22"/>
              </w:rPr>
              <w:t>(n=211)</w:t>
            </w:r>
          </w:p>
        </w:tc>
        <w:tc>
          <w:tcPr>
            <w:tcW w:w="1560" w:type="dxa"/>
            <w:tcBorders>
              <w:top w:val="single" w:sz="4" w:space="0" w:color="auto"/>
              <w:left w:val="single" w:sz="4" w:space="0" w:color="auto"/>
              <w:bottom w:val="single" w:sz="4" w:space="0" w:color="auto"/>
              <w:right w:val="single" w:sz="4" w:space="0" w:color="auto"/>
            </w:tcBorders>
          </w:tcPr>
          <w:p w:rsidR="008B2E99" w:rsidRPr="00AE4DE0" w:rsidRDefault="008B2E99">
            <w:pPr>
              <w:pStyle w:val="Tabletext"/>
              <w:jc w:val="center"/>
              <w:rPr>
                <w:b/>
                <w:bCs/>
                <w:sz w:val="22"/>
                <w:szCs w:val="22"/>
              </w:rPr>
            </w:pPr>
            <w:r w:rsidRPr="00AE4DE0">
              <w:rPr>
                <w:b/>
                <w:bCs/>
                <w:sz w:val="22"/>
                <w:szCs w:val="22"/>
              </w:rPr>
              <w:t>p-values*</w:t>
            </w:r>
          </w:p>
        </w:tc>
      </w:tr>
      <w:tr w:rsidR="008B2E99" w:rsidRPr="00AE4DE0" w:rsidTr="003E7C6C">
        <w:tc>
          <w:tcPr>
            <w:tcW w:w="3652" w:type="dxa"/>
          </w:tcPr>
          <w:p w:rsidR="008B2E99" w:rsidRPr="00AE4DE0" w:rsidRDefault="008B2E99" w:rsidP="00AE4DE0">
            <w:pPr>
              <w:pStyle w:val="Tabletext"/>
              <w:jc w:val="left"/>
              <w:rPr>
                <w:sz w:val="22"/>
                <w:szCs w:val="22"/>
              </w:rPr>
            </w:pPr>
            <w:r w:rsidRPr="00AE4DE0">
              <w:rPr>
                <w:sz w:val="22"/>
                <w:szCs w:val="22"/>
              </w:rPr>
              <w:t>Mean segment diameter (mm)</w:t>
            </w:r>
          </w:p>
          <w:p w:rsidR="008B2E99" w:rsidRPr="00AE4DE0" w:rsidRDefault="008B2E99" w:rsidP="00AE4DE0">
            <w:pPr>
              <w:pStyle w:val="Tabletext"/>
              <w:jc w:val="left"/>
              <w:rPr>
                <w:sz w:val="22"/>
                <w:szCs w:val="22"/>
              </w:rPr>
            </w:pPr>
            <w:r w:rsidRPr="00AE4DE0">
              <w:rPr>
                <w:sz w:val="22"/>
                <w:szCs w:val="22"/>
              </w:rPr>
              <w:t>Baseline</w:t>
            </w:r>
          </w:p>
          <w:p w:rsidR="008B2E99" w:rsidRPr="00AE4DE0" w:rsidRDefault="008B2E99" w:rsidP="00AE4DE0">
            <w:pPr>
              <w:pStyle w:val="Tabletext"/>
              <w:jc w:val="left"/>
              <w:rPr>
                <w:sz w:val="22"/>
                <w:szCs w:val="22"/>
              </w:rPr>
            </w:pPr>
            <w:r w:rsidRPr="00AE4DE0">
              <w:rPr>
                <w:sz w:val="22"/>
                <w:szCs w:val="22"/>
              </w:rPr>
              <w:t>End of study</w:t>
            </w:r>
          </w:p>
        </w:tc>
        <w:tc>
          <w:tcPr>
            <w:tcW w:w="1559"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 xml:space="preserve">2.70 </w:t>
            </w:r>
            <w:r w:rsidRPr="00AE4DE0">
              <w:rPr>
                <w:sz w:val="22"/>
                <w:szCs w:val="22"/>
              </w:rPr>
              <w:sym w:font="Symbol" w:char="F0B1"/>
            </w:r>
            <w:r w:rsidRPr="00AE4DE0">
              <w:rPr>
                <w:sz w:val="22"/>
                <w:szCs w:val="22"/>
              </w:rPr>
              <w:t xml:space="preserve"> 0.45</w:t>
            </w:r>
          </w:p>
          <w:p w:rsidR="008B2E99" w:rsidRPr="00AE4DE0" w:rsidRDefault="008B2E99">
            <w:pPr>
              <w:pStyle w:val="Tabletext"/>
              <w:jc w:val="center"/>
              <w:rPr>
                <w:sz w:val="22"/>
                <w:szCs w:val="22"/>
              </w:rPr>
            </w:pPr>
            <w:r w:rsidRPr="00AE4DE0">
              <w:rPr>
                <w:sz w:val="22"/>
                <w:szCs w:val="22"/>
              </w:rPr>
              <w:t xml:space="preserve">2.62 </w:t>
            </w:r>
            <w:r w:rsidRPr="00AE4DE0">
              <w:rPr>
                <w:sz w:val="22"/>
                <w:szCs w:val="22"/>
              </w:rPr>
              <w:sym w:font="Symbol" w:char="F0B1"/>
            </w:r>
            <w:r w:rsidRPr="00AE4DE0">
              <w:rPr>
                <w:sz w:val="22"/>
                <w:szCs w:val="22"/>
              </w:rPr>
              <w:t xml:space="preserve"> 0.49</w:t>
            </w:r>
          </w:p>
        </w:tc>
        <w:tc>
          <w:tcPr>
            <w:tcW w:w="1701"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 xml:space="preserve">2.67 </w:t>
            </w:r>
            <w:r w:rsidRPr="00AE4DE0">
              <w:rPr>
                <w:sz w:val="22"/>
                <w:szCs w:val="22"/>
              </w:rPr>
              <w:sym w:font="Symbol" w:char="F0B1"/>
            </w:r>
            <w:r w:rsidRPr="00AE4DE0">
              <w:rPr>
                <w:sz w:val="22"/>
                <w:szCs w:val="22"/>
              </w:rPr>
              <w:t xml:space="preserve"> 0.45</w:t>
            </w:r>
          </w:p>
          <w:p w:rsidR="008B2E99" w:rsidRPr="00AE4DE0" w:rsidRDefault="008B2E99">
            <w:pPr>
              <w:pStyle w:val="Tabletext"/>
              <w:jc w:val="center"/>
              <w:rPr>
                <w:sz w:val="22"/>
                <w:szCs w:val="22"/>
              </w:rPr>
            </w:pPr>
            <w:r w:rsidRPr="00AE4DE0">
              <w:rPr>
                <w:sz w:val="22"/>
                <w:szCs w:val="22"/>
              </w:rPr>
              <w:t xml:space="preserve">2.56 </w:t>
            </w:r>
            <w:r w:rsidRPr="00AE4DE0">
              <w:rPr>
                <w:sz w:val="22"/>
                <w:szCs w:val="22"/>
              </w:rPr>
              <w:sym w:font="Symbol" w:char="F0B1"/>
            </w:r>
            <w:r w:rsidRPr="00AE4DE0">
              <w:rPr>
                <w:sz w:val="22"/>
                <w:szCs w:val="22"/>
              </w:rPr>
              <w:t xml:space="preserve"> 0.50</w:t>
            </w:r>
          </w:p>
        </w:tc>
        <w:tc>
          <w:tcPr>
            <w:tcW w:w="1560"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0.494</w:t>
            </w:r>
          </w:p>
          <w:p w:rsidR="008B2E99" w:rsidRPr="00AE4DE0" w:rsidRDefault="008B2E99">
            <w:pPr>
              <w:pStyle w:val="Tabletext"/>
              <w:jc w:val="center"/>
              <w:rPr>
                <w:sz w:val="22"/>
                <w:szCs w:val="22"/>
              </w:rPr>
            </w:pPr>
            <w:r w:rsidRPr="00AE4DE0">
              <w:rPr>
                <w:sz w:val="22"/>
                <w:szCs w:val="22"/>
              </w:rPr>
              <w:t>0.173</w:t>
            </w:r>
          </w:p>
        </w:tc>
      </w:tr>
      <w:tr w:rsidR="008B2E99" w:rsidRPr="00AE4DE0" w:rsidTr="003E7C6C">
        <w:tc>
          <w:tcPr>
            <w:tcW w:w="3652" w:type="dxa"/>
          </w:tcPr>
          <w:p w:rsidR="008B2E99" w:rsidRPr="00AE4DE0" w:rsidRDefault="008B2E99" w:rsidP="00AE4DE0">
            <w:pPr>
              <w:pStyle w:val="Tabletext"/>
              <w:jc w:val="left"/>
              <w:rPr>
                <w:sz w:val="22"/>
                <w:szCs w:val="22"/>
              </w:rPr>
            </w:pPr>
            <w:r w:rsidRPr="00AE4DE0">
              <w:rPr>
                <w:sz w:val="22"/>
                <w:szCs w:val="22"/>
              </w:rPr>
              <w:t>Minimum segment diameter (mm)</w:t>
            </w:r>
          </w:p>
          <w:p w:rsidR="008B2E99" w:rsidRPr="00AE4DE0" w:rsidRDefault="008B2E99" w:rsidP="00AE4DE0">
            <w:pPr>
              <w:pStyle w:val="Tabletext"/>
              <w:jc w:val="left"/>
              <w:rPr>
                <w:sz w:val="22"/>
                <w:szCs w:val="22"/>
              </w:rPr>
            </w:pPr>
            <w:r w:rsidRPr="00AE4DE0">
              <w:rPr>
                <w:sz w:val="22"/>
                <w:szCs w:val="22"/>
              </w:rPr>
              <w:t>Baseline</w:t>
            </w:r>
          </w:p>
          <w:p w:rsidR="008B2E99" w:rsidRPr="00AE4DE0" w:rsidRDefault="008B2E99" w:rsidP="00AE4DE0">
            <w:pPr>
              <w:pStyle w:val="Tabletext"/>
              <w:jc w:val="left"/>
              <w:rPr>
                <w:sz w:val="22"/>
                <w:szCs w:val="22"/>
              </w:rPr>
            </w:pPr>
            <w:r w:rsidRPr="00AE4DE0">
              <w:rPr>
                <w:sz w:val="22"/>
                <w:szCs w:val="22"/>
              </w:rPr>
              <w:lastRenderedPageBreak/>
              <w:t>End of study</w:t>
            </w:r>
          </w:p>
        </w:tc>
        <w:tc>
          <w:tcPr>
            <w:tcW w:w="1559"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 xml:space="preserve">2.14 </w:t>
            </w:r>
            <w:r w:rsidRPr="00AE4DE0">
              <w:rPr>
                <w:sz w:val="22"/>
                <w:szCs w:val="22"/>
              </w:rPr>
              <w:sym w:font="Symbol" w:char="F0B1"/>
            </w:r>
            <w:r w:rsidRPr="00AE4DE0">
              <w:rPr>
                <w:sz w:val="22"/>
                <w:szCs w:val="22"/>
              </w:rPr>
              <w:t xml:space="preserve"> 0.44</w:t>
            </w:r>
          </w:p>
          <w:p w:rsidR="008B2E99" w:rsidRPr="00AE4DE0" w:rsidRDefault="008B2E99">
            <w:pPr>
              <w:pStyle w:val="Tabletext"/>
              <w:jc w:val="center"/>
              <w:rPr>
                <w:sz w:val="22"/>
                <w:szCs w:val="22"/>
              </w:rPr>
            </w:pPr>
            <w:r w:rsidRPr="00AE4DE0">
              <w:rPr>
                <w:sz w:val="22"/>
                <w:szCs w:val="22"/>
              </w:rPr>
              <w:lastRenderedPageBreak/>
              <w:t xml:space="preserve">2.05 </w:t>
            </w:r>
            <w:r w:rsidRPr="00AE4DE0">
              <w:rPr>
                <w:sz w:val="22"/>
                <w:szCs w:val="22"/>
              </w:rPr>
              <w:sym w:font="Symbol" w:char="F0B1"/>
            </w:r>
            <w:r w:rsidRPr="00AE4DE0">
              <w:rPr>
                <w:sz w:val="22"/>
                <w:szCs w:val="22"/>
              </w:rPr>
              <w:t xml:space="preserve"> 0.46</w:t>
            </w:r>
          </w:p>
        </w:tc>
        <w:tc>
          <w:tcPr>
            <w:tcW w:w="1701"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 xml:space="preserve">2.10 </w:t>
            </w:r>
            <w:r w:rsidRPr="00AE4DE0">
              <w:rPr>
                <w:sz w:val="22"/>
                <w:szCs w:val="22"/>
              </w:rPr>
              <w:sym w:font="Symbol" w:char="F0B1"/>
            </w:r>
            <w:r w:rsidRPr="00AE4DE0">
              <w:rPr>
                <w:sz w:val="22"/>
                <w:szCs w:val="22"/>
              </w:rPr>
              <w:t xml:space="preserve"> 0.44</w:t>
            </w:r>
          </w:p>
          <w:p w:rsidR="008B2E99" w:rsidRPr="00AE4DE0" w:rsidRDefault="008B2E99">
            <w:pPr>
              <w:pStyle w:val="Tabletext"/>
              <w:jc w:val="center"/>
              <w:rPr>
                <w:sz w:val="22"/>
                <w:szCs w:val="22"/>
              </w:rPr>
            </w:pPr>
            <w:r w:rsidRPr="00AE4DE0">
              <w:rPr>
                <w:sz w:val="22"/>
                <w:szCs w:val="22"/>
              </w:rPr>
              <w:lastRenderedPageBreak/>
              <w:t xml:space="preserve">1.98 </w:t>
            </w:r>
            <w:r w:rsidRPr="00AE4DE0">
              <w:rPr>
                <w:sz w:val="22"/>
                <w:szCs w:val="22"/>
              </w:rPr>
              <w:sym w:font="Symbol" w:char="F0B1"/>
            </w:r>
            <w:r w:rsidRPr="00AE4DE0">
              <w:rPr>
                <w:sz w:val="22"/>
                <w:szCs w:val="22"/>
              </w:rPr>
              <w:t xml:space="preserve"> 0.48</w:t>
            </w:r>
          </w:p>
        </w:tc>
        <w:tc>
          <w:tcPr>
            <w:tcW w:w="1560"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0.457</w:t>
            </w:r>
          </w:p>
          <w:p w:rsidR="008B2E99" w:rsidRPr="00AE4DE0" w:rsidRDefault="008B2E99">
            <w:pPr>
              <w:pStyle w:val="Tabletext"/>
              <w:jc w:val="center"/>
              <w:rPr>
                <w:sz w:val="22"/>
                <w:szCs w:val="22"/>
              </w:rPr>
            </w:pPr>
            <w:r w:rsidRPr="00AE4DE0">
              <w:rPr>
                <w:sz w:val="22"/>
                <w:szCs w:val="22"/>
              </w:rPr>
              <w:lastRenderedPageBreak/>
              <w:t>0.028</w:t>
            </w:r>
          </w:p>
        </w:tc>
      </w:tr>
      <w:tr w:rsidR="008B2E99" w:rsidRPr="00AE4DE0" w:rsidTr="003E7C6C">
        <w:tc>
          <w:tcPr>
            <w:tcW w:w="3652" w:type="dxa"/>
          </w:tcPr>
          <w:p w:rsidR="008B2E99" w:rsidRPr="00AE4DE0" w:rsidRDefault="008B2E99" w:rsidP="00AE4DE0">
            <w:pPr>
              <w:pStyle w:val="Tabletext"/>
              <w:jc w:val="left"/>
              <w:rPr>
                <w:sz w:val="22"/>
                <w:szCs w:val="22"/>
              </w:rPr>
            </w:pPr>
            <w:r w:rsidRPr="00AE4DE0">
              <w:rPr>
                <w:sz w:val="22"/>
                <w:szCs w:val="22"/>
              </w:rPr>
              <w:lastRenderedPageBreak/>
              <w:t>Percent diameter stenosis (%)</w:t>
            </w:r>
          </w:p>
          <w:p w:rsidR="008B2E99" w:rsidRPr="00AE4DE0" w:rsidRDefault="008B2E99" w:rsidP="00AE4DE0">
            <w:pPr>
              <w:pStyle w:val="Tabletext"/>
              <w:jc w:val="left"/>
              <w:rPr>
                <w:sz w:val="22"/>
                <w:szCs w:val="22"/>
              </w:rPr>
            </w:pPr>
            <w:r w:rsidRPr="00AE4DE0">
              <w:rPr>
                <w:sz w:val="22"/>
                <w:szCs w:val="22"/>
              </w:rPr>
              <w:t>Baseline</w:t>
            </w:r>
          </w:p>
          <w:p w:rsidR="008B2E99" w:rsidRPr="00AE4DE0" w:rsidRDefault="008B2E99" w:rsidP="00AE4DE0">
            <w:pPr>
              <w:pStyle w:val="Tabletext"/>
              <w:jc w:val="left"/>
              <w:rPr>
                <w:sz w:val="22"/>
                <w:szCs w:val="22"/>
              </w:rPr>
            </w:pPr>
            <w:r w:rsidRPr="00AE4DE0">
              <w:rPr>
                <w:sz w:val="22"/>
                <w:szCs w:val="22"/>
              </w:rPr>
              <w:t>End of study</w:t>
            </w:r>
          </w:p>
        </w:tc>
        <w:tc>
          <w:tcPr>
            <w:tcW w:w="1559"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 xml:space="preserve">21.80 </w:t>
            </w:r>
            <w:r w:rsidRPr="00AE4DE0">
              <w:rPr>
                <w:sz w:val="22"/>
                <w:szCs w:val="22"/>
              </w:rPr>
              <w:sym w:font="Symbol" w:char="F0B1"/>
            </w:r>
            <w:r w:rsidRPr="00AE4DE0">
              <w:rPr>
                <w:sz w:val="22"/>
                <w:szCs w:val="22"/>
              </w:rPr>
              <w:t xml:space="preserve"> 7.8</w:t>
            </w:r>
          </w:p>
          <w:p w:rsidR="008B2E99" w:rsidRPr="00AE4DE0" w:rsidRDefault="008B2E99">
            <w:pPr>
              <w:pStyle w:val="Tabletext"/>
              <w:jc w:val="center"/>
              <w:rPr>
                <w:sz w:val="22"/>
                <w:szCs w:val="22"/>
              </w:rPr>
            </w:pPr>
            <w:r w:rsidRPr="00AE4DE0">
              <w:rPr>
                <w:sz w:val="22"/>
                <w:szCs w:val="22"/>
              </w:rPr>
              <w:t xml:space="preserve">24.10 </w:t>
            </w:r>
            <w:r w:rsidRPr="00AE4DE0">
              <w:rPr>
                <w:sz w:val="22"/>
                <w:szCs w:val="22"/>
              </w:rPr>
              <w:sym w:font="Symbol" w:char="F0B1"/>
            </w:r>
            <w:r w:rsidRPr="00AE4DE0">
              <w:rPr>
                <w:sz w:val="22"/>
                <w:szCs w:val="22"/>
              </w:rPr>
              <w:t xml:space="preserve"> 9.8</w:t>
            </w:r>
          </w:p>
        </w:tc>
        <w:tc>
          <w:tcPr>
            <w:tcW w:w="1701"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 xml:space="preserve">21.80 </w:t>
            </w:r>
            <w:r w:rsidRPr="00AE4DE0">
              <w:rPr>
                <w:sz w:val="22"/>
                <w:szCs w:val="22"/>
              </w:rPr>
              <w:sym w:font="Symbol" w:char="F0B1"/>
            </w:r>
            <w:r w:rsidRPr="00AE4DE0">
              <w:rPr>
                <w:sz w:val="22"/>
                <w:szCs w:val="22"/>
              </w:rPr>
              <w:t xml:space="preserve"> 7.4</w:t>
            </w:r>
          </w:p>
          <w:p w:rsidR="008B2E99" w:rsidRPr="00AE4DE0" w:rsidRDefault="008B2E99">
            <w:pPr>
              <w:pStyle w:val="Tabletext"/>
              <w:jc w:val="center"/>
              <w:rPr>
                <w:sz w:val="22"/>
                <w:szCs w:val="22"/>
              </w:rPr>
            </w:pPr>
            <w:r w:rsidRPr="00AE4DE0">
              <w:rPr>
                <w:sz w:val="22"/>
                <w:szCs w:val="22"/>
              </w:rPr>
              <w:t xml:space="preserve">25.70 </w:t>
            </w:r>
            <w:r w:rsidRPr="00AE4DE0">
              <w:rPr>
                <w:sz w:val="22"/>
                <w:szCs w:val="22"/>
              </w:rPr>
              <w:sym w:font="Symbol" w:char="F0B1"/>
            </w:r>
            <w:r w:rsidRPr="00AE4DE0">
              <w:rPr>
                <w:sz w:val="22"/>
                <w:szCs w:val="22"/>
              </w:rPr>
              <w:t xml:space="preserve"> 10.8</w:t>
            </w:r>
          </w:p>
        </w:tc>
        <w:tc>
          <w:tcPr>
            <w:tcW w:w="1560" w:type="dxa"/>
          </w:tcPr>
          <w:p w:rsidR="008B2E99" w:rsidRPr="00AE4DE0" w:rsidRDefault="008B2E99">
            <w:pPr>
              <w:pStyle w:val="Tabletext"/>
              <w:jc w:val="center"/>
              <w:rPr>
                <w:sz w:val="22"/>
                <w:szCs w:val="22"/>
              </w:rPr>
            </w:pPr>
          </w:p>
          <w:p w:rsidR="008B2E99" w:rsidRPr="00AE4DE0" w:rsidRDefault="008B2E99">
            <w:pPr>
              <w:pStyle w:val="Tabletext"/>
              <w:jc w:val="center"/>
              <w:rPr>
                <w:sz w:val="22"/>
                <w:szCs w:val="22"/>
              </w:rPr>
            </w:pPr>
            <w:r w:rsidRPr="00AE4DE0">
              <w:rPr>
                <w:sz w:val="22"/>
                <w:szCs w:val="22"/>
              </w:rPr>
              <w:t>0.958</w:t>
            </w:r>
          </w:p>
          <w:p w:rsidR="008B2E99" w:rsidRPr="00AE4DE0" w:rsidRDefault="008B2E99">
            <w:pPr>
              <w:pStyle w:val="Tabletext"/>
              <w:jc w:val="center"/>
              <w:rPr>
                <w:sz w:val="22"/>
                <w:szCs w:val="22"/>
              </w:rPr>
            </w:pPr>
            <w:r w:rsidRPr="00AE4DE0">
              <w:rPr>
                <w:sz w:val="22"/>
                <w:szCs w:val="22"/>
              </w:rPr>
              <w:t>0.020</w:t>
            </w:r>
          </w:p>
        </w:tc>
      </w:tr>
    </w:tbl>
    <w:p w:rsidR="008B2E99" w:rsidRPr="00967DB6" w:rsidRDefault="008B2E99">
      <w:pPr>
        <w:pStyle w:val="BodyText"/>
      </w:pPr>
      <w:r w:rsidRPr="00967DB6">
        <w:t xml:space="preserve">*p-values for Student’s t test and for covariance analysis to compare treatment groups respectively at baseline and at the end of study </w:t>
      </w:r>
    </w:p>
    <w:p w:rsidR="008B2E99" w:rsidRDefault="008B2E99"/>
    <w:p w:rsidR="00C96932" w:rsidRPr="00C96932" w:rsidRDefault="00C96932" w:rsidP="00B96C5E">
      <w:pPr>
        <w:pStyle w:val="Heading3"/>
        <w:spacing w:before="120" w:after="120"/>
      </w:pPr>
      <w:r w:rsidRPr="00C96932">
        <w:t>FIELD</w:t>
      </w:r>
    </w:p>
    <w:p w:rsidR="00C96932" w:rsidRPr="00B96C5E" w:rsidRDefault="00C96932" w:rsidP="00B96C5E">
      <w:r w:rsidRPr="00B96C5E">
        <w:t>The Fenofibrate Intervention and Event Lowering in Diabetes (FIELD) study was a 5-year randomised, placebo-controlled study of 9795 patients with type 2 diabetes mellitus treated with fenofibrate. Fenofibrate demonstrated a non-significant 11% relative reduction in the primary outcome of coronary heart disease events (hazard ratio [HR] 0.89, 95% Cl 0.75- 1.05, p=0.16) and a significant 11% relative reduction in the secondary outcome of total cardiovascular disease events (HR 0.89 [0.80-0.99], p=0.04). There was a non-significant 11% (HR 1.11 [0.95-1.29], p=0.18) and 19% (HR 1.19, [0.90-1.57]; p=0.22) relative increase in total and coronary heart disease mortality, respectively, with fenofibrate as compared with placebo.</w:t>
      </w:r>
    </w:p>
    <w:p w:rsidR="00C96932" w:rsidRPr="00B96C5E" w:rsidRDefault="00C96932" w:rsidP="00B96C5E">
      <w:pPr>
        <w:pStyle w:val="Heading3"/>
        <w:spacing w:before="120" w:after="120"/>
      </w:pPr>
      <w:r w:rsidRPr="00B96C5E">
        <w:t>ACCORD</w:t>
      </w:r>
      <w:r w:rsidR="00B91510">
        <w:t>-lipid</w:t>
      </w:r>
      <w:r w:rsidRPr="00B96C5E">
        <w:t xml:space="preserve"> </w:t>
      </w:r>
    </w:p>
    <w:p w:rsidR="00C96932" w:rsidRPr="00AA3087" w:rsidRDefault="00F96009" w:rsidP="00C96932">
      <w:pPr>
        <w:rPr>
          <w:szCs w:val="22"/>
        </w:rPr>
      </w:pPr>
      <w:r w:rsidRPr="00AA3087">
        <w:rPr>
          <w:szCs w:val="22"/>
        </w:rPr>
        <w:t>The Action to Control Cardiovascular Risk in Diabetes Lipid (ACCORD Lipid) trial was a randomised placebo-controlled study of 5518 patients with type 2 diabetes mellitus on background statin therapy treated with fenofibrate.</w:t>
      </w:r>
    </w:p>
    <w:p w:rsidR="00C96932" w:rsidRPr="00AA3087" w:rsidRDefault="00B91510" w:rsidP="00B96C5E">
      <w:pPr>
        <w:rPr>
          <w:szCs w:val="22"/>
        </w:rPr>
      </w:pPr>
      <w:r w:rsidRPr="00AA3087">
        <w:rPr>
          <w:szCs w:val="22"/>
        </w:rPr>
        <w:t>F</w:t>
      </w:r>
      <w:r w:rsidR="00C96932" w:rsidRPr="00AA3087">
        <w:rPr>
          <w:szCs w:val="22"/>
        </w:rPr>
        <w:t>enofibrate plus simvastatin therapy did not show any significant differences compared to simvastatin monotherapy in the composite primary outcome of non-fatal myocardial infarction, non-fatal stroke, and cardiovascular death (hazard ratio [HR] 0.92, 95% CI 0.79-1.08, p = 0.32; absolute risk reduction: 0.74%). In the pre-specified subgroup of dyslipidaemic patients, defined as those in the lowest tertile of HDL-C (≤ 0.88 mmol/L) and highest tertile of TG (≥ 2.3 mmol/L) at baseline, fenofibrate plus simvastatin therapy demonstrated a 31% relative reduction compared to simvastatin monotherapy for the composite primary outcome (hazard ratio [HR] 0.69, 95% CI 0.49-0.97, p = 0.03 ; absolute risk reduction: 4.95%). Another pre</w:t>
      </w:r>
      <w:r w:rsidR="008A36DA" w:rsidRPr="00AA3087">
        <w:rPr>
          <w:szCs w:val="22"/>
        </w:rPr>
        <w:t>-</w:t>
      </w:r>
      <w:r w:rsidR="00C96932" w:rsidRPr="00AA3087">
        <w:rPr>
          <w:szCs w:val="22"/>
        </w:rPr>
        <w:t>specified subgroup analysis identified a statistically significant treatment-by-gender interaction (p = 0.01) indicating a possible treatment benefit of combination therapy in men (p=0.037) but a potentially higher risk for the primary outcome in women treated with combination therapy compared to simvastatin monotherapy (p=0.069). This was not observed in the aforementioned subgroup of patients with dyslipidaemia but there was also no clear evidence of benefit in dyslipidaemic women treated with fenofibrate plus simvastatin, and a possible harmful effect in this subgroup could not be excluded.</w:t>
      </w:r>
    </w:p>
    <w:p w:rsidR="0021594D" w:rsidRPr="00AA3087" w:rsidRDefault="0021594D" w:rsidP="00B96C5E">
      <w:pPr>
        <w:rPr>
          <w:szCs w:val="22"/>
        </w:rPr>
      </w:pPr>
    </w:p>
    <w:p w:rsidR="0021594D" w:rsidRPr="00AA3087" w:rsidRDefault="0021594D" w:rsidP="0021594D">
      <w:pPr>
        <w:rPr>
          <w:rFonts w:cs="Arial"/>
          <w:szCs w:val="22"/>
        </w:rPr>
      </w:pPr>
      <w:r w:rsidRPr="00AA3087">
        <w:rPr>
          <w:rFonts w:cs="Arial"/>
          <w:szCs w:val="22"/>
        </w:rPr>
        <w:t xml:space="preserve">Epidemiological studies have demonstrated a positive correlation between increased serum lipid levels and an increased risk of coronary heart disease. The control of such dyslipidaemias forms the rationale for treatment with fenofibrate. </w:t>
      </w:r>
      <w:r w:rsidRPr="00830C2A">
        <w:rPr>
          <w:rFonts w:cs="Arial"/>
          <w:color w:val="000000"/>
          <w:szCs w:val="22"/>
        </w:rPr>
        <w:t xml:space="preserve">There is evidence that treatment with fibrates may reduce coronary heart disease events but </w:t>
      </w:r>
      <w:r w:rsidR="00FC6D81" w:rsidRPr="00830C2A">
        <w:rPr>
          <w:rFonts w:cs="Arial"/>
          <w:color w:val="000000"/>
          <w:szCs w:val="22"/>
        </w:rPr>
        <w:t xml:space="preserve">fenofibrate </w:t>
      </w:r>
      <w:r w:rsidRPr="00830C2A">
        <w:rPr>
          <w:rFonts w:cs="Arial"/>
          <w:color w:val="000000"/>
          <w:szCs w:val="22"/>
        </w:rPr>
        <w:t>h</w:t>
      </w:r>
      <w:r w:rsidR="00FC6D81" w:rsidRPr="00830C2A">
        <w:rPr>
          <w:rFonts w:cs="Arial"/>
          <w:color w:val="000000"/>
          <w:szCs w:val="22"/>
        </w:rPr>
        <w:t>as</w:t>
      </w:r>
      <w:r w:rsidRPr="00830C2A">
        <w:rPr>
          <w:rFonts w:cs="Arial"/>
          <w:color w:val="000000"/>
          <w:szCs w:val="22"/>
        </w:rPr>
        <w:t xml:space="preserve"> not been shown to decrease </w:t>
      </w:r>
      <w:r w:rsidR="00F96009" w:rsidRPr="00830C2A">
        <w:rPr>
          <w:rFonts w:cs="Arial"/>
          <w:color w:val="000000"/>
          <w:szCs w:val="22"/>
        </w:rPr>
        <w:t>all-cause</w:t>
      </w:r>
      <w:r w:rsidRPr="00830C2A">
        <w:rPr>
          <w:rFonts w:cs="Arial"/>
          <w:color w:val="000000"/>
          <w:szCs w:val="22"/>
        </w:rPr>
        <w:t xml:space="preserve"> mortality in the primary or secondary prevention of cardiovascular disease. </w:t>
      </w:r>
    </w:p>
    <w:p w:rsidR="0021594D" w:rsidRPr="00C45A81" w:rsidRDefault="0021594D" w:rsidP="00B96C5E">
      <w:pPr>
        <w:pStyle w:val="texte20"/>
        <w:spacing w:after="60" w:line="240" w:lineRule="auto"/>
        <w:ind w:left="0"/>
        <w:rPr>
          <w:rFonts w:ascii="Arial" w:hAnsi="Arial" w:cs="Arial"/>
          <w:sz w:val="22"/>
          <w:szCs w:val="22"/>
          <w:lang w:val="en-AU"/>
        </w:rPr>
      </w:pPr>
      <w:r w:rsidRPr="00AA3087">
        <w:rPr>
          <w:rFonts w:ascii="Arial" w:hAnsi="Arial" w:cs="Arial"/>
          <w:sz w:val="22"/>
          <w:szCs w:val="22"/>
          <w:lang w:val="en-AU"/>
        </w:rPr>
        <w:t xml:space="preserve">Fenofibrate was not shown to reduce coronary heart disease morbidity and mortality in patients with type 2 diabetes mellitus overall. </w:t>
      </w:r>
    </w:p>
    <w:p w:rsidR="00C96932" w:rsidRPr="00B96C5E" w:rsidRDefault="00C96932" w:rsidP="00B96C5E">
      <w:pPr>
        <w:pStyle w:val="Heading2"/>
        <w:spacing w:before="120" w:after="120"/>
      </w:pPr>
      <w:r w:rsidRPr="00C96932">
        <w:t>Diabetic Retinopathy</w:t>
      </w:r>
      <w:r w:rsidRPr="00B96C5E">
        <w:t xml:space="preserve"> </w:t>
      </w:r>
    </w:p>
    <w:p w:rsidR="00C96932" w:rsidRPr="00B96C5E" w:rsidRDefault="00C96932" w:rsidP="00B96C5E">
      <w:pPr>
        <w:pStyle w:val="Heading3"/>
        <w:spacing w:before="120" w:after="120"/>
      </w:pPr>
      <w:r w:rsidRPr="00B96C5E">
        <w:t>FIELD-PSP-DR</w:t>
      </w:r>
    </w:p>
    <w:p w:rsidR="00C96932" w:rsidRPr="00B96C5E" w:rsidRDefault="00C96932" w:rsidP="00B96C5E">
      <w:r w:rsidRPr="00B96C5E">
        <w:t>In the (FIELD) study information on laser treatment for diabetic retinopathy—a pre-specified tertiary endpoint of the main study—was collected at each study visit for all study patients. The requirement for first laser treatment for all retinopathy was significantly lower in the fenofibrate group than in the placebo group (164 [3·4%</w:t>
      </w:r>
      <w:r w:rsidR="00C45A81" w:rsidRPr="00B96C5E">
        <w:t>] vs</w:t>
      </w:r>
      <w:r w:rsidRPr="00B96C5E">
        <w:t>. 238 [4·9%]; hazard ratio [HR] 0·69, 95% CI 0·56–</w:t>
      </w:r>
      <w:r w:rsidRPr="00B96C5E">
        <w:lastRenderedPageBreak/>
        <w:t>0·84; p=0·0002; absolute risk reduction [ARR] 1·5% [0·7–2·3]). The reduction in the need for laser in the fenofibrate treatment group was not related to baseline plasma lipid concentrations.</w:t>
      </w:r>
    </w:p>
    <w:p w:rsidR="00C96932" w:rsidRPr="00B96C5E" w:rsidRDefault="00C96932" w:rsidP="00C96932">
      <w:r w:rsidRPr="00B96C5E">
        <w:t xml:space="preserve">In the FIELD </w:t>
      </w:r>
      <w:r w:rsidR="008A36DA" w:rsidRPr="008A36DA">
        <w:t>sub</w:t>
      </w:r>
      <w:r w:rsidR="008A36DA">
        <w:t>-</w:t>
      </w:r>
      <w:r w:rsidR="008A36DA" w:rsidRPr="008A36DA">
        <w:t>study</w:t>
      </w:r>
      <w:r w:rsidRPr="00B96C5E">
        <w:t xml:space="preserve"> of 1012 patients (FIELD PSP-DR), standardised retinal photographs were taken and graded according to the Early Treatment Diabetic Retinopathy Study (ETDRS) criteria to determine the cumulative incidence of diabetic retinopathy and its component lesions. Analyses were by intention to treat.  The primary endpoint of 2-step progression of EDTRS grade did not differ significantly between the two groups overall (46 [9·6%] patients on fenofibrate </w:t>
      </w:r>
      <w:r w:rsidR="00C45A81" w:rsidRPr="00B96C5E">
        <w:t>vs.</w:t>
      </w:r>
      <w:r w:rsidRPr="00B96C5E">
        <w:t xml:space="preserve"> 57 [12·3%] on placebo; p=0·19) or in the subset of patients without pre-existing retinopathy (43 [11·4%] vs</w:t>
      </w:r>
      <w:r w:rsidR="00C45A81">
        <w:t>.</w:t>
      </w:r>
      <w:r w:rsidRPr="00B96C5E">
        <w:t xml:space="preserve"> 43 [11·7%]; p=0·87). By contrast, in patients with pre-existing retinopathy, significantly fewer patients on fenofibrate had a 2-step progression than did those on placebo (three [3·1%] patients vs</w:t>
      </w:r>
      <w:r w:rsidR="00C45A81">
        <w:t>.</w:t>
      </w:r>
      <w:r w:rsidRPr="00B96C5E">
        <w:t xml:space="preserve"> 14 [14·6%]; p=0·004). The composite endpoint of 2-step progression of EDTRS grade, macular oedema, or laser treatments was significantly lower in fenofibrate treated group (HR 0·66, 95% CI 0·47–0·94; p=0·022).</w:t>
      </w:r>
    </w:p>
    <w:p w:rsidR="00C96932" w:rsidRPr="00B96C5E" w:rsidRDefault="00C96932" w:rsidP="00B96C5E">
      <w:pPr>
        <w:pStyle w:val="Heading3"/>
        <w:spacing w:before="120" w:after="120"/>
      </w:pPr>
      <w:r w:rsidRPr="00B96C5E">
        <w:t>ACCORD-eye</w:t>
      </w:r>
    </w:p>
    <w:p w:rsidR="00C96932" w:rsidRPr="00B96C5E" w:rsidRDefault="00C96932" w:rsidP="00C96932">
      <w:r w:rsidRPr="00B96C5E">
        <w:t>A subgroup of 1593 participants of the ACCORD lipid trial (ACCORD-eye) was evaluated for the effects of treatment with fenofibrate and simvastatin compared to treatment with simvastatin plus a placebo at 4 years on the progression of diabetic retinopathy by 3 or more steps on the Early Treatment Diabetic Retinopathy Study (ETDRS) Severity Scale (as assessed from seven-field stereoscopic fundus photographs, with 17 possible steps and a higher number of steps indicating greater severity) or the development of diabetic retinopathy necessitating laser photocoagulation or vitrectomy.</w:t>
      </w:r>
    </w:p>
    <w:p w:rsidR="00C96932" w:rsidRPr="00B96C5E" w:rsidRDefault="00C96932" w:rsidP="00C96932">
      <w:r w:rsidRPr="00B96C5E">
        <w:t>The progression of diabetic retinopathy was 6.5% with fenofibrate for intensive dyslipidaemia therapy, versus 10.2% with placebo for standard dyslipidaemia therapy (adjusted odds ratio, 0.60; 95% CI, 0.42 to 0.87; P = 0.006). It was concluded that intensive combination treatment of dyslipidaemia reduced the rate of progression of diabetic retinopathy.</w:t>
      </w:r>
    </w:p>
    <w:p w:rsidR="00C96932" w:rsidRDefault="00C96932" w:rsidP="00B96C5E">
      <w:r w:rsidRPr="00B96C5E">
        <w:t>An integrated analysis was performed from Patient individual Data from the FIELD study and the published information from ACCORD-Eye publications. The combined primary endpoint of ACCORD-Eye was applied to FIELD i.e.3-step ETDRS severity scale, photocoagulation or vitrectomy for proliferative diabetic retinopathy. The two studies were homogeneous (fixed effect model applicable) and showed an overall 60% reduction in the progression of diabetic retinopathy, OR: 0.40; 95% CI (0.26-0.61) for the subjects with existing DR at baseline.</w:t>
      </w:r>
    </w:p>
    <w:p w:rsidR="008A36DA" w:rsidRPr="00B96C5E" w:rsidRDefault="008A36DA" w:rsidP="00B96C5E"/>
    <w:p w:rsidR="00C96932" w:rsidRDefault="00C96932" w:rsidP="00C96932">
      <w:pPr>
        <w:rPr>
          <w:noProof/>
          <w:lang w:val="en-US"/>
        </w:rPr>
      </w:pPr>
    </w:p>
    <w:p w:rsidR="00C96932" w:rsidRPr="00B96C5E" w:rsidRDefault="00C96932" w:rsidP="00C96932">
      <w:r w:rsidRPr="00B96C5E">
        <w:t>Neither FIELD nor ACCORD-Eye showed an improvement in visual acuity.</w:t>
      </w:r>
    </w:p>
    <w:p w:rsidR="00C96932" w:rsidRPr="00967DB6" w:rsidRDefault="00C96932">
      <w:r w:rsidRPr="00B96C5E">
        <w:t>FIELD and ACCORD excluded patients with severe non-proliferative and proliferative diabetic retinopathy at baseline.</w:t>
      </w:r>
    </w:p>
    <w:p w:rsidR="008B2E99" w:rsidRPr="00363E65" w:rsidRDefault="008B2E99">
      <w:pPr>
        <w:pStyle w:val="Heading1"/>
      </w:pPr>
      <w:r w:rsidRPr="00363E65">
        <w:t>INDICATIONS</w:t>
      </w:r>
    </w:p>
    <w:p w:rsidR="008B2E99" w:rsidRPr="00967DB6" w:rsidRDefault="008B2E99">
      <w:r w:rsidRPr="00967DB6">
        <w:t>Lipidil is indicated as an adjunct to diet in the treatment of:</w:t>
      </w:r>
    </w:p>
    <w:p w:rsidR="008B2E99" w:rsidRPr="00967DB6" w:rsidRDefault="008B2E99">
      <w:pPr>
        <w:pStyle w:val="CSBullet"/>
      </w:pPr>
      <w:r w:rsidRPr="00967DB6">
        <w:t>hypercholesterolaemia;</w:t>
      </w:r>
    </w:p>
    <w:p w:rsidR="008B2E99" w:rsidRPr="00967DB6" w:rsidRDefault="008B2E99">
      <w:pPr>
        <w:pStyle w:val="CSBullet"/>
      </w:pPr>
      <w:r w:rsidRPr="00967DB6">
        <w:t>types II, III, IV and V dyslipidaemia;</w:t>
      </w:r>
    </w:p>
    <w:p w:rsidR="008B2E99" w:rsidRDefault="008B2E99">
      <w:pPr>
        <w:pStyle w:val="CSBullet"/>
      </w:pPr>
      <w:proofErr w:type="gramStart"/>
      <w:r w:rsidRPr="00967DB6">
        <w:t>dyslipidaemia</w:t>
      </w:r>
      <w:proofErr w:type="gramEnd"/>
      <w:r w:rsidRPr="00967DB6">
        <w:t xml:space="preserve"> associated with type 2 diabetes.</w:t>
      </w:r>
    </w:p>
    <w:p w:rsidR="001E63CE" w:rsidRDefault="001E63CE" w:rsidP="00B96C5E"/>
    <w:p w:rsidR="00EC6D6A" w:rsidRPr="00EC6D6A" w:rsidRDefault="00EC6D6A" w:rsidP="00B96C5E">
      <w:r w:rsidRPr="00EC6D6A">
        <w:t xml:space="preserve">Lipidil is indicated for the reduction in the progression of diabetic retinopathy in patients with type </w:t>
      </w:r>
      <w:proofErr w:type="gramStart"/>
      <w:r w:rsidRPr="00EC6D6A">
        <w:t>2 diabetes</w:t>
      </w:r>
      <w:proofErr w:type="gramEnd"/>
      <w:r w:rsidRPr="00EC6D6A">
        <w:t xml:space="preserve"> an</w:t>
      </w:r>
      <w:r w:rsidR="006D414F">
        <w:t>d existing diabetic retinopathy. Lipidil does not replace the</w:t>
      </w:r>
      <w:r w:rsidRPr="00EC6D6A">
        <w:t xml:space="preserve"> appropriate control of blood pressure</w:t>
      </w:r>
      <w:r w:rsidR="006D414F">
        <w:t>, blood glucose and blood lipids in reducing the progression of diabetic retinopathy</w:t>
      </w:r>
      <w:r w:rsidRPr="00EC6D6A">
        <w:t>.</w:t>
      </w:r>
    </w:p>
    <w:p w:rsidR="008B2E99" w:rsidRPr="00363E65" w:rsidRDefault="008B2E99">
      <w:pPr>
        <w:pStyle w:val="Heading1"/>
      </w:pPr>
      <w:r w:rsidRPr="00363E65">
        <w:t>CONTRAINDICATIONS</w:t>
      </w:r>
    </w:p>
    <w:p w:rsidR="008B2E99" w:rsidRPr="00967DB6" w:rsidRDefault="008B2E99">
      <w:r w:rsidRPr="00967DB6">
        <w:t xml:space="preserve">Lipidil is contra-indicated in: </w:t>
      </w:r>
    </w:p>
    <w:p w:rsidR="008B2E99" w:rsidRPr="00967DB6" w:rsidRDefault="008B2E99">
      <w:pPr>
        <w:pStyle w:val="CSBullet"/>
      </w:pPr>
      <w:r w:rsidRPr="00967DB6">
        <w:t>children</w:t>
      </w:r>
    </w:p>
    <w:p w:rsidR="008B2E99" w:rsidRDefault="008B2E99">
      <w:pPr>
        <w:pStyle w:val="CSBullet"/>
      </w:pPr>
      <w:r w:rsidRPr="00967DB6">
        <w:lastRenderedPageBreak/>
        <w:t>patients with liver</w:t>
      </w:r>
      <w:r w:rsidR="00DF0C15">
        <w:t xml:space="preserve"> dysfunction</w:t>
      </w:r>
      <w:r w:rsidRPr="00967DB6">
        <w:t xml:space="preserve">, including primary biliary cirrhosis and unexplained persistent liver function abnormality; </w:t>
      </w:r>
    </w:p>
    <w:p w:rsidR="00B23B6A" w:rsidRPr="00B96C5E" w:rsidRDefault="00B23B6A" w:rsidP="00B23B6A">
      <w:pPr>
        <w:pStyle w:val="CSBullet"/>
      </w:pPr>
      <w:r w:rsidRPr="00B96C5E">
        <w:t>patients with severe renal dysfunction</w:t>
      </w:r>
      <w:r w:rsidR="00DF0C15">
        <w:t>;</w:t>
      </w:r>
    </w:p>
    <w:p w:rsidR="008B2E99" w:rsidRPr="00967DB6" w:rsidRDefault="008B2E99">
      <w:pPr>
        <w:pStyle w:val="CSBullet"/>
      </w:pPr>
      <w:r w:rsidRPr="00967DB6">
        <w:t>patients with existing gallbladder disease;</w:t>
      </w:r>
    </w:p>
    <w:p w:rsidR="008B2E99" w:rsidRPr="00967DB6" w:rsidRDefault="008B2E99">
      <w:pPr>
        <w:pStyle w:val="CSBullet"/>
      </w:pPr>
      <w:r w:rsidRPr="00967DB6">
        <w:t>co-administration with another fibrate,</w:t>
      </w:r>
    </w:p>
    <w:p w:rsidR="008B2E99" w:rsidRPr="00967DB6" w:rsidRDefault="008B2E99">
      <w:pPr>
        <w:pStyle w:val="CSBullet"/>
      </w:pPr>
      <w:r w:rsidRPr="00967DB6">
        <w:t>patients hypersensitive to fenofibrate and in cases of known photoallergy or phototoxic reactions during treatment with fibrates or ketoprofen</w:t>
      </w:r>
    </w:p>
    <w:p w:rsidR="009F7472" w:rsidRPr="00967DB6" w:rsidRDefault="009F7472">
      <w:pPr>
        <w:pStyle w:val="CSBullet"/>
      </w:pPr>
      <w:proofErr w:type="gramStart"/>
      <w:r w:rsidRPr="00967DB6">
        <w:t>chronic</w:t>
      </w:r>
      <w:proofErr w:type="gramEnd"/>
      <w:r w:rsidRPr="00967DB6">
        <w:t xml:space="preserve"> or acute pancreatitis with the exception of acute pancreatitis due to severe hypertriglycerid</w:t>
      </w:r>
      <w:r w:rsidR="00711DD0" w:rsidRPr="00967DB6">
        <w:t>a</w:t>
      </w:r>
      <w:r w:rsidRPr="00967DB6">
        <w:t>emia.</w:t>
      </w:r>
    </w:p>
    <w:p w:rsidR="008B2E99" w:rsidRPr="00363E65" w:rsidRDefault="008B2E99">
      <w:pPr>
        <w:pStyle w:val="Heading1"/>
      </w:pPr>
      <w:r w:rsidRPr="00363E65">
        <w:t>PRECAUTIONS</w:t>
      </w:r>
    </w:p>
    <w:p w:rsidR="008B2E99" w:rsidRPr="00967DB6" w:rsidRDefault="008B2E99">
      <w:r w:rsidRPr="00B96C5E">
        <w:rPr>
          <w:u w:val="single"/>
        </w:rPr>
        <w:t>Initial therapy:</w:t>
      </w:r>
      <w:r w:rsidRPr="00967DB6">
        <w:t xml:space="preserve">  Laboratory analysis should be performed to ascertain that the lipid levels are consistently abnormal before instituting Lipidil therapy. Every attempt should be made to control serum lipids with appropriate diet, exercise, weight loss in obese patients, and control of any medical problems such as diabetes mellitus and hypothyroidism that are contributing to the lipid abnormalities. Medications known to exacerbate hypertriglyceridemia (beta-blockers, thiazides, </w:t>
      </w:r>
      <w:r w:rsidR="00CC0B5D">
        <w:t>o</w:t>
      </w:r>
      <w:r w:rsidRPr="00967DB6">
        <w:t>estrogens) should be discontinued or changed if possible prior to consideration of triglyceride-lowering drug therapy.</w:t>
      </w:r>
    </w:p>
    <w:p w:rsidR="008B2E99" w:rsidRPr="00967DB6" w:rsidRDefault="008B2E99">
      <w:r w:rsidRPr="00B96C5E">
        <w:rPr>
          <w:u w:val="single"/>
        </w:rPr>
        <w:t>Continued therapy:</w:t>
      </w:r>
      <w:r w:rsidRPr="00967DB6">
        <w:t xml:space="preserve">  Periodic determinations of serum lipids should be obtained during initial therapy in order to establish the lowest effective dose of Lipidil. If an adequate response has not been achieved after three months of treatment with the maximum recommended dose of one 145 mg tablet per day, complementary or different therapeutic measures should be considered.</w:t>
      </w:r>
    </w:p>
    <w:p w:rsidR="004B3641" w:rsidRPr="00967DB6" w:rsidRDefault="004B3641" w:rsidP="004B3641">
      <w:r w:rsidRPr="00B96C5E">
        <w:rPr>
          <w:rFonts w:cs="Arial"/>
          <w:u w:val="single"/>
        </w:rPr>
        <w:t>Mortality and Coronary Heart Disease Morbidity:</w:t>
      </w:r>
      <w:r w:rsidRPr="00B96C5E">
        <w:rPr>
          <w:rFonts w:cs="Arial"/>
        </w:rPr>
        <w:t xml:space="preserve"> </w:t>
      </w:r>
      <w:r w:rsidR="00E863EE" w:rsidRPr="00E863EE">
        <w:t>The effects of fenofibrate on coronary heart disease morbidity and mortality and non-cardiovascular mortality have not been established (see Clinical Tria</w:t>
      </w:r>
      <w:r w:rsidR="00830C2A" w:rsidRPr="00830C2A">
        <w:t xml:space="preserve">ls, FIELD and ACCORD studies). </w:t>
      </w:r>
      <w:r w:rsidR="00830C2A">
        <w:t xml:space="preserve"> </w:t>
      </w:r>
      <w:r w:rsidR="00C54C4B">
        <w:rPr>
          <w:rFonts w:cs="Arial"/>
        </w:rPr>
        <w:t>F</w:t>
      </w:r>
      <w:r w:rsidR="00F96009" w:rsidRPr="005407A5">
        <w:rPr>
          <w:rFonts w:cs="Arial"/>
        </w:rPr>
        <w:t xml:space="preserve">enofibrate </w:t>
      </w:r>
      <w:r w:rsidR="00872C49">
        <w:rPr>
          <w:rFonts w:cs="Arial"/>
        </w:rPr>
        <w:t>w</w:t>
      </w:r>
      <w:r w:rsidR="00F96009" w:rsidRPr="005407A5">
        <w:rPr>
          <w:rFonts w:cs="Arial"/>
        </w:rPr>
        <w:t xml:space="preserve">as </w:t>
      </w:r>
      <w:r w:rsidRPr="00B96C5E">
        <w:rPr>
          <w:rFonts w:cs="Arial"/>
        </w:rPr>
        <w:t xml:space="preserve">not shown to reduce coronary heart disease morbidity and mortality in patients with type 2 diabetes mellitus overall. </w:t>
      </w:r>
    </w:p>
    <w:p w:rsidR="008B2E99" w:rsidRDefault="008B2E99">
      <w:r w:rsidRPr="00B96C5E">
        <w:rPr>
          <w:u w:val="single"/>
        </w:rPr>
        <w:t>Renal impairment:</w:t>
      </w:r>
      <w:r w:rsidRPr="00967DB6">
        <w:t xml:space="preserve">  In renal dysfunction</w:t>
      </w:r>
      <w:r w:rsidR="00D1681B">
        <w:t xml:space="preserve"> (</w:t>
      </w:r>
      <w:r w:rsidR="00D1681B" w:rsidRPr="00996B74">
        <w:t>eGFR&lt;</w:t>
      </w:r>
      <w:r w:rsidR="00366AA2" w:rsidRPr="00996B74">
        <w:t>6</w:t>
      </w:r>
      <w:r w:rsidR="00D1681B" w:rsidRPr="00996B74">
        <w:t>0</w:t>
      </w:r>
      <w:r w:rsidR="00D1681B" w:rsidRPr="00B96C5E">
        <w:t xml:space="preserve"> mL/min/1.73 m</w:t>
      </w:r>
      <w:r w:rsidR="00D1681B" w:rsidRPr="00B96C5E">
        <w:rPr>
          <w:vertAlign w:val="superscript"/>
        </w:rPr>
        <w:t>3</w:t>
      </w:r>
      <w:r w:rsidR="00D1681B" w:rsidRPr="00996B74">
        <w:t xml:space="preserve"> or CrCl&lt;60</w:t>
      </w:r>
      <w:r w:rsidR="00D1681B" w:rsidRPr="00B96C5E">
        <w:t xml:space="preserve"> mL/min</w:t>
      </w:r>
      <w:r w:rsidR="00D1681B" w:rsidRPr="00996B74">
        <w:t>)</w:t>
      </w:r>
      <w:r w:rsidRPr="00967DB6">
        <w:t xml:space="preserve"> the dose of fenofibrate may need to be reduced (see </w:t>
      </w:r>
      <w:r w:rsidR="00967DB6">
        <w:t>’Dosage &amp; Administration’</w:t>
      </w:r>
      <w:r w:rsidRPr="00967DB6">
        <w:t>). This should also be considered in elderly patients with impaired renal function.</w:t>
      </w:r>
    </w:p>
    <w:p w:rsidR="009430FD" w:rsidRPr="00967DB6" w:rsidRDefault="009430FD">
      <w:r w:rsidRPr="00B96C5E">
        <w:rPr>
          <w:u w:val="single"/>
        </w:rPr>
        <w:t>Serum Creatinine:</w:t>
      </w:r>
      <w:r w:rsidRPr="00B96C5E">
        <w:t xml:space="preserve"> Elevations in serum creatinine have been reported in patients on fenofibrate. These elevations tend to return to baseline following discontinuation of fenofibrate. The clinical significance of these observations is unknown.</w:t>
      </w:r>
      <w:r w:rsidR="004B3641">
        <w:t xml:space="preserve"> </w:t>
      </w:r>
      <w:r w:rsidR="004B3641" w:rsidRPr="00996B74">
        <w:t>In the FIELD study, plasma creatinine remained on average 10-12 micromol/L higher on fenofibrate than in the placebo group from 4 months after randomisation until the end of the study</w:t>
      </w:r>
      <w:r w:rsidR="00446CF3" w:rsidRPr="00996B74">
        <w:t>.</w:t>
      </w:r>
      <w:r w:rsidRPr="00B96C5E">
        <w:t xml:space="preserve"> </w:t>
      </w:r>
      <w:r w:rsidR="00847BA2" w:rsidRPr="00B96C5E">
        <w:t>It is recommended that creatinine is measured during the first 3 months after initiation of treatment and thereafter periodically.</w:t>
      </w:r>
      <w:r w:rsidR="00847BA2">
        <w:rPr>
          <w:rFonts w:cs="Arial"/>
          <w:sz w:val="20"/>
        </w:rPr>
        <w:t xml:space="preserve"> </w:t>
      </w:r>
      <w:r w:rsidRPr="00B96C5E">
        <w:t>Monitoring of creatinine should also be considered for patients taking fenofibrate at risk for renal insufficiency such as the elderly and patients with diabetes.</w:t>
      </w:r>
      <w:r w:rsidRPr="009430FD">
        <w:t xml:space="preserve"> </w:t>
      </w:r>
      <w:r w:rsidRPr="00B96C5E">
        <w:t>Treatment should be interrupted in case of an increase in creatinine levels &gt; 50% of upper limit of normal).</w:t>
      </w:r>
    </w:p>
    <w:p w:rsidR="00986A59" w:rsidRPr="0030490B" w:rsidRDefault="00986A59" w:rsidP="00986A59">
      <w:pPr>
        <w:rPr>
          <w:highlight w:val="yellow"/>
        </w:rPr>
      </w:pPr>
      <w:r w:rsidRPr="00B96C5E">
        <w:rPr>
          <w:u w:val="single"/>
        </w:rPr>
        <w:t>Liver Function:</w:t>
      </w:r>
      <w:r w:rsidRPr="00967DB6">
        <w:t xml:space="preserve"> </w:t>
      </w:r>
      <w:r w:rsidR="00847BA2">
        <w:t>I</w:t>
      </w:r>
      <w:r w:rsidRPr="00967DB6">
        <w:t xml:space="preserve">ncreased </w:t>
      </w:r>
      <w:r w:rsidRPr="00996B74">
        <w:t>liver function test</w:t>
      </w:r>
      <w:r w:rsidRPr="00967DB6">
        <w:t xml:space="preserve"> </w:t>
      </w:r>
      <w:r w:rsidR="00F96009">
        <w:t xml:space="preserve">abnormalities </w:t>
      </w:r>
      <w:r w:rsidRPr="00967DB6">
        <w:t>have been observed during fenofibrate therapy (</w:t>
      </w:r>
      <w:r>
        <w:t>s</w:t>
      </w:r>
      <w:r w:rsidRPr="00967DB6">
        <w:t xml:space="preserve">ee </w:t>
      </w:r>
      <w:r>
        <w:t xml:space="preserve">‘Adverse Effects’). </w:t>
      </w:r>
      <w:r w:rsidRPr="00967DB6">
        <w:t xml:space="preserve">Clinically significant liver injury has been reported rarely. </w:t>
      </w:r>
      <w:r w:rsidRPr="00B96C5E">
        <w:t xml:space="preserve">Hepatocellular, chronic active and cholestatic hepatitis associated with fenofibrate therapy have been reported after exposures of weeks to several years. In extremely rare cases, cirrhosis has been reported in association with chronic active hepatitis. </w:t>
      </w:r>
      <w:r w:rsidRPr="00967DB6">
        <w:t>The incidence of liver function test abnormalities or hepatic injury when fenofibrate is administered in combination with other potentially hepatotoxic agents has not been studied.</w:t>
      </w:r>
    </w:p>
    <w:p w:rsidR="00986A59" w:rsidRPr="0030490B" w:rsidRDefault="00986A59" w:rsidP="00986A59">
      <w:pPr>
        <w:rPr>
          <w:lang w:val="en-US"/>
        </w:rPr>
      </w:pPr>
      <w:r w:rsidRPr="00B96C5E">
        <w:rPr>
          <w:u w:val="single"/>
        </w:rPr>
        <w:t>Transaminases:</w:t>
      </w:r>
      <w:r w:rsidRPr="00B96C5E">
        <w:t xml:space="preserve"> Fenofibrate at doses equivalent to 145 mg per day has been associated with increases in serum transaminases [AST (SGOT) or ALT (SGPT)]. </w:t>
      </w:r>
      <w:proofErr w:type="gramStart"/>
      <w:r w:rsidRPr="00B96C5E">
        <w:t>When transaminase determinations were followed either after discontinuation of treatment or during continued treatment, a return to normal limits was usually observed.</w:t>
      </w:r>
      <w:proofErr w:type="gramEnd"/>
      <w:r w:rsidRPr="00B96C5E">
        <w:t xml:space="preserve"> The incidence of increases in transaminases related to fenofibrate therapy appear</w:t>
      </w:r>
      <w:r w:rsidR="000E11D6">
        <w:t>s</w:t>
      </w:r>
      <w:r w:rsidRPr="00B96C5E">
        <w:t xml:space="preserve"> to be dose related. </w:t>
      </w:r>
      <w:r w:rsidR="00847BA2" w:rsidRPr="00B96C5E">
        <w:t xml:space="preserve">Baseline and ongoing monitoring (every 3 months during the first 12 months of treatment and thereafter periodically) of </w:t>
      </w:r>
      <w:r w:rsidR="00847BA2" w:rsidRPr="00B96C5E">
        <w:lastRenderedPageBreak/>
        <w:t>liver function should be performed for the duration of fenofibrate therapy.</w:t>
      </w:r>
      <w:r w:rsidR="00847BA2">
        <w:t xml:space="preserve"> </w:t>
      </w:r>
      <w:r w:rsidR="002F1879">
        <w:t>T</w:t>
      </w:r>
      <w:r w:rsidRPr="00B96C5E">
        <w:t xml:space="preserve">herapy should be discontinued if AST (SGOT) and ALT (SGPT) levels increase to more than 3 times the upper limit of the normal range. </w:t>
      </w:r>
      <w:r w:rsidR="00847BA2">
        <w:t>Also, if</w:t>
      </w:r>
      <w:r w:rsidR="00F96009">
        <w:t xml:space="preserve"> </w:t>
      </w:r>
      <w:r w:rsidRPr="00B96C5E">
        <w:t>symptoms indicative of hepatitis occur (e.g. jaundice, pruritus), and diagnosis is confirmed by laboratory testing, fenofibrate therapy should be discontinued.</w:t>
      </w:r>
    </w:p>
    <w:p w:rsidR="008B2E99" w:rsidRPr="00967DB6" w:rsidRDefault="008B2E99">
      <w:r w:rsidRPr="00B96C5E">
        <w:rPr>
          <w:u w:val="single"/>
        </w:rPr>
        <w:t>Cholelithiasis:</w:t>
      </w:r>
      <w:r w:rsidRPr="00967DB6">
        <w:t xml:space="preserve">  Fenofibrate, like clofibrate and gemfibrozil, may increase cholesterol excretion into the bile, leading to cholelithiasis. If cholelithiasis is suspected, gallbladder studies are indicated. Lipidil therapy should be discontinued if gallstones are found.</w:t>
      </w:r>
    </w:p>
    <w:p w:rsidR="008B2E99" w:rsidRDefault="008B2E99">
      <w:r w:rsidRPr="00BD4CF3">
        <w:rPr>
          <w:u w:val="single"/>
        </w:rPr>
        <w:t>Myopathy:</w:t>
      </w:r>
      <w:r w:rsidRPr="00967DB6">
        <w:t xml:space="preserve">  There have been reports of elevations (sometimes marked) of creatine phosphokinase (CPK), myositis and myopathy associated with fibrates as well as other systemically absorbed lipid modifying drugs. Rhabdomyolysis has also been reported rarely. Patients receiving fenofibrate and complaining of muscle pain, tenderness or weakness should have prompt medical evaluation for myositis, including serum creatinine level determination.  If myositis is suspected or if CPK rises to </w:t>
      </w:r>
      <w:r w:rsidRPr="00967DB6">
        <w:sym w:font="Symbol" w:char="F0B3"/>
      </w:r>
      <w:r w:rsidRPr="00967DB6">
        <w:t xml:space="preserve"> 5 times the upper limit of normal, fenofibrate therapy should be withdrawn. Patients with pre-disposing factors for myopathy and/or rhabdomyolysis, including age above 70 years old, personal or familial history of hereditary muscular disorders, renal impairment, hypoalbuminaemia, hypothyroidism and high alcohol intake, may be at an increased risk of developing rhabdomyolysis. For these patients, the putative benefits and risks of fenofibrate therapy should be carefully weighed up. The risk of serious muscle toxicity is increased if fenofibrate is used concomitantly with HMG-CoA reductase inhibitors or other fibrates</w:t>
      </w:r>
      <w:r w:rsidR="00967DB6">
        <w:t xml:space="preserve"> (see ‘Interactions with Other Medicines’).</w:t>
      </w:r>
    </w:p>
    <w:p w:rsidR="008B2E99" w:rsidRPr="00967DB6" w:rsidRDefault="008B2E99">
      <w:r w:rsidRPr="00B96C5E">
        <w:rPr>
          <w:u w:val="single"/>
        </w:rPr>
        <w:t>Pancreatitis:</w:t>
      </w:r>
      <w:r w:rsidRPr="00967DB6">
        <w:t xml:space="preserve">  Pancreatitis has been reported in patients taking fenofibrate, gemfibrozil, and clofibrate. This occurrence may represent a failure of efficacy in patients with severe hypertriglyceridemia, a direct drug effect, or a secondary phenomenon mediated through biliary tract stone or sludge formation with obstruction of the common bile duct</w:t>
      </w:r>
      <w:r w:rsidR="00A25557">
        <w:t xml:space="preserve"> (see ‘Adverse Effects’)</w:t>
      </w:r>
      <w:r w:rsidRPr="00967DB6">
        <w:t>.</w:t>
      </w:r>
    </w:p>
    <w:p w:rsidR="008B2E99" w:rsidRPr="00967DB6" w:rsidRDefault="008B2E99">
      <w:r w:rsidRPr="00B96C5E">
        <w:rPr>
          <w:u w:val="single"/>
        </w:rPr>
        <w:t>Oestrogens:</w:t>
      </w:r>
      <w:r w:rsidRPr="00967DB6">
        <w:t xml:space="preserve">  For hyperlipidaemic patients taking oestrogens or contraceptives containing estrogen it should be ascertained whether the hyperlipidaemia is of primary or secondary nature (possible elevation of lipid values caused by oral oestrogen).</w:t>
      </w:r>
    </w:p>
    <w:p w:rsidR="008B2E99" w:rsidRPr="00967DB6" w:rsidRDefault="008B2E99">
      <w:r w:rsidRPr="00967DB6">
        <w:t xml:space="preserve">Patients with rare hereditary problems of </w:t>
      </w:r>
      <w:r w:rsidR="00342D5E" w:rsidRPr="00967DB6">
        <w:t xml:space="preserve">fructose and </w:t>
      </w:r>
      <w:r w:rsidRPr="00967DB6">
        <w:t>galactose intolerance, the Lapp lactase deficiency or glucose-galactose malabsorption should not take this medicine.</w:t>
      </w:r>
    </w:p>
    <w:p w:rsidR="00C0175C" w:rsidRDefault="008B2E99">
      <w:r w:rsidRPr="00967DB6">
        <w:t>Lipidil should not be taken in patients allergic to lecithin or related products due to the risk of hypersensitivity reactions.</w:t>
      </w:r>
    </w:p>
    <w:p w:rsidR="002F1879" w:rsidRPr="00967DB6" w:rsidRDefault="002F1879" w:rsidP="002F1879">
      <w:r w:rsidRPr="00B96C5E">
        <w:rPr>
          <w:u w:val="single"/>
        </w:rPr>
        <w:t>Venothromboembolic Disease:</w:t>
      </w:r>
      <w:r>
        <w:t xml:space="preserve"> In the FIELD trial, pulmonary embolus (PE) and deep vein thrombosis (DVT) were observed at higher rates in the fenofibrate- than the placebo-treated group. Of 9,795 patients enrolled in FIELD, there were 4,900 in the placebo group and 4,895 in the fenofibrate group. For DVT, there were 48 events (1%) in the placebo group and 67 (1</w:t>
      </w:r>
      <w:r w:rsidR="00830C2A">
        <w:t>.4</w:t>
      </w:r>
      <w:r>
        <w:t>%) in the fenofibrate group (p = 0.074); and for PE, there were 32 (0.7%) events in the placebo group and 53 (1</w:t>
      </w:r>
      <w:r w:rsidR="00830C2A">
        <w:t>.1</w:t>
      </w:r>
      <w:r>
        <w:t>%) in the fenofibrate group (p = 0.022).</w:t>
      </w:r>
    </w:p>
    <w:p w:rsidR="00967DB6" w:rsidRPr="00967DB6" w:rsidRDefault="00967DB6" w:rsidP="00967DB6">
      <w:pPr>
        <w:pStyle w:val="Heading2"/>
        <w:spacing w:before="120" w:after="120"/>
      </w:pPr>
      <w:r w:rsidRPr="00967DB6">
        <w:t>Effects on Fertility</w:t>
      </w:r>
    </w:p>
    <w:p w:rsidR="00967DB6" w:rsidRPr="00967DB6" w:rsidRDefault="00967DB6" w:rsidP="00967DB6">
      <w:r w:rsidRPr="00967DB6">
        <w:t>Fertility was not affected in rats at oral doses up to 300</w:t>
      </w:r>
      <w:r>
        <w:t xml:space="preserve"> </w:t>
      </w:r>
      <w:r w:rsidRPr="00967DB6">
        <w:t>mg/kg/day.  Based on AUC after single PO dose in rats, the exposure at 300</w:t>
      </w:r>
      <w:r>
        <w:t xml:space="preserve"> </w:t>
      </w:r>
      <w:r w:rsidRPr="00967DB6">
        <w:t>mg/kg/day is approximately 16x the clinical exposure at steady state.</w:t>
      </w:r>
    </w:p>
    <w:p w:rsidR="00967DB6" w:rsidRPr="00967DB6" w:rsidRDefault="008B2E99" w:rsidP="00967DB6">
      <w:pPr>
        <w:pStyle w:val="Heading2"/>
        <w:spacing w:before="120" w:after="120"/>
      </w:pPr>
      <w:r w:rsidRPr="00967DB6">
        <w:t>Use in Pregnancy</w:t>
      </w:r>
    </w:p>
    <w:p w:rsidR="008B2E99" w:rsidRPr="00967DB6" w:rsidRDefault="008B2E99" w:rsidP="00967DB6">
      <w:pPr>
        <w:pStyle w:val="Heading2"/>
      </w:pPr>
      <w:r w:rsidRPr="00967DB6">
        <w:t>Category B3</w:t>
      </w:r>
    </w:p>
    <w:p w:rsidR="008B2E99" w:rsidRPr="00967DB6" w:rsidRDefault="008B2E99">
      <w:r w:rsidRPr="00967DB6">
        <w:t>There are no adequate and well-controlled studies in pregnant women.  Embryofetal toxicity was observed in animals (see below).  It is recommended that fenofibrate should not be administered to pregnant women.</w:t>
      </w:r>
    </w:p>
    <w:p w:rsidR="008B2E99" w:rsidRPr="00967DB6" w:rsidRDefault="008B2E99">
      <w:r w:rsidRPr="00967DB6">
        <w:t>In rats, fenofibrate treatment during organogenesis (gestation days 6-15) caused an increase in fetal abnormalities (domed head, rounded body, hunched shoulders, supernumerary ribs and misshapen vertebrae) at 300</w:t>
      </w:r>
      <w:r w:rsidR="00967DB6">
        <w:t xml:space="preserve"> </w:t>
      </w:r>
      <w:r w:rsidRPr="00967DB6">
        <w:t>mg/kg/day and stunting at 150 and 300</w:t>
      </w:r>
      <w:r w:rsidR="00967DB6">
        <w:t xml:space="preserve"> </w:t>
      </w:r>
      <w:r w:rsidRPr="00967DB6">
        <w:t>mg/kg/day (approximately 10x and 16x the clinical exposure based on AUC, respectively).  When administered to rats during gestation and lactation, fenofibrate prolonged gestation, increased stillbirths and reduced birth weight, pup weight gain and survival at 300</w:t>
      </w:r>
      <w:r w:rsidR="00967DB6">
        <w:t xml:space="preserve"> </w:t>
      </w:r>
      <w:r w:rsidRPr="00967DB6">
        <w:t xml:space="preserve">mg/kg/day PO, and decreased birth weight, pup </w:t>
      </w:r>
      <w:r w:rsidRPr="00967DB6">
        <w:lastRenderedPageBreak/>
        <w:t>survival and pup weight gain at 75</w:t>
      </w:r>
      <w:r w:rsidR="00967DB6">
        <w:t xml:space="preserve"> </w:t>
      </w:r>
      <w:r w:rsidRPr="00967DB6">
        <w:t>mg/kg/day PO (approximately 6x the clinical exposure based on AUC).  The above findings were associated with maternal toxicity (decreased body weight gain).</w:t>
      </w:r>
      <w:r w:rsidR="00967DB6">
        <w:t xml:space="preserve"> </w:t>
      </w:r>
      <w:r w:rsidRPr="00967DB6">
        <w:t>In rabbits, fenofibrate caused abortion at 150 and 300</w:t>
      </w:r>
      <w:r w:rsidR="00967DB6">
        <w:t xml:space="preserve"> </w:t>
      </w:r>
      <w:r w:rsidRPr="00967DB6">
        <w:t>mg/kg/day and increased fetal deaths at 300mg/kg/day, associated with maternal body weight loss at 300</w:t>
      </w:r>
      <w:r w:rsidR="00967DB6">
        <w:t xml:space="preserve"> </w:t>
      </w:r>
      <w:r w:rsidRPr="00967DB6">
        <w:t>mg/kg/day (not at 150</w:t>
      </w:r>
      <w:r w:rsidR="00967DB6">
        <w:t xml:space="preserve"> </w:t>
      </w:r>
      <w:r w:rsidRPr="00967DB6">
        <w:t>mg/kg/day).  The oral doses of 150 and 300</w:t>
      </w:r>
      <w:r w:rsidR="00CA49DE">
        <w:t xml:space="preserve"> </w:t>
      </w:r>
      <w:r w:rsidRPr="00967DB6">
        <w:t>mg/kg/day in rabbits were 12.5x and 25x the MRCD, based on BSA.</w:t>
      </w:r>
    </w:p>
    <w:p w:rsidR="008B2E99" w:rsidRPr="00967DB6" w:rsidRDefault="008B2E99" w:rsidP="00967DB6">
      <w:pPr>
        <w:pStyle w:val="Heading2"/>
        <w:spacing w:before="120" w:after="120"/>
      </w:pPr>
      <w:r w:rsidRPr="00967DB6">
        <w:t>Use in Lactation</w:t>
      </w:r>
    </w:p>
    <w:p w:rsidR="008B2E99" w:rsidRPr="00967DB6" w:rsidRDefault="008B2E99">
      <w:r w:rsidRPr="00967DB6">
        <w:t>It is not known whether fenofibrate is excreted into human milk.  Fenofibrate should not be administrated to breastfeeding women.</w:t>
      </w:r>
    </w:p>
    <w:p w:rsidR="008B2E99" w:rsidRPr="00967DB6" w:rsidRDefault="008B2E99">
      <w:r w:rsidRPr="00967DB6">
        <w:t xml:space="preserve">As described above in the </w:t>
      </w:r>
      <w:r w:rsidR="00967DB6" w:rsidRPr="00967DB6">
        <w:t>‘</w:t>
      </w:r>
      <w:r w:rsidRPr="00967DB6">
        <w:rPr>
          <w:bCs/>
          <w:iCs/>
        </w:rPr>
        <w:t>Use in Pregnancy</w:t>
      </w:r>
      <w:r w:rsidR="00967DB6" w:rsidRPr="00967DB6">
        <w:rPr>
          <w:bCs/>
          <w:iCs/>
        </w:rPr>
        <w:t>’</w:t>
      </w:r>
      <w:r w:rsidRPr="00967DB6">
        <w:rPr>
          <w:i/>
          <w:iCs/>
        </w:rPr>
        <w:t xml:space="preserve"> </w:t>
      </w:r>
      <w:r w:rsidRPr="00967DB6">
        <w:t>section, fenofibrate treatment during gestation and lactation in rats at oral doses of 75 and 300</w:t>
      </w:r>
      <w:r w:rsidR="00967DB6">
        <w:t xml:space="preserve"> </w:t>
      </w:r>
      <w:r w:rsidRPr="00967DB6">
        <w:t>mg/kg/day decreased pup survival and pup weight gain.</w:t>
      </w:r>
    </w:p>
    <w:p w:rsidR="00967DB6" w:rsidRPr="00967DB6" w:rsidRDefault="00967DB6" w:rsidP="00967DB6">
      <w:pPr>
        <w:pStyle w:val="Heading2"/>
        <w:spacing w:before="120" w:after="120"/>
      </w:pPr>
      <w:r w:rsidRPr="00967DB6">
        <w:t>Carcinogenicity</w:t>
      </w:r>
    </w:p>
    <w:p w:rsidR="00967DB6" w:rsidRPr="00967DB6" w:rsidRDefault="00967DB6" w:rsidP="00967DB6">
      <w:r w:rsidRPr="00967DB6">
        <w:t>The carcinogenic potential of fenofibrate was investigated in mice and rats.  In two carcinogenicity studies in rats at dietary doses of 10, 45 and 200</w:t>
      </w:r>
      <w:r>
        <w:t xml:space="preserve"> </w:t>
      </w:r>
      <w:r w:rsidRPr="00967DB6">
        <w:t>mg/kg/day (24-month study) or 10 and 60</w:t>
      </w:r>
      <w:r>
        <w:t xml:space="preserve"> </w:t>
      </w:r>
      <w:r w:rsidRPr="00967DB6">
        <w:t xml:space="preserve">mg/kg/day (27-month study), the incidence of liver carcinomas and/or adenomas was increased at </w:t>
      </w:r>
      <w:r w:rsidRPr="00967DB6">
        <w:sym w:font="Symbol" w:char="F0B3"/>
      </w:r>
      <w:r w:rsidRPr="00967DB6">
        <w:t>45</w:t>
      </w:r>
      <w:r>
        <w:t xml:space="preserve"> </w:t>
      </w:r>
      <w:r w:rsidRPr="00967DB6">
        <w:t>mg/kg/day (</w:t>
      </w:r>
      <w:r w:rsidRPr="00967DB6">
        <w:sym w:font="Symbol" w:char="F0B3"/>
      </w:r>
      <w:r w:rsidRPr="00967DB6">
        <w:t xml:space="preserve">4x the clinical exposure, based on AUC) in the 24-month study. Increased incidence of pancreatic acinar cell tumours (carcinomas and/or adenomas) occurred in males in both studies at </w:t>
      </w:r>
      <w:r w:rsidRPr="00967DB6">
        <w:sym w:font="Symbol" w:char="F0B3"/>
      </w:r>
      <w:r w:rsidRPr="00967DB6">
        <w:t>45</w:t>
      </w:r>
      <w:r>
        <w:t xml:space="preserve"> </w:t>
      </w:r>
      <w:r w:rsidRPr="00967DB6">
        <w:t xml:space="preserve">mg/kg/day and increased testicular Leydig cell tumours in both studies at </w:t>
      </w:r>
      <w:r w:rsidRPr="00967DB6">
        <w:sym w:font="Symbol" w:char="F0B3"/>
      </w:r>
      <w:r w:rsidRPr="00967DB6">
        <w:t>60</w:t>
      </w:r>
      <w:r w:rsidR="00CA49DE">
        <w:t xml:space="preserve"> </w:t>
      </w:r>
      <w:r w:rsidRPr="00967DB6">
        <w:t>mg/kg/day (</w:t>
      </w:r>
      <w:r w:rsidRPr="00967DB6">
        <w:sym w:font="Symbol" w:char="F0B3"/>
      </w:r>
      <w:r w:rsidRPr="00967DB6">
        <w:t>5x the clinical exposure, based on AUC).  In two mouse studies at fenofibrate doses 10, 45 and 200</w:t>
      </w:r>
      <w:r>
        <w:t xml:space="preserve"> </w:t>
      </w:r>
      <w:r w:rsidRPr="00967DB6">
        <w:t>mg/kg/day (18-month study) or 10, 60 and 200</w:t>
      </w:r>
      <w:r>
        <w:t xml:space="preserve"> </w:t>
      </w:r>
      <w:r w:rsidRPr="00967DB6">
        <w:t xml:space="preserve">mg/kg/day (21-month study), the incidence of liver tumours (hepatocellular adenomas and/or carcinomas) was increased in the 18-month study at all doses (0.2x to 4.5x the maximum recommended clinical dose (MRCD) adjusted for body surface area (BSA)), and in the 21-month study at </w:t>
      </w:r>
      <w:r w:rsidRPr="00967DB6">
        <w:sym w:font="Symbol" w:char="F0B3"/>
      </w:r>
      <w:r w:rsidRPr="00967DB6">
        <w:t>60</w:t>
      </w:r>
      <w:r>
        <w:t xml:space="preserve"> </w:t>
      </w:r>
      <w:r w:rsidRPr="00967DB6">
        <w:t>mg/kg/day (1.4x the MRCD adjusted for BSA). Electron microscopy studies have demonstrated peroxisomal proliferation following fenofibrate administration to the rat.  These changes are specific to small rodents and have not been observed in other animal species. This is of no relevance to therapeutic use in man.</w:t>
      </w:r>
    </w:p>
    <w:p w:rsidR="00967DB6" w:rsidRPr="00967DB6" w:rsidRDefault="00967DB6" w:rsidP="00967DB6">
      <w:pPr>
        <w:pStyle w:val="Heading2"/>
        <w:spacing w:before="120" w:after="120"/>
      </w:pPr>
      <w:r w:rsidRPr="00967DB6">
        <w:t>Genotoxicity</w:t>
      </w:r>
    </w:p>
    <w:p w:rsidR="00967DB6" w:rsidRPr="00967DB6" w:rsidRDefault="00967DB6" w:rsidP="00967DB6">
      <w:r w:rsidRPr="00967DB6">
        <w:t xml:space="preserve">Fenofibrate did not induce gene mutation in bacteria or mouse lymphoma cells </w:t>
      </w:r>
      <w:r w:rsidRPr="00967DB6">
        <w:rPr>
          <w:i/>
          <w:iCs/>
        </w:rPr>
        <w:t>in vitro</w:t>
      </w:r>
      <w:r w:rsidRPr="00967DB6">
        <w:t xml:space="preserve">, or chromosome aberration in CHO cells </w:t>
      </w:r>
      <w:r w:rsidRPr="00967DB6">
        <w:rPr>
          <w:i/>
          <w:iCs/>
        </w:rPr>
        <w:t xml:space="preserve">in vitro </w:t>
      </w:r>
      <w:r w:rsidRPr="00967DB6">
        <w:t xml:space="preserve">or rat bone marrow cells </w:t>
      </w:r>
      <w:r w:rsidRPr="00967DB6">
        <w:rPr>
          <w:i/>
          <w:iCs/>
        </w:rPr>
        <w:t>in vivo</w:t>
      </w:r>
      <w:r w:rsidRPr="00967DB6">
        <w:t xml:space="preserve">.  Nor did it cause DNA damage in rat hepatocytes </w:t>
      </w:r>
      <w:r w:rsidRPr="00967DB6">
        <w:rPr>
          <w:i/>
          <w:iCs/>
        </w:rPr>
        <w:t>in vitro.</w:t>
      </w:r>
    </w:p>
    <w:p w:rsidR="008B2E99" w:rsidRPr="00967DB6" w:rsidRDefault="008B2E99" w:rsidP="00967DB6">
      <w:pPr>
        <w:pStyle w:val="Heading2"/>
        <w:spacing w:before="120" w:after="120"/>
      </w:pPr>
      <w:r w:rsidRPr="00967DB6">
        <w:t xml:space="preserve">Interactions with Other </w:t>
      </w:r>
      <w:r w:rsidR="00967DB6" w:rsidRPr="00967DB6">
        <w:t>Medicines</w:t>
      </w:r>
    </w:p>
    <w:p w:rsidR="00F26B0D" w:rsidRDefault="008B2E99" w:rsidP="00343301">
      <w:pPr>
        <w:pStyle w:val="Heading3"/>
        <w:spacing w:before="120" w:after="120"/>
      </w:pPr>
      <w:r w:rsidRPr="00967DB6">
        <w:t>Oral Anti-coagulants</w:t>
      </w:r>
    </w:p>
    <w:p w:rsidR="008B2E99" w:rsidRPr="00967DB6" w:rsidRDefault="008B2E99">
      <w:r w:rsidRPr="00967DB6">
        <w:t>Fenofibrate enhances oral anticoagulant effect and may increase risk of bleeding. It is recommended that the dose of anticoagulants is reduced by about one third at the start of treatment and then gradually adjusted if necessary according to INR (International Normalised Ratio) monitoring</w:t>
      </w:r>
      <w:r w:rsidRPr="00967DB6">
        <w:rPr>
          <w:u w:val="single"/>
        </w:rPr>
        <w:t>.</w:t>
      </w:r>
    </w:p>
    <w:p w:rsidR="00F26B0D" w:rsidRDefault="008B2E99" w:rsidP="00343301">
      <w:pPr>
        <w:pStyle w:val="Heading3"/>
        <w:spacing w:before="120" w:after="120"/>
      </w:pPr>
      <w:r w:rsidRPr="00967DB6">
        <w:t>HMG-CoA Reductase Inhibitors</w:t>
      </w:r>
    </w:p>
    <w:p w:rsidR="008B2E99" w:rsidRPr="00F26B0D" w:rsidRDefault="008B2E99">
      <w:pPr>
        <w:rPr>
          <w:szCs w:val="18"/>
        </w:rPr>
      </w:pPr>
      <w:r w:rsidRPr="00967DB6">
        <w:t>There have been reports of severe myositis and myoglobinuria (rhabdomyolysis) when fenofibrate and HMG-CoA reductase inhibitors were used concurrently.  The risk of serious muscle toxicity is increased if fenofibrate is used concomitantly with HMG-CoA reductase inhibitors. This reaction may occur at any point throughout therapy.</w:t>
      </w:r>
      <w:r w:rsidR="00F26B0D">
        <w:t xml:space="preserve"> </w:t>
      </w:r>
      <w:r w:rsidRPr="00967DB6">
        <w:t>Such combination therapy should be used with caution in patients with severe combined dyslipidemia and high cardiovascular risk without any history of muscular disease and patients monitored closely for chronic signs of muscle toxicity although toxicity may occur even in the presence of such monitoring.</w:t>
      </w:r>
      <w:r w:rsidR="00F26B0D">
        <w:rPr>
          <w:szCs w:val="18"/>
        </w:rPr>
        <w:t xml:space="preserve"> </w:t>
      </w:r>
      <w:r w:rsidRPr="00967DB6">
        <w:rPr>
          <w:szCs w:val="18"/>
        </w:rPr>
        <w:t>However, data from fenofibrate-</w:t>
      </w:r>
      <w:r w:rsidRPr="00967DB6">
        <w:t xml:space="preserve"> HMG-CoA Reductase Inhibitors</w:t>
      </w:r>
      <w:r w:rsidRPr="00967DB6">
        <w:rPr>
          <w:szCs w:val="18"/>
        </w:rPr>
        <w:t xml:space="preserve"> interaction studies have shown that, contrary to gemfibrozil, the co-administration of fenofibrate with pravastatin, atorvastatin and simvastatin is associated with moderate pharmacokinetic interactions. </w:t>
      </w:r>
    </w:p>
    <w:p w:rsidR="008B2E99" w:rsidRPr="00967DB6" w:rsidRDefault="008B2E99" w:rsidP="00F26B0D">
      <w:pPr>
        <w:pStyle w:val="texte20"/>
        <w:spacing w:before="120" w:after="80" w:line="240" w:lineRule="auto"/>
        <w:ind w:left="0"/>
        <w:rPr>
          <w:rFonts w:ascii="Arial" w:hAnsi="Arial"/>
          <w:sz w:val="22"/>
          <w:lang w:val="en-AU"/>
        </w:rPr>
      </w:pPr>
      <w:r w:rsidRPr="00967DB6">
        <w:rPr>
          <w:rFonts w:ascii="Arial" w:hAnsi="Arial"/>
          <w:sz w:val="22"/>
          <w:lang w:val="en-AU"/>
        </w:rPr>
        <w:lastRenderedPageBreak/>
        <w:t xml:space="preserve">- </w:t>
      </w:r>
      <w:r w:rsidRPr="00B96C5E">
        <w:rPr>
          <w:rFonts w:ascii="Arial" w:hAnsi="Arial"/>
          <w:sz w:val="22"/>
          <w:u w:val="single"/>
          <w:lang w:val="en-AU"/>
        </w:rPr>
        <w:t>Pravastatin:</w:t>
      </w:r>
      <w:r w:rsidRPr="00967DB6">
        <w:rPr>
          <w:rFonts w:ascii="Arial" w:hAnsi="Arial"/>
          <w:sz w:val="22"/>
          <w:lang w:val="en-AU"/>
        </w:rPr>
        <w:t xml:space="preserve"> concomitant administration of fenofibrate (dose equivalent to Lipidil 145 mg tablet once daily over 10 days) and pravastatin (40 mg once daily for 15 days) resulted in an increase of the mean AUC and Cmax for pravastatin by 27 and 36%, respectively and its metabolite 3-hydroxy-iso-pravastatin (which activity represents only 2</w:t>
      </w:r>
      <w:proofErr w:type="gramStart"/>
      <w:r w:rsidRPr="00967DB6">
        <w:rPr>
          <w:rFonts w:ascii="Arial" w:hAnsi="Arial"/>
          <w:sz w:val="22"/>
          <w:lang w:val="en-AU"/>
        </w:rPr>
        <w:t>,5</w:t>
      </w:r>
      <w:proofErr w:type="gramEnd"/>
      <w:r w:rsidRPr="00967DB6">
        <w:rPr>
          <w:rFonts w:ascii="Arial" w:hAnsi="Arial"/>
          <w:sz w:val="22"/>
          <w:lang w:val="en-AU"/>
        </w:rPr>
        <w:t xml:space="preserve"> to 10% of the activity of pravastatin) by 39 and 55%, respectively. The clinical significance of this finding has not been studied. A previous single dose study showed that pravastatin had no effect on the pharmacokinetics of fenofibric acid.</w:t>
      </w:r>
    </w:p>
    <w:p w:rsidR="008B2E99" w:rsidRPr="00967DB6" w:rsidRDefault="008B2E99" w:rsidP="008A2657">
      <w:pPr>
        <w:pStyle w:val="texte20"/>
        <w:spacing w:before="120" w:after="80" w:line="240" w:lineRule="auto"/>
        <w:ind w:left="0"/>
        <w:rPr>
          <w:rFonts w:ascii="Arial" w:hAnsi="Arial"/>
          <w:sz w:val="22"/>
          <w:lang w:val="en-AU"/>
        </w:rPr>
      </w:pPr>
      <w:r w:rsidRPr="00967DB6">
        <w:rPr>
          <w:rFonts w:ascii="Arial" w:hAnsi="Arial"/>
          <w:sz w:val="22"/>
          <w:lang w:val="en-AU"/>
        </w:rPr>
        <w:t xml:space="preserve">- </w:t>
      </w:r>
      <w:r w:rsidRPr="00B96C5E">
        <w:rPr>
          <w:rFonts w:ascii="Arial" w:hAnsi="Arial"/>
          <w:sz w:val="22"/>
          <w:u w:val="single"/>
          <w:lang w:val="en-AU"/>
        </w:rPr>
        <w:t>Atorvastatin</w:t>
      </w:r>
      <w:r w:rsidRPr="00967DB6">
        <w:rPr>
          <w:rFonts w:ascii="Arial" w:hAnsi="Arial"/>
          <w:sz w:val="22"/>
          <w:lang w:val="en-AU"/>
        </w:rPr>
        <w:t xml:space="preserve">: concomitant administration over 10 days of fenofibrate (dose equivalent to </w:t>
      </w:r>
      <w:proofErr w:type="gramStart"/>
      <w:r w:rsidRPr="00967DB6">
        <w:rPr>
          <w:rFonts w:ascii="Arial" w:hAnsi="Arial"/>
          <w:sz w:val="22"/>
          <w:lang w:val="en-AU"/>
        </w:rPr>
        <w:t>Lipidil  145</w:t>
      </w:r>
      <w:proofErr w:type="gramEnd"/>
      <w:r w:rsidRPr="00967DB6">
        <w:rPr>
          <w:rFonts w:ascii="Arial" w:hAnsi="Arial"/>
          <w:sz w:val="22"/>
          <w:lang w:val="en-AU"/>
        </w:rPr>
        <w:t xml:space="preserve"> mg tablet once daily) and atorvastatin (20 mg once daily)  resulted in a slight decrease in the mean atorvastatin AUC (14%). Atorvastatin Cmax was not affected by fenofibrate. The pharmacokinetics of fenofibric acid was not significantly modified by atorvastatin (-3% and 4% for AUC and Cmax, respectively). </w:t>
      </w:r>
    </w:p>
    <w:p w:rsidR="008B2E99" w:rsidRPr="00967DB6" w:rsidRDefault="008B2E99">
      <w:pPr>
        <w:autoSpaceDE w:val="0"/>
        <w:autoSpaceDN w:val="0"/>
        <w:adjustRightInd w:val="0"/>
        <w:spacing w:line="240" w:lineRule="atLeast"/>
        <w:ind w:left="23"/>
      </w:pPr>
      <w:r w:rsidRPr="00967DB6">
        <w:t xml:space="preserve">- </w:t>
      </w:r>
      <w:r w:rsidRPr="00B96C5E">
        <w:rPr>
          <w:u w:val="single"/>
        </w:rPr>
        <w:t>Simvastatin:</w:t>
      </w:r>
      <w:r w:rsidRPr="00967DB6">
        <w:t xml:space="preserve"> concomitant administration of fenofibrate (160 mg tablet once daily for 10 days) and simvastatin (single dose of 40 mg taken simultaneously with the last dose of fenofibrate) resulted in no significant change in simvastatin AUC (-8%), but in significant decrease in simvastatin acid AUC (-42%) the main active metabolite. However, recently published data, while showing similar PK results, provide data on HMG CoA reductase inhibition, and show that despite the significant reduction in exposure to simvastatin acid, the pharmacological activity of simvastatin measured by active HMGCoA reductase </w:t>
      </w:r>
      <w:proofErr w:type="gramStart"/>
      <w:r w:rsidRPr="00967DB6">
        <w:t>inhibitors,</w:t>
      </w:r>
      <w:proofErr w:type="gramEnd"/>
      <w:r w:rsidRPr="00967DB6">
        <w:t xml:space="preserve"> is not significantly impacted by concomitant treatment with fenofibrate. No significant effect was observed on Cmax. The pharmacokinetics of fenofibric acid was not significantly modified by simvastatin (+14% for Cmin).</w:t>
      </w:r>
    </w:p>
    <w:p w:rsidR="008B2E99" w:rsidRPr="00967DB6" w:rsidRDefault="008B2E99">
      <w:r w:rsidRPr="00967DB6">
        <w:t>Patients receiving fenofibrate and complaining of muscle pain, tenderness or weakness should have prompt medical evaluation for myositis, including serum creatinine level determination.  If myositis is suspected or diagnosed, fenofibrate therapy should be withdrawn.</w:t>
      </w:r>
    </w:p>
    <w:p w:rsidR="00363E65" w:rsidRDefault="008B2E99" w:rsidP="00343301">
      <w:pPr>
        <w:pStyle w:val="Heading3"/>
        <w:spacing w:before="120" w:after="120"/>
      </w:pPr>
      <w:r w:rsidRPr="00967DB6">
        <w:t xml:space="preserve">Fibrates </w:t>
      </w:r>
    </w:p>
    <w:p w:rsidR="008B2E99" w:rsidRPr="00967DB6" w:rsidRDefault="008B2E99">
      <w:r w:rsidRPr="00967DB6">
        <w:t>The risk of serious toxicity is increased if fibrates are used concomitantly.  Such combination therapy is contraindicated (see Contraindications).</w:t>
      </w:r>
    </w:p>
    <w:p w:rsidR="00363E65" w:rsidRDefault="008B2E99" w:rsidP="00343301">
      <w:pPr>
        <w:pStyle w:val="Heading3"/>
        <w:spacing w:before="120" w:after="120"/>
      </w:pPr>
      <w:r w:rsidRPr="00967DB6">
        <w:t xml:space="preserve">Cyclosporin  </w:t>
      </w:r>
    </w:p>
    <w:p w:rsidR="008B2E99" w:rsidRPr="00967DB6" w:rsidRDefault="008B2E99">
      <w:r w:rsidRPr="00967DB6">
        <w:t xml:space="preserve">Some severe cases of reversible renal function impairment have been reported during concomitant administration of fenofibrate and cyclosporin. The renal function of these patients must therefore be closely monitored and treatment with fenofibrate stopped in the case of a severe alteration of laboratory parameters. </w:t>
      </w:r>
    </w:p>
    <w:p w:rsidR="00363E65" w:rsidRDefault="008B2E99" w:rsidP="00343301">
      <w:pPr>
        <w:pStyle w:val="Heading3"/>
        <w:spacing w:before="120" w:after="120"/>
      </w:pPr>
      <w:r w:rsidRPr="00967DB6">
        <w:t>Other concomitant therapy</w:t>
      </w:r>
    </w:p>
    <w:p w:rsidR="008B2E99" w:rsidRPr="00967DB6" w:rsidRDefault="008B2E99">
      <w:r w:rsidRPr="00967DB6">
        <w:t xml:space="preserve">The potential for fenofibrate/fenofibric acid to affect the metabolism of other drugs has not been fully investigated </w:t>
      </w:r>
      <w:r w:rsidRPr="00967DB6">
        <w:rPr>
          <w:i/>
          <w:iCs/>
        </w:rPr>
        <w:t>in vitro</w:t>
      </w:r>
      <w:r w:rsidRPr="00967DB6">
        <w:t xml:space="preserve"> or </w:t>
      </w:r>
      <w:r w:rsidRPr="00967DB6">
        <w:rPr>
          <w:i/>
          <w:iCs/>
        </w:rPr>
        <w:t>in vivo</w:t>
      </w:r>
      <w:r w:rsidRPr="00967DB6">
        <w:t>. Interactions cannot be predicted, and therefore, caution is therefore recommended if fenofibrate is combined with other drugs.</w:t>
      </w:r>
      <w:r w:rsidR="00CA49DE">
        <w:rPr>
          <w:i/>
          <w:iCs/>
        </w:rPr>
        <w:t xml:space="preserve"> </w:t>
      </w:r>
      <w:r w:rsidRPr="00967DB6">
        <w:rPr>
          <w:i/>
          <w:iCs/>
        </w:rPr>
        <w:t>In vitro</w:t>
      </w:r>
      <w:r w:rsidRPr="00967DB6">
        <w:t xml:space="preserve"> studies using human liver microsomes indicate that fenofibrate and fenofibric acid are not inhibitors of cytochrome (CYP) P450 isoforms CYP3A4, CYP2D6, CYP2E1, or CYP1A2 dependent metabolism, weakly inhibits CYP2C19 and CYP2A6 dependent metabolism, and exhibits a mild-to-moderate inhibition of CYP2C9 dependent metabolism at therapeutic concentrations. </w:t>
      </w:r>
      <w:r w:rsidR="00CA49DE">
        <w:rPr>
          <w:i/>
          <w:iCs/>
        </w:rPr>
        <w:t xml:space="preserve"> </w:t>
      </w:r>
      <w:r w:rsidRPr="00967DB6">
        <w:rPr>
          <w:i/>
          <w:iCs/>
        </w:rPr>
        <w:t>In vitro</w:t>
      </w:r>
      <w:r w:rsidRPr="00967DB6">
        <w:t xml:space="preserve"> interaction studies suggest displacement of phenylbutazone from plasma protein binding sites.</w:t>
      </w:r>
    </w:p>
    <w:p w:rsidR="008B2E99" w:rsidRPr="00363E65" w:rsidRDefault="008B2E99">
      <w:pPr>
        <w:pStyle w:val="Heading1"/>
      </w:pPr>
      <w:r w:rsidRPr="00363E65">
        <w:t xml:space="preserve">ADVERSE </w:t>
      </w:r>
      <w:r w:rsidR="00CA49DE">
        <w:t>EFFECTS</w:t>
      </w:r>
    </w:p>
    <w:p w:rsidR="008B2E99" w:rsidRPr="00363E65" w:rsidRDefault="008B2E99" w:rsidP="00363E65">
      <w:r w:rsidRPr="00363E65">
        <w:t>The frequencies of adverse events are ranked according to the following: Very common (&gt;1/10); common (&gt;1/100, &lt;1/10); uncommon (&gt;1/1,000, &lt;1/100); rare (&gt;1/10,000, &lt;1/1,000); very rare (&lt;1/10,000), including isolated reports.</w:t>
      </w:r>
    </w:p>
    <w:p w:rsidR="008B2E99" w:rsidRPr="00343301" w:rsidRDefault="008B2E99" w:rsidP="00343301">
      <w:pPr>
        <w:pStyle w:val="Heading3"/>
        <w:spacing w:before="120" w:after="120"/>
      </w:pPr>
      <w:r w:rsidRPr="00343301">
        <w:t>Gastrointestinal disorders: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Common: Digestive, gastric or intestinal disorders (abdominal pain, nausea, vomiting, diarrhoea, and flatulence) moderate in severity</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 xml:space="preserve">Uncommon: </w:t>
      </w:r>
      <w:r w:rsidRPr="00967DB6">
        <w:rPr>
          <w:rFonts w:ascii="Arial" w:hAnsi="Arial" w:cs="Arial"/>
          <w:color w:val="000000"/>
          <w:sz w:val="22"/>
          <w:szCs w:val="22"/>
          <w:lang w:val="en-AU"/>
        </w:rPr>
        <w:t>pancreatitis</w:t>
      </w:r>
      <w:r w:rsidR="00A25557">
        <w:rPr>
          <w:rFonts w:ascii="Arial" w:hAnsi="Arial" w:cs="Arial"/>
          <w:color w:val="000000"/>
          <w:sz w:val="22"/>
          <w:szCs w:val="22"/>
          <w:lang w:val="en-AU"/>
        </w:rPr>
        <w:t>*</w:t>
      </w:r>
      <w:r w:rsidRPr="00967DB6">
        <w:rPr>
          <w:rFonts w:ascii="Arial" w:hAnsi="Arial" w:cs="Arial"/>
          <w:color w:val="000000"/>
          <w:sz w:val="22"/>
          <w:szCs w:val="22"/>
          <w:lang w:val="en-AU"/>
        </w:rPr>
        <w:t xml:space="preserve"> </w:t>
      </w:r>
    </w:p>
    <w:p w:rsidR="008B2E99" w:rsidRPr="00343301" w:rsidRDefault="008B2E99" w:rsidP="00343301">
      <w:pPr>
        <w:pStyle w:val="Heading3"/>
        <w:spacing w:before="120" w:after="120"/>
      </w:pPr>
      <w:r w:rsidRPr="00343301">
        <w:lastRenderedPageBreak/>
        <w:t xml:space="preserve">Hepato-biliary disorders: </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 xml:space="preserve">Common: Moderately elevated levels of serum transaminases </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Uncommon: Development of gallstones</w:t>
      </w:r>
    </w:p>
    <w:p w:rsidR="008B2E99" w:rsidRPr="00967DB6" w:rsidRDefault="00E8792C">
      <w:pPr>
        <w:pStyle w:val="texte20"/>
        <w:spacing w:after="0" w:line="240" w:lineRule="auto"/>
        <w:ind w:left="0"/>
        <w:rPr>
          <w:rFonts w:ascii="Arial" w:hAnsi="Arial" w:cs="Arial"/>
          <w:sz w:val="22"/>
          <w:szCs w:val="22"/>
          <w:lang w:val="en-AU"/>
        </w:rPr>
      </w:pPr>
      <w:r>
        <w:rPr>
          <w:rFonts w:ascii="Arial" w:hAnsi="Arial" w:cs="Arial"/>
          <w:sz w:val="22"/>
          <w:szCs w:val="22"/>
          <w:lang w:val="en-AU"/>
        </w:rPr>
        <w:t>R</w:t>
      </w:r>
      <w:r w:rsidR="008B2E99" w:rsidRPr="00967DB6">
        <w:rPr>
          <w:rFonts w:ascii="Arial" w:hAnsi="Arial" w:cs="Arial"/>
          <w:sz w:val="22"/>
          <w:szCs w:val="22"/>
          <w:lang w:val="en-AU"/>
        </w:rPr>
        <w:t xml:space="preserve">are: episodes of hepatitis. When symptoms (e.g. jaundice, pruritus) indicative of hepatitis occur, laboratory tests are to be conducted for verification and fenofibrate discontinued, if applicable </w:t>
      </w:r>
    </w:p>
    <w:p w:rsidR="008B2E99" w:rsidRPr="00343301" w:rsidRDefault="008B2E99" w:rsidP="00343301">
      <w:pPr>
        <w:pStyle w:val="Heading3"/>
        <w:spacing w:before="120" w:after="120"/>
      </w:pPr>
      <w:r w:rsidRPr="00343301">
        <w:t>Skin and subcutaneous tissue disorders: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Uncommon: rashes, pruritus, urticaria or photosensitivity reactions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Rare: alopecia</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Very rare: cutaneous photosensitivity with erythema, vesiculation or nodulation on parts of the skin exposed to sunlight or artificial UV light (e.g. sunlamp) in individual cases (even after many months of uncomplicated use)</w:t>
      </w:r>
    </w:p>
    <w:p w:rsidR="008B2E99" w:rsidRPr="00343301" w:rsidRDefault="008B2E99" w:rsidP="00343301">
      <w:pPr>
        <w:pStyle w:val="Heading3"/>
        <w:spacing w:before="120" w:after="120"/>
      </w:pPr>
      <w:r w:rsidRPr="00343301">
        <w:t>Musculoskeletal, connective tissue and bone disorders:</w:t>
      </w:r>
    </w:p>
    <w:p w:rsidR="008B2E99" w:rsidRPr="00967DB6" w:rsidRDefault="00E8792C">
      <w:pPr>
        <w:pStyle w:val="texte20"/>
        <w:spacing w:after="0" w:line="240" w:lineRule="auto"/>
        <w:ind w:left="0"/>
        <w:rPr>
          <w:rFonts w:ascii="Arial" w:hAnsi="Arial" w:cs="Arial"/>
          <w:sz w:val="22"/>
          <w:szCs w:val="22"/>
          <w:lang w:val="en-AU"/>
        </w:rPr>
      </w:pPr>
      <w:r>
        <w:rPr>
          <w:rFonts w:ascii="Arial" w:hAnsi="Arial" w:cs="Arial"/>
          <w:sz w:val="22"/>
          <w:szCs w:val="22"/>
          <w:lang w:val="en-AU"/>
        </w:rPr>
        <w:t>Uncommon</w:t>
      </w:r>
      <w:r w:rsidR="008B2E99" w:rsidRPr="00967DB6">
        <w:rPr>
          <w:rFonts w:ascii="Arial" w:hAnsi="Arial" w:cs="Arial"/>
          <w:sz w:val="22"/>
          <w:szCs w:val="22"/>
          <w:lang w:val="en-AU"/>
        </w:rPr>
        <w:t>: diffuse myalgia, myositis, muscular cramps and weakness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Very rare: rhabdomyolysis</w:t>
      </w:r>
    </w:p>
    <w:p w:rsidR="008B2E99" w:rsidRPr="00343301" w:rsidRDefault="008B2E99" w:rsidP="00343301">
      <w:pPr>
        <w:pStyle w:val="Heading3"/>
        <w:spacing w:before="120" w:after="120"/>
      </w:pPr>
      <w:r w:rsidRPr="00343301">
        <w:t>Cardiovascular system</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 xml:space="preserve">Uncommon: </w:t>
      </w:r>
      <w:r w:rsidR="009F7472" w:rsidRPr="00967DB6">
        <w:rPr>
          <w:rFonts w:ascii="Arial" w:hAnsi="Arial" w:cs="Arial"/>
          <w:sz w:val="22"/>
          <w:szCs w:val="22"/>
          <w:lang w:val="en-AU"/>
        </w:rPr>
        <w:t>T</w:t>
      </w:r>
      <w:r w:rsidRPr="00967DB6">
        <w:rPr>
          <w:rFonts w:ascii="Arial" w:hAnsi="Arial" w:cs="Arial"/>
          <w:sz w:val="22"/>
          <w:szCs w:val="22"/>
          <w:lang w:val="en-AU"/>
        </w:rPr>
        <w:t>hromboembolism (pulmonary embolism, deep vein thrombosis).</w:t>
      </w:r>
    </w:p>
    <w:p w:rsidR="008B2E99" w:rsidRPr="00343301" w:rsidRDefault="008B2E99" w:rsidP="00343301">
      <w:pPr>
        <w:pStyle w:val="Heading3"/>
        <w:spacing w:before="120" w:after="120"/>
      </w:pPr>
      <w:r w:rsidRPr="00343301">
        <w:t>Blood and lymphatic system disorders: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Rare: decrease in haemoglobin and leukocytes</w:t>
      </w:r>
    </w:p>
    <w:p w:rsidR="008B2E99" w:rsidRPr="00343301" w:rsidRDefault="008B2E99" w:rsidP="00343301">
      <w:pPr>
        <w:pStyle w:val="Heading3"/>
        <w:spacing w:before="120" w:after="120"/>
      </w:pPr>
      <w:r w:rsidRPr="00343301">
        <w:t>Nervous system disorders: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Rare: sexual asthenia, headache</w:t>
      </w:r>
    </w:p>
    <w:p w:rsidR="008B2E99" w:rsidRPr="00343301" w:rsidRDefault="008B2E99" w:rsidP="00343301">
      <w:pPr>
        <w:pStyle w:val="Heading3"/>
        <w:spacing w:before="120" w:after="120"/>
      </w:pPr>
      <w:r w:rsidRPr="00343301">
        <w:t>Respiratory, thoracic and mediastinal disorders:</w:t>
      </w:r>
    </w:p>
    <w:p w:rsidR="008B2E99" w:rsidRPr="00967DB6" w:rsidRDefault="008B2E99">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Very rare: interstitial pneumopathies</w:t>
      </w:r>
    </w:p>
    <w:p w:rsidR="008B2E99" w:rsidRPr="00343301" w:rsidRDefault="008B2E99" w:rsidP="00343301">
      <w:pPr>
        <w:pStyle w:val="Heading3"/>
        <w:spacing w:before="120" w:after="120"/>
      </w:pPr>
      <w:r w:rsidRPr="00343301">
        <w:t>Investigation:</w:t>
      </w:r>
    </w:p>
    <w:p w:rsidR="008B2E99" w:rsidRPr="00967DB6" w:rsidRDefault="008B2E99" w:rsidP="00343301">
      <w:pPr>
        <w:pStyle w:val="texte20"/>
        <w:spacing w:after="0" w:line="240" w:lineRule="auto"/>
        <w:ind w:left="0"/>
        <w:rPr>
          <w:rFonts w:ascii="Arial" w:hAnsi="Arial" w:cs="Arial"/>
          <w:sz w:val="22"/>
          <w:szCs w:val="22"/>
          <w:lang w:val="en-AU"/>
        </w:rPr>
      </w:pPr>
      <w:r w:rsidRPr="00967DB6">
        <w:rPr>
          <w:rFonts w:ascii="Arial" w:hAnsi="Arial" w:cs="Arial"/>
          <w:sz w:val="22"/>
          <w:szCs w:val="22"/>
          <w:lang w:val="en-AU"/>
        </w:rPr>
        <w:t>Uncommon: Increases in serum creatinine and urea.</w:t>
      </w:r>
    </w:p>
    <w:p w:rsidR="00A25557" w:rsidRDefault="00A25557" w:rsidP="00343301">
      <w:pPr>
        <w:pStyle w:val="texte20"/>
        <w:spacing w:after="0" w:line="240" w:lineRule="auto"/>
        <w:ind w:left="0"/>
        <w:rPr>
          <w:rFonts w:ascii="Arial" w:hAnsi="Arial" w:cs="Arial"/>
          <w:sz w:val="22"/>
          <w:szCs w:val="22"/>
          <w:lang w:val="en-AU"/>
        </w:rPr>
      </w:pPr>
    </w:p>
    <w:p w:rsidR="00A25557" w:rsidRDefault="00A25557" w:rsidP="00A25557">
      <w:pPr>
        <w:pStyle w:val="texte20"/>
        <w:spacing w:after="0" w:line="240" w:lineRule="auto"/>
        <w:ind w:left="0"/>
        <w:rPr>
          <w:rFonts w:ascii="Arial" w:hAnsi="Arial" w:cs="Arial"/>
          <w:sz w:val="22"/>
          <w:szCs w:val="22"/>
          <w:lang w:val="en-AU"/>
        </w:rPr>
      </w:pPr>
      <w:r w:rsidRPr="00A25557">
        <w:rPr>
          <w:rFonts w:ascii="Arial" w:hAnsi="Arial" w:cs="Arial"/>
          <w:sz w:val="22"/>
          <w:szCs w:val="22"/>
          <w:lang w:val="en-AU"/>
        </w:rPr>
        <w:t>*</w:t>
      </w:r>
      <w:r w:rsidRPr="00B96C5E">
        <w:rPr>
          <w:rFonts w:ascii="Arial" w:hAnsi="Arial" w:cs="Arial"/>
          <w:sz w:val="22"/>
          <w:szCs w:val="22"/>
          <w:lang w:val="en-AU"/>
        </w:rPr>
        <w:t>In the FIELD-study, a randomi</w:t>
      </w:r>
      <w:r>
        <w:rPr>
          <w:rFonts w:ascii="Arial" w:hAnsi="Arial" w:cs="Arial"/>
          <w:sz w:val="22"/>
          <w:szCs w:val="22"/>
          <w:lang w:val="en-AU"/>
        </w:rPr>
        <w:t>s</w:t>
      </w:r>
      <w:r w:rsidRPr="00B96C5E">
        <w:rPr>
          <w:rFonts w:ascii="Arial" w:hAnsi="Arial" w:cs="Arial"/>
          <w:sz w:val="22"/>
          <w:szCs w:val="22"/>
          <w:lang w:val="en-AU"/>
        </w:rPr>
        <w:t>ed placebo-controlled trial performed in 9795 patients with type 2 diabetes mellitus, a statistically significant increase in pancreatitis cases was observed in patients receiving fenofibrate versus patients receiving placebo (0.8% versus 0.5%; p = 0.031).</w:t>
      </w:r>
    </w:p>
    <w:p w:rsidR="00A25557" w:rsidRDefault="00A25557" w:rsidP="00343301">
      <w:pPr>
        <w:pStyle w:val="texte20"/>
        <w:spacing w:after="0" w:line="240" w:lineRule="auto"/>
        <w:ind w:left="0"/>
        <w:rPr>
          <w:rFonts w:ascii="Arial" w:hAnsi="Arial" w:cs="Arial"/>
          <w:sz w:val="22"/>
          <w:szCs w:val="22"/>
          <w:lang w:val="en-AU"/>
        </w:rPr>
      </w:pPr>
    </w:p>
    <w:p w:rsidR="008B2E99" w:rsidRPr="00343301" w:rsidRDefault="008B2E99" w:rsidP="00343301">
      <w:pPr>
        <w:pStyle w:val="texte20"/>
        <w:spacing w:after="0" w:line="240" w:lineRule="auto"/>
        <w:ind w:left="0"/>
        <w:rPr>
          <w:rFonts w:ascii="Arial" w:hAnsi="Arial" w:cs="Arial"/>
          <w:sz w:val="22"/>
          <w:szCs w:val="22"/>
          <w:lang w:val="en-AU"/>
        </w:rPr>
      </w:pPr>
      <w:r w:rsidRPr="00343301">
        <w:rPr>
          <w:rFonts w:ascii="Arial" w:hAnsi="Arial" w:cs="Arial"/>
          <w:sz w:val="22"/>
          <w:szCs w:val="22"/>
          <w:lang w:val="en-AU"/>
        </w:rPr>
        <w:t xml:space="preserve">Adverse events reported by 1% or more of patients with dyslipidemia or type </w:t>
      </w:r>
      <w:proofErr w:type="gramStart"/>
      <w:r w:rsidRPr="00343301">
        <w:rPr>
          <w:rFonts w:ascii="Arial" w:hAnsi="Arial" w:cs="Arial"/>
          <w:sz w:val="22"/>
          <w:szCs w:val="22"/>
          <w:lang w:val="en-AU"/>
        </w:rPr>
        <w:t xml:space="preserve">2 diabetes treated with fenofibrate during double blind, placebo-controlled trials, regardless of causality, </w:t>
      </w:r>
      <w:r w:rsidR="00A25557">
        <w:rPr>
          <w:rFonts w:ascii="Arial" w:hAnsi="Arial" w:cs="Arial"/>
          <w:sz w:val="22"/>
          <w:szCs w:val="22"/>
          <w:lang w:val="en-AU"/>
        </w:rPr>
        <w:t xml:space="preserve">at the time of registration </w:t>
      </w:r>
      <w:r w:rsidRPr="00343301">
        <w:rPr>
          <w:rFonts w:ascii="Arial" w:hAnsi="Arial" w:cs="Arial"/>
          <w:sz w:val="22"/>
          <w:szCs w:val="22"/>
          <w:lang w:val="en-AU"/>
        </w:rPr>
        <w:t>are listed in Table 3</w:t>
      </w:r>
      <w:proofErr w:type="gramEnd"/>
      <w:r w:rsidRPr="00343301">
        <w:rPr>
          <w:rFonts w:ascii="Arial" w:hAnsi="Arial" w:cs="Arial"/>
          <w:sz w:val="22"/>
          <w:szCs w:val="22"/>
          <w:lang w:val="en-AU"/>
        </w:rPr>
        <w:t xml:space="preserve">. </w:t>
      </w:r>
    </w:p>
    <w:p w:rsidR="008B2E99" w:rsidRPr="00967DB6" w:rsidRDefault="008B2E99">
      <w:pPr>
        <w:rPr>
          <w:rFonts w:cs="Arial"/>
          <w:b/>
          <w:bCs/>
          <w:sz w:val="20"/>
        </w:rPr>
      </w:pPr>
      <w:bookmarkStart w:id="3" w:name="_Ref49827662"/>
    </w:p>
    <w:p w:rsidR="008B2E99" w:rsidRPr="00343301" w:rsidRDefault="008B2E99">
      <w:pPr>
        <w:rPr>
          <w:b/>
        </w:rPr>
      </w:pPr>
      <w:r w:rsidRPr="00343301">
        <w:rPr>
          <w:b/>
        </w:rPr>
        <w:t xml:space="preserve">Table </w:t>
      </w:r>
      <w:bookmarkEnd w:id="3"/>
      <w:r w:rsidRPr="00343301">
        <w:rPr>
          <w:b/>
        </w:rPr>
        <w:t>3</w:t>
      </w:r>
      <w:r w:rsidR="00343301">
        <w:rPr>
          <w:b/>
        </w:rPr>
        <w:t>:</w:t>
      </w:r>
      <w:r w:rsidRPr="00343301">
        <w:rPr>
          <w:b/>
        </w:rPr>
        <w:t xml:space="preserve"> Adverse events reported by 1% or more of patients with dyslipidemia or type </w:t>
      </w:r>
      <w:proofErr w:type="gramStart"/>
      <w:r w:rsidRPr="00343301">
        <w:rPr>
          <w:b/>
        </w:rPr>
        <w:t>2 diabetes treated with fenofibrate during double blind, placebo-controlled trials, regardless of causality</w:t>
      </w:r>
      <w:proofErr w:type="gramEnd"/>
      <w:r w:rsidRPr="00343301">
        <w:rPr>
          <w:b/>
        </w:rPr>
        <w:t>.</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346"/>
        <w:gridCol w:w="1347"/>
        <w:gridCol w:w="1347"/>
        <w:gridCol w:w="1347"/>
      </w:tblGrid>
      <w:tr w:rsidR="008B2E99" w:rsidRPr="003E7C6C" w:rsidTr="008A2657">
        <w:trPr>
          <w:cantSplit/>
        </w:trPr>
        <w:tc>
          <w:tcPr>
            <w:tcW w:w="3402" w:type="dxa"/>
            <w:vMerge w:val="restart"/>
          </w:tcPr>
          <w:p w:rsidR="008B2E99" w:rsidRPr="003E7C6C" w:rsidRDefault="008B2E99">
            <w:pPr>
              <w:pStyle w:val="Tabletext"/>
              <w:rPr>
                <w:b/>
                <w:bCs/>
                <w:sz w:val="22"/>
                <w:szCs w:val="22"/>
              </w:rPr>
            </w:pPr>
            <w:r w:rsidRPr="003E7C6C">
              <w:rPr>
                <w:b/>
                <w:bCs/>
                <w:sz w:val="22"/>
                <w:szCs w:val="22"/>
              </w:rPr>
              <w:t>Adverse events</w:t>
            </w:r>
          </w:p>
        </w:tc>
        <w:tc>
          <w:tcPr>
            <w:tcW w:w="2693" w:type="dxa"/>
            <w:gridSpan w:val="2"/>
            <w:tcBorders>
              <w:bottom w:val="single" w:sz="4" w:space="0" w:color="auto"/>
            </w:tcBorders>
          </w:tcPr>
          <w:p w:rsidR="008B2E99" w:rsidRPr="003E7C6C" w:rsidRDefault="008B2E99">
            <w:pPr>
              <w:pStyle w:val="Tabletext"/>
              <w:jc w:val="center"/>
              <w:rPr>
                <w:b/>
                <w:bCs/>
                <w:sz w:val="22"/>
                <w:szCs w:val="22"/>
              </w:rPr>
            </w:pPr>
            <w:r w:rsidRPr="003E7C6C">
              <w:rPr>
                <w:b/>
                <w:bCs/>
                <w:sz w:val="22"/>
                <w:szCs w:val="22"/>
              </w:rPr>
              <w:t>Dyslipidemia</w:t>
            </w:r>
          </w:p>
        </w:tc>
        <w:tc>
          <w:tcPr>
            <w:tcW w:w="2694" w:type="dxa"/>
            <w:gridSpan w:val="2"/>
            <w:tcBorders>
              <w:bottom w:val="single" w:sz="4" w:space="0" w:color="auto"/>
            </w:tcBorders>
          </w:tcPr>
          <w:p w:rsidR="008B2E99" w:rsidRPr="003E7C6C" w:rsidRDefault="008B2E99">
            <w:pPr>
              <w:pStyle w:val="Tabletext"/>
              <w:jc w:val="center"/>
              <w:rPr>
                <w:b/>
                <w:bCs/>
                <w:sz w:val="22"/>
                <w:szCs w:val="22"/>
              </w:rPr>
            </w:pPr>
            <w:r w:rsidRPr="003E7C6C">
              <w:rPr>
                <w:b/>
                <w:bCs/>
                <w:sz w:val="22"/>
                <w:szCs w:val="22"/>
              </w:rPr>
              <w:t>Type 2 diabetes</w:t>
            </w:r>
          </w:p>
        </w:tc>
      </w:tr>
      <w:tr w:rsidR="008B2E99" w:rsidRPr="003E7C6C" w:rsidTr="008A2657">
        <w:trPr>
          <w:cantSplit/>
        </w:trPr>
        <w:tc>
          <w:tcPr>
            <w:tcW w:w="3402" w:type="dxa"/>
            <w:vMerge/>
          </w:tcPr>
          <w:p w:rsidR="008B2E99" w:rsidRPr="003E7C6C" w:rsidRDefault="008B2E99">
            <w:pPr>
              <w:pStyle w:val="Tabletext"/>
              <w:rPr>
                <w:b/>
                <w:bCs/>
                <w:sz w:val="22"/>
                <w:szCs w:val="22"/>
              </w:rPr>
            </w:pPr>
          </w:p>
        </w:tc>
        <w:tc>
          <w:tcPr>
            <w:tcW w:w="1346" w:type="dxa"/>
            <w:tcBorders>
              <w:bottom w:val="nil"/>
            </w:tcBorders>
          </w:tcPr>
          <w:p w:rsidR="008B2E99" w:rsidRPr="003E7C6C" w:rsidRDefault="008B2E99">
            <w:pPr>
              <w:pStyle w:val="Tabletext"/>
              <w:jc w:val="center"/>
              <w:rPr>
                <w:b/>
                <w:bCs/>
                <w:sz w:val="22"/>
                <w:szCs w:val="22"/>
              </w:rPr>
            </w:pPr>
            <w:r w:rsidRPr="003E7C6C">
              <w:rPr>
                <w:b/>
                <w:bCs/>
                <w:sz w:val="22"/>
                <w:szCs w:val="22"/>
              </w:rPr>
              <w:t>fenofibrate</w:t>
            </w:r>
          </w:p>
        </w:tc>
        <w:tc>
          <w:tcPr>
            <w:tcW w:w="1347" w:type="dxa"/>
            <w:tcBorders>
              <w:bottom w:val="nil"/>
            </w:tcBorders>
          </w:tcPr>
          <w:p w:rsidR="008B2E99" w:rsidRPr="003E7C6C" w:rsidRDefault="008B2E99">
            <w:pPr>
              <w:pStyle w:val="Tabletext"/>
              <w:jc w:val="center"/>
              <w:rPr>
                <w:b/>
                <w:bCs/>
                <w:sz w:val="22"/>
                <w:szCs w:val="22"/>
              </w:rPr>
            </w:pPr>
            <w:r w:rsidRPr="003E7C6C">
              <w:rPr>
                <w:b/>
                <w:bCs/>
                <w:sz w:val="22"/>
                <w:szCs w:val="22"/>
              </w:rPr>
              <w:t>Placebo</w:t>
            </w:r>
          </w:p>
        </w:tc>
        <w:tc>
          <w:tcPr>
            <w:tcW w:w="1347" w:type="dxa"/>
            <w:tcBorders>
              <w:bottom w:val="nil"/>
            </w:tcBorders>
          </w:tcPr>
          <w:p w:rsidR="008B2E99" w:rsidRPr="003E7C6C" w:rsidRDefault="008B2E99">
            <w:pPr>
              <w:pStyle w:val="Tabletext"/>
              <w:jc w:val="center"/>
              <w:rPr>
                <w:b/>
                <w:bCs/>
                <w:sz w:val="22"/>
                <w:szCs w:val="22"/>
              </w:rPr>
            </w:pPr>
            <w:r w:rsidRPr="003E7C6C">
              <w:rPr>
                <w:b/>
                <w:bCs/>
                <w:sz w:val="22"/>
                <w:szCs w:val="22"/>
              </w:rPr>
              <w:t>fenofibrate</w:t>
            </w:r>
          </w:p>
        </w:tc>
        <w:tc>
          <w:tcPr>
            <w:tcW w:w="1347" w:type="dxa"/>
            <w:tcBorders>
              <w:bottom w:val="nil"/>
            </w:tcBorders>
          </w:tcPr>
          <w:p w:rsidR="008B2E99" w:rsidRPr="003E7C6C" w:rsidRDefault="008B2E99">
            <w:pPr>
              <w:pStyle w:val="Tabletext"/>
              <w:jc w:val="center"/>
              <w:rPr>
                <w:b/>
                <w:bCs/>
                <w:sz w:val="22"/>
                <w:szCs w:val="22"/>
              </w:rPr>
            </w:pPr>
            <w:r w:rsidRPr="003E7C6C">
              <w:rPr>
                <w:b/>
                <w:bCs/>
                <w:sz w:val="22"/>
                <w:szCs w:val="22"/>
              </w:rPr>
              <w:t>Placebo</w:t>
            </w:r>
          </w:p>
        </w:tc>
      </w:tr>
      <w:tr w:rsidR="008B2E99" w:rsidRPr="003E7C6C" w:rsidTr="008A2657">
        <w:trPr>
          <w:cantSplit/>
        </w:trPr>
        <w:tc>
          <w:tcPr>
            <w:tcW w:w="3402" w:type="dxa"/>
            <w:vMerge/>
          </w:tcPr>
          <w:p w:rsidR="008B2E99" w:rsidRPr="003E7C6C" w:rsidRDefault="008B2E99">
            <w:pPr>
              <w:pStyle w:val="Tabletext"/>
              <w:rPr>
                <w:b/>
                <w:bCs/>
                <w:sz w:val="22"/>
                <w:szCs w:val="22"/>
              </w:rPr>
            </w:pPr>
          </w:p>
        </w:tc>
        <w:tc>
          <w:tcPr>
            <w:tcW w:w="1346" w:type="dxa"/>
            <w:tcBorders>
              <w:top w:val="nil"/>
            </w:tcBorders>
          </w:tcPr>
          <w:p w:rsidR="008B2E99" w:rsidRPr="003E7C6C" w:rsidRDefault="008B2E99">
            <w:pPr>
              <w:pStyle w:val="Tabletext"/>
              <w:jc w:val="center"/>
              <w:rPr>
                <w:b/>
                <w:bCs/>
                <w:sz w:val="22"/>
                <w:szCs w:val="22"/>
              </w:rPr>
            </w:pPr>
            <w:r w:rsidRPr="003E7C6C">
              <w:rPr>
                <w:b/>
                <w:bCs/>
                <w:sz w:val="22"/>
                <w:szCs w:val="22"/>
              </w:rPr>
              <w:t>N= 473</w:t>
            </w:r>
          </w:p>
          <w:p w:rsidR="008B2E99" w:rsidRPr="003E7C6C" w:rsidRDefault="008B2E99">
            <w:pPr>
              <w:pStyle w:val="Tabletext"/>
              <w:jc w:val="center"/>
              <w:rPr>
                <w:b/>
                <w:bCs/>
                <w:sz w:val="22"/>
                <w:szCs w:val="22"/>
              </w:rPr>
            </w:pPr>
            <w:r w:rsidRPr="003E7C6C">
              <w:rPr>
                <w:b/>
                <w:bCs/>
                <w:sz w:val="22"/>
                <w:szCs w:val="22"/>
              </w:rPr>
              <w:t>(%)</w:t>
            </w:r>
          </w:p>
        </w:tc>
        <w:tc>
          <w:tcPr>
            <w:tcW w:w="1347" w:type="dxa"/>
            <w:tcBorders>
              <w:top w:val="nil"/>
            </w:tcBorders>
          </w:tcPr>
          <w:p w:rsidR="008B2E99" w:rsidRPr="003E7C6C" w:rsidRDefault="008B2E99">
            <w:pPr>
              <w:pStyle w:val="Tabletext"/>
              <w:jc w:val="center"/>
              <w:rPr>
                <w:b/>
                <w:bCs/>
                <w:sz w:val="22"/>
                <w:szCs w:val="22"/>
              </w:rPr>
            </w:pPr>
            <w:r w:rsidRPr="003E7C6C">
              <w:rPr>
                <w:b/>
                <w:bCs/>
                <w:sz w:val="22"/>
                <w:szCs w:val="22"/>
              </w:rPr>
              <w:t>N= 397</w:t>
            </w:r>
          </w:p>
          <w:p w:rsidR="008B2E99" w:rsidRPr="003E7C6C" w:rsidRDefault="008B2E99">
            <w:pPr>
              <w:pStyle w:val="Tabletext"/>
              <w:jc w:val="center"/>
              <w:rPr>
                <w:b/>
                <w:bCs/>
                <w:sz w:val="22"/>
                <w:szCs w:val="22"/>
              </w:rPr>
            </w:pPr>
            <w:r w:rsidRPr="003E7C6C">
              <w:rPr>
                <w:b/>
                <w:bCs/>
                <w:sz w:val="22"/>
                <w:szCs w:val="22"/>
              </w:rPr>
              <w:t>(%)</w:t>
            </w:r>
          </w:p>
        </w:tc>
        <w:tc>
          <w:tcPr>
            <w:tcW w:w="1347" w:type="dxa"/>
            <w:tcBorders>
              <w:top w:val="nil"/>
            </w:tcBorders>
          </w:tcPr>
          <w:p w:rsidR="008B2E99" w:rsidRPr="003E7C6C" w:rsidRDefault="008B2E99">
            <w:pPr>
              <w:pStyle w:val="Tabletext"/>
              <w:jc w:val="center"/>
              <w:rPr>
                <w:b/>
                <w:bCs/>
                <w:sz w:val="22"/>
                <w:szCs w:val="22"/>
              </w:rPr>
            </w:pPr>
            <w:r w:rsidRPr="003E7C6C">
              <w:rPr>
                <w:b/>
                <w:bCs/>
                <w:sz w:val="22"/>
                <w:szCs w:val="22"/>
              </w:rPr>
              <w:t>N=207</w:t>
            </w:r>
          </w:p>
          <w:p w:rsidR="008B2E99" w:rsidRPr="003E7C6C" w:rsidRDefault="008B2E99">
            <w:pPr>
              <w:pStyle w:val="Tabletext"/>
              <w:jc w:val="center"/>
              <w:rPr>
                <w:b/>
                <w:bCs/>
                <w:sz w:val="22"/>
                <w:szCs w:val="22"/>
              </w:rPr>
            </w:pPr>
            <w:r w:rsidRPr="003E7C6C">
              <w:rPr>
                <w:b/>
                <w:bCs/>
                <w:sz w:val="22"/>
                <w:szCs w:val="22"/>
              </w:rPr>
              <w:t>(%)</w:t>
            </w:r>
          </w:p>
        </w:tc>
        <w:tc>
          <w:tcPr>
            <w:tcW w:w="1347" w:type="dxa"/>
            <w:tcBorders>
              <w:top w:val="nil"/>
            </w:tcBorders>
          </w:tcPr>
          <w:p w:rsidR="008B2E99" w:rsidRPr="003E7C6C" w:rsidRDefault="008B2E99">
            <w:pPr>
              <w:pStyle w:val="Tabletext"/>
              <w:jc w:val="center"/>
              <w:rPr>
                <w:b/>
                <w:bCs/>
                <w:sz w:val="22"/>
                <w:szCs w:val="22"/>
              </w:rPr>
            </w:pPr>
            <w:r w:rsidRPr="003E7C6C">
              <w:rPr>
                <w:b/>
                <w:bCs/>
                <w:sz w:val="22"/>
                <w:szCs w:val="22"/>
              </w:rPr>
              <w:t>N=211</w:t>
            </w:r>
          </w:p>
          <w:p w:rsidR="008B2E99" w:rsidRPr="003E7C6C" w:rsidRDefault="008B2E99">
            <w:pPr>
              <w:pStyle w:val="Tabletext"/>
              <w:jc w:val="center"/>
              <w:rPr>
                <w:b/>
                <w:bCs/>
                <w:sz w:val="22"/>
                <w:szCs w:val="22"/>
              </w:rPr>
            </w:pPr>
            <w:r w:rsidRPr="003E7C6C">
              <w:rPr>
                <w:b/>
                <w:bCs/>
                <w:sz w:val="22"/>
                <w:szCs w:val="22"/>
              </w:rPr>
              <w:t>(%)</w:t>
            </w:r>
          </w:p>
        </w:tc>
      </w:tr>
      <w:tr w:rsidR="008B2E99" w:rsidRPr="003E7C6C" w:rsidTr="008A2657">
        <w:tc>
          <w:tcPr>
            <w:tcW w:w="3402" w:type="dxa"/>
            <w:tcBorders>
              <w:bottom w:val="nil"/>
            </w:tcBorders>
            <w:vAlign w:val="center"/>
          </w:tcPr>
          <w:p w:rsidR="008B2E99" w:rsidRPr="003E7C6C" w:rsidRDefault="008B2E99">
            <w:pPr>
              <w:pStyle w:val="Tabletext"/>
              <w:rPr>
                <w:sz w:val="22"/>
                <w:szCs w:val="22"/>
              </w:rPr>
            </w:pPr>
            <w:r w:rsidRPr="003E7C6C">
              <w:rPr>
                <w:sz w:val="22"/>
                <w:szCs w:val="22"/>
              </w:rPr>
              <w:t>Body as a whole</w:t>
            </w:r>
          </w:p>
        </w:tc>
        <w:tc>
          <w:tcPr>
            <w:tcW w:w="1346" w:type="dxa"/>
            <w:tcBorders>
              <w:bottom w:val="nil"/>
            </w:tcBorders>
          </w:tcPr>
          <w:p w:rsidR="008B2E99" w:rsidRPr="003E7C6C" w:rsidRDefault="008B2E99">
            <w:pPr>
              <w:pStyle w:val="Tabletext"/>
              <w:jc w:val="center"/>
              <w:rPr>
                <w:sz w:val="22"/>
                <w:szCs w:val="22"/>
              </w:rPr>
            </w:pPr>
            <w:r w:rsidRPr="003E7C6C">
              <w:rPr>
                <w:sz w:val="22"/>
                <w:szCs w:val="22"/>
              </w:rPr>
              <w:t>20.3</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20.1</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65.7</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69.2</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Abdominal pain</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5.1</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4.5</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15.9</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11.9</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Back pain</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3.8</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2.8</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15.0</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19</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Asthenia</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2.5</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2.8</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6.8</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5.7</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Headache</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3.6</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3.3</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5.8</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6.2</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lastRenderedPageBreak/>
              <w:t>Accidental injury</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1.5</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2.0</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18.4</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18.5</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Flu syndrome</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1.7</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2.0</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17.9</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18.0</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Chest pain</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1.9</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1.3</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10.1</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8.5</w:t>
            </w:r>
          </w:p>
        </w:tc>
      </w:tr>
      <w:tr w:rsidR="008B2E99" w:rsidRPr="003E7C6C" w:rsidTr="008A2657">
        <w:tc>
          <w:tcPr>
            <w:tcW w:w="3402" w:type="dxa"/>
            <w:tcBorders>
              <w:top w:val="nil"/>
              <w:right w:val="single" w:sz="4" w:space="0" w:color="auto"/>
            </w:tcBorders>
            <w:vAlign w:val="center"/>
          </w:tcPr>
          <w:p w:rsidR="008B2E99" w:rsidRPr="003E7C6C" w:rsidRDefault="008B2E99">
            <w:pPr>
              <w:pStyle w:val="Tabletext"/>
              <w:rPr>
                <w:sz w:val="22"/>
                <w:szCs w:val="22"/>
              </w:rPr>
            </w:pPr>
            <w:r w:rsidRPr="003E7C6C">
              <w:rPr>
                <w:sz w:val="22"/>
                <w:szCs w:val="22"/>
              </w:rPr>
              <w:t>Malaise</w:t>
            </w:r>
          </w:p>
        </w:tc>
        <w:tc>
          <w:tcPr>
            <w:tcW w:w="1346" w:type="dxa"/>
            <w:tcBorders>
              <w:top w:val="nil"/>
              <w:left w:val="single" w:sz="4" w:space="0" w:color="auto"/>
              <w:right w:val="single" w:sz="4" w:space="0" w:color="auto"/>
            </w:tcBorders>
          </w:tcPr>
          <w:p w:rsidR="008B2E99" w:rsidRPr="003E7C6C" w:rsidRDefault="008B2E99">
            <w:pPr>
              <w:pStyle w:val="Tabletext"/>
              <w:jc w:val="center"/>
              <w:rPr>
                <w:sz w:val="22"/>
                <w:szCs w:val="22"/>
              </w:rPr>
            </w:pPr>
            <w:r w:rsidRPr="003E7C6C">
              <w:rPr>
                <w:sz w:val="22"/>
                <w:szCs w:val="22"/>
              </w:rPr>
              <w:t>1.5</w:t>
            </w:r>
          </w:p>
        </w:tc>
        <w:tc>
          <w:tcPr>
            <w:tcW w:w="1347" w:type="dxa"/>
            <w:tcBorders>
              <w:top w:val="nil"/>
              <w:left w:val="single" w:sz="4" w:space="0" w:color="auto"/>
              <w:right w:val="single" w:sz="4" w:space="0" w:color="auto"/>
            </w:tcBorders>
          </w:tcPr>
          <w:p w:rsidR="008B2E99" w:rsidRPr="003E7C6C" w:rsidRDefault="008B2E99">
            <w:pPr>
              <w:pStyle w:val="Tabletext"/>
              <w:jc w:val="center"/>
              <w:rPr>
                <w:sz w:val="22"/>
                <w:szCs w:val="22"/>
              </w:rPr>
            </w:pPr>
            <w:r w:rsidRPr="003E7C6C">
              <w:rPr>
                <w:sz w:val="22"/>
                <w:szCs w:val="22"/>
              </w:rPr>
              <w:t>0.2</w:t>
            </w:r>
          </w:p>
        </w:tc>
        <w:tc>
          <w:tcPr>
            <w:tcW w:w="1347" w:type="dxa"/>
            <w:tcBorders>
              <w:top w:val="nil"/>
              <w:left w:val="single" w:sz="4" w:space="0" w:color="auto"/>
              <w:right w:val="single" w:sz="4" w:space="0" w:color="auto"/>
            </w:tcBorders>
          </w:tcPr>
          <w:p w:rsidR="008B2E99" w:rsidRPr="003E7C6C" w:rsidRDefault="008B2E99">
            <w:pPr>
              <w:pStyle w:val="Tabletext"/>
              <w:jc w:val="center"/>
              <w:rPr>
                <w:sz w:val="22"/>
                <w:szCs w:val="22"/>
              </w:rPr>
            </w:pPr>
            <w:r w:rsidRPr="003E7C6C">
              <w:rPr>
                <w:sz w:val="22"/>
                <w:szCs w:val="22"/>
              </w:rPr>
              <w:t>2.4</w:t>
            </w:r>
          </w:p>
        </w:tc>
        <w:tc>
          <w:tcPr>
            <w:tcW w:w="1347" w:type="dxa"/>
            <w:tcBorders>
              <w:top w:val="nil"/>
              <w:left w:val="single" w:sz="4" w:space="0" w:color="auto"/>
            </w:tcBorders>
          </w:tcPr>
          <w:p w:rsidR="008B2E99" w:rsidRPr="003E7C6C" w:rsidRDefault="008B2E99">
            <w:pPr>
              <w:pStyle w:val="Tabletext"/>
              <w:jc w:val="center"/>
              <w:rPr>
                <w:sz w:val="22"/>
                <w:szCs w:val="22"/>
              </w:rPr>
            </w:pPr>
            <w:r w:rsidRPr="003E7C6C">
              <w:rPr>
                <w:sz w:val="22"/>
                <w:szCs w:val="22"/>
              </w:rPr>
              <w:t>0.5</w:t>
            </w:r>
          </w:p>
        </w:tc>
      </w:tr>
      <w:tr w:rsidR="008B2E99" w:rsidRPr="003E7C6C" w:rsidTr="008A2657">
        <w:tc>
          <w:tcPr>
            <w:tcW w:w="3402" w:type="dxa"/>
            <w:tcBorders>
              <w:bottom w:val="single" w:sz="4" w:space="0" w:color="auto"/>
            </w:tcBorders>
            <w:vAlign w:val="center"/>
          </w:tcPr>
          <w:p w:rsidR="008B2E99" w:rsidRPr="003E7C6C" w:rsidRDefault="008B2E99">
            <w:pPr>
              <w:pStyle w:val="Tabletext"/>
              <w:rPr>
                <w:sz w:val="22"/>
                <w:szCs w:val="22"/>
              </w:rPr>
            </w:pPr>
            <w:r w:rsidRPr="003E7C6C">
              <w:rPr>
                <w:sz w:val="22"/>
                <w:szCs w:val="22"/>
              </w:rPr>
              <w:t>Cardiovascular system</w:t>
            </w:r>
          </w:p>
        </w:tc>
        <w:tc>
          <w:tcPr>
            <w:tcW w:w="1346" w:type="dxa"/>
            <w:tcBorders>
              <w:bottom w:val="single" w:sz="4" w:space="0" w:color="auto"/>
            </w:tcBorders>
          </w:tcPr>
          <w:p w:rsidR="008B2E99" w:rsidRPr="003E7C6C" w:rsidRDefault="008B2E99">
            <w:pPr>
              <w:pStyle w:val="Tabletext"/>
              <w:jc w:val="center"/>
              <w:rPr>
                <w:sz w:val="22"/>
                <w:szCs w:val="22"/>
              </w:rPr>
            </w:pPr>
            <w:r w:rsidRPr="003E7C6C">
              <w:rPr>
                <w:sz w:val="22"/>
                <w:szCs w:val="22"/>
              </w:rPr>
              <w:t>4.9</w:t>
            </w:r>
          </w:p>
        </w:tc>
        <w:tc>
          <w:tcPr>
            <w:tcW w:w="1347" w:type="dxa"/>
            <w:tcBorders>
              <w:bottom w:val="single" w:sz="4" w:space="0" w:color="auto"/>
            </w:tcBorders>
          </w:tcPr>
          <w:p w:rsidR="008B2E99" w:rsidRPr="003E7C6C" w:rsidRDefault="008B2E99">
            <w:pPr>
              <w:pStyle w:val="Tabletext"/>
              <w:jc w:val="center"/>
              <w:rPr>
                <w:sz w:val="22"/>
                <w:szCs w:val="22"/>
              </w:rPr>
            </w:pPr>
            <w:r w:rsidRPr="003E7C6C">
              <w:rPr>
                <w:sz w:val="22"/>
                <w:szCs w:val="22"/>
              </w:rPr>
              <w:t>4.0</w:t>
            </w:r>
          </w:p>
        </w:tc>
        <w:tc>
          <w:tcPr>
            <w:tcW w:w="1347" w:type="dxa"/>
            <w:tcBorders>
              <w:bottom w:val="single" w:sz="4" w:space="0" w:color="auto"/>
            </w:tcBorders>
          </w:tcPr>
          <w:p w:rsidR="008B2E99" w:rsidRPr="003E7C6C" w:rsidRDefault="008B2E99">
            <w:pPr>
              <w:pStyle w:val="Tabletext"/>
              <w:jc w:val="center"/>
              <w:rPr>
                <w:sz w:val="22"/>
                <w:szCs w:val="22"/>
              </w:rPr>
            </w:pPr>
            <w:r w:rsidRPr="003E7C6C">
              <w:rPr>
                <w:sz w:val="22"/>
                <w:szCs w:val="22"/>
              </w:rPr>
              <w:t>40.6</w:t>
            </w:r>
          </w:p>
        </w:tc>
        <w:tc>
          <w:tcPr>
            <w:tcW w:w="1347" w:type="dxa"/>
            <w:tcBorders>
              <w:bottom w:val="single" w:sz="4" w:space="0" w:color="auto"/>
            </w:tcBorders>
          </w:tcPr>
          <w:p w:rsidR="008B2E99" w:rsidRPr="003E7C6C" w:rsidRDefault="008B2E99">
            <w:pPr>
              <w:pStyle w:val="Tabletext"/>
              <w:jc w:val="center"/>
              <w:rPr>
                <w:sz w:val="22"/>
                <w:szCs w:val="22"/>
              </w:rPr>
            </w:pPr>
            <w:r w:rsidRPr="003E7C6C">
              <w:rPr>
                <w:sz w:val="22"/>
                <w:szCs w:val="22"/>
              </w:rPr>
              <w:t>45.5</w:t>
            </w:r>
          </w:p>
        </w:tc>
      </w:tr>
      <w:tr w:rsidR="008B2E99" w:rsidRPr="003E7C6C" w:rsidTr="008A2657">
        <w:tc>
          <w:tcPr>
            <w:tcW w:w="3402" w:type="dxa"/>
            <w:tcBorders>
              <w:top w:val="single" w:sz="4" w:space="0" w:color="auto"/>
              <w:bottom w:val="nil"/>
              <w:right w:val="single" w:sz="4" w:space="0" w:color="auto"/>
            </w:tcBorders>
            <w:vAlign w:val="center"/>
          </w:tcPr>
          <w:p w:rsidR="008B2E99" w:rsidRPr="003E7C6C" w:rsidRDefault="008B2E99">
            <w:pPr>
              <w:pStyle w:val="Tabletext"/>
              <w:rPr>
                <w:sz w:val="22"/>
                <w:szCs w:val="22"/>
              </w:rPr>
            </w:pPr>
            <w:r w:rsidRPr="003E7C6C">
              <w:rPr>
                <w:sz w:val="22"/>
                <w:szCs w:val="22"/>
              </w:rPr>
              <w:t>Digestive system</w:t>
            </w:r>
          </w:p>
        </w:tc>
        <w:tc>
          <w:tcPr>
            <w:tcW w:w="1346" w:type="dxa"/>
            <w:tcBorders>
              <w:top w:val="single" w:sz="4" w:space="0" w:color="auto"/>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21.8</w:t>
            </w:r>
          </w:p>
        </w:tc>
        <w:tc>
          <w:tcPr>
            <w:tcW w:w="1347" w:type="dxa"/>
            <w:tcBorders>
              <w:top w:val="single" w:sz="4" w:space="0" w:color="auto"/>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17.6</w:t>
            </w:r>
          </w:p>
        </w:tc>
        <w:tc>
          <w:tcPr>
            <w:tcW w:w="1347" w:type="dxa"/>
            <w:tcBorders>
              <w:top w:val="single" w:sz="4" w:space="0" w:color="auto"/>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41.6</w:t>
            </w:r>
          </w:p>
        </w:tc>
        <w:tc>
          <w:tcPr>
            <w:tcW w:w="1347" w:type="dxa"/>
            <w:tcBorders>
              <w:top w:val="single" w:sz="4" w:space="0" w:color="auto"/>
              <w:left w:val="single" w:sz="4" w:space="0" w:color="auto"/>
              <w:bottom w:val="nil"/>
            </w:tcBorders>
          </w:tcPr>
          <w:p w:rsidR="008B2E99" w:rsidRPr="003E7C6C" w:rsidRDefault="008B2E99">
            <w:pPr>
              <w:pStyle w:val="Tabletext"/>
              <w:jc w:val="center"/>
              <w:rPr>
                <w:sz w:val="22"/>
                <w:szCs w:val="22"/>
              </w:rPr>
            </w:pPr>
            <w:r w:rsidRPr="003E7C6C">
              <w:rPr>
                <w:sz w:val="22"/>
                <w:szCs w:val="22"/>
              </w:rPr>
              <w:t>41.2</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Diarrhea</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2.9</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4.8</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7.3</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5.7</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Nausea</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2.3</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2.3</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0.5</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1.9</w:t>
            </w:r>
          </w:p>
        </w:tc>
      </w:tr>
      <w:tr w:rsidR="008B2E99" w:rsidRPr="003E7C6C" w:rsidTr="008A2657">
        <w:tc>
          <w:tcPr>
            <w:tcW w:w="3402" w:type="dxa"/>
            <w:tcBorders>
              <w:top w:val="nil"/>
              <w:bottom w:val="nil"/>
              <w:right w:val="single" w:sz="4" w:space="0" w:color="auto"/>
            </w:tcBorders>
            <w:vAlign w:val="center"/>
          </w:tcPr>
          <w:p w:rsidR="008B2E99" w:rsidRPr="003E7C6C" w:rsidRDefault="008B2E99">
            <w:pPr>
              <w:pStyle w:val="Tabletext"/>
              <w:rPr>
                <w:sz w:val="22"/>
                <w:szCs w:val="22"/>
              </w:rPr>
            </w:pPr>
            <w:r w:rsidRPr="003E7C6C">
              <w:rPr>
                <w:sz w:val="22"/>
                <w:szCs w:val="22"/>
              </w:rPr>
              <w:t>Constipation</w:t>
            </w:r>
          </w:p>
        </w:tc>
        <w:tc>
          <w:tcPr>
            <w:tcW w:w="1346"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2.3</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1.5</w:t>
            </w:r>
          </w:p>
        </w:tc>
        <w:tc>
          <w:tcPr>
            <w:tcW w:w="1347" w:type="dxa"/>
            <w:tcBorders>
              <w:top w:val="nil"/>
              <w:left w:val="single" w:sz="4" w:space="0" w:color="auto"/>
              <w:bottom w:val="nil"/>
              <w:right w:val="single" w:sz="4" w:space="0" w:color="auto"/>
            </w:tcBorders>
          </w:tcPr>
          <w:p w:rsidR="008B2E99" w:rsidRPr="003E7C6C" w:rsidRDefault="008B2E99">
            <w:pPr>
              <w:pStyle w:val="Tabletext"/>
              <w:jc w:val="center"/>
              <w:rPr>
                <w:sz w:val="22"/>
                <w:szCs w:val="22"/>
              </w:rPr>
            </w:pPr>
            <w:r w:rsidRPr="003E7C6C">
              <w:rPr>
                <w:sz w:val="22"/>
                <w:szCs w:val="22"/>
              </w:rPr>
              <w:t>5.3</w:t>
            </w:r>
          </w:p>
        </w:tc>
        <w:tc>
          <w:tcPr>
            <w:tcW w:w="1347" w:type="dxa"/>
            <w:tcBorders>
              <w:top w:val="nil"/>
              <w:left w:val="single" w:sz="4" w:space="0" w:color="auto"/>
              <w:bottom w:val="nil"/>
            </w:tcBorders>
          </w:tcPr>
          <w:p w:rsidR="008B2E99" w:rsidRPr="003E7C6C" w:rsidRDefault="008B2E99">
            <w:pPr>
              <w:pStyle w:val="Tabletext"/>
              <w:jc w:val="center"/>
              <w:rPr>
                <w:sz w:val="22"/>
                <w:szCs w:val="22"/>
              </w:rPr>
            </w:pPr>
            <w:r w:rsidRPr="003E7C6C">
              <w:rPr>
                <w:sz w:val="22"/>
                <w:szCs w:val="22"/>
              </w:rPr>
              <w:t>3.8</w:t>
            </w:r>
          </w:p>
        </w:tc>
      </w:tr>
      <w:tr w:rsidR="008B2E99" w:rsidRPr="003E7C6C" w:rsidTr="008A2657">
        <w:tc>
          <w:tcPr>
            <w:tcW w:w="3402" w:type="dxa"/>
            <w:tcBorders>
              <w:top w:val="nil"/>
              <w:right w:val="single" w:sz="4" w:space="0" w:color="auto"/>
            </w:tcBorders>
            <w:vAlign w:val="center"/>
          </w:tcPr>
          <w:p w:rsidR="008B2E99" w:rsidRPr="003E7C6C" w:rsidRDefault="008B2E99">
            <w:pPr>
              <w:pStyle w:val="Tabletext"/>
              <w:rPr>
                <w:sz w:val="22"/>
                <w:szCs w:val="22"/>
              </w:rPr>
            </w:pPr>
            <w:r w:rsidRPr="003E7C6C">
              <w:rPr>
                <w:sz w:val="22"/>
                <w:szCs w:val="22"/>
              </w:rPr>
              <w:t>Dyspepsia</w:t>
            </w:r>
          </w:p>
        </w:tc>
        <w:tc>
          <w:tcPr>
            <w:tcW w:w="1346" w:type="dxa"/>
            <w:tcBorders>
              <w:top w:val="nil"/>
              <w:left w:val="single" w:sz="4" w:space="0" w:color="auto"/>
              <w:right w:val="single" w:sz="4" w:space="0" w:color="auto"/>
            </w:tcBorders>
          </w:tcPr>
          <w:p w:rsidR="008B2E99" w:rsidRPr="003E7C6C" w:rsidRDefault="008B2E99">
            <w:pPr>
              <w:pStyle w:val="Tabletext"/>
              <w:jc w:val="center"/>
              <w:rPr>
                <w:sz w:val="22"/>
                <w:szCs w:val="22"/>
              </w:rPr>
            </w:pPr>
            <w:r w:rsidRPr="003E7C6C">
              <w:rPr>
                <w:sz w:val="22"/>
                <w:szCs w:val="22"/>
              </w:rPr>
              <w:t>2.7</w:t>
            </w:r>
          </w:p>
        </w:tc>
        <w:tc>
          <w:tcPr>
            <w:tcW w:w="1347" w:type="dxa"/>
            <w:tcBorders>
              <w:top w:val="nil"/>
              <w:left w:val="single" w:sz="4" w:space="0" w:color="auto"/>
              <w:right w:val="single" w:sz="4" w:space="0" w:color="auto"/>
            </w:tcBorders>
          </w:tcPr>
          <w:p w:rsidR="008B2E99" w:rsidRPr="003E7C6C" w:rsidRDefault="008B2E99">
            <w:pPr>
              <w:pStyle w:val="Tabletext"/>
              <w:jc w:val="center"/>
              <w:rPr>
                <w:sz w:val="22"/>
                <w:szCs w:val="22"/>
              </w:rPr>
            </w:pPr>
            <w:r w:rsidRPr="003E7C6C">
              <w:rPr>
                <w:sz w:val="22"/>
                <w:szCs w:val="22"/>
              </w:rPr>
              <w:t>2.5</w:t>
            </w:r>
          </w:p>
        </w:tc>
        <w:tc>
          <w:tcPr>
            <w:tcW w:w="1347" w:type="dxa"/>
            <w:tcBorders>
              <w:top w:val="nil"/>
              <w:left w:val="single" w:sz="4" w:space="0" w:color="auto"/>
              <w:right w:val="single" w:sz="4" w:space="0" w:color="auto"/>
            </w:tcBorders>
          </w:tcPr>
          <w:p w:rsidR="008B2E99" w:rsidRPr="003E7C6C" w:rsidRDefault="008B2E99">
            <w:pPr>
              <w:pStyle w:val="Tabletext"/>
              <w:jc w:val="center"/>
              <w:rPr>
                <w:sz w:val="22"/>
                <w:szCs w:val="22"/>
              </w:rPr>
            </w:pPr>
            <w:r w:rsidRPr="003E7C6C">
              <w:rPr>
                <w:sz w:val="22"/>
                <w:szCs w:val="22"/>
              </w:rPr>
              <w:t>3.9</w:t>
            </w:r>
          </w:p>
        </w:tc>
        <w:tc>
          <w:tcPr>
            <w:tcW w:w="1347" w:type="dxa"/>
            <w:tcBorders>
              <w:top w:val="nil"/>
              <w:left w:val="single" w:sz="4" w:space="0" w:color="auto"/>
            </w:tcBorders>
          </w:tcPr>
          <w:p w:rsidR="008B2E99" w:rsidRPr="003E7C6C" w:rsidRDefault="008B2E99">
            <w:pPr>
              <w:pStyle w:val="Tabletext"/>
              <w:jc w:val="center"/>
              <w:rPr>
                <w:sz w:val="22"/>
                <w:szCs w:val="22"/>
              </w:rPr>
            </w:pPr>
            <w:r w:rsidRPr="003E7C6C">
              <w:rPr>
                <w:sz w:val="22"/>
                <w:szCs w:val="22"/>
              </w:rPr>
              <w:t>5.7</w:t>
            </w:r>
          </w:p>
        </w:tc>
      </w:tr>
      <w:tr w:rsidR="008B2E99" w:rsidRPr="003E7C6C" w:rsidTr="008A2657">
        <w:tc>
          <w:tcPr>
            <w:tcW w:w="3402" w:type="dxa"/>
            <w:vAlign w:val="center"/>
          </w:tcPr>
          <w:p w:rsidR="008B2E99" w:rsidRPr="003E7C6C" w:rsidRDefault="008B2E99">
            <w:pPr>
              <w:pStyle w:val="Tabletext"/>
              <w:rPr>
                <w:sz w:val="22"/>
                <w:szCs w:val="22"/>
              </w:rPr>
            </w:pPr>
            <w:r w:rsidRPr="003E7C6C">
              <w:rPr>
                <w:sz w:val="22"/>
                <w:szCs w:val="22"/>
              </w:rPr>
              <w:t>Endocrine system</w:t>
            </w:r>
          </w:p>
        </w:tc>
        <w:tc>
          <w:tcPr>
            <w:tcW w:w="1346" w:type="dxa"/>
          </w:tcPr>
          <w:p w:rsidR="008B2E99" w:rsidRPr="003E7C6C" w:rsidRDefault="008B2E99">
            <w:pPr>
              <w:pStyle w:val="Tabletext"/>
              <w:jc w:val="center"/>
              <w:rPr>
                <w:sz w:val="22"/>
                <w:szCs w:val="22"/>
              </w:rPr>
            </w:pPr>
            <w:r w:rsidRPr="003E7C6C">
              <w:rPr>
                <w:sz w:val="22"/>
                <w:szCs w:val="22"/>
              </w:rPr>
              <w:t>0.4</w:t>
            </w:r>
          </w:p>
        </w:tc>
        <w:tc>
          <w:tcPr>
            <w:tcW w:w="1347" w:type="dxa"/>
          </w:tcPr>
          <w:p w:rsidR="008B2E99" w:rsidRPr="003E7C6C" w:rsidRDefault="008B2E99">
            <w:pPr>
              <w:pStyle w:val="Tabletext"/>
              <w:jc w:val="center"/>
              <w:rPr>
                <w:sz w:val="22"/>
                <w:szCs w:val="22"/>
              </w:rPr>
            </w:pPr>
            <w:r w:rsidRPr="003E7C6C">
              <w:rPr>
                <w:sz w:val="22"/>
                <w:szCs w:val="22"/>
              </w:rPr>
              <w:t>0</w:t>
            </w:r>
          </w:p>
        </w:tc>
        <w:tc>
          <w:tcPr>
            <w:tcW w:w="1347" w:type="dxa"/>
          </w:tcPr>
          <w:p w:rsidR="008B2E99" w:rsidRPr="003E7C6C" w:rsidRDefault="008B2E99">
            <w:pPr>
              <w:pStyle w:val="Tabletext"/>
              <w:jc w:val="center"/>
              <w:rPr>
                <w:sz w:val="22"/>
                <w:szCs w:val="22"/>
              </w:rPr>
            </w:pPr>
            <w:r w:rsidRPr="003E7C6C">
              <w:rPr>
                <w:sz w:val="22"/>
                <w:szCs w:val="22"/>
              </w:rPr>
              <w:t>4.8</w:t>
            </w:r>
          </w:p>
        </w:tc>
        <w:tc>
          <w:tcPr>
            <w:tcW w:w="1347" w:type="dxa"/>
          </w:tcPr>
          <w:p w:rsidR="008B2E99" w:rsidRPr="003E7C6C" w:rsidRDefault="008B2E99">
            <w:pPr>
              <w:pStyle w:val="Tabletext"/>
              <w:jc w:val="center"/>
              <w:rPr>
                <w:sz w:val="22"/>
                <w:szCs w:val="22"/>
              </w:rPr>
            </w:pPr>
            <w:r w:rsidRPr="003E7C6C">
              <w:rPr>
                <w:sz w:val="22"/>
                <w:szCs w:val="22"/>
              </w:rPr>
              <w:t>5.2</w:t>
            </w:r>
          </w:p>
        </w:tc>
      </w:tr>
      <w:tr w:rsidR="008B2E99" w:rsidRPr="003E7C6C" w:rsidTr="008A2657">
        <w:tc>
          <w:tcPr>
            <w:tcW w:w="3402" w:type="dxa"/>
            <w:vAlign w:val="center"/>
          </w:tcPr>
          <w:p w:rsidR="008B2E99" w:rsidRPr="003E7C6C" w:rsidRDefault="008B2E99">
            <w:pPr>
              <w:pStyle w:val="Tabletext"/>
              <w:rPr>
                <w:sz w:val="22"/>
                <w:szCs w:val="22"/>
              </w:rPr>
            </w:pPr>
            <w:r w:rsidRPr="003E7C6C">
              <w:rPr>
                <w:sz w:val="22"/>
                <w:szCs w:val="22"/>
              </w:rPr>
              <w:t>Haemic &amp; lymphatic system</w:t>
            </w:r>
          </w:p>
        </w:tc>
        <w:tc>
          <w:tcPr>
            <w:tcW w:w="1346" w:type="dxa"/>
          </w:tcPr>
          <w:p w:rsidR="008B2E99" w:rsidRPr="003E7C6C" w:rsidRDefault="008B2E99">
            <w:pPr>
              <w:pStyle w:val="Tabletext"/>
              <w:jc w:val="center"/>
              <w:rPr>
                <w:sz w:val="22"/>
                <w:szCs w:val="22"/>
              </w:rPr>
            </w:pPr>
            <w:r w:rsidRPr="003E7C6C">
              <w:rPr>
                <w:sz w:val="22"/>
                <w:szCs w:val="22"/>
              </w:rPr>
              <w:t>2.1</w:t>
            </w:r>
          </w:p>
        </w:tc>
        <w:tc>
          <w:tcPr>
            <w:tcW w:w="1347" w:type="dxa"/>
          </w:tcPr>
          <w:p w:rsidR="008B2E99" w:rsidRPr="003E7C6C" w:rsidRDefault="008B2E99">
            <w:pPr>
              <w:pStyle w:val="Tabletext"/>
              <w:jc w:val="center"/>
              <w:rPr>
                <w:sz w:val="22"/>
                <w:szCs w:val="22"/>
              </w:rPr>
            </w:pPr>
            <w:r w:rsidRPr="003E7C6C">
              <w:rPr>
                <w:sz w:val="22"/>
                <w:szCs w:val="22"/>
              </w:rPr>
              <w:t>1.0</w:t>
            </w:r>
          </w:p>
        </w:tc>
        <w:tc>
          <w:tcPr>
            <w:tcW w:w="1347" w:type="dxa"/>
          </w:tcPr>
          <w:p w:rsidR="008B2E99" w:rsidRPr="003E7C6C" w:rsidRDefault="008B2E99">
            <w:pPr>
              <w:pStyle w:val="Tabletext"/>
              <w:jc w:val="center"/>
              <w:rPr>
                <w:sz w:val="22"/>
                <w:szCs w:val="22"/>
              </w:rPr>
            </w:pPr>
            <w:r w:rsidRPr="003E7C6C">
              <w:rPr>
                <w:sz w:val="22"/>
                <w:szCs w:val="22"/>
              </w:rPr>
              <w:t>9.2</w:t>
            </w:r>
          </w:p>
        </w:tc>
        <w:tc>
          <w:tcPr>
            <w:tcW w:w="1347" w:type="dxa"/>
          </w:tcPr>
          <w:p w:rsidR="008B2E99" w:rsidRPr="003E7C6C" w:rsidRDefault="008B2E99">
            <w:pPr>
              <w:pStyle w:val="Tabletext"/>
              <w:jc w:val="center"/>
              <w:rPr>
                <w:sz w:val="22"/>
                <w:szCs w:val="22"/>
              </w:rPr>
            </w:pPr>
            <w:r w:rsidRPr="003E7C6C">
              <w:rPr>
                <w:sz w:val="22"/>
                <w:szCs w:val="22"/>
              </w:rPr>
              <w:t>7.1</w:t>
            </w:r>
          </w:p>
        </w:tc>
      </w:tr>
      <w:tr w:rsidR="008B2E99" w:rsidRPr="003E7C6C" w:rsidTr="008A2657">
        <w:tc>
          <w:tcPr>
            <w:tcW w:w="3402" w:type="dxa"/>
            <w:vAlign w:val="center"/>
          </w:tcPr>
          <w:p w:rsidR="008B2E99" w:rsidRPr="003E7C6C" w:rsidRDefault="008B2E99" w:rsidP="00363E65">
            <w:pPr>
              <w:pStyle w:val="Tabletext"/>
              <w:jc w:val="left"/>
              <w:rPr>
                <w:sz w:val="22"/>
                <w:szCs w:val="22"/>
              </w:rPr>
            </w:pPr>
            <w:r w:rsidRPr="003E7C6C">
              <w:rPr>
                <w:sz w:val="22"/>
                <w:szCs w:val="22"/>
              </w:rPr>
              <w:t>Metabolic &amp; nutritional disorders</w:t>
            </w:r>
          </w:p>
          <w:p w:rsidR="008B2E99" w:rsidRPr="003E7C6C" w:rsidRDefault="008B2E99">
            <w:pPr>
              <w:pStyle w:val="Tabletext"/>
              <w:rPr>
                <w:sz w:val="22"/>
                <w:szCs w:val="22"/>
              </w:rPr>
            </w:pPr>
            <w:r w:rsidRPr="003E7C6C">
              <w:rPr>
                <w:sz w:val="22"/>
                <w:szCs w:val="22"/>
              </w:rPr>
              <w:t>CPK increase</w:t>
            </w:r>
          </w:p>
          <w:p w:rsidR="008B2E99" w:rsidRPr="003E7C6C" w:rsidRDefault="008B2E99">
            <w:pPr>
              <w:pStyle w:val="Tabletext"/>
              <w:rPr>
                <w:sz w:val="22"/>
                <w:szCs w:val="22"/>
              </w:rPr>
            </w:pPr>
            <w:r w:rsidRPr="003E7C6C">
              <w:rPr>
                <w:sz w:val="22"/>
                <w:szCs w:val="22"/>
              </w:rPr>
              <w:t>ALAT increase</w:t>
            </w:r>
          </w:p>
          <w:p w:rsidR="008B2E99" w:rsidRPr="003E7C6C" w:rsidRDefault="008B2E99">
            <w:pPr>
              <w:pStyle w:val="Tabletext"/>
              <w:rPr>
                <w:sz w:val="22"/>
                <w:szCs w:val="22"/>
              </w:rPr>
            </w:pPr>
            <w:r w:rsidRPr="003E7C6C">
              <w:rPr>
                <w:sz w:val="22"/>
                <w:szCs w:val="22"/>
              </w:rPr>
              <w:t>ASAT increase</w:t>
            </w:r>
          </w:p>
        </w:tc>
        <w:tc>
          <w:tcPr>
            <w:tcW w:w="1346" w:type="dxa"/>
          </w:tcPr>
          <w:p w:rsidR="008B2E99" w:rsidRPr="003E7C6C" w:rsidRDefault="008B2E99">
            <w:pPr>
              <w:pStyle w:val="Tabletext"/>
              <w:jc w:val="center"/>
              <w:rPr>
                <w:sz w:val="22"/>
                <w:szCs w:val="22"/>
              </w:rPr>
            </w:pPr>
            <w:r w:rsidRPr="003E7C6C">
              <w:rPr>
                <w:sz w:val="22"/>
                <w:szCs w:val="22"/>
              </w:rPr>
              <w:t>7.6</w:t>
            </w:r>
          </w:p>
          <w:p w:rsidR="008B2E99" w:rsidRPr="003E7C6C" w:rsidRDefault="008B2E99">
            <w:pPr>
              <w:pStyle w:val="Tabletext"/>
              <w:jc w:val="center"/>
              <w:rPr>
                <w:sz w:val="22"/>
                <w:szCs w:val="22"/>
              </w:rPr>
            </w:pPr>
            <w:r w:rsidRPr="003E7C6C">
              <w:rPr>
                <w:sz w:val="22"/>
                <w:szCs w:val="22"/>
              </w:rPr>
              <w:t>2.7</w:t>
            </w:r>
          </w:p>
          <w:p w:rsidR="008B2E99" w:rsidRPr="003E7C6C" w:rsidRDefault="008B2E99">
            <w:pPr>
              <w:pStyle w:val="Tabletext"/>
              <w:jc w:val="center"/>
              <w:rPr>
                <w:sz w:val="22"/>
                <w:szCs w:val="22"/>
              </w:rPr>
            </w:pPr>
            <w:r w:rsidRPr="003E7C6C">
              <w:rPr>
                <w:sz w:val="22"/>
                <w:szCs w:val="22"/>
              </w:rPr>
              <w:t>3.4</w:t>
            </w:r>
          </w:p>
          <w:p w:rsidR="008B2E99" w:rsidRPr="003E7C6C" w:rsidRDefault="008B2E99">
            <w:pPr>
              <w:pStyle w:val="Tabletext"/>
              <w:jc w:val="center"/>
              <w:rPr>
                <w:sz w:val="22"/>
                <w:szCs w:val="22"/>
              </w:rPr>
            </w:pPr>
            <w:r w:rsidRPr="003E7C6C">
              <w:rPr>
                <w:sz w:val="22"/>
                <w:szCs w:val="22"/>
              </w:rPr>
              <w:t>4.0</w:t>
            </w:r>
          </w:p>
        </w:tc>
        <w:tc>
          <w:tcPr>
            <w:tcW w:w="1347" w:type="dxa"/>
          </w:tcPr>
          <w:p w:rsidR="008B2E99" w:rsidRPr="003E7C6C" w:rsidRDefault="008B2E99">
            <w:pPr>
              <w:pStyle w:val="Tabletext"/>
              <w:jc w:val="center"/>
              <w:rPr>
                <w:sz w:val="22"/>
                <w:szCs w:val="22"/>
              </w:rPr>
            </w:pPr>
            <w:r w:rsidRPr="003E7C6C">
              <w:rPr>
                <w:sz w:val="22"/>
                <w:szCs w:val="22"/>
              </w:rPr>
              <w:t>5.5</w:t>
            </w:r>
          </w:p>
          <w:p w:rsidR="008B2E99" w:rsidRPr="003E7C6C" w:rsidRDefault="008B2E99">
            <w:pPr>
              <w:pStyle w:val="Tabletext"/>
              <w:jc w:val="center"/>
              <w:rPr>
                <w:sz w:val="22"/>
                <w:szCs w:val="22"/>
              </w:rPr>
            </w:pPr>
            <w:r w:rsidRPr="003E7C6C">
              <w:rPr>
                <w:sz w:val="22"/>
                <w:szCs w:val="22"/>
              </w:rPr>
              <w:t>1.2</w:t>
            </w:r>
          </w:p>
          <w:p w:rsidR="008B2E99" w:rsidRPr="003E7C6C" w:rsidRDefault="008B2E99">
            <w:pPr>
              <w:pStyle w:val="Tabletext"/>
              <w:jc w:val="center"/>
              <w:rPr>
                <w:sz w:val="22"/>
                <w:szCs w:val="22"/>
              </w:rPr>
            </w:pPr>
            <w:r w:rsidRPr="003E7C6C">
              <w:rPr>
                <w:sz w:val="22"/>
                <w:szCs w:val="22"/>
              </w:rPr>
              <w:t>1.5</w:t>
            </w:r>
          </w:p>
          <w:p w:rsidR="008B2E99" w:rsidRPr="003E7C6C" w:rsidRDefault="008B2E99">
            <w:pPr>
              <w:pStyle w:val="Tabletext"/>
              <w:jc w:val="center"/>
              <w:rPr>
                <w:sz w:val="22"/>
                <w:szCs w:val="22"/>
              </w:rPr>
            </w:pPr>
            <w:r w:rsidRPr="003E7C6C">
              <w:rPr>
                <w:sz w:val="22"/>
                <w:szCs w:val="22"/>
              </w:rPr>
              <w:t>0.5</w:t>
            </w:r>
          </w:p>
        </w:tc>
        <w:tc>
          <w:tcPr>
            <w:tcW w:w="1347" w:type="dxa"/>
          </w:tcPr>
          <w:p w:rsidR="008B2E99" w:rsidRPr="003E7C6C" w:rsidRDefault="008B2E99">
            <w:pPr>
              <w:pStyle w:val="Tabletext"/>
              <w:jc w:val="center"/>
              <w:rPr>
                <w:sz w:val="22"/>
                <w:szCs w:val="22"/>
              </w:rPr>
            </w:pPr>
            <w:r w:rsidRPr="003E7C6C">
              <w:rPr>
                <w:sz w:val="22"/>
                <w:szCs w:val="22"/>
              </w:rPr>
              <w:t>15.5</w:t>
            </w:r>
          </w:p>
          <w:p w:rsidR="008B2E99" w:rsidRPr="003E7C6C" w:rsidRDefault="008B2E99">
            <w:pPr>
              <w:pStyle w:val="Tabletext"/>
              <w:jc w:val="center"/>
              <w:rPr>
                <w:sz w:val="22"/>
                <w:szCs w:val="22"/>
              </w:rPr>
            </w:pPr>
            <w:r w:rsidRPr="003E7C6C">
              <w:rPr>
                <w:sz w:val="22"/>
                <w:szCs w:val="22"/>
              </w:rPr>
              <w:t>1.9</w:t>
            </w:r>
          </w:p>
          <w:p w:rsidR="008B2E99" w:rsidRPr="003E7C6C" w:rsidRDefault="008B2E99">
            <w:pPr>
              <w:pStyle w:val="Tabletext"/>
              <w:jc w:val="center"/>
              <w:rPr>
                <w:sz w:val="22"/>
                <w:szCs w:val="22"/>
              </w:rPr>
            </w:pPr>
            <w:r w:rsidRPr="003E7C6C">
              <w:rPr>
                <w:sz w:val="22"/>
                <w:szCs w:val="22"/>
              </w:rPr>
              <w:t>3.9</w:t>
            </w:r>
          </w:p>
          <w:p w:rsidR="008B2E99" w:rsidRPr="003E7C6C" w:rsidRDefault="008B2E99">
            <w:pPr>
              <w:pStyle w:val="Tabletext"/>
              <w:jc w:val="center"/>
              <w:rPr>
                <w:sz w:val="22"/>
                <w:szCs w:val="22"/>
              </w:rPr>
            </w:pPr>
            <w:r w:rsidRPr="003E7C6C">
              <w:rPr>
                <w:sz w:val="22"/>
                <w:szCs w:val="22"/>
              </w:rPr>
              <w:t>1.0</w:t>
            </w:r>
          </w:p>
        </w:tc>
        <w:tc>
          <w:tcPr>
            <w:tcW w:w="1347" w:type="dxa"/>
          </w:tcPr>
          <w:p w:rsidR="008B2E99" w:rsidRPr="003E7C6C" w:rsidRDefault="008B2E99">
            <w:pPr>
              <w:pStyle w:val="Tabletext"/>
              <w:jc w:val="center"/>
              <w:rPr>
                <w:sz w:val="22"/>
                <w:szCs w:val="22"/>
              </w:rPr>
            </w:pPr>
            <w:r w:rsidRPr="003E7C6C">
              <w:rPr>
                <w:sz w:val="22"/>
                <w:szCs w:val="22"/>
              </w:rPr>
              <w:t>19.4</w:t>
            </w:r>
          </w:p>
          <w:p w:rsidR="008B2E99" w:rsidRPr="003E7C6C" w:rsidRDefault="008B2E99">
            <w:pPr>
              <w:pStyle w:val="Tabletext"/>
              <w:jc w:val="center"/>
              <w:rPr>
                <w:sz w:val="22"/>
                <w:szCs w:val="22"/>
              </w:rPr>
            </w:pPr>
            <w:r w:rsidRPr="003E7C6C">
              <w:rPr>
                <w:sz w:val="22"/>
                <w:szCs w:val="22"/>
              </w:rPr>
              <w:t>2.8</w:t>
            </w:r>
          </w:p>
          <w:p w:rsidR="008B2E99" w:rsidRPr="003E7C6C" w:rsidRDefault="008B2E99">
            <w:pPr>
              <w:pStyle w:val="Tabletext"/>
              <w:jc w:val="center"/>
              <w:rPr>
                <w:sz w:val="22"/>
                <w:szCs w:val="22"/>
              </w:rPr>
            </w:pPr>
            <w:r w:rsidRPr="003E7C6C">
              <w:rPr>
                <w:sz w:val="22"/>
                <w:szCs w:val="22"/>
              </w:rPr>
              <w:t>1.4</w:t>
            </w:r>
          </w:p>
          <w:p w:rsidR="008B2E99" w:rsidRPr="003E7C6C" w:rsidRDefault="008B2E99">
            <w:pPr>
              <w:pStyle w:val="Tabletext"/>
              <w:jc w:val="center"/>
              <w:rPr>
                <w:sz w:val="22"/>
                <w:szCs w:val="22"/>
              </w:rPr>
            </w:pPr>
            <w:r w:rsidRPr="003E7C6C">
              <w:rPr>
                <w:sz w:val="22"/>
                <w:szCs w:val="22"/>
              </w:rPr>
              <w:t>1.9</w:t>
            </w:r>
          </w:p>
        </w:tc>
      </w:tr>
      <w:tr w:rsidR="008B2E99" w:rsidRPr="003E7C6C" w:rsidTr="008A2657">
        <w:tc>
          <w:tcPr>
            <w:tcW w:w="3402" w:type="dxa"/>
            <w:tcBorders>
              <w:bottom w:val="nil"/>
            </w:tcBorders>
            <w:vAlign w:val="center"/>
          </w:tcPr>
          <w:p w:rsidR="008B2E99" w:rsidRPr="003E7C6C" w:rsidRDefault="008B2E99">
            <w:pPr>
              <w:pStyle w:val="Tabletext"/>
              <w:rPr>
                <w:sz w:val="22"/>
                <w:szCs w:val="22"/>
              </w:rPr>
            </w:pPr>
            <w:r w:rsidRPr="003E7C6C">
              <w:rPr>
                <w:sz w:val="22"/>
                <w:szCs w:val="22"/>
              </w:rPr>
              <w:t>Musculo-skeletal system</w:t>
            </w:r>
          </w:p>
        </w:tc>
        <w:tc>
          <w:tcPr>
            <w:tcW w:w="1346" w:type="dxa"/>
            <w:tcBorders>
              <w:bottom w:val="nil"/>
            </w:tcBorders>
          </w:tcPr>
          <w:p w:rsidR="008B2E99" w:rsidRPr="003E7C6C" w:rsidRDefault="008B2E99">
            <w:pPr>
              <w:pStyle w:val="Tabletext"/>
              <w:jc w:val="center"/>
              <w:rPr>
                <w:sz w:val="22"/>
                <w:szCs w:val="22"/>
              </w:rPr>
            </w:pPr>
            <w:r w:rsidRPr="003E7C6C">
              <w:rPr>
                <w:sz w:val="22"/>
                <w:szCs w:val="22"/>
              </w:rPr>
              <w:t>4.9</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5.3</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40.6</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39.8</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Arthralgia</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1.9</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1.8</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25.1</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22.1</w:t>
            </w:r>
          </w:p>
        </w:tc>
      </w:tr>
      <w:tr w:rsidR="008B2E99" w:rsidRPr="003E7C6C" w:rsidTr="008A2657">
        <w:tc>
          <w:tcPr>
            <w:tcW w:w="3402" w:type="dxa"/>
            <w:tcBorders>
              <w:top w:val="nil"/>
              <w:bottom w:val="single" w:sz="4" w:space="0" w:color="auto"/>
            </w:tcBorders>
            <w:vAlign w:val="center"/>
          </w:tcPr>
          <w:p w:rsidR="008B2E99" w:rsidRPr="003E7C6C" w:rsidRDefault="008B2E99">
            <w:pPr>
              <w:pStyle w:val="Tabletext"/>
              <w:rPr>
                <w:sz w:val="22"/>
                <w:szCs w:val="22"/>
              </w:rPr>
            </w:pPr>
            <w:r w:rsidRPr="003E7C6C">
              <w:rPr>
                <w:sz w:val="22"/>
                <w:szCs w:val="22"/>
              </w:rPr>
              <w:t>Myalgia</w:t>
            </w:r>
          </w:p>
        </w:tc>
        <w:tc>
          <w:tcPr>
            <w:tcW w:w="1346"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0.8</w:t>
            </w:r>
          </w:p>
        </w:tc>
        <w:tc>
          <w:tcPr>
            <w:tcW w:w="1347"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1.0</w:t>
            </w:r>
          </w:p>
        </w:tc>
        <w:tc>
          <w:tcPr>
            <w:tcW w:w="1347"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3.4</w:t>
            </w:r>
          </w:p>
        </w:tc>
        <w:tc>
          <w:tcPr>
            <w:tcW w:w="1347"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3.8</w:t>
            </w:r>
          </w:p>
        </w:tc>
      </w:tr>
      <w:tr w:rsidR="008B2E99" w:rsidRPr="003E7C6C" w:rsidTr="008A2657">
        <w:tc>
          <w:tcPr>
            <w:tcW w:w="3402" w:type="dxa"/>
            <w:tcBorders>
              <w:top w:val="single" w:sz="4" w:space="0" w:color="auto"/>
              <w:bottom w:val="nil"/>
            </w:tcBorders>
            <w:vAlign w:val="center"/>
          </w:tcPr>
          <w:p w:rsidR="008B2E99" w:rsidRPr="003E7C6C" w:rsidRDefault="008B2E99">
            <w:pPr>
              <w:pStyle w:val="Tabletext"/>
              <w:rPr>
                <w:sz w:val="22"/>
                <w:szCs w:val="22"/>
              </w:rPr>
            </w:pPr>
            <w:r w:rsidRPr="003E7C6C">
              <w:rPr>
                <w:sz w:val="22"/>
                <w:szCs w:val="22"/>
              </w:rPr>
              <w:t>Nervous system</w:t>
            </w:r>
          </w:p>
        </w:tc>
        <w:tc>
          <w:tcPr>
            <w:tcW w:w="1346"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4.4</w:t>
            </w:r>
          </w:p>
        </w:tc>
        <w:tc>
          <w:tcPr>
            <w:tcW w:w="1347"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6.0</w:t>
            </w:r>
          </w:p>
        </w:tc>
        <w:tc>
          <w:tcPr>
            <w:tcW w:w="1347"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28.5</w:t>
            </w:r>
          </w:p>
        </w:tc>
        <w:tc>
          <w:tcPr>
            <w:tcW w:w="1347"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27.5</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Dizziness</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1.5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1.0</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7.3</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5.7</w:t>
            </w:r>
          </w:p>
        </w:tc>
      </w:tr>
      <w:tr w:rsidR="008B2E99" w:rsidRPr="003E7C6C" w:rsidTr="008A2657">
        <w:tc>
          <w:tcPr>
            <w:tcW w:w="3402" w:type="dxa"/>
            <w:tcBorders>
              <w:top w:val="nil"/>
            </w:tcBorders>
            <w:vAlign w:val="center"/>
          </w:tcPr>
          <w:p w:rsidR="008B2E99" w:rsidRPr="003E7C6C" w:rsidRDefault="008B2E99">
            <w:pPr>
              <w:pStyle w:val="Tabletext"/>
              <w:rPr>
                <w:sz w:val="22"/>
                <w:szCs w:val="22"/>
              </w:rPr>
            </w:pPr>
            <w:r w:rsidRPr="003E7C6C">
              <w:rPr>
                <w:sz w:val="22"/>
                <w:szCs w:val="22"/>
              </w:rPr>
              <w:t>Insomnia</w:t>
            </w:r>
          </w:p>
        </w:tc>
        <w:tc>
          <w:tcPr>
            <w:tcW w:w="1346" w:type="dxa"/>
            <w:tcBorders>
              <w:top w:val="nil"/>
            </w:tcBorders>
          </w:tcPr>
          <w:p w:rsidR="008B2E99" w:rsidRPr="003E7C6C" w:rsidRDefault="008B2E99">
            <w:pPr>
              <w:pStyle w:val="Tabletext"/>
              <w:jc w:val="center"/>
              <w:rPr>
                <w:sz w:val="22"/>
                <w:szCs w:val="22"/>
              </w:rPr>
            </w:pPr>
            <w:r w:rsidRPr="003E7C6C">
              <w:rPr>
                <w:sz w:val="22"/>
                <w:szCs w:val="22"/>
              </w:rPr>
              <w:t>1.05</w:t>
            </w:r>
          </w:p>
        </w:tc>
        <w:tc>
          <w:tcPr>
            <w:tcW w:w="1347" w:type="dxa"/>
            <w:tcBorders>
              <w:top w:val="nil"/>
            </w:tcBorders>
          </w:tcPr>
          <w:p w:rsidR="008B2E99" w:rsidRPr="003E7C6C" w:rsidRDefault="008B2E99">
            <w:pPr>
              <w:pStyle w:val="Tabletext"/>
              <w:jc w:val="center"/>
              <w:rPr>
                <w:sz w:val="22"/>
                <w:szCs w:val="22"/>
              </w:rPr>
            </w:pPr>
            <w:r w:rsidRPr="003E7C6C">
              <w:rPr>
                <w:sz w:val="22"/>
                <w:szCs w:val="22"/>
              </w:rPr>
              <w:t>0.5</w:t>
            </w:r>
          </w:p>
        </w:tc>
        <w:tc>
          <w:tcPr>
            <w:tcW w:w="1347" w:type="dxa"/>
            <w:tcBorders>
              <w:top w:val="nil"/>
            </w:tcBorders>
          </w:tcPr>
          <w:p w:rsidR="008B2E99" w:rsidRPr="003E7C6C" w:rsidRDefault="008B2E99">
            <w:pPr>
              <w:pStyle w:val="Tabletext"/>
              <w:jc w:val="center"/>
              <w:rPr>
                <w:sz w:val="22"/>
                <w:szCs w:val="22"/>
              </w:rPr>
            </w:pPr>
            <w:r w:rsidRPr="003E7C6C">
              <w:rPr>
                <w:sz w:val="22"/>
                <w:szCs w:val="22"/>
              </w:rPr>
              <w:t>1.9</w:t>
            </w:r>
          </w:p>
        </w:tc>
        <w:tc>
          <w:tcPr>
            <w:tcW w:w="1347" w:type="dxa"/>
            <w:tcBorders>
              <w:top w:val="nil"/>
            </w:tcBorders>
          </w:tcPr>
          <w:p w:rsidR="008B2E99" w:rsidRPr="003E7C6C" w:rsidRDefault="008B2E99">
            <w:pPr>
              <w:pStyle w:val="Tabletext"/>
              <w:jc w:val="center"/>
              <w:rPr>
                <w:sz w:val="22"/>
                <w:szCs w:val="22"/>
              </w:rPr>
            </w:pPr>
            <w:r w:rsidRPr="003E7C6C">
              <w:rPr>
                <w:sz w:val="22"/>
                <w:szCs w:val="22"/>
              </w:rPr>
              <w:t>2.4</w:t>
            </w:r>
          </w:p>
        </w:tc>
      </w:tr>
      <w:tr w:rsidR="008B2E99" w:rsidRPr="003E7C6C" w:rsidTr="008A2657">
        <w:tc>
          <w:tcPr>
            <w:tcW w:w="3402" w:type="dxa"/>
            <w:tcBorders>
              <w:bottom w:val="nil"/>
            </w:tcBorders>
            <w:vAlign w:val="center"/>
          </w:tcPr>
          <w:p w:rsidR="008B2E99" w:rsidRPr="003E7C6C" w:rsidRDefault="008B2E99">
            <w:pPr>
              <w:pStyle w:val="Tabletext"/>
              <w:rPr>
                <w:sz w:val="22"/>
                <w:szCs w:val="22"/>
              </w:rPr>
            </w:pPr>
            <w:r w:rsidRPr="003E7C6C">
              <w:rPr>
                <w:sz w:val="22"/>
                <w:szCs w:val="22"/>
              </w:rPr>
              <w:t>Respiratory system</w:t>
            </w:r>
          </w:p>
        </w:tc>
        <w:tc>
          <w:tcPr>
            <w:tcW w:w="1346" w:type="dxa"/>
            <w:tcBorders>
              <w:bottom w:val="nil"/>
            </w:tcBorders>
          </w:tcPr>
          <w:p w:rsidR="008B2E99" w:rsidRPr="003E7C6C" w:rsidRDefault="008B2E99">
            <w:pPr>
              <w:pStyle w:val="Tabletext"/>
              <w:jc w:val="center"/>
              <w:rPr>
                <w:sz w:val="22"/>
                <w:szCs w:val="22"/>
              </w:rPr>
            </w:pPr>
            <w:r w:rsidRPr="003E7C6C">
              <w:rPr>
                <w:sz w:val="22"/>
                <w:szCs w:val="22"/>
              </w:rPr>
              <w:t>12.9</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12.1</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52.2</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49.8</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Respiratory dis.</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6.3</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5.5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6.8</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4.3</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Sinusitis</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1.9</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7.7</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7.6</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Pharyngitis</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2.9</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7.8</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7.6</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Rhinitis</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2.7</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1.8</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23.2</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21.2</w:t>
            </w:r>
          </w:p>
        </w:tc>
      </w:tr>
      <w:tr w:rsidR="008B2E99" w:rsidRPr="003E7C6C" w:rsidTr="008A2657">
        <w:tc>
          <w:tcPr>
            <w:tcW w:w="3402" w:type="dxa"/>
            <w:tcBorders>
              <w:top w:val="nil"/>
              <w:bottom w:val="single" w:sz="4" w:space="0" w:color="auto"/>
            </w:tcBorders>
            <w:vAlign w:val="center"/>
          </w:tcPr>
          <w:p w:rsidR="008B2E99" w:rsidRPr="003E7C6C" w:rsidRDefault="008B2E99">
            <w:pPr>
              <w:pStyle w:val="Tabletext"/>
              <w:rPr>
                <w:sz w:val="22"/>
                <w:szCs w:val="22"/>
              </w:rPr>
            </w:pPr>
            <w:r w:rsidRPr="003E7C6C">
              <w:rPr>
                <w:sz w:val="22"/>
                <w:szCs w:val="22"/>
              </w:rPr>
              <w:t>Bronchitis</w:t>
            </w:r>
          </w:p>
        </w:tc>
        <w:tc>
          <w:tcPr>
            <w:tcW w:w="1346"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1.3</w:t>
            </w:r>
          </w:p>
        </w:tc>
        <w:tc>
          <w:tcPr>
            <w:tcW w:w="1347"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1.3</w:t>
            </w:r>
          </w:p>
        </w:tc>
        <w:tc>
          <w:tcPr>
            <w:tcW w:w="1347"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16.4</w:t>
            </w:r>
          </w:p>
        </w:tc>
        <w:tc>
          <w:tcPr>
            <w:tcW w:w="1347" w:type="dxa"/>
            <w:tcBorders>
              <w:top w:val="nil"/>
              <w:bottom w:val="single" w:sz="4" w:space="0" w:color="auto"/>
            </w:tcBorders>
          </w:tcPr>
          <w:p w:rsidR="008B2E99" w:rsidRPr="003E7C6C" w:rsidRDefault="008B2E99">
            <w:pPr>
              <w:pStyle w:val="Tabletext"/>
              <w:jc w:val="center"/>
              <w:rPr>
                <w:sz w:val="22"/>
                <w:szCs w:val="22"/>
              </w:rPr>
            </w:pPr>
            <w:r w:rsidRPr="003E7C6C">
              <w:rPr>
                <w:sz w:val="22"/>
                <w:szCs w:val="22"/>
              </w:rPr>
              <w:t>14.7</w:t>
            </w:r>
          </w:p>
        </w:tc>
      </w:tr>
      <w:tr w:rsidR="008B2E99" w:rsidRPr="003E7C6C" w:rsidTr="008A2657">
        <w:tc>
          <w:tcPr>
            <w:tcW w:w="3402" w:type="dxa"/>
            <w:tcBorders>
              <w:top w:val="single" w:sz="4" w:space="0" w:color="auto"/>
              <w:bottom w:val="nil"/>
            </w:tcBorders>
            <w:vAlign w:val="center"/>
          </w:tcPr>
          <w:p w:rsidR="008B2E99" w:rsidRPr="003E7C6C" w:rsidRDefault="008B2E99">
            <w:pPr>
              <w:pStyle w:val="Tabletext"/>
              <w:rPr>
                <w:sz w:val="22"/>
                <w:szCs w:val="22"/>
              </w:rPr>
            </w:pPr>
            <w:r w:rsidRPr="003E7C6C">
              <w:rPr>
                <w:sz w:val="22"/>
                <w:szCs w:val="22"/>
              </w:rPr>
              <w:t>Skin and appendages</w:t>
            </w:r>
          </w:p>
        </w:tc>
        <w:tc>
          <w:tcPr>
            <w:tcW w:w="1346"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7.0</w:t>
            </w:r>
          </w:p>
        </w:tc>
        <w:tc>
          <w:tcPr>
            <w:tcW w:w="1347"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2.5</w:t>
            </w:r>
          </w:p>
        </w:tc>
        <w:tc>
          <w:tcPr>
            <w:tcW w:w="1347"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28.0</w:t>
            </w:r>
          </w:p>
        </w:tc>
        <w:tc>
          <w:tcPr>
            <w:tcW w:w="1347" w:type="dxa"/>
            <w:tcBorders>
              <w:top w:val="single" w:sz="4" w:space="0" w:color="auto"/>
              <w:bottom w:val="nil"/>
            </w:tcBorders>
          </w:tcPr>
          <w:p w:rsidR="008B2E99" w:rsidRPr="003E7C6C" w:rsidRDefault="008B2E99">
            <w:pPr>
              <w:pStyle w:val="Tabletext"/>
              <w:jc w:val="center"/>
              <w:rPr>
                <w:sz w:val="22"/>
                <w:szCs w:val="22"/>
              </w:rPr>
            </w:pPr>
            <w:r w:rsidRPr="003E7C6C">
              <w:rPr>
                <w:sz w:val="22"/>
                <w:szCs w:val="22"/>
              </w:rPr>
              <w:t>22.8</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Rash</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1.5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0.75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7.3</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4.3</w:t>
            </w:r>
          </w:p>
        </w:tc>
      </w:tr>
      <w:tr w:rsidR="008B2E99" w:rsidRPr="003E7C6C" w:rsidTr="008A2657">
        <w:tc>
          <w:tcPr>
            <w:tcW w:w="3402" w:type="dxa"/>
            <w:tcBorders>
              <w:top w:val="nil"/>
              <w:bottom w:val="nil"/>
            </w:tcBorders>
            <w:vAlign w:val="center"/>
          </w:tcPr>
          <w:p w:rsidR="008B2E99" w:rsidRPr="003E7C6C" w:rsidRDefault="008B2E99">
            <w:pPr>
              <w:pStyle w:val="Tabletext"/>
              <w:rPr>
                <w:sz w:val="22"/>
                <w:szCs w:val="22"/>
              </w:rPr>
            </w:pPr>
            <w:r w:rsidRPr="003E7C6C">
              <w:rPr>
                <w:sz w:val="22"/>
                <w:szCs w:val="22"/>
              </w:rPr>
              <w:t>Pruritus</w:t>
            </w:r>
          </w:p>
        </w:tc>
        <w:tc>
          <w:tcPr>
            <w:tcW w:w="1346" w:type="dxa"/>
            <w:tcBorders>
              <w:top w:val="nil"/>
              <w:bottom w:val="nil"/>
            </w:tcBorders>
          </w:tcPr>
          <w:p w:rsidR="008B2E99" w:rsidRPr="003E7C6C" w:rsidRDefault="008B2E99">
            <w:pPr>
              <w:pStyle w:val="Tabletext"/>
              <w:jc w:val="center"/>
              <w:rPr>
                <w:sz w:val="22"/>
                <w:szCs w:val="22"/>
              </w:rPr>
            </w:pPr>
            <w:r w:rsidRPr="003E7C6C">
              <w:rPr>
                <w:sz w:val="22"/>
                <w:szCs w:val="22"/>
              </w:rPr>
              <w:t>2.1</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0.5</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3.4</w:t>
            </w:r>
          </w:p>
        </w:tc>
        <w:tc>
          <w:tcPr>
            <w:tcW w:w="1347" w:type="dxa"/>
            <w:tcBorders>
              <w:top w:val="nil"/>
              <w:bottom w:val="nil"/>
            </w:tcBorders>
          </w:tcPr>
          <w:p w:rsidR="008B2E99" w:rsidRPr="003E7C6C" w:rsidRDefault="008B2E99">
            <w:pPr>
              <w:pStyle w:val="Tabletext"/>
              <w:jc w:val="center"/>
              <w:rPr>
                <w:sz w:val="22"/>
                <w:szCs w:val="22"/>
              </w:rPr>
            </w:pPr>
            <w:r w:rsidRPr="003E7C6C">
              <w:rPr>
                <w:sz w:val="22"/>
                <w:szCs w:val="22"/>
              </w:rPr>
              <w:t>2.8</w:t>
            </w:r>
          </w:p>
        </w:tc>
      </w:tr>
      <w:tr w:rsidR="008B2E99" w:rsidRPr="003E7C6C" w:rsidTr="008A2657">
        <w:tc>
          <w:tcPr>
            <w:tcW w:w="3402" w:type="dxa"/>
            <w:tcBorders>
              <w:top w:val="nil"/>
            </w:tcBorders>
            <w:vAlign w:val="center"/>
          </w:tcPr>
          <w:p w:rsidR="008B2E99" w:rsidRPr="003E7C6C" w:rsidRDefault="008B2E99">
            <w:pPr>
              <w:pStyle w:val="Tabletext"/>
              <w:rPr>
                <w:sz w:val="22"/>
                <w:szCs w:val="22"/>
              </w:rPr>
            </w:pPr>
            <w:r w:rsidRPr="003E7C6C">
              <w:rPr>
                <w:sz w:val="22"/>
                <w:szCs w:val="22"/>
              </w:rPr>
              <w:t>Urticaria</w:t>
            </w:r>
          </w:p>
        </w:tc>
        <w:tc>
          <w:tcPr>
            <w:tcW w:w="1346" w:type="dxa"/>
            <w:tcBorders>
              <w:top w:val="nil"/>
            </w:tcBorders>
          </w:tcPr>
          <w:p w:rsidR="008B2E99" w:rsidRPr="003E7C6C" w:rsidRDefault="008B2E99">
            <w:pPr>
              <w:pStyle w:val="Tabletext"/>
              <w:jc w:val="center"/>
              <w:rPr>
                <w:sz w:val="22"/>
                <w:szCs w:val="22"/>
              </w:rPr>
            </w:pPr>
            <w:r w:rsidRPr="003E7C6C">
              <w:rPr>
                <w:sz w:val="22"/>
                <w:szCs w:val="22"/>
              </w:rPr>
              <w:t>1.3</w:t>
            </w:r>
          </w:p>
        </w:tc>
        <w:tc>
          <w:tcPr>
            <w:tcW w:w="1347" w:type="dxa"/>
            <w:tcBorders>
              <w:top w:val="nil"/>
            </w:tcBorders>
          </w:tcPr>
          <w:p w:rsidR="008B2E99" w:rsidRPr="003E7C6C" w:rsidRDefault="008B2E99">
            <w:pPr>
              <w:pStyle w:val="Tabletext"/>
              <w:jc w:val="center"/>
              <w:rPr>
                <w:sz w:val="22"/>
                <w:szCs w:val="22"/>
              </w:rPr>
            </w:pPr>
            <w:r w:rsidRPr="003E7C6C">
              <w:rPr>
                <w:sz w:val="22"/>
                <w:szCs w:val="22"/>
              </w:rPr>
              <w:t>0</w:t>
            </w:r>
          </w:p>
        </w:tc>
        <w:tc>
          <w:tcPr>
            <w:tcW w:w="1347" w:type="dxa"/>
            <w:tcBorders>
              <w:top w:val="nil"/>
            </w:tcBorders>
          </w:tcPr>
          <w:p w:rsidR="008B2E99" w:rsidRPr="003E7C6C" w:rsidRDefault="008B2E99">
            <w:pPr>
              <w:pStyle w:val="Tabletext"/>
              <w:jc w:val="center"/>
              <w:rPr>
                <w:sz w:val="22"/>
                <w:szCs w:val="22"/>
              </w:rPr>
            </w:pPr>
            <w:r w:rsidRPr="003E7C6C">
              <w:rPr>
                <w:sz w:val="22"/>
                <w:szCs w:val="22"/>
              </w:rPr>
              <w:t>0</w:t>
            </w:r>
          </w:p>
        </w:tc>
        <w:tc>
          <w:tcPr>
            <w:tcW w:w="1347" w:type="dxa"/>
            <w:tcBorders>
              <w:top w:val="nil"/>
            </w:tcBorders>
          </w:tcPr>
          <w:p w:rsidR="008B2E99" w:rsidRPr="003E7C6C" w:rsidRDefault="008B2E99">
            <w:pPr>
              <w:pStyle w:val="Tabletext"/>
              <w:jc w:val="center"/>
              <w:rPr>
                <w:sz w:val="22"/>
                <w:szCs w:val="22"/>
              </w:rPr>
            </w:pPr>
            <w:r w:rsidRPr="003E7C6C">
              <w:rPr>
                <w:sz w:val="22"/>
                <w:szCs w:val="22"/>
              </w:rPr>
              <w:t>0</w:t>
            </w:r>
          </w:p>
        </w:tc>
      </w:tr>
      <w:tr w:rsidR="008B2E99" w:rsidRPr="003E7C6C" w:rsidTr="008A2657">
        <w:tc>
          <w:tcPr>
            <w:tcW w:w="3402" w:type="dxa"/>
            <w:tcBorders>
              <w:bottom w:val="nil"/>
            </w:tcBorders>
            <w:vAlign w:val="center"/>
          </w:tcPr>
          <w:p w:rsidR="008B2E99" w:rsidRPr="003E7C6C" w:rsidRDefault="008B2E99">
            <w:pPr>
              <w:pStyle w:val="Tabletext"/>
              <w:rPr>
                <w:sz w:val="22"/>
                <w:szCs w:val="22"/>
              </w:rPr>
            </w:pPr>
            <w:r w:rsidRPr="003E7C6C">
              <w:rPr>
                <w:sz w:val="22"/>
                <w:szCs w:val="22"/>
              </w:rPr>
              <w:t>Special senses</w:t>
            </w:r>
          </w:p>
        </w:tc>
        <w:tc>
          <w:tcPr>
            <w:tcW w:w="1346" w:type="dxa"/>
            <w:tcBorders>
              <w:bottom w:val="nil"/>
            </w:tcBorders>
          </w:tcPr>
          <w:p w:rsidR="008B2E99" w:rsidRPr="003E7C6C" w:rsidRDefault="008B2E99">
            <w:pPr>
              <w:pStyle w:val="Tabletext"/>
              <w:jc w:val="center"/>
              <w:rPr>
                <w:sz w:val="22"/>
                <w:szCs w:val="22"/>
              </w:rPr>
            </w:pPr>
            <w:r w:rsidRPr="003E7C6C">
              <w:rPr>
                <w:sz w:val="22"/>
                <w:szCs w:val="22"/>
              </w:rPr>
              <w:t>3.2</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2.8</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21.3</w:t>
            </w:r>
          </w:p>
        </w:tc>
        <w:tc>
          <w:tcPr>
            <w:tcW w:w="1347" w:type="dxa"/>
            <w:tcBorders>
              <w:bottom w:val="nil"/>
            </w:tcBorders>
          </w:tcPr>
          <w:p w:rsidR="008B2E99" w:rsidRPr="003E7C6C" w:rsidRDefault="008B2E99">
            <w:pPr>
              <w:pStyle w:val="Tabletext"/>
              <w:jc w:val="center"/>
              <w:rPr>
                <w:sz w:val="22"/>
                <w:szCs w:val="22"/>
              </w:rPr>
            </w:pPr>
            <w:r w:rsidRPr="003E7C6C">
              <w:rPr>
                <w:sz w:val="22"/>
                <w:szCs w:val="22"/>
              </w:rPr>
              <w:t>23.7</w:t>
            </w:r>
          </w:p>
        </w:tc>
      </w:tr>
      <w:tr w:rsidR="008B2E99" w:rsidRPr="003E7C6C" w:rsidTr="008A2657">
        <w:tc>
          <w:tcPr>
            <w:tcW w:w="3402" w:type="dxa"/>
            <w:tcBorders>
              <w:top w:val="nil"/>
            </w:tcBorders>
            <w:vAlign w:val="center"/>
          </w:tcPr>
          <w:p w:rsidR="008B2E99" w:rsidRPr="003E7C6C" w:rsidRDefault="008B2E99">
            <w:pPr>
              <w:pStyle w:val="Tabletext"/>
              <w:rPr>
                <w:sz w:val="22"/>
                <w:szCs w:val="22"/>
              </w:rPr>
            </w:pPr>
            <w:r w:rsidRPr="003E7C6C">
              <w:rPr>
                <w:sz w:val="22"/>
                <w:szCs w:val="22"/>
              </w:rPr>
              <w:t>Conjunctivitis</w:t>
            </w:r>
          </w:p>
        </w:tc>
        <w:tc>
          <w:tcPr>
            <w:tcW w:w="1346" w:type="dxa"/>
            <w:tcBorders>
              <w:top w:val="nil"/>
            </w:tcBorders>
          </w:tcPr>
          <w:p w:rsidR="008B2E99" w:rsidRPr="003E7C6C" w:rsidRDefault="008B2E99">
            <w:pPr>
              <w:pStyle w:val="Tabletext"/>
              <w:jc w:val="center"/>
              <w:rPr>
                <w:sz w:val="22"/>
                <w:szCs w:val="22"/>
              </w:rPr>
            </w:pPr>
            <w:r w:rsidRPr="003E7C6C">
              <w:rPr>
                <w:sz w:val="22"/>
                <w:szCs w:val="22"/>
              </w:rPr>
              <w:t>1.05</w:t>
            </w:r>
          </w:p>
        </w:tc>
        <w:tc>
          <w:tcPr>
            <w:tcW w:w="1347" w:type="dxa"/>
            <w:tcBorders>
              <w:top w:val="nil"/>
            </w:tcBorders>
          </w:tcPr>
          <w:p w:rsidR="008B2E99" w:rsidRPr="003E7C6C" w:rsidRDefault="008B2E99">
            <w:pPr>
              <w:pStyle w:val="Tabletext"/>
              <w:jc w:val="center"/>
              <w:rPr>
                <w:sz w:val="22"/>
                <w:szCs w:val="22"/>
              </w:rPr>
            </w:pPr>
            <w:r w:rsidRPr="003E7C6C">
              <w:rPr>
                <w:sz w:val="22"/>
                <w:szCs w:val="22"/>
              </w:rPr>
              <w:t>1.0</w:t>
            </w:r>
          </w:p>
        </w:tc>
        <w:tc>
          <w:tcPr>
            <w:tcW w:w="1347" w:type="dxa"/>
            <w:tcBorders>
              <w:top w:val="nil"/>
            </w:tcBorders>
          </w:tcPr>
          <w:p w:rsidR="008B2E99" w:rsidRPr="003E7C6C" w:rsidRDefault="008B2E99">
            <w:pPr>
              <w:pStyle w:val="Tabletext"/>
              <w:jc w:val="center"/>
              <w:rPr>
                <w:sz w:val="22"/>
                <w:szCs w:val="22"/>
              </w:rPr>
            </w:pPr>
            <w:r w:rsidRPr="003E7C6C">
              <w:rPr>
                <w:sz w:val="22"/>
                <w:szCs w:val="22"/>
              </w:rPr>
              <w:t>1.9</w:t>
            </w:r>
          </w:p>
        </w:tc>
        <w:tc>
          <w:tcPr>
            <w:tcW w:w="1347" w:type="dxa"/>
            <w:tcBorders>
              <w:top w:val="nil"/>
            </w:tcBorders>
          </w:tcPr>
          <w:p w:rsidR="008B2E99" w:rsidRPr="003E7C6C" w:rsidRDefault="008B2E99">
            <w:pPr>
              <w:pStyle w:val="Tabletext"/>
              <w:jc w:val="center"/>
              <w:rPr>
                <w:sz w:val="22"/>
                <w:szCs w:val="22"/>
              </w:rPr>
            </w:pPr>
            <w:r w:rsidRPr="003E7C6C">
              <w:rPr>
                <w:sz w:val="22"/>
                <w:szCs w:val="22"/>
              </w:rPr>
              <w:t>4.3</w:t>
            </w:r>
          </w:p>
        </w:tc>
      </w:tr>
      <w:tr w:rsidR="008B2E99" w:rsidRPr="003E7C6C" w:rsidTr="008A2657">
        <w:tc>
          <w:tcPr>
            <w:tcW w:w="3402" w:type="dxa"/>
            <w:vAlign w:val="center"/>
          </w:tcPr>
          <w:p w:rsidR="008B2E99" w:rsidRPr="003E7C6C" w:rsidRDefault="008B2E99">
            <w:pPr>
              <w:pStyle w:val="Tabletext"/>
              <w:rPr>
                <w:sz w:val="22"/>
                <w:szCs w:val="22"/>
              </w:rPr>
            </w:pPr>
            <w:r w:rsidRPr="003E7C6C">
              <w:rPr>
                <w:sz w:val="22"/>
                <w:szCs w:val="22"/>
              </w:rPr>
              <w:t>Urogenital system</w:t>
            </w:r>
          </w:p>
        </w:tc>
        <w:tc>
          <w:tcPr>
            <w:tcW w:w="1346" w:type="dxa"/>
          </w:tcPr>
          <w:p w:rsidR="008B2E99" w:rsidRPr="003E7C6C" w:rsidRDefault="008B2E99">
            <w:pPr>
              <w:pStyle w:val="Tabletext"/>
              <w:jc w:val="center"/>
              <w:rPr>
                <w:sz w:val="22"/>
                <w:szCs w:val="22"/>
              </w:rPr>
            </w:pPr>
            <w:r w:rsidRPr="003E7C6C">
              <w:rPr>
                <w:sz w:val="22"/>
                <w:szCs w:val="22"/>
              </w:rPr>
              <w:t>4.4</w:t>
            </w:r>
          </w:p>
        </w:tc>
        <w:tc>
          <w:tcPr>
            <w:tcW w:w="1347" w:type="dxa"/>
          </w:tcPr>
          <w:p w:rsidR="008B2E99" w:rsidRPr="003E7C6C" w:rsidRDefault="008B2E99">
            <w:pPr>
              <w:pStyle w:val="Tabletext"/>
              <w:jc w:val="center"/>
              <w:rPr>
                <w:sz w:val="22"/>
                <w:szCs w:val="22"/>
              </w:rPr>
            </w:pPr>
            <w:r w:rsidRPr="003E7C6C">
              <w:rPr>
                <w:sz w:val="22"/>
                <w:szCs w:val="22"/>
              </w:rPr>
              <w:t>5.0</w:t>
            </w:r>
          </w:p>
        </w:tc>
        <w:tc>
          <w:tcPr>
            <w:tcW w:w="1347" w:type="dxa"/>
          </w:tcPr>
          <w:p w:rsidR="008B2E99" w:rsidRPr="003E7C6C" w:rsidRDefault="008B2E99">
            <w:pPr>
              <w:pStyle w:val="Tabletext"/>
              <w:jc w:val="center"/>
              <w:rPr>
                <w:sz w:val="22"/>
                <w:szCs w:val="22"/>
              </w:rPr>
            </w:pPr>
            <w:r w:rsidRPr="003E7C6C">
              <w:rPr>
                <w:sz w:val="22"/>
                <w:szCs w:val="22"/>
              </w:rPr>
              <w:t>26.6</w:t>
            </w:r>
          </w:p>
        </w:tc>
        <w:tc>
          <w:tcPr>
            <w:tcW w:w="1347" w:type="dxa"/>
          </w:tcPr>
          <w:p w:rsidR="008B2E99" w:rsidRPr="003E7C6C" w:rsidRDefault="008B2E99">
            <w:pPr>
              <w:pStyle w:val="Tabletext"/>
              <w:jc w:val="center"/>
              <w:rPr>
                <w:sz w:val="22"/>
                <w:szCs w:val="22"/>
              </w:rPr>
            </w:pPr>
            <w:r w:rsidRPr="003E7C6C">
              <w:rPr>
                <w:sz w:val="22"/>
                <w:szCs w:val="22"/>
              </w:rPr>
              <w:t>21.8</w:t>
            </w:r>
          </w:p>
        </w:tc>
      </w:tr>
    </w:tbl>
    <w:p w:rsidR="008B2E99" w:rsidRPr="00363E65" w:rsidRDefault="008B2E99">
      <w:pPr>
        <w:pStyle w:val="Heading1"/>
      </w:pPr>
      <w:r w:rsidRPr="00363E65">
        <w:t>DOSAGE AND ADMINISTRATION</w:t>
      </w:r>
    </w:p>
    <w:p w:rsidR="008B2E99" w:rsidRPr="00967DB6" w:rsidRDefault="008B2E99" w:rsidP="00967DB6">
      <w:pPr>
        <w:pStyle w:val="Heading2"/>
        <w:spacing w:before="120" w:after="120"/>
      </w:pPr>
      <w:r w:rsidRPr="00967DB6">
        <w:t>Adults</w:t>
      </w:r>
      <w:r w:rsidR="00BE5336">
        <w:t xml:space="preserve"> </w:t>
      </w:r>
      <w:r w:rsidR="00BE5336" w:rsidRPr="00793864">
        <w:t>(Dyslipidaemia and Diabetic Retinopathy)</w:t>
      </w:r>
    </w:p>
    <w:p w:rsidR="008B2E99" w:rsidRPr="00967DB6" w:rsidRDefault="008B2E99">
      <w:r w:rsidRPr="00967DB6">
        <w:t>Lipidil is presented as a 145</w:t>
      </w:r>
      <w:r w:rsidR="00363E65">
        <w:t xml:space="preserve"> </w:t>
      </w:r>
      <w:r w:rsidRPr="00967DB6">
        <w:t>mg tablet and a 48</w:t>
      </w:r>
      <w:r w:rsidR="00363E65">
        <w:t xml:space="preserve"> </w:t>
      </w:r>
      <w:r w:rsidRPr="00967DB6">
        <w:t>mg tablet.</w:t>
      </w:r>
      <w:r w:rsidR="00363E65">
        <w:t xml:space="preserve"> </w:t>
      </w:r>
      <w:r w:rsidRPr="00967DB6">
        <w:t>The usual dose of fenofibrate is 1 x 145</w:t>
      </w:r>
      <w:r w:rsidR="00363E65">
        <w:t xml:space="preserve"> </w:t>
      </w:r>
      <w:r w:rsidRPr="00967DB6">
        <w:t>mg tablet. Although 3 x 48</w:t>
      </w:r>
      <w:r w:rsidR="00363E65">
        <w:t xml:space="preserve"> </w:t>
      </w:r>
      <w:r w:rsidRPr="00967DB6">
        <w:t>mg tablets are equivalent to 1 x 145</w:t>
      </w:r>
      <w:r w:rsidR="00363E65">
        <w:t xml:space="preserve"> </w:t>
      </w:r>
      <w:r w:rsidRPr="00967DB6">
        <w:t>mg tablet, the 48</w:t>
      </w:r>
      <w:r w:rsidR="00363E65">
        <w:t xml:space="preserve"> </w:t>
      </w:r>
      <w:r w:rsidRPr="00967DB6">
        <w:t xml:space="preserve">mg tablets are only recommended when a decreased dosage is required (see </w:t>
      </w:r>
      <w:r w:rsidR="00363E65">
        <w:t>‘</w:t>
      </w:r>
      <w:r w:rsidRPr="00967DB6">
        <w:t>Renal Impairment</w:t>
      </w:r>
      <w:r w:rsidR="00363E65">
        <w:t>’</w:t>
      </w:r>
      <w:r w:rsidRPr="00967DB6">
        <w:t>).</w:t>
      </w:r>
    </w:p>
    <w:p w:rsidR="008B2E99" w:rsidRPr="00967DB6" w:rsidRDefault="008B2E99">
      <w:r w:rsidRPr="00967DB6">
        <w:t>Patients should never be administered any combination of the 48</w:t>
      </w:r>
      <w:r w:rsidR="00363E65">
        <w:t xml:space="preserve"> </w:t>
      </w:r>
      <w:r w:rsidRPr="00967DB6">
        <w:t>mg tablet and the 145</w:t>
      </w:r>
      <w:r w:rsidR="00363E65">
        <w:t xml:space="preserve"> </w:t>
      </w:r>
      <w:r w:rsidRPr="00967DB6">
        <w:t>mg tablet of fenofibrate. There is no indication for use of fenofibrate dosages above 145</w:t>
      </w:r>
      <w:r w:rsidR="00363E65">
        <w:t xml:space="preserve"> </w:t>
      </w:r>
      <w:r w:rsidRPr="00967DB6">
        <w:t>mg per day.</w:t>
      </w:r>
      <w:r w:rsidR="00343301">
        <w:t xml:space="preserve"> </w:t>
      </w:r>
      <w:r w:rsidRPr="00967DB6">
        <w:t>Lipidil 145 mg and 48 mg tablets should be swallowed whole with a glass of water. Lipidil  145 mg and 48 mg may be given at any time of the day, with or without food, but it is recommended that they be taken at the same time each day.  Dietary measures instituted before therapy should be continued.</w:t>
      </w:r>
    </w:p>
    <w:p w:rsidR="008B2E99" w:rsidRPr="00967DB6" w:rsidRDefault="008B2E99" w:rsidP="00967DB6">
      <w:pPr>
        <w:pStyle w:val="Heading2"/>
        <w:spacing w:before="120" w:after="120"/>
      </w:pPr>
      <w:r w:rsidRPr="00967DB6">
        <w:lastRenderedPageBreak/>
        <w:t>Elderly</w:t>
      </w:r>
    </w:p>
    <w:p w:rsidR="008B2E99" w:rsidRPr="00967DB6" w:rsidRDefault="008B2E99">
      <w:r w:rsidRPr="00967DB6">
        <w:t>In elderly patients without renal impairment, the normal adult dose is recommended.</w:t>
      </w:r>
    </w:p>
    <w:p w:rsidR="008B2E99" w:rsidRPr="00967DB6" w:rsidRDefault="008B2E99" w:rsidP="00967DB6">
      <w:pPr>
        <w:pStyle w:val="Heading2"/>
        <w:spacing w:before="120" w:after="120"/>
      </w:pPr>
      <w:r w:rsidRPr="00967DB6">
        <w:t>Renal Impairment</w:t>
      </w:r>
    </w:p>
    <w:p w:rsidR="008B2E99" w:rsidRPr="00967DB6" w:rsidRDefault="008B2E99">
      <w:r w:rsidRPr="00967DB6">
        <w:t>In renal dysfunction, the dosage may need to be reduced depending on the rate of creatinine clearance.</w:t>
      </w:r>
    </w:p>
    <w:tbl>
      <w:tblPr>
        <w:tblW w:w="0" w:type="auto"/>
        <w:tblInd w:w="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9" w:type="dxa"/>
          <w:right w:w="59" w:type="dxa"/>
        </w:tblCellMar>
        <w:tblLook w:val="00A0" w:firstRow="1" w:lastRow="0" w:firstColumn="1" w:lastColumn="0" w:noHBand="0" w:noVBand="0"/>
      </w:tblPr>
      <w:tblGrid>
        <w:gridCol w:w="3544"/>
        <w:gridCol w:w="3260"/>
      </w:tblGrid>
      <w:tr w:rsidR="008B2E99" w:rsidRPr="00343301" w:rsidTr="00343301">
        <w:tc>
          <w:tcPr>
            <w:tcW w:w="3544" w:type="dxa"/>
          </w:tcPr>
          <w:p w:rsidR="008B2E99" w:rsidRPr="00343301" w:rsidRDefault="008B2E99" w:rsidP="00363E65">
            <w:pPr>
              <w:pStyle w:val="Tabletext"/>
              <w:jc w:val="left"/>
              <w:rPr>
                <w:b/>
                <w:sz w:val="22"/>
                <w:szCs w:val="22"/>
              </w:rPr>
            </w:pPr>
            <w:r w:rsidRPr="00343301">
              <w:rPr>
                <w:b/>
                <w:sz w:val="22"/>
                <w:szCs w:val="22"/>
              </w:rPr>
              <w:t>Creatinine clearance</w:t>
            </w:r>
            <w:r w:rsidR="00343301">
              <w:rPr>
                <w:b/>
                <w:sz w:val="22"/>
                <w:szCs w:val="22"/>
              </w:rPr>
              <w:t xml:space="preserve"> </w:t>
            </w:r>
            <w:r w:rsidRPr="00343301">
              <w:rPr>
                <w:b/>
                <w:sz w:val="22"/>
                <w:szCs w:val="22"/>
              </w:rPr>
              <w:t>(ml/min)</w:t>
            </w:r>
          </w:p>
        </w:tc>
        <w:tc>
          <w:tcPr>
            <w:tcW w:w="3260" w:type="dxa"/>
          </w:tcPr>
          <w:p w:rsidR="008B2E99" w:rsidRPr="00343301" w:rsidRDefault="008B2E99">
            <w:pPr>
              <w:pStyle w:val="Tabletext"/>
              <w:rPr>
                <w:b/>
                <w:sz w:val="22"/>
                <w:szCs w:val="22"/>
              </w:rPr>
            </w:pPr>
            <w:r w:rsidRPr="00343301">
              <w:rPr>
                <w:b/>
                <w:sz w:val="22"/>
                <w:szCs w:val="22"/>
              </w:rPr>
              <w:t>Dosage</w:t>
            </w:r>
          </w:p>
        </w:tc>
      </w:tr>
      <w:tr w:rsidR="008B2E99" w:rsidRPr="00363E65" w:rsidTr="00343301">
        <w:tc>
          <w:tcPr>
            <w:tcW w:w="3544" w:type="dxa"/>
          </w:tcPr>
          <w:p w:rsidR="008B2E99" w:rsidRPr="00363E65" w:rsidRDefault="008B2E99">
            <w:pPr>
              <w:pStyle w:val="Tabletext"/>
              <w:rPr>
                <w:sz w:val="22"/>
                <w:szCs w:val="22"/>
              </w:rPr>
            </w:pPr>
            <w:r w:rsidRPr="00363E65">
              <w:rPr>
                <w:sz w:val="22"/>
                <w:szCs w:val="22"/>
              </w:rPr>
              <w:t>&gt; 60</w:t>
            </w:r>
          </w:p>
        </w:tc>
        <w:tc>
          <w:tcPr>
            <w:tcW w:w="3260" w:type="dxa"/>
          </w:tcPr>
          <w:p w:rsidR="008B2E99" w:rsidRPr="00363E65" w:rsidRDefault="008B2E99">
            <w:pPr>
              <w:pStyle w:val="Tabletext"/>
              <w:rPr>
                <w:sz w:val="22"/>
                <w:szCs w:val="22"/>
              </w:rPr>
            </w:pPr>
            <w:r w:rsidRPr="00363E65">
              <w:rPr>
                <w:sz w:val="22"/>
                <w:szCs w:val="22"/>
              </w:rPr>
              <w:t>one 145 mg tablet</w:t>
            </w:r>
          </w:p>
        </w:tc>
      </w:tr>
      <w:tr w:rsidR="008B2E99" w:rsidRPr="00363E65" w:rsidTr="00343301">
        <w:tc>
          <w:tcPr>
            <w:tcW w:w="3544" w:type="dxa"/>
          </w:tcPr>
          <w:p w:rsidR="008B2E99" w:rsidRPr="00363E65" w:rsidRDefault="008B2E99">
            <w:pPr>
              <w:pStyle w:val="Tabletext"/>
              <w:rPr>
                <w:sz w:val="22"/>
                <w:szCs w:val="22"/>
              </w:rPr>
            </w:pPr>
            <w:r w:rsidRPr="00363E65">
              <w:rPr>
                <w:sz w:val="22"/>
                <w:szCs w:val="22"/>
              </w:rPr>
              <w:t>20 – 60*</w:t>
            </w:r>
          </w:p>
        </w:tc>
        <w:tc>
          <w:tcPr>
            <w:tcW w:w="3260" w:type="dxa"/>
          </w:tcPr>
          <w:p w:rsidR="008B2E99" w:rsidRPr="00363E65" w:rsidRDefault="008B2E99">
            <w:pPr>
              <w:pStyle w:val="Tabletext"/>
              <w:rPr>
                <w:sz w:val="22"/>
                <w:szCs w:val="22"/>
              </w:rPr>
            </w:pPr>
            <w:r w:rsidRPr="00363E65">
              <w:rPr>
                <w:sz w:val="22"/>
                <w:szCs w:val="22"/>
              </w:rPr>
              <w:t>Two 48</w:t>
            </w:r>
            <w:r w:rsidR="00363E65">
              <w:rPr>
                <w:sz w:val="22"/>
                <w:szCs w:val="22"/>
              </w:rPr>
              <w:t xml:space="preserve"> </w:t>
            </w:r>
            <w:r w:rsidRPr="00363E65">
              <w:rPr>
                <w:sz w:val="22"/>
                <w:szCs w:val="22"/>
              </w:rPr>
              <w:t>mg tablets</w:t>
            </w:r>
          </w:p>
        </w:tc>
      </w:tr>
      <w:tr w:rsidR="008B2E99" w:rsidRPr="00363E65" w:rsidTr="00343301">
        <w:tc>
          <w:tcPr>
            <w:tcW w:w="3544" w:type="dxa"/>
          </w:tcPr>
          <w:p w:rsidR="008B2E99" w:rsidRPr="00363E65" w:rsidRDefault="008B2E99">
            <w:pPr>
              <w:pStyle w:val="Tabletext"/>
              <w:rPr>
                <w:sz w:val="22"/>
                <w:szCs w:val="22"/>
              </w:rPr>
            </w:pPr>
            <w:r w:rsidRPr="00363E65">
              <w:rPr>
                <w:sz w:val="22"/>
                <w:szCs w:val="22"/>
              </w:rPr>
              <w:t>10 – 20*</w:t>
            </w:r>
          </w:p>
        </w:tc>
        <w:tc>
          <w:tcPr>
            <w:tcW w:w="3260" w:type="dxa"/>
          </w:tcPr>
          <w:p w:rsidR="008B2E99" w:rsidRPr="00363E65" w:rsidRDefault="008B2E99">
            <w:pPr>
              <w:pStyle w:val="Tabletext"/>
              <w:rPr>
                <w:sz w:val="22"/>
                <w:szCs w:val="22"/>
              </w:rPr>
            </w:pPr>
            <w:r w:rsidRPr="00363E65">
              <w:rPr>
                <w:sz w:val="22"/>
                <w:szCs w:val="22"/>
              </w:rPr>
              <w:t>One 48</w:t>
            </w:r>
            <w:r w:rsidR="00363E65">
              <w:rPr>
                <w:sz w:val="22"/>
                <w:szCs w:val="22"/>
              </w:rPr>
              <w:t xml:space="preserve"> </w:t>
            </w:r>
            <w:r w:rsidRPr="00363E65">
              <w:rPr>
                <w:sz w:val="22"/>
                <w:szCs w:val="22"/>
              </w:rPr>
              <w:t>mg tablet</w:t>
            </w:r>
          </w:p>
        </w:tc>
      </w:tr>
    </w:tbl>
    <w:p w:rsidR="008B2E99" w:rsidRDefault="008B2E99">
      <w:pPr>
        <w:pStyle w:val="soustab20"/>
        <w:spacing w:before="16"/>
        <w:ind w:left="0"/>
        <w:rPr>
          <w:rFonts w:ascii="Arial" w:hAnsi="Arial" w:cs="Arial"/>
          <w:sz w:val="22"/>
          <w:szCs w:val="22"/>
          <w:lang w:val="en-AU"/>
        </w:rPr>
      </w:pPr>
      <w:r w:rsidRPr="00363E65">
        <w:rPr>
          <w:rFonts w:ascii="Arial" w:hAnsi="Arial" w:cs="Arial"/>
          <w:sz w:val="22"/>
          <w:szCs w:val="22"/>
          <w:lang w:val="en-AU"/>
        </w:rPr>
        <w:t>*Lipidil 48</w:t>
      </w:r>
      <w:r w:rsidR="00363E65">
        <w:rPr>
          <w:rFonts w:ascii="Arial" w:hAnsi="Arial" w:cs="Arial"/>
          <w:sz w:val="22"/>
          <w:szCs w:val="22"/>
          <w:lang w:val="en-AU"/>
        </w:rPr>
        <w:t xml:space="preserve"> </w:t>
      </w:r>
      <w:r w:rsidRPr="00363E65">
        <w:rPr>
          <w:rFonts w:ascii="Arial" w:hAnsi="Arial" w:cs="Arial"/>
          <w:sz w:val="22"/>
          <w:szCs w:val="22"/>
          <w:lang w:val="en-AU"/>
        </w:rPr>
        <w:t>mg should be used in this case</w:t>
      </w:r>
    </w:p>
    <w:p w:rsidR="00BE5336" w:rsidRPr="005325E2" w:rsidRDefault="00BE5336" w:rsidP="00B96C5E">
      <w:pPr>
        <w:rPr>
          <w:rFonts w:cs="Arial"/>
        </w:rPr>
      </w:pPr>
      <w:r w:rsidRPr="005325E2">
        <w:rPr>
          <w:rFonts w:cs="Arial"/>
        </w:rPr>
        <w:t>In patients with severe renal dysfunction (CrCl &lt; 10mL/min), fenofibrate should not be used.</w:t>
      </w:r>
    </w:p>
    <w:p w:rsidR="008B2E99" w:rsidRPr="00967DB6" w:rsidRDefault="008B2E99" w:rsidP="00967DB6">
      <w:pPr>
        <w:pStyle w:val="Heading2"/>
        <w:spacing w:before="120" w:after="120"/>
      </w:pPr>
      <w:r w:rsidRPr="00967DB6">
        <w:t>Hepatic disease</w:t>
      </w:r>
    </w:p>
    <w:p w:rsidR="008B2E99" w:rsidRPr="00967DB6" w:rsidRDefault="008B2E99">
      <w:r w:rsidRPr="00967DB6">
        <w:t>Patients with hepatic disease have not been studied.</w:t>
      </w:r>
    </w:p>
    <w:p w:rsidR="008B2E99" w:rsidRPr="00363E65" w:rsidRDefault="008B2E99">
      <w:pPr>
        <w:pStyle w:val="Heading1"/>
      </w:pPr>
      <w:r w:rsidRPr="00363E65">
        <w:t>OVERDOSAGE</w:t>
      </w:r>
    </w:p>
    <w:p w:rsidR="008B2E99" w:rsidRPr="00967DB6" w:rsidRDefault="008B2E99">
      <w:pPr>
        <w:rPr>
          <w:szCs w:val="22"/>
        </w:rPr>
      </w:pPr>
      <w:r w:rsidRPr="00967DB6">
        <w:t xml:space="preserve">There is no specific treatment for overdose with Lipidil. General supportive care of the patient is indicated, including monitoring of vital signs and observation of clinical status, should an overdose occur. Because fenofibrate is highly bound to plasma proteins, hemodialysis should not be considered. </w:t>
      </w:r>
      <w:r w:rsidRPr="00967DB6">
        <w:rPr>
          <w:szCs w:val="22"/>
        </w:rPr>
        <w:t>In case of overdose, contact the Poisons Information Centre on 13 11 26 for advice on management.</w:t>
      </w:r>
    </w:p>
    <w:p w:rsidR="008B2E99" w:rsidRPr="00967DB6" w:rsidRDefault="008B2E99">
      <w:pPr>
        <w:pStyle w:val="Heading1"/>
      </w:pPr>
      <w:r w:rsidRPr="00967DB6">
        <w:t>PRESENTATION</w:t>
      </w:r>
      <w:r w:rsidR="00363E65">
        <w:t xml:space="preserve"> and Storage Conditions</w:t>
      </w:r>
    </w:p>
    <w:p w:rsidR="008B2E99" w:rsidRPr="00967DB6" w:rsidRDefault="008B2E99">
      <w:r w:rsidRPr="00967DB6">
        <w:t>48</w:t>
      </w:r>
      <w:r w:rsidR="00363E65">
        <w:t xml:space="preserve"> </w:t>
      </w:r>
      <w:r w:rsidRPr="00967DB6">
        <w:t>mg tablets (AUST R 118642):  Yellow, oblong, film-coated tablets engraved “48” on one side and “Fournier logo” on the reverse.  Packs of 60 in blister strip (PVC/PE/PVDC/Aluminium).</w:t>
      </w:r>
    </w:p>
    <w:p w:rsidR="008B2E99" w:rsidRPr="00967DB6" w:rsidRDefault="008B2E99">
      <w:r w:rsidRPr="00967DB6">
        <w:t>145</w:t>
      </w:r>
      <w:r w:rsidR="00363E65">
        <w:t xml:space="preserve"> </w:t>
      </w:r>
      <w:r w:rsidRPr="00967DB6">
        <w:t xml:space="preserve">mg tablets (AUST R 118634):  White, oblong, film-coated tablets engraved “145” on one side and “Fournier logo” on the reverse.  </w:t>
      </w:r>
      <w:proofErr w:type="gramStart"/>
      <w:r w:rsidRPr="00967DB6">
        <w:t>Packs of 30 and 10 tablets in blister strip (PVC/PE/PVDC/Aluminium).</w:t>
      </w:r>
      <w:proofErr w:type="gramEnd"/>
    </w:p>
    <w:p w:rsidR="008B2E99" w:rsidRPr="00967DB6" w:rsidRDefault="008B2E99">
      <w:r w:rsidRPr="00967DB6">
        <w:t xml:space="preserve">Store below </w:t>
      </w:r>
      <w:bookmarkStart w:id="4" w:name="OLE_LINK1"/>
      <w:r w:rsidRPr="00967DB6">
        <w:t>30</w:t>
      </w:r>
      <w:r w:rsidRPr="00967DB6">
        <w:sym w:font="Symbol" w:char="F0B0"/>
      </w:r>
      <w:r w:rsidRPr="00967DB6">
        <w:t>C</w:t>
      </w:r>
      <w:bookmarkEnd w:id="4"/>
      <w:r w:rsidRPr="00967DB6">
        <w:t>.  Protect from moisture.</w:t>
      </w:r>
    </w:p>
    <w:p w:rsidR="008B2E99" w:rsidRPr="00363E65" w:rsidRDefault="008B2E99">
      <w:pPr>
        <w:pStyle w:val="Heading1"/>
      </w:pPr>
      <w:r w:rsidRPr="00363E65">
        <w:t>NAME AND ADDRESS OF THE SPONSOR</w:t>
      </w:r>
    </w:p>
    <w:p w:rsidR="00363E65" w:rsidRDefault="00363E65" w:rsidP="00363E65">
      <w:pPr>
        <w:jc w:val="left"/>
      </w:pPr>
      <w:r>
        <w:t>Abbott Australasia Pty Ltd</w:t>
      </w:r>
    </w:p>
    <w:p w:rsidR="00363E65" w:rsidRDefault="00363E65" w:rsidP="00363E65">
      <w:pPr>
        <w:jc w:val="left"/>
      </w:pPr>
      <w:r>
        <w:t>32-34 Lord Street</w:t>
      </w:r>
    </w:p>
    <w:p w:rsidR="00363E65" w:rsidRDefault="00363E65" w:rsidP="00363E65">
      <w:pPr>
        <w:jc w:val="left"/>
      </w:pPr>
      <w:r>
        <w:t>Botany NSW 2019</w:t>
      </w:r>
    </w:p>
    <w:p w:rsidR="00363E65" w:rsidRPr="00363E65" w:rsidRDefault="00363E65" w:rsidP="00363E65">
      <w:r>
        <w:t>Australia</w:t>
      </w:r>
    </w:p>
    <w:p w:rsidR="00363E65" w:rsidRDefault="00363E65" w:rsidP="00363E65">
      <w:pPr>
        <w:pStyle w:val="Heading1"/>
      </w:pPr>
      <w:r>
        <w:t>Poison Schedule of the Medicine</w:t>
      </w:r>
    </w:p>
    <w:p w:rsidR="00363E65" w:rsidRPr="00363E65" w:rsidRDefault="00363E65" w:rsidP="00363E65">
      <w:r w:rsidRPr="00363E65">
        <w:t>Schedule 4</w:t>
      </w:r>
    </w:p>
    <w:p w:rsidR="002724C8" w:rsidRPr="00363E65" w:rsidRDefault="008B2E99">
      <w:pPr>
        <w:pStyle w:val="Heading1"/>
      </w:pPr>
      <w:r w:rsidRPr="00363E65">
        <w:t>DATE OF APPROVAL</w:t>
      </w:r>
    </w:p>
    <w:p w:rsidR="008B2E99" w:rsidRPr="00967DB6" w:rsidRDefault="00363E65" w:rsidP="00363E65">
      <w:r>
        <w:t>Date of TGA approval:</w:t>
      </w:r>
      <w:r>
        <w:tab/>
      </w:r>
      <w:r>
        <w:tab/>
      </w:r>
      <w:r w:rsidR="008B2E99" w:rsidRPr="00967DB6">
        <w:t xml:space="preserve">16 </w:t>
      </w:r>
      <w:r>
        <w:t>May</w:t>
      </w:r>
      <w:r w:rsidRPr="00967DB6">
        <w:t xml:space="preserve"> </w:t>
      </w:r>
      <w:r w:rsidR="008B2E99" w:rsidRPr="00967DB6">
        <w:t>2006</w:t>
      </w:r>
    </w:p>
    <w:p w:rsidR="008B2E99" w:rsidRPr="00967DB6" w:rsidRDefault="00576890">
      <w:r w:rsidRPr="00967DB6">
        <w:t xml:space="preserve">Date of last </w:t>
      </w:r>
      <w:r w:rsidR="006F2CC9">
        <w:t>amendment</w:t>
      </w:r>
      <w:r w:rsidRPr="00967DB6">
        <w:t xml:space="preserve">: </w:t>
      </w:r>
      <w:r w:rsidR="006F2CC9">
        <w:t xml:space="preserve"> </w:t>
      </w:r>
      <w:r w:rsidR="006F2CC9">
        <w:tab/>
      </w:r>
      <w:r w:rsidR="006F2CC9">
        <w:tab/>
      </w:r>
      <w:r w:rsidR="006B7EA8">
        <w:t xml:space="preserve">XX </w:t>
      </w:r>
      <w:r w:rsidR="00F72279">
        <w:t xml:space="preserve">October </w:t>
      </w:r>
      <w:r w:rsidR="006B7EA8">
        <w:t>2013</w:t>
      </w:r>
    </w:p>
    <w:sectPr w:rsidR="008B2E99" w:rsidRPr="00967DB6" w:rsidSect="00E863EE">
      <w:headerReference w:type="default" r:id="rId10"/>
      <w:footerReference w:type="default" r:id="rId11"/>
      <w:headerReference w:type="first" r:id="rId12"/>
      <w:footerReference w:type="first" r:id="rId13"/>
      <w:type w:val="continuous"/>
      <w:pgSz w:w="11907" w:h="16840" w:code="9"/>
      <w:pgMar w:top="1620" w:right="1138" w:bottom="1138" w:left="1138" w:header="706" w:footer="3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67" w:rsidRDefault="00420C67">
      <w:r>
        <w:separator/>
      </w:r>
    </w:p>
  </w:endnote>
  <w:endnote w:type="continuationSeparator" w:id="0">
    <w:p w:rsidR="00420C67" w:rsidRDefault="0042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3282"/>
      <w:gridCol w:w="3282"/>
      <w:gridCol w:w="3283"/>
    </w:tblGrid>
    <w:tr w:rsidR="00420C67" w:rsidRPr="009C4A09">
      <w:tc>
        <w:tcPr>
          <w:tcW w:w="3282" w:type="dxa"/>
        </w:tcPr>
        <w:p w:rsidR="00420C67" w:rsidRPr="009C4A09" w:rsidRDefault="00420C67">
          <w:pPr>
            <w:pStyle w:val="Footer"/>
            <w:rPr>
              <w:i/>
              <w:lang w:val="it-IT"/>
            </w:rPr>
          </w:pPr>
          <w:r w:rsidRPr="009C4A09">
            <w:rPr>
              <w:i/>
              <w:lang w:val="it-IT"/>
            </w:rPr>
            <w:t>Lipidil PI</w:t>
          </w:r>
        </w:p>
      </w:tc>
      <w:tc>
        <w:tcPr>
          <w:tcW w:w="3282" w:type="dxa"/>
        </w:tcPr>
        <w:p w:rsidR="00420C67" w:rsidRPr="009C4A09" w:rsidRDefault="00420C67" w:rsidP="007A1CC7">
          <w:pPr>
            <w:pStyle w:val="Footer"/>
            <w:jc w:val="center"/>
            <w:rPr>
              <w:i/>
              <w:lang w:val="it-IT"/>
            </w:rPr>
          </w:pPr>
          <w:r>
            <w:rPr>
              <w:i/>
              <w:lang w:val="it-IT"/>
            </w:rPr>
            <w:t>POST ACPM –version 4</w:t>
          </w:r>
        </w:p>
      </w:tc>
      <w:tc>
        <w:tcPr>
          <w:tcW w:w="3283" w:type="dxa"/>
        </w:tcPr>
        <w:p w:rsidR="00420C67" w:rsidRPr="009C4A09" w:rsidRDefault="00420C67">
          <w:pPr>
            <w:pStyle w:val="Footer"/>
            <w:jc w:val="right"/>
            <w:rPr>
              <w:i/>
            </w:rPr>
          </w:pPr>
          <w:r w:rsidRPr="009C4A09">
            <w:rPr>
              <w:i/>
            </w:rPr>
            <w:t xml:space="preserve">Page </w:t>
          </w:r>
          <w:r w:rsidRPr="009C4A09">
            <w:rPr>
              <w:i/>
            </w:rPr>
            <w:fldChar w:fldCharType="begin"/>
          </w:r>
          <w:r w:rsidRPr="009C4A09">
            <w:rPr>
              <w:i/>
            </w:rPr>
            <w:instrText xml:space="preserve"> PAGE </w:instrText>
          </w:r>
          <w:r w:rsidRPr="009C4A09">
            <w:rPr>
              <w:i/>
            </w:rPr>
            <w:fldChar w:fldCharType="separate"/>
          </w:r>
          <w:r w:rsidR="00B97E32">
            <w:rPr>
              <w:i/>
              <w:noProof/>
            </w:rPr>
            <w:t>1</w:t>
          </w:r>
          <w:r w:rsidRPr="009C4A09">
            <w:rPr>
              <w:i/>
            </w:rPr>
            <w:fldChar w:fldCharType="end"/>
          </w:r>
          <w:r w:rsidRPr="009C4A09">
            <w:rPr>
              <w:i/>
            </w:rPr>
            <w:t xml:space="preserve"> of </w:t>
          </w:r>
          <w:r w:rsidRPr="009C4A09">
            <w:rPr>
              <w:i/>
            </w:rPr>
            <w:fldChar w:fldCharType="begin"/>
          </w:r>
          <w:r w:rsidRPr="009C4A09">
            <w:rPr>
              <w:i/>
            </w:rPr>
            <w:instrText xml:space="preserve"> NUMPAGES </w:instrText>
          </w:r>
          <w:r w:rsidRPr="009C4A09">
            <w:rPr>
              <w:i/>
            </w:rPr>
            <w:fldChar w:fldCharType="separate"/>
          </w:r>
          <w:r w:rsidR="00B97E32">
            <w:rPr>
              <w:i/>
              <w:noProof/>
            </w:rPr>
            <w:t>12</w:t>
          </w:r>
          <w:r w:rsidRPr="009C4A09">
            <w:rPr>
              <w:i/>
            </w:rPr>
            <w:fldChar w:fldCharType="end"/>
          </w:r>
        </w:p>
      </w:tc>
    </w:tr>
  </w:tbl>
  <w:p w:rsidR="00420C67" w:rsidRDefault="00420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tblBorders>
      <w:tblLayout w:type="fixed"/>
      <w:tblLook w:val="0000" w:firstRow="0" w:lastRow="0" w:firstColumn="0" w:lastColumn="0" w:noHBand="0" w:noVBand="0"/>
    </w:tblPr>
    <w:tblGrid>
      <w:gridCol w:w="7338"/>
      <w:gridCol w:w="2551"/>
    </w:tblGrid>
    <w:tr w:rsidR="00420C67">
      <w:tc>
        <w:tcPr>
          <w:tcW w:w="7338" w:type="dxa"/>
        </w:tcPr>
        <w:p w:rsidR="00420C67" w:rsidRDefault="00420C67">
          <w:pPr>
            <w:pStyle w:val="Footer"/>
          </w:pPr>
          <w:r>
            <w:t>29 November 2004</w:t>
          </w:r>
        </w:p>
      </w:tc>
      <w:tc>
        <w:tcPr>
          <w:tcW w:w="2551" w:type="dxa"/>
        </w:tcPr>
        <w:p w:rsidR="00420C67" w:rsidRDefault="00420C6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tc>
    </w:tr>
  </w:tbl>
  <w:p w:rsidR="00420C67" w:rsidRDefault="00420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67" w:rsidRDefault="00420C67">
      <w:r>
        <w:separator/>
      </w:r>
    </w:p>
  </w:footnote>
  <w:footnote w:type="continuationSeparator" w:id="0">
    <w:p w:rsidR="00420C67" w:rsidRDefault="00420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551986" w:rsidRPr="00551986" w:rsidTr="00620959">
      <w:tc>
        <w:tcPr>
          <w:tcW w:w="8720" w:type="dxa"/>
          <w:shd w:val="clear" w:color="auto" w:fill="E4F2E0"/>
        </w:tcPr>
        <w:p w:rsidR="00551986" w:rsidRPr="00620959" w:rsidRDefault="00551986" w:rsidP="00A927F0">
          <w:pPr>
            <w:pStyle w:val="Footer"/>
            <w:rPr>
              <w:rFonts w:ascii="Cambria" w:hAnsi="Cambria"/>
              <w:b/>
              <w:sz w:val="20"/>
              <w:szCs w:val="20"/>
            </w:rPr>
          </w:pPr>
          <w:r w:rsidRPr="00620959">
            <w:rPr>
              <w:rFonts w:ascii="Cambria" w:hAnsi="Cambria"/>
              <w:b/>
              <w:sz w:val="20"/>
            </w:rPr>
            <w:t>Attachment 1: Product information for AusPAR Lipidil fenofibrate Abbott Australasia Pty Ltd PM-2012-02387-3-5 Final 8 December 2014. This Product Information was approved at the time this AusPAR was published.</w:t>
          </w:r>
        </w:p>
      </w:tc>
    </w:tr>
  </w:tbl>
  <w:p w:rsidR="00420C67" w:rsidRDefault="00420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ayout w:type="fixed"/>
      <w:tblLook w:val="0000" w:firstRow="0" w:lastRow="0" w:firstColumn="0" w:lastColumn="0" w:noHBand="0" w:noVBand="0"/>
    </w:tblPr>
    <w:tblGrid>
      <w:gridCol w:w="4873"/>
      <w:gridCol w:w="5016"/>
    </w:tblGrid>
    <w:tr w:rsidR="00420C67">
      <w:tc>
        <w:tcPr>
          <w:tcW w:w="4873" w:type="dxa"/>
        </w:tcPr>
        <w:p w:rsidR="00420C67" w:rsidRDefault="00420C67">
          <w:pPr>
            <w:pStyle w:val="Header"/>
            <w:rPr>
              <w:snapToGrid w:val="0"/>
            </w:rPr>
          </w:pPr>
          <w:r>
            <w:rPr>
              <w:snapToGrid w:val="0"/>
            </w:rPr>
            <w:t>Lipidil  (fenofibrate)</w:t>
          </w:r>
        </w:p>
        <w:p w:rsidR="00420C67" w:rsidRDefault="00420C67">
          <w:pPr>
            <w:pStyle w:val="Header"/>
            <w:rPr>
              <w:snapToGrid w:val="0"/>
            </w:rPr>
          </w:pPr>
          <w:r>
            <w:rPr>
              <w:snapToGrid w:val="0"/>
            </w:rPr>
            <w:t>67mg capsule and 145mg tablet</w:t>
          </w:r>
        </w:p>
      </w:tc>
      <w:tc>
        <w:tcPr>
          <w:tcW w:w="5016" w:type="dxa"/>
        </w:tcPr>
        <w:p w:rsidR="00420C67" w:rsidRDefault="00420C67">
          <w:pPr>
            <w:pStyle w:val="Header"/>
            <w:jc w:val="right"/>
            <w:rPr>
              <w:b/>
              <w:bCs/>
              <w:snapToGrid w:val="0"/>
              <w:sz w:val="28"/>
            </w:rPr>
          </w:pPr>
          <w:r>
            <w:rPr>
              <w:b/>
              <w:bCs/>
              <w:snapToGrid w:val="0"/>
              <w:sz w:val="28"/>
            </w:rPr>
            <w:t>Australian Product Information</w:t>
          </w:r>
        </w:p>
      </w:tc>
    </w:tr>
  </w:tbl>
  <w:p w:rsidR="00420C67" w:rsidRDefault="00420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F8D5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F7B8E5E6"/>
    <w:lvl w:ilvl="0">
      <w:start w:val="1"/>
      <w:numFmt w:val="decimal"/>
      <w:pStyle w:val="ListNumber"/>
      <w:lvlText w:val="%1."/>
      <w:lvlJc w:val="left"/>
      <w:pPr>
        <w:tabs>
          <w:tab w:val="num" w:pos="360"/>
        </w:tabs>
        <w:ind w:left="360" w:hanging="360"/>
      </w:pPr>
      <w:rPr>
        <w:rFonts w:ascii="Arial" w:hAnsi="Arial" w:hint="default"/>
        <w:b w:val="0"/>
        <w:i w:val="0"/>
        <w:sz w:val="22"/>
      </w:rPr>
    </w:lvl>
  </w:abstractNum>
  <w:abstractNum w:abstractNumId="2">
    <w:nsid w:val="FFFFFF89"/>
    <w:multiLevelType w:val="singleLevel"/>
    <w:tmpl w:val="4C466B7A"/>
    <w:lvl w:ilvl="0">
      <w:start w:val="1"/>
      <w:numFmt w:val="bullet"/>
      <w:pStyle w:val="ListBullet"/>
      <w:lvlText w:val=""/>
      <w:lvlJc w:val="left"/>
      <w:pPr>
        <w:tabs>
          <w:tab w:val="num" w:pos="360"/>
        </w:tabs>
        <w:ind w:left="340" w:hanging="34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5897F87"/>
    <w:multiLevelType w:val="singleLevel"/>
    <w:tmpl w:val="480C471C"/>
    <w:lvl w:ilvl="0">
      <w:start w:val="2"/>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5">
    <w:nsid w:val="059C573E"/>
    <w:multiLevelType w:val="singleLevel"/>
    <w:tmpl w:val="70FA95D4"/>
    <w:lvl w:ilvl="0">
      <w:start w:val="6"/>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6">
    <w:nsid w:val="060B7F7A"/>
    <w:multiLevelType w:val="singleLevel"/>
    <w:tmpl w:val="6CE2BCA8"/>
    <w:lvl w:ilvl="0">
      <w:start w:val="5"/>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7">
    <w:nsid w:val="068438B2"/>
    <w:multiLevelType w:val="singleLevel"/>
    <w:tmpl w:val="96061338"/>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0AE70321"/>
    <w:multiLevelType w:val="singleLevel"/>
    <w:tmpl w:val="8C3C82B8"/>
    <w:lvl w:ilvl="0">
      <w:start w:val="6"/>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18E37801"/>
    <w:multiLevelType w:val="singleLevel"/>
    <w:tmpl w:val="18583902"/>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nsid w:val="222F13B1"/>
    <w:multiLevelType w:val="hybridMultilevel"/>
    <w:tmpl w:val="59AC881C"/>
    <w:lvl w:ilvl="0" w:tplc="8280C97C">
      <w:start w:val="1"/>
      <w:numFmt w:val="lowerLetter"/>
      <w:pStyle w:val="List2"/>
      <w:lvlText w:val="%1."/>
      <w:lvlJc w:val="left"/>
      <w:pPr>
        <w:tabs>
          <w:tab w:val="num" w:pos="360"/>
        </w:tabs>
        <w:ind w:left="340" w:hanging="34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DF6306"/>
    <w:multiLevelType w:val="singleLevel"/>
    <w:tmpl w:val="5BD471AE"/>
    <w:lvl w:ilvl="0">
      <w:start w:val="7"/>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12">
    <w:nsid w:val="24BC7311"/>
    <w:multiLevelType w:val="singleLevel"/>
    <w:tmpl w:val="3F28363C"/>
    <w:lvl w:ilvl="0">
      <w:start w:val="4"/>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13">
    <w:nsid w:val="25C95AA9"/>
    <w:multiLevelType w:val="singleLevel"/>
    <w:tmpl w:val="B38463AA"/>
    <w:lvl w:ilvl="0">
      <w:start w:val="1"/>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14">
    <w:nsid w:val="29304BE4"/>
    <w:multiLevelType w:val="singleLevel"/>
    <w:tmpl w:val="4BEE6272"/>
    <w:lvl w:ilvl="0">
      <w:start w:val="3"/>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15">
    <w:nsid w:val="2AB47C52"/>
    <w:multiLevelType w:val="singleLevel"/>
    <w:tmpl w:val="2D0683F6"/>
    <w:lvl w:ilvl="0">
      <w:start w:val="1"/>
      <w:numFmt w:val="decimal"/>
      <w:lvlText w:val="5.%1 "/>
      <w:legacy w:legacy="1" w:legacySpace="0" w:legacyIndent="283"/>
      <w:lvlJc w:val="left"/>
      <w:pPr>
        <w:ind w:left="283" w:hanging="283"/>
      </w:pPr>
      <w:rPr>
        <w:rFonts w:ascii="Times New Roman" w:hAnsi="Times New Roman" w:hint="default"/>
        <w:b/>
        <w:i w:val="0"/>
        <w:sz w:val="24"/>
        <w:u w:val="none"/>
      </w:rPr>
    </w:lvl>
  </w:abstractNum>
  <w:abstractNum w:abstractNumId="16">
    <w:nsid w:val="2D280836"/>
    <w:multiLevelType w:val="singleLevel"/>
    <w:tmpl w:val="3E3CF94E"/>
    <w:lvl w:ilvl="0">
      <w:start w:val="7"/>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17">
    <w:nsid w:val="31070A69"/>
    <w:multiLevelType w:val="singleLevel"/>
    <w:tmpl w:val="031CB346"/>
    <w:lvl w:ilvl="0">
      <w:start w:val="4"/>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18">
    <w:nsid w:val="35C46060"/>
    <w:multiLevelType w:val="singleLevel"/>
    <w:tmpl w:val="3CC84D8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9">
    <w:nsid w:val="3A1E54BC"/>
    <w:multiLevelType w:val="singleLevel"/>
    <w:tmpl w:val="09DCA546"/>
    <w:lvl w:ilvl="0">
      <w:start w:val="9"/>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20">
    <w:nsid w:val="3B0D0F68"/>
    <w:multiLevelType w:val="hybridMultilevel"/>
    <w:tmpl w:val="65A8790C"/>
    <w:lvl w:ilvl="0" w:tplc="04405612">
      <w:start w:val="1"/>
      <w:numFmt w:val="decimal"/>
      <w:pStyle w:val="List"/>
      <w:lvlText w:val="%1."/>
      <w:lvlJc w:val="left"/>
      <w:pPr>
        <w:tabs>
          <w:tab w:val="num" w:pos="360"/>
        </w:tabs>
        <w:ind w:left="340" w:hanging="34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946D0A"/>
    <w:multiLevelType w:val="singleLevel"/>
    <w:tmpl w:val="DDB4CA02"/>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2">
    <w:nsid w:val="4D9C1958"/>
    <w:multiLevelType w:val="hybridMultilevel"/>
    <w:tmpl w:val="EDC8BB08"/>
    <w:lvl w:ilvl="0" w:tplc="07243F68">
      <w:start w:val="1"/>
      <w:numFmt w:val="bullet"/>
      <w:pStyle w:val="CS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727A92"/>
    <w:multiLevelType w:val="singleLevel"/>
    <w:tmpl w:val="F4480A44"/>
    <w:lvl w:ilvl="0">
      <w:start w:val="3"/>
      <w:numFmt w:val="decimal"/>
      <w:lvlText w:val="(%1)"/>
      <w:lvlJc w:val="left"/>
      <w:pPr>
        <w:tabs>
          <w:tab w:val="num" w:pos="360"/>
        </w:tabs>
        <w:ind w:left="360" w:hanging="360"/>
      </w:pPr>
      <w:rPr>
        <w:rFonts w:hint="default"/>
      </w:rPr>
    </w:lvl>
  </w:abstractNum>
  <w:abstractNum w:abstractNumId="24">
    <w:nsid w:val="59EF7852"/>
    <w:multiLevelType w:val="singleLevel"/>
    <w:tmpl w:val="55F4085E"/>
    <w:lvl w:ilvl="0">
      <w:start w:val="8"/>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25">
    <w:nsid w:val="65FB26CC"/>
    <w:multiLevelType w:val="singleLevel"/>
    <w:tmpl w:val="3AE243AE"/>
    <w:lvl w:ilvl="0">
      <w:start w:val="1"/>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26">
    <w:nsid w:val="69B8021B"/>
    <w:multiLevelType w:val="singleLevel"/>
    <w:tmpl w:val="04F22EEE"/>
    <w:lvl w:ilvl="0">
      <w:start w:val="1"/>
      <w:numFmt w:val="decimal"/>
      <w:lvlText w:val="(%1)"/>
      <w:lvlJc w:val="left"/>
      <w:pPr>
        <w:tabs>
          <w:tab w:val="num" w:pos="360"/>
        </w:tabs>
        <w:ind w:left="360" w:hanging="360"/>
      </w:pPr>
      <w:rPr>
        <w:rFonts w:hint="default"/>
      </w:rPr>
    </w:lvl>
  </w:abstractNum>
  <w:abstractNum w:abstractNumId="27">
    <w:nsid w:val="6E807299"/>
    <w:multiLevelType w:val="singleLevel"/>
    <w:tmpl w:val="419698BC"/>
    <w:lvl w:ilvl="0">
      <w:start w:val="2"/>
      <w:numFmt w:val="decimal"/>
      <w:lvlText w:val="5.%1 "/>
      <w:legacy w:legacy="1" w:legacySpace="0" w:legacyIndent="283"/>
      <w:lvlJc w:val="left"/>
      <w:pPr>
        <w:ind w:left="283" w:hanging="283"/>
      </w:pPr>
      <w:rPr>
        <w:rFonts w:ascii="Times New Roman" w:hAnsi="Times New Roman" w:hint="default"/>
        <w:b/>
        <w:i w:val="0"/>
        <w:sz w:val="24"/>
        <w:u w:val="none"/>
      </w:rPr>
    </w:lvl>
  </w:abstractNum>
  <w:abstractNum w:abstractNumId="28">
    <w:nsid w:val="76DB122C"/>
    <w:multiLevelType w:val="singleLevel"/>
    <w:tmpl w:val="B3EAC722"/>
    <w:lvl w:ilvl="0">
      <w:start w:val="3"/>
      <w:numFmt w:val="decimal"/>
      <w:lvlText w:val="5.%1 "/>
      <w:legacy w:legacy="1" w:legacySpace="0" w:legacyIndent="283"/>
      <w:lvlJc w:val="left"/>
      <w:pPr>
        <w:ind w:left="283" w:hanging="283"/>
      </w:pPr>
      <w:rPr>
        <w:rFonts w:ascii="Times New Roman" w:hAnsi="Times New Roman" w:hint="default"/>
        <w:b/>
        <w:i w:val="0"/>
        <w:sz w:val="24"/>
        <w:u w:val="none"/>
      </w:rPr>
    </w:lvl>
  </w:abstractNum>
  <w:abstractNum w:abstractNumId="29">
    <w:nsid w:val="771A0299"/>
    <w:multiLevelType w:val="singleLevel"/>
    <w:tmpl w:val="A42E29A0"/>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0">
    <w:nsid w:val="782C1304"/>
    <w:multiLevelType w:val="singleLevel"/>
    <w:tmpl w:val="6D9EC6D4"/>
    <w:lvl w:ilvl="0">
      <w:start w:val="6"/>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31">
    <w:nsid w:val="7CC569C6"/>
    <w:multiLevelType w:val="singleLevel"/>
    <w:tmpl w:val="3DDC74CE"/>
    <w:lvl w:ilvl="0">
      <w:start w:val="3"/>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32">
    <w:nsid w:val="7EFC6D63"/>
    <w:multiLevelType w:val="singleLevel"/>
    <w:tmpl w:val="90908320"/>
    <w:lvl w:ilvl="0">
      <w:start w:val="5"/>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33">
    <w:nsid w:val="7FB62C2C"/>
    <w:multiLevelType w:val="singleLevel"/>
    <w:tmpl w:val="A4B8D820"/>
    <w:lvl w:ilvl="0">
      <w:start w:val="2"/>
      <w:numFmt w:val="decimal"/>
      <w:lvlText w:val="4.%1 "/>
      <w:legacy w:legacy="1" w:legacySpace="0" w:legacyIndent="283"/>
      <w:lvlJc w:val="left"/>
      <w:pPr>
        <w:ind w:left="283" w:hanging="283"/>
      </w:pPr>
      <w:rPr>
        <w:rFonts w:ascii="Times New Roman" w:hAnsi="Times New Roman" w:hint="default"/>
        <w:b/>
        <w:i w:val="0"/>
        <w:sz w:val="24"/>
        <w:u w:val="none"/>
      </w:rPr>
    </w:lvl>
  </w:abstractNum>
  <w:num w:numId="1">
    <w:abstractNumId w:val="7"/>
  </w:num>
  <w:num w:numId="2">
    <w:abstractNumId w:val="21"/>
  </w:num>
  <w:num w:numId="3">
    <w:abstractNumId w:val="9"/>
  </w:num>
  <w:num w:numId="4">
    <w:abstractNumId w:val="18"/>
  </w:num>
  <w:num w:numId="5">
    <w:abstractNumId w:val="25"/>
  </w:num>
  <w:num w:numId="6">
    <w:abstractNumId w:val="33"/>
  </w:num>
  <w:num w:numId="7">
    <w:abstractNumId w:val="31"/>
  </w:num>
  <w:num w:numId="8">
    <w:abstractNumId w:val="17"/>
  </w:num>
  <w:num w:numId="9">
    <w:abstractNumId w:val="6"/>
  </w:num>
  <w:num w:numId="10">
    <w:abstractNumId w:val="5"/>
  </w:num>
  <w:num w:numId="11">
    <w:abstractNumId w:val="16"/>
  </w:num>
  <w:num w:numId="12">
    <w:abstractNumId w:val="24"/>
  </w:num>
  <w:num w:numId="13">
    <w:abstractNumId w:val="19"/>
  </w:num>
  <w:num w:numId="14">
    <w:abstractNumId w:val="29"/>
  </w:num>
  <w:num w:numId="15">
    <w:abstractNumId w:val="15"/>
  </w:num>
  <w:num w:numId="16">
    <w:abstractNumId w:val="27"/>
  </w:num>
  <w:num w:numId="17">
    <w:abstractNumId w:val="28"/>
  </w:num>
  <w:num w:numId="18">
    <w:abstractNumId w:val="8"/>
  </w:num>
  <w:num w:numId="19">
    <w:abstractNumId w:val="13"/>
  </w:num>
  <w:num w:numId="20">
    <w:abstractNumId w:val="4"/>
  </w:num>
  <w:num w:numId="21">
    <w:abstractNumId w:val="14"/>
  </w:num>
  <w:num w:numId="22">
    <w:abstractNumId w:val="12"/>
  </w:num>
  <w:num w:numId="23">
    <w:abstractNumId w:val="32"/>
  </w:num>
  <w:num w:numId="24">
    <w:abstractNumId w:val="30"/>
  </w:num>
  <w:num w:numId="25">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11"/>
  </w:num>
  <w:num w:numId="27">
    <w:abstractNumId w:val="26"/>
  </w:num>
  <w:num w:numId="28">
    <w:abstractNumId w:val="23"/>
  </w:num>
  <w:num w:numId="29">
    <w:abstractNumId w:val="22"/>
  </w:num>
  <w:num w:numId="30">
    <w:abstractNumId w:val="20"/>
  </w:num>
  <w:num w:numId="31">
    <w:abstractNumId w:val="10"/>
  </w:num>
  <w:num w:numId="32">
    <w:abstractNumId w:val="2"/>
  </w:num>
  <w:num w:numId="33">
    <w:abstractNumId w:val="2"/>
  </w:num>
  <w:num w:numId="34">
    <w:abstractNumId w:val="1"/>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5E"/>
    <w:rsid w:val="00000A7A"/>
    <w:rsid w:val="00012823"/>
    <w:rsid w:val="000200BB"/>
    <w:rsid w:val="00027B40"/>
    <w:rsid w:val="000D0F9B"/>
    <w:rsid w:val="000D4297"/>
    <w:rsid w:val="000D436B"/>
    <w:rsid w:val="000E0978"/>
    <w:rsid w:val="000E11D6"/>
    <w:rsid w:val="00102664"/>
    <w:rsid w:val="001213BF"/>
    <w:rsid w:val="00180C94"/>
    <w:rsid w:val="00181780"/>
    <w:rsid w:val="00191638"/>
    <w:rsid w:val="00196C87"/>
    <w:rsid w:val="001A6C66"/>
    <w:rsid w:val="001D28E8"/>
    <w:rsid w:val="001E63CE"/>
    <w:rsid w:val="002033CF"/>
    <w:rsid w:val="00210D02"/>
    <w:rsid w:val="0021594D"/>
    <w:rsid w:val="0022125B"/>
    <w:rsid w:val="00223948"/>
    <w:rsid w:val="0024617B"/>
    <w:rsid w:val="002724C8"/>
    <w:rsid w:val="00287913"/>
    <w:rsid w:val="002B4DB2"/>
    <w:rsid w:val="002B5375"/>
    <w:rsid w:val="002D19FF"/>
    <w:rsid w:val="002F1879"/>
    <w:rsid w:val="00342D5E"/>
    <w:rsid w:val="00343301"/>
    <w:rsid w:val="0035109A"/>
    <w:rsid w:val="00363E65"/>
    <w:rsid w:val="00366AA2"/>
    <w:rsid w:val="0038299B"/>
    <w:rsid w:val="00382ADB"/>
    <w:rsid w:val="003C2FC5"/>
    <w:rsid w:val="003C368E"/>
    <w:rsid w:val="003E7C6C"/>
    <w:rsid w:val="003F2F47"/>
    <w:rsid w:val="00420C67"/>
    <w:rsid w:val="00431349"/>
    <w:rsid w:val="00446CF3"/>
    <w:rsid w:val="00465A2A"/>
    <w:rsid w:val="00490123"/>
    <w:rsid w:val="004B3641"/>
    <w:rsid w:val="004B7A88"/>
    <w:rsid w:val="005325E2"/>
    <w:rsid w:val="00551986"/>
    <w:rsid w:val="005710FF"/>
    <w:rsid w:val="00576890"/>
    <w:rsid w:val="005C372F"/>
    <w:rsid w:val="005F7DBB"/>
    <w:rsid w:val="00610FA5"/>
    <w:rsid w:val="00620959"/>
    <w:rsid w:val="006408A5"/>
    <w:rsid w:val="00651BF8"/>
    <w:rsid w:val="0065444A"/>
    <w:rsid w:val="0066646D"/>
    <w:rsid w:val="006858DA"/>
    <w:rsid w:val="006B30A1"/>
    <w:rsid w:val="006B7EA8"/>
    <w:rsid w:val="006D1807"/>
    <w:rsid w:val="006D414F"/>
    <w:rsid w:val="006E2295"/>
    <w:rsid w:val="006F2CC9"/>
    <w:rsid w:val="00711DD0"/>
    <w:rsid w:val="00723851"/>
    <w:rsid w:val="007612B3"/>
    <w:rsid w:val="0076647B"/>
    <w:rsid w:val="007759E3"/>
    <w:rsid w:val="007A1CC7"/>
    <w:rsid w:val="007E7672"/>
    <w:rsid w:val="00806270"/>
    <w:rsid w:val="00813B6F"/>
    <w:rsid w:val="00830C2A"/>
    <w:rsid w:val="00842E7D"/>
    <w:rsid w:val="00847BA2"/>
    <w:rsid w:val="008639E2"/>
    <w:rsid w:val="00872C49"/>
    <w:rsid w:val="008A2657"/>
    <w:rsid w:val="008A36DA"/>
    <w:rsid w:val="008B2E99"/>
    <w:rsid w:val="008B7E14"/>
    <w:rsid w:val="008E1D7F"/>
    <w:rsid w:val="008E548F"/>
    <w:rsid w:val="008F0953"/>
    <w:rsid w:val="00913823"/>
    <w:rsid w:val="00914CC6"/>
    <w:rsid w:val="00926CB8"/>
    <w:rsid w:val="0093195F"/>
    <w:rsid w:val="009430FD"/>
    <w:rsid w:val="009444A4"/>
    <w:rsid w:val="00950DF8"/>
    <w:rsid w:val="00967DB6"/>
    <w:rsid w:val="00986A59"/>
    <w:rsid w:val="00987056"/>
    <w:rsid w:val="00996B74"/>
    <w:rsid w:val="009B56C9"/>
    <w:rsid w:val="009C32D2"/>
    <w:rsid w:val="009C4A09"/>
    <w:rsid w:val="009D175C"/>
    <w:rsid w:val="009D60AF"/>
    <w:rsid w:val="009F7472"/>
    <w:rsid w:val="00A1060C"/>
    <w:rsid w:val="00A25557"/>
    <w:rsid w:val="00A41388"/>
    <w:rsid w:val="00A82468"/>
    <w:rsid w:val="00A832D6"/>
    <w:rsid w:val="00AA3087"/>
    <w:rsid w:val="00AC1023"/>
    <w:rsid w:val="00AC5B78"/>
    <w:rsid w:val="00AE4DE0"/>
    <w:rsid w:val="00AE6021"/>
    <w:rsid w:val="00B02658"/>
    <w:rsid w:val="00B23B6A"/>
    <w:rsid w:val="00B45877"/>
    <w:rsid w:val="00B4666A"/>
    <w:rsid w:val="00B547AA"/>
    <w:rsid w:val="00B6519E"/>
    <w:rsid w:val="00B65DD6"/>
    <w:rsid w:val="00B70BF8"/>
    <w:rsid w:val="00B91510"/>
    <w:rsid w:val="00B95D45"/>
    <w:rsid w:val="00B96C5E"/>
    <w:rsid w:val="00B97E32"/>
    <w:rsid w:val="00BB1F6A"/>
    <w:rsid w:val="00BD4CF3"/>
    <w:rsid w:val="00BE5336"/>
    <w:rsid w:val="00BE7964"/>
    <w:rsid w:val="00C0175C"/>
    <w:rsid w:val="00C32678"/>
    <w:rsid w:val="00C45A81"/>
    <w:rsid w:val="00C54C4B"/>
    <w:rsid w:val="00C941CD"/>
    <w:rsid w:val="00C96932"/>
    <w:rsid w:val="00CA49DE"/>
    <w:rsid w:val="00CC098B"/>
    <w:rsid w:val="00CC0B5D"/>
    <w:rsid w:val="00CD2EE8"/>
    <w:rsid w:val="00CE02B2"/>
    <w:rsid w:val="00CF3171"/>
    <w:rsid w:val="00D1681B"/>
    <w:rsid w:val="00D26987"/>
    <w:rsid w:val="00D3214A"/>
    <w:rsid w:val="00D84387"/>
    <w:rsid w:val="00D854FA"/>
    <w:rsid w:val="00DD1314"/>
    <w:rsid w:val="00DF0C15"/>
    <w:rsid w:val="00DF244C"/>
    <w:rsid w:val="00E244B8"/>
    <w:rsid w:val="00E435EB"/>
    <w:rsid w:val="00E863EE"/>
    <w:rsid w:val="00E8792C"/>
    <w:rsid w:val="00E9633B"/>
    <w:rsid w:val="00E9729A"/>
    <w:rsid w:val="00EB021F"/>
    <w:rsid w:val="00EC6D6A"/>
    <w:rsid w:val="00F00A5C"/>
    <w:rsid w:val="00F26B0D"/>
    <w:rsid w:val="00F369ED"/>
    <w:rsid w:val="00F61C9B"/>
    <w:rsid w:val="00F72279"/>
    <w:rsid w:val="00F7263A"/>
    <w:rsid w:val="00F821B9"/>
    <w:rsid w:val="00F92AD2"/>
    <w:rsid w:val="00F96009"/>
    <w:rsid w:val="00F96673"/>
    <w:rsid w:val="00FA45D9"/>
    <w:rsid w:val="00FA6D59"/>
    <w:rsid w:val="00FB2094"/>
    <w:rsid w:val="00FC6D81"/>
    <w:rsid w:val="00FD5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14A"/>
    <w:pPr>
      <w:spacing w:after="60"/>
      <w:jc w:val="both"/>
    </w:pPr>
    <w:rPr>
      <w:rFonts w:ascii="Arial" w:hAnsi="Arial"/>
      <w:sz w:val="22"/>
      <w:lang w:eastAsia="en-US"/>
    </w:rPr>
  </w:style>
  <w:style w:type="paragraph" w:styleId="Heading1">
    <w:name w:val="heading 1"/>
    <w:basedOn w:val="Normal"/>
    <w:next w:val="Normal"/>
    <w:qFormat/>
    <w:rsid w:val="00D3214A"/>
    <w:pPr>
      <w:keepNext/>
      <w:spacing w:before="240"/>
      <w:outlineLvl w:val="0"/>
    </w:pPr>
    <w:rPr>
      <w:b/>
      <w:caps/>
      <w:sz w:val="24"/>
    </w:rPr>
  </w:style>
  <w:style w:type="paragraph" w:styleId="Heading2">
    <w:name w:val="heading 2"/>
    <w:basedOn w:val="Heading1"/>
    <w:next w:val="Normal"/>
    <w:autoRedefine/>
    <w:qFormat/>
    <w:rsid w:val="00967DB6"/>
    <w:pPr>
      <w:spacing w:before="0" w:after="0"/>
      <w:outlineLvl w:val="1"/>
    </w:pPr>
    <w:rPr>
      <w:caps w:val="0"/>
      <w:sz w:val="22"/>
    </w:rPr>
  </w:style>
  <w:style w:type="paragraph" w:styleId="Heading3">
    <w:name w:val="heading 3"/>
    <w:aliases w:val="CMI Heading 3"/>
    <w:basedOn w:val="Heading2"/>
    <w:next w:val="Normal"/>
    <w:qFormat/>
    <w:rsid w:val="00D3214A"/>
    <w:pPr>
      <w:outlineLvl w:val="2"/>
    </w:pPr>
    <w:rPr>
      <w:b w:val="0"/>
      <w:u w:val="single"/>
    </w:rPr>
  </w:style>
  <w:style w:type="paragraph" w:styleId="Heading4">
    <w:name w:val="heading 4"/>
    <w:basedOn w:val="Heading3"/>
    <w:next w:val="Normal"/>
    <w:qFormat/>
    <w:rsid w:val="00D3214A"/>
    <w:pPr>
      <w:outlineLvl w:val="3"/>
    </w:pPr>
    <w:rPr>
      <w:rFonts w:cs="Arial"/>
      <w:i/>
      <w:u w:val="none"/>
    </w:rPr>
  </w:style>
  <w:style w:type="paragraph" w:styleId="Heading5">
    <w:name w:val="heading 5"/>
    <w:basedOn w:val="Normal"/>
    <w:next w:val="Normal"/>
    <w:qFormat/>
    <w:rsid w:val="00D3214A"/>
    <w:pPr>
      <w:spacing w:before="240"/>
      <w:jc w:val="left"/>
      <w:outlineLvl w:val="4"/>
    </w:pPr>
    <w:rPr>
      <w:i/>
    </w:rPr>
  </w:style>
  <w:style w:type="paragraph" w:styleId="Heading8">
    <w:name w:val="heading 8"/>
    <w:basedOn w:val="Normal"/>
    <w:next w:val="Normal"/>
    <w:qFormat/>
    <w:rsid w:val="00E863EE"/>
    <w:pPr>
      <w:keepNext/>
      <w:jc w:val="right"/>
      <w:outlineLvl w:val="7"/>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214A"/>
    <w:pPr>
      <w:tabs>
        <w:tab w:val="center" w:pos="4153"/>
        <w:tab w:val="right" w:pos="8306"/>
      </w:tabs>
    </w:pPr>
  </w:style>
  <w:style w:type="paragraph" w:styleId="Footer">
    <w:name w:val="footer"/>
    <w:basedOn w:val="Normal"/>
    <w:link w:val="FooterChar"/>
    <w:uiPriority w:val="99"/>
    <w:rsid w:val="00D3214A"/>
    <w:pPr>
      <w:tabs>
        <w:tab w:val="right" w:pos="9639"/>
      </w:tabs>
    </w:pPr>
    <w:rPr>
      <w:rFonts w:ascii="Arial Narrow" w:hAnsi="Arial Narrow"/>
    </w:rPr>
  </w:style>
  <w:style w:type="paragraph" w:customStyle="1" w:styleId="soustexte20last">
    <w:name w:val="sous:texte:20last"/>
    <w:rsid w:val="00E863EE"/>
    <w:pPr>
      <w:tabs>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2"/>
        <w:tab w:val="left" w:pos="5386"/>
        <w:tab w:val="left" w:pos="5669"/>
        <w:tab w:val="left" w:pos="5953"/>
        <w:tab w:val="left" w:pos="6236"/>
        <w:tab w:val="left" w:pos="6520"/>
        <w:tab w:val="left" w:pos="6803"/>
      </w:tabs>
      <w:spacing w:after="85" w:line="321" w:lineRule="atLeast"/>
      <w:ind w:left="1134"/>
      <w:jc w:val="both"/>
    </w:pPr>
    <w:rPr>
      <w:rFonts w:ascii="Times" w:hAnsi="Times"/>
      <w:sz w:val="22"/>
      <w:lang w:val="en-US" w:eastAsia="en-US"/>
    </w:rPr>
  </w:style>
  <w:style w:type="paragraph" w:customStyle="1" w:styleId="texte20">
    <w:name w:val="texte:20"/>
    <w:link w:val="texte20Car"/>
    <w:uiPriority w:val="99"/>
    <w:rsid w:val="00E863EE"/>
    <w:pPr>
      <w:spacing w:after="85" w:line="360" w:lineRule="atLeast"/>
      <w:ind w:left="1134"/>
      <w:jc w:val="both"/>
    </w:pPr>
    <w:rPr>
      <w:rFonts w:ascii="Times" w:hAnsi="Times"/>
      <w:sz w:val="24"/>
      <w:lang w:val="en-GB" w:eastAsia="en-US"/>
    </w:rPr>
  </w:style>
  <w:style w:type="paragraph" w:styleId="BodyText3">
    <w:name w:val="Body Text 3"/>
    <w:basedOn w:val="Normal"/>
    <w:rsid w:val="00E863EE"/>
    <w:pPr>
      <w:tabs>
        <w:tab w:val="left" w:pos="360"/>
      </w:tabs>
    </w:pPr>
    <w:rPr>
      <w:rFonts w:ascii="Times New Roman" w:hAnsi="Times New Roman"/>
    </w:rPr>
  </w:style>
  <w:style w:type="paragraph" w:customStyle="1" w:styleId="titre2spec">
    <w:name w:val="titre:2spec"/>
    <w:rsid w:val="00E863EE"/>
    <w:pPr>
      <w:keepNext/>
      <w:keepLines/>
      <w:tabs>
        <w:tab w:val="left" w:pos="1134"/>
        <w:tab w:val="left" w:pos="2551"/>
        <w:tab w:val="left" w:pos="3969"/>
        <w:tab w:val="left" w:pos="5386"/>
        <w:tab w:val="left" w:pos="5759"/>
        <w:tab w:val="left" w:pos="6479"/>
        <w:tab w:val="left" w:pos="7201"/>
        <w:tab w:val="left" w:pos="7921"/>
        <w:tab w:val="left" w:pos="8641"/>
        <w:tab w:val="left" w:pos="9361"/>
      </w:tabs>
      <w:spacing w:before="181" w:after="227" w:line="306" w:lineRule="atLeast"/>
      <w:ind w:left="1134" w:hanging="1134"/>
      <w:jc w:val="both"/>
    </w:pPr>
    <w:rPr>
      <w:rFonts w:ascii="Times" w:hAnsi="Times"/>
      <w:b/>
      <w:sz w:val="22"/>
      <w:lang w:val="en-US" w:eastAsia="en-US"/>
    </w:rPr>
  </w:style>
  <w:style w:type="paragraph" w:customStyle="1" w:styleId="soustexte20">
    <w:name w:val="sous:texte:20"/>
    <w:rsid w:val="00E863EE"/>
    <w:pPr>
      <w:tabs>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2"/>
        <w:tab w:val="left" w:pos="5386"/>
        <w:tab w:val="left" w:pos="5669"/>
        <w:tab w:val="left" w:pos="5953"/>
        <w:tab w:val="left" w:pos="6236"/>
        <w:tab w:val="left" w:pos="6520"/>
        <w:tab w:val="left" w:pos="6803"/>
      </w:tabs>
      <w:spacing w:line="330" w:lineRule="atLeast"/>
      <w:ind w:left="1134"/>
      <w:jc w:val="both"/>
    </w:pPr>
    <w:rPr>
      <w:rFonts w:ascii="Times" w:hAnsi="Times"/>
      <w:sz w:val="22"/>
      <w:lang w:val="en-US" w:eastAsia="en-US"/>
    </w:rPr>
  </w:style>
  <w:style w:type="character" w:styleId="PageNumber">
    <w:name w:val="page number"/>
    <w:basedOn w:val="DefaultParagraphFont"/>
    <w:rsid w:val="00D3214A"/>
  </w:style>
  <w:style w:type="paragraph" w:customStyle="1" w:styleId="TDF">
    <w:name w:val="TDF"/>
    <w:rsid w:val="00E863EE"/>
    <w:pPr>
      <w:pageBreakBefore/>
      <w:widowControl w:val="0"/>
      <w:autoSpaceDE w:val="0"/>
      <w:autoSpaceDN w:val="0"/>
      <w:spacing w:after="567" w:line="360" w:lineRule="atLeast"/>
      <w:jc w:val="center"/>
    </w:pPr>
    <w:rPr>
      <w:rFonts w:ascii="Times" w:hAnsi="Times"/>
      <w:b/>
      <w:bCs/>
      <w:lang w:val="fr-FR" w:eastAsia="fr-FR"/>
    </w:rPr>
  </w:style>
  <w:style w:type="paragraph" w:customStyle="1" w:styleId="tabce">
    <w:name w:val="tab:ce"/>
    <w:rsid w:val="00E863EE"/>
    <w:pPr>
      <w:widowControl w:val="0"/>
      <w:autoSpaceDE w:val="0"/>
      <w:autoSpaceDN w:val="0"/>
      <w:spacing w:before="50" w:after="50" w:line="300" w:lineRule="atLeast"/>
      <w:jc w:val="center"/>
    </w:pPr>
    <w:rPr>
      <w:rFonts w:ascii="Times" w:hAnsi="Times"/>
      <w:lang w:val="fr-FR" w:eastAsia="fr-FR"/>
    </w:rPr>
  </w:style>
  <w:style w:type="paragraph" w:customStyle="1" w:styleId="tabg0">
    <w:name w:val="tab:g:0"/>
    <w:rsid w:val="00E863EE"/>
    <w:pPr>
      <w:autoSpaceDE w:val="0"/>
      <w:autoSpaceDN w:val="0"/>
      <w:spacing w:before="50" w:after="50" w:line="300" w:lineRule="atLeast"/>
      <w:jc w:val="both"/>
    </w:pPr>
    <w:rPr>
      <w:rFonts w:ascii="Times" w:hAnsi="Times"/>
      <w:lang w:val="fr-FR" w:eastAsia="fr-FR"/>
    </w:rPr>
  </w:style>
  <w:style w:type="paragraph" w:customStyle="1" w:styleId="soustab20">
    <w:name w:val="sous:tab:20"/>
    <w:rsid w:val="00E863EE"/>
    <w:pPr>
      <w:keepLines/>
      <w:widowControl w:val="0"/>
      <w:spacing w:after="85" w:line="269" w:lineRule="atLeast"/>
      <w:ind w:left="1134"/>
      <w:jc w:val="both"/>
    </w:pPr>
    <w:rPr>
      <w:rFonts w:ascii="Times" w:hAnsi="Times"/>
      <w:sz w:val="18"/>
      <w:lang w:val="en-GB" w:eastAsia="en-US"/>
    </w:rPr>
  </w:style>
  <w:style w:type="paragraph" w:styleId="BodyTextIndent">
    <w:name w:val="Body Text Indent"/>
    <w:basedOn w:val="Normal"/>
    <w:rsid w:val="00D3214A"/>
    <w:pPr>
      <w:ind w:left="720"/>
    </w:pPr>
    <w:rPr>
      <w:i/>
      <w:iCs/>
    </w:rPr>
  </w:style>
  <w:style w:type="character" w:styleId="CommentReference">
    <w:name w:val="annotation reference"/>
    <w:semiHidden/>
    <w:rsid w:val="00E863EE"/>
    <w:rPr>
      <w:sz w:val="16"/>
    </w:rPr>
  </w:style>
  <w:style w:type="paragraph" w:styleId="CommentText">
    <w:name w:val="annotation text"/>
    <w:basedOn w:val="Normal"/>
    <w:link w:val="CommentTextChar"/>
    <w:semiHidden/>
    <w:rsid w:val="00E863EE"/>
    <w:rPr>
      <w:sz w:val="20"/>
    </w:rPr>
  </w:style>
  <w:style w:type="paragraph" w:customStyle="1" w:styleId="CSBullet">
    <w:name w:val="CS Bullet"/>
    <w:basedOn w:val="Normal"/>
    <w:uiPriority w:val="99"/>
    <w:rsid w:val="00E863EE"/>
    <w:pPr>
      <w:numPr>
        <w:numId w:val="29"/>
      </w:numPr>
      <w:tabs>
        <w:tab w:val="clear" w:pos="360"/>
        <w:tab w:val="left" w:pos="284"/>
      </w:tabs>
    </w:pPr>
  </w:style>
  <w:style w:type="paragraph" w:styleId="BodyText">
    <w:name w:val="Body Text"/>
    <w:basedOn w:val="Normal"/>
    <w:rsid w:val="00D3214A"/>
    <w:pPr>
      <w:jc w:val="left"/>
    </w:pPr>
  </w:style>
  <w:style w:type="paragraph" w:styleId="Caption">
    <w:name w:val="caption"/>
    <w:basedOn w:val="Normal"/>
    <w:next w:val="Normal"/>
    <w:qFormat/>
    <w:rsid w:val="00E863EE"/>
    <w:pPr>
      <w:spacing w:before="120" w:after="120"/>
    </w:pPr>
    <w:rPr>
      <w:b/>
      <w:bCs/>
      <w:sz w:val="20"/>
    </w:rPr>
  </w:style>
  <w:style w:type="paragraph" w:customStyle="1" w:styleId="Tabletext">
    <w:name w:val="Table text"/>
    <w:basedOn w:val="Normal"/>
    <w:rsid w:val="00E863EE"/>
    <w:pPr>
      <w:spacing w:before="20" w:after="20"/>
    </w:pPr>
    <w:rPr>
      <w:sz w:val="20"/>
    </w:rPr>
  </w:style>
  <w:style w:type="paragraph" w:styleId="BodyText2">
    <w:name w:val="Body Text 2"/>
    <w:basedOn w:val="Normal"/>
    <w:rsid w:val="00E863EE"/>
    <w:pPr>
      <w:spacing w:line="330" w:lineRule="atLeast"/>
    </w:pPr>
    <w:rPr>
      <w:color w:val="FF0000"/>
    </w:rPr>
  </w:style>
  <w:style w:type="paragraph" w:styleId="BalloonText">
    <w:name w:val="Balloon Text"/>
    <w:basedOn w:val="Normal"/>
    <w:semiHidden/>
    <w:rsid w:val="00E863EE"/>
    <w:rPr>
      <w:rFonts w:ascii="Tahoma" w:hAnsi="Tahoma" w:cs="Tahoma"/>
      <w:sz w:val="16"/>
      <w:szCs w:val="16"/>
    </w:rPr>
  </w:style>
  <w:style w:type="paragraph" w:customStyle="1" w:styleId="CMIExplanation">
    <w:name w:val="CMI Explanation"/>
    <w:basedOn w:val="Normal"/>
    <w:rsid w:val="00D3214A"/>
    <w:pPr>
      <w:spacing w:before="60"/>
      <w:jc w:val="left"/>
    </w:pPr>
    <w:rPr>
      <w:rFonts w:ascii="Times New Roman" w:hAnsi="Times New Roman"/>
      <w:snapToGrid w:val="0"/>
      <w:sz w:val="20"/>
    </w:rPr>
  </w:style>
  <w:style w:type="paragraph" w:styleId="List">
    <w:name w:val="List"/>
    <w:basedOn w:val="Normal"/>
    <w:rsid w:val="00D3214A"/>
    <w:pPr>
      <w:keepNext/>
      <w:numPr>
        <w:numId w:val="30"/>
      </w:numPr>
      <w:jc w:val="left"/>
    </w:pPr>
  </w:style>
  <w:style w:type="paragraph" w:styleId="List2">
    <w:name w:val="List 2"/>
    <w:basedOn w:val="Normal"/>
    <w:rsid w:val="00D3214A"/>
    <w:pPr>
      <w:keepNext/>
      <w:keepLines/>
      <w:numPr>
        <w:numId w:val="31"/>
      </w:numPr>
    </w:pPr>
  </w:style>
  <w:style w:type="paragraph" w:styleId="ListBullet">
    <w:name w:val="List Bullet"/>
    <w:basedOn w:val="Normal"/>
    <w:autoRedefine/>
    <w:rsid w:val="00D3214A"/>
    <w:pPr>
      <w:numPr>
        <w:numId w:val="33"/>
      </w:numPr>
    </w:pPr>
  </w:style>
  <w:style w:type="paragraph" w:styleId="ListNumber">
    <w:name w:val="List Number"/>
    <w:basedOn w:val="Normal"/>
    <w:rsid w:val="00D3214A"/>
    <w:pPr>
      <w:keepNext/>
      <w:keepLines/>
      <w:numPr>
        <w:numId w:val="35"/>
      </w:numPr>
      <w:spacing w:after="120"/>
    </w:pPr>
  </w:style>
  <w:style w:type="paragraph" w:styleId="Subtitle">
    <w:name w:val="Subtitle"/>
    <w:basedOn w:val="Normal"/>
    <w:qFormat/>
    <w:rsid w:val="00D3214A"/>
    <w:pPr>
      <w:jc w:val="center"/>
      <w:outlineLvl w:val="1"/>
    </w:pPr>
    <w:rPr>
      <w:rFonts w:cs="Arial"/>
      <w:b/>
      <w:caps/>
      <w:sz w:val="24"/>
      <w:szCs w:val="24"/>
    </w:rPr>
  </w:style>
  <w:style w:type="paragraph" w:styleId="Title">
    <w:name w:val="Title"/>
    <w:basedOn w:val="Normal"/>
    <w:qFormat/>
    <w:rsid w:val="00D3214A"/>
    <w:pPr>
      <w:spacing w:before="240"/>
      <w:jc w:val="center"/>
      <w:outlineLvl w:val="0"/>
    </w:pPr>
    <w:rPr>
      <w:rFonts w:cs="Arial"/>
      <w:b/>
      <w:bCs/>
      <w:caps/>
      <w:kern w:val="28"/>
      <w:sz w:val="28"/>
      <w:szCs w:val="32"/>
    </w:rPr>
  </w:style>
  <w:style w:type="paragraph" w:styleId="CommentSubject">
    <w:name w:val="annotation subject"/>
    <w:basedOn w:val="CommentText"/>
    <w:next w:val="CommentText"/>
    <w:link w:val="CommentSubjectChar"/>
    <w:rsid w:val="00C96932"/>
    <w:rPr>
      <w:b/>
      <w:bCs/>
    </w:rPr>
  </w:style>
  <w:style w:type="character" w:customStyle="1" w:styleId="CommentTextChar">
    <w:name w:val="Comment Text Char"/>
    <w:link w:val="CommentText"/>
    <w:semiHidden/>
    <w:rsid w:val="00C96932"/>
    <w:rPr>
      <w:rFonts w:ascii="Arial" w:hAnsi="Arial"/>
      <w:lang w:eastAsia="en-US"/>
    </w:rPr>
  </w:style>
  <w:style w:type="character" w:customStyle="1" w:styleId="CommentSubjectChar">
    <w:name w:val="Comment Subject Char"/>
    <w:link w:val="CommentSubject"/>
    <w:rsid w:val="00C96932"/>
    <w:rPr>
      <w:rFonts w:ascii="Arial" w:hAnsi="Arial"/>
      <w:b/>
      <w:bCs/>
      <w:lang w:eastAsia="en-US"/>
    </w:rPr>
  </w:style>
  <w:style w:type="paragraph" w:customStyle="1" w:styleId="ColorfulShading-Accent11">
    <w:name w:val="Colorful Shading - Accent 11"/>
    <w:hidden/>
    <w:uiPriority w:val="99"/>
    <w:semiHidden/>
    <w:rsid w:val="00C96932"/>
    <w:rPr>
      <w:rFonts w:ascii="Arial" w:hAnsi="Arial"/>
      <w:sz w:val="22"/>
      <w:lang w:eastAsia="en-US"/>
    </w:rPr>
  </w:style>
  <w:style w:type="character" w:customStyle="1" w:styleId="texte20Car">
    <w:name w:val="texte:20 Car"/>
    <w:link w:val="texte20"/>
    <w:uiPriority w:val="99"/>
    <w:locked/>
    <w:rsid w:val="00C96932"/>
    <w:rPr>
      <w:rFonts w:ascii="Times" w:hAnsi="Times"/>
      <w:sz w:val="24"/>
      <w:lang w:val="en-GB" w:eastAsia="en-US"/>
    </w:rPr>
  </w:style>
  <w:style w:type="paragraph" w:styleId="Revision">
    <w:name w:val="Revision"/>
    <w:hidden/>
    <w:uiPriority w:val="99"/>
    <w:semiHidden/>
    <w:rsid w:val="00AA3087"/>
    <w:rPr>
      <w:rFonts w:ascii="Arial" w:hAnsi="Arial"/>
      <w:sz w:val="22"/>
      <w:lang w:eastAsia="en-US"/>
    </w:rPr>
  </w:style>
  <w:style w:type="character" w:customStyle="1" w:styleId="FooterChar">
    <w:name w:val="Footer Char"/>
    <w:basedOn w:val="DefaultParagraphFont"/>
    <w:link w:val="Footer"/>
    <w:uiPriority w:val="99"/>
    <w:rsid w:val="00551986"/>
    <w:rPr>
      <w:rFonts w:ascii="Arial Narrow" w:hAnsi="Arial Narrow"/>
      <w:sz w:val="22"/>
      <w:lang w:eastAsia="en-US"/>
    </w:rPr>
  </w:style>
  <w:style w:type="table" w:styleId="TableGrid">
    <w:name w:val="Table Grid"/>
    <w:basedOn w:val="TableNormal"/>
    <w:uiPriority w:val="59"/>
    <w:rsid w:val="00551986"/>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14A"/>
    <w:pPr>
      <w:spacing w:after="60"/>
      <w:jc w:val="both"/>
    </w:pPr>
    <w:rPr>
      <w:rFonts w:ascii="Arial" w:hAnsi="Arial"/>
      <w:sz w:val="22"/>
      <w:lang w:eastAsia="en-US"/>
    </w:rPr>
  </w:style>
  <w:style w:type="paragraph" w:styleId="Heading1">
    <w:name w:val="heading 1"/>
    <w:basedOn w:val="Normal"/>
    <w:next w:val="Normal"/>
    <w:qFormat/>
    <w:rsid w:val="00D3214A"/>
    <w:pPr>
      <w:keepNext/>
      <w:spacing w:before="240"/>
      <w:outlineLvl w:val="0"/>
    </w:pPr>
    <w:rPr>
      <w:b/>
      <w:caps/>
      <w:sz w:val="24"/>
    </w:rPr>
  </w:style>
  <w:style w:type="paragraph" w:styleId="Heading2">
    <w:name w:val="heading 2"/>
    <w:basedOn w:val="Heading1"/>
    <w:next w:val="Normal"/>
    <w:autoRedefine/>
    <w:qFormat/>
    <w:rsid w:val="00967DB6"/>
    <w:pPr>
      <w:spacing w:before="0" w:after="0"/>
      <w:outlineLvl w:val="1"/>
    </w:pPr>
    <w:rPr>
      <w:caps w:val="0"/>
      <w:sz w:val="22"/>
    </w:rPr>
  </w:style>
  <w:style w:type="paragraph" w:styleId="Heading3">
    <w:name w:val="heading 3"/>
    <w:aliases w:val="CMI Heading 3"/>
    <w:basedOn w:val="Heading2"/>
    <w:next w:val="Normal"/>
    <w:qFormat/>
    <w:rsid w:val="00D3214A"/>
    <w:pPr>
      <w:outlineLvl w:val="2"/>
    </w:pPr>
    <w:rPr>
      <w:b w:val="0"/>
      <w:u w:val="single"/>
    </w:rPr>
  </w:style>
  <w:style w:type="paragraph" w:styleId="Heading4">
    <w:name w:val="heading 4"/>
    <w:basedOn w:val="Heading3"/>
    <w:next w:val="Normal"/>
    <w:qFormat/>
    <w:rsid w:val="00D3214A"/>
    <w:pPr>
      <w:outlineLvl w:val="3"/>
    </w:pPr>
    <w:rPr>
      <w:rFonts w:cs="Arial"/>
      <w:i/>
      <w:u w:val="none"/>
    </w:rPr>
  </w:style>
  <w:style w:type="paragraph" w:styleId="Heading5">
    <w:name w:val="heading 5"/>
    <w:basedOn w:val="Normal"/>
    <w:next w:val="Normal"/>
    <w:qFormat/>
    <w:rsid w:val="00D3214A"/>
    <w:pPr>
      <w:spacing w:before="240"/>
      <w:jc w:val="left"/>
      <w:outlineLvl w:val="4"/>
    </w:pPr>
    <w:rPr>
      <w:i/>
    </w:rPr>
  </w:style>
  <w:style w:type="paragraph" w:styleId="Heading8">
    <w:name w:val="heading 8"/>
    <w:basedOn w:val="Normal"/>
    <w:next w:val="Normal"/>
    <w:qFormat/>
    <w:rsid w:val="00E863EE"/>
    <w:pPr>
      <w:keepNext/>
      <w:jc w:val="right"/>
      <w:outlineLvl w:val="7"/>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214A"/>
    <w:pPr>
      <w:tabs>
        <w:tab w:val="center" w:pos="4153"/>
        <w:tab w:val="right" w:pos="8306"/>
      </w:tabs>
    </w:pPr>
  </w:style>
  <w:style w:type="paragraph" w:styleId="Footer">
    <w:name w:val="footer"/>
    <w:basedOn w:val="Normal"/>
    <w:link w:val="FooterChar"/>
    <w:uiPriority w:val="99"/>
    <w:rsid w:val="00D3214A"/>
    <w:pPr>
      <w:tabs>
        <w:tab w:val="right" w:pos="9639"/>
      </w:tabs>
    </w:pPr>
    <w:rPr>
      <w:rFonts w:ascii="Arial Narrow" w:hAnsi="Arial Narrow"/>
    </w:rPr>
  </w:style>
  <w:style w:type="paragraph" w:customStyle="1" w:styleId="soustexte20last">
    <w:name w:val="sous:texte:20last"/>
    <w:rsid w:val="00E863EE"/>
    <w:pPr>
      <w:tabs>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2"/>
        <w:tab w:val="left" w:pos="5386"/>
        <w:tab w:val="left" w:pos="5669"/>
        <w:tab w:val="left" w:pos="5953"/>
        <w:tab w:val="left" w:pos="6236"/>
        <w:tab w:val="left" w:pos="6520"/>
        <w:tab w:val="left" w:pos="6803"/>
      </w:tabs>
      <w:spacing w:after="85" w:line="321" w:lineRule="atLeast"/>
      <w:ind w:left="1134"/>
      <w:jc w:val="both"/>
    </w:pPr>
    <w:rPr>
      <w:rFonts w:ascii="Times" w:hAnsi="Times"/>
      <w:sz w:val="22"/>
      <w:lang w:val="en-US" w:eastAsia="en-US"/>
    </w:rPr>
  </w:style>
  <w:style w:type="paragraph" w:customStyle="1" w:styleId="texte20">
    <w:name w:val="texte:20"/>
    <w:link w:val="texte20Car"/>
    <w:uiPriority w:val="99"/>
    <w:rsid w:val="00E863EE"/>
    <w:pPr>
      <w:spacing w:after="85" w:line="360" w:lineRule="atLeast"/>
      <w:ind w:left="1134"/>
      <w:jc w:val="both"/>
    </w:pPr>
    <w:rPr>
      <w:rFonts w:ascii="Times" w:hAnsi="Times"/>
      <w:sz w:val="24"/>
      <w:lang w:val="en-GB" w:eastAsia="en-US"/>
    </w:rPr>
  </w:style>
  <w:style w:type="paragraph" w:styleId="BodyText3">
    <w:name w:val="Body Text 3"/>
    <w:basedOn w:val="Normal"/>
    <w:rsid w:val="00E863EE"/>
    <w:pPr>
      <w:tabs>
        <w:tab w:val="left" w:pos="360"/>
      </w:tabs>
    </w:pPr>
    <w:rPr>
      <w:rFonts w:ascii="Times New Roman" w:hAnsi="Times New Roman"/>
    </w:rPr>
  </w:style>
  <w:style w:type="paragraph" w:customStyle="1" w:styleId="titre2spec">
    <w:name w:val="titre:2spec"/>
    <w:rsid w:val="00E863EE"/>
    <w:pPr>
      <w:keepNext/>
      <w:keepLines/>
      <w:tabs>
        <w:tab w:val="left" w:pos="1134"/>
        <w:tab w:val="left" w:pos="2551"/>
        <w:tab w:val="left" w:pos="3969"/>
        <w:tab w:val="left" w:pos="5386"/>
        <w:tab w:val="left" w:pos="5759"/>
        <w:tab w:val="left" w:pos="6479"/>
        <w:tab w:val="left" w:pos="7201"/>
        <w:tab w:val="left" w:pos="7921"/>
        <w:tab w:val="left" w:pos="8641"/>
        <w:tab w:val="left" w:pos="9361"/>
      </w:tabs>
      <w:spacing w:before="181" w:after="227" w:line="306" w:lineRule="atLeast"/>
      <w:ind w:left="1134" w:hanging="1134"/>
      <w:jc w:val="both"/>
    </w:pPr>
    <w:rPr>
      <w:rFonts w:ascii="Times" w:hAnsi="Times"/>
      <w:b/>
      <w:sz w:val="22"/>
      <w:lang w:val="en-US" w:eastAsia="en-US"/>
    </w:rPr>
  </w:style>
  <w:style w:type="paragraph" w:customStyle="1" w:styleId="soustexte20">
    <w:name w:val="sous:texte:20"/>
    <w:rsid w:val="00E863EE"/>
    <w:pPr>
      <w:tabs>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2"/>
        <w:tab w:val="left" w:pos="5386"/>
        <w:tab w:val="left" w:pos="5669"/>
        <w:tab w:val="left" w:pos="5953"/>
        <w:tab w:val="left" w:pos="6236"/>
        <w:tab w:val="left" w:pos="6520"/>
        <w:tab w:val="left" w:pos="6803"/>
      </w:tabs>
      <w:spacing w:line="330" w:lineRule="atLeast"/>
      <w:ind w:left="1134"/>
      <w:jc w:val="both"/>
    </w:pPr>
    <w:rPr>
      <w:rFonts w:ascii="Times" w:hAnsi="Times"/>
      <w:sz w:val="22"/>
      <w:lang w:val="en-US" w:eastAsia="en-US"/>
    </w:rPr>
  </w:style>
  <w:style w:type="character" w:styleId="PageNumber">
    <w:name w:val="page number"/>
    <w:basedOn w:val="DefaultParagraphFont"/>
    <w:rsid w:val="00D3214A"/>
  </w:style>
  <w:style w:type="paragraph" w:customStyle="1" w:styleId="TDF">
    <w:name w:val="TDF"/>
    <w:rsid w:val="00E863EE"/>
    <w:pPr>
      <w:pageBreakBefore/>
      <w:widowControl w:val="0"/>
      <w:autoSpaceDE w:val="0"/>
      <w:autoSpaceDN w:val="0"/>
      <w:spacing w:after="567" w:line="360" w:lineRule="atLeast"/>
      <w:jc w:val="center"/>
    </w:pPr>
    <w:rPr>
      <w:rFonts w:ascii="Times" w:hAnsi="Times"/>
      <w:b/>
      <w:bCs/>
      <w:lang w:val="fr-FR" w:eastAsia="fr-FR"/>
    </w:rPr>
  </w:style>
  <w:style w:type="paragraph" w:customStyle="1" w:styleId="tabce">
    <w:name w:val="tab:ce"/>
    <w:rsid w:val="00E863EE"/>
    <w:pPr>
      <w:widowControl w:val="0"/>
      <w:autoSpaceDE w:val="0"/>
      <w:autoSpaceDN w:val="0"/>
      <w:spacing w:before="50" w:after="50" w:line="300" w:lineRule="atLeast"/>
      <w:jc w:val="center"/>
    </w:pPr>
    <w:rPr>
      <w:rFonts w:ascii="Times" w:hAnsi="Times"/>
      <w:lang w:val="fr-FR" w:eastAsia="fr-FR"/>
    </w:rPr>
  </w:style>
  <w:style w:type="paragraph" w:customStyle="1" w:styleId="tabg0">
    <w:name w:val="tab:g:0"/>
    <w:rsid w:val="00E863EE"/>
    <w:pPr>
      <w:autoSpaceDE w:val="0"/>
      <w:autoSpaceDN w:val="0"/>
      <w:spacing w:before="50" w:after="50" w:line="300" w:lineRule="atLeast"/>
      <w:jc w:val="both"/>
    </w:pPr>
    <w:rPr>
      <w:rFonts w:ascii="Times" w:hAnsi="Times"/>
      <w:lang w:val="fr-FR" w:eastAsia="fr-FR"/>
    </w:rPr>
  </w:style>
  <w:style w:type="paragraph" w:customStyle="1" w:styleId="soustab20">
    <w:name w:val="sous:tab:20"/>
    <w:rsid w:val="00E863EE"/>
    <w:pPr>
      <w:keepLines/>
      <w:widowControl w:val="0"/>
      <w:spacing w:after="85" w:line="269" w:lineRule="atLeast"/>
      <w:ind w:left="1134"/>
      <w:jc w:val="both"/>
    </w:pPr>
    <w:rPr>
      <w:rFonts w:ascii="Times" w:hAnsi="Times"/>
      <w:sz w:val="18"/>
      <w:lang w:val="en-GB" w:eastAsia="en-US"/>
    </w:rPr>
  </w:style>
  <w:style w:type="paragraph" w:styleId="BodyTextIndent">
    <w:name w:val="Body Text Indent"/>
    <w:basedOn w:val="Normal"/>
    <w:rsid w:val="00D3214A"/>
    <w:pPr>
      <w:ind w:left="720"/>
    </w:pPr>
    <w:rPr>
      <w:i/>
      <w:iCs/>
    </w:rPr>
  </w:style>
  <w:style w:type="character" w:styleId="CommentReference">
    <w:name w:val="annotation reference"/>
    <w:semiHidden/>
    <w:rsid w:val="00E863EE"/>
    <w:rPr>
      <w:sz w:val="16"/>
    </w:rPr>
  </w:style>
  <w:style w:type="paragraph" w:styleId="CommentText">
    <w:name w:val="annotation text"/>
    <w:basedOn w:val="Normal"/>
    <w:link w:val="CommentTextChar"/>
    <w:semiHidden/>
    <w:rsid w:val="00E863EE"/>
    <w:rPr>
      <w:sz w:val="20"/>
    </w:rPr>
  </w:style>
  <w:style w:type="paragraph" w:customStyle="1" w:styleId="CSBullet">
    <w:name w:val="CS Bullet"/>
    <w:basedOn w:val="Normal"/>
    <w:uiPriority w:val="99"/>
    <w:rsid w:val="00E863EE"/>
    <w:pPr>
      <w:numPr>
        <w:numId w:val="29"/>
      </w:numPr>
      <w:tabs>
        <w:tab w:val="clear" w:pos="360"/>
        <w:tab w:val="left" w:pos="284"/>
      </w:tabs>
    </w:pPr>
  </w:style>
  <w:style w:type="paragraph" w:styleId="BodyText">
    <w:name w:val="Body Text"/>
    <w:basedOn w:val="Normal"/>
    <w:rsid w:val="00D3214A"/>
    <w:pPr>
      <w:jc w:val="left"/>
    </w:pPr>
  </w:style>
  <w:style w:type="paragraph" w:styleId="Caption">
    <w:name w:val="caption"/>
    <w:basedOn w:val="Normal"/>
    <w:next w:val="Normal"/>
    <w:qFormat/>
    <w:rsid w:val="00E863EE"/>
    <w:pPr>
      <w:spacing w:before="120" w:after="120"/>
    </w:pPr>
    <w:rPr>
      <w:b/>
      <w:bCs/>
      <w:sz w:val="20"/>
    </w:rPr>
  </w:style>
  <w:style w:type="paragraph" w:customStyle="1" w:styleId="Tabletext">
    <w:name w:val="Table text"/>
    <w:basedOn w:val="Normal"/>
    <w:rsid w:val="00E863EE"/>
    <w:pPr>
      <w:spacing w:before="20" w:after="20"/>
    </w:pPr>
    <w:rPr>
      <w:sz w:val="20"/>
    </w:rPr>
  </w:style>
  <w:style w:type="paragraph" w:styleId="BodyText2">
    <w:name w:val="Body Text 2"/>
    <w:basedOn w:val="Normal"/>
    <w:rsid w:val="00E863EE"/>
    <w:pPr>
      <w:spacing w:line="330" w:lineRule="atLeast"/>
    </w:pPr>
    <w:rPr>
      <w:color w:val="FF0000"/>
    </w:rPr>
  </w:style>
  <w:style w:type="paragraph" w:styleId="BalloonText">
    <w:name w:val="Balloon Text"/>
    <w:basedOn w:val="Normal"/>
    <w:semiHidden/>
    <w:rsid w:val="00E863EE"/>
    <w:rPr>
      <w:rFonts w:ascii="Tahoma" w:hAnsi="Tahoma" w:cs="Tahoma"/>
      <w:sz w:val="16"/>
      <w:szCs w:val="16"/>
    </w:rPr>
  </w:style>
  <w:style w:type="paragraph" w:customStyle="1" w:styleId="CMIExplanation">
    <w:name w:val="CMI Explanation"/>
    <w:basedOn w:val="Normal"/>
    <w:rsid w:val="00D3214A"/>
    <w:pPr>
      <w:spacing w:before="60"/>
      <w:jc w:val="left"/>
    </w:pPr>
    <w:rPr>
      <w:rFonts w:ascii="Times New Roman" w:hAnsi="Times New Roman"/>
      <w:snapToGrid w:val="0"/>
      <w:sz w:val="20"/>
    </w:rPr>
  </w:style>
  <w:style w:type="paragraph" w:styleId="List">
    <w:name w:val="List"/>
    <w:basedOn w:val="Normal"/>
    <w:rsid w:val="00D3214A"/>
    <w:pPr>
      <w:keepNext/>
      <w:numPr>
        <w:numId w:val="30"/>
      </w:numPr>
      <w:jc w:val="left"/>
    </w:pPr>
  </w:style>
  <w:style w:type="paragraph" w:styleId="List2">
    <w:name w:val="List 2"/>
    <w:basedOn w:val="Normal"/>
    <w:rsid w:val="00D3214A"/>
    <w:pPr>
      <w:keepNext/>
      <w:keepLines/>
      <w:numPr>
        <w:numId w:val="31"/>
      </w:numPr>
    </w:pPr>
  </w:style>
  <w:style w:type="paragraph" w:styleId="ListBullet">
    <w:name w:val="List Bullet"/>
    <w:basedOn w:val="Normal"/>
    <w:autoRedefine/>
    <w:rsid w:val="00D3214A"/>
    <w:pPr>
      <w:numPr>
        <w:numId w:val="33"/>
      </w:numPr>
    </w:pPr>
  </w:style>
  <w:style w:type="paragraph" w:styleId="ListNumber">
    <w:name w:val="List Number"/>
    <w:basedOn w:val="Normal"/>
    <w:rsid w:val="00D3214A"/>
    <w:pPr>
      <w:keepNext/>
      <w:keepLines/>
      <w:numPr>
        <w:numId w:val="35"/>
      </w:numPr>
      <w:spacing w:after="120"/>
    </w:pPr>
  </w:style>
  <w:style w:type="paragraph" w:styleId="Subtitle">
    <w:name w:val="Subtitle"/>
    <w:basedOn w:val="Normal"/>
    <w:qFormat/>
    <w:rsid w:val="00D3214A"/>
    <w:pPr>
      <w:jc w:val="center"/>
      <w:outlineLvl w:val="1"/>
    </w:pPr>
    <w:rPr>
      <w:rFonts w:cs="Arial"/>
      <w:b/>
      <w:caps/>
      <w:sz w:val="24"/>
      <w:szCs w:val="24"/>
    </w:rPr>
  </w:style>
  <w:style w:type="paragraph" w:styleId="Title">
    <w:name w:val="Title"/>
    <w:basedOn w:val="Normal"/>
    <w:qFormat/>
    <w:rsid w:val="00D3214A"/>
    <w:pPr>
      <w:spacing w:before="240"/>
      <w:jc w:val="center"/>
      <w:outlineLvl w:val="0"/>
    </w:pPr>
    <w:rPr>
      <w:rFonts w:cs="Arial"/>
      <w:b/>
      <w:bCs/>
      <w:caps/>
      <w:kern w:val="28"/>
      <w:sz w:val="28"/>
      <w:szCs w:val="32"/>
    </w:rPr>
  </w:style>
  <w:style w:type="paragraph" w:styleId="CommentSubject">
    <w:name w:val="annotation subject"/>
    <w:basedOn w:val="CommentText"/>
    <w:next w:val="CommentText"/>
    <w:link w:val="CommentSubjectChar"/>
    <w:rsid w:val="00C96932"/>
    <w:rPr>
      <w:b/>
      <w:bCs/>
    </w:rPr>
  </w:style>
  <w:style w:type="character" w:customStyle="1" w:styleId="CommentTextChar">
    <w:name w:val="Comment Text Char"/>
    <w:link w:val="CommentText"/>
    <w:semiHidden/>
    <w:rsid w:val="00C96932"/>
    <w:rPr>
      <w:rFonts w:ascii="Arial" w:hAnsi="Arial"/>
      <w:lang w:eastAsia="en-US"/>
    </w:rPr>
  </w:style>
  <w:style w:type="character" w:customStyle="1" w:styleId="CommentSubjectChar">
    <w:name w:val="Comment Subject Char"/>
    <w:link w:val="CommentSubject"/>
    <w:rsid w:val="00C96932"/>
    <w:rPr>
      <w:rFonts w:ascii="Arial" w:hAnsi="Arial"/>
      <w:b/>
      <w:bCs/>
      <w:lang w:eastAsia="en-US"/>
    </w:rPr>
  </w:style>
  <w:style w:type="paragraph" w:customStyle="1" w:styleId="ColorfulShading-Accent11">
    <w:name w:val="Colorful Shading - Accent 11"/>
    <w:hidden/>
    <w:uiPriority w:val="99"/>
    <w:semiHidden/>
    <w:rsid w:val="00C96932"/>
    <w:rPr>
      <w:rFonts w:ascii="Arial" w:hAnsi="Arial"/>
      <w:sz w:val="22"/>
      <w:lang w:eastAsia="en-US"/>
    </w:rPr>
  </w:style>
  <w:style w:type="character" w:customStyle="1" w:styleId="texte20Car">
    <w:name w:val="texte:20 Car"/>
    <w:link w:val="texte20"/>
    <w:uiPriority w:val="99"/>
    <w:locked/>
    <w:rsid w:val="00C96932"/>
    <w:rPr>
      <w:rFonts w:ascii="Times" w:hAnsi="Times"/>
      <w:sz w:val="24"/>
      <w:lang w:val="en-GB" w:eastAsia="en-US"/>
    </w:rPr>
  </w:style>
  <w:style w:type="paragraph" w:styleId="Revision">
    <w:name w:val="Revision"/>
    <w:hidden/>
    <w:uiPriority w:val="99"/>
    <w:semiHidden/>
    <w:rsid w:val="00AA3087"/>
    <w:rPr>
      <w:rFonts w:ascii="Arial" w:hAnsi="Arial"/>
      <w:sz w:val="22"/>
      <w:lang w:eastAsia="en-US"/>
    </w:rPr>
  </w:style>
  <w:style w:type="character" w:customStyle="1" w:styleId="FooterChar">
    <w:name w:val="Footer Char"/>
    <w:basedOn w:val="DefaultParagraphFont"/>
    <w:link w:val="Footer"/>
    <w:uiPriority w:val="99"/>
    <w:rsid w:val="00551986"/>
    <w:rPr>
      <w:rFonts w:ascii="Arial Narrow" w:hAnsi="Arial Narrow"/>
      <w:sz w:val="22"/>
      <w:lang w:eastAsia="en-US"/>
    </w:rPr>
  </w:style>
  <w:style w:type="table" w:styleId="TableGrid">
    <w:name w:val="Table Grid"/>
    <w:basedOn w:val="TableNormal"/>
    <w:uiPriority w:val="59"/>
    <w:rsid w:val="00551986"/>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5458</Words>
  <Characters>31876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AusPAR Attachment 1. Product Information for fenofibrate</vt:lpstr>
    </vt:vector>
  </TitlesOfParts>
  <Manager/>
  <Company>Abbott Australasia Pty Ltd</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fenofibrate</dc:title>
  <dc:subject>prescription medicine regulation</dc:subject>
  <dc:creator>Abbott Australasia Pty Ltd</dc:creator>
  <cp:keywords>product, information, prescription, medicine, regulation, lipidil, abbott australasia, fenofibrate</cp:keywords>
  <cp:lastModifiedBy>Dixon, Jenna</cp:lastModifiedBy>
  <cp:revision>2</cp:revision>
  <cp:lastPrinted>2011-06-06T04:44:00Z</cp:lastPrinted>
  <dcterms:created xsi:type="dcterms:W3CDTF">2014-12-11T23:23:00Z</dcterms:created>
  <dcterms:modified xsi:type="dcterms:W3CDTF">2015-01-07T23:26:00Z</dcterms:modified>
</cp:coreProperties>
</file>