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8D" w:rsidRPr="008F7DB6" w:rsidRDefault="0003595D" w:rsidP="008F7DB6">
      <w:pPr>
        <w:pStyle w:val="Heading1"/>
      </w:pPr>
      <w:r w:rsidRPr="008F7DB6">
        <w:t>PRODUCT INFORMATION</w:t>
      </w:r>
    </w:p>
    <w:p w:rsidR="001B6B67" w:rsidRDefault="001B6B67" w:rsidP="001B6B67">
      <w:pPr>
        <w:pStyle w:val="TitleA"/>
      </w:pPr>
      <w:r w:rsidRPr="001B6B67">
        <w:t>PecFent</w:t>
      </w:r>
      <w:r w:rsidRPr="001B6B67">
        <w:rPr>
          <w:vertAlign w:val="superscript"/>
        </w:rPr>
        <w:t>®</w:t>
      </w:r>
      <w:r w:rsidRPr="001B6B67">
        <w:t xml:space="preserve"> fentanyl (as citrate) 100 µg per actuation and 400 µg per actuation </w:t>
      </w:r>
      <w:r w:rsidR="006711C4">
        <w:br/>
      </w:r>
      <w:r w:rsidRPr="001B6B67">
        <w:t>nasal spray solution</w:t>
      </w:r>
    </w:p>
    <w:p w:rsidR="002711C4" w:rsidRPr="008F7DB6" w:rsidRDefault="002711C4" w:rsidP="008F7DB6">
      <w:pPr>
        <w:pStyle w:val="Heading2"/>
        <w:spacing w:after="0"/>
        <w:rPr>
          <w:bCs/>
        </w:rPr>
      </w:pPr>
      <w:r w:rsidRPr="008F7DB6">
        <w:rPr>
          <w:bCs/>
        </w:rPr>
        <w:t>NAME OF THE MEDICI</w:t>
      </w:r>
      <w:r w:rsidR="00E34774" w:rsidRPr="008F7DB6">
        <w:rPr>
          <w:bCs/>
        </w:rPr>
        <w:t>NE</w:t>
      </w:r>
    </w:p>
    <w:p w:rsidR="00D620EC" w:rsidRDefault="000F4DFA" w:rsidP="008F7DB6">
      <w:pPr>
        <w:rPr>
          <w:noProof/>
        </w:rPr>
      </w:pPr>
      <w:r>
        <w:rPr>
          <w:noProof/>
        </w:rPr>
        <w:t>F</w:t>
      </w:r>
      <w:r w:rsidR="00D620EC" w:rsidRPr="00D620EC">
        <w:rPr>
          <w:noProof/>
        </w:rPr>
        <w:t>entanyl citrate</w:t>
      </w:r>
    </w:p>
    <w:p w:rsidR="00D620EC" w:rsidRDefault="00E34774" w:rsidP="00D620EC">
      <w:pPr>
        <w:spacing w:line="240" w:lineRule="auto"/>
        <w:rPr>
          <w:b/>
          <w:noProof/>
        </w:rPr>
      </w:pPr>
      <w:r>
        <w:rPr>
          <w:b/>
          <w:noProof/>
          <w:lang w:val="en-AU" w:eastAsia="en-AU"/>
        </w:rPr>
        <w:drawing>
          <wp:inline distT="0" distB="0" distL="0" distR="0">
            <wp:extent cx="3453384" cy="1386840"/>
            <wp:effectExtent l="19050" t="0" r="0" b="0"/>
            <wp:docPr id="1" name="Picture 0" descr="structure of fentanyl c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fentanyl-130319-pi-1.jpg"/>
                    <pic:cNvPicPr/>
                  </pic:nvPicPr>
                  <pic:blipFill>
                    <a:blip r:embed="rId8" cstate="print"/>
                    <a:stretch>
                      <a:fillRect/>
                    </a:stretch>
                  </pic:blipFill>
                  <pic:spPr>
                    <a:xfrm>
                      <a:off x="0" y="0"/>
                      <a:ext cx="3453384" cy="1386840"/>
                    </a:xfrm>
                    <a:prstGeom prst="rect">
                      <a:avLst/>
                    </a:prstGeom>
                  </pic:spPr>
                </pic:pic>
              </a:graphicData>
            </a:graphic>
          </wp:inline>
        </w:drawing>
      </w:r>
    </w:p>
    <w:p w:rsidR="00D620EC" w:rsidRPr="00365434" w:rsidRDefault="00D620EC" w:rsidP="00E34774">
      <w:pPr>
        <w:spacing w:before="180" w:line="240" w:lineRule="auto"/>
        <w:rPr>
          <w:b/>
          <w:noProof/>
        </w:rPr>
      </w:pPr>
      <w:r w:rsidRPr="00365434">
        <w:rPr>
          <w:noProof/>
        </w:rPr>
        <w:t>CAS number</w:t>
      </w:r>
      <w:r w:rsidR="00365434">
        <w:rPr>
          <w:noProof/>
        </w:rPr>
        <w:t xml:space="preserve">: </w:t>
      </w:r>
      <w:r w:rsidRPr="00D620EC">
        <w:rPr>
          <w:noProof/>
        </w:rPr>
        <w:t>990-73-8</w:t>
      </w:r>
    </w:p>
    <w:p w:rsidR="002711C4" w:rsidRPr="008F7DB6" w:rsidRDefault="00335958" w:rsidP="008F7DB6">
      <w:pPr>
        <w:pStyle w:val="Heading2"/>
        <w:spacing w:after="0"/>
        <w:rPr>
          <w:b w:val="0"/>
          <w:bCs/>
        </w:rPr>
      </w:pPr>
      <w:r w:rsidRPr="008F7DB6">
        <w:rPr>
          <w:bCs/>
        </w:rPr>
        <w:t>DESCRIPTION</w:t>
      </w:r>
    </w:p>
    <w:p w:rsidR="00E22974" w:rsidRDefault="00E22974" w:rsidP="008F7DB6">
      <w:pPr>
        <w:rPr>
          <w:noProof/>
        </w:rPr>
      </w:pPr>
      <w:r>
        <w:rPr>
          <w:noProof/>
        </w:rPr>
        <w:t>PecFent</w:t>
      </w:r>
      <w:r w:rsidRPr="00E22974">
        <w:rPr>
          <w:noProof/>
        </w:rPr>
        <w:t xml:space="preserve"> (fentanyl nasal spray) is a potent opioid analgesic, intended for intranasal administration. The</w:t>
      </w:r>
      <w:r>
        <w:rPr>
          <w:noProof/>
        </w:rPr>
        <w:t xml:space="preserve"> </w:t>
      </w:r>
      <w:r w:rsidRPr="00E22974">
        <w:rPr>
          <w:noProof/>
        </w:rPr>
        <w:t>product consists of a practically</w:t>
      </w:r>
      <w:r w:rsidR="00EE5755">
        <w:rPr>
          <w:noProof/>
        </w:rPr>
        <w:t>-</w:t>
      </w:r>
      <w:r w:rsidRPr="00E22974">
        <w:rPr>
          <w:noProof/>
        </w:rPr>
        <w:t>clear to clear, colorless, aqueous solution of fentanyl citrate in a glass multidose container, to which is</w:t>
      </w:r>
      <w:r>
        <w:rPr>
          <w:noProof/>
        </w:rPr>
        <w:t xml:space="preserve"> </w:t>
      </w:r>
      <w:r w:rsidRPr="00E22974">
        <w:rPr>
          <w:noProof/>
        </w:rPr>
        <w:t>attached a metered-dose nasal spray pump with a visual and audible spray counter. Each actuation is designed to deliver a spray of</w:t>
      </w:r>
      <w:r w:rsidR="004933FA">
        <w:rPr>
          <w:noProof/>
        </w:rPr>
        <w:t xml:space="preserve"> </w:t>
      </w:r>
      <w:r w:rsidRPr="00E22974">
        <w:rPr>
          <w:noProof/>
        </w:rPr>
        <w:t xml:space="preserve">100 </w:t>
      </w:r>
      <w:r w:rsidR="004933FA">
        <w:rPr>
          <w:noProof/>
        </w:rPr>
        <w:t>µ</w:t>
      </w:r>
      <w:r w:rsidRPr="00E22974">
        <w:rPr>
          <w:noProof/>
        </w:rPr>
        <w:t xml:space="preserve">L of solution containing 100 </w:t>
      </w:r>
      <w:r w:rsidR="004933FA">
        <w:rPr>
          <w:noProof/>
        </w:rPr>
        <w:t>µ</w:t>
      </w:r>
      <w:r w:rsidRPr="00E22974">
        <w:rPr>
          <w:noProof/>
        </w:rPr>
        <w:t xml:space="preserve">g or 400 </w:t>
      </w:r>
      <w:r w:rsidR="004933FA" w:rsidRPr="001B6B67">
        <w:rPr>
          <w:noProof/>
        </w:rPr>
        <w:t>µ</w:t>
      </w:r>
      <w:r w:rsidRPr="001B6B67">
        <w:rPr>
          <w:noProof/>
        </w:rPr>
        <w:t>g</w:t>
      </w:r>
      <w:r w:rsidR="001B6B67" w:rsidRPr="001B6B67">
        <w:rPr>
          <w:noProof/>
        </w:rPr>
        <w:t xml:space="preserve"> of fentanyl base (as the citrate</w:t>
      </w:r>
      <w:r w:rsidR="000F4DFA" w:rsidRPr="001B6B67">
        <w:rPr>
          <w:noProof/>
        </w:rPr>
        <w:t>)</w:t>
      </w:r>
      <w:r w:rsidRPr="001B6B67">
        <w:rPr>
          <w:noProof/>
        </w:rPr>
        <w:t>.</w:t>
      </w:r>
      <w:r w:rsidRPr="00E22974">
        <w:rPr>
          <w:noProof/>
        </w:rPr>
        <w:t xml:space="preserve"> This enables doses of 100 </w:t>
      </w:r>
      <w:r w:rsidR="004933FA">
        <w:rPr>
          <w:noProof/>
        </w:rPr>
        <w:t>µ</w:t>
      </w:r>
      <w:r w:rsidRPr="00E22974">
        <w:rPr>
          <w:noProof/>
        </w:rPr>
        <w:t xml:space="preserve">g or 400 </w:t>
      </w:r>
      <w:r w:rsidR="004933FA">
        <w:rPr>
          <w:noProof/>
        </w:rPr>
        <w:t>µ</w:t>
      </w:r>
      <w:r w:rsidRPr="00E22974">
        <w:rPr>
          <w:noProof/>
        </w:rPr>
        <w:t>g to be</w:t>
      </w:r>
      <w:r>
        <w:rPr>
          <w:noProof/>
        </w:rPr>
        <w:t xml:space="preserve"> </w:t>
      </w:r>
      <w:r w:rsidRPr="00E22974">
        <w:rPr>
          <w:noProof/>
        </w:rPr>
        <w:t xml:space="preserve">administered using a single spray into one nostril (1 spray) and 200 </w:t>
      </w:r>
      <w:r w:rsidR="004933FA">
        <w:rPr>
          <w:noProof/>
        </w:rPr>
        <w:t>µ</w:t>
      </w:r>
      <w:r w:rsidRPr="00E22974">
        <w:rPr>
          <w:noProof/>
        </w:rPr>
        <w:t xml:space="preserve">g or 800 </w:t>
      </w:r>
      <w:r w:rsidR="004933FA">
        <w:rPr>
          <w:noProof/>
        </w:rPr>
        <w:t>µ</w:t>
      </w:r>
      <w:r w:rsidRPr="00E22974">
        <w:rPr>
          <w:noProof/>
        </w:rPr>
        <w:t>g to be administered using a single spray into both</w:t>
      </w:r>
      <w:r>
        <w:rPr>
          <w:noProof/>
        </w:rPr>
        <w:t xml:space="preserve"> </w:t>
      </w:r>
      <w:r w:rsidRPr="00E22974">
        <w:rPr>
          <w:noProof/>
        </w:rPr>
        <w:t>nostrils (2 sprays).</w:t>
      </w:r>
    </w:p>
    <w:p w:rsidR="001B6B67" w:rsidRPr="00E22974" w:rsidRDefault="00E22974" w:rsidP="008F7DB6">
      <w:pPr>
        <w:rPr>
          <w:noProof/>
        </w:rPr>
      </w:pPr>
      <w:r w:rsidRPr="00E22974">
        <w:rPr>
          <w:noProof/>
        </w:rPr>
        <w:t xml:space="preserve">Active ingredient: Fentanyl citrate, </w:t>
      </w:r>
      <w:r w:rsidR="00FE347D">
        <w:rPr>
          <w:noProof/>
        </w:rPr>
        <w:t>Ph. Eur.</w:t>
      </w:r>
      <w:r w:rsidRPr="00E22974">
        <w:rPr>
          <w:noProof/>
        </w:rPr>
        <w:t xml:space="preserve"> is </w:t>
      </w:r>
      <w:r w:rsidR="00D968B7" w:rsidRPr="001B6B67">
        <w:rPr>
          <w:noProof/>
        </w:rPr>
        <w:t xml:space="preserve">N-(l-Phenethyl-4-piperidyl)propionanilide citrate </w:t>
      </w:r>
      <w:r w:rsidR="001B6B67" w:rsidRPr="001B6B67">
        <w:rPr>
          <w:noProof/>
        </w:rPr>
        <w:t xml:space="preserve"> (1:1).</w:t>
      </w:r>
    </w:p>
    <w:p w:rsidR="00E22974" w:rsidRDefault="00E22974" w:rsidP="008F7DB6">
      <w:pPr>
        <w:rPr>
          <w:noProof/>
        </w:rPr>
      </w:pPr>
      <w:r w:rsidRPr="00E22974">
        <w:rPr>
          <w:noProof/>
        </w:rPr>
        <w:t>Fentanyl is a highly lipophilic compound</w:t>
      </w:r>
      <w:r w:rsidR="0067571A">
        <w:rPr>
          <w:noProof/>
        </w:rPr>
        <w:t>, the</w:t>
      </w:r>
      <w:r w:rsidRPr="00E22974">
        <w:rPr>
          <w:noProof/>
        </w:rPr>
        <w:t xml:space="preserve"> octanol-water partition coefficient at pH 7.4 is 816:1. Fentanyl citrate is sparingly</w:t>
      </w:r>
      <w:r>
        <w:rPr>
          <w:noProof/>
        </w:rPr>
        <w:t xml:space="preserve"> </w:t>
      </w:r>
      <w:r w:rsidRPr="00E22974">
        <w:rPr>
          <w:noProof/>
        </w:rPr>
        <w:t xml:space="preserve">soluble in water (1:40). </w:t>
      </w:r>
      <w:r w:rsidR="0067571A" w:rsidRPr="00E22974">
        <w:rPr>
          <w:noProof/>
        </w:rPr>
        <w:t>The pKa is 8.4.</w:t>
      </w:r>
      <w:r w:rsidR="0067571A">
        <w:rPr>
          <w:noProof/>
        </w:rPr>
        <w:t xml:space="preserve"> </w:t>
      </w:r>
      <w:r w:rsidRPr="00E22974">
        <w:rPr>
          <w:noProof/>
        </w:rPr>
        <w:t xml:space="preserve">The molecular weight of the free base and citrate salt are 336.5 and 528.6, respectively. </w:t>
      </w:r>
    </w:p>
    <w:p w:rsidR="00E22974" w:rsidRDefault="00E22974" w:rsidP="008F7DB6">
      <w:pPr>
        <w:rPr>
          <w:noProof/>
        </w:rPr>
      </w:pPr>
      <w:r>
        <w:rPr>
          <w:noProof/>
        </w:rPr>
        <w:t>PecFent</w:t>
      </w:r>
      <w:r w:rsidRPr="00E22974">
        <w:rPr>
          <w:noProof/>
        </w:rPr>
        <w:t xml:space="preserve"> is available in 2 strengths of nasal spray: 100 </w:t>
      </w:r>
      <w:r w:rsidR="004933FA">
        <w:rPr>
          <w:noProof/>
        </w:rPr>
        <w:t>µ</w:t>
      </w:r>
      <w:r w:rsidRPr="00E22974">
        <w:rPr>
          <w:noProof/>
        </w:rPr>
        <w:t xml:space="preserve">g fentanyl (yellow label) and 400 </w:t>
      </w:r>
      <w:r w:rsidR="004933FA">
        <w:rPr>
          <w:noProof/>
        </w:rPr>
        <w:t>µ</w:t>
      </w:r>
      <w:r w:rsidRPr="00E22974">
        <w:rPr>
          <w:noProof/>
        </w:rPr>
        <w:t>g fentanyl (violet label).</w:t>
      </w:r>
      <w:r>
        <w:rPr>
          <w:noProof/>
        </w:rPr>
        <w:t xml:space="preserve"> </w:t>
      </w:r>
      <w:r w:rsidRPr="00E22974">
        <w:rPr>
          <w:noProof/>
        </w:rPr>
        <w:t xml:space="preserve">The strength is expressed as the amount of fentanyl free base per spray, e.g., the 100 </w:t>
      </w:r>
      <w:r w:rsidR="004933FA">
        <w:rPr>
          <w:noProof/>
        </w:rPr>
        <w:t>µ</w:t>
      </w:r>
      <w:r w:rsidRPr="00E22974">
        <w:rPr>
          <w:noProof/>
        </w:rPr>
        <w:t xml:space="preserve">g strength provides 100 </w:t>
      </w:r>
      <w:r w:rsidR="004933FA">
        <w:rPr>
          <w:noProof/>
        </w:rPr>
        <w:t>µ</w:t>
      </w:r>
      <w:r w:rsidRPr="00E22974">
        <w:rPr>
          <w:noProof/>
        </w:rPr>
        <w:t>g of fentanyl free</w:t>
      </w:r>
      <w:r>
        <w:rPr>
          <w:noProof/>
        </w:rPr>
        <w:t xml:space="preserve"> </w:t>
      </w:r>
      <w:r w:rsidRPr="00E22974">
        <w:rPr>
          <w:noProof/>
        </w:rPr>
        <w:t xml:space="preserve">base per 100 </w:t>
      </w:r>
      <w:r w:rsidR="004933FA">
        <w:rPr>
          <w:noProof/>
        </w:rPr>
        <w:t>µ</w:t>
      </w:r>
      <w:r w:rsidRPr="00E22974">
        <w:rPr>
          <w:noProof/>
        </w:rPr>
        <w:t>L spray.</w:t>
      </w:r>
    </w:p>
    <w:p w:rsidR="007956F7" w:rsidRDefault="00D968B7" w:rsidP="008F7DB6">
      <w:pPr>
        <w:rPr>
          <w:b/>
          <w:noProof/>
        </w:rPr>
      </w:pPr>
      <w:r>
        <w:rPr>
          <w:rFonts w:ascii="TimesNewRomanPSMT" w:hAnsi="TimesNewRomanPSMT" w:cs="TimesNewRomanPSMT"/>
          <w:szCs w:val="22"/>
          <w:lang w:val="en-US"/>
        </w:rPr>
        <w:t xml:space="preserve">Inactive ingredients: </w:t>
      </w:r>
      <w:proofErr w:type="spellStart"/>
      <w:r>
        <w:rPr>
          <w:rFonts w:ascii="TimesNewRomanPSMT" w:hAnsi="TimesNewRomanPSMT" w:cs="TimesNewRomanPSMT"/>
          <w:szCs w:val="22"/>
          <w:lang w:val="en-US"/>
        </w:rPr>
        <w:t>mannitol</w:t>
      </w:r>
      <w:proofErr w:type="spellEnd"/>
      <w:r>
        <w:rPr>
          <w:rFonts w:ascii="TimesNewRomanPSMT" w:hAnsi="TimesNewRomanPSMT" w:cs="TimesNewRomanPSMT"/>
          <w:szCs w:val="22"/>
          <w:lang w:val="en-US"/>
        </w:rPr>
        <w:t xml:space="preserve">, </w:t>
      </w:r>
      <w:r w:rsidRPr="001B6B67">
        <w:rPr>
          <w:szCs w:val="22"/>
        </w:rPr>
        <w:t>partially de-</w:t>
      </w:r>
      <w:proofErr w:type="spellStart"/>
      <w:r w:rsidRPr="001B6B67">
        <w:rPr>
          <w:szCs w:val="22"/>
        </w:rPr>
        <w:t>esterified</w:t>
      </w:r>
      <w:proofErr w:type="spellEnd"/>
      <w:r>
        <w:rPr>
          <w:rFonts w:ascii="TimesNewRomanPSMT" w:hAnsi="TimesNewRomanPSMT" w:cs="TimesNewRomanPSMT"/>
          <w:szCs w:val="22"/>
          <w:lang w:val="en-US"/>
        </w:rPr>
        <w:t xml:space="preserve"> pectin, </w:t>
      </w:r>
      <w:r w:rsidRPr="001B6B67">
        <w:rPr>
          <w:noProof/>
        </w:rPr>
        <w:t>phenethyl</w:t>
      </w:r>
      <w:r>
        <w:rPr>
          <w:rFonts w:ascii="TimesNewRomanPSMT" w:hAnsi="TimesNewRomanPSMT" w:cs="TimesNewRomanPSMT"/>
          <w:szCs w:val="22"/>
          <w:lang w:val="en-US"/>
        </w:rPr>
        <w:t xml:space="preserve"> alcohol, </w:t>
      </w:r>
      <w:proofErr w:type="spellStart"/>
      <w:r>
        <w:rPr>
          <w:rFonts w:ascii="TimesNewRomanPSMT" w:hAnsi="TimesNewRomanPSMT" w:cs="TimesNewRomanPSMT"/>
          <w:szCs w:val="22"/>
          <w:lang w:val="en-US"/>
        </w:rPr>
        <w:t>propyl</w:t>
      </w:r>
      <w:proofErr w:type="spellEnd"/>
      <w:r>
        <w:rPr>
          <w:rFonts w:ascii="TimesNewRomanPSMT" w:hAnsi="TimesNewRomanPSMT" w:cs="TimesNewRomanPSMT"/>
          <w:szCs w:val="22"/>
          <w:lang w:val="en-US"/>
        </w:rPr>
        <w:t xml:space="preserve"> </w:t>
      </w:r>
      <w:proofErr w:type="spellStart"/>
      <w:r>
        <w:rPr>
          <w:rFonts w:ascii="TimesNewRomanPSMT" w:hAnsi="TimesNewRomanPSMT" w:cs="TimesNewRomanPSMT"/>
          <w:szCs w:val="22"/>
          <w:lang w:val="en-US"/>
        </w:rPr>
        <w:t>hydroxybe</w:t>
      </w:r>
      <w:r w:rsidR="0009627E">
        <w:rPr>
          <w:rFonts w:ascii="TimesNewRomanPSMT" w:hAnsi="TimesNewRomanPSMT" w:cs="TimesNewRomanPSMT"/>
          <w:szCs w:val="22"/>
          <w:lang w:val="en-US"/>
        </w:rPr>
        <w:t>n</w:t>
      </w:r>
      <w:r>
        <w:rPr>
          <w:rFonts w:ascii="TimesNewRomanPSMT" w:hAnsi="TimesNewRomanPSMT" w:cs="TimesNewRomanPSMT"/>
          <w:szCs w:val="22"/>
          <w:lang w:val="en-US"/>
        </w:rPr>
        <w:t>zoate</w:t>
      </w:r>
      <w:proofErr w:type="spellEnd"/>
      <w:r>
        <w:rPr>
          <w:rFonts w:ascii="TimesNewRomanPSMT" w:hAnsi="TimesNewRomanPSMT" w:cs="TimesNewRomanPSMT"/>
          <w:szCs w:val="22"/>
          <w:lang w:val="en-US"/>
        </w:rPr>
        <w:t>, sucrose, purified water. Sodium hydroxide and/or hydrochloric acid are added if required for pH adjustment.</w:t>
      </w:r>
      <w:r w:rsidR="007956F7">
        <w:br w:type="page"/>
      </w:r>
    </w:p>
    <w:p w:rsidR="002711C4" w:rsidRPr="008F7DB6" w:rsidRDefault="00655000" w:rsidP="008F7DB6">
      <w:pPr>
        <w:pStyle w:val="Heading2"/>
        <w:spacing w:after="0"/>
        <w:rPr>
          <w:bCs/>
        </w:rPr>
      </w:pPr>
      <w:r w:rsidRPr="008F7DB6">
        <w:rPr>
          <w:bCs/>
        </w:rPr>
        <w:lastRenderedPageBreak/>
        <w:t>PHARM</w:t>
      </w:r>
      <w:r w:rsidR="007C7BC6" w:rsidRPr="008F7DB6">
        <w:rPr>
          <w:bCs/>
        </w:rPr>
        <w:t>A</w:t>
      </w:r>
      <w:r w:rsidRPr="008F7DB6">
        <w:rPr>
          <w:bCs/>
        </w:rPr>
        <w:t>COL</w:t>
      </w:r>
      <w:r w:rsidR="001F158F" w:rsidRPr="008F7DB6">
        <w:rPr>
          <w:bCs/>
        </w:rPr>
        <w:t>O</w:t>
      </w:r>
      <w:r w:rsidRPr="008F7DB6">
        <w:rPr>
          <w:bCs/>
        </w:rPr>
        <w:t>GY</w:t>
      </w:r>
    </w:p>
    <w:p w:rsidR="005054EC" w:rsidRPr="00267822" w:rsidRDefault="005054EC" w:rsidP="008F7DB6">
      <w:pPr>
        <w:rPr>
          <w:noProof/>
        </w:rPr>
      </w:pPr>
      <w:r w:rsidRPr="00267822">
        <w:rPr>
          <w:noProof/>
        </w:rPr>
        <w:t>Pharmacotherapeutic group: Analgesics; phenylpiperidine derivatives; ATC code: N02A</w:t>
      </w:r>
      <w:r w:rsidRPr="00267822">
        <w:rPr>
          <w:noProof/>
        </w:rPr>
        <w:noBreakHyphen/>
        <w:t>B03.</w:t>
      </w:r>
    </w:p>
    <w:p w:rsidR="00655000" w:rsidRPr="008F7DB6" w:rsidRDefault="00655000" w:rsidP="008F7DB6">
      <w:pPr>
        <w:pStyle w:val="Heading3"/>
        <w:spacing w:after="0"/>
        <w:rPr>
          <w:bCs/>
        </w:rPr>
      </w:pPr>
      <w:r w:rsidRPr="008F7DB6">
        <w:rPr>
          <w:bCs/>
        </w:rPr>
        <w:t>Pharmacodynamic properties</w:t>
      </w:r>
    </w:p>
    <w:p w:rsidR="00423360" w:rsidRPr="008F7DB6" w:rsidRDefault="00655000" w:rsidP="008F7DB6">
      <w:pPr>
        <w:pStyle w:val="Heading4"/>
      </w:pPr>
      <w:r w:rsidRPr="008F7DB6">
        <w:t>Mechanism of action</w:t>
      </w:r>
    </w:p>
    <w:p w:rsidR="00655000" w:rsidRPr="00423360" w:rsidRDefault="00655000" w:rsidP="008F7DB6">
      <w:pPr>
        <w:rPr>
          <w:noProof/>
          <w:u w:val="single"/>
        </w:rPr>
      </w:pPr>
      <w:r w:rsidRPr="00267822">
        <w:rPr>
          <w:noProof/>
        </w:rPr>
        <w:t xml:space="preserve">Fentanyl is an opioid analgesic, interacting predominantly with the opioid </w:t>
      </w:r>
      <w:r w:rsidRPr="00267822">
        <w:rPr>
          <w:rFonts w:ascii="Century" w:hAnsi="Century"/>
          <w:noProof/>
        </w:rPr>
        <w:t>µ</w:t>
      </w:r>
      <w:r w:rsidRPr="00267822">
        <w:rPr>
          <w:noProof/>
        </w:rPr>
        <w:t>-receptor. Its primary therapeutic actions are analgesia and sedation. Secondary pharmacological effects are respiratory depression, bradycardia, hypothermia, constipation, miosis, physical dependence and euphoria.</w:t>
      </w:r>
    </w:p>
    <w:p w:rsidR="00655000" w:rsidRPr="008F7DB6" w:rsidRDefault="00655000" w:rsidP="008F7DB6">
      <w:pPr>
        <w:pStyle w:val="Heading3"/>
        <w:spacing w:after="0"/>
        <w:rPr>
          <w:bCs/>
        </w:rPr>
      </w:pPr>
      <w:r w:rsidRPr="008F7DB6">
        <w:rPr>
          <w:bCs/>
        </w:rPr>
        <w:t>Pharmacokinetic properties</w:t>
      </w:r>
    </w:p>
    <w:p w:rsidR="00655000" w:rsidRPr="00423360" w:rsidRDefault="00655000" w:rsidP="008F7DB6">
      <w:pPr>
        <w:pStyle w:val="Heading4"/>
      </w:pPr>
      <w:r w:rsidRPr="00423360">
        <w:t>General introduction</w:t>
      </w:r>
    </w:p>
    <w:p w:rsidR="00655000" w:rsidRPr="00267822" w:rsidRDefault="00655000" w:rsidP="00E34774">
      <w:pPr>
        <w:spacing w:line="240" w:lineRule="auto"/>
        <w:outlineLvl w:val="0"/>
        <w:rPr>
          <w:noProof/>
        </w:rPr>
      </w:pPr>
      <w:r w:rsidRPr="00267822">
        <w:rPr>
          <w:noProof/>
        </w:rPr>
        <w:t>Fentanyl is highly lipophilic and can be absorbed very rapidly through the nasal mucosa and more slowly by the gastrointestinal route. It is subject to first pass hepatic and intestinal metabolism and the metabolites do not contribute to fentanyl’s therapeutic effects.</w:t>
      </w:r>
    </w:p>
    <w:p w:rsidR="00655000" w:rsidRPr="00267822" w:rsidRDefault="00655000" w:rsidP="00E34774">
      <w:pPr>
        <w:spacing w:before="180"/>
        <w:rPr>
          <w:noProof/>
        </w:rPr>
      </w:pPr>
      <w:r w:rsidRPr="00267822">
        <w:rPr>
          <w:iCs/>
          <w:noProof/>
        </w:rPr>
        <w:t>PecFent</w:t>
      </w:r>
      <w:r w:rsidRPr="00267822">
        <w:rPr>
          <w:noProof/>
        </w:rPr>
        <w:t xml:space="preserve"> utilises the PecSys nasal drug delivery system to modulate the delivery and absorption of fentanyl. The PecSys system allows the product to be sprayed into the front area of the nasal cavity as a fine mist of droplets, which gel on contact with the calcium ions present in the nasal mucosa. Fentanyl diffuses from the gel and is absorbed through the nasal mucosa; this gel-modulated absorption of fentanyl </w:t>
      </w:r>
      <w:r w:rsidR="0060196A">
        <w:rPr>
          <w:noProof/>
        </w:rPr>
        <w:t>reduces</w:t>
      </w:r>
      <w:r w:rsidR="0060196A" w:rsidRPr="00267822">
        <w:rPr>
          <w:noProof/>
        </w:rPr>
        <w:t xml:space="preserve"> </w:t>
      </w:r>
      <w:r w:rsidRPr="00267822">
        <w:rPr>
          <w:noProof/>
        </w:rPr>
        <w:t>the peak in plasma concentration (C</w:t>
      </w:r>
      <w:r w:rsidRPr="00267822">
        <w:rPr>
          <w:noProof/>
          <w:vertAlign w:val="subscript"/>
        </w:rPr>
        <w:t>max</w:t>
      </w:r>
      <w:r w:rsidRPr="00267822">
        <w:rPr>
          <w:noProof/>
        </w:rPr>
        <w:t>) whilst allowing the attainment of an early time to that peak (T</w:t>
      </w:r>
      <w:r w:rsidRPr="00267822">
        <w:rPr>
          <w:noProof/>
          <w:vertAlign w:val="subscript"/>
        </w:rPr>
        <w:t>max</w:t>
      </w:r>
      <w:r w:rsidRPr="00267822">
        <w:rPr>
          <w:noProof/>
        </w:rPr>
        <w:t>).</w:t>
      </w:r>
    </w:p>
    <w:p w:rsidR="00655000" w:rsidRPr="00267822" w:rsidRDefault="00655000" w:rsidP="00E34774">
      <w:pPr>
        <w:spacing w:before="180" w:line="240" w:lineRule="auto"/>
        <w:outlineLvl w:val="0"/>
        <w:rPr>
          <w:noProof/>
        </w:rPr>
      </w:pPr>
      <w:r w:rsidRPr="00267822">
        <w:rPr>
          <w:noProof/>
        </w:rPr>
        <w:t>The effect of renal or hepatic impairment on the pharmacokinetics of PecFent has not been studied.</w:t>
      </w:r>
    </w:p>
    <w:p w:rsidR="00655000" w:rsidRPr="00423360" w:rsidRDefault="00655000" w:rsidP="008F7DB6">
      <w:pPr>
        <w:pStyle w:val="Heading4"/>
      </w:pPr>
      <w:r w:rsidRPr="00423360">
        <w:t>Ab</w:t>
      </w:r>
      <w:r w:rsidRPr="00E34774">
        <w:t>sor</w:t>
      </w:r>
      <w:r w:rsidRPr="00423360">
        <w:t>ption</w:t>
      </w:r>
    </w:p>
    <w:p w:rsidR="00655000" w:rsidRPr="00267822" w:rsidRDefault="00655000" w:rsidP="008F7DB6">
      <w:pPr>
        <w:rPr>
          <w:noProof/>
        </w:rPr>
      </w:pPr>
      <w:r w:rsidRPr="00267822">
        <w:rPr>
          <w:noProof/>
        </w:rPr>
        <w:t>In a pharmacokinetic study comparing PecFent (100, 200, 400 and 800 </w:t>
      </w:r>
      <w:r w:rsidR="00B73BB0" w:rsidRPr="00B73BB0">
        <w:rPr>
          <w:rFonts w:ascii="Symbol" w:hAnsi="Symbol"/>
          <w:noProof/>
        </w:rPr>
        <w:t></w:t>
      </w:r>
      <w:r w:rsidR="00B73BB0">
        <w:rPr>
          <w:noProof/>
        </w:rPr>
        <w:t>g</w:t>
      </w:r>
      <w:r w:rsidRPr="00267822">
        <w:rPr>
          <w:noProof/>
        </w:rPr>
        <w:t>) with oral transmucosal fentanyl citrate (OTFC, 200 </w:t>
      </w:r>
      <w:r w:rsidR="004933FA">
        <w:rPr>
          <w:noProof/>
        </w:rPr>
        <w:t>µ</w:t>
      </w:r>
      <w:r w:rsidRPr="00267822">
        <w:rPr>
          <w:noProof/>
        </w:rPr>
        <w:t xml:space="preserve">g), fentanyl was shown to be rapidly absorbed following single dose intranasal administration of </w:t>
      </w:r>
      <w:r w:rsidRPr="00267822">
        <w:rPr>
          <w:iCs/>
          <w:noProof/>
        </w:rPr>
        <w:t>PecFent</w:t>
      </w:r>
      <w:r w:rsidRPr="00267822">
        <w:rPr>
          <w:noProof/>
        </w:rPr>
        <w:t>, with median T</w:t>
      </w:r>
      <w:r w:rsidRPr="00267822">
        <w:rPr>
          <w:noProof/>
          <w:vertAlign w:val="subscript"/>
        </w:rPr>
        <w:t>max</w:t>
      </w:r>
      <w:r w:rsidRPr="00267822">
        <w:rPr>
          <w:noProof/>
        </w:rPr>
        <w:t xml:space="preserve"> ranging from 15 to 21 minutes (T</w:t>
      </w:r>
      <w:r w:rsidRPr="00267822">
        <w:rPr>
          <w:noProof/>
          <w:vertAlign w:val="subscript"/>
        </w:rPr>
        <w:t>max</w:t>
      </w:r>
      <w:r w:rsidRPr="00267822">
        <w:rPr>
          <w:noProof/>
        </w:rPr>
        <w:t xml:space="preserve"> for OTFC was approximately 90 minutes). The variability of the pharmacokinetics of fentanyl was considerable following treatment with both PecFent and OTFC. Relative bioavailability of fentanyl from the PecFent treatment compared to the 200 </w:t>
      </w:r>
      <w:r w:rsidR="004933FA">
        <w:rPr>
          <w:noProof/>
        </w:rPr>
        <w:t>µ</w:t>
      </w:r>
      <w:r w:rsidRPr="00267822">
        <w:rPr>
          <w:noProof/>
        </w:rPr>
        <w:t>g OTFC was approximately 120 %.</w:t>
      </w:r>
    </w:p>
    <w:p w:rsidR="00655000" w:rsidRPr="00267822" w:rsidRDefault="00655000" w:rsidP="008F7DB6">
      <w:pPr>
        <w:rPr>
          <w:noProof/>
        </w:rPr>
      </w:pPr>
      <w:r w:rsidRPr="00267822">
        <w:rPr>
          <w:noProof/>
        </w:rPr>
        <w:t>The main pharmacokinetic parameters are shown in the following table.</w:t>
      </w:r>
    </w:p>
    <w:p w:rsidR="00655000" w:rsidRPr="00267822" w:rsidRDefault="00655000" w:rsidP="008F7DB6">
      <w:pPr>
        <w:rPr>
          <w:noProof/>
        </w:rPr>
      </w:pPr>
      <w:r w:rsidRPr="00267822">
        <w:rPr>
          <w:noProof/>
        </w:rPr>
        <w:t>Pharmacokinetic parameters in adult subjects receiving PecFent and OTFC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41"/>
        <w:gridCol w:w="1410"/>
        <w:gridCol w:w="1411"/>
        <w:gridCol w:w="1411"/>
        <w:gridCol w:w="1413"/>
        <w:gridCol w:w="1411"/>
      </w:tblGrid>
      <w:tr w:rsidR="00655000" w:rsidRPr="00267822" w:rsidTr="00E34774">
        <w:trPr>
          <w:trHeight w:val="256"/>
        </w:trPr>
        <w:tc>
          <w:tcPr>
            <w:tcW w:w="1079" w:type="pct"/>
            <w:vMerge w:val="restart"/>
          </w:tcPr>
          <w:p w:rsidR="00655000" w:rsidRPr="00267822" w:rsidRDefault="00655000" w:rsidP="00655000">
            <w:pPr>
              <w:rPr>
                <w:noProof/>
              </w:rPr>
            </w:pPr>
            <w:r w:rsidRPr="00267822">
              <w:rPr>
                <w:b/>
                <w:noProof/>
              </w:rPr>
              <w:t xml:space="preserve">Pharmacokinetic parameters </w:t>
            </w:r>
            <w:r w:rsidRPr="00267822">
              <w:rPr>
                <w:b/>
                <w:noProof/>
              </w:rPr>
              <w:br/>
              <w:t>(mean (%CV))</w:t>
            </w:r>
          </w:p>
        </w:tc>
        <w:tc>
          <w:tcPr>
            <w:tcW w:w="3137" w:type="pct"/>
            <w:gridSpan w:val="4"/>
          </w:tcPr>
          <w:p w:rsidR="00655000" w:rsidRPr="00267822" w:rsidRDefault="00655000" w:rsidP="00655000">
            <w:pPr>
              <w:jc w:val="center"/>
              <w:rPr>
                <w:b/>
                <w:noProof/>
              </w:rPr>
            </w:pPr>
            <w:r w:rsidRPr="00267822">
              <w:rPr>
                <w:b/>
                <w:noProof/>
              </w:rPr>
              <w:t>PecFent</w:t>
            </w:r>
          </w:p>
        </w:tc>
        <w:tc>
          <w:tcPr>
            <w:tcW w:w="784" w:type="pct"/>
          </w:tcPr>
          <w:p w:rsidR="00655000" w:rsidRPr="00267822" w:rsidRDefault="00655000" w:rsidP="00655000">
            <w:pPr>
              <w:jc w:val="center"/>
              <w:rPr>
                <w:b/>
                <w:noProof/>
              </w:rPr>
            </w:pPr>
            <w:r w:rsidRPr="00267822">
              <w:rPr>
                <w:b/>
                <w:noProof/>
              </w:rPr>
              <w:t>OTFC</w:t>
            </w:r>
          </w:p>
        </w:tc>
      </w:tr>
      <w:tr w:rsidR="00655000" w:rsidRPr="00267822" w:rsidTr="002757CB">
        <w:trPr>
          <w:trHeight w:val="365"/>
        </w:trPr>
        <w:tc>
          <w:tcPr>
            <w:tcW w:w="1079" w:type="pct"/>
            <w:vMerge/>
          </w:tcPr>
          <w:p w:rsidR="00655000" w:rsidRPr="00267822" w:rsidRDefault="00655000" w:rsidP="00655000">
            <w:pPr>
              <w:rPr>
                <w:b/>
                <w:noProof/>
              </w:rPr>
            </w:pPr>
          </w:p>
        </w:tc>
        <w:tc>
          <w:tcPr>
            <w:tcW w:w="784" w:type="pct"/>
          </w:tcPr>
          <w:p w:rsidR="00655000" w:rsidRPr="00267822" w:rsidRDefault="00655000" w:rsidP="004933FA">
            <w:pPr>
              <w:jc w:val="center"/>
              <w:rPr>
                <w:b/>
                <w:noProof/>
              </w:rPr>
            </w:pPr>
            <w:r w:rsidRPr="004933FA">
              <w:rPr>
                <w:b/>
                <w:noProof/>
              </w:rPr>
              <w:t xml:space="preserve">100 </w:t>
            </w:r>
            <w:r w:rsidR="004933FA" w:rsidRPr="004933FA">
              <w:rPr>
                <w:b/>
                <w:noProof/>
              </w:rPr>
              <w:t>µ</w:t>
            </w:r>
            <w:r w:rsidRPr="00267822">
              <w:rPr>
                <w:b/>
                <w:noProof/>
              </w:rPr>
              <w:t>g</w:t>
            </w:r>
          </w:p>
        </w:tc>
        <w:tc>
          <w:tcPr>
            <w:tcW w:w="784" w:type="pct"/>
          </w:tcPr>
          <w:p w:rsidR="00655000" w:rsidRPr="00267822" w:rsidRDefault="00655000" w:rsidP="00655000">
            <w:pPr>
              <w:jc w:val="center"/>
              <w:rPr>
                <w:b/>
                <w:noProof/>
              </w:rPr>
            </w:pPr>
            <w:r w:rsidRPr="00267822">
              <w:rPr>
                <w:b/>
                <w:noProof/>
              </w:rPr>
              <w:t xml:space="preserve">200 </w:t>
            </w:r>
            <w:r w:rsidR="004933FA" w:rsidRPr="004933FA">
              <w:rPr>
                <w:b/>
                <w:noProof/>
              </w:rPr>
              <w:t>µ</w:t>
            </w:r>
            <w:r w:rsidR="004933FA" w:rsidRPr="00267822">
              <w:rPr>
                <w:b/>
                <w:noProof/>
              </w:rPr>
              <w:t>g</w:t>
            </w:r>
          </w:p>
        </w:tc>
        <w:tc>
          <w:tcPr>
            <w:tcW w:w="784" w:type="pct"/>
          </w:tcPr>
          <w:p w:rsidR="00655000" w:rsidRPr="00267822" w:rsidRDefault="00655000" w:rsidP="00655000">
            <w:pPr>
              <w:jc w:val="center"/>
              <w:rPr>
                <w:b/>
                <w:noProof/>
              </w:rPr>
            </w:pPr>
            <w:r w:rsidRPr="00267822">
              <w:rPr>
                <w:b/>
                <w:noProof/>
              </w:rPr>
              <w:t xml:space="preserve">400 </w:t>
            </w:r>
            <w:r w:rsidR="004933FA" w:rsidRPr="004933FA">
              <w:rPr>
                <w:b/>
                <w:noProof/>
              </w:rPr>
              <w:t>µ</w:t>
            </w:r>
            <w:r w:rsidR="004933FA" w:rsidRPr="00267822">
              <w:rPr>
                <w:b/>
                <w:noProof/>
              </w:rPr>
              <w:t>g</w:t>
            </w:r>
          </w:p>
        </w:tc>
        <w:tc>
          <w:tcPr>
            <w:tcW w:w="785" w:type="pct"/>
          </w:tcPr>
          <w:p w:rsidR="00655000" w:rsidRPr="00267822" w:rsidRDefault="00655000" w:rsidP="00655000">
            <w:pPr>
              <w:jc w:val="center"/>
              <w:rPr>
                <w:b/>
                <w:noProof/>
              </w:rPr>
            </w:pPr>
            <w:r w:rsidRPr="00267822">
              <w:rPr>
                <w:b/>
                <w:noProof/>
              </w:rPr>
              <w:t xml:space="preserve">800 </w:t>
            </w:r>
            <w:r w:rsidR="004933FA" w:rsidRPr="004933FA">
              <w:rPr>
                <w:b/>
                <w:noProof/>
              </w:rPr>
              <w:t>µ</w:t>
            </w:r>
            <w:r w:rsidR="004933FA" w:rsidRPr="00267822">
              <w:rPr>
                <w:b/>
                <w:noProof/>
              </w:rPr>
              <w:t>g</w:t>
            </w:r>
          </w:p>
        </w:tc>
        <w:tc>
          <w:tcPr>
            <w:tcW w:w="784" w:type="pct"/>
          </w:tcPr>
          <w:p w:rsidR="00655000" w:rsidRPr="00267822" w:rsidRDefault="00655000" w:rsidP="00655000">
            <w:pPr>
              <w:jc w:val="center"/>
              <w:rPr>
                <w:b/>
                <w:noProof/>
              </w:rPr>
            </w:pPr>
            <w:r w:rsidRPr="00267822">
              <w:rPr>
                <w:b/>
                <w:noProof/>
              </w:rPr>
              <w:t xml:space="preserve">200 </w:t>
            </w:r>
            <w:r w:rsidR="004933FA" w:rsidRPr="004933FA">
              <w:rPr>
                <w:b/>
                <w:noProof/>
              </w:rPr>
              <w:t>µ</w:t>
            </w:r>
            <w:r w:rsidR="004933FA" w:rsidRPr="00267822">
              <w:rPr>
                <w:b/>
                <w:noProof/>
              </w:rPr>
              <w:t>g</w:t>
            </w:r>
          </w:p>
        </w:tc>
      </w:tr>
      <w:tr w:rsidR="00655000" w:rsidRPr="00267822" w:rsidTr="00E34774">
        <w:trPr>
          <w:trHeight w:val="256"/>
        </w:trPr>
        <w:tc>
          <w:tcPr>
            <w:tcW w:w="1079" w:type="pct"/>
          </w:tcPr>
          <w:p w:rsidR="00655000" w:rsidRPr="00267822" w:rsidRDefault="00655000" w:rsidP="00655000">
            <w:pPr>
              <w:rPr>
                <w:noProof/>
              </w:rPr>
            </w:pPr>
            <w:r w:rsidRPr="00267822">
              <w:rPr>
                <w:noProof/>
              </w:rPr>
              <w:t>T</w:t>
            </w:r>
            <w:r w:rsidRPr="00267822">
              <w:rPr>
                <w:noProof/>
                <w:vertAlign w:val="subscript"/>
              </w:rPr>
              <w:t>max</w:t>
            </w:r>
            <w:r w:rsidRPr="00267822">
              <w:rPr>
                <w:noProof/>
              </w:rPr>
              <w:t xml:space="preserve"> (hours)*</w:t>
            </w:r>
          </w:p>
        </w:tc>
        <w:tc>
          <w:tcPr>
            <w:tcW w:w="784" w:type="pct"/>
          </w:tcPr>
          <w:p w:rsidR="00655000" w:rsidRPr="00267822" w:rsidRDefault="0005430A" w:rsidP="00655000">
            <w:pPr>
              <w:jc w:val="center"/>
              <w:rPr>
                <w:noProof/>
              </w:rPr>
            </w:pPr>
            <w:r>
              <w:rPr>
                <w:noProof/>
              </w:rPr>
              <w:t>0.33</w:t>
            </w:r>
            <w:r>
              <w:rPr>
                <w:noProof/>
              </w:rPr>
              <w:br/>
            </w:r>
            <w:r w:rsidR="00655000" w:rsidRPr="00267822">
              <w:rPr>
                <w:noProof/>
              </w:rPr>
              <w:t>(0.08-1.50)</w:t>
            </w:r>
          </w:p>
        </w:tc>
        <w:tc>
          <w:tcPr>
            <w:tcW w:w="784" w:type="pct"/>
          </w:tcPr>
          <w:p w:rsidR="00655000" w:rsidRPr="00267822" w:rsidRDefault="00655000" w:rsidP="00655000">
            <w:pPr>
              <w:jc w:val="center"/>
              <w:rPr>
                <w:noProof/>
              </w:rPr>
            </w:pPr>
            <w:r w:rsidRPr="00267822">
              <w:rPr>
                <w:noProof/>
              </w:rPr>
              <w:t xml:space="preserve">0.25 </w:t>
            </w:r>
            <w:r w:rsidR="0005430A">
              <w:rPr>
                <w:noProof/>
              </w:rPr>
              <w:br/>
            </w:r>
            <w:r w:rsidRPr="00267822">
              <w:rPr>
                <w:noProof/>
              </w:rPr>
              <w:t>(0.17-1.60)</w:t>
            </w:r>
          </w:p>
        </w:tc>
        <w:tc>
          <w:tcPr>
            <w:tcW w:w="784" w:type="pct"/>
          </w:tcPr>
          <w:p w:rsidR="00655000" w:rsidRPr="00267822" w:rsidRDefault="0005430A" w:rsidP="00655000">
            <w:pPr>
              <w:jc w:val="center"/>
              <w:rPr>
                <w:noProof/>
              </w:rPr>
            </w:pPr>
            <w:r>
              <w:rPr>
                <w:noProof/>
              </w:rPr>
              <w:t>0.35</w:t>
            </w:r>
            <w:r>
              <w:rPr>
                <w:noProof/>
              </w:rPr>
              <w:br/>
            </w:r>
            <w:r w:rsidR="00655000" w:rsidRPr="00267822">
              <w:rPr>
                <w:noProof/>
              </w:rPr>
              <w:t>(0.25-0.75)</w:t>
            </w:r>
          </w:p>
        </w:tc>
        <w:tc>
          <w:tcPr>
            <w:tcW w:w="785" w:type="pct"/>
          </w:tcPr>
          <w:p w:rsidR="00655000" w:rsidRPr="00267822" w:rsidRDefault="0005430A" w:rsidP="00655000">
            <w:pPr>
              <w:jc w:val="center"/>
              <w:rPr>
                <w:noProof/>
              </w:rPr>
            </w:pPr>
            <w:r>
              <w:rPr>
                <w:noProof/>
              </w:rPr>
              <w:t>0.34</w:t>
            </w:r>
            <w:r>
              <w:rPr>
                <w:noProof/>
              </w:rPr>
              <w:br/>
            </w:r>
            <w:r w:rsidR="00655000" w:rsidRPr="00267822">
              <w:rPr>
                <w:noProof/>
              </w:rPr>
              <w:t>(0.17-3.00)</w:t>
            </w:r>
          </w:p>
        </w:tc>
        <w:tc>
          <w:tcPr>
            <w:tcW w:w="784" w:type="pct"/>
          </w:tcPr>
          <w:p w:rsidR="00655000" w:rsidRPr="00267822" w:rsidRDefault="0005430A" w:rsidP="00655000">
            <w:pPr>
              <w:jc w:val="center"/>
              <w:rPr>
                <w:noProof/>
              </w:rPr>
            </w:pPr>
            <w:r>
              <w:rPr>
                <w:noProof/>
              </w:rPr>
              <w:t>1.50</w:t>
            </w:r>
            <w:r>
              <w:rPr>
                <w:noProof/>
              </w:rPr>
              <w:br/>
            </w:r>
            <w:r w:rsidR="00655000" w:rsidRPr="00267822">
              <w:rPr>
                <w:noProof/>
              </w:rPr>
              <w:t>(0.50</w:t>
            </w:r>
          </w:p>
          <w:p w:rsidR="00655000" w:rsidRPr="00267822" w:rsidRDefault="00655000" w:rsidP="00655000">
            <w:pPr>
              <w:jc w:val="center"/>
              <w:rPr>
                <w:noProof/>
              </w:rPr>
            </w:pPr>
            <w:r w:rsidRPr="00267822">
              <w:rPr>
                <w:noProof/>
              </w:rPr>
              <w:t>-8.00)</w:t>
            </w:r>
          </w:p>
        </w:tc>
      </w:tr>
      <w:tr w:rsidR="00655000" w:rsidRPr="00267822" w:rsidTr="00E34774">
        <w:trPr>
          <w:trHeight w:val="241"/>
        </w:trPr>
        <w:tc>
          <w:tcPr>
            <w:tcW w:w="1079" w:type="pct"/>
          </w:tcPr>
          <w:p w:rsidR="00655000" w:rsidRPr="00267822" w:rsidRDefault="00655000" w:rsidP="00655000">
            <w:pPr>
              <w:rPr>
                <w:noProof/>
              </w:rPr>
            </w:pPr>
            <w:r w:rsidRPr="00267822">
              <w:rPr>
                <w:noProof/>
              </w:rPr>
              <w:t>C</w:t>
            </w:r>
            <w:r w:rsidRPr="00267822">
              <w:rPr>
                <w:noProof/>
                <w:vertAlign w:val="subscript"/>
              </w:rPr>
              <w:t>max</w:t>
            </w:r>
            <w:r w:rsidRPr="00267822">
              <w:rPr>
                <w:noProof/>
              </w:rPr>
              <w:t xml:space="preserve"> (pg/ml)</w:t>
            </w:r>
          </w:p>
        </w:tc>
        <w:tc>
          <w:tcPr>
            <w:tcW w:w="784" w:type="pct"/>
          </w:tcPr>
          <w:p w:rsidR="00655000" w:rsidRPr="00267822" w:rsidRDefault="00655000" w:rsidP="00655000">
            <w:pPr>
              <w:jc w:val="center"/>
              <w:rPr>
                <w:noProof/>
              </w:rPr>
            </w:pPr>
            <w:r w:rsidRPr="00267822">
              <w:rPr>
                <w:noProof/>
              </w:rPr>
              <w:t>351.5 (51.3)</w:t>
            </w:r>
          </w:p>
        </w:tc>
        <w:tc>
          <w:tcPr>
            <w:tcW w:w="784" w:type="pct"/>
          </w:tcPr>
          <w:p w:rsidR="00655000" w:rsidRPr="00267822" w:rsidRDefault="00655000" w:rsidP="00655000">
            <w:pPr>
              <w:jc w:val="center"/>
              <w:rPr>
                <w:noProof/>
              </w:rPr>
            </w:pPr>
            <w:r w:rsidRPr="00267822">
              <w:rPr>
                <w:noProof/>
              </w:rPr>
              <w:t>780.8 (48.4)</w:t>
            </w:r>
          </w:p>
        </w:tc>
        <w:tc>
          <w:tcPr>
            <w:tcW w:w="784" w:type="pct"/>
          </w:tcPr>
          <w:p w:rsidR="00655000" w:rsidRPr="00267822" w:rsidRDefault="00655000" w:rsidP="00655000">
            <w:pPr>
              <w:jc w:val="center"/>
              <w:rPr>
                <w:noProof/>
              </w:rPr>
            </w:pPr>
            <w:r w:rsidRPr="00267822">
              <w:rPr>
                <w:noProof/>
              </w:rPr>
              <w:t>1552.1 (26.2)</w:t>
            </w:r>
          </w:p>
        </w:tc>
        <w:tc>
          <w:tcPr>
            <w:tcW w:w="785" w:type="pct"/>
          </w:tcPr>
          <w:p w:rsidR="00655000" w:rsidRPr="00267822" w:rsidRDefault="00655000" w:rsidP="00655000">
            <w:pPr>
              <w:jc w:val="center"/>
              <w:rPr>
                <w:noProof/>
              </w:rPr>
            </w:pPr>
            <w:r w:rsidRPr="00267822">
              <w:rPr>
                <w:noProof/>
              </w:rPr>
              <w:t>2844.0 (56.0)</w:t>
            </w:r>
          </w:p>
        </w:tc>
        <w:tc>
          <w:tcPr>
            <w:tcW w:w="784" w:type="pct"/>
          </w:tcPr>
          <w:p w:rsidR="00655000" w:rsidRPr="00267822" w:rsidRDefault="00655000" w:rsidP="00655000">
            <w:pPr>
              <w:jc w:val="center"/>
              <w:rPr>
                <w:noProof/>
              </w:rPr>
            </w:pPr>
            <w:r w:rsidRPr="00267822">
              <w:rPr>
                <w:noProof/>
              </w:rPr>
              <w:t>317.4 (29.9)</w:t>
            </w:r>
          </w:p>
        </w:tc>
      </w:tr>
      <w:tr w:rsidR="00655000" w:rsidRPr="00267822" w:rsidTr="00E34774">
        <w:trPr>
          <w:trHeight w:val="256"/>
        </w:trPr>
        <w:tc>
          <w:tcPr>
            <w:tcW w:w="1079" w:type="pct"/>
          </w:tcPr>
          <w:p w:rsidR="00655000" w:rsidRPr="00267822" w:rsidRDefault="00655000" w:rsidP="00655000">
            <w:pPr>
              <w:rPr>
                <w:noProof/>
              </w:rPr>
            </w:pPr>
            <w:r w:rsidRPr="00267822">
              <w:rPr>
                <w:noProof/>
              </w:rPr>
              <w:t>AUC (pg.hour/ml)</w:t>
            </w:r>
          </w:p>
        </w:tc>
        <w:tc>
          <w:tcPr>
            <w:tcW w:w="784" w:type="pct"/>
          </w:tcPr>
          <w:p w:rsidR="00655000" w:rsidRPr="00267822" w:rsidRDefault="00655000" w:rsidP="00655000">
            <w:pPr>
              <w:jc w:val="center"/>
              <w:rPr>
                <w:noProof/>
              </w:rPr>
            </w:pPr>
            <w:r w:rsidRPr="00267822">
              <w:rPr>
                <w:noProof/>
              </w:rPr>
              <w:t>2460.5 (17.9</w:t>
            </w:r>
          </w:p>
        </w:tc>
        <w:tc>
          <w:tcPr>
            <w:tcW w:w="784" w:type="pct"/>
          </w:tcPr>
          <w:p w:rsidR="00655000" w:rsidRPr="00267822" w:rsidRDefault="00655000" w:rsidP="00655000">
            <w:pPr>
              <w:jc w:val="center"/>
              <w:rPr>
                <w:noProof/>
              </w:rPr>
            </w:pPr>
            <w:r w:rsidRPr="00267822">
              <w:rPr>
                <w:noProof/>
              </w:rPr>
              <w:t>4359.9 (29.8)</w:t>
            </w:r>
          </w:p>
        </w:tc>
        <w:tc>
          <w:tcPr>
            <w:tcW w:w="784" w:type="pct"/>
          </w:tcPr>
          <w:p w:rsidR="00655000" w:rsidRPr="00267822" w:rsidRDefault="00655000" w:rsidP="00655000">
            <w:pPr>
              <w:jc w:val="center"/>
              <w:rPr>
                <w:noProof/>
              </w:rPr>
            </w:pPr>
            <w:r w:rsidRPr="00267822">
              <w:rPr>
                <w:noProof/>
              </w:rPr>
              <w:t>7513.4 (26.7)</w:t>
            </w:r>
          </w:p>
        </w:tc>
        <w:tc>
          <w:tcPr>
            <w:tcW w:w="785" w:type="pct"/>
          </w:tcPr>
          <w:p w:rsidR="00655000" w:rsidRPr="00267822" w:rsidRDefault="00655000" w:rsidP="00655000">
            <w:pPr>
              <w:jc w:val="center"/>
              <w:rPr>
                <w:noProof/>
              </w:rPr>
            </w:pPr>
            <w:r w:rsidRPr="00267822">
              <w:rPr>
                <w:noProof/>
              </w:rPr>
              <w:t>17272 (48.9)</w:t>
            </w:r>
          </w:p>
        </w:tc>
        <w:tc>
          <w:tcPr>
            <w:tcW w:w="784" w:type="pct"/>
          </w:tcPr>
          <w:p w:rsidR="00655000" w:rsidRPr="00267822" w:rsidRDefault="00655000" w:rsidP="00655000">
            <w:pPr>
              <w:jc w:val="center"/>
              <w:rPr>
                <w:noProof/>
              </w:rPr>
            </w:pPr>
            <w:r w:rsidRPr="00267822">
              <w:rPr>
                <w:noProof/>
              </w:rPr>
              <w:t>3735.0 (32.8)</w:t>
            </w:r>
          </w:p>
        </w:tc>
      </w:tr>
      <w:tr w:rsidR="00655000" w:rsidRPr="00267822" w:rsidTr="00E34774">
        <w:trPr>
          <w:trHeight w:val="256"/>
        </w:trPr>
        <w:tc>
          <w:tcPr>
            <w:tcW w:w="1079" w:type="pct"/>
          </w:tcPr>
          <w:p w:rsidR="00655000" w:rsidRPr="00267822" w:rsidRDefault="00655000" w:rsidP="00655000">
            <w:pPr>
              <w:rPr>
                <w:noProof/>
              </w:rPr>
            </w:pPr>
            <w:r w:rsidRPr="00267822">
              <w:rPr>
                <w:noProof/>
              </w:rPr>
              <w:t>t</w:t>
            </w:r>
            <w:r w:rsidRPr="00267822">
              <w:rPr>
                <w:noProof/>
                <w:vertAlign w:val="subscript"/>
              </w:rPr>
              <w:t>1/2</w:t>
            </w:r>
            <w:r w:rsidRPr="00267822">
              <w:rPr>
                <w:noProof/>
              </w:rPr>
              <w:t xml:space="preserve"> (hour)</w:t>
            </w:r>
          </w:p>
        </w:tc>
        <w:tc>
          <w:tcPr>
            <w:tcW w:w="784" w:type="pct"/>
          </w:tcPr>
          <w:p w:rsidR="00655000" w:rsidRPr="00267822" w:rsidRDefault="00655000" w:rsidP="00655000">
            <w:pPr>
              <w:jc w:val="center"/>
              <w:rPr>
                <w:noProof/>
              </w:rPr>
            </w:pPr>
            <w:r w:rsidRPr="00267822">
              <w:rPr>
                <w:noProof/>
              </w:rPr>
              <w:t>21.9 (13.6)</w:t>
            </w:r>
          </w:p>
        </w:tc>
        <w:tc>
          <w:tcPr>
            <w:tcW w:w="784" w:type="pct"/>
          </w:tcPr>
          <w:p w:rsidR="00655000" w:rsidRPr="00267822" w:rsidRDefault="00655000" w:rsidP="00655000">
            <w:pPr>
              <w:jc w:val="center"/>
              <w:rPr>
                <w:noProof/>
              </w:rPr>
            </w:pPr>
            <w:r w:rsidRPr="00267822">
              <w:rPr>
                <w:noProof/>
              </w:rPr>
              <w:t>24.9 (51.3)</w:t>
            </w:r>
          </w:p>
        </w:tc>
        <w:tc>
          <w:tcPr>
            <w:tcW w:w="784" w:type="pct"/>
          </w:tcPr>
          <w:p w:rsidR="00655000" w:rsidRPr="00267822" w:rsidRDefault="00655000" w:rsidP="00655000">
            <w:pPr>
              <w:jc w:val="center"/>
              <w:rPr>
                <w:noProof/>
              </w:rPr>
            </w:pPr>
            <w:r w:rsidRPr="00267822">
              <w:rPr>
                <w:noProof/>
              </w:rPr>
              <w:t>15.0 (24.7)</w:t>
            </w:r>
          </w:p>
        </w:tc>
        <w:tc>
          <w:tcPr>
            <w:tcW w:w="785" w:type="pct"/>
          </w:tcPr>
          <w:p w:rsidR="00655000" w:rsidRPr="00267822" w:rsidRDefault="00655000" w:rsidP="00655000">
            <w:pPr>
              <w:jc w:val="center"/>
              <w:rPr>
                <w:noProof/>
              </w:rPr>
            </w:pPr>
            <w:r w:rsidRPr="00267822">
              <w:rPr>
                <w:noProof/>
              </w:rPr>
              <w:t>24.9 (92.5)</w:t>
            </w:r>
          </w:p>
        </w:tc>
        <w:tc>
          <w:tcPr>
            <w:tcW w:w="784" w:type="pct"/>
          </w:tcPr>
          <w:p w:rsidR="00655000" w:rsidRPr="00267822" w:rsidRDefault="00655000" w:rsidP="00655000">
            <w:pPr>
              <w:jc w:val="center"/>
              <w:rPr>
                <w:noProof/>
              </w:rPr>
            </w:pPr>
            <w:r w:rsidRPr="00267822">
              <w:rPr>
                <w:noProof/>
              </w:rPr>
              <w:t>18.6 (31.4)</w:t>
            </w:r>
          </w:p>
        </w:tc>
      </w:tr>
    </w:tbl>
    <w:p w:rsidR="00655000" w:rsidRPr="00267822" w:rsidRDefault="00655000" w:rsidP="00655000">
      <w:pPr>
        <w:rPr>
          <w:noProof/>
        </w:rPr>
      </w:pPr>
      <w:r w:rsidRPr="00267822">
        <w:rPr>
          <w:noProof/>
        </w:rPr>
        <w:t>*Data for T</w:t>
      </w:r>
      <w:r w:rsidRPr="00267822">
        <w:rPr>
          <w:noProof/>
          <w:vertAlign w:val="subscript"/>
        </w:rPr>
        <w:t>max</w:t>
      </w:r>
      <w:r w:rsidRPr="00267822">
        <w:rPr>
          <w:noProof/>
        </w:rPr>
        <w:t xml:space="preserve"> presented as median (range).</w:t>
      </w:r>
    </w:p>
    <w:p w:rsidR="00655000" w:rsidRPr="00C92C24" w:rsidRDefault="00655000" w:rsidP="008F7DB6">
      <w:pPr>
        <w:rPr>
          <w:b/>
          <w:noProof/>
        </w:rPr>
      </w:pPr>
      <w:r w:rsidRPr="00267822">
        <w:rPr>
          <w:noProof/>
        </w:rPr>
        <w:t>The curves for each dose level are similar in shape with increasing dose levels producing increasing plasma fentanyl levels. Dose-proportionality was demonstrated for C</w:t>
      </w:r>
      <w:r w:rsidRPr="00267822">
        <w:rPr>
          <w:noProof/>
          <w:vertAlign w:val="subscript"/>
        </w:rPr>
        <w:t>max</w:t>
      </w:r>
      <w:r w:rsidRPr="00267822">
        <w:rPr>
          <w:noProof/>
        </w:rPr>
        <w:t xml:space="preserve"> and area under the curve </w:t>
      </w:r>
      <w:r w:rsidRPr="00267822">
        <w:rPr>
          <w:noProof/>
        </w:rPr>
        <w:lastRenderedPageBreak/>
        <w:t>(AUC) in the dose range 100 </w:t>
      </w:r>
      <w:r w:rsidR="004933FA">
        <w:rPr>
          <w:noProof/>
        </w:rPr>
        <w:t>µ</w:t>
      </w:r>
      <w:r w:rsidR="004933FA" w:rsidRPr="00267822">
        <w:rPr>
          <w:noProof/>
        </w:rPr>
        <w:t>g</w:t>
      </w:r>
      <w:r w:rsidRPr="00267822">
        <w:rPr>
          <w:noProof/>
        </w:rPr>
        <w:t xml:space="preserve"> to 800 </w:t>
      </w:r>
      <w:r w:rsidR="004933FA">
        <w:rPr>
          <w:noProof/>
        </w:rPr>
        <w:t>µ</w:t>
      </w:r>
      <w:r w:rsidR="004933FA" w:rsidRPr="00267822">
        <w:rPr>
          <w:noProof/>
        </w:rPr>
        <w:t>g</w:t>
      </w:r>
      <w:r w:rsidRPr="00267822">
        <w:rPr>
          <w:noProof/>
        </w:rPr>
        <w:t xml:space="preserve"> (see Figure </w:t>
      </w:r>
      <w:r w:rsidR="00DF2C52" w:rsidRPr="00770B7A">
        <w:rPr>
          <w:noProof/>
        </w:rPr>
        <w:t>1</w:t>
      </w:r>
      <w:r w:rsidRPr="00C92C24">
        <w:rPr>
          <w:b/>
          <w:noProof/>
        </w:rPr>
        <w:t xml:space="preserve">). If switching to PecFent from another fentanyl product for </w:t>
      </w:r>
      <w:r w:rsidR="00A97800" w:rsidRPr="00C92C24">
        <w:rPr>
          <w:b/>
          <w:noProof/>
        </w:rPr>
        <w:t>breakthrough pain</w:t>
      </w:r>
      <w:r w:rsidRPr="00C92C24">
        <w:rPr>
          <w:b/>
          <w:noProof/>
        </w:rPr>
        <w:t>, independent dose titration with PecFent is required as the bioavailability between products differs significantly.</w:t>
      </w:r>
    </w:p>
    <w:p w:rsidR="00C5457A" w:rsidRDefault="008F7DB6" w:rsidP="008F7DB6">
      <w:pPr>
        <w:rPr>
          <w:noProof/>
        </w:rPr>
      </w:pPr>
      <w:r>
        <w:rPr>
          <w:noProof/>
          <w:lang w:val="en-AU" w:eastAsia="en-AU"/>
        </w:rPr>
        <w:drawing>
          <wp:anchor distT="0" distB="0" distL="114300" distR="114300" simplePos="0" relativeHeight="251661312" behindDoc="0" locked="0" layoutInCell="1" allowOverlap="1">
            <wp:simplePos x="0" y="0"/>
            <wp:positionH relativeFrom="column">
              <wp:posOffset>85725</wp:posOffset>
            </wp:positionH>
            <wp:positionV relativeFrom="paragraph">
              <wp:posOffset>528955</wp:posOffset>
            </wp:positionV>
            <wp:extent cx="5642610" cy="3663315"/>
            <wp:effectExtent l="19050" t="0" r="0" b="0"/>
            <wp:wrapTopAndBottom/>
            <wp:docPr id="6" name="Picture 4" descr="Figure 1: Mean plasma fentanyl concentrations following single doses of PecFent and OTFC in healthy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fentanyl-130319-pi-2.jpg"/>
                    <pic:cNvPicPr/>
                  </pic:nvPicPr>
                  <pic:blipFill>
                    <a:blip r:embed="rId9" cstate="print"/>
                    <a:stretch>
                      <a:fillRect/>
                    </a:stretch>
                  </pic:blipFill>
                  <pic:spPr>
                    <a:xfrm>
                      <a:off x="0" y="0"/>
                      <a:ext cx="5642610" cy="3663315"/>
                    </a:xfrm>
                    <a:prstGeom prst="rect">
                      <a:avLst/>
                    </a:prstGeom>
                  </pic:spPr>
                </pic:pic>
              </a:graphicData>
            </a:graphic>
          </wp:anchor>
        </w:drawing>
      </w:r>
      <w:r w:rsidR="00655000" w:rsidRPr="00770B7A">
        <w:rPr>
          <w:noProof/>
        </w:rPr>
        <w:t xml:space="preserve">Figure </w:t>
      </w:r>
      <w:r w:rsidR="00DF2C52" w:rsidRPr="00770B7A">
        <w:rPr>
          <w:noProof/>
        </w:rPr>
        <w:t>1</w:t>
      </w:r>
      <w:r w:rsidR="00655000" w:rsidRPr="00770B7A">
        <w:rPr>
          <w:noProof/>
        </w:rPr>
        <w:t>: Mean</w:t>
      </w:r>
      <w:r w:rsidR="00655000" w:rsidRPr="00267822">
        <w:rPr>
          <w:noProof/>
        </w:rPr>
        <w:t xml:space="preserve"> plasma fentanyl concentrations following single doses of PecFent and OTFC in healthy subjects</w:t>
      </w:r>
    </w:p>
    <w:p w:rsidR="00655000" w:rsidRPr="00423360" w:rsidRDefault="00655000" w:rsidP="008F7DB6">
      <w:pPr>
        <w:pStyle w:val="Heading4"/>
      </w:pPr>
      <w:r w:rsidRPr="00423360">
        <w:t>Distribution</w:t>
      </w:r>
    </w:p>
    <w:p w:rsidR="00655000" w:rsidRPr="00267822" w:rsidRDefault="00655000" w:rsidP="008F7DB6">
      <w:pPr>
        <w:rPr>
          <w:noProof/>
        </w:rPr>
      </w:pPr>
      <w:r w:rsidRPr="00267822">
        <w:rPr>
          <w:noProof/>
        </w:rPr>
        <w:t>Fentanyl is highly lipophilic and is well distributed beyond the vascular system, with a large apparent volume of distribution. Animal data have shown that, following absorption, fentanyl is rapidly distributed to the brain, heart, lungs, kidneys and spleen followed by a slower redistribution to muscles and fat.</w:t>
      </w:r>
    </w:p>
    <w:p w:rsidR="00655000" w:rsidRPr="00267822" w:rsidRDefault="00655000" w:rsidP="008F7DB6">
      <w:pPr>
        <w:rPr>
          <w:noProof/>
        </w:rPr>
      </w:pPr>
      <w:r w:rsidRPr="00267822">
        <w:rPr>
          <w:noProof/>
        </w:rPr>
        <w:t>The plasma protein binding of fentanyl is 80 – 85 %. The main binding protein is alpha-1-acid glycoprotein, but both albumin and lipoproteins contribute to some extent. The free fraction of fentanyl increases with acidosis.</w:t>
      </w:r>
    </w:p>
    <w:p w:rsidR="00655000" w:rsidRPr="00423360" w:rsidRDefault="009C559C" w:rsidP="008F7DB6">
      <w:pPr>
        <w:pStyle w:val="Heading4"/>
      </w:pPr>
      <w:r>
        <w:t>Metabolism</w:t>
      </w:r>
    </w:p>
    <w:p w:rsidR="006672B9" w:rsidRDefault="00655000" w:rsidP="008F7DB6">
      <w:pPr>
        <w:rPr>
          <w:noProof/>
        </w:rPr>
      </w:pPr>
      <w:r w:rsidRPr="00267822">
        <w:rPr>
          <w:noProof/>
        </w:rPr>
        <w:t>The metabolic pathways following nasal administration of PecFent have not been characterised in clinical studies. Fentanyl is metabolised in the liver to norfentanyl by cytochrome CYP3A4 isoform. Norfentanyl is not pharmacologically active in animal studies. It is more than 90 % eliminated by biotransformation to N</w:t>
      </w:r>
      <w:r w:rsidRPr="00267822">
        <w:rPr>
          <w:noProof/>
        </w:rPr>
        <w:noBreakHyphen/>
        <w:t>dealkylated and hydroxylated inactive metabolites.</w:t>
      </w:r>
    </w:p>
    <w:p w:rsidR="00655000" w:rsidRPr="00423360" w:rsidRDefault="00655000" w:rsidP="008F7DB6">
      <w:pPr>
        <w:pStyle w:val="Heading4"/>
      </w:pPr>
      <w:r w:rsidRPr="00423360">
        <w:t>Elimination</w:t>
      </w:r>
    </w:p>
    <w:p w:rsidR="00655000" w:rsidRPr="00267822" w:rsidRDefault="00655000" w:rsidP="008F7DB6">
      <w:pPr>
        <w:rPr>
          <w:noProof/>
        </w:rPr>
      </w:pPr>
      <w:r w:rsidRPr="00267822">
        <w:rPr>
          <w:noProof/>
        </w:rPr>
        <w:t>Disposition of fentanyl following intranasal administration of PecFent has not been characterised in a mass balance study. Less than 7 % of an administered dose of fentanyl is excreted unchanged in the urine and only about 1 % is excreted unchanged in the faeces. The metabolites are mainly excreted in the urine, while faecal excretion is less important.</w:t>
      </w:r>
    </w:p>
    <w:p w:rsidR="00655000" w:rsidRPr="00267822" w:rsidRDefault="00655000" w:rsidP="008F7DB6">
      <w:pPr>
        <w:rPr>
          <w:noProof/>
        </w:rPr>
      </w:pPr>
      <w:r w:rsidRPr="00267822">
        <w:rPr>
          <w:noProof/>
        </w:rPr>
        <w:lastRenderedPageBreak/>
        <w:t>The total plasma clearance of fentanyl following intravenous administration is approximately 42 L/h.</w:t>
      </w:r>
    </w:p>
    <w:p w:rsidR="00A97800" w:rsidRPr="00A97800" w:rsidRDefault="00A97800" w:rsidP="008F7DB6">
      <w:pPr>
        <w:pStyle w:val="Heading4"/>
      </w:pPr>
      <w:r w:rsidRPr="00A97800">
        <w:t>Linearity/non-linearity</w:t>
      </w:r>
    </w:p>
    <w:p w:rsidR="00A97800" w:rsidRPr="00A97800" w:rsidRDefault="00A97800" w:rsidP="008F7DB6">
      <w:pPr>
        <w:rPr>
          <w:noProof/>
        </w:rPr>
      </w:pPr>
      <w:r w:rsidRPr="00A97800">
        <w:rPr>
          <w:noProof/>
        </w:rPr>
        <w:t>Dose-proportionality was demonstrated for C</w:t>
      </w:r>
      <w:r w:rsidRPr="00A97800">
        <w:rPr>
          <w:noProof/>
          <w:vertAlign w:val="subscript"/>
        </w:rPr>
        <w:t>max</w:t>
      </w:r>
      <w:r w:rsidRPr="00A97800">
        <w:rPr>
          <w:noProof/>
        </w:rPr>
        <w:t xml:space="preserve"> and AUC in the dose range 100 </w:t>
      </w:r>
      <w:r w:rsidR="004933FA">
        <w:rPr>
          <w:noProof/>
        </w:rPr>
        <w:t>µ</w:t>
      </w:r>
      <w:r w:rsidR="004933FA" w:rsidRPr="00267822">
        <w:rPr>
          <w:noProof/>
        </w:rPr>
        <w:t>g</w:t>
      </w:r>
      <w:r w:rsidR="004933FA" w:rsidRPr="00A97800">
        <w:rPr>
          <w:noProof/>
        </w:rPr>
        <w:t xml:space="preserve"> </w:t>
      </w:r>
      <w:r w:rsidRPr="00A97800">
        <w:rPr>
          <w:noProof/>
        </w:rPr>
        <w:t>to 800 </w:t>
      </w:r>
      <w:r w:rsidR="004933FA">
        <w:rPr>
          <w:noProof/>
        </w:rPr>
        <w:t>µ</w:t>
      </w:r>
      <w:r w:rsidR="004933FA" w:rsidRPr="00267822">
        <w:rPr>
          <w:noProof/>
        </w:rPr>
        <w:t>g</w:t>
      </w:r>
      <w:r w:rsidRPr="00A97800">
        <w:rPr>
          <w:noProof/>
        </w:rPr>
        <w:t>.</w:t>
      </w:r>
    </w:p>
    <w:p w:rsidR="00423360" w:rsidRPr="008F7DB6" w:rsidRDefault="00423360" w:rsidP="008F7DB6">
      <w:pPr>
        <w:pStyle w:val="Heading2"/>
        <w:spacing w:after="0"/>
        <w:rPr>
          <w:bCs/>
        </w:rPr>
      </w:pPr>
      <w:r w:rsidRPr="008F7DB6">
        <w:rPr>
          <w:bCs/>
        </w:rPr>
        <w:t>CLINICAL TRIALS</w:t>
      </w:r>
    </w:p>
    <w:p w:rsidR="00AD1C94" w:rsidRDefault="00E45EA7" w:rsidP="008F7DB6">
      <w:pPr>
        <w:rPr>
          <w:noProof/>
        </w:rPr>
      </w:pPr>
      <w:r w:rsidRPr="00E45EA7">
        <w:rPr>
          <w:noProof/>
        </w:rPr>
        <w:t xml:space="preserve">The efficacy of </w:t>
      </w:r>
      <w:r>
        <w:rPr>
          <w:noProof/>
        </w:rPr>
        <w:t>PecFent</w:t>
      </w:r>
      <w:r w:rsidR="00ED23F8">
        <w:rPr>
          <w:noProof/>
        </w:rPr>
        <w:t xml:space="preserve"> was demonstrated in </w:t>
      </w:r>
      <w:r w:rsidR="00ED23F8" w:rsidRPr="006F5D61">
        <w:rPr>
          <w:noProof/>
        </w:rPr>
        <w:t>three</w:t>
      </w:r>
      <w:r w:rsidRPr="006F5D61">
        <w:rPr>
          <w:noProof/>
        </w:rPr>
        <w:t xml:space="preserve"> clinical trials</w:t>
      </w:r>
      <w:r w:rsidR="00BA697E">
        <w:rPr>
          <w:noProof/>
        </w:rPr>
        <w:t xml:space="preserve"> (CP043</w:t>
      </w:r>
      <w:r w:rsidR="00ED23F8" w:rsidRPr="006F5D61">
        <w:rPr>
          <w:noProof/>
        </w:rPr>
        <w:t>, CP044 and CP045)</w:t>
      </w:r>
      <w:r w:rsidRPr="00E45EA7">
        <w:rPr>
          <w:noProof/>
        </w:rPr>
        <w:t xml:space="preserve"> in opioid tolerant adult patients </w:t>
      </w:r>
      <w:r w:rsidR="00AD1C94">
        <w:rPr>
          <w:noProof/>
        </w:rPr>
        <w:t xml:space="preserve">with cancer </w:t>
      </w:r>
      <w:r w:rsidRPr="00E45EA7">
        <w:rPr>
          <w:noProof/>
        </w:rPr>
        <w:t>experien</w:t>
      </w:r>
      <w:r w:rsidR="00AD1C94">
        <w:rPr>
          <w:noProof/>
        </w:rPr>
        <w:t>cing breakthrough</w:t>
      </w:r>
      <w:r w:rsidR="00D318E6" w:rsidRPr="00571E84">
        <w:rPr>
          <w:noProof/>
        </w:rPr>
        <w:t xml:space="preserve"> </w:t>
      </w:r>
      <w:r w:rsidR="00AD1C94">
        <w:rPr>
          <w:noProof/>
        </w:rPr>
        <w:t xml:space="preserve">pain. </w:t>
      </w:r>
    </w:p>
    <w:p w:rsidR="00AD1C94" w:rsidRDefault="00BA697E" w:rsidP="008F7DB6">
      <w:pPr>
        <w:rPr>
          <w:noProof/>
        </w:rPr>
      </w:pPr>
      <w:r>
        <w:rPr>
          <w:noProof/>
        </w:rPr>
        <w:t>Two of the studies (CP043 and CP044) were double-blind controlled studies with reference arms.  The third study (CP045) was long term open use.</w:t>
      </w:r>
    </w:p>
    <w:p w:rsidR="00E45EA7" w:rsidRDefault="00AD1C94" w:rsidP="008F7DB6">
      <w:pPr>
        <w:rPr>
          <w:noProof/>
        </w:rPr>
      </w:pPr>
      <w:r>
        <w:rPr>
          <w:noProof/>
        </w:rPr>
        <w:t>Breakthrough</w:t>
      </w:r>
      <w:r w:rsidR="00D318E6">
        <w:rPr>
          <w:noProof/>
        </w:rPr>
        <w:t xml:space="preserve"> </w:t>
      </w:r>
      <w:r w:rsidR="00E45EA7" w:rsidRPr="00E45EA7">
        <w:rPr>
          <w:noProof/>
        </w:rPr>
        <w:t>pain was defined as a transient flare of moderate-to-severe pain occurring in patients with cancer experiencing persistent cancer pain otherwise controlled with maintenance doses of opioid medications including at least 60 mg of oral morphine/day or an equianalgesic dose of another opioid (which could be fentanyl) for a week or longer. All patients were on stable doses of either long-acting oral opioids or transdermal fentanyl for their persistent cancer pain.</w:t>
      </w:r>
    </w:p>
    <w:p w:rsidR="00BA697E" w:rsidRPr="008F7DB6" w:rsidRDefault="00BA697E" w:rsidP="008F7DB6">
      <w:pPr>
        <w:pStyle w:val="Heading3"/>
        <w:spacing w:after="0"/>
        <w:rPr>
          <w:bCs/>
        </w:rPr>
      </w:pPr>
      <w:r w:rsidRPr="008F7DB6">
        <w:rPr>
          <w:bCs/>
        </w:rPr>
        <w:t>Double-Blind Controlled Studies with Reference Arms</w:t>
      </w:r>
    </w:p>
    <w:p w:rsidR="00BA697E" w:rsidRDefault="00BA697E" w:rsidP="008F7DB6">
      <w:pPr>
        <w:rPr>
          <w:noProof/>
          <w:lang w:val="en-US"/>
        </w:rPr>
      </w:pPr>
      <w:r>
        <w:rPr>
          <w:noProof/>
          <w:lang w:val="en-US"/>
        </w:rPr>
        <w:t>Two double-blind controlled crossover studieswith reference arms (</w:t>
      </w:r>
      <w:r w:rsidRPr="00E45EA7">
        <w:rPr>
          <w:noProof/>
          <w:lang w:val="en-US"/>
        </w:rPr>
        <w:t>CP043</w:t>
      </w:r>
      <w:r>
        <w:rPr>
          <w:noProof/>
          <w:lang w:val="en-US"/>
        </w:rPr>
        <w:t xml:space="preserve"> vs placebo and CP044 vs </w:t>
      </w:r>
      <w:r w:rsidR="00B73BB0">
        <w:rPr>
          <w:noProof/>
          <w:lang w:val="en-US"/>
        </w:rPr>
        <w:t>immediate-release morphine sulpahte [</w:t>
      </w:r>
      <w:r>
        <w:rPr>
          <w:noProof/>
          <w:lang w:val="en-US"/>
        </w:rPr>
        <w:t>IRMS</w:t>
      </w:r>
      <w:r w:rsidR="00B73BB0">
        <w:rPr>
          <w:noProof/>
          <w:lang w:val="en-US"/>
        </w:rPr>
        <w:t>]</w:t>
      </w:r>
      <w:r w:rsidRPr="00E45EA7">
        <w:rPr>
          <w:noProof/>
          <w:lang w:val="en-US"/>
        </w:rPr>
        <w:t xml:space="preserve">) were </w:t>
      </w:r>
      <w:r>
        <w:rPr>
          <w:noProof/>
          <w:lang w:val="en-US"/>
        </w:rPr>
        <w:t>conduct</w:t>
      </w:r>
      <w:r w:rsidRPr="00E45EA7">
        <w:rPr>
          <w:noProof/>
          <w:lang w:val="en-US"/>
        </w:rPr>
        <w:t xml:space="preserve">ed in patients with cancer to evaluate the effectiveness of </w:t>
      </w:r>
      <w:r>
        <w:rPr>
          <w:noProof/>
          <w:lang w:val="en-US"/>
        </w:rPr>
        <w:t>PecFent</w:t>
      </w:r>
      <w:r w:rsidRPr="00E45EA7">
        <w:rPr>
          <w:noProof/>
          <w:lang w:val="en-US"/>
        </w:rPr>
        <w:t xml:space="preserve"> for</w:t>
      </w:r>
      <w:r>
        <w:rPr>
          <w:noProof/>
          <w:lang w:val="en-US"/>
        </w:rPr>
        <w:t xml:space="preserve"> the treatment of breakthrough </w:t>
      </w:r>
      <w:r w:rsidRPr="00E45EA7">
        <w:rPr>
          <w:noProof/>
          <w:lang w:val="en-US"/>
        </w:rPr>
        <w:t>pain</w:t>
      </w:r>
      <w:r>
        <w:rPr>
          <w:noProof/>
          <w:lang w:val="en-US"/>
        </w:rPr>
        <w:t xml:space="preserve"> in cancer patients</w:t>
      </w:r>
      <w:r w:rsidRPr="00E45EA7">
        <w:rPr>
          <w:noProof/>
          <w:lang w:val="en-US"/>
        </w:rPr>
        <w:t>. Open-label titration identified a</w:t>
      </w:r>
      <w:r w:rsidR="00464AC3">
        <w:rPr>
          <w:noProof/>
          <w:lang w:val="en-US"/>
        </w:rPr>
        <w:t>n effective</w:t>
      </w:r>
      <w:r w:rsidRPr="00E45EA7">
        <w:rPr>
          <w:noProof/>
          <w:lang w:val="en-US"/>
        </w:rPr>
        <w:t xml:space="preserve"> </w:t>
      </w:r>
      <w:r w:rsidRPr="00464AC3">
        <w:rPr>
          <w:noProof/>
          <w:lang w:val="en-US"/>
        </w:rPr>
        <w:t>dose</w:t>
      </w:r>
      <w:r w:rsidRPr="00E45EA7">
        <w:rPr>
          <w:noProof/>
          <w:lang w:val="en-US"/>
        </w:rPr>
        <w:t xml:space="preserve"> of </w:t>
      </w:r>
      <w:r>
        <w:rPr>
          <w:noProof/>
          <w:lang w:val="en-US"/>
        </w:rPr>
        <w:t>PecFent</w:t>
      </w:r>
      <w:r w:rsidRPr="00E45EA7">
        <w:rPr>
          <w:noProof/>
          <w:lang w:val="en-US"/>
        </w:rPr>
        <w:t>, within the range of 100 to 800 mcg. A</w:t>
      </w:r>
      <w:r w:rsidR="00B73BB0">
        <w:rPr>
          <w:noProof/>
          <w:lang w:val="en-US"/>
        </w:rPr>
        <w:t>n</w:t>
      </w:r>
      <w:r w:rsidRPr="00E45EA7">
        <w:rPr>
          <w:noProof/>
          <w:lang w:val="en-US"/>
        </w:rPr>
        <w:t xml:space="preserve"> “</w:t>
      </w:r>
      <w:r w:rsidR="00B73BB0">
        <w:rPr>
          <w:noProof/>
          <w:lang w:val="en-US"/>
        </w:rPr>
        <w:t>effective</w:t>
      </w:r>
      <w:r w:rsidRPr="00E45EA7">
        <w:rPr>
          <w:noProof/>
          <w:lang w:val="en-US"/>
        </w:rPr>
        <w:t>” dose was defined as a dose in which a patient obtained adequate analgesia with tolerable side effects.</w:t>
      </w:r>
    </w:p>
    <w:p w:rsidR="00423360" w:rsidRPr="00267822" w:rsidRDefault="00E45EA7" w:rsidP="008F7DB6">
      <w:pPr>
        <w:rPr>
          <w:noProof/>
        </w:rPr>
      </w:pPr>
      <w:r>
        <w:rPr>
          <w:noProof/>
        </w:rPr>
        <w:t xml:space="preserve">In CP043, </w:t>
      </w:r>
      <w:r w:rsidR="00423360" w:rsidRPr="00267822">
        <w:rPr>
          <w:noProof/>
        </w:rPr>
        <w:t xml:space="preserve">114 patients who experienced on average 1 to 4 episodes of </w:t>
      </w:r>
      <w:r w:rsidR="00BA697E">
        <w:rPr>
          <w:noProof/>
        </w:rPr>
        <w:t>breathrough pain</w:t>
      </w:r>
      <w:r w:rsidR="00423360" w:rsidRPr="00267822">
        <w:rPr>
          <w:noProof/>
        </w:rPr>
        <w:t xml:space="preserve"> per day while taking maintenance opioid therapy were entered </w:t>
      </w:r>
      <w:r w:rsidR="00423360" w:rsidRPr="004917E9">
        <w:rPr>
          <w:noProof/>
        </w:rPr>
        <w:t xml:space="preserve">into an initial open-label titration phase in order to identify an effective dose of PecFent . </w:t>
      </w:r>
      <w:r w:rsidR="00423360" w:rsidRPr="004917E9">
        <w:t xml:space="preserve">The patients entering the double-blind phase treated up to 10 episodes of </w:t>
      </w:r>
      <w:r w:rsidR="00BA697E">
        <w:t>breakthrough pain</w:t>
      </w:r>
      <w:r w:rsidR="00423360" w:rsidRPr="004917E9">
        <w:t xml:space="preserve"> with either </w:t>
      </w:r>
      <w:proofErr w:type="spellStart"/>
      <w:r w:rsidR="00423360" w:rsidRPr="004917E9">
        <w:t>PecFent</w:t>
      </w:r>
      <w:proofErr w:type="spellEnd"/>
      <w:r w:rsidR="00423360" w:rsidRPr="004917E9">
        <w:t xml:space="preserve"> (7 episodes) or placebo (3 episodes) in a random order.</w:t>
      </w:r>
      <w:r w:rsidR="004227F9">
        <w:rPr>
          <w:noProof/>
        </w:rPr>
        <w:t xml:space="preserve"> </w:t>
      </w:r>
      <w:r w:rsidR="00423360" w:rsidRPr="00267822">
        <w:rPr>
          <w:noProof/>
        </w:rPr>
        <w:t>Of the patients entering t</w:t>
      </w:r>
      <w:r w:rsidR="004035CC">
        <w:rPr>
          <w:noProof/>
        </w:rPr>
        <w:t>he titration phase, only 7 (6.1</w:t>
      </w:r>
      <w:r w:rsidR="00423360" w:rsidRPr="00267822">
        <w:rPr>
          <w:noProof/>
        </w:rPr>
        <w:t>%) were unable to be titrated to an effective dose due</w:t>
      </w:r>
      <w:r w:rsidR="004035CC">
        <w:rPr>
          <w:noProof/>
        </w:rPr>
        <w:t xml:space="preserve"> to lack of efficacy and 6 (5.3</w:t>
      </w:r>
      <w:r w:rsidR="00423360" w:rsidRPr="00267822">
        <w:rPr>
          <w:noProof/>
        </w:rPr>
        <w:t>%) withdrew due to adverse events.</w:t>
      </w:r>
    </w:p>
    <w:p w:rsidR="008F7DB6" w:rsidRDefault="00423360" w:rsidP="008F7DB6">
      <w:pPr>
        <w:rPr>
          <w:noProof/>
        </w:rPr>
      </w:pPr>
      <w:r w:rsidRPr="00267822">
        <w:rPr>
          <w:noProof/>
        </w:rPr>
        <w:t>The primary endpoint was the comparison between the summed pain intensity difference at 30 minutes after dosing (SPID</w:t>
      </w:r>
      <w:r w:rsidRPr="00267822">
        <w:rPr>
          <w:noProof/>
          <w:vertAlign w:val="subscript"/>
        </w:rPr>
        <w:t>30</w:t>
      </w:r>
      <w:r w:rsidRPr="00267822">
        <w:rPr>
          <w:noProof/>
        </w:rPr>
        <w:t>), which was 6.57 in the PecFent-treated episodes compare</w:t>
      </w:r>
      <w:r w:rsidR="0025483D">
        <w:rPr>
          <w:noProof/>
        </w:rPr>
        <w:t>d to 4.45 for placebo (p&lt;0.0001</w:t>
      </w:r>
      <w:r w:rsidRPr="00267822">
        <w:rPr>
          <w:noProof/>
        </w:rPr>
        <w:t>). The PID for PecFent-treated episodes was also significantly different to placebo at 10 15, 45 and 60 minutes after administration</w:t>
      </w:r>
      <w:r w:rsidR="008C286F" w:rsidRPr="008C286F">
        <w:rPr>
          <w:noProof/>
        </w:rPr>
        <w:t xml:space="preserve"> (See Figure 2).</w:t>
      </w:r>
      <w:r w:rsidR="008F7DB6">
        <w:rPr>
          <w:noProof/>
        </w:rPr>
        <w:br w:type="page"/>
      </w:r>
    </w:p>
    <w:p w:rsidR="000B056E" w:rsidRPr="000B056E" w:rsidRDefault="003E0963" w:rsidP="00423360">
      <w:pPr>
        <w:rPr>
          <w:noProof/>
        </w:rPr>
      </w:pPr>
      <w:r>
        <w:rPr>
          <w:noProof/>
          <w:lang w:val="en-AU" w:eastAsia="en-AU"/>
        </w:rPr>
        <w:lastRenderedPageBreak/>
        <w:drawing>
          <wp:anchor distT="0" distB="0" distL="114300" distR="114300" simplePos="0" relativeHeight="251659264" behindDoc="0" locked="0" layoutInCell="1" allowOverlap="1">
            <wp:simplePos x="0" y="0"/>
            <wp:positionH relativeFrom="column">
              <wp:posOffset>146685</wp:posOffset>
            </wp:positionH>
            <wp:positionV relativeFrom="paragraph">
              <wp:posOffset>461645</wp:posOffset>
            </wp:positionV>
            <wp:extent cx="4914900" cy="3329305"/>
            <wp:effectExtent l="19050" t="0" r="0" b="0"/>
            <wp:wrapTopAndBottom/>
            <wp:docPr id="577" name="Picture 577" descr="Figure 2. Pain Intensity Differences (PID) following PecFent or Placebo in Adult Cancer Patients with Breakthrough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apture"/>
                    <pic:cNvPicPr>
                      <a:picLocks noChangeAspect="1" noChangeArrowheads="1"/>
                    </pic:cNvPicPr>
                  </pic:nvPicPr>
                  <pic:blipFill>
                    <a:blip r:embed="rId10" cstate="print"/>
                    <a:srcRect/>
                    <a:stretch>
                      <a:fillRect/>
                    </a:stretch>
                  </pic:blipFill>
                  <pic:spPr bwMode="auto">
                    <a:xfrm>
                      <a:off x="0" y="0"/>
                      <a:ext cx="4914900" cy="3329305"/>
                    </a:xfrm>
                    <a:prstGeom prst="rect">
                      <a:avLst/>
                    </a:prstGeom>
                    <a:noFill/>
                    <a:ln w="9525">
                      <a:noFill/>
                      <a:miter lim="800000"/>
                      <a:headEnd/>
                      <a:tailEnd/>
                    </a:ln>
                  </pic:spPr>
                </pic:pic>
              </a:graphicData>
            </a:graphic>
          </wp:anchor>
        </w:drawing>
      </w:r>
      <w:r w:rsidR="000B056E" w:rsidRPr="000B056E">
        <w:t xml:space="preserve">Figure 2. Pain Intensity Differences (PID) following </w:t>
      </w:r>
      <w:proofErr w:type="spellStart"/>
      <w:r w:rsidR="00881333">
        <w:t>PecFent</w:t>
      </w:r>
      <w:proofErr w:type="spellEnd"/>
      <w:r w:rsidR="000B056E" w:rsidRPr="000B056E">
        <w:t xml:space="preserve"> or Placebo in Adult </w:t>
      </w:r>
      <w:r w:rsidR="002D782F">
        <w:t>Cancer</w:t>
      </w:r>
      <w:r w:rsidR="002D782F" w:rsidRPr="000B056E">
        <w:t xml:space="preserve"> Patients</w:t>
      </w:r>
      <w:r w:rsidR="000B056E" w:rsidRPr="000B056E">
        <w:t xml:space="preserve"> with Breakthrough Pain</w:t>
      </w:r>
    </w:p>
    <w:p w:rsidR="00423360" w:rsidRPr="00770B7A" w:rsidRDefault="00423360" w:rsidP="008F7DB6">
      <w:pPr>
        <w:rPr>
          <w:noProof/>
        </w:rPr>
      </w:pPr>
      <w:r w:rsidRPr="004917E9">
        <w:rPr>
          <w:noProof/>
        </w:rPr>
        <w:t>The mean pain intensity scores (73 patients) for all PecFent-treated episodes (459 episodes) compared to those treated with placebo (200 episodes) were significantly lower at 5, 10, 15, 30, 45 and 60 minutes following administration</w:t>
      </w:r>
      <w:r w:rsidRPr="00770B7A">
        <w:rPr>
          <w:noProof/>
        </w:rPr>
        <w:t>.</w:t>
      </w:r>
    </w:p>
    <w:p w:rsidR="00423360" w:rsidRDefault="00A102AA" w:rsidP="008F7DB6">
      <w:r>
        <w:t xml:space="preserve">The superior </w:t>
      </w:r>
      <w:r w:rsidR="00423360" w:rsidRPr="00267822">
        <w:t>efficacy</w:t>
      </w:r>
      <w:r w:rsidR="00423360">
        <w:t xml:space="preserve"> </w:t>
      </w:r>
      <w:r w:rsidR="00423360" w:rsidRPr="00267822">
        <w:t xml:space="preserve">of </w:t>
      </w:r>
      <w:proofErr w:type="spellStart"/>
      <w:r w:rsidR="00423360" w:rsidRPr="00267822">
        <w:t>PecFent</w:t>
      </w:r>
      <w:proofErr w:type="spellEnd"/>
      <w:r w:rsidR="00423360" w:rsidRPr="00267822">
        <w:t xml:space="preserve"> over placebo was supported by data from secondary endpoints including the number of </w:t>
      </w:r>
      <w:r w:rsidR="00BA697E">
        <w:t>breakthrough pain</w:t>
      </w:r>
      <w:r w:rsidR="00BA697E" w:rsidRPr="00267822">
        <w:t xml:space="preserve"> </w:t>
      </w:r>
      <w:r w:rsidR="00423360" w:rsidRPr="00267822">
        <w:t xml:space="preserve">episodes with clinically meaningful pain relief, defined as a reduction in pain intensity score of at least 2 (Figure </w:t>
      </w:r>
      <w:r w:rsidR="00DF2C52" w:rsidRPr="00770B7A">
        <w:t>3</w:t>
      </w:r>
      <w:r w:rsidR="00423360" w:rsidRPr="00770B7A">
        <w:t>).</w:t>
      </w:r>
    </w:p>
    <w:p w:rsidR="00F56F1F" w:rsidRPr="00770B7A" w:rsidRDefault="003E0963" w:rsidP="008F7DB6">
      <w:pPr>
        <w:rPr>
          <w:lang w:eastAsia="ja-JP"/>
        </w:rPr>
      </w:pPr>
      <w:r>
        <w:rPr>
          <w:noProof/>
          <w:lang w:val="en-AU" w:eastAsia="en-AU"/>
        </w:rPr>
        <w:drawing>
          <wp:anchor distT="0" distB="0" distL="114300" distR="114300" simplePos="0" relativeHeight="251657216" behindDoc="0" locked="0" layoutInCell="1" allowOverlap="1">
            <wp:simplePos x="0" y="0"/>
            <wp:positionH relativeFrom="column">
              <wp:posOffset>212725</wp:posOffset>
            </wp:positionH>
            <wp:positionV relativeFrom="paragraph">
              <wp:posOffset>541655</wp:posOffset>
            </wp:positionV>
            <wp:extent cx="4859020" cy="2897505"/>
            <wp:effectExtent l="19050" t="0" r="0" b="0"/>
            <wp:wrapTopAndBottom/>
            <wp:docPr id="575" name="Picture 575" descr="Figure 3: Clinically Meaningful Pain Relief – PecFent vs placebo: % Patients’ Episodes With ≥2 Point Reduction in Pain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1" cstate="print"/>
                    <a:srcRect/>
                    <a:stretch>
                      <a:fillRect/>
                    </a:stretch>
                  </pic:blipFill>
                  <pic:spPr bwMode="auto">
                    <a:xfrm>
                      <a:off x="0" y="0"/>
                      <a:ext cx="4859020" cy="2897505"/>
                    </a:xfrm>
                    <a:prstGeom prst="rect">
                      <a:avLst/>
                    </a:prstGeom>
                    <a:noFill/>
                    <a:ln w="9525">
                      <a:noFill/>
                      <a:miter lim="800000"/>
                      <a:headEnd/>
                      <a:tailEnd/>
                    </a:ln>
                  </pic:spPr>
                </pic:pic>
              </a:graphicData>
            </a:graphic>
          </wp:anchor>
        </w:drawing>
      </w:r>
      <w:r w:rsidR="00F56F1F" w:rsidRPr="00770B7A">
        <w:t>Figure 3: Clinically Meaningful Pain</w:t>
      </w:r>
      <w:r w:rsidR="00F56F1F" w:rsidRPr="00267822">
        <w:t xml:space="preserve"> Relief – </w:t>
      </w:r>
      <w:proofErr w:type="spellStart"/>
      <w:r w:rsidR="00F56F1F" w:rsidRPr="00267822">
        <w:t>PecFent</w:t>
      </w:r>
      <w:proofErr w:type="spellEnd"/>
      <w:r w:rsidR="00F56F1F" w:rsidRPr="00267822">
        <w:t xml:space="preserve"> </w:t>
      </w:r>
      <w:proofErr w:type="spellStart"/>
      <w:r w:rsidR="00F56F1F" w:rsidRPr="00267822">
        <w:rPr>
          <w:i/>
        </w:rPr>
        <w:t>vs</w:t>
      </w:r>
      <w:proofErr w:type="spellEnd"/>
      <w:r w:rsidR="00F56F1F" w:rsidRPr="00267822">
        <w:t xml:space="preserve"> placebo: % Patients’ Episodes With ≥2 Point Reduction in Pain Intensity</w:t>
      </w:r>
    </w:p>
    <w:p w:rsidR="00F56F1F" w:rsidRDefault="00B73BB0" w:rsidP="008F7DB6">
      <w:pPr>
        <w:rPr>
          <w:noProof/>
        </w:rPr>
      </w:pPr>
      <w:r>
        <w:rPr>
          <w:noProof/>
        </w:rPr>
        <w:lastRenderedPageBreak/>
        <w:t xml:space="preserve">In </w:t>
      </w:r>
      <w:r w:rsidR="00423360" w:rsidRPr="00267822">
        <w:rPr>
          <w:noProof/>
        </w:rPr>
        <w:t xml:space="preserve">Study </w:t>
      </w:r>
      <w:r w:rsidR="00BA697E">
        <w:rPr>
          <w:noProof/>
        </w:rPr>
        <w:t>CP</w:t>
      </w:r>
      <w:r w:rsidR="00423360" w:rsidRPr="00267822">
        <w:rPr>
          <w:noProof/>
        </w:rPr>
        <w:t xml:space="preserve">044 of similar design to </w:t>
      </w:r>
      <w:r w:rsidR="00BA697E">
        <w:rPr>
          <w:noProof/>
        </w:rPr>
        <w:t>CP</w:t>
      </w:r>
      <w:r w:rsidR="00423360" w:rsidRPr="00267822">
        <w:rPr>
          <w:noProof/>
        </w:rPr>
        <w:t>043</w:t>
      </w:r>
      <w:r>
        <w:rPr>
          <w:noProof/>
        </w:rPr>
        <w:t>,</w:t>
      </w:r>
      <w:r w:rsidR="00423360" w:rsidRPr="00267822">
        <w:rPr>
          <w:noProof/>
        </w:rPr>
        <w:t xml:space="preserve"> conducted in opioid-tolerant </w:t>
      </w:r>
      <w:r w:rsidR="00BA697E">
        <w:rPr>
          <w:noProof/>
        </w:rPr>
        <w:t xml:space="preserve">cancer </w:t>
      </w:r>
      <w:r w:rsidR="00423360" w:rsidRPr="00267822">
        <w:rPr>
          <w:noProof/>
        </w:rPr>
        <w:t xml:space="preserve">patients with breakthrough </w:t>
      </w:r>
      <w:r w:rsidR="00423360" w:rsidRPr="007D39D6">
        <w:rPr>
          <w:noProof/>
        </w:rPr>
        <w:t>pain</w:t>
      </w:r>
      <w:r w:rsidR="00423360" w:rsidRPr="00267822">
        <w:rPr>
          <w:noProof/>
        </w:rPr>
        <w:t xml:space="preserve"> on stable doses of regularly scheduled opioids, PecFent was shown to be superior to IRMS. Superiority was demonstrated by the primary endpoint, Pain Intensity Difference within 15 minutes, which was 3.02 in patients treated with PecFent compared to 2.69 in patients treated with IRMS (p=0.0396)</w:t>
      </w:r>
      <w:r w:rsidR="002D782F">
        <w:rPr>
          <w:noProof/>
        </w:rPr>
        <w:t xml:space="preserve"> (Figure </w:t>
      </w:r>
      <w:r w:rsidR="00F56F1F">
        <w:rPr>
          <w:noProof/>
        </w:rPr>
        <w:t>4</w:t>
      </w:r>
      <w:r w:rsidR="002D782F">
        <w:rPr>
          <w:noProof/>
        </w:rPr>
        <w:t>)</w:t>
      </w:r>
      <w:r w:rsidR="00423360" w:rsidRPr="00267822">
        <w:rPr>
          <w:noProof/>
        </w:rPr>
        <w:t>.</w:t>
      </w:r>
    </w:p>
    <w:p w:rsidR="002D782F" w:rsidRPr="002D782F" w:rsidRDefault="003E0963" w:rsidP="008F7DB6">
      <w:pPr>
        <w:rPr>
          <w:noProof/>
        </w:rPr>
      </w:pPr>
      <w:r>
        <w:rPr>
          <w:noProof/>
          <w:lang w:val="en-AU" w:eastAsia="en-AU"/>
        </w:rPr>
        <w:drawing>
          <wp:anchor distT="0" distB="0" distL="114300" distR="114300" simplePos="0" relativeHeight="251660288" behindDoc="0" locked="0" layoutInCell="1" allowOverlap="1">
            <wp:simplePos x="0" y="0"/>
            <wp:positionH relativeFrom="column">
              <wp:posOffset>68580</wp:posOffset>
            </wp:positionH>
            <wp:positionV relativeFrom="paragraph">
              <wp:posOffset>448945</wp:posOffset>
            </wp:positionV>
            <wp:extent cx="5205730" cy="3569970"/>
            <wp:effectExtent l="19050" t="0" r="0" b="0"/>
            <wp:wrapTopAndBottom/>
            <wp:docPr id="578" name="Picture 578" descr="Figure 4. Pain Intensity Differences (PID) following PecFent or IRMS in Adult Can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apture2"/>
                    <pic:cNvPicPr>
                      <a:picLocks noChangeAspect="1" noChangeArrowheads="1"/>
                    </pic:cNvPicPr>
                  </pic:nvPicPr>
                  <pic:blipFill>
                    <a:blip r:embed="rId12" cstate="print"/>
                    <a:srcRect/>
                    <a:stretch>
                      <a:fillRect/>
                    </a:stretch>
                  </pic:blipFill>
                  <pic:spPr bwMode="auto">
                    <a:xfrm>
                      <a:off x="0" y="0"/>
                      <a:ext cx="5205730" cy="3569970"/>
                    </a:xfrm>
                    <a:prstGeom prst="rect">
                      <a:avLst/>
                    </a:prstGeom>
                    <a:noFill/>
                    <a:ln w="9525">
                      <a:noFill/>
                      <a:miter lim="800000"/>
                      <a:headEnd/>
                      <a:tailEnd/>
                    </a:ln>
                  </pic:spPr>
                </pic:pic>
              </a:graphicData>
            </a:graphic>
          </wp:anchor>
        </w:drawing>
      </w:r>
      <w:r w:rsidR="002D782F" w:rsidRPr="000B056E">
        <w:t xml:space="preserve">Figure </w:t>
      </w:r>
      <w:r w:rsidR="00F56F1F">
        <w:t>4</w:t>
      </w:r>
      <w:r w:rsidR="002D782F" w:rsidRPr="000B056E">
        <w:t xml:space="preserve">. Pain Intensity Differences (PID) following </w:t>
      </w:r>
      <w:proofErr w:type="spellStart"/>
      <w:r w:rsidR="002D782F">
        <w:t>PecFent</w:t>
      </w:r>
      <w:proofErr w:type="spellEnd"/>
      <w:r w:rsidR="002D782F" w:rsidRPr="000B056E">
        <w:t xml:space="preserve"> or </w:t>
      </w:r>
      <w:r w:rsidR="002D782F">
        <w:t>IRMS</w:t>
      </w:r>
      <w:r w:rsidR="002D782F" w:rsidRPr="000B056E">
        <w:t xml:space="preserve"> in Adult </w:t>
      </w:r>
      <w:r w:rsidR="002D782F">
        <w:t xml:space="preserve">Cancer </w:t>
      </w:r>
      <w:r w:rsidR="002D782F" w:rsidRPr="000B056E">
        <w:t>Patients with Breakthrough Pain</w:t>
      </w:r>
    </w:p>
    <w:p w:rsidR="00BA697E" w:rsidRPr="00BA697E" w:rsidRDefault="00712C7F" w:rsidP="008F7DB6">
      <w:pPr>
        <w:pStyle w:val="Heading4"/>
      </w:pPr>
      <w:r w:rsidRPr="00712C7F">
        <w:rPr>
          <w:lang w:val="en-US" w:eastAsia="zh-TW"/>
        </w:rPr>
        <w:pict>
          <v:shapetype id="_x0000_t202" coordsize="21600,21600" o:spt="202" path="m,l,21600r21600,l21600,xe">
            <v:stroke joinstyle="miter"/>
            <v:path gradientshapeok="t" o:connecttype="rect"/>
          </v:shapetype>
          <v:shape id="_x0000_s1600" type="#_x0000_t202" style="position:absolute;margin-left:364.8pt;margin-top:235.85pt;width:45.75pt;height:17.5pt;z-index:251658240;mso-width-relative:margin;mso-height-relative:margin" strokecolor="white">
            <v:textbox style="mso-next-textbox:#_x0000_s1600" inset="0,0,0,0">
              <w:txbxContent>
                <w:p w:rsidR="008F7DB6" w:rsidRDefault="008F7DB6">
                  <w:r>
                    <w:t>P≤0.01</w:t>
                  </w:r>
                </w:p>
              </w:txbxContent>
            </v:textbox>
          </v:shape>
        </w:pict>
      </w:r>
      <w:r w:rsidR="00BA697E" w:rsidRPr="00BA697E">
        <w:t>Long Term Use</w:t>
      </w:r>
    </w:p>
    <w:p w:rsidR="00423360" w:rsidRPr="00267822" w:rsidRDefault="00423360" w:rsidP="008F7DB6">
      <w:pPr>
        <w:rPr>
          <w:rFonts w:cs="Arial"/>
          <w:noProof/>
        </w:rPr>
      </w:pPr>
      <w:r w:rsidRPr="00267822">
        <w:rPr>
          <w:noProof/>
        </w:rPr>
        <w:t>In</w:t>
      </w:r>
      <w:r w:rsidR="008C5698">
        <w:rPr>
          <w:noProof/>
        </w:rPr>
        <w:t xml:space="preserve"> CP045</w:t>
      </w:r>
      <w:r w:rsidR="001525B3">
        <w:rPr>
          <w:noProof/>
        </w:rPr>
        <w:t xml:space="preserve">, </w:t>
      </w:r>
      <w:r w:rsidRPr="00267822">
        <w:rPr>
          <w:noProof/>
        </w:rPr>
        <w:t>355 patients entered the 16-week treatment phase, during which 42,227 episodes of breakthrough pain were treated with PecFent</w:t>
      </w:r>
      <w:r w:rsidR="00B73BB0">
        <w:rPr>
          <w:noProof/>
        </w:rPr>
        <w:t xml:space="preserve"> during up to 159 days of treatment</w:t>
      </w:r>
      <w:r w:rsidRPr="00267822">
        <w:rPr>
          <w:noProof/>
        </w:rPr>
        <w:t>. One hundred of these patients continued treatment for up to 26 months in an extension phase.</w:t>
      </w:r>
      <w:r w:rsidR="00B960F1">
        <w:rPr>
          <w:noProof/>
        </w:rPr>
        <w:t xml:space="preserve"> </w:t>
      </w:r>
      <w:r w:rsidR="00B73BB0">
        <w:rPr>
          <w:noProof/>
        </w:rPr>
        <w:t xml:space="preserve">Further (rescue) medication was required in only 6% of the 42,227 breakthrough pain epidsodes treated.  </w:t>
      </w:r>
      <w:r w:rsidRPr="00267822">
        <w:rPr>
          <w:noProof/>
        </w:rPr>
        <w:t xml:space="preserve">Of the 355 patients treated in the open-label treatment phase, </w:t>
      </w:r>
      <w:r w:rsidR="004035CC">
        <w:rPr>
          <w:rFonts w:cs="Arial"/>
          <w:noProof/>
        </w:rPr>
        <w:t>90</w:t>
      </w:r>
      <w:r w:rsidRPr="00267822">
        <w:rPr>
          <w:noProof/>
        </w:rPr>
        <w:t>% required no increase in dose</w:t>
      </w:r>
      <w:r w:rsidR="008F7DB6">
        <w:rPr>
          <w:rFonts w:cs="Arial"/>
          <w:noProof/>
        </w:rPr>
        <w:t>.</w:t>
      </w:r>
    </w:p>
    <w:p w:rsidR="00423360" w:rsidRPr="008F7DB6" w:rsidRDefault="00423360" w:rsidP="008F7DB6">
      <w:pPr>
        <w:pStyle w:val="Heading2"/>
        <w:spacing w:after="0"/>
        <w:rPr>
          <w:bCs/>
        </w:rPr>
      </w:pPr>
      <w:r w:rsidRPr="008F7DB6">
        <w:rPr>
          <w:bCs/>
        </w:rPr>
        <w:t>INDICATIONS</w:t>
      </w:r>
    </w:p>
    <w:p w:rsidR="00423360" w:rsidRPr="00E23DAD" w:rsidRDefault="003B6718" w:rsidP="009D46C4">
      <w:pPr>
        <w:spacing w:line="240" w:lineRule="auto"/>
        <w:rPr>
          <w:caps/>
          <w:noProof/>
        </w:rPr>
      </w:pPr>
      <w:proofErr w:type="spellStart"/>
      <w:r w:rsidRPr="00E23DAD">
        <w:rPr>
          <w:szCs w:val="22"/>
        </w:rPr>
        <w:t>PecFent</w:t>
      </w:r>
      <w:proofErr w:type="spellEnd"/>
      <w:r w:rsidRPr="00E23DAD">
        <w:rPr>
          <w:szCs w:val="22"/>
        </w:rPr>
        <w:t xml:space="preserve"> is indicated for the management of breakthrough pain in adults with cancer who are already receiving maintenance </w:t>
      </w:r>
      <w:proofErr w:type="spellStart"/>
      <w:r w:rsidRPr="00E23DAD">
        <w:rPr>
          <w:szCs w:val="22"/>
        </w:rPr>
        <w:t>opioid</w:t>
      </w:r>
      <w:proofErr w:type="spellEnd"/>
      <w:r w:rsidRPr="00E23DAD">
        <w:rPr>
          <w:szCs w:val="22"/>
        </w:rPr>
        <w:t xml:space="preserve"> therapy for chronic pain</w:t>
      </w:r>
      <w:r w:rsidR="008F7DB6">
        <w:rPr>
          <w:szCs w:val="22"/>
        </w:rPr>
        <w:t>.</w:t>
      </w:r>
    </w:p>
    <w:p w:rsidR="00AF15CB" w:rsidRDefault="00AF15CB" w:rsidP="002757CB">
      <w:pPr>
        <w:pStyle w:val="Heading2"/>
        <w:spacing w:after="0"/>
      </w:pPr>
      <w:r>
        <w:t>CONTRAINDICATIONS</w:t>
      </w:r>
    </w:p>
    <w:p w:rsidR="002757CB" w:rsidRDefault="00AF15CB" w:rsidP="008F7DB6">
      <w:pPr>
        <w:rPr>
          <w:b/>
          <w:noProof/>
        </w:rPr>
      </w:pPr>
      <w:r w:rsidRPr="00267822">
        <w:rPr>
          <w:noProof/>
        </w:rPr>
        <w:t>Hypersensitivity to the active substance or to any of the excipients</w:t>
      </w:r>
      <w:r w:rsidR="001F77F3">
        <w:rPr>
          <w:noProof/>
        </w:rPr>
        <w:t xml:space="preserve"> (see </w:t>
      </w:r>
      <w:r w:rsidR="00B24B22">
        <w:rPr>
          <w:b/>
          <w:noProof/>
        </w:rPr>
        <w:t>PRESENTATION</w:t>
      </w:r>
      <w:r w:rsidR="001F77F3">
        <w:rPr>
          <w:noProof/>
        </w:rPr>
        <w:t>)</w:t>
      </w:r>
      <w:r w:rsidRPr="00267822">
        <w:rPr>
          <w:noProof/>
        </w:rPr>
        <w:t>.</w:t>
      </w:r>
      <w:r w:rsidR="006E3F26">
        <w:rPr>
          <w:noProof/>
        </w:rPr>
        <w:br/>
      </w:r>
      <w:r w:rsidRPr="00267822">
        <w:rPr>
          <w:noProof/>
        </w:rPr>
        <w:t>Use in opioid naïve patients</w:t>
      </w:r>
      <w:r w:rsidR="001F77F3">
        <w:rPr>
          <w:noProof/>
        </w:rPr>
        <w:t xml:space="preserve"> (see </w:t>
      </w:r>
      <w:r w:rsidR="001F77F3" w:rsidRPr="001F77F3">
        <w:rPr>
          <w:b/>
          <w:noProof/>
        </w:rPr>
        <w:t>PREC</w:t>
      </w:r>
      <w:r w:rsidR="001F77F3">
        <w:rPr>
          <w:b/>
          <w:noProof/>
        </w:rPr>
        <w:t>A</w:t>
      </w:r>
      <w:r w:rsidR="001F77F3" w:rsidRPr="001F77F3">
        <w:rPr>
          <w:b/>
          <w:noProof/>
        </w:rPr>
        <w:t>UTIONS</w:t>
      </w:r>
      <w:r w:rsidR="001F77F3">
        <w:rPr>
          <w:noProof/>
        </w:rPr>
        <w:t>)</w:t>
      </w:r>
      <w:r w:rsidRPr="00267822">
        <w:rPr>
          <w:noProof/>
        </w:rPr>
        <w:t>.</w:t>
      </w:r>
      <w:r w:rsidR="006E3F26">
        <w:rPr>
          <w:noProof/>
        </w:rPr>
        <w:br/>
      </w:r>
      <w:r w:rsidR="003C4F06">
        <w:rPr>
          <w:noProof/>
        </w:rPr>
        <w:t>S</w:t>
      </w:r>
      <w:r w:rsidRPr="00267822">
        <w:rPr>
          <w:noProof/>
        </w:rPr>
        <w:t>evere obstructive lung conditions</w:t>
      </w:r>
      <w:r w:rsidR="00510679">
        <w:rPr>
          <w:noProof/>
        </w:rPr>
        <w:t>.</w:t>
      </w:r>
    </w:p>
    <w:p w:rsidR="00AF15CB" w:rsidRDefault="00AF15CB" w:rsidP="002757CB">
      <w:pPr>
        <w:pStyle w:val="Heading2"/>
        <w:spacing w:after="0"/>
      </w:pPr>
      <w:r w:rsidRPr="00AF15CB">
        <w:t>PRECAUTIONS</w:t>
      </w:r>
    </w:p>
    <w:p w:rsidR="00C372A8" w:rsidRPr="008F7DB6" w:rsidRDefault="00C372A8" w:rsidP="008F7DB6">
      <w:pPr>
        <w:rPr>
          <w:b/>
          <w:noProof/>
        </w:rPr>
      </w:pPr>
      <w:r w:rsidRPr="008F7DB6">
        <w:rPr>
          <w:b/>
          <w:noProof/>
        </w:rPr>
        <w:t>Patients and their carers must be instructed that PecFent contains an active substance in an amount that can be fatal to a child, and therefore to keep PecFent out of the reach and sight of children.</w:t>
      </w:r>
    </w:p>
    <w:p w:rsidR="00C372A8" w:rsidRPr="001F77F3" w:rsidRDefault="00C372A8" w:rsidP="008F7DB6">
      <w:pPr>
        <w:rPr>
          <w:noProof/>
        </w:rPr>
      </w:pPr>
      <w:r w:rsidRPr="001F77F3">
        <w:rPr>
          <w:noProof/>
        </w:rPr>
        <w:lastRenderedPageBreak/>
        <w:t>In order to minimise the risks of opioid-related adverse reactions and to identify the effective dose, it is imperative that patients be monitored closely by health professionals during the titration process.</w:t>
      </w:r>
    </w:p>
    <w:p w:rsidR="004D2F76" w:rsidRDefault="00C372A8" w:rsidP="008F7DB6">
      <w:pPr>
        <w:rPr>
          <w:noProof/>
          <w:u w:val="single"/>
        </w:rPr>
      </w:pPr>
      <w:r w:rsidRPr="001F77F3">
        <w:rPr>
          <w:noProof/>
        </w:rPr>
        <w:t xml:space="preserve">It is important that the </w:t>
      </w:r>
      <w:r w:rsidR="007D39D6">
        <w:rPr>
          <w:noProof/>
        </w:rPr>
        <w:t>maintenance</w:t>
      </w:r>
      <w:r w:rsidRPr="001F77F3">
        <w:rPr>
          <w:noProof/>
        </w:rPr>
        <w:t xml:space="preserve"> opioid </w:t>
      </w:r>
      <w:r w:rsidR="007D39D6">
        <w:rPr>
          <w:noProof/>
        </w:rPr>
        <w:t>therapy</w:t>
      </w:r>
      <w:r w:rsidRPr="001F77F3">
        <w:rPr>
          <w:noProof/>
        </w:rPr>
        <w:t xml:space="preserve"> used to treat the patient’s persistent pain has been stabilised before PecFent therapy begins</w:t>
      </w:r>
      <w:r w:rsidR="004D2F76">
        <w:rPr>
          <w:noProof/>
        </w:rPr>
        <w:t xml:space="preserve"> and that the patient continues to be treated with the maintenance opioid therapy whilst taking </w:t>
      </w:r>
      <w:r w:rsidR="00597818">
        <w:rPr>
          <w:noProof/>
        </w:rPr>
        <w:t>PecFent</w:t>
      </w:r>
      <w:r w:rsidRPr="001F77F3">
        <w:rPr>
          <w:noProof/>
        </w:rPr>
        <w:t>.</w:t>
      </w:r>
    </w:p>
    <w:p w:rsidR="007D39D6" w:rsidRPr="00544547" w:rsidRDefault="007D39D6" w:rsidP="008F7DB6">
      <w:pPr>
        <w:rPr>
          <w:noProof/>
        </w:rPr>
      </w:pPr>
      <w:r w:rsidRPr="00544547">
        <w:rPr>
          <w:noProof/>
        </w:rPr>
        <w:t xml:space="preserve">Patients </w:t>
      </w:r>
      <w:r w:rsidR="004D2F76" w:rsidRPr="00544547">
        <w:rPr>
          <w:noProof/>
        </w:rPr>
        <w:t>considered</w:t>
      </w:r>
      <w:r w:rsidRPr="00544547">
        <w:rPr>
          <w:noProof/>
        </w:rPr>
        <w:t xml:space="preserve"> opioid </w:t>
      </w:r>
      <w:r w:rsidR="004D2F76" w:rsidRPr="00544547">
        <w:rPr>
          <w:noProof/>
        </w:rPr>
        <w:t>tolerant</w:t>
      </w:r>
      <w:r w:rsidRPr="00544547">
        <w:rPr>
          <w:noProof/>
        </w:rPr>
        <w:t xml:space="preserve"> are those who are taking at least 60 mg of oral morphine daily, at least 25 µg of transdermal fentanyl per hour, at least 30 mg of oxycodone daily, at least 8 mg of oral hydromorphone daily or an equianalgesic dose of another opioid for a week or longer.</w:t>
      </w:r>
    </w:p>
    <w:p w:rsidR="001F77F3" w:rsidRPr="001F77F3" w:rsidRDefault="001F77F3" w:rsidP="008F7DB6">
      <w:pPr>
        <w:pStyle w:val="Heading4"/>
        <w:rPr>
          <w:i/>
        </w:rPr>
      </w:pPr>
      <w:r w:rsidRPr="001F77F3">
        <w:t>Route of administration</w:t>
      </w:r>
    </w:p>
    <w:p w:rsidR="001F77F3" w:rsidRPr="001F77F3" w:rsidRDefault="001F77F3" w:rsidP="008F7DB6">
      <w:pPr>
        <w:rPr>
          <w:noProof/>
        </w:rPr>
      </w:pPr>
      <w:r w:rsidRPr="001F77F3">
        <w:rPr>
          <w:noProof/>
        </w:rPr>
        <w:t>PecFent is only intended for intranasal administration, and must not be administered by any other route.  Due to physico-chemical properties of excipients included in the formulation, intravenous or intra-arterial injection must be avoided in particular.</w:t>
      </w:r>
    </w:p>
    <w:p w:rsidR="00A942FA" w:rsidRPr="00A942FA" w:rsidRDefault="00A942FA" w:rsidP="008F7DB6">
      <w:pPr>
        <w:pStyle w:val="Heading4"/>
      </w:pPr>
      <w:r w:rsidRPr="00A942FA">
        <w:t>Effects on fertility</w:t>
      </w:r>
    </w:p>
    <w:p w:rsidR="00A942FA" w:rsidRPr="0060196A" w:rsidRDefault="00A942FA" w:rsidP="008F7DB6">
      <w:pPr>
        <w:rPr>
          <w:noProof/>
        </w:rPr>
      </w:pPr>
      <w:r w:rsidRPr="0060196A">
        <w:rPr>
          <w:noProof/>
        </w:rPr>
        <w:t>In humans, the prolonged use of opioid analgesics may result in sexual dysfunction,</w:t>
      </w:r>
      <w:r>
        <w:rPr>
          <w:noProof/>
        </w:rPr>
        <w:t xml:space="preserve"> </w:t>
      </w:r>
      <w:r w:rsidRPr="0060196A">
        <w:rPr>
          <w:noProof/>
        </w:rPr>
        <w:t>infertility or impairment of fertility in both sexes, and menstrual disturbance in women.</w:t>
      </w:r>
      <w:r>
        <w:rPr>
          <w:noProof/>
        </w:rPr>
        <w:t xml:space="preserve"> </w:t>
      </w:r>
      <w:r w:rsidRPr="0060196A">
        <w:rPr>
          <w:noProof/>
        </w:rPr>
        <w:t>Impairment of fertility has been obs</w:t>
      </w:r>
      <w:r>
        <w:rPr>
          <w:noProof/>
        </w:rPr>
        <w:t xml:space="preserve">erved in female rats with 160 </w:t>
      </w:r>
      <w:r w:rsidRPr="0060196A">
        <w:rPr>
          <w:rFonts w:ascii="Symbol" w:hAnsi="Symbol"/>
          <w:noProof/>
        </w:rPr>
        <w:t></w:t>
      </w:r>
      <w:r w:rsidRPr="0060196A">
        <w:rPr>
          <w:noProof/>
        </w:rPr>
        <w:t>g/kg/day subcutaneous</w:t>
      </w:r>
      <w:r>
        <w:rPr>
          <w:noProof/>
        </w:rPr>
        <w:t xml:space="preserve"> </w:t>
      </w:r>
      <w:r w:rsidRPr="0060196A">
        <w:rPr>
          <w:noProof/>
        </w:rPr>
        <w:t xml:space="preserve">fentanyl (no-effect dose not established) or 400 </w:t>
      </w:r>
      <w:r w:rsidRPr="0060196A">
        <w:rPr>
          <w:rFonts w:ascii="Symbol" w:hAnsi="Symbol"/>
          <w:noProof/>
        </w:rPr>
        <w:t></w:t>
      </w:r>
      <w:r w:rsidRPr="0060196A">
        <w:rPr>
          <w:noProof/>
        </w:rPr>
        <w:t>g/kg/day intravenous fentanyl (no-effect</w:t>
      </w:r>
      <w:r>
        <w:rPr>
          <w:noProof/>
        </w:rPr>
        <w:t xml:space="preserve"> </w:t>
      </w:r>
      <w:r w:rsidRPr="0060196A">
        <w:rPr>
          <w:noProof/>
        </w:rPr>
        <w:t xml:space="preserve">dose 100 </w:t>
      </w:r>
      <w:r w:rsidRPr="0060196A">
        <w:rPr>
          <w:rFonts w:ascii="Symbol" w:hAnsi="Symbol"/>
          <w:noProof/>
        </w:rPr>
        <w:t></w:t>
      </w:r>
      <w:r w:rsidRPr="0060196A">
        <w:rPr>
          <w:noProof/>
        </w:rPr>
        <w:t>g/kg/day). No effect was observed on the</w:t>
      </w:r>
      <w:r>
        <w:rPr>
          <w:noProof/>
        </w:rPr>
        <w:t xml:space="preserve"> fertility of male rats at 400 </w:t>
      </w:r>
      <w:r w:rsidRPr="0060196A">
        <w:rPr>
          <w:rFonts w:ascii="Symbol" w:hAnsi="Symbol"/>
          <w:noProof/>
        </w:rPr>
        <w:t></w:t>
      </w:r>
      <w:r w:rsidRPr="0060196A">
        <w:rPr>
          <w:noProof/>
        </w:rPr>
        <w:t>g/kg/day</w:t>
      </w:r>
      <w:r>
        <w:rPr>
          <w:noProof/>
        </w:rPr>
        <w:t xml:space="preserve"> </w:t>
      </w:r>
      <w:r w:rsidRPr="0060196A">
        <w:rPr>
          <w:noProof/>
        </w:rPr>
        <w:t>intravenous fentanyl.</w:t>
      </w:r>
    </w:p>
    <w:p w:rsidR="00A942FA" w:rsidRPr="00A942FA" w:rsidRDefault="00A942FA" w:rsidP="008F7DB6">
      <w:pPr>
        <w:pStyle w:val="Heading4"/>
      </w:pPr>
      <w:r w:rsidRPr="00A942FA">
        <w:t>Use in pregnancy (Category C)</w:t>
      </w:r>
    </w:p>
    <w:p w:rsidR="00A942FA" w:rsidRPr="0060196A" w:rsidRDefault="00A942FA" w:rsidP="008F7DB6">
      <w:pPr>
        <w:rPr>
          <w:noProof/>
        </w:rPr>
      </w:pPr>
      <w:r w:rsidRPr="0060196A">
        <w:rPr>
          <w:noProof/>
        </w:rPr>
        <w:t>Fentanyl crosses the placenta in humans (fetal blood concentrations about 40% of</w:t>
      </w:r>
      <w:r>
        <w:rPr>
          <w:noProof/>
        </w:rPr>
        <w:t xml:space="preserve"> </w:t>
      </w:r>
      <w:r w:rsidRPr="0060196A">
        <w:rPr>
          <w:noProof/>
        </w:rPr>
        <w:t>maternal blood concentrations). There are no adequate and well-controlled studies in</w:t>
      </w:r>
      <w:r>
        <w:rPr>
          <w:noProof/>
        </w:rPr>
        <w:t xml:space="preserve"> </w:t>
      </w:r>
      <w:r w:rsidRPr="0060196A">
        <w:rPr>
          <w:noProof/>
        </w:rPr>
        <w:t xml:space="preserve">pregnant women. </w:t>
      </w:r>
      <w:r>
        <w:rPr>
          <w:noProof/>
        </w:rPr>
        <w:t>PecFent</w:t>
      </w:r>
      <w:r w:rsidRPr="0060196A">
        <w:rPr>
          <w:noProof/>
        </w:rPr>
        <w:t xml:space="preserve"> should be used during pregnancy only if the potential benefit</w:t>
      </w:r>
      <w:r>
        <w:rPr>
          <w:noProof/>
        </w:rPr>
        <w:t xml:space="preserve"> </w:t>
      </w:r>
      <w:r w:rsidRPr="0060196A">
        <w:rPr>
          <w:noProof/>
        </w:rPr>
        <w:t>justifies the potential risk to the fetus. No epidemiological studies of congenital</w:t>
      </w:r>
      <w:r>
        <w:rPr>
          <w:noProof/>
        </w:rPr>
        <w:t xml:space="preserve"> </w:t>
      </w:r>
      <w:r w:rsidRPr="0060196A">
        <w:rPr>
          <w:noProof/>
        </w:rPr>
        <w:t>abnormalities in infants born to women treated with fentanyl during pregnancy have been</w:t>
      </w:r>
      <w:r>
        <w:rPr>
          <w:noProof/>
        </w:rPr>
        <w:t xml:space="preserve"> </w:t>
      </w:r>
      <w:r w:rsidRPr="0060196A">
        <w:rPr>
          <w:noProof/>
        </w:rPr>
        <w:t>reported. Chronic maternal treatment with fentanyl during pregnancy has been associated</w:t>
      </w:r>
      <w:r>
        <w:rPr>
          <w:noProof/>
        </w:rPr>
        <w:t xml:space="preserve"> </w:t>
      </w:r>
      <w:r w:rsidRPr="0060196A">
        <w:rPr>
          <w:noProof/>
        </w:rPr>
        <w:t>with transient respiratory depression, behavioural changes, or seizures in newborn infants</w:t>
      </w:r>
      <w:r>
        <w:rPr>
          <w:noProof/>
        </w:rPr>
        <w:t xml:space="preserve"> </w:t>
      </w:r>
      <w:r w:rsidRPr="0060196A">
        <w:rPr>
          <w:noProof/>
        </w:rPr>
        <w:t>characteristic of neonatal abstinence syndrome.</w:t>
      </w:r>
    </w:p>
    <w:p w:rsidR="00A942FA" w:rsidRDefault="00A942FA" w:rsidP="008F7DB6">
      <w:pPr>
        <w:rPr>
          <w:noProof/>
        </w:rPr>
      </w:pPr>
      <w:r w:rsidRPr="0060196A">
        <w:rPr>
          <w:noProof/>
        </w:rPr>
        <w:t>In pregnant rats, fentanyl is embryocidaJ as evidenced by increased resorptions at doses of</w:t>
      </w:r>
      <w:r>
        <w:rPr>
          <w:noProof/>
        </w:rPr>
        <w:t xml:space="preserve"> </w:t>
      </w:r>
      <w:r w:rsidRPr="0060196A">
        <w:rPr>
          <w:noProof/>
        </w:rPr>
        <w:t xml:space="preserve">30 </w:t>
      </w:r>
      <w:r w:rsidRPr="0060196A">
        <w:rPr>
          <w:rFonts w:ascii="Symbol" w:hAnsi="Symbol"/>
          <w:noProof/>
        </w:rPr>
        <w:t></w:t>
      </w:r>
      <w:r w:rsidRPr="0060196A">
        <w:rPr>
          <w:noProof/>
        </w:rPr>
        <w:t xml:space="preserve">g/kg/day intravenously or 160 </w:t>
      </w:r>
      <w:r w:rsidRPr="0060196A">
        <w:rPr>
          <w:rFonts w:ascii="Symbol" w:hAnsi="Symbol"/>
          <w:noProof/>
        </w:rPr>
        <w:t></w:t>
      </w:r>
      <w:r w:rsidRPr="0060196A">
        <w:rPr>
          <w:noProof/>
        </w:rPr>
        <w:t>g/kg/day or greater subcutaneously. Intravenous</w:t>
      </w:r>
      <w:r>
        <w:rPr>
          <w:noProof/>
        </w:rPr>
        <w:t xml:space="preserve"> </w:t>
      </w:r>
      <w:r w:rsidRPr="0060196A">
        <w:rPr>
          <w:noProof/>
        </w:rPr>
        <w:t xml:space="preserve">administration to rats at 30 </w:t>
      </w:r>
      <w:r w:rsidRPr="0060196A">
        <w:rPr>
          <w:rFonts w:ascii="Symbol" w:hAnsi="Symbol"/>
          <w:noProof/>
        </w:rPr>
        <w:t></w:t>
      </w:r>
      <w:r w:rsidRPr="0060196A">
        <w:rPr>
          <w:noProof/>
        </w:rPr>
        <w:t>g/kg/day during organogenesis was associated with</w:t>
      </w:r>
      <w:r>
        <w:rPr>
          <w:noProof/>
        </w:rPr>
        <w:t xml:space="preserve"> </w:t>
      </w:r>
      <w:r w:rsidRPr="0060196A">
        <w:rPr>
          <w:noProof/>
        </w:rPr>
        <w:t>prolonged delivery time and increased postnatal mortality of offspring. There was no effect</w:t>
      </w:r>
      <w:r>
        <w:rPr>
          <w:noProof/>
        </w:rPr>
        <w:t xml:space="preserve"> </w:t>
      </w:r>
      <w:r w:rsidRPr="0060196A">
        <w:rPr>
          <w:noProof/>
        </w:rPr>
        <w:t>on embryofetal development in rats administered fentanyl at subcutaneous doses up to</w:t>
      </w:r>
      <w:r>
        <w:rPr>
          <w:noProof/>
        </w:rPr>
        <w:t xml:space="preserve"> </w:t>
      </w:r>
      <w:r w:rsidRPr="0060196A">
        <w:rPr>
          <w:noProof/>
        </w:rPr>
        <w:t xml:space="preserve">500 </w:t>
      </w:r>
      <w:r w:rsidRPr="0060196A">
        <w:rPr>
          <w:rFonts w:ascii="Symbol" w:hAnsi="Symbol"/>
          <w:noProof/>
        </w:rPr>
        <w:t></w:t>
      </w:r>
      <w:r w:rsidRPr="0060196A">
        <w:rPr>
          <w:noProof/>
        </w:rPr>
        <w:t>g/kg/day throughout gestation, and no evidence of teratogenicity in rabbits</w:t>
      </w:r>
      <w:r>
        <w:rPr>
          <w:noProof/>
        </w:rPr>
        <w:t xml:space="preserve"> </w:t>
      </w:r>
      <w:r w:rsidRPr="0060196A">
        <w:rPr>
          <w:noProof/>
        </w:rPr>
        <w:t xml:space="preserve">administered fentanyl at intravenous doses up to 400 </w:t>
      </w:r>
      <w:r w:rsidRPr="0060196A">
        <w:rPr>
          <w:rFonts w:ascii="Symbol" w:hAnsi="Symbol"/>
          <w:noProof/>
        </w:rPr>
        <w:t></w:t>
      </w:r>
      <w:r w:rsidRPr="0060196A">
        <w:rPr>
          <w:noProof/>
        </w:rPr>
        <w:t>g/kg/day during organogenesis</w:t>
      </w:r>
    </w:p>
    <w:p w:rsidR="00A942FA" w:rsidRPr="00A942FA" w:rsidRDefault="00A942FA" w:rsidP="008F7DB6">
      <w:pPr>
        <w:pStyle w:val="Heading4"/>
      </w:pPr>
      <w:r w:rsidRPr="00A942FA">
        <w:t>Use in lactation</w:t>
      </w:r>
    </w:p>
    <w:p w:rsidR="00A942FA" w:rsidRPr="005D5EA9" w:rsidRDefault="00A942FA" w:rsidP="008F7DB6">
      <w:pPr>
        <w:rPr>
          <w:lang w:eastAsia="en-GB"/>
        </w:rPr>
      </w:pPr>
      <w:r w:rsidRPr="005D5EA9">
        <w:rPr>
          <w:lang w:eastAsia="en-GB"/>
        </w:rPr>
        <w:t xml:space="preserve">Administration of </w:t>
      </w:r>
      <w:proofErr w:type="spellStart"/>
      <w:r w:rsidRPr="005D5EA9">
        <w:rPr>
          <w:lang w:eastAsia="en-GB"/>
        </w:rPr>
        <w:t>fentanyl</w:t>
      </w:r>
      <w:proofErr w:type="spellEnd"/>
      <w:r w:rsidRPr="005D5EA9">
        <w:rPr>
          <w:lang w:eastAsia="en-GB"/>
        </w:rPr>
        <w:t xml:space="preserve"> to female rats from early gestation to weaning was associated with reduced early postnatal survival. This could be a direct effect on the pups or secondary to maternal toxicity</w:t>
      </w:r>
      <w:r w:rsidR="0067571A" w:rsidRPr="005D5EA9">
        <w:rPr>
          <w:lang w:eastAsia="en-GB"/>
        </w:rPr>
        <w:t>.</w:t>
      </w:r>
    </w:p>
    <w:p w:rsidR="00A942FA" w:rsidRPr="00A942FA" w:rsidRDefault="006672B9" w:rsidP="008F7DB6">
      <w:pPr>
        <w:pStyle w:val="Heading4"/>
      </w:pPr>
      <w:r>
        <w:t>Use in the elderly</w:t>
      </w:r>
    </w:p>
    <w:p w:rsidR="008F7DB6" w:rsidRDefault="00A942FA" w:rsidP="008F7DB6">
      <w:pPr>
        <w:rPr>
          <w:noProof/>
        </w:rPr>
      </w:pPr>
      <w:r w:rsidRPr="00267822">
        <w:rPr>
          <w:noProof/>
        </w:rPr>
        <w:t>In the PecFent clinical trial programme, 104 (26.1%) of patients were over 60 years of age, 67 (16.8%) over 65 years and 15 (3.8%) over 75 years.  There was no indication that older patients tended to titrate to lower doses or experience more adverse reactions. Nevertheless, in view of the importance of renal and hepatic function in the metabolism and clearance of fentanyl, additional care should be exercised in the use of PecFent in the elderly. No data on the pharmacokinetics of PecFent in e</w:t>
      </w:r>
      <w:r w:rsidR="006672B9">
        <w:rPr>
          <w:noProof/>
        </w:rPr>
        <w:t>lderly patients are available.</w:t>
      </w:r>
      <w:r w:rsidR="008F7DB6">
        <w:rPr>
          <w:noProof/>
        </w:rPr>
        <w:br w:type="page"/>
      </w:r>
    </w:p>
    <w:p w:rsidR="00A942FA" w:rsidRPr="00A942FA" w:rsidRDefault="00A942FA" w:rsidP="008F7DB6">
      <w:pPr>
        <w:pStyle w:val="Heading4"/>
      </w:pPr>
      <w:r w:rsidRPr="00A942FA">
        <w:lastRenderedPageBreak/>
        <w:t>Genotoxicity</w:t>
      </w:r>
    </w:p>
    <w:p w:rsidR="00A942FA" w:rsidRDefault="00A942FA" w:rsidP="008F7DB6">
      <w:pPr>
        <w:rPr>
          <w:noProof/>
        </w:rPr>
      </w:pPr>
      <w:r w:rsidRPr="001E2D82">
        <w:rPr>
          <w:noProof/>
        </w:rPr>
        <w:t>Fentanyl showed no evidence of genotoxic potential in assays for gene mutations</w:t>
      </w:r>
      <w:r>
        <w:rPr>
          <w:noProof/>
        </w:rPr>
        <w:t xml:space="preserve"> </w:t>
      </w:r>
      <w:r w:rsidRPr="001E2D82">
        <w:rPr>
          <w:noProof/>
        </w:rPr>
        <w:t>(bacterial reverse mutation test. mouse lymphoma thymidine kinase assay), chromosomal</w:t>
      </w:r>
      <w:r>
        <w:rPr>
          <w:noProof/>
        </w:rPr>
        <w:t xml:space="preserve"> </w:t>
      </w:r>
      <w:r w:rsidRPr="001E2D82">
        <w:rPr>
          <w:noProof/>
        </w:rPr>
        <w:t>damage (Chinese hamster ovary cells, mouse micronucleus test) and other genotoxic</w:t>
      </w:r>
      <w:r>
        <w:rPr>
          <w:noProof/>
        </w:rPr>
        <w:t xml:space="preserve"> </w:t>
      </w:r>
      <w:r w:rsidRPr="001E2D82">
        <w:rPr>
          <w:noProof/>
        </w:rPr>
        <w:t>effects (unscheduled DNA synthesis in rat hepatocytes, mammalian cell transformation</w:t>
      </w:r>
      <w:r>
        <w:rPr>
          <w:noProof/>
        </w:rPr>
        <w:t xml:space="preserve"> </w:t>
      </w:r>
      <w:r w:rsidRPr="001E2D82">
        <w:rPr>
          <w:noProof/>
        </w:rPr>
        <w:t>assay). The metabolite despropionylfentanyl was negative in assays for reverse mutation in</w:t>
      </w:r>
      <w:r>
        <w:rPr>
          <w:noProof/>
        </w:rPr>
        <w:t xml:space="preserve"> </w:t>
      </w:r>
      <w:r w:rsidRPr="001E2D82">
        <w:rPr>
          <w:noProof/>
        </w:rPr>
        <w:t>bacteria and chromosomal damage in human lymphocytes. The genotoxic potential of</w:t>
      </w:r>
      <w:r>
        <w:rPr>
          <w:noProof/>
        </w:rPr>
        <w:t xml:space="preserve"> </w:t>
      </w:r>
      <w:r w:rsidRPr="001E2D82">
        <w:rPr>
          <w:noProof/>
        </w:rPr>
        <w:t>fentanyl is considered to be low</w:t>
      </w:r>
    </w:p>
    <w:p w:rsidR="00A942FA" w:rsidRPr="00A942FA" w:rsidRDefault="00A942FA" w:rsidP="008F7DB6">
      <w:pPr>
        <w:pStyle w:val="Heading4"/>
      </w:pPr>
      <w:r w:rsidRPr="00A942FA">
        <w:t>Carcinogenicity</w:t>
      </w:r>
    </w:p>
    <w:p w:rsidR="00A942FA" w:rsidRPr="00A942FA" w:rsidRDefault="00A942FA" w:rsidP="00A942FA">
      <w:pPr>
        <w:rPr>
          <w:noProof/>
          <w:szCs w:val="24"/>
        </w:rPr>
      </w:pPr>
      <w:r w:rsidRPr="001E2D82">
        <w:rPr>
          <w:noProof/>
          <w:szCs w:val="24"/>
        </w:rPr>
        <w:t>ln a two year study in rats, there was no evidence of carcinogenicity following daily</w:t>
      </w:r>
      <w:r>
        <w:rPr>
          <w:noProof/>
          <w:szCs w:val="24"/>
        </w:rPr>
        <w:t xml:space="preserve"> </w:t>
      </w:r>
      <w:r w:rsidRPr="001E2D82">
        <w:rPr>
          <w:noProof/>
          <w:szCs w:val="24"/>
        </w:rPr>
        <w:t>subcutaneous administration of fentanyl at the maximum tolerated dose.</w:t>
      </w:r>
    </w:p>
    <w:p w:rsidR="001F77F3" w:rsidRPr="008F7DB6" w:rsidRDefault="00490373" w:rsidP="008F7DB6">
      <w:pPr>
        <w:pStyle w:val="Heading3"/>
        <w:spacing w:after="0"/>
        <w:rPr>
          <w:bCs/>
        </w:rPr>
      </w:pPr>
      <w:r w:rsidRPr="008F7DB6">
        <w:rPr>
          <w:bCs/>
        </w:rPr>
        <w:t>Special risk p</w:t>
      </w:r>
      <w:r w:rsidR="001F77F3" w:rsidRPr="008F7DB6">
        <w:rPr>
          <w:bCs/>
        </w:rPr>
        <w:t>atients</w:t>
      </w:r>
    </w:p>
    <w:p w:rsidR="001F77F3" w:rsidRDefault="00C372A8" w:rsidP="000F7648">
      <w:pPr>
        <w:pStyle w:val="Heading5"/>
        <w:spacing w:after="0"/>
        <w:rPr>
          <w:i/>
        </w:rPr>
      </w:pPr>
      <w:r w:rsidRPr="001F77F3">
        <w:t>Respiratory</w:t>
      </w:r>
      <w:r w:rsidR="001F77F3">
        <w:t>:</w:t>
      </w:r>
    </w:p>
    <w:p w:rsidR="00C372A8" w:rsidRPr="001F77F3" w:rsidRDefault="00C372A8" w:rsidP="008F7DB6">
      <w:pPr>
        <w:rPr>
          <w:i/>
          <w:noProof/>
        </w:rPr>
      </w:pPr>
      <w:r w:rsidRPr="001F77F3">
        <w:rPr>
          <w:noProof/>
        </w:rPr>
        <w:t>There is a risk of clinically significant respiratory depression associated with the use of fentanyl. Patients with pain who receive chronic opioid therapy develop tolerance to respiratory depression and hence the risk of respiratory depression in these patients is reduced. The use of concomitant central nervous system depressants may increase the</w:t>
      </w:r>
      <w:r w:rsidR="00C70349">
        <w:rPr>
          <w:noProof/>
        </w:rPr>
        <w:t xml:space="preserve"> risk of respiratory depression.</w:t>
      </w:r>
    </w:p>
    <w:p w:rsidR="00C372A8" w:rsidRPr="001F77F3" w:rsidRDefault="00C372A8" w:rsidP="008F7DB6">
      <w:pPr>
        <w:rPr>
          <w:noProof/>
        </w:rPr>
      </w:pPr>
      <w:r w:rsidRPr="001F77F3">
        <w:rPr>
          <w:noProof/>
        </w:rPr>
        <w:t>In patients with chronic obstructive pulmonary diseases, fentanyl may cause more serious adverse reactions. In these patients, opioids may decrease respiratory drive and increase airway resistance.</w:t>
      </w:r>
    </w:p>
    <w:p w:rsidR="001F77F3" w:rsidRPr="001F77F3" w:rsidRDefault="001F77F3" w:rsidP="000F7648">
      <w:pPr>
        <w:pStyle w:val="Heading5"/>
        <w:spacing w:after="0"/>
      </w:pPr>
      <w:r w:rsidRPr="001F77F3">
        <w:t>Head injuries and increased intracranial pressure:</w:t>
      </w:r>
    </w:p>
    <w:p w:rsidR="00C372A8" w:rsidRPr="001F77F3" w:rsidRDefault="00C372A8" w:rsidP="008F7DB6">
      <w:pPr>
        <w:rPr>
          <w:noProof/>
        </w:rPr>
      </w:pPr>
      <w:r w:rsidRPr="001F77F3">
        <w:rPr>
          <w:noProof/>
        </w:rPr>
        <w:t>PecFent should only be administered with extreme caution in patients who may be particularly susceptible to the intracranial effects of CO</w:t>
      </w:r>
      <w:r w:rsidRPr="001F77F3">
        <w:rPr>
          <w:noProof/>
          <w:vertAlign w:val="subscript"/>
        </w:rPr>
        <w:t>2</w:t>
      </w:r>
      <w:r w:rsidRPr="001F77F3">
        <w:rPr>
          <w:noProof/>
        </w:rPr>
        <w:t xml:space="preserve"> retention, such as those with evidence of increased intracranial pressure or impaired consciousness. Opioids may obscure the clinical course of patients with a head injury and should be used only if clinically warranted.</w:t>
      </w:r>
    </w:p>
    <w:p w:rsidR="00C372A8" w:rsidRPr="001F77F3" w:rsidRDefault="00C372A8" w:rsidP="000F7648">
      <w:pPr>
        <w:pStyle w:val="Heading5"/>
        <w:spacing w:after="0"/>
        <w:rPr>
          <w:i/>
        </w:rPr>
      </w:pPr>
      <w:r w:rsidRPr="001F77F3">
        <w:t>Cardiac disease</w:t>
      </w:r>
      <w:r w:rsidR="001F77F3">
        <w:t>:</w:t>
      </w:r>
    </w:p>
    <w:p w:rsidR="00C372A8" w:rsidRPr="001F77F3" w:rsidRDefault="00C372A8" w:rsidP="008F7DB6">
      <w:pPr>
        <w:rPr>
          <w:noProof/>
        </w:rPr>
      </w:pPr>
      <w:r w:rsidRPr="001F77F3">
        <w:rPr>
          <w:noProof/>
        </w:rPr>
        <w:t>Intravenous fentanyl may produce bradycardia. PecFent should therefore be used with caution in patients with pre-existing bradyarrhythmias.</w:t>
      </w:r>
      <w:r w:rsidR="001F77F3" w:rsidRPr="001F77F3">
        <w:rPr>
          <w:noProof/>
        </w:rPr>
        <w:t xml:space="preserve"> </w:t>
      </w:r>
      <w:r w:rsidR="001F77F3">
        <w:rPr>
          <w:noProof/>
        </w:rPr>
        <w:t xml:space="preserve"> </w:t>
      </w:r>
      <w:r w:rsidR="001F77F3" w:rsidRPr="001F77F3">
        <w:rPr>
          <w:noProof/>
        </w:rPr>
        <w:t>Careful consideration should be given to patients wit</w:t>
      </w:r>
      <w:r w:rsidR="001F77F3">
        <w:rPr>
          <w:noProof/>
        </w:rPr>
        <w:t>h hypovolaemia and hypotension.</w:t>
      </w:r>
    </w:p>
    <w:p w:rsidR="00C372A8" w:rsidRPr="001F77F3" w:rsidRDefault="00C372A8" w:rsidP="000F7648">
      <w:pPr>
        <w:pStyle w:val="Heading5"/>
        <w:spacing w:after="0"/>
        <w:rPr>
          <w:i/>
        </w:rPr>
      </w:pPr>
      <w:r w:rsidRPr="001F77F3">
        <w:t>Impaired hepatic or renal function</w:t>
      </w:r>
      <w:r w:rsidR="00FF053B">
        <w:t>:</w:t>
      </w:r>
    </w:p>
    <w:p w:rsidR="00C372A8" w:rsidRPr="001F77F3" w:rsidRDefault="00C372A8" w:rsidP="008F7DB6">
      <w:pPr>
        <w:rPr>
          <w:noProof/>
        </w:rPr>
      </w:pPr>
      <w:r w:rsidRPr="001F77F3">
        <w:rPr>
          <w:noProof/>
        </w:rPr>
        <w:t>In addition, PecFent should be administered with caution to patients with hepatic or renal impairment. The influence of hepatic and renal impairment on the pharmacokinetics of the medicinal product has not been evaluated; however, when administered intravenously the clearance of fentanyl has been shown to be altered in hepatic and renal impairment due to alterations in metabolic clearance and plasma proteins. Therefore, special care should be taken during the titration process in patients with moderate or severe hepatic or renal impairment.</w:t>
      </w:r>
    </w:p>
    <w:p w:rsidR="00C372A8" w:rsidRPr="001F77F3" w:rsidRDefault="00C372A8" w:rsidP="000F7648">
      <w:pPr>
        <w:pStyle w:val="Heading5"/>
        <w:spacing w:after="0"/>
        <w:rPr>
          <w:i/>
        </w:rPr>
      </w:pPr>
      <w:r w:rsidRPr="001F77F3">
        <w:t>Abuse potential and tolerance</w:t>
      </w:r>
      <w:r w:rsidR="00FF053B">
        <w:t>:</w:t>
      </w:r>
    </w:p>
    <w:p w:rsidR="000F7648" w:rsidRDefault="00C372A8" w:rsidP="002B2B88">
      <w:pPr>
        <w:rPr>
          <w:noProof/>
        </w:rPr>
      </w:pPr>
      <w:r w:rsidRPr="001F77F3">
        <w:rPr>
          <w:noProof/>
        </w:rPr>
        <w:t>Tolerance and physical and/or psychological dependence may develop upon repeated administration of opioids such as fentanyl. However, iatrogenic addiction following therapeutic use of opioids is rare.</w:t>
      </w:r>
    </w:p>
    <w:p w:rsidR="00C372A8" w:rsidRPr="001F77F3" w:rsidRDefault="00C372A8" w:rsidP="000F7648">
      <w:pPr>
        <w:pStyle w:val="Heading5"/>
        <w:spacing w:after="0"/>
        <w:rPr>
          <w:i/>
        </w:rPr>
      </w:pPr>
      <w:r w:rsidRPr="001F77F3">
        <w:t>Nasal conditions</w:t>
      </w:r>
      <w:r w:rsidR="00FF053B">
        <w:t>:</w:t>
      </w:r>
    </w:p>
    <w:p w:rsidR="004942A1" w:rsidRDefault="00C372A8" w:rsidP="002B2B88">
      <w:pPr>
        <w:rPr>
          <w:noProof/>
        </w:rPr>
      </w:pPr>
      <w:r w:rsidRPr="001F77F3">
        <w:rPr>
          <w:noProof/>
        </w:rPr>
        <w:t>If the patient experiences recurrent episodes of epistaxis or nasal discomfort while taking PecFent, an alternative method of administration for treatment of breakthrough pain should be considered.</w:t>
      </w:r>
    </w:p>
    <w:p w:rsidR="00FA171C" w:rsidRPr="00FA171C" w:rsidRDefault="00FA171C" w:rsidP="000F7648">
      <w:pPr>
        <w:pStyle w:val="Heading5"/>
        <w:spacing w:after="0"/>
      </w:pPr>
      <w:r w:rsidRPr="00FA171C">
        <w:t>PecFent excipients</w:t>
      </w:r>
    </w:p>
    <w:p w:rsidR="00FA171C" w:rsidRPr="00FA171C" w:rsidRDefault="00FA171C" w:rsidP="002B2B88">
      <w:pPr>
        <w:rPr>
          <w:noProof/>
        </w:rPr>
      </w:pPr>
      <w:r w:rsidRPr="005D5052">
        <w:rPr>
          <w:noProof/>
        </w:rPr>
        <w:t>PecFent contains propyl</w:t>
      </w:r>
      <w:r>
        <w:rPr>
          <w:noProof/>
        </w:rPr>
        <w:t xml:space="preserve"> </w:t>
      </w:r>
      <w:r w:rsidRPr="005D5052">
        <w:rPr>
          <w:noProof/>
        </w:rPr>
        <w:t>hydroxybenzoate (E216). In some patients this may cause allergic reactions (possibly delayed) and, exceptionally, bronchospasm (if the product is not correctly administered).</w:t>
      </w:r>
    </w:p>
    <w:p w:rsidR="004942A1" w:rsidRPr="004942A1" w:rsidRDefault="004942A1" w:rsidP="000F7648">
      <w:pPr>
        <w:pStyle w:val="Heading5"/>
        <w:spacing w:after="0"/>
      </w:pPr>
      <w:r>
        <w:lastRenderedPageBreak/>
        <w:t>Paediatric use</w:t>
      </w:r>
      <w:r w:rsidR="00FF053B">
        <w:t>:</w:t>
      </w:r>
    </w:p>
    <w:p w:rsidR="004942A1" w:rsidRPr="00267822" w:rsidRDefault="004942A1" w:rsidP="002B2B88">
      <w:pPr>
        <w:rPr>
          <w:noProof/>
          <w:sz w:val="23"/>
          <w:szCs w:val="23"/>
        </w:rPr>
      </w:pPr>
      <w:r w:rsidRPr="00267822">
        <w:rPr>
          <w:noProof/>
        </w:rPr>
        <w:t>The safety and efficacy of PecFent in children aged below 18 years have not yet been established.</w:t>
      </w:r>
    </w:p>
    <w:p w:rsidR="004942A1" w:rsidRPr="00267822" w:rsidRDefault="00397234" w:rsidP="002B2B88">
      <w:pPr>
        <w:rPr>
          <w:noProof/>
        </w:rPr>
      </w:pPr>
      <w:r>
        <w:rPr>
          <w:noProof/>
        </w:rPr>
        <w:t>No data are available.</w:t>
      </w:r>
    </w:p>
    <w:p w:rsidR="00C372A8" w:rsidRPr="00FF053B" w:rsidRDefault="00C372A8" w:rsidP="000F7648">
      <w:pPr>
        <w:pStyle w:val="Heading2"/>
        <w:spacing w:after="0"/>
      </w:pPr>
      <w:r w:rsidRPr="00FF053B">
        <w:t>I</w:t>
      </w:r>
      <w:r w:rsidR="00397234">
        <w:t>NTERACTIONS WITH OTHER MEDICINES</w:t>
      </w:r>
    </w:p>
    <w:p w:rsidR="00C372A8" w:rsidRPr="001F77F3" w:rsidRDefault="00C372A8" w:rsidP="00C372A8">
      <w:pPr>
        <w:rPr>
          <w:noProof/>
        </w:rPr>
      </w:pPr>
      <w:r w:rsidRPr="001F77F3">
        <w:rPr>
          <w:noProof/>
        </w:rPr>
        <w:t>Fentanyl is metabolised mainly via the human cytochrome P450 3A4 isoenzyme system (CYP3A4), therefore potential interactions may occur when PecFent is given concurrently with agents that affect CYP3A4 activity. Coadministration with agents that induce 3A4 activity may reduce the efficacy of PecFent. The concomitant use of PecFent with strong CYP3A4 inhibitors (e.g. ritonavir, ketoconazole, itraconazole, troleandomycin, clarithromycin, and nelfinavir) or moderate CYP3A4 inhibitors (e.g. amprenavir, aprepitant, diltiazem, erythromycin, fluconazole, fosamprenavir, grapefruit juice, and verapamil) may result in increased fentanyl plasma concentrations, potentially causing serious adverse drug reactions including fatal respiratory depression. Patients receiving PecFent concomitantly with moderate or strong CYP3A4 inhibitors should be carefully monitored for an extended period of time. Dose increase should be undertaken with caution.</w:t>
      </w:r>
    </w:p>
    <w:p w:rsidR="00C372A8" w:rsidRPr="001F77F3" w:rsidRDefault="00C372A8" w:rsidP="00C372A8">
      <w:pPr>
        <w:rPr>
          <w:noProof/>
        </w:rPr>
      </w:pPr>
      <w:r w:rsidRPr="001F77F3">
        <w:rPr>
          <w:noProof/>
        </w:rPr>
        <w:t>The concomitant use of other central nervous system depressants, including other opioids, sedatives or hypnotics, general anaesthetics, phenothiazines, tranquillisers, skeletal muscle relaxants, sedating antihistamines and alcohol may produce additive depressant effects.</w:t>
      </w:r>
    </w:p>
    <w:p w:rsidR="00C372A8" w:rsidRPr="001F77F3" w:rsidRDefault="00C372A8" w:rsidP="00C372A8">
      <w:pPr>
        <w:rPr>
          <w:noProof/>
        </w:rPr>
      </w:pPr>
      <w:r w:rsidRPr="001F77F3">
        <w:rPr>
          <w:noProof/>
        </w:rPr>
        <w:t>PecFent is not recommended for use in patients who have received monoamine oxidase (MAO) inhibitors within the previous 14 days because severe and unpredictable potentiation by MAO inhibitors has been reported with opioid analgesics.</w:t>
      </w:r>
    </w:p>
    <w:p w:rsidR="00C372A8" w:rsidRPr="001F77F3" w:rsidRDefault="00C372A8" w:rsidP="00C372A8">
      <w:pPr>
        <w:rPr>
          <w:noProof/>
          <w:szCs w:val="22"/>
        </w:rPr>
      </w:pPr>
      <w:r w:rsidRPr="001F77F3">
        <w:rPr>
          <w:noProof/>
          <w:szCs w:val="22"/>
        </w:rPr>
        <w:t>The concomitant use of partial opioid agonists/antagonists (e.g. buprenorphine, nalbuphine, pentazocine) is not recommended. They have high affinity to opioid receptors with relatively low intrinsic activity and therefore partially antagonise the analgesic effect of fentanyl and may induce withdrawal symptoms in opioid dependant patients.</w:t>
      </w:r>
    </w:p>
    <w:p w:rsidR="00397234" w:rsidRDefault="00CD0F5D" w:rsidP="00420C6B">
      <w:pPr>
        <w:rPr>
          <w:noProof/>
          <w:u w:val="single"/>
        </w:rPr>
      </w:pPr>
      <w:r>
        <w:rPr>
          <w:noProof/>
        </w:rPr>
        <w:t>C</w:t>
      </w:r>
      <w:r w:rsidR="00745698">
        <w:rPr>
          <w:noProof/>
        </w:rPr>
        <w:t>oncomitant</w:t>
      </w:r>
      <w:r>
        <w:rPr>
          <w:noProof/>
        </w:rPr>
        <w:t xml:space="preserve"> use of nasally administered oxymetazoline may affect (decrea</w:t>
      </w:r>
      <w:r w:rsidR="00397234">
        <w:rPr>
          <w:noProof/>
        </w:rPr>
        <w:t>se) the absorption of PecFent.</w:t>
      </w:r>
    </w:p>
    <w:p w:rsidR="00C372A8" w:rsidRPr="001F77F3" w:rsidRDefault="00C372A8" w:rsidP="00420C6B">
      <w:pPr>
        <w:pStyle w:val="Heading5"/>
        <w:spacing w:after="0"/>
      </w:pPr>
      <w:r w:rsidRPr="001F77F3">
        <w:t>Effects on ability to drive and use machines</w:t>
      </w:r>
    </w:p>
    <w:p w:rsidR="00C372A8" w:rsidRPr="001F77F3" w:rsidRDefault="00C372A8" w:rsidP="002B2B88">
      <w:pPr>
        <w:rPr>
          <w:noProof/>
        </w:rPr>
      </w:pPr>
      <w:r w:rsidRPr="001F77F3">
        <w:rPr>
          <w:noProof/>
        </w:rPr>
        <w:t>No studies on the effects on the ability to drive and use machines have been performed.</w:t>
      </w:r>
    </w:p>
    <w:p w:rsidR="00C372A8" w:rsidRPr="001F77F3" w:rsidRDefault="00C372A8" w:rsidP="002B2B88">
      <w:pPr>
        <w:rPr>
          <w:noProof/>
        </w:rPr>
      </w:pPr>
      <w:r w:rsidRPr="001F77F3">
        <w:rPr>
          <w:noProof/>
        </w:rPr>
        <w:t xml:space="preserve">However, opioid analgesics may impair the mental and/or physical ability required for </w:t>
      </w:r>
      <w:r w:rsidR="00397234">
        <w:rPr>
          <w:noProof/>
        </w:rPr>
        <w:t>driving or operating machinery.</w:t>
      </w:r>
    </w:p>
    <w:p w:rsidR="00C372A8" w:rsidRDefault="00C372A8" w:rsidP="002B2B88">
      <w:pPr>
        <w:rPr>
          <w:noProof/>
        </w:rPr>
      </w:pPr>
      <w:r w:rsidRPr="001F77F3">
        <w:rPr>
          <w:noProof/>
          <w:szCs w:val="22"/>
        </w:rPr>
        <w:t xml:space="preserve">Patients should be advised not to drive or operate machinery if they experience somnolence, dizziness, or visual disturbance </w:t>
      </w:r>
      <w:r w:rsidRPr="001F77F3">
        <w:rPr>
          <w:noProof/>
        </w:rPr>
        <w:t>or other adverse reactions which can impair their ability to drive or operate machinery.</w:t>
      </w:r>
    </w:p>
    <w:p w:rsidR="004942A1" w:rsidRDefault="004942A1" w:rsidP="00420C6B">
      <w:pPr>
        <w:pStyle w:val="Heading2"/>
        <w:spacing w:after="0"/>
      </w:pPr>
      <w:r w:rsidRPr="004942A1">
        <w:t>ADVERSE EFFECTS</w:t>
      </w:r>
    </w:p>
    <w:p w:rsidR="001525B3" w:rsidRDefault="001525B3" w:rsidP="002B2B88">
      <w:pPr>
        <w:rPr>
          <w:noProof/>
        </w:rPr>
      </w:pPr>
      <w:r>
        <w:rPr>
          <w:noProof/>
        </w:rPr>
        <w:t>A total of 523 patients were eval</w:t>
      </w:r>
      <w:r w:rsidR="004D1654">
        <w:rPr>
          <w:noProof/>
        </w:rPr>
        <w:t>u</w:t>
      </w:r>
      <w:r>
        <w:rPr>
          <w:noProof/>
        </w:rPr>
        <w:t xml:space="preserve">ated </w:t>
      </w:r>
      <w:r w:rsidR="00544547">
        <w:rPr>
          <w:noProof/>
        </w:rPr>
        <w:t xml:space="preserve">for safety </w:t>
      </w:r>
      <w:r>
        <w:rPr>
          <w:noProof/>
        </w:rPr>
        <w:t xml:space="preserve">across the clinical trial program and 45,559 episodes of breakthrough </w:t>
      </w:r>
      <w:r w:rsidR="00397234">
        <w:rPr>
          <w:noProof/>
        </w:rPr>
        <w:t>pain were treated with PecFent.</w:t>
      </w:r>
    </w:p>
    <w:p w:rsidR="004942A1" w:rsidRPr="00267822" w:rsidRDefault="004942A1" w:rsidP="002B2B88">
      <w:pPr>
        <w:rPr>
          <w:noProof/>
          <w:szCs w:val="24"/>
        </w:rPr>
      </w:pPr>
      <w:r w:rsidRPr="00267822">
        <w:rPr>
          <w:noProof/>
          <w:szCs w:val="24"/>
        </w:rPr>
        <w:t>Typical opioid adverse reactions are to be expected with PecFent. Frequently, these will cease or decrease in intensity with continued use of the medicinal product, as the patient is titrated to the most appropriate dose. However, the most serious adverse reactions are respiratory depression (potentially leading to apnoea or respiratory arrest), circulatory depression, hypotension and shock and all patients should be monitored for these.</w:t>
      </w:r>
    </w:p>
    <w:p w:rsidR="004942A1" w:rsidRPr="00267822" w:rsidRDefault="004942A1" w:rsidP="002B2B88">
      <w:pPr>
        <w:rPr>
          <w:noProof/>
          <w:szCs w:val="24"/>
        </w:rPr>
      </w:pPr>
      <w:r w:rsidRPr="00267822">
        <w:rPr>
          <w:noProof/>
          <w:szCs w:val="24"/>
        </w:rPr>
        <w:lastRenderedPageBreak/>
        <w:t xml:space="preserve">The clinical studies of PecFent were designed to evaluate safety and efficacy in treating </w:t>
      </w:r>
      <w:r w:rsidR="007C22C9">
        <w:rPr>
          <w:noProof/>
          <w:szCs w:val="24"/>
        </w:rPr>
        <w:t>breakthrough pain</w:t>
      </w:r>
      <w:r w:rsidR="007C22C9" w:rsidRPr="00267822">
        <w:rPr>
          <w:noProof/>
          <w:szCs w:val="24"/>
        </w:rPr>
        <w:t xml:space="preserve"> </w:t>
      </w:r>
      <w:r w:rsidRPr="00267822">
        <w:rPr>
          <w:noProof/>
          <w:szCs w:val="24"/>
        </w:rPr>
        <w:t>and all patients were also on background opioid therapies, such as sustained-release morphine or transdermal fentanyl, for their persistent pain. Therefore it is not possible to definitively separate the effects of PecFent alone.</w:t>
      </w:r>
    </w:p>
    <w:p w:rsidR="006A2BDC" w:rsidRPr="006A2BDC" w:rsidRDefault="00CE33A7" w:rsidP="002B2B88">
      <w:pPr>
        <w:rPr>
          <w:szCs w:val="22"/>
        </w:rPr>
      </w:pPr>
      <w:r>
        <w:rPr>
          <w:szCs w:val="22"/>
        </w:rPr>
        <w:t xml:space="preserve">Table of adverse events occurring at &gt;1% </w:t>
      </w:r>
      <w:r w:rsidR="007F5FA8">
        <w:rPr>
          <w:szCs w:val="22"/>
        </w:rPr>
        <w:t xml:space="preserve">from the total safety population </w:t>
      </w:r>
      <w:r w:rsidR="005B3D55">
        <w:rPr>
          <w:szCs w:val="22"/>
        </w:rPr>
        <w:t xml:space="preserve">of </w:t>
      </w:r>
      <w:r w:rsidR="007F5FA8" w:rsidRPr="006A2BDC">
        <w:rPr>
          <w:szCs w:val="22"/>
        </w:rPr>
        <w:t>523 patien</w:t>
      </w:r>
      <w:r w:rsidR="007F5FA8">
        <w:rPr>
          <w:szCs w:val="22"/>
        </w:rPr>
        <w:t xml:space="preserve">ts treated with </w:t>
      </w:r>
      <w:proofErr w:type="spellStart"/>
      <w:r w:rsidR="007F5FA8">
        <w:rPr>
          <w:szCs w:val="22"/>
        </w:rPr>
        <w:t>PecFent</w:t>
      </w:r>
      <w:proofErr w:type="spellEnd"/>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260"/>
        <w:gridCol w:w="87"/>
        <w:gridCol w:w="1243"/>
        <w:gridCol w:w="18"/>
        <w:gridCol w:w="15"/>
        <w:gridCol w:w="1319"/>
        <w:gridCol w:w="18"/>
        <w:gridCol w:w="15"/>
        <w:gridCol w:w="1385"/>
        <w:gridCol w:w="18"/>
        <w:gridCol w:w="15"/>
        <w:gridCol w:w="1177"/>
      </w:tblGrid>
      <w:tr w:rsidR="006A2BDC" w:rsidRPr="00666CEB" w:rsidTr="001660D6">
        <w:trPr>
          <w:trHeight w:val="300"/>
          <w:tblHeader/>
        </w:trPr>
        <w:tc>
          <w:tcPr>
            <w:tcW w:w="2448" w:type="dxa"/>
            <w:shd w:val="clear" w:color="auto" w:fill="auto"/>
          </w:tcPr>
          <w:p w:rsidR="006A2BDC" w:rsidRPr="00742694" w:rsidRDefault="007F5FA8" w:rsidP="006E3F26">
            <w:pPr>
              <w:spacing w:after="0"/>
              <w:rPr>
                <w:b/>
              </w:rPr>
            </w:pPr>
            <w:r w:rsidRPr="00742694">
              <w:rPr>
                <w:b/>
              </w:rPr>
              <w:t xml:space="preserve">System Organ </w:t>
            </w:r>
            <w:r w:rsidR="006A2BDC" w:rsidRPr="00742694">
              <w:rPr>
                <w:b/>
              </w:rPr>
              <w:t xml:space="preserve">Class </w:t>
            </w:r>
          </w:p>
        </w:tc>
        <w:tc>
          <w:tcPr>
            <w:tcW w:w="1260" w:type="dxa"/>
            <w:shd w:val="clear" w:color="auto" w:fill="auto"/>
          </w:tcPr>
          <w:p w:rsidR="006A2BDC" w:rsidRPr="00742694" w:rsidRDefault="006A2BDC" w:rsidP="006E3F26">
            <w:pPr>
              <w:spacing w:after="0"/>
              <w:rPr>
                <w:b/>
              </w:rPr>
            </w:pPr>
            <w:r w:rsidRPr="00742694">
              <w:rPr>
                <w:b/>
              </w:rPr>
              <w:t>100 mcg</w:t>
            </w:r>
          </w:p>
        </w:tc>
        <w:tc>
          <w:tcPr>
            <w:tcW w:w="1330" w:type="dxa"/>
            <w:gridSpan w:val="2"/>
            <w:shd w:val="clear" w:color="auto" w:fill="auto"/>
          </w:tcPr>
          <w:p w:rsidR="006A2BDC" w:rsidRPr="00742694" w:rsidRDefault="006A2BDC" w:rsidP="006E3F26">
            <w:pPr>
              <w:spacing w:after="0"/>
              <w:rPr>
                <w:b/>
              </w:rPr>
            </w:pPr>
            <w:r w:rsidRPr="00742694">
              <w:rPr>
                <w:b/>
              </w:rPr>
              <w:t>200 mcg</w:t>
            </w:r>
          </w:p>
        </w:tc>
        <w:tc>
          <w:tcPr>
            <w:tcW w:w="1352" w:type="dxa"/>
            <w:gridSpan w:val="3"/>
            <w:shd w:val="clear" w:color="auto" w:fill="auto"/>
          </w:tcPr>
          <w:p w:rsidR="006A2BDC" w:rsidRPr="00742694" w:rsidRDefault="006A2BDC" w:rsidP="006E3F26">
            <w:pPr>
              <w:spacing w:after="0"/>
              <w:rPr>
                <w:b/>
              </w:rPr>
            </w:pPr>
            <w:r w:rsidRPr="00742694">
              <w:rPr>
                <w:b/>
              </w:rPr>
              <w:t>400 mcg</w:t>
            </w:r>
          </w:p>
        </w:tc>
        <w:tc>
          <w:tcPr>
            <w:tcW w:w="1418" w:type="dxa"/>
            <w:gridSpan w:val="3"/>
            <w:shd w:val="clear" w:color="auto" w:fill="auto"/>
          </w:tcPr>
          <w:p w:rsidR="006A2BDC" w:rsidRPr="00742694" w:rsidRDefault="006A2BDC" w:rsidP="006E3F26">
            <w:pPr>
              <w:spacing w:after="0"/>
              <w:rPr>
                <w:b/>
              </w:rPr>
            </w:pPr>
            <w:r w:rsidRPr="00742694">
              <w:rPr>
                <w:b/>
              </w:rPr>
              <w:t>800 mcg</w:t>
            </w:r>
          </w:p>
        </w:tc>
        <w:tc>
          <w:tcPr>
            <w:tcW w:w="1210" w:type="dxa"/>
            <w:gridSpan w:val="3"/>
            <w:shd w:val="clear" w:color="auto" w:fill="auto"/>
          </w:tcPr>
          <w:p w:rsidR="006A2BDC" w:rsidRPr="00742694" w:rsidRDefault="006A2BDC" w:rsidP="006E3F26">
            <w:pPr>
              <w:spacing w:after="0"/>
              <w:rPr>
                <w:b/>
              </w:rPr>
            </w:pPr>
            <w:r w:rsidRPr="00742694">
              <w:rPr>
                <w:b/>
              </w:rPr>
              <w:t>Total</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Number (%) of Subjects with at Least One AE</w:t>
            </w:r>
          </w:p>
        </w:tc>
        <w:tc>
          <w:tcPr>
            <w:tcW w:w="1260" w:type="dxa"/>
            <w:shd w:val="clear" w:color="auto" w:fill="auto"/>
          </w:tcPr>
          <w:p w:rsidR="006A2BDC" w:rsidRPr="00666CEB" w:rsidRDefault="006A2BDC" w:rsidP="006E3F26">
            <w:pPr>
              <w:spacing w:after="0"/>
            </w:pPr>
            <w:r w:rsidRPr="00666CEB">
              <w:t xml:space="preserve">125 (25.8) </w:t>
            </w:r>
          </w:p>
        </w:tc>
        <w:tc>
          <w:tcPr>
            <w:tcW w:w="1330" w:type="dxa"/>
            <w:gridSpan w:val="2"/>
            <w:shd w:val="clear" w:color="auto" w:fill="auto"/>
          </w:tcPr>
          <w:p w:rsidR="006A2BDC" w:rsidRPr="00666CEB" w:rsidRDefault="006A2BDC" w:rsidP="006E3F26">
            <w:pPr>
              <w:spacing w:after="0"/>
            </w:pPr>
            <w:r w:rsidRPr="00666CEB">
              <w:t>93 (23.9)</w:t>
            </w:r>
          </w:p>
        </w:tc>
        <w:tc>
          <w:tcPr>
            <w:tcW w:w="1352" w:type="dxa"/>
            <w:gridSpan w:val="3"/>
            <w:shd w:val="clear" w:color="auto" w:fill="auto"/>
          </w:tcPr>
          <w:p w:rsidR="006A2BDC" w:rsidRPr="00666CEB" w:rsidRDefault="006A2BDC" w:rsidP="006E3F26">
            <w:pPr>
              <w:spacing w:after="0"/>
            </w:pPr>
            <w:r w:rsidRPr="00666CEB">
              <w:t>111 (34.8)</w:t>
            </w:r>
          </w:p>
        </w:tc>
        <w:tc>
          <w:tcPr>
            <w:tcW w:w="1418" w:type="dxa"/>
            <w:gridSpan w:val="3"/>
            <w:shd w:val="clear" w:color="auto" w:fill="auto"/>
          </w:tcPr>
          <w:p w:rsidR="006A2BDC" w:rsidRPr="00666CEB" w:rsidRDefault="006A2BDC" w:rsidP="006E3F26">
            <w:pPr>
              <w:spacing w:after="0"/>
            </w:pPr>
            <w:r w:rsidRPr="00666CEB">
              <w:t>90 (49.5)</w:t>
            </w:r>
          </w:p>
        </w:tc>
        <w:tc>
          <w:tcPr>
            <w:tcW w:w="1210" w:type="dxa"/>
            <w:gridSpan w:val="3"/>
            <w:shd w:val="clear" w:color="auto" w:fill="auto"/>
          </w:tcPr>
          <w:p w:rsidR="006A2BDC" w:rsidRPr="00666CEB" w:rsidRDefault="006A2BDC" w:rsidP="006E3F26">
            <w:pPr>
              <w:spacing w:after="0"/>
            </w:pPr>
            <w:r w:rsidRPr="00666CEB">
              <w:t>340 (65.9)</w:t>
            </w:r>
          </w:p>
        </w:tc>
      </w:tr>
      <w:tr w:rsidR="006A2BDC" w:rsidRPr="00666CEB" w:rsidTr="001660D6">
        <w:trPr>
          <w:trHeight w:val="300"/>
        </w:trPr>
        <w:tc>
          <w:tcPr>
            <w:tcW w:w="9018" w:type="dxa"/>
            <w:gridSpan w:val="13"/>
            <w:shd w:val="clear" w:color="auto" w:fill="auto"/>
            <w:noWrap/>
            <w:vAlign w:val="center"/>
            <w:hideMark/>
          </w:tcPr>
          <w:p w:rsidR="006A2BDC" w:rsidRPr="00742694" w:rsidRDefault="006A2BDC" w:rsidP="006E3F26">
            <w:pPr>
              <w:spacing w:after="0"/>
              <w:rPr>
                <w:b/>
              </w:rPr>
            </w:pPr>
            <w:r w:rsidRPr="00742694">
              <w:rPr>
                <w:b/>
              </w:rPr>
              <w:t>Blood and Lymphatic System Disorders</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Anaemia</w:t>
            </w:r>
          </w:p>
        </w:tc>
        <w:tc>
          <w:tcPr>
            <w:tcW w:w="1260" w:type="dxa"/>
            <w:shd w:val="clear" w:color="auto" w:fill="auto"/>
          </w:tcPr>
          <w:p w:rsidR="006A2BDC" w:rsidRPr="00666CEB" w:rsidRDefault="006A2BDC" w:rsidP="006E3F26">
            <w:pPr>
              <w:spacing w:after="0"/>
            </w:pPr>
            <w:r w:rsidRPr="00666CEB">
              <w:t>1 (0.2)</w:t>
            </w:r>
          </w:p>
        </w:tc>
        <w:tc>
          <w:tcPr>
            <w:tcW w:w="1330" w:type="dxa"/>
            <w:gridSpan w:val="2"/>
            <w:shd w:val="clear" w:color="auto" w:fill="auto"/>
          </w:tcPr>
          <w:p w:rsidR="006A2BDC" w:rsidRPr="00666CEB" w:rsidRDefault="006A2BDC" w:rsidP="006E3F26">
            <w:pPr>
              <w:spacing w:after="0"/>
            </w:pPr>
            <w:r w:rsidRPr="00666CEB">
              <w:t>8 (2.1)</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6 (3.3)</w:t>
            </w:r>
          </w:p>
        </w:tc>
        <w:tc>
          <w:tcPr>
            <w:tcW w:w="1210" w:type="dxa"/>
            <w:gridSpan w:val="3"/>
            <w:shd w:val="clear" w:color="auto" w:fill="auto"/>
          </w:tcPr>
          <w:p w:rsidR="006A2BDC" w:rsidRPr="00666CEB" w:rsidRDefault="006A2BDC" w:rsidP="006E3F26">
            <w:pPr>
              <w:spacing w:after="0"/>
            </w:pPr>
            <w:r w:rsidRPr="00666CEB">
              <w:t>19 (3.7)</w:t>
            </w:r>
          </w:p>
        </w:tc>
      </w:tr>
      <w:tr w:rsidR="006A2BDC" w:rsidRPr="00666CEB" w:rsidTr="001660D6">
        <w:trPr>
          <w:trHeight w:val="300"/>
        </w:trPr>
        <w:tc>
          <w:tcPr>
            <w:tcW w:w="2448" w:type="dxa"/>
            <w:shd w:val="clear" w:color="auto" w:fill="auto"/>
          </w:tcPr>
          <w:p w:rsidR="006A2BDC" w:rsidRPr="00666CEB" w:rsidRDefault="006A2BDC" w:rsidP="006E3F26">
            <w:pPr>
              <w:spacing w:after="0"/>
            </w:pPr>
            <w:proofErr w:type="spellStart"/>
            <w:r w:rsidRPr="00666CEB">
              <w:t>Neutropenia</w:t>
            </w:r>
            <w:proofErr w:type="spellEnd"/>
          </w:p>
        </w:tc>
        <w:tc>
          <w:tcPr>
            <w:tcW w:w="1260" w:type="dxa"/>
            <w:shd w:val="clear" w:color="auto" w:fill="auto"/>
          </w:tcPr>
          <w:p w:rsidR="006A2BDC" w:rsidRPr="00666CEB" w:rsidRDefault="006A2BDC" w:rsidP="006E3F26">
            <w:pPr>
              <w:spacing w:after="0"/>
            </w:pPr>
            <w:r w:rsidRPr="00666CEB">
              <w:t>1 (0.2)</w:t>
            </w:r>
          </w:p>
        </w:tc>
        <w:tc>
          <w:tcPr>
            <w:tcW w:w="1330" w:type="dxa"/>
            <w:gridSpan w:val="2"/>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0 (0.0)</w:t>
            </w:r>
          </w:p>
        </w:tc>
        <w:tc>
          <w:tcPr>
            <w:tcW w:w="1418" w:type="dxa"/>
            <w:gridSpan w:val="3"/>
            <w:shd w:val="clear" w:color="auto" w:fill="auto"/>
          </w:tcPr>
          <w:p w:rsidR="006A2BDC" w:rsidRPr="00666CEB" w:rsidRDefault="006A2BDC" w:rsidP="006E3F26">
            <w:pPr>
              <w:spacing w:after="0"/>
            </w:pPr>
            <w:r w:rsidRPr="00666CEB">
              <w:t>4 (2.2)</w:t>
            </w:r>
          </w:p>
        </w:tc>
        <w:tc>
          <w:tcPr>
            <w:tcW w:w="1210" w:type="dxa"/>
            <w:gridSpan w:val="3"/>
            <w:shd w:val="clear" w:color="auto" w:fill="auto"/>
          </w:tcPr>
          <w:p w:rsidR="006A2BDC" w:rsidRPr="00666CEB" w:rsidRDefault="006A2BDC" w:rsidP="006E3F26">
            <w:pPr>
              <w:spacing w:after="0"/>
            </w:pPr>
            <w:r w:rsidRPr="00666CEB">
              <w:t>7 (1.4)</w:t>
            </w:r>
          </w:p>
        </w:tc>
      </w:tr>
      <w:tr w:rsidR="006A2BDC" w:rsidRPr="00666CEB" w:rsidTr="001660D6">
        <w:trPr>
          <w:trHeight w:val="300"/>
        </w:trPr>
        <w:tc>
          <w:tcPr>
            <w:tcW w:w="9018" w:type="dxa"/>
            <w:gridSpan w:val="13"/>
            <w:shd w:val="clear" w:color="auto" w:fill="auto"/>
            <w:noWrap/>
            <w:hideMark/>
          </w:tcPr>
          <w:p w:rsidR="006A2BDC" w:rsidRPr="008F4221" w:rsidRDefault="006A2BDC" w:rsidP="006E3F26">
            <w:pPr>
              <w:spacing w:after="0"/>
              <w:rPr>
                <w:b/>
              </w:rPr>
            </w:pPr>
            <w:r w:rsidRPr="008F4221">
              <w:rPr>
                <w:b/>
              </w:rPr>
              <w:t>Cardiac Disorders</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Cardio-respiratory Arrest</w:t>
            </w:r>
          </w:p>
        </w:tc>
        <w:tc>
          <w:tcPr>
            <w:tcW w:w="1260" w:type="dxa"/>
            <w:shd w:val="clear" w:color="auto" w:fill="auto"/>
          </w:tcPr>
          <w:p w:rsidR="006A2BDC" w:rsidRPr="00666CEB" w:rsidRDefault="006A2BDC" w:rsidP="006E3F26">
            <w:pPr>
              <w:spacing w:after="0"/>
            </w:pPr>
            <w:r w:rsidRPr="00666CEB">
              <w:t>0 (0.0)</w:t>
            </w:r>
          </w:p>
        </w:tc>
        <w:tc>
          <w:tcPr>
            <w:tcW w:w="1330" w:type="dxa"/>
            <w:gridSpan w:val="2"/>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0 (0.0)</w:t>
            </w:r>
          </w:p>
        </w:tc>
        <w:tc>
          <w:tcPr>
            <w:tcW w:w="1210" w:type="dxa"/>
            <w:gridSpan w:val="3"/>
            <w:shd w:val="clear" w:color="auto" w:fill="auto"/>
          </w:tcPr>
          <w:p w:rsidR="006A2BDC" w:rsidRPr="00666CEB" w:rsidRDefault="006A2BDC" w:rsidP="006E3F26">
            <w:pPr>
              <w:spacing w:after="0"/>
            </w:pPr>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Gastrointestinal Disorders</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Vomiting</w:t>
            </w:r>
          </w:p>
        </w:tc>
        <w:tc>
          <w:tcPr>
            <w:tcW w:w="1260" w:type="dxa"/>
            <w:shd w:val="clear" w:color="auto" w:fill="auto"/>
          </w:tcPr>
          <w:p w:rsidR="006A2BDC" w:rsidRPr="00666CEB" w:rsidRDefault="006A2BDC" w:rsidP="006E3F26">
            <w:pPr>
              <w:spacing w:after="0"/>
            </w:pPr>
            <w:r w:rsidRPr="00666CEB">
              <w:t>20 (4.1)</w:t>
            </w:r>
          </w:p>
        </w:tc>
        <w:tc>
          <w:tcPr>
            <w:tcW w:w="1330" w:type="dxa"/>
            <w:gridSpan w:val="2"/>
            <w:shd w:val="clear" w:color="auto" w:fill="auto"/>
          </w:tcPr>
          <w:p w:rsidR="006A2BDC" w:rsidRPr="00666CEB" w:rsidRDefault="006A2BDC" w:rsidP="006E3F26">
            <w:pPr>
              <w:spacing w:after="0"/>
            </w:pPr>
            <w:r w:rsidRPr="00666CEB">
              <w:t>20 (5.1)</w:t>
            </w:r>
          </w:p>
        </w:tc>
        <w:tc>
          <w:tcPr>
            <w:tcW w:w="1352" w:type="dxa"/>
            <w:gridSpan w:val="3"/>
            <w:shd w:val="clear" w:color="auto" w:fill="auto"/>
          </w:tcPr>
          <w:p w:rsidR="006A2BDC" w:rsidRPr="00666CEB" w:rsidRDefault="006A2BDC" w:rsidP="006E3F26">
            <w:pPr>
              <w:spacing w:after="0"/>
            </w:pPr>
            <w:r w:rsidRPr="00666CEB">
              <w:t>21 (6.6)</w:t>
            </w:r>
          </w:p>
        </w:tc>
        <w:tc>
          <w:tcPr>
            <w:tcW w:w="1418" w:type="dxa"/>
            <w:gridSpan w:val="3"/>
            <w:shd w:val="clear" w:color="auto" w:fill="auto"/>
          </w:tcPr>
          <w:p w:rsidR="006A2BDC" w:rsidRPr="00666CEB" w:rsidRDefault="006A2BDC" w:rsidP="006E3F26">
            <w:pPr>
              <w:spacing w:after="0"/>
            </w:pPr>
            <w:r w:rsidRPr="00666CEB">
              <w:t>14 (7.7)</w:t>
            </w:r>
          </w:p>
        </w:tc>
        <w:tc>
          <w:tcPr>
            <w:tcW w:w="1210" w:type="dxa"/>
            <w:gridSpan w:val="3"/>
            <w:shd w:val="clear" w:color="auto" w:fill="auto"/>
          </w:tcPr>
          <w:p w:rsidR="006A2BDC" w:rsidRPr="00666CEB" w:rsidRDefault="006A2BDC" w:rsidP="006E3F26">
            <w:pPr>
              <w:spacing w:after="0"/>
            </w:pPr>
            <w:r w:rsidRPr="00666CEB">
              <w:t>71 (13.8)</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Nausea</w:t>
            </w:r>
          </w:p>
        </w:tc>
        <w:tc>
          <w:tcPr>
            <w:tcW w:w="1260" w:type="dxa"/>
            <w:shd w:val="clear" w:color="auto" w:fill="auto"/>
          </w:tcPr>
          <w:p w:rsidR="006A2BDC" w:rsidRPr="00666CEB" w:rsidRDefault="006A2BDC" w:rsidP="006E3F26">
            <w:pPr>
              <w:spacing w:after="0"/>
            </w:pPr>
            <w:r w:rsidRPr="00666CEB">
              <w:t>23 (4.8)</w:t>
            </w:r>
          </w:p>
        </w:tc>
        <w:tc>
          <w:tcPr>
            <w:tcW w:w="1330" w:type="dxa"/>
            <w:gridSpan w:val="2"/>
            <w:shd w:val="clear" w:color="auto" w:fill="auto"/>
          </w:tcPr>
          <w:p w:rsidR="006A2BDC" w:rsidRPr="00666CEB" w:rsidRDefault="006A2BDC" w:rsidP="006E3F26">
            <w:pPr>
              <w:spacing w:after="0"/>
            </w:pPr>
            <w:r w:rsidRPr="00666CEB">
              <w:t>15 (3.9)</w:t>
            </w:r>
          </w:p>
        </w:tc>
        <w:tc>
          <w:tcPr>
            <w:tcW w:w="1352" w:type="dxa"/>
            <w:gridSpan w:val="3"/>
            <w:shd w:val="clear" w:color="auto" w:fill="auto"/>
          </w:tcPr>
          <w:p w:rsidR="006A2BDC" w:rsidRPr="00666CEB" w:rsidRDefault="006A2BDC" w:rsidP="006E3F26">
            <w:pPr>
              <w:spacing w:after="0"/>
            </w:pPr>
            <w:r w:rsidRPr="00666CEB">
              <w:t>12 (3.8)</w:t>
            </w:r>
          </w:p>
        </w:tc>
        <w:tc>
          <w:tcPr>
            <w:tcW w:w="1418" w:type="dxa"/>
            <w:gridSpan w:val="3"/>
            <w:shd w:val="clear" w:color="auto" w:fill="auto"/>
          </w:tcPr>
          <w:p w:rsidR="006A2BDC" w:rsidRPr="00666CEB" w:rsidRDefault="006A2BDC" w:rsidP="006E3F26">
            <w:pPr>
              <w:spacing w:after="0"/>
            </w:pPr>
            <w:r w:rsidRPr="00666CEB">
              <w:t>14 (7.7)</w:t>
            </w:r>
          </w:p>
        </w:tc>
        <w:tc>
          <w:tcPr>
            <w:tcW w:w="1210" w:type="dxa"/>
            <w:gridSpan w:val="3"/>
            <w:shd w:val="clear" w:color="auto" w:fill="auto"/>
          </w:tcPr>
          <w:p w:rsidR="006A2BDC" w:rsidRPr="00666CEB" w:rsidRDefault="006A2BDC" w:rsidP="006E3F26">
            <w:pPr>
              <w:spacing w:after="0"/>
            </w:pPr>
            <w:r w:rsidRPr="00666CEB">
              <w:t>63 (12.2)</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Constipation</w:t>
            </w:r>
          </w:p>
        </w:tc>
        <w:tc>
          <w:tcPr>
            <w:tcW w:w="1260" w:type="dxa"/>
            <w:shd w:val="clear" w:color="auto" w:fill="auto"/>
          </w:tcPr>
          <w:p w:rsidR="006A2BDC" w:rsidRPr="00666CEB" w:rsidRDefault="006A2BDC" w:rsidP="006E3F26">
            <w:pPr>
              <w:spacing w:after="0"/>
            </w:pPr>
            <w:r w:rsidRPr="00666CEB">
              <w:t>23 (4.8)</w:t>
            </w:r>
          </w:p>
        </w:tc>
        <w:tc>
          <w:tcPr>
            <w:tcW w:w="1330" w:type="dxa"/>
            <w:gridSpan w:val="2"/>
            <w:shd w:val="clear" w:color="auto" w:fill="auto"/>
          </w:tcPr>
          <w:p w:rsidR="006A2BDC" w:rsidRPr="00666CEB" w:rsidRDefault="006A2BDC" w:rsidP="006E3F26">
            <w:pPr>
              <w:spacing w:after="0"/>
            </w:pPr>
            <w:r w:rsidRPr="00666CEB">
              <w:t>6 (1.5)</w:t>
            </w:r>
          </w:p>
        </w:tc>
        <w:tc>
          <w:tcPr>
            <w:tcW w:w="1352" w:type="dxa"/>
            <w:gridSpan w:val="3"/>
            <w:shd w:val="clear" w:color="auto" w:fill="auto"/>
          </w:tcPr>
          <w:p w:rsidR="006A2BDC" w:rsidRPr="00666CEB" w:rsidRDefault="006A2BDC" w:rsidP="006E3F26">
            <w:pPr>
              <w:spacing w:after="0"/>
            </w:pPr>
            <w:r w:rsidRPr="00666CEB">
              <w:t>14 (4.4)</w:t>
            </w:r>
          </w:p>
        </w:tc>
        <w:tc>
          <w:tcPr>
            <w:tcW w:w="1418" w:type="dxa"/>
            <w:gridSpan w:val="3"/>
            <w:shd w:val="clear" w:color="auto" w:fill="auto"/>
          </w:tcPr>
          <w:p w:rsidR="006A2BDC" w:rsidRPr="00666CEB" w:rsidRDefault="006A2BDC" w:rsidP="006E3F26">
            <w:pPr>
              <w:spacing w:after="0"/>
            </w:pPr>
            <w:r w:rsidRPr="00666CEB">
              <w:t>8 (4.4)</w:t>
            </w:r>
          </w:p>
        </w:tc>
        <w:tc>
          <w:tcPr>
            <w:tcW w:w="1210" w:type="dxa"/>
            <w:gridSpan w:val="3"/>
            <w:shd w:val="clear" w:color="auto" w:fill="auto"/>
          </w:tcPr>
          <w:p w:rsidR="006A2BDC" w:rsidRPr="00666CEB" w:rsidRDefault="006A2BDC" w:rsidP="006E3F26">
            <w:pPr>
              <w:spacing w:after="0"/>
            </w:pPr>
            <w:r w:rsidRPr="00666CEB">
              <w:t>50 (9.7)</w:t>
            </w:r>
          </w:p>
        </w:tc>
      </w:tr>
      <w:tr w:rsidR="006A2BDC" w:rsidRPr="00666CEB" w:rsidTr="001660D6">
        <w:trPr>
          <w:trHeight w:val="300"/>
        </w:trPr>
        <w:tc>
          <w:tcPr>
            <w:tcW w:w="2448" w:type="dxa"/>
            <w:shd w:val="clear" w:color="auto" w:fill="auto"/>
          </w:tcPr>
          <w:p w:rsidR="006A2BDC" w:rsidRPr="00666CEB" w:rsidRDefault="006A2BDC" w:rsidP="006E3F26">
            <w:pPr>
              <w:spacing w:after="0"/>
            </w:pPr>
            <w:proofErr w:type="spellStart"/>
            <w:r w:rsidRPr="00666CEB">
              <w:t>Diarrhea</w:t>
            </w:r>
            <w:proofErr w:type="spellEnd"/>
          </w:p>
        </w:tc>
        <w:tc>
          <w:tcPr>
            <w:tcW w:w="1260" w:type="dxa"/>
            <w:shd w:val="clear" w:color="auto" w:fill="auto"/>
          </w:tcPr>
          <w:p w:rsidR="006A2BDC" w:rsidRPr="00666CEB" w:rsidRDefault="006A2BDC" w:rsidP="006E3F26">
            <w:pPr>
              <w:spacing w:after="0"/>
            </w:pPr>
            <w:r w:rsidRPr="00666CEB">
              <w:t>7 (1.4)</w:t>
            </w:r>
          </w:p>
        </w:tc>
        <w:tc>
          <w:tcPr>
            <w:tcW w:w="1330" w:type="dxa"/>
            <w:gridSpan w:val="2"/>
            <w:shd w:val="clear" w:color="auto" w:fill="auto"/>
          </w:tcPr>
          <w:p w:rsidR="006A2BDC" w:rsidRPr="00666CEB" w:rsidRDefault="006A2BDC" w:rsidP="006E3F26">
            <w:pPr>
              <w:spacing w:after="0"/>
            </w:pPr>
            <w:r w:rsidRPr="00666CEB">
              <w:t>4 (1.0)</w:t>
            </w:r>
          </w:p>
        </w:tc>
        <w:tc>
          <w:tcPr>
            <w:tcW w:w="1352" w:type="dxa"/>
            <w:gridSpan w:val="3"/>
            <w:shd w:val="clear" w:color="auto" w:fill="auto"/>
          </w:tcPr>
          <w:p w:rsidR="006A2BDC" w:rsidRPr="00666CEB" w:rsidRDefault="006A2BDC" w:rsidP="006E3F26">
            <w:pPr>
              <w:spacing w:after="0"/>
            </w:pPr>
            <w:r w:rsidRPr="00666CEB">
              <w:t>6 (1.9)</w:t>
            </w:r>
          </w:p>
        </w:tc>
        <w:tc>
          <w:tcPr>
            <w:tcW w:w="1418" w:type="dxa"/>
            <w:gridSpan w:val="3"/>
            <w:shd w:val="clear" w:color="auto" w:fill="auto"/>
          </w:tcPr>
          <w:p w:rsidR="006A2BDC" w:rsidRPr="00666CEB" w:rsidRDefault="006A2BDC" w:rsidP="006E3F26">
            <w:pPr>
              <w:spacing w:after="0"/>
            </w:pPr>
            <w:r w:rsidRPr="00666CEB">
              <w:t>6 (3.3)</w:t>
            </w:r>
          </w:p>
        </w:tc>
        <w:tc>
          <w:tcPr>
            <w:tcW w:w="1210" w:type="dxa"/>
            <w:gridSpan w:val="3"/>
            <w:shd w:val="clear" w:color="auto" w:fill="auto"/>
          </w:tcPr>
          <w:p w:rsidR="006A2BDC" w:rsidRPr="00666CEB" w:rsidRDefault="006A2BDC" w:rsidP="006E3F26">
            <w:pPr>
              <w:spacing w:after="0"/>
            </w:pPr>
            <w:r w:rsidRPr="00666CEB">
              <w:t>22 (4.3)</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Abdominal Pain</w:t>
            </w:r>
          </w:p>
        </w:tc>
        <w:tc>
          <w:tcPr>
            <w:tcW w:w="1260" w:type="dxa"/>
            <w:shd w:val="clear" w:color="auto" w:fill="auto"/>
          </w:tcPr>
          <w:p w:rsidR="006A2BDC" w:rsidRPr="00666CEB" w:rsidRDefault="006A2BDC" w:rsidP="006E3F26">
            <w:pPr>
              <w:spacing w:after="0"/>
            </w:pPr>
            <w:r w:rsidRPr="00666CEB">
              <w:t>3 (0.6)</w:t>
            </w:r>
          </w:p>
        </w:tc>
        <w:tc>
          <w:tcPr>
            <w:tcW w:w="1330" w:type="dxa"/>
            <w:gridSpan w:val="2"/>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6 (1.9)</w:t>
            </w:r>
          </w:p>
        </w:tc>
        <w:tc>
          <w:tcPr>
            <w:tcW w:w="1418" w:type="dxa"/>
            <w:gridSpan w:val="3"/>
            <w:shd w:val="clear" w:color="auto" w:fill="auto"/>
          </w:tcPr>
          <w:p w:rsidR="006A2BDC" w:rsidRPr="00666CEB" w:rsidRDefault="006A2BDC" w:rsidP="006E3F26">
            <w:pPr>
              <w:spacing w:after="0"/>
            </w:pPr>
            <w:r w:rsidRPr="00666CEB">
              <w:t>1 (0.5)</w:t>
            </w:r>
          </w:p>
        </w:tc>
        <w:tc>
          <w:tcPr>
            <w:tcW w:w="1210" w:type="dxa"/>
            <w:gridSpan w:val="3"/>
            <w:shd w:val="clear" w:color="auto" w:fill="auto"/>
          </w:tcPr>
          <w:p w:rsidR="006A2BDC" w:rsidRPr="00666CEB" w:rsidRDefault="006A2BDC" w:rsidP="006E3F26">
            <w:pPr>
              <w:spacing w:after="0"/>
            </w:pPr>
            <w:r w:rsidRPr="00666CEB">
              <w:t>11 (2.1)</w:t>
            </w:r>
          </w:p>
        </w:tc>
      </w:tr>
      <w:tr w:rsidR="006A2BDC" w:rsidRPr="00666CEB" w:rsidTr="001660D6">
        <w:trPr>
          <w:trHeight w:val="300"/>
        </w:trPr>
        <w:tc>
          <w:tcPr>
            <w:tcW w:w="2448" w:type="dxa"/>
            <w:shd w:val="clear" w:color="auto" w:fill="auto"/>
          </w:tcPr>
          <w:p w:rsidR="006A2BDC" w:rsidRPr="00666CEB" w:rsidRDefault="006A2BDC" w:rsidP="006E3F26">
            <w:pPr>
              <w:spacing w:after="0"/>
            </w:pPr>
            <w:r w:rsidRPr="00666CEB">
              <w:t>Gastritis</w:t>
            </w:r>
          </w:p>
        </w:tc>
        <w:tc>
          <w:tcPr>
            <w:tcW w:w="1260" w:type="dxa"/>
            <w:shd w:val="clear" w:color="auto" w:fill="auto"/>
          </w:tcPr>
          <w:p w:rsidR="006A2BDC" w:rsidRPr="00666CEB" w:rsidRDefault="006A2BDC" w:rsidP="006E3F26">
            <w:pPr>
              <w:spacing w:after="0"/>
            </w:pPr>
            <w:r w:rsidRPr="00666CEB">
              <w:t>3 (0.6)</w:t>
            </w:r>
          </w:p>
        </w:tc>
        <w:tc>
          <w:tcPr>
            <w:tcW w:w="1330" w:type="dxa"/>
            <w:gridSpan w:val="2"/>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3 (0.9)</w:t>
            </w:r>
          </w:p>
        </w:tc>
        <w:tc>
          <w:tcPr>
            <w:tcW w:w="1418" w:type="dxa"/>
            <w:gridSpan w:val="3"/>
            <w:shd w:val="clear" w:color="auto" w:fill="auto"/>
          </w:tcPr>
          <w:p w:rsidR="006A2BDC" w:rsidRPr="00666CEB" w:rsidRDefault="006A2BDC" w:rsidP="006E3F26">
            <w:pPr>
              <w:spacing w:after="0"/>
            </w:pPr>
            <w:r w:rsidRPr="00666CEB">
              <w:t>2 (1.1)</w:t>
            </w:r>
          </w:p>
        </w:tc>
        <w:tc>
          <w:tcPr>
            <w:tcW w:w="1210" w:type="dxa"/>
            <w:gridSpan w:val="3"/>
            <w:shd w:val="clear" w:color="auto" w:fill="auto"/>
          </w:tcPr>
          <w:p w:rsidR="006A2BDC" w:rsidRPr="00666CEB" w:rsidRDefault="006A2BDC" w:rsidP="006E3F26">
            <w:pPr>
              <w:spacing w:after="0"/>
            </w:pPr>
            <w:r w:rsidRPr="00666CEB">
              <w:t>10 (1.9)</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General Disorders and Administration Site Conditions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Disease Progression </w:t>
            </w:r>
          </w:p>
        </w:tc>
        <w:tc>
          <w:tcPr>
            <w:tcW w:w="1260" w:type="dxa"/>
            <w:shd w:val="clear" w:color="auto" w:fill="auto"/>
          </w:tcPr>
          <w:p w:rsidR="006A2BDC" w:rsidRPr="00666CEB" w:rsidRDefault="006A2BDC" w:rsidP="006E3F26">
            <w:pPr>
              <w:spacing w:after="0"/>
            </w:pPr>
            <w:r w:rsidRPr="00666CEB">
              <w:t>16 (3.3)</w:t>
            </w:r>
          </w:p>
        </w:tc>
        <w:tc>
          <w:tcPr>
            <w:tcW w:w="1330" w:type="dxa"/>
            <w:gridSpan w:val="2"/>
            <w:shd w:val="clear" w:color="auto" w:fill="auto"/>
          </w:tcPr>
          <w:p w:rsidR="006A2BDC" w:rsidRPr="00666CEB" w:rsidRDefault="006A2BDC" w:rsidP="006E3F26">
            <w:pPr>
              <w:spacing w:after="0"/>
            </w:pPr>
            <w:r w:rsidRPr="00666CEB">
              <w:t>8 (2.1)</w:t>
            </w:r>
          </w:p>
        </w:tc>
        <w:tc>
          <w:tcPr>
            <w:tcW w:w="1352" w:type="dxa"/>
            <w:gridSpan w:val="3"/>
            <w:shd w:val="clear" w:color="auto" w:fill="auto"/>
          </w:tcPr>
          <w:p w:rsidR="006A2BDC" w:rsidRPr="00666CEB" w:rsidRDefault="006A2BDC" w:rsidP="006E3F26">
            <w:pPr>
              <w:spacing w:after="0"/>
            </w:pPr>
            <w:r w:rsidRPr="00666CEB">
              <w:t>16 (5.0)</w:t>
            </w:r>
          </w:p>
        </w:tc>
        <w:tc>
          <w:tcPr>
            <w:tcW w:w="1418" w:type="dxa"/>
            <w:gridSpan w:val="3"/>
            <w:shd w:val="clear" w:color="auto" w:fill="auto"/>
          </w:tcPr>
          <w:p w:rsidR="006A2BDC" w:rsidRPr="00666CEB" w:rsidRDefault="006A2BDC" w:rsidP="006E3F26">
            <w:pPr>
              <w:spacing w:after="0"/>
            </w:pPr>
            <w:r w:rsidRPr="00666CEB">
              <w:t>26 (14.3)</w:t>
            </w:r>
          </w:p>
        </w:tc>
        <w:tc>
          <w:tcPr>
            <w:tcW w:w="1210" w:type="dxa"/>
            <w:gridSpan w:val="3"/>
            <w:shd w:val="clear" w:color="auto" w:fill="auto"/>
          </w:tcPr>
          <w:p w:rsidR="006A2BDC" w:rsidRPr="00666CEB" w:rsidRDefault="006A2BDC" w:rsidP="006E3F26">
            <w:pPr>
              <w:spacing w:after="0"/>
            </w:pPr>
            <w:r w:rsidRPr="00666CEB">
              <w:t>62 (12.0)</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Pyrexia </w:t>
            </w:r>
          </w:p>
        </w:tc>
        <w:tc>
          <w:tcPr>
            <w:tcW w:w="1260" w:type="dxa"/>
            <w:shd w:val="clear" w:color="auto" w:fill="auto"/>
          </w:tcPr>
          <w:p w:rsidR="006A2BDC" w:rsidRPr="00666CEB" w:rsidRDefault="006A2BDC" w:rsidP="006E3F26">
            <w:pPr>
              <w:spacing w:after="0"/>
            </w:pPr>
            <w:r w:rsidRPr="00666CEB">
              <w:t>7 (1.4)</w:t>
            </w:r>
          </w:p>
        </w:tc>
        <w:tc>
          <w:tcPr>
            <w:tcW w:w="1330" w:type="dxa"/>
            <w:gridSpan w:val="2"/>
            <w:shd w:val="clear" w:color="auto" w:fill="auto"/>
          </w:tcPr>
          <w:p w:rsidR="006A2BDC" w:rsidRPr="00666CEB" w:rsidRDefault="006A2BDC" w:rsidP="006E3F26">
            <w:pPr>
              <w:spacing w:after="0"/>
            </w:pPr>
            <w:r w:rsidRPr="00666CEB">
              <w:t>6 (1.5)</w:t>
            </w:r>
          </w:p>
        </w:tc>
        <w:tc>
          <w:tcPr>
            <w:tcW w:w="1352" w:type="dxa"/>
            <w:gridSpan w:val="3"/>
            <w:shd w:val="clear" w:color="auto" w:fill="auto"/>
          </w:tcPr>
          <w:p w:rsidR="006A2BDC" w:rsidRPr="00666CEB" w:rsidRDefault="006A2BDC" w:rsidP="006E3F26">
            <w:pPr>
              <w:spacing w:after="0"/>
            </w:pPr>
            <w:r w:rsidRPr="00666CEB">
              <w:t>9 (2.8)</w:t>
            </w:r>
          </w:p>
        </w:tc>
        <w:tc>
          <w:tcPr>
            <w:tcW w:w="1418" w:type="dxa"/>
            <w:gridSpan w:val="3"/>
            <w:shd w:val="clear" w:color="auto" w:fill="auto"/>
          </w:tcPr>
          <w:p w:rsidR="006A2BDC" w:rsidRPr="00666CEB" w:rsidRDefault="006A2BDC" w:rsidP="006E3F26">
            <w:pPr>
              <w:spacing w:after="0"/>
            </w:pPr>
            <w:r w:rsidRPr="00666CEB">
              <w:t>7 (3.8)</w:t>
            </w:r>
          </w:p>
        </w:tc>
        <w:tc>
          <w:tcPr>
            <w:tcW w:w="1210" w:type="dxa"/>
            <w:gridSpan w:val="3"/>
            <w:shd w:val="clear" w:color="auto" w:fill="auto"/>
          </w:tcPr>
          <w:p w:rsidR="006A2BDC" w:rsidRPr="00666CEB" w:rsidRDefault="006A2BDC" w:rsidP="006E3F26">
            <w:pPr>
              <w:spacing w:after="0"/>
            </w:pPr>
            <w:r w:rsidRPr="00666CEB">
              <w:t>28 (5.4)</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Pain </w:t>
            </w:r>
          </w:p>
        </w:tc>
        <w:tc>
          <w:tcPr>
            <w:tcW w:w="1260" w:type="dxa"/>
            <w:shd w:val="clear" w:color="auto" w:fill="auto"/>
          </w:tcPr>
          <w:p w:rsidR="006A2BDC" w:rsidRPr="00666CEB" w:rsidRDefault="006A2BDC" w:rsidP="006E3F26">
            <w:pPr>
              <w:spacing w:after="0"/>
            </w:pPr>
            <w:r w:rsidRPr="00666CEB">
              <w:t>5 (1.0)</w:t>
            </w:r>
          </w:p>
        </w:tc>
        <w:tc>
          <w:tcPr>
            <w:tcW w:w="1330" w:type="dxa"/>
            <w:gridSpan w:val="2"/>
            <w:shd w:val="clear" w:color="auto" w:fill="auto"/>
          </w:tcPr>
          <w:p w:rsidR="006A2BDC" w:rsidRPr="00666CEB" w:rsidRDefault="006A2BDC" w:rsidP="006E3F26">
            <w:pPr>
              <w:spacing w:after="0"/>
            </w:pPr>
            <w:r w:rsidRPr="00666CEB">
              <w:t>4 (1.0)</w:t>
            </w:r>
          </w:p>
        </w:tc>
        <w:tc>
          <w:tcPr>
            <w:tcW w:w="1352" w:type="dxa"/>
            <w:gridSpan w:val="3"/>
            <w:shd w:val="clear" w:color="auto" w:fill="auto"/>
          </w:tcPr>
          <w:p w:rsidR="006A2BDC" w:rsidRPr="00666CEB" w:rsidRDefault="006A2BDC" w:rsidP="006E3F26">
            <w:pPr>
              <w:spacing w:after="0"/>
            </w:pPr>
            <w:r w:rsidRPr="00666CEB">
              <w:t>8 (2.5)</w:t>
            </w:r>
          </w:p>
        </w:tc>
        <w:tc>
          <w:tcPr>
            <w:tcW w:w="1418" w:type="dxa"/>
            <w:gridSpan w:val="3"/>
            <w:shd w:val="clear" w:color="auto" w:fill="auto"/>
          </w:tcPr>
          <w:p w:rsidR="006A2BDC" w:rsidRPr="00666CEB" w:rsidRDefault="006A2BDC" w:rsidP="006E3F26">
            <w:pPr>
              <w:spacing w:after="0"/>
            </w:pPr>
            <w:r w:rsidRPr="00666CEB">
              <w:t>8 (4.4)</w:t>
            </w:r>
          </w:p>
        </w:tc>
        <w:tc>
          <w:tcPr>
            <w:tcW w:w="1210" w:type="dxa"/>
            <w:gridSpan w:val="3"/>
            <w:shd w:val="clear" w:color="auto" w:fill="auto"/>
          </w:tcPr>
          <w:p w:rsidR="006A2BDC" w:rsidRPr="00666CEB" w:rsidRDefault="006A2BDC" w:rsidP="006E3F26">
            <w:pPr>
              <w:spacing w:after="0"/>
            </w:pPr>
            <w:r w:rsidRPr="00666CEB">
              <w:t>24 (4.7)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Fatigue </w:t>
            </w:r>
          </w:p>
        </w:tc>
        <w:tc>
          <w:tcPr>
            <w:tcW w:w="1260" w:type="dxa"/>
            <w:shd w:val="clear" w:color="auto" w:fill="auto"/>
          </w:tcPr>
          <w:p w:rsidR="006A2BDC" w:rsidRPr="00666CEB" w:rsidRDefault="006A2BDC" w:rsidP="006E3F26">
            <w:pPr>
              <w:spacing w:after="0"/>
            </w:pPr>
            <w:r w:rsidRPr="00666CEB">
              <w:t>3 (0.6)</w:t>
            </w:r>
          </w:p>
        </w:tc>
        <w:tc>
          <w:tcPr>
            <w:tcW w:w="1330" w:type="dxa"/>
            <w:gridSpan w:val="2"/>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9 (2.8)</w:t>
            </w:r>
          </w:p>
        </w:tc>
        <w:tc>
          <w:tcPr>
            <w:tcW w:w="1418" w:type="dxa"/>
            <w:gridSpan w:val="3"/>
            <w:shd w:val="clear" w:color="auto" w:fill="auto"/>
          </w:tcPr>
          <w:p w:rsidR="006A2BDC" w:rsidRPr="00666CEB" w:rsidRDefault="006A2BDC" w:rsidP="006E3F26">
            <w:pPr>
              <w:spacing w:after="0"/>
            </w:pPr>
            <w:r w:rsidRPr="00666CEB">
              <w:t>5 (2.7)</w:t>
            </w:r>
          </w:p>
        </w:tc>
        <w:tc>
          <w:tcPr>
            <w:tcW w:w="1210" w:type="dxa"/>
            <w:gridSpan w:val="3"/>
            <w:shd w:val="clear" w:color="auto" w:fill="auto"/>
          </w:tcPr>
          <w:p w:rsidR="006A2BDC" w:rsidRPr="00666CEB" w:rsidRDefault="006A2BDC" w:rsidP="006E3F26">
            <w:pPr>
              <w:spacing w:after="0"/>
            </w:pPr>
            <w:r w:rsidRPr="00666CEB">
              <w:t>19 (3.7)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Oedema Peripheral </w:t>
            </w:r>
          </w:p>
        </w:tc>
        <w:tc>
          <w:tcPr>
            <w:tcW w:w="1260" w:type="dxa"/>
            <w:shd w:val="clear" w:color="auto" w:fill="auto"/>
          </w:tcPr>
          <w:p w:rsidR="006A2BDC" w:rsidRPr="00666CEB" w:rsidRDefault="006A2BDC" w:rsidP="006E3F26">
            <w:pPr>
              <w:spacing w:after="0"/>
            </w:pPr>
            <w:r w:rsidRPr="00666CEB">
              <w:t>1 (0.2)</w:t>
            </w:r>
          </w:p>
        </w:tc>
        <w:tc>
          <w:tcPr>
            <w:tcW w:w="1330" w:type="dxa"/>
            <w:gridSpan w:val="2"/>
            <w:shd w:val="clear" w:color="auto" w:fill="auto"/>
          </w:tcPr>
          <w:p w:rsidR="006A2BDC" w:rsidRPr="00666CEB" w:rsidRDefault="006A2BDC" w:rsidP="006E3F26">
            <w:pPr>
              <w:spacing w:after="0"/>
            </w:pPr>
            <w:r w:rsidRPr="00666CEB">
              <w:t>5 (1.3)</w:t>
            </w:r>
          </w:p>
        </w:tc>
        <w:tc>
          <w:tcPr>
            <w:tcW w:w="1352" w:type="dxa"/>
            <w:gridSpan w:val="3"/>
            <w:shd w:val="clear" w:color="auto" w:fill="auto"/>
          </w:tcPr>
          <w:p w:rsidR="006A2BDC" w:rsidRPr="00666CEB" w:rsidRDefault="006A2BDC" w:rsidP="006E3F26">
            <w:pPr>
              <w:spacing w:after="0"/>
            </w:pPr>
            <w:r w:rsidRPr="00666CEB">
              <w:t>7 (2.2)</w:t>
            </w:r>
          </w:p>
        </w:tc>
        <w:tc>
          <w:tcPr>
            <w:tcW w:w="1418" w:type="dxa"/>
            <w:gridSpan w:val="3"/>
            <w:shd w:val="clear" w:color="auto" w:fill="auto"/>
          </w:tcPr>
          <w:p w:rsidR="006A2BDC" w:rsidRPr="00666CEB" w:rsidRDefault="006A2BDC" w:rsidP="006E3F26">
            <w:pPr>
              <w:spacing w:after="0"/>
            </w:pPr>
            <w:r w:rsidRPr="00666CEB">
              <w:t>6 (3.3)</w:t>
            </w:r>
          </w:p>
        </w:tc>
        <w:tc>
          <w:tcPr>
            <w:tcW w:w="1210" w:type="dxa"/>
            <w:gridSpan w:val="3"/>
            <w:shd w:val="clear" w:color="auto" w:fill="auto"/>
          </w:tcPr>
          <w:p w:rsidR="006A2BDC" w:rsidRPr="00666CEB" w:rsidRDefault="006A2BDC" w:rsidP="006E3F26">
            <w:pPr>
              <w:spacing w:after="0"/>
            </w:pPr>
            <w:r w:rsidRPr="00666CEB">
              <w:t>19 (3.7)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Asthenia </w:t>
            </w:r>
          </w:p>
        </w:tc>
        <w:tc>
          <w:tcPr>
            <w:tcW w:w="1260" w:type="dxa"/>
            <w:shd w:val="clear" w:color="auto" w:fill="auto"/>
          </w:tcPr>
          <w:p w:rsidR="006A2BDC" w:rsidRPr="00666CEB" w:rsidRDefault="006A2BDC" w:rsidP="006E3F26">
            <w:pPr>
              <w:spacing w:after="0"/>
            </w:pPr>
            <w:r w:rsidRPr="00666CEB">
              <w:t>4 (0.8)</w:t>
            </w:r>
          </w:p>
        </w:tc>
        <w:tc>
          <w:tcPr>
            <w:tcW w:w="1330" w:type="dxa"/>
            <w:gridSpan w:val="2"/>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7 (2.2)</w:t>
            </w:r>
          </w:p>
        </w:tc>
        <w:tc>
          <w:tcPr>
            <w:tcW w:w="1418" w:type="dxa"/>
            <w:gridSpan w:val="3"/>
            <w:shd w:val="clear" w:color="auto" w:fill="auto"/>
          </w:tcPr>
          <w:p w:rsidR="006A2BDC" w:rsidRPr="00666CEB" w:rsidRDefault="006A2BDC" w:rsidP="006E3F26">
            <w:pPr>
              <w:spacing w:after="0"/>
            </w:pPr>
            <w:r w:rsidRPr="00666CEB">
              <w:t>2 (1.1)</w:t>
            </w:r>
          </w:p>
        </w:tc>
        <w:tc>
          <w:tcPr>
            <w:tcW w:w="1210" w:type="dxa"/>
            <w:gridSpan w:val="3"/>
            <w:shd w:val="clear" w:color="auto" w:fill="auto"/>
          </w:tcPr>
          <w:p w:rsidR="006A2BDC" w:rsidRPr="00666CEB" w:rsidRDefault="006A2BDC" w:rsidP="006E3F26">
            <w:pPr>
              <w:spacing w:after="0"/>
            </w:pPr>
            <w:r w:rsidRPr="00666CEB">
              <w:t>16 (3.1)</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Non-cardiac Chest Pain </w:t>
            </w:r>
          </w:p>
        </w:tc>
        <w:tc>
          <w:tcPr>
            <w:tcW w:w="1260" w:type="dxa"/>
            <w:shd w:val="clear" w:color="auto" w:fill="auto"/>
          </w:tcPr>
          <w:p w:rsidR="006A2BDC" w:rsidRPr="00666CEB" w:rsidRDefault="006A2BDC" w:rsidP="006E3F26">
            <w:pPr>
              <w:spacing w:after="0"/>
            </w:pPr>
            <w:r w:rsidRPr="00666CEB">
              <w:t>1 (0.2)</w:t>
            </w:r>
          </w:p>
        </w:tc>
        <w:tc>
          <w:tcPr>
            <w:tcW w:w="1330" w:type="dxa"/>
            <w:gridSpan w:val="2"/>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3 (0.9)</w:t>
            </w:r>
          </w:p>
        </w:tc>
        <w:tc>
          <w:tcPr>
            <w:tcW w:w="1418" w:type="dxa"/>
            <w:gridSpan w:val="3"/>
            <w:shd w:val="clear" w:color="auto" w:fill="auto"/>
          </w:tcPr>
          <w:p w:rsidR="006A2BDC" w:rsidRPr="00666CEB" w:rsidRDefault="006A2BDC" w:rsidP="006E3F26">
            <w:pPr>
              <w:spacing w:after="0"/>
            </w:pPr>
            <w:r w:rsidRPr="00666CEB">
              <w:t>1 (0.5)</w:t>
            </w:r>
          </w:p>
        </w:tc>
        <w:tc>
          <w:tcPr>
            <w:tcW w:w="1210" w:type="dxa"/>
            <w:gridSpan w:val="3"/>
            <w:shd w:val="clear" w:color="auto" w:fill="auto"/>
          </w:tcPr>
          <w:p w:rsidR="006A2BDC" w:rsidRPr="00666CEB" w:rsidRDefault="006A2BDC" w:rsidP="006E3F26">
            <w:pPr>
              <w:spacing w:after="0"/>
            </w:pPr>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keepNext/>
              <w:spacing w:after="0"/>
              <w:rPr>
                <w:b/>
              </w:rPr>
            </w:pPr>
            <w:r w:rsidRPr="00742694">
              <w:rPr>
                <w:b/>
              </w:rPr>
              <w:t>Immune System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Hypersensitivity </w:t>
            </w:r>
          </w:p>
        </w:tc>
        <w:tc>
          <w:tcPr>
            <w:tcW w:w="1260" w:type="dxa"/>
            <w:shd w:val="clear" w:color="auto" w:fill="auto"/>
          </w:tcPr>
          <w:p w:rsidR="006A2BDC" w:rsidRPr="00666CEB" w:rsidRDefault="006A2BDC" w:rsidP="006E3F26">
            <w:pPr>
              <w:spacing w:after="0"/>
            </w:pPr>
            <w:r w:rsidRPr="00666CEB">
              <w:t>1 (0.2)</w:t>
            </w:r>
          </w:p>
        </w:tc>
        <w:tc>
          <w:tcPr>
            <w:tcW w:w="1330" w:type="dxa"/>
            <w:gridSpan w:val="2"/>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3 (1.6)</w:t>
            </w:r>
          </w:p>
        </w:tc>
        <w:tc>
          <w:tcPr>
            <w:tcW w:w="1210" w:type="dxa"/>
            <w:gridSpan w:val="3"/>
            <w:shd w:val="clear" w:color="auto" w:fill="auto"/>
          </w:tcPr>
          <w:p w:rsidR="006A2BDC" w:rsidRPr="00666CEB" w:rsidRDefault="006A2BDC" w:rsidP="006E3F26">
            <w:pPr>
              <w:spacing w:after="0"/>
            </w:pPr>
            <w:r w:rsidRPr="00666CEB">
              <w:t>7 (1.4)</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keepNext/>
              <w:keepLines/>
              <w:spacing w:after="0"/>
              <w:rPr>
                <w:b/>
              </w:rPr>
            </w:pPr>
            <w:r w:rsidRPr="00742694">
              <w:rPr>
                <w:b/>
              </w:rPr>
              <w:t>Infections and Infestations</w:t>
            </w:r>
          </w:p>
        </w:tc>
      </w:tr>
      <w:tr w:rsidR="006A2BDC" w:rsidRPr="00666CEB" w:rsidTr="001660D6">
        <w:trPr>
          <w:trHeight w:val="300"/>
        </w:trPr>
        <w:tc>
          <w:tcPr>
            <w:tcW w:w="2448" w:type="dxa"/>
            <w:shd w:val="clear" w:color="auto" w:fill="auto"/>
            <w:noWrap/>
            <w:hideMark/>
          </w:tcPr>
          <w:p w:rsidR="006A2BDC" w:rsidRPr="00666CEB" w:rsidRDefault="006A2BDC" w:rsidP="006E3F26">
            <w:pPr>
              <w:keepNext/>
              <w:keepLines/>
              <w:spacing w:after="0"/>
            </w:pPr>
            <w:r w:rsidRPr="00666CEB">
              <w:t xml:space="preserve">Urinary Tract Infection </w:t>
            </w:r>
          </w:p>
        </w:tc>
        <w:tc>
          <w:tcPr>
            <w:tcW w:w="1260" w:type="dxa"/>
            <w:shd w:val="clear" w:color="auto" w:fill="auto"/>
          </w:tcPr>
          <w:p w:rsidR="006A2BDC" w:rsidRPr="00666CEB" w:rsidRDefault="006A2BDC" w:rsidP="006E3F26">
            <w:pPr>
              <w:keepNext/>
              <w:keepLines/>
              <w:spacing w:after="0"/>
            </w:pPr>
            <w:r w:rsidRPr="00666CEB">
              <w:t>4 (0.8)</w:t>
            </w:r>
          </w:p>
        </w:tc>
        <w:tc>
          <w:tcPr>
            <w:tcW w:w="1330" w:type="dxa"/>
            <w:gridSpan w:val="2"/>
            <w:shd w:val="clear" w:color="auto" w:fill="auto"/>
          </w:tcPr>
          <w:p w:rsidR="006A2BDC" w:rsidRPr="00666CEB" w:rsidRDefault="006A2BDC" w:rsidP="006E3F26">
            <w:pPr>
              <w:keepNext/>
              <w:keepLines/>
              <w:spacing w:after="0"/>
            </w:pPr>
            <w:r w:rsidRPr="00666CEB">
              <w:t>1 (0.3)</w:t>
            </w:r>
          </w:p>
        </w:tc>
        <w:tc>
          <w:tcPr>
            <w:tcW w:w="1352" w:type="dxa"/>
            <w:gridSpan w:val="3"/>
            <w:shd w:val="clear" w:color="auto" w:fill="auto"/>
          </w:tcPr>
          <w:p w:rsidR="006A2BDC" w:rsidRPr="00666CEB" w:rsidRDefault="006A2BDC" w:rsidP="006E3F26">
            <w:pPr>
              <w:keepNext/>
              <w:keepLines/>
              <w:spacing w:after="0"/>
            </w:pPr>
            <w:r w:rsidRPr="00666CEB">
              <w:t>4 (1.3)</w:t>
            </w:r>
          </w:p>
        </w:tc>
        <w:tc>
          <w:tcPr>
            <w:tcW w:w="1418" w:type="dxa"/>
            <w:gridSpan w:val="3"/>
            <w:shd w:val="clear" w:color="auto" w:fill="auto"/>
          </w:tcPr>
          <w:p w:rsidR="006A2BDC" w:rsidRPr="00666CEB" w:rsidRDefault="006A2BDC" w:rsidP="006E3F26">
            <w:pPr>
              <w:keepNext/>
              <w:keepLines/>
              <w:spacing w:after="0"/>
            </w:pPr>
            <w:r w:rsidRPr="00666CEB">
              <w:t>4 (2.2)</w:t>
            </w:r>
          </w:p>
        </w:tc>
        <w:tc>
          <w:tcPr>
            <w:tcW w:w="1210" w:type="dxa"/>
            <w:gridSpan w:val="3"/>
            <w:shd w:val="clear" w:color="auto" w:fill="auto"/>
          </w:tcPr>
          <w:p w:rsidR="006A2BDC" w:rsidRPr="00666CEB" w:rsidRDefault="006A2BDC" w:rsidP="006E3F26">
            <w:pPr>
              <w:keepNext/>
              <w:keepLines/>
              <w:spacing w:after="0"/>
            </w:pPr>
            <w:r w:rsidRPr="00666CEB">
              <w:t>13 (2.5)</w:t>
            </w:r>
          </w:p>
        </w:tc>
      </w:tr>
      <w:tr w:rsidR="006A2BDC" w:rsidRPr="00666CEB" w:rsidTr="001660D6">
        <w:trPr>
          <w:trHeight w:val="300"/>
        </w:trPr>
        <w:tc>
          <w:tcPr>
            <w:tcW w:w="2448" w:type="dxa"/>
            <w:shd w:val="clear" w:color="auto" w:fill="auto"/>
            <w:noWrap/>
            <w:hideMark/>
          </w:tcPr>
          <w:p w:rsidR="006A2BDC" w:rsidRPr="00666CEB" w:rsidRDefault="006A2BDC" w:rsidP="006E3F26">
            <w:pPr>
              <w:keepNext/>
              <w:keepLines/>
              <w:spacing w:after="0"/>
            </w:pPr>
            <w:r w:rsidRPr="00666CEB">
              <w:t xml:space="preserve">Pneumonia </w:t>
            </w:r>
          </w:p>
        </w:tc>
        <w:tc>
          <w:tcPr>
            <w:tcW w:w="1260" w:type="dxa"/>
            <w:shd w:val="clear" w:color="auto" w:fill="auto"/>
          </w:tcPr>
          <w:p w:rsidR="006A2BDC" w:rsidRPr="00666CEB" w:rsidRDefault="006A2BDC" w:rsidP="006E3F26">
            <w:pPr>
              <w:keepNext/>
              <w:keepLines/>
              <w:spacing w:after="0"/>
            </w:pPr>
            <w:r w:rsidRPr="00666CEB">
              <w:t>3 (0.6)</w:t>
            </w:r>
          </w:p>
        </w:tc>
        <w:tc>
          <w:tcPr>
            <w:tcW w:w="1330" w:type="dxa"/>
            <w:gridSpan w:val="2"/>
            <w:shd w:val="clear" w:color="auto" w:fill="auto"/>
          </w:tcPr>
          <w:p w:rsidR="006A2BDC" w:rsidRPr="00666CEB" w:rsidRDefault="006A2BDC" w:rsidP="006E3F26">
            <w:pPr>
              <w:keepNext/>
              <w:keepLines/>
              <w:spacing w:after="0"/>
            </w:pPr>
            <w:r w:rsidRPr="00666CEB">
              <w:t>4 (1.0)</w:t>
            </w:r>
          </w:p>
        </w:tc>
        <w:tc>
          <w:tcPr>
            <w:tcW w:w="1352" w:type="dxa"/>
            <w:gridSpan w:val="3"/>
            <w:shd w:val="clear" w:color="auto" w:fill="auto"/>
          </w:tcPr>
          <w:p w:rsidR="006A2BDC" w:rsidRPr="00666CEB" w:rsidRDefault="006A2BDC" w:rsidP="006E3F26">
            <w:pPr>
              <w:keepNext/>
              <w:keepLines/>
              <w:spacing w:after="0"/>
            </w:pPr>
            <w:r w:rsidRPr="00666CEB">
              <w:t>3 (0.9)</w:t>
            </w:r>
          </w:p>
        </w:tc>
        <w:tc>
          <w:tcPr>
            <w:tcW w:w="1418" w:type="dxa"/>
            <w:gridSpan w:val="3"/>
            <w:shd w:val="clear" w:color="auto" w:fill="auto"/>
          </w:tcPr>
          <w:p w:rsidR="006A2BDC" w:rsidRPr="00666CEB" w:rsidRDefault="006A2BDC" w:rsidP="006E3F26">
            <w:pPr>
              <w:keepNext/>
              <w:keepLines/>
              <w:spacing w:after="0"/>
            </w:pPr>
            <w:r w:rsidRPr="00666CEB">
              <w:t>1 (0.5)</w:t>
            </w:r>
          </w:p>
        </w:tc>
        <w:tc>
          <w:tcPr>
            <w:tcW w:w="1210" w:type="dxa"/>
            <w:gridSpan w:val="3"/>
            <w:shd w:val="clear" w:color="auto" w:fill="auto"/>
          </w:tcPr>
          <w:p w:rsidR="006A2BDC" w:rsidRPr="00666CEB" w:rsidRDefault="006A2BDC" w:rsidP="006E3F26">
            <w:pPr>
              <w:keepNext/>
              <w:keepLines/>
              <w:spacing w:after="0"/>
            </w:pPr>
            <w:r w:rsidRPr="00666CEB">
              <w:t>10 (1.9)</w:t>
            </w:r>
          </w:p>
        </w:tc>
      </w:tr>
      <w:tr w:rsidR="006A2BDC" w:rsidRPr="00666CEB" w:rsidTr="001660D6">
        <w:trPr>
          <w:trHeight w:val="300"/>
        </w:trPr>
        <w:tc>
          <w:tcPr>
            <w:tcW w:w="2448" w:type="dxa"/>
            <w:shd w:val="clear" w:color="auto" w:fill="auto"/>
            <w:noWrap/>
            <w:hideMark/>
          </w:tcPr>
          <w:p w:rsidR="006A2BDC" w:rsidRPr="00666CEB" w:rsidRDefault="006A2BDC" w:rsidP="006E3F26">
            <w:pPr>
              <w:keepNext/>
              <w:keepLines/>
              <w:spacing w:after="0"/>
            </w:pPr>
            <w:proofErr w:type="spellStart"/>
            <w:r w:rsidRPr="00666CEB">
              <w:t>Nasopharyngitis</w:t>
            </w:r>
            <w:proofErr w:type="spellEnd"/>
            <w:r w:rsidRPr="00666CEB">
              <w:t xml:space="preserve"> </w:t>
            </w:r>
          </w:p>
        </w:tc>
        <w:tc>
          <w:tcPr>
            <w:tcW w:w="1260" w:type="dxa"/>
            <w:shd w:val="clear" w:color="auto" w:fill="auto"/>
          </w:tcPr>
          <w:p w:rsidR="006A2BDC" w:rsidRPr="00666CEB" w:rsidRDefault="006A2BDC" w:rsidP="006E3F26">
            <w:pPr>
              <w:keepNext/>
              <w:keepLines/>
              <w:spacing w:after="0"/>
            </w:pPr>
            <w:r w:rsidRPr="00666CEB">
              <w:t>4 (0.8)</w:t>
            </w:r>
          </w:p>
        </w:tc>
        <w:tc>
          <w:tcPr>
            <w:tcW w:w="1330" w:type="dxa"/>
            <w:gridSpan w:val="2"/>
            <w:shd w:val="clear" w:color="auto" w:fill="auto"/>
          </w:tcPr>
          <w:p w:rsidR="006A2BDC" w:rsidRPr="00666CEB" w:rsidRDefault="006A2BDC" w:rsidP="006E3F26">
            <w:pPr>
              <w:keepNext/>
              <w:keepLines/>
              <w:spacing w:after="0"/>
            </w:pPr>
            <w:r w:rsidRPr="00666CEB">
              <w:t>2 (0.5)</w:t>
            </w:r>
          </w:p>
        </w:tc>
        <w:tc>
          <w:tcPr>
            <w:tcW w:w="1352" w:type="dxa"/>
            <w:gridSpan w:val="3"/>
            <w:shd w:val="clear" w:color="auto" w:fill="auto"/>
          </w:tcPr>
          <w:p w:rsidR="006A2BDC" w:rsidRPr="00666CEB" w:rsidRDefault="006A2BDC" w:rsidP="006E3F26">
            <w:pPr>
              <w:keepNext/>
              <w:keepLines/>
              <w:spacing w:after="0"/>
            </w:pPr>
            <w:r w:rsidRPr="00666CEB">
              <w:t>0 (0.0)</w:t>
            </w:r>
          </w:p>
        </w:tc>
        <w:tc>
          <w:tcPr>
            <w:tcW w:w="1418" w:type="dxa"/>
            <w:gridSpan w:val="3"/>
            <w:shd w:val="clear" w:color="auto" w:fill="auto"/>
          </w:tcPr>
          <w:p w:rsidR="006A2BDC" w:rsidRPr="00666CEB" w:rsidRDefault="006A2BDC" w:rsidP="006E3F26">
            <w:pPr>
              <w:keepNext/>
              <w:keepLines/>
              <w:spacing w:after="0"/>
            </w:pPr>
            <w:r w:rsidRPr="00666CEB">
              <w:t>3 (1.6)</w:t>
            </w:r>
          </w:p>
        </w:tc>
        <w:tc>
          <w:tcPr>
            <w:tcW w:w="1210" w:type="dxa"/>
            <w:gridSpan w:val="3"/>
            <w:shd w:val="clear" w:color="auto" w:fill="auto"/>
          </w:tcPr>
          <w:p w:rsidR="006A2BDC" w:rsidRPr="00666CEB" w:rsidRDefault="006A2BDC" w:rsidP="006E3F26">
            <w:pPr>
              <w:keepNext/>
              <w:keepLines/>
              <w:spacing w:after="0"/>
            </w:pPr>
            <w:r w:rsidRPr="00666CEB">
              <w:t>9 (1.7)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Infection </w:t>
            </w:r>
          </w:p>
        </w:tc>
        <w:tc>
          <w:tcPr>
            <w:tcW w:w="1260" w:type="dxa"/>
            <w:shd w:val="clear" w:color="auto" w:fill="auto"/>
          </w:tcPr>
          <w:p w:rsidR="006A2BDC" w:rsidRPr="00666CEB" w:rsidRDefault="006A2BDC" w:rsidP="006E3F26">
            <w:pPr>
              <w:spacing w:after="0"/>
            </w:pPr>
            <w:r w:rsidRPr="00666CEB">
              <w:t>4 (0.8)</w:t>
            </w:r>
          </w:p>
        </w:tc>
        <w:tc>
          <w:tcPr>
            <w:tcW w:w="1330" w:type="dxa"/>
            <w:gridSpan w:val="2"/>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3 (1.6)</w:t>
            </w:r>
          </w:p>
        </w:tc>
        <w:tc>
          <w:tcPr>
            <w:tcW w:w="1210" w:type="dxa"/>
            <w:gridSpan w:val="3"/>
            <w:shd w:val="clear" w:color="auto" w:fill="auto"/>
          </w:tcPr>
          <w:p w:rsidR="006A2BDC" w:rsidRPr="00666CEB" w:rsidRDefault="006A2BDC" w:rsidP="006E3F26">
            <w:pPr>
              <w:spacing w:after="0"/>
            </w:pPr>
            <w:r w:rsidRPr="00666CEB">
              <w:t>8 (1.6)</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Rhinitis </w:t>
            </w:r>
          </w:p>
        </w:tc>
        <w:tc>
          <w:tcPr>
            <w:tcW w:w="1260" w:type="dxa"/>
            <w:shd w:val="clear" w:color="auto" w:fill="auto"/>
          </w:tcPr>
          <w:p w:rsidR="006A2BDC" w:rsidRPr="00666CEB" w:rsidRDefault="006A2BDC" w:rsidP="006E3F26">
            <w:pPr>
              <w:spacing w:after="0"/>
            </w:pPr>
            <w:r w:rsidRPr="00666CEB">
              <w:t>2 (0.4)</w:t>
            </w:r>
          </w:p>
        </w:tc>
        <w:tc>
          <w:tcPr>
            <w:tcW w:w="1348" w:type="dxa"/>
            <w:gridSpan w:val="3"/>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0 (0.0)</w:t>
            </w:r>
          </w:p>
        </w:tc>
        <w:tc>
          <w:tcPr>
            <w:tcW w:w="1418" w:type="dxa"/>
            <w:gridSpan w:val="3"/>
            <w:shd w:val="clear" w:color="auto" w:fill="auto"/>
          </w:tcPr>
          <w:p w:rsidR="006A2BDC" w:rsidRPr="00666CEB" w:rsidRDefault="006A2BDC" w:rsidP="006E3F26">
            <w:pPr>
              <w:spacing w:after="0"/>
            </w:pPr>
            <w:r w:rsidRPr="00666CEB">
              <w:t>1 (0.5)</w:t>
            </w:r>
          </w:p>
        </w:tc>
        <w:tc>
          <w:tcPr>
            <w:tcW w:w="1192" w:type="dxa"/>
            <w:gridSpan w:val="2"/>
            <w:shd w:val="clear" w:color="auto" w:fill="auto"/>
          </w:tcPr>
          <w:p w:rsidR="006A2BDC" w:rsidRPr="00666CEB" w:rsidRDefault="006A2BDC" w:rsidP="006E3F26">
            <w:pPr>
              <w:spacing w:after="0"/>
            </w:pPr>
            <w:r w:rsidRPr="00666CEB">
              <w:t>6 (1.2)</w:t>
            </w:r>
          </w:p>
        </w:tc>
      </w:tr>
      <w:tr w:rsidR="006A2BDC" w:rsidRPr="00666CEB" w:rsidTr="001660D6">
        <w:trPr>
          <w:trHeight w:val="350"/>
        </w:trPr>
        <w:tc>
          <w:tcPr>
            <w:tcW w:w="9018" w:type="dxa"/>
            <w:gridSpan w:val="13"/>
            <w:shd w:val="clear" w:color="auto" w:fill="auto"/>
            <w:noWrap/>
            <w:hideMark/>
          </w:tcPr>
          <w:p w:rsidR="006A2BDC" w:rsidRPr="00742694" w:rsidRDefault="006A2BDC" w:rsidP="006E3F26">
            <w:pPr>
              <w:spacing w:after="0"/>
              <w:rPr>
                <w:b/>
              </w:rPr>
            </w:pPr>
            <w:r w:rsidRPr="00742694">
              <w:rPr>
                <w:b/>
              </w:rPr>
              <w:t>Investigations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Weight Decreased </w:t>
            </w:r>
          </w:p>
        </w:tc>
        <w:tc>
          <w:tcPr>
            <w:tcW w:w="1347" w:type="dxa"/>
            <w:gridSpan w:val="2"/>
            <w:shd w:val="clear" w:color="auto" w:fill="auto"/>
          </w:tcPr>
          <w:p w:rsidR="006A2BDC" w:rsidRPr="00666CEB" w:rsidRDefault="006A2BDC" w:rsidP="006E3F26">
            <w:pPr>
              <w:spacing w:after="0"/>
            </w:pPr>
            <w:r w:rsidRPr="00666CEB">
              <w:t>2 (0.4)</w:t>
            </w:r>
          </w:p>
        </w:tc>
        <w:tc>
          <w:tcPr>
            <w:tcW w:w="1276" w:type="dxa"/>
            <w:gridSpan w:val="3"/>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Metabolism and Nutrition Disorders</w:t>
            </w:r>
          </w:p>
        </w:tc>
      </w:tr>
      <w:tr w:rsidR="007F5FA8"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Dehydration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7 (1.8)</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7 (3.8)</w:t>
            </w:r>
          </w:p>
        </w:tc>
        <w:tc>
          <w:tcPr>
            <w:tcW w:w="1177" w:type="dxa"/>
            <w:shd w:val="clear" w:color="auto" w:fill="auto"/>
          </w:tcPr>
          <w:p w:rsidR="006A2BDC" w:rsidRPr="00666CEB" w:rsidRDefault="006A2BDC" w:rsidP="006E3F26">
            <w:pPr>
              <w:spacing w:after="0"/>
            </w:pPr>
            <w:r w:rsidRPr="00666CEB">
              <w:t>18 (3.5)</w:t>
            </w:r>
          </w:p>
        </w:tc>
      </w:tr>
      <w:tr w:rsidR="007F5FA8" w:rsidRPr="00666CEB" w:rsidTr="005D5EA9">
        <w:trPr>
          <w:trHeight w:val="305"/>
        </w:trPr>
        <w:tc>
          <w:tcPr>
            <w:tcW w:w="2448" w:type="dxa"/>
            <w:shd w:val="clear" w:color="auto" w:fill="auto"/>
            <w:noWrap/>
            <w:hideMark/>
          </w:tcPr>
          <w:p w:rsidR="006A2BDC" w:rsidRPr="00666CEB" w:rsidRDefault="006A2BDC" w:rsidP="006E3F26">
            <w:pPr>
              <w:spacing w:after="0"/>
            </w:pPr>
            <w:r w:rsidRPr="00666CEB">
              <w:t xml:space="preserve">Decreased Appetite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5 (1.6)</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11 (2.1)</w:t>
            </w:r>
          </w:p>
        </w:tc>
      </w:tr>
      <w:tr w:rsidR="007F5FA8" w:rsidRPr="00666CEB" w:rsidTr="001660D6">
        <w:trPr>
          <w:trHeight w:val="300"/>
        </w:trPr>
        <w:tc>
          <w:tcPr>
            <w:tcW w:w="2448" w:type="dxa"/>
            <w:shd w:val="clear" w:color="auto" w:fill="auto"/>
            <w:noWrap/>
            <w:hideMark/>
          </w:tcPr>
          <w:p w:rsidR="006A2BDC" w:rsidRPr="00666CEB" w:rsidRDefault="006A2BDC" w:rsidP="006E3F26">
            <w:pPr>
              <w:spacing w:after="0"/>
            </w:pPr>
            <w:r w:rsidRPr="00666CEB">
              <w:lastRenderedPageBreak/>
              <w:t xml:space="preserve">Hyperglycaemia </w:t>
            </w:r>
          </w:p>
        </w:tc>
        <w:tc>
          <w:tcPr>
            <w:tcW w:w="1347" w:type="dxa"/>
            <w:gridSpan w:val="2"/>
            <w:shd w:val="clear" w:color="auto" w:fill="auto"/>
          </w:tcPr>
          <w:p w:rsidR="006A2BDC" w:rsidRPr="00666CEB" w:rsidRDefault="006A2BDC" w:rsidP="006E3F26">
            <w:pPr>
              <w:spacing w:after="0"/>
            </w:pPr>
            <w:r w:rsidRPr="00666CEB">
              <w:t>3 (0.6)</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1 (0.5)</w:t>
            </w:r>
          </w:p>
        </w:tc>
        <w:tc>
          <w:tcPr>
            <w:tcW w:w="1177" w:type="dxa"/>
            <w:shd w:val="clear" w:color="auto" w:fill="auto"/>
          </w:tcPr>
          <w:p w:rsidR="006A2BDC" w:rsidRPr="00666CEB" w:rsidRDefault="006A2BDC" w:rsidP="006E3F26">
            <w:pPr>
              <w:spacing w:after="0"/>
            </w:pPr>
            <w:r w:rsidRPr="00666CEB">
              <w:t>8 (1.6)</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Musculoskeletal and Connective Tissue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Back Pain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5 (1.6)</w:t>
            </w:r>
          </w:p>
        </w:tc>
        <w:tc>
          <w:tcPr>
            <w:tcW w:w="1418" w:type="dxa"/>
            <w:gridSpan w:val="3"/>
            <w:shd w:val="clear" w:color="auto" w:fill="auto"/>
          </w:tcPr>
          <w:p w:rsidR="006A2BDC" w:rsidRPr="00666CEB" w:rsidRDefault="006A2BDC" w:rsidP="006E3F26">
            <w:pPr>
              <w:spacing w:after="0"/>
            </w:pPr>
            <w:r w:rsidRPr="00666CEB">
              <w:t>1 (0.5)</w:t>
            </w:r>
          </w:p>
        </w:tc>
        <w:tc>
          <w:tcPr>
            <w:tcW w:w="1177" w:type="dxa"/>
            <w:shd w:val="clear" w:color="auto" w:fill="auto"/>
          </w:tcPr>
          <w:p w:rsidR="006A2BDC" w:rsidRPr="00666CEB" w:rsidRDefault="006A2BDC" w:rsidP="006E3F26">
            <w:pPr>
              <w:spacing w:after="0"/>
            </w:pPr>
            <w:r w:rsidRPr="00666CEB">
              <w:t>7 (1.4)</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Pain In Extremity </w:t>
            </w:r>
          </w:p>
        </w:tc>
        <w:tc>
          <w:tcPr>
            <w:tcW w:w="1347" w:type="dxa"/>
            <w:gridSpan w:val="2"/>
            <w:shd w:val="clear" w:color="auto" w:fill="auto"/>
          </w:tcPr>
          <w:p w:rsidR="006A2BDC" w:rsidRPr="00666CEB" w:rsidRDefault="006A2BDC" w:rsidP="006E3F26">
            <w:pPr>
              <w:spacing w:after="0"/>
            </w:pPr>
            <w:r w:rsidRPr="00666CEB">
              <w:t>0 (0.0)</w:t>
            </w:r>
          </w:p>
        </w:tc>
        <w:tc>
          <w:tcPr>
            <w:tcW w:w="1276" w:type="dxa"/>
            <w:gridSpan w:val="3"/>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7 (1.4)</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Cancer Pain </w:t>
            </w:r>
          </w:p>
        </w:tc>
        <w:tc>
          <w:tcPr>
            <w:tcW w:w="1347" w:type="dxa"/>
            <w:gridSpan w:val="2"/>
            <w:shd w:val="clear" w:color="auto" w:fill="auto"/>
          </w:tcPr>
          <w:p w:rsidR="006A2BDC" w:rsidRPr="00666CEB" w:rsidRDefault="006A2BDC" w:rsidP="006E3F26">
            <w:pPr>
              <w:spacing w:after="0"/>
            </w:pPr>
            <w:r w:rsidRPr="00666CEB">
              <w:t>3 (0.6)</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5 (1.6)</w:t>
            </w:r>
          </w:p>
        </w:tc>
        <w:tc>
          <w:tcPr>
            <w:tcW w:w="1418" w:type="dxa"/>
            <w:gridSpan w:val="3"/>
            <w:shd w:val="clear" w:color="auto" w:fill="auto"/>
          </w:tcPr>
          <w:p w:rsidR="006A2BDC" w:rsidRPr="00666CEB" w:rsidRDefault="006A2BDC" w:rsidP="006E3F26">
            <w:pPr>
              <w:spacing w:after="0"/>
            </w:pPr>
            <w:r w:rsidRPr="00666CEB">
              <w:t>4 (2.2)</w:t>
            </w:r>
          </w:p>
        </w:tc>
        <w:tc>
          <w:tcPr>
            <w:tcW w:w="1177" w:type="dxa"/>
            <w:shd w:val="clear" w:color="auto" w:fill="auto"/>
          </w:tcPr>
          <w:p w:rsidR="006A2BDC" w:rsidRPr="00666CEB" w:rsidRDefault="006A2BDC" w:rsidP="006E3F26">
            <w:pPr>
              <w:spacing w:after="0"/>
            </w:pPr>
            <w:r w:rsidRPr="00666CEB">
              <w:t>13 (2.5)</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Nervous System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Dizziness </w:t>
            </w:r>
          </w:p>
        </w:tc>
        <w:tc>
          <w:tcPr>
            <w:tcW w:w="1347" w:type="dxa"/>
            <w:gridSpan w:val="2"/>
            <w:shd w:val="clear" w:color="auto" w:fill="auto"/>
          </w:tcPr>
          <w:p w:rsidR="006A2BDC" w:rsidRPr="00666CEB" w:rsidRDefault="006A2BDC" w:rsidP="006E3F26">
            <w:pPr>
              <w:spacing w:after="0"/>
            </w:pPr>
            <w:r w:rsidRPr="00666CEB">
              <w:t>16 (3.3)</w:t>
            </w:r>
          </w:p>
        </w:tc>
        <w:tc>
          <w:tcPr>
            <w:tcW w:w="1276" w:type="dxa"/>
            <w:gridSpan w:val="3"/>
            <w:shd w:val="clear" w:color="auto" w:fill="auto"/>
          </w:tcPr>
          <w:p w:rsidR="006A2BDC" w:rsidRPr="00666CEB" w:rsidRDefault="006A2BDC" w:rsidP="006E3F26">
            <w:pPr>
              <w:spacing w:after="0"/>
            </w:pPr>
            <w:r w:rsidRPr="00666CEB">
              <w:t>14 (3.6)</w:t>
            </w:r>
          </w:p>
        </w:tc>
        <w:tc>
          <w:tcPr>
            <w:tcW w:w="1352" w:type="dxa"/>
            <w:gridSpan w:val="3"/>
            <w:shd w:val="clear" w:color="auto" w:fill="auto"/>
          </w:tcPr>
          <w:p w:rsidR="006A2BDC" w:rsidRPr="00666CEB" w:rsidRDefault="006A2BDC" w:rsidP="006E3F26">
            <w:pPr>
              <w:spacing w:after="0"/>
            </w:pPr>
            <w:r w:rsidRPr="00666CEB">
              <w:t>8 (2.5)</w:t>
            </w:r>
          </w:p>
        </w:tc>
        <w:tc>
          <w:tcPr>
            <w:tcW w:w="1418" w:type="dxa"/>
            <w:gridSpan w:val="3"/>
            <w:shd w:val="clear" w:color="auto" w:fill="auto"/>
          </w:tcPr>
          <w:p w:rsidR="006A2BDC" w:rsidRPr="00666CEB" w:rsidRDefault="006A2BDC" w:rsidP="006E3F26">
            <w:pPr>
              <w:spacing w:after="0"/>
            </w:pPr>
            <w:r w:rsidRPr="00666CEB">
              <w:t>9 (4.9)</w:t>
            </w:r>
          </w:p>
        </w:tc>
        <w:tc>
          <w:tcPr>
            <w:tcW w:w="1177" w:type="dxa"/>
            <w:shd w:val="clear" w:color="auto" w:fill="auto"/>
          </w:tcPr>
          <w:p w:rsidR="006A2BDC" w:rsidRPr="00666CEB" w:rsidRDefault="006A2BDC" w:rsidP="006E3F26">
            <w:pPr>
              <w:spacing w:after="0"/>
            </w:pPr>
            <w:r w:rsidRPr="00666CEB">
              <w:t>42 (8.1)</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Somnolence </w:t>
            </w:r>
          </w:p>
        </w:tc>
        <w:tc>
          <w:tcPr>
            <w:tcW w:w="1347" w:type="dxa"/>
            <w:gridSpan w:val="2"/>
            <w:shd w:val="clear" w:color="auto" w:fill="auto"/>
          </w:tcPr>
          <w:p w:rsidR="006A2BDC" w:rsidRPr="00666CEB" w:rsidRDefault="006A2BDC" w:rsidP="006E3F26">
            <w:pPr>
              <w:spacing w:after="0"/>
            </w:pPr>
            <w:r w:rsidRPr="00666CEB">
              <w:t>10 (2.1)</w:t>
            </w:r>
          </w:p>
        </w:tc>
        <w:tc>
          <w:tcPr>
            <w:tcW w:w="1276" w:type="dxa"/>
            <w:gridSpan w:val="3"/>
            <w:shd w:val="clear" w:color="auto" w:fill="auto"/>
          </w:tcPr>
          <w:p w:rsidR="006A2BDC" w:rsidRPr="00666CEB" w:rsidRDefault="006A2BDC" w:rsidP="006E3F26">
            <w:pPr>
              <w:spacing w:after="0"/>
            </w:pPr>
            <w:r w:rsidRPr="00666CEB">
              <w:t>8 (2.1)</w:t>
            </w:r>
          </w:p>
        </w:tc>
        <w:tc>
          <w:tcPr>
            <w:tcW w:w="1352" w:type="dxa"/>
            <w:gridSpan w:val="3"/>
            <w:shd w:val="clear" w:color="auto" w:fill="auto"/>
          </w:tcPr>
          <w:p w:rsidR="006A2BDC" w:rsidRPr="00666CEB" w:rsidRDefault="006A2BDC" w:rsidP="006E3F26">
            <w:pPr>
              <w:spacing w:after="0"/>
            </w:pPr>
            <w:r w:rsidRPr="00666CEB">
              <w:t>14 (4.4)</w:t>
            </w:r>
          </w:p>
        </w:tc>
        <w:tc>
          <w:tcPr>
            <w:tcW w:w="1418" w:type="dxa"/>
            <w:gridSpan w:val="3"/>
            <w:shd w:val="clear" w:color="auto" w:fill="auto"/>
          </w:tcPr>
          <w:p w:rsidR="006A2BDC" w:rsidRPr="00666CEB" w:rsidRDefault="006A2BDC" w:rsidP="006E3F26">
            <w:pPr>
              <w:spacing w:after="0"/>
            </w:pPr>
            <w:r w:rsidRPr="00666CEB">
              <w:t>7 (3.8)</w:t>
            </w:r>
          </w:p>
        </w:tc>
        <w:tc>
          <w:tcPr>
            <w:tcW w:w="1177" w:type="dxa"/>
            <w:shd w:val="clear" w:color="auto" w:fill="auto"/>
          </w:tcPr>
          <w:p w:rsidR="006A2BDC" w:rsidRPr="00666CEB" w:rsidRDefault="006A2BDC" w:rsidP="006E3F26">
            <w:pPr>
              <w:spacing w:after="0"/>
            </w:pPr>
            <w:r w:rsidRPr="00666CEB">
              <w:t>36 (7.0)</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Headache </w:t>
            </w:r>
          </w:p>
        </w:tc>
        <w:tc>
          <w:tcPr>
            <w:tcW w:w="1347" w:type="dxa"/>
            <w:gridSpan w:val="2"/>
            <w:shd w:val="clear" w:color="auto" w:fill="auto"/>
          </w:tcPr>
          <w:p w:rsidR="006A2BDC" w:rsidRPr="00666CEB" w:rsidRDefault="006A2BDC" w:rsidP="006E3F26">
            <w:pPr>
              <w:spacing w:after="0"/>
            </w:pPr>
            <w:r w:rsidRPr="00666CEB">
              <w:t>9 (1.9)</w:t>
            </w:r>
          </w:p>
        </w:tc>
        <w:tc>
          <w:tcPr>
            <w:tcW w:w="1276" w:type="dxa"/>
            <w:gridSpan w:val="3"/>
            <w:shd w:val="clear" w:color="auto" w:fill="auto"/>
          </w:tcPr>
          <w:p w:rsidR="006A2BDC" w:rsidRPr="00666CEB" w:rsidRDefault="006A2BDC" w:rsidP="006E3F26">
            <w:pPr>
              <w:spacing w:after="0"/>
            </w:pPr>
            <w:r w:rsidRPr="00666CEB">
              <w:t>7 (1.8)</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20 (3.9)</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proofErr w:type="spellStart"/>
            <w:r w:rsidRPr="00666CEB">
              <w:t>Dysgeusia</w:t>
            </w:r>
            <w:proofErr w:type="spellEnd"/>
            <w:r w:rsidRPr="00666CEB">
              <w:t xml:space="preserve"> </w:t>
            </w:r>
          </w:p>
        </w:tc>
        <w:tc>
          <w:tcPr>
            <w:tcW w:w="1347" w:type="dxa"/>
            <w:gridSpan w:val="2"/>
            <w:shd w:val="clear" w:color="auto" w:fill="auto"/>
          </w:tcPr>
          <w:p w:rsidR="006A2BDC" w:rsidRPr="00666CEB" w:rsidRDefault="006A2BDC" w:rsidP="006E3F26">
            <w:pPr>
              <w:spacing w:after="0"/>
            </w:pPr>
            <w:r w:rsidRPr="00666CEB">
              <w:t>5 (1.0)</w:t>
            </w:r>
          </w:p>
        </w:tc>
        <w:tc>
          <w:tcPr>
            <w:tcW w:w="1276" w:type="dxa"/>
            <w:gridSpan w:val="3"/>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1 (0.5)</w:t>
            </w:r>
          </w:p>
        </w:tc>
        <w:tc>
          <w:tcPr>
            <w:tcW w:w="1177" w:type="dxa"/>
            <w:shd w:val="clear" w:color="auto" w:fill="auto"/>
          </w:tcPr>
          <w:p w:rsidR="006A2BDC" w:rsidRPr="00666CEB" w:rsidRDefault="006A2BDC" w:rsidP="006E3F26">
            <w:pPr>
              <w:spacing w:after="0"/>
            </w:pPr>
            <w:r w:rsidRPr="00666CEB">
              <w:t>9 (1.7)</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Psychiatric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Anxiety </w:t>
            </w:r>
          </w:p>
        </w:tc>
        <w:tc>
          <w:tcPr>
            <w:tcW w:w="1347" w:type="dxa"/>
            <w:gridSpan w:val="2"/>
            <w:shd w:val="clear" w:color="auto" w:fill="auto"/>
          </w:tcPr>
          <w:p w:rsidR="006A2BDC" w:rsidRPr="00666CEB" w:rsidRDefault="006A2BDC" w:rsidP="006E3F26">
            <w:pPr>
              <w:spacing w:after="0"/>
            </w:pPr>
            <w:r w:rsidRPr="00666CEB">
              <w:t>4 (0.8)</w:t>
            </w:r>
          </w:p>
        </w:tc>
        <w:tc>
          <w:tcPr>
            <w:tcW w:w="1276" w:type="dxa"/>
            <w:gridSpan w:val="3"/>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7 (2.2)</w:t>
            </w:r>
          </w:p>
        </w:tc>
        <w:tc>
          <w:tcPr>
            <w:tcW w:w="1418" w:type="dxa"/>
            <w:gridSpan w:val="3"/>
            <w:shd w:val="clear" w:color="auto" w:fill="auto"/>
          </w:tcPr>
          <w:p w:rsidR="006A2BDC" w:rsidRPr="00666CEB" w:rsidRDefault="006A2BDC" w:rsidP="006E3F26">
            <w:pPr>
              <w:spacing w:after="0"/>
            </w:pPr>
            <w:r w:rsidRPr="00666CEB">
              <w:t>3 (1.6)</w:t>
            </w:r>
          </w:p>
        </w:tc>
        <w:tc>
          <w:tcPr>
            <w:tcW w:w="1177" w:type="dxa"/>
            <w:shd w:val="clear" w:color="auto" w:fill="auto"/>
          </w:tcPr>
          <w:p w:rsidR="006A2BDC" w:rsidRPr="00666CEB" w:rsidRDefault="006A2BDC" w:rsidP="006E3F26">
            <w:pPr>
              <w:spacing w:after="0"/>
            </w:pPr>
            <w:r w:rsidRPr="00666CEB">
              <w:t>17 (3.3)</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Insomnia </w:t>
            </w:r>
          </w:p>
        </w:tc>
        <w:tc>
          <w:tcPr>
            <w:tcW w:w="1347" w:type="dxa"/>
            <w:gridSpan w:val="2"/>
            <w:shd w:val="clear" w:color="auto" w:fill="auto"/>
          </w:tcPr>
          <w:p w:rsidR="006A2BDC" w:rsidRPr="00666CEB" w:rsidRDefault="006A2BDC" w:rsidP="006E3F26">
            <w:pPr>
              <w:spacing w:after="0"/>
            </w:pPr>
            <w:r w:rsidRPr="00666CEB">
              <w:t>2 (0.4)</w:t>
            </w:r>
          </w:p>
        </w:tc>
        <w:tc>
          <w:tcPr>
            <w:tcW w:w="1276" w:type="dxa"/>
            <w:gridSpan w:val="3"/>
            <w:shd w:val="clear" w:color="auto" w:fill="auto"/>
          </w:tcPr>
          <w:p w:rsidR="006A2BDC" w:rsidRPr="00666CEB" w:rsidRDefault="006A2BDC" w:rsidP="006E3F26">
            <w:pPr>
              <w:spacing w:after="0"/>
            </w:pPr>
            <w:r w:rsidRPr="00666CEB">
              <w:t>6 (1.5)</w:t>
            </w:r>
          </w:p>
        </w:tc>
        <w:tc>
          <w:tcPr>
            <w:tcW w:w="1352" w:type="dxa"/>
            <w:gridSpan w:val="3"/>
            <w:shd w:val="clear" w:color="auto" w:fill="auto"/>
          </w:tcPr>
          <w:p w:rsidR="006A2BDC" w:rsidRPr="00666CEB" w:rsidRDefault="006A2BDC" w:rsidP="006E3F26">
            <w:pPr>
              <w:spacing w:after="0"/>
            </w:pPr>
            <w:r w:rsidRPr="00666CEB">
              <w:t>6 (1.9)</w:t>
            </w:r>
          </w:p>
        </w:tc>
        <w:tc>
          <w:tcPr>
            <w:tcW w:w="1418" w:type="dxa"/>
            <w:gridSpan w:val="3"/>
            <w:shd w:val="clear" w:color="auto" w:fill="auto"/>
          </w:tcPr>
          <w:p w:rsidR="006A2BDC" w:rsidRPr="00666CEB" w:rsidRDefault="006A2BDC" w:rsidP="006E3F26">
            <w:pPr>
              <w:spacing w:after="0"/>
            </w:pPr>
            <w:r w:rsidRPr="00666CEB">
              <w:t>3 (1.6)</w:t>
            </w:r>
          </w:p>
        </w:tc>
        <w:tc>
          <w:tcPr>
            <w:tcW w:w="1177" w:type="dxa"/>
            <w:shd w:val="clear" w:color="auto" w:fill="auto"/>
          </w:tcPr>
          <w:p w:rsidR="006A2BDC" w:rsidRPr="00666CEB" w:rsidRDefault="006A2BDC" w:rsidP="006E3F26">
            <w:pPr>
              <w:spacing w:after="0"/>
            </w:pPr>
            <w:r w:rsidRPr="00666CEB">
              <w:t>17 (3.3)</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Depression </w:t>
            </w:r>
          </w:p>
        </w:tc>
        <w:tc>
          <w:tcPr>
            <w:tcW w:w="1347" w:type="dxa"/>
            <w:gridSpan w:val="2"/>
            <w:shd w:val="clear" w:color="auto" w:fill="auto"/>
          </w:tcPr>
          <w:p w:rsidR="006A2BDC" w:rsidRPr="00666CEB" w:rsidRDefault="006A2BDC" w:rsidP="006E3F26">
            <w:pPr>
              <w:spacing w:after="0"/>
            </w:pPr>
            <w:r w:rsidRPr="00666CEB">
              <w:t>3 (0.6)</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0 (0.0)</w:t>
            </w:r>
          </w:p>
        </w:tc>
        <w:tc>
          <w:tcPr>
            <w:tcW w:w="1418" w:type="dxa"/>
            <w:gridSpan w:val="3"/>
            <w:shd w:val="clear" w:color="auto" w:fill="auto"/>
          </w:tcPr>
          <w:p w:rsidR="006A2BDC" w:rsidRPr="00666CEB" w:rsidRDefault="006A2BDC" w:rsidP="006E3F26">
            <w:pPr>
              <w:spacing w:after="0"/>
            </w:pPr>
            <w:r w:rsidRPr="00666CEB">
              <w:t>5 (2.7)</w:t>
            </w:r>
          </w:p>
        </w:tc>
        <w:tc>
          <w:tcPr>
            <w:tcW w:w="1177" w:type="dxa"/>
            <w:shd w:val="clear" w:color="auto" w:fill="auto"/>
          </w:tcPr>
          <w:p w:rsidR="006A2BDC" w:rsidRPr="00666CEB" w:rsidRDefault="006A2BDC" w:rsidP="006E3F26">
            <w:pPr>
              <w:spacing w:after="0"/>
            </w:pPr>
            <w:r w:rsidRPr="00666CEB">
              <w:t>10 (1.9)</w:t>
            </w:r>
          </w:p>
        </w:tc>
      </w:tr>
      <w:tr w:rsidR="006A2BDC" w:rsidRPr="00666CEB" w:rsidTr="006E3F26">
        <w:trPr>
          <w:trHeight w:val="312"/>
        </w:trPr>
        <w:tc>
          <w:tcPr>
            <w:tcW w:w="2448" w:type="dxa"/>
            <w:shd w:val="clear" w:color="auto" w:fill="auto"/>
            <w:noWrap/>
            <w:hideMark/>
          </w:tcPr>
          <w:p w:rsidR="006A2BDC" w:rsidRPr="00666CEB" w:rsidRDefault="006A2BDC" w:rsidP="006E3F26">
            <w:pPr>
              <w:spacing w:after="0"/>
            </w:pPr>
            <w:proofErr w:type="spellStart"/>
            <w:r w:rsidRPr="00666CEB">
              <w:t>Confusional</w:t>
            </w:r>
            <w:proofErr w:type="spellEnd"/>
            <w:r w:rsidRPr="00666CEB">
              <w:t xml:space="preserve"> State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5 (1.6)</w:t>
            </w:r>
          </w:p>
        </w:tc>
        <w:tc>
          <w:tcPr>
            <w:tcW w:w="1418" w:type="dxa"/>
            <w:gridSpan w:val="3"/>
            <w:shd w:val="clear" w:color="auto" w:fill="auto"/>
          </w:tcPr>
          <w:p w:rsidR="006A2BDC" w:rsidRPr="00666CEB" w:rsidRDefault="006A2BDC" w:rsidP="006E3F26">
            <w:pPr>
              <w:spacing w:after="0"/>
            </w:pPr>
            <w:r w:rsidRPr="00666CEB">
              <w:t>3 (1.6)</w:t>
            </w:r>
          </w:p>
        </w:tc>
        <w:tc>
          <w:tcPr>
            <w:tcW w:w="1177" w:type="dxa"/>
            <w:shd w:val="clear" w:color="auto" w:fill="auto"/>
          </w:tcPr>
          <w:p w:rsidR="006A2BDC" w:rsidRPr="00666CEB" w:rsidRDefault="006A2BDC" w:rsidP="006E3F26">
            <w:pPr>
              <w:spacing w:after="0"/>
            </w:pPr>
            <w:r w:rsidRPr="00666CEB">
              <w:t>9 (1.7)</w:t>
            </w:r>
          </w:p>
        </w:tc>
      </w:tr>
      <w:tr w:rsidR="006A2BDC" w:rsidRPr="00666CEB" w:rsidTr="006E3F26">
        <w:trPr>
          <w:trHeight w:val="289"/>
        </w:trPr>
        <w:tc>
          <w:tcPr>
            <w:tcW w:w="2448" w:type="dxa"/>
            <w:shd w:val="clear" w:color="auto" w:fill="auto"/>
            <w:noWrap/>
            <w:hideMark/>
          </w:tcPr>
          <w:p w:rsidR="006A2BDC" w:rsidRPr="00666CEB" w:rsidRDefault="006A2BDC" w:rsidP="006E3F26">
            <w:pPr>
              <w:spacing w:after="0"/>
            </w:pPr>
            <w:r w:rsidRPr="00666CEB">
              <w:t xml:space="preserve">Disorientation </w:t>
            </w:r>
          </w:p>
        </w:tc>
        <w:tc>
          <w:tcPr>
            <w:tcW w:w="1347" w:type="dxa"/>
            <w:gridSpan w:val="2"/>
            <w:shd w:val="clear" w:color="auto" w:fill="auto"/>
          </w:tcPr>
          <w:p w:rsidR="006A2BDC" w:rsidRPr="00666CEB" w:rsidRDefault="006A2BDC" w:rsidP="006E3F26">
            <w:pPr>
              <w:spacing w:after="0"/>
            </w:pPr>
            <w:r w:rsidRPr="00666CEB">
              <w:t>2 (0.4)</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0 (0.0)</w:t>
            </w:r>
          </w:p>
        </w:tc>
        <w:tc>
          <w:tcPr>
            <w:tcW w:w="1177" w:type="dxa"/>
            <w:shd w:val="clear" w:color="auto" w:fill="auto"/>
          </w:tcPr>
          <w:p w:rsidR="006A2BDC" w:rsidRPr="00666CEB" w:rsidRDefault="006A2BDC" w:rsidP="006E3F26">
            <w:pPr>
              <w:spacing w:after="0"/>
            </w:pPr>
            <w:r w:rsidRPr="00666CEB">
              <w:t>7 (1.4)</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 xml:space="preserve">Respiratory, Thoracic and </w:t>
            </w:r>
            <w:proofErr w:type="spellStart"/>
            <w:r w:rsidRPr="00742694">
              <w:rPr>
                <w:b/>
              </w:rPr>
              <w:t>Mediastinal</w:t>
            </w:r>
            <w:proofErr w:type="spellEnd"/>
            <w:r w:rsidRPr="00742694">
              <w:rPr>
                <w:b/>
              </w:rPr>
              <w:t xml:space="preserve">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Dyspnoea </w:t>
            </w:r>
          </w:p>
        </w:tc>
        <w:tc>
          <w:tcPr>
            <w:tcW w:w="1347" w:type="dxa"/>
            <w:gridSpan w:val="2"/>
            <w:shd w:val="clear" w:color="auto" w:fill="auto"/>
          </w:tcPr>
          <w:p w:rsidR="006A2BDC" w:rsidRPr="00666CEB" w:rsidRDefault="006A2BDC" w:rsidP="006E3F26">
            <w:pPr>
              <w:spacing w:after="0"/>
            </w:pPr>
            <w:r w:rsidRPr="00666CEB">
              <w:t>9 (1.9)</w:t>
            </w:r>
          </w:p>
        </w:tc>
        <w:tc>
          <w:tcPr>
            <w:tcW w:w="1276" w:type="dxa"/>
            <w:gridSpan w:val="3"/>
            <w:shd w:val="clear" w:color="auto" w:fill="auto"/>
          </w:tcPr>
          <w:p w:rsidR="006A2BDC" w:rsidRPr="00666CEB" w:rsidRDefault="006A2BDC" w:rsidP="006E3F26">
            <w:pPr>
              <w:spacing w:after="0"/>
            </w:pPr>
            <w:r w:rsidRPr="00666CEB">
              <w:t>4 (1.0)</w:t>
            </w:r>
          </w:p>
        </w:tc>
        <w:tc>
          <w:tcPr>
            <w:tcW w:w="1352" w:type="dxa"/>
            <w:gridSpan w:val="3"/>
            <w:shd w:val="clear" w:color="auto" w:fill="auto"/>
          </w:tcPr>
          <w:p w:rsidR="006A2BDC" w:rsidRPr="00666CEB" w:rsidRDefault="006A2BDC" w:rsidP="006E3F26">
            <w:pPr>
              <w:spacing w:after="0"/>
            </w:pPr>
            <w:r w:rsidRPr="00666CEB">
              <w:t>5 (1.6)</w:t>
            </w:r>
          </w:p>
        </w:tc>
        <w:tc>
          <w:tcPr>
            <w:tcW w:w="1418" w:type="dxa"/>
            <w:gridSpan w:val="3"/>
            <w:shd w:val="clear" w:color="auto" w:fill="auto"/>
          </w:tcPr>
          <w:p w:rsidR="006A2BDC" w:rsidRPr="00666CEB" w:rsidRDefault="006A2BDC" w:rsidP="006E3F26">
            <w:pPr>
              <w:spacing w:after="0"/>
            </w:pPr>
            <w:r w:rsidRPr="00666CEB">
              <w:t>5 (2.7)</w:t>
            </w:r>
          </w:p>
        </w:tc>
        <w:tc>
          <w:tcPr>
            <w:tcW w:w="1177" w:type="dxa"/>
            <w:shd w:val="clear" w:color="auto" w:fill="auto"/>
          </w:tcPr>
          <w:p w:rsidR="006A2BDC" w:rsidRPr="00666CEB" w:rsidRDefault="006A2BDC" w:rsidP="006E3F26">
            <w:pPr>
              <w:spacing w:after="0"/>
            </w:pPr>
            <w:r w:rsidRPr="00666CEB">
              <w:t>23 (4.5)</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proofErr w:type="spellStart"/>
            <w:r w:rsidRPr="00666CEB">
              <w:t>Epistaxis</w:t>
            </w:r>
            <w:proofErr w:type="spellEnd"/>
            <w:r w:rsidRPr="00666CEB">
              <w:t xml:space="preserve"> </w:t>
            </w:r>
          </w:p>
        </w:tc>
        <w:tc>
          <w:tcPr>
            <w:tcW w:w="1347" w:type="dxa"/>
            <w:gridSpan w:val="2"/>
            <w:shd w:val="clear" w:color="auto" w:fill="auto"/>
          </w:tcPr>
          <w:p w:rsidR="006A2BDC" w:rsidRPr="00666CEB" w:rsidRDefault="006A2BDC" w:rsidP="006E3F26">
            <w:pPr>
              <w:spacing w:after="0"/>
            </w:pPr>
            <w:r w:rsidRPr="00666CEB">
              <w:t>6 (1.2)</w:t>
            </w:r>
          </w:p>
        </w:tc>
        <w:tc>
          <w:tcPr>
            <w:tcW w:w="1276" w:type="dxa"/>
            <w:gridSpan w:val="3"/>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3 (0.9)</w:t>
            </w:r>
          </w:p>
        </w:tc>
        <w:tc>
          <w:tcPr>
            <w:tcW w:w="1418" w:type="dxa"/>
            <w:gridSpan w:val="3"/>
            <w:shd w:val="clear" w:color="auto" w:fill="auto"/>
          </w:tcPr>
          <w:p w:rsidR="006A2BDC" w:rsidRPr="00666CEB" w:rsidRDefault="006A2BDC" w:rsidP="006E3F26">
            <w:pPr>
              <w:spacing w:after="0"/>
            </w:pPr>
            <w:r w:rsidRPr="00666CEB">
              <w:t>5 (2.7)</w:t>
            </w:r>
          </w:p>
        </w:tc>
        <w:tc>
          <w:tcPr>
            <w:tcW w:w="1177" w:type="dxa"/>
            <w:shd w:val="clear" w:color="auto" w:fill="auto"/>
          </w:tcPr>
          <w:p w:rsidR="006A2BDC" w:rsidRPr="00666CEB" w:rsidRDefault="006A2BDC" w:rsidP="006E3F26">
            <w:pPr>
              <w:spacing w:after="0"/>
            </w:pPr>
            <w:r w:rsidRPr="00666CEB">
              <w:t>15 (2.9)</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Cough </w:t>
            </w:r>
          </w:p>
        </w:tc>
        <w:tc>
          <w:tcPr>
            <w:tcW w:w="1347" w:type="dxa"/>
            <w:gridSpan w:val="2"/>
            <w:shd w:val="clear" w:color="auto" w:fill="auto"/>
          </w:tcPr>
          <w:p w:rsidR="006A2BDC" w:rsidRPr="00666CEB" w:rsidRDefault="006A2BDC" w:rsidP="006E3F26">
            <w:pPr>
              <w:spacing w:after="0"/>
            </w:pPr>
            <w:r w:rsidRPr="00666CEB">
              <w:t>4 (0.8)</w:t>
            </w:r>
          </w:p>
        </w:tc>
        <w:tc>
          <w:tcPr>
            <w:tcW w:w="1276" w:type="dxa"/>
            <w:gridSpan w:val="3"/>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7 (2.2)</w:t>
            </w:r>
          </w:p>
        </w:tc>
        <w:tc>
          <w:tcPr>
            <w:tcW w:w="1418" w:type="dxa"/>
            <w:gridSpan w:val="3"/>
            <w:shd w:val="clear" w:color="auto" w:fill="auto"/>
          </w:tcPr>
          <w:p w:rsidR="006A2BDC" w:rsidRPr="00666CEB" w:rsidRDefault="006A2BDC" w:rsidP="006E3F26">
            <w:pPr>
              <w:spacing w:after="0"/>
            </w:pPr>
            <w:r w:rsidRPr="00666CEB">
              <w:t>3 (1.6)</w:t>
            </w:r>
          </w:p>
        </w:tc>
        <w:tc>
          <w:tcPr>
            <w:tcW w:w="1177" w:type="dxa"/>
            <w:shd w:val="clear" w:color="auto" w:fill="auto"/>
          </w:tcPr>
          <w:p w:rsidR="006A2BDC" w:rsidRPr="00666CEB" w:rsidRDefault="006A2BDC" w:rsidP="006E3F26">
            <w:pPr>
              <w:spacing w:after="0"/>
            </w:pPr>
            <w:r w:rsidRPr="00666CEB">
              <w:t>14 (2.7)</w:t>
            </w:r>
          </w:p>
        </w:tc>
      </w:tr>
      <w:tr w:rsidR="006A2BDC" w:rsidRPr="00666CEB" w:rsidTr="006E3F26">
        <w:tc>
          <w:tcPr>
            <w:tcW w:w="2448" w:type="dxa"/>
            <w:shd w:val="clear" w:color="auto" w:fill="auto"/>
            <w:noWrap/>
            <w:hideMark/>
          </w:tcPr>
          <w:p w:rsidR="006A2BDC" w:rsidRPr="00666CEB" w:rsidRDefault="006A2BDC" w:rsidP="006E3F26">
            <w:pPr>
              <w:spacing w:after="0"/>
            </w:pPr>
            <w:proofErr w:type="spellStart"/>
            <w:r w:rsidRPr="00666CEB">
              <w:t>Pharyngolaryngeal</w:t>
            </w:r>
            <w:proofErr w:type="spellEnd"/>
            <w:r w:rsidRPr="00666CEB">
              <w:t xml:space="preserve"> Pain </w:t>
            </w:r>
          </w:p>
        </w:tc>
        <w:tc>
          <w:tcPr>
            <w:tcW w:w="1347" w:type="dxa"/>
            <w:gridSpan w:val="2"/>
            <w:shd w:val="clear" w:color="auto" w:fill="auto"/>
          </w:tcPr>
          <w:p w:rsidR="006A2BDC" w:rsidRPr="00666CEB" w:rsidRDefault="006A2BDC" w:rsidP="006E3F26">
            <w:pPr>
              <w:spacing w:after="0"/>
            </w:pPr>
            <w:r w:rsidRPr="00666CEB">
              <w:t>4 (0.8)</w:t>
            </w:r>
          </w:p>
        </w:tc>
        <w:tc>
          <w:tcPr>
            <w:tcW w:w="1276" w:type="dxa"/>
            <w:gridSpan w:val="3"/>
            <w:shd w:val="clear" w:color="auto" w:fill="auto"/>
          </w:tcPr>
          <w:p w:rsidR="006A2BDC" w:rsidRPr="00666CEB" w:rsidRDefault="006A2BDC" w:rsidP="006E3F26">
            <w:pPr>
              <w:spacing w:after="0"/>
            </w:pPr>
            <w:r w:rsidRPr="00666CEB">
              <w:t>5 (1.3)</w:t>
            </w:r>
          </w:p>
        </w:tc>
        <w:tc>
          <w:tcPr>
            <w:tcW w:w="1352" w:type="dxa"/>
            <w:gridSpan w:val="3"/>
            <w:shd w:val="clear" w:color="auto" w:fill="auto"/>
          </w:tcPr>
          <w:p w:rsidR="006A2BDC" w:rsidRPr="00666CEB" w:rsidRDefault="006A2BDC" w:rsidP="006E3F26">
            <w:pPr>
              <w:spacing w:after="0"/>
            </w:pPr>
            <w:r w:rsidRPr="00666CEB">
              <w:t>3 (0.9)</w:t>
            </w:r>
          </w:p>
        </w:tc>
        <w:tc>
          <w:tcPr>
            <w:tcW w:w="1418" w:type="dxa"/>
            <w:gridSpan w:val="3"/>
            <w:shd w:val="clear" w:color="auto" w:fill="auto"/>
          </w:tcPr>
          <w:p w:rsidR="006A2BDC" w:rsidRPr="00666CEB" w:rsidRDefault="006A2BDC" w:rsidP="006E3F26">
            <w:pPr>
              <w:spacing w:after="0"/>
            </w:pPr>
            <w:r w:rsidRPr="00666CEB">
              <w:t>3 (1.6)</w:t>
            </w:r>
          </w:p>
        </w:tc>
        <w:tc>
          <w:tcPr>
            <w:tcW w:w="1177" w:type="dxa"/>
            <w:shd w:val="clear" w:color="auto" w:fill="auto"/>
          </w:tcPr>
          <w:p w:rsidR="006A2BDC" w:rsidRPr="00666CEB" w:rsidRDefault="006A2BDC" w:rsidP="006E3F26">
            <w:pPr>
              <w:spacing w:after="0"/>
            </w:pPr>
            <w:r w:rsidRPr="00666CEB">
              <w:t>14 (2.7)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Nasal Discomfort </w:t>
            </w:r>
          </w:p>
        </w:tc>
        <w:tc>
          <w:tcPr>
            <w:tcW w:w="1347" w:type="dxa"/>
            <w:gridSpan w:val="2"/>
            <w:shd w:val="clear" w:color="auto" w:fill="auto"/>
          </w:tcPr>
          <w:p w:rsidR="006A2BDC" w:rsidRPr="00666CEB" w:rsidRDefault="006A2BDC" w:rsidP="006E3F26">
            <w:pPr>
              <w:spacing w:after="0"/>
            </w:pPr>
            <w:r w:rsidRPr="00666CEB">
              <w:t>6 (1.2)</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4 (1.3)</w:t>
            </w:r>
          </w:p>
        </w:tc>
        <w:tc>
          <w:tcPr>
            <w:tcW w:w="1418" w:type="dxa"/>
            <w:gridSpan w:val="3"/>
            <w:shd w:val="clear" w:color="auto" w:fill="auto"/>
          </w:tcPr>
          <w:p w:rsidR="006A2BDC" w:rsidRPr="00666CEB" w:rsidRDefault="006A2BDC" w:rsidP="006E3F26">
            <w:pPr>
              <w:spacing w:after="0"/>
            </w:pPr>
            <w:r w:rsidRPr="00666CEB">
              <w:t>1 (0.5)</w:t>
            </w:r>
          </w:p>
        </w:tc>
        <w:tc>
          <w:tcPr>
            <w:tcW w:w="1177" w:type="dxa"/>
            <w:shd w:val="clear" w:color="auto" w:fill="auto"/>
          </w:tcPr>
          <w:p w:rsidR="006A2BDC" w:rsidRPr="00666CEB" w:rsidRDefault="006A2BDC" w:rsidP="006E3F26">
            <w:pPr>
              <w:spacing w:after="0"/>
            </w:pPr>
            <w:r w:rsidRPr="00666CEB">
              <w:t>11 (2.1)</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proofErr w:type="spellStart"/>
            <w:r w:rsidRPr="00666CEB">
              <w:t>Rhinorrhoea</w:t>
            </w:r>
            <w:proofErr w:type="spellEnd"/>
            <w:r w:rsidRPr="00666CEB">
              <w:t xml:space="preserve"> </w:t>
            </w:r>
          </w:p>
        </w:tc>
        <w:tc>
          <w:tcPr>
            <w:tcW w:w="1347" w:type="dxa"/>
            <w:gridSpan w:val="2"/>
            <w:shd w:val="clear" w:color="auto" w:fill="auto"/>
          </w:tcPr>
          <w:p w:rsidR="006A2BDC" w:rsidRPr="00666CEB" w:rsidRDefault="006A2BDC" w:rsidP="006E3F26">
            <w:pPr>
              <w:spacing w:after="0"/>
            </w:pPr>
            <w:r w:rsidRPr="00666CEB">
              <w:t>5 (1.0)</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1 (0.3)</w:t>
            </w:r>
          </w:p>
        </w:tc>
        <w:tc>
          <w:tcPr>
            <w:tcW w:w="1418" w:type="dxa"/>
            <w:gridSpan w:val="3"/>
            <w:shd w:val="clear" w:color="auto" w:fill="auto"/>
          </w:tcPr>
          <w:p w:rsidR="006A2BDC" w:rsidRPr="00666CEB" w:rsidRDefault="006A2BDC" w:rsidP="006E3F26">
            <w:pPr>
              <w:spacing w:after="0"/>
            </w:pPr>
            <w:r w:rsidRPr="00666CEB">
              <w:t>5 (2.7)</w:t>
            </w:r>
          </w:p>
        </w:tc>
        <w:tc>
          <w:tcPr>
            <w:tcW w:w="1177" w:type="dxa"/>
            <w:shd w:val="clear" w:color="auto" w:fill="auto"/>
          </w:tcPr>
          <w:p w:rsidR="006A2BDC" w:rsidRPr="00666CEB" w:rsidRDefault="006A2BDC" w:rsidP="006E3F26">
            <w:pPr>
              <w:spacing w:after="0"/>
            </w:pPr>
            <w:r w:rsidRPr="00666CEB">
              <w:t>11 (2.1)</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Nasal Congestion </w:t>
            </w:r>
          </w:p>
        </w:tc>
        <w:tc>
          <w:tcPr>
            <w:tcW w:w="1347" w:type="dxa"/>
            <w:gridSpan w:val="2"/>
            <w:shd w:val="clear" w:color="auto" w:fill="auto"/>
          </w:tcPr>
          <w:p w:rsidR="006A2BDC" w:rsidRPr="00666CEB" w:rsidRDefault="006A2BDC" w:rsidP="006E3F26">
            <w:pPr>
              <w:spacing w:after="0"/>
            </w:pPr>
            <w:r w:rsidRPr="00666CEB">
              <w:t>3 (0.6)</w:t>
            </w:r>
          </w:p>
        </w:tc>
        <w:tc>
          <w:tcPr>
            <w:tcW w:w="1276" w:type="dxa"/>
            <w:gridSpan w:val="3"/>
            <w:shd w:val="clear" w:color="auto" w:fill="auto"/>
          </w:tcPr>
          <w:p w:rsidR="006A2BDC" w:rsidRPr="00666CEB" w:rsidRDefault="006A2BDC" w:rsidP="006E3F26">
            <w:pPr>
              <w:spacing w:after="0"/>
            </w:pPr>
            <w:r w:rsidRPr="00666CEB">
              <w:t>3 (0.8)</w:t>
            </w:r>
          </w:p>
        </w:tc>
        <w:tc>
          <w:tcPr>
            <w:tcW w:w="1352" w:type="dxa"/>
            <w:gridSpan w:val="3"/>
            <w:shd w:val="clear" w:color="auto" w:fill="auto"/>
          </w:tcPr>
          <w:p w:rsidR="006A2BDC" w:rsidRPr="00666CEB" w:rsidRDefault="006A2BDC" w:rsidP="006E3F26">
            <w:pPr>
              <w:spacing w:after="0"/>
            </w:pPr>
            <w:r w:rsidRPr="00666CEB">
              <w:t>0 (0.0)</w:t>
            </w:r>
          </w:p>
        </w:tc>
        <w:tc>
          <w:tcPr>
            <w:tcW w:w="1418" w:type="dxa"/>
            <w:gridSpan w:val="3"/>
            <w:shd w:val="clear" w:color="auto" w:fill="auto"/>
          </w:tcPr>
          <w:p w:rsidR="006A2BDC" w:rsidRPr="00666CEB" w:rsidRDefault="006A2BDC" w:rsidP="006E3F26">
            <w:pPr>
              <w:spacing w:after="0"/>
            </w:pPr>
            <w:r w:rsidRPr="00666CEB">
              <w:t>0 (0.0)</w:t>
            </w:r>
          </w:p>
        </w:tc>
        <w:tc>
          <w:tcPr>
            <w:tcW w:w="1177" w:type="dxa"/>
            <w:shd w:val="clear" w:color="auto" w:fill="auto"/>
          </w:tcPr>
          <w:p w:rsidR="006A2BDC" w:rsidRPr="00666CEB" w:rsidRDefault="006A2BDC" w:rsidP="006E3F26">
            <w:pPr>
              <w:spacing w:after="0"/>
            </w:pPr>
            <w:r w:rsidRPr="00666CEB">
              <w:t>6 (1.2)</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Postnasal Drip </w:t>
            </w:r>
          </w:p>
        </w:tc>
        <w:tc>
          <w:tcPr>
            <w:tcW w:w="1347" w:type="dxa"/>
            <w:gridSpan w:val="2"/>
            <w:shd w:val="clear" w:color="auto" w:fill="auto"/>
          </w:tcPr>
          <w:p w:rsidR="006A2BDC" w:rsidRPr="00666CEB" w:rsidRDefault="006A2BDC" w:rsidP="006E3F26">
            <w:pPr>
              <w:spacing w:after="0"/>
            </w:pPr>
            <w:r w:rsidRPr="00666CEB">
              <w:t>2 (0.4)</w:t>
            </w:r>
          </w:p>
        </w:tc>
        <w:tc>
          <w:tcPr>
            <w:tcW w:w="1276" w:type="dxa"/>
            <w:gridSpan w:val="3"/>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1 (1.2)</w:t>
            </w:r>
          </w:p>
        </w:tc>
        <w:tc>
          <w:tcPr>
            <w:tcW w:w="1177" w:type="dxa"/>
            <w:shd w:val="clear" w:color="auto" w:fill="auto"/>
          </w:tcPr>
          <w:p w:rsidR="006A2BDC" w:rsidRPr="00666CEB" w:rsidRDefault="006A2BDC" w:rsidP="006E3F26">
            <w:pPr>
              <w:spacing w:after="0"/>
            </w:pPr>
            <w:r w:rsidRPr="00666CEB">
              <w:t>(0.5) 6</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keepNext/>
              <w:spacing w:after="0"/>
              <w:rPr>
                <w:b/>
              </w:rPr>
            </w:pPr>
            <w:r w:rsidRPr="00742694">
              <w:rPr>
                <w:b/>
              </w:rPr>
              <w:t>Skin and Subcutaneous Tissue Disorders</w:t>
            </w:r>
          </w:p>
        </w:tc>
      </w:tr>
      <w:tr w:rsidR="006A2BDC" w:rsidRPr="00666CEB" w:rsidTr="001660D6">
        <w:trPr>
          <w:trHeight w:val="300"/>
        </w:trPr>
        <w:tc>
          <w:tcPr>
            <w:tcW w:w="2448" w:type="dxa"/>
            <w:shd w:val="clear" w:color="auto" w:fill="auto"/>
            <w:noWrap/>
            <w:hideMark/>
          </w:tcPr>
          <w:p w:rsidR="006A2BDC" w:rsidRPr="00666CEB" w:rsidRDefault="006A2BDC" w:rsidP="006E3F26">
            <w:pPr>
              <w:keepNext/>
              <w:spacing w:after="0"/>
            </w:pPr>
            <w:proofErr w:type="spellStart"/>
            <w:r w:rsidRPr="00666CEB">
              <w:t>Pruritus</w:t>
            </w:r>
            <w:proofErr w:type="spellEnd"/>
            <w:r w:rsidRPr="00666CEB">
              <w:t xml:space="preserve"> </w:t>
            </w:r>
          </w:p>
        </w:tc>
        <w:tc>
          <w:tcPr>
            <w:tcW w:w="1347" w:type="dxa"/>
            <w:gridSpan w:val="2"/>
            <w:shd w:val="clear" w:color="auto" w:fill="auto"/>
          </w:tcPr>
          <w:p w:rsidR="006A2BDC" w:rsidRPr="00666CEB" w:rsidRDefault="006A2BDC" w:rsidP="006E3F26">
            <w:pPr>
              <w:keepNext/>
              <w:spacing w:after="0"/>
            </w:pPr>
            <w:r w:rsidRPr="00666CEB">
              <w:t>3 (0.6)</w:t>
            </w:r>
          </w:p>
        </w:tc>
        <w:tc>
          <w:tcPr>
            <w:tcW w:w="1276" w:type="dxa"/>
            <w:gridSpan w:val="3"/>
            <w:shd w:val="clear" w:color="auto" w:fill="auto"/>
          </w:tcPr>
          <w:p w:rsidR="006A2BDC" w:rsidRPr="00666CEB" w:rsidRDefault="006A2BDC" w:rsidP="006E3F26">
            <w:pPr>
              <w:keepNext/>
              <w:spacing w:after="0"/>
            </w:pPr>
            <w:r w:rsidRPr="00666CEB">
              <w:t>2 (0.5)</w:t>
            </w:r>
          </w:p>
        </w:tc>
        <w:tc>
          <w:tcPr>
            <w:tcW w:w="1352" w:type="dxa"/>
            <w:gridSpan w:val="3"/>
            <w:shd w:val="clear" w:color="auto" w:fill="auto"/>
          </w:tcPr>
          <w:p w:rsidR="006A2BDC" w:rsidRPr="00666CEB" w:rsidRDefault="006A2BDC" w:rsidP="006E3F26">
            <w:pPr>
              <w:keepNext/>
              <w:spacing w:after="0"/>
            </w:pPr>
            <w:r w:rsidRPr="00666CEB">
              <w:t>3 (0.9)</w:t>
            </w:r>
          </w:p>
        </w:tc>
        <w:tc>
          <w:tcPr>
            <w:tcW w:w="1418" w:type="dxa"/>
            <w:gridSpan w:val="3"/>
            <w:shd w:val="clear" w:color="auto" w:fill="auto"/>
          </w:tcPr>
          <w:p w:rsidR="006A2BDC" w:rsidRPr="00666CEB" w:rsidRDefault="006A2BDC" w:rsidP="006E3F26">
            <w:pPr>
              <w:keepNext/>
              <w:spacing w:after="0"/>
            </w:pPr>
            <w:r w:rsidRPr="00666CEB">
              <w:t>4 (2.2)</w:t>
            </w:r>
          </w:p>
        </w:tc>
        <w:tc>
          <w:tcPr>
            <w:tcW w:w="1177" w:type="dxa"/>
            <w:shd w:val="clear" w:color="auto" w:fill="auto"/>
          </w:tcPr>
          <w:p w:rsidR="006A2BDC" w:rsidRPr="00666CEB" w:rsidRDefault="006A2BDC" w:rsidP="006E3F26">
            <w:pPr>
              <w:keepNext/>
              <w:spacing w:after="0"/>
            </w:pPr>
            <w:r w:rsidRPr="00666CEB">
              <w:t>12 (2.3)</w:t>
            </w:r>
          </w:p>
        </w:tc>
      </w:tr>
      <w:tr w:rsidR="006A2BDC" w:rsidRPr="00666CEB" w:rsidTr="001660D6">
        <w:trPr>
          <w:trHeight w:val="300"/>
        </w:trPr>
        <w:tc>
          <w:tcPr>
            <w:tcW w:w="2448" w:type="dxa"/>
            <w:shd w:val="clear" w:color="auto" w:fill="auto"/>
            <w:noWrap/>
            <w:hideMark/>
          </w:tcPr>
          <w:p w:rsidR="006A2BDC" w:rsidRPr="00666CEB" w:rsidRDefault="006A2BDC" w:rsidP="006E3F26">
            <w:pPr>
              <w:keepNext/>
              <w:spacing w:after="0"/>
            </w:pPr>
            <w:proofErr w:type="spellStart"/>
            <w:r w:rsidRPr="00666CEB">
              <w:t>Hyperhidrosis</w:t>
            </w:r>
            <w:proofErr w:type="spellEnd"/>
            <w:r w:rsidRPr="00666CEB">
              <w:t xml:space="preserve"> </w:t>
            </w:r>
          </w:p>
        </w:tc>
        <w:tc>
          <w:tcPr>
            <w:tcW w:w="1347" w:type="dxa"/>
            <w:gridSpan w:val="2"/>
            <w:shd w:val="clear" w:color="auto" w:fill="auto"/>
          </w:tcPr>
          <w:p w:rsidR="006A2BDC" w:rsidRPr="00666CEB" w:rsidRDefault="006A2BDC" w:rsidP="006E3F26">
            <w:pPr>
              <w:keepNext/>
              <w:spacing w:after="0"/>
            </w:pPr>
            <w:r w:rsidRPr="00666CEB">
              <w:t>3 (0.6)</w:t>
            </w:r>
          </w:p>
        </w:tc>
        <w:tc>
          <w:tcPr>
            <w:tcW w:w="1276" w:type="dxa"/>
            <w:gridSpan w:val="3"/>
            <w:shd w:val="clear" w:color="auto" w:fill="auto"/>
          </w:tcPr>
          <w:p w:rsidR="006A2BDC" w:rsidRPr="00666CEB" w:rsidRDefault="006A2BDC" w:rsidP="006E3F26">
            <w:pPr>
              <w:keepNext/>
              <w:spacing w:after="0"/>
            </w:pPr>
            <w:r w:rsidRPr="00666CEB">
              <w:t>1 (0.3)</w:t>
            </w:r>
          </w:p>
        </w:tc>
        <w:tc>
          <w:tcPr>
            <w:tcW w:w="1352" w:type="dxa"/>
            <w:gridSpan w:val="3"/>
            <w:shd w:val="clear" w:color="auto" w:fill="auto"/>
          </w:tcPr>
          <w:p w:rsidR="006A2BDC" w:rsidRPr="00666CEB" w:rsidRDefault="006A2BDC" w:rsidP="006E3F26">
            <w:pPr>
              <w:keepNext/>
              <w:spacing w:after="0"/>
            </w:pPr>
            <w:r w:rsidRPr="00666CEB">
              <w:t>3 (0.9)</w:t>
            </w:r>
          </w:p>
        </w:tc>
        <w:tc>
          <w:tcPr>
            <w:tcW w:w="1418" w:type="dxa"/>
            <w:gridSpan w:val="3"/>
            <w:shd w:val="clear" w:color="auto" w:fill="auto"/>
          </w:tcPr>
          <w:p w:rsidR="006A2BDC" w:rsidRPr="00666CEB" w:rsidRDefault="006A2BDC" w:rsidP="006E3F26">
            <w:pPr>
              <w:keepNext/>
              <w:spacing w:after="0"/>
            </w:pPr>
            <w:r w:rsidRPr="00666CEB">
              <w:t>2 (1.1)</w:t>
            </w:r>
          </w:p>
        </w:tc>
        <w:tc>
          <w:tcPr>
            <w:tcW w:w="1177" w:type="dxa"/>
            <w:shd w:val="clear" w:color="auto" w:fill="auto"/>
          </w:tcPr>
          <w:p w:rsidR="006A2BDC" w:rsidRPr="00666CEB" w:rsidRDefault="006A2BDC" w:rsidP="006E3F26">
            <w:pPr>
              <w:keepNext/>
              <w:spacing w:after="0"/>
            </w:pPr>
            <w:r w:rsidRPr="00666CEB">
              <w:t>9 (1.7)</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proofErr w:type="spellStart"/>
            <w:r w:rsidRPr="00666CEB">
              <w:t>Decubitus</w:t>
            </w:r>
            <w:proofErr w:type="spellEnd"/>
            <w:r w:rsidRPr="00666CEB">
              <w:t xml:space="preserve"> Ulcer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1 (0.3)</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6E3F26">
            <w:pPr>
              <w:spacing w:after="0"/>
              <w:rPr>
                <w:b/>
              </w:rPr>
            </w:pPr>
            <w:r w:rsidRPr="00742694">
              <w:rPr>
                <w:b/>
              </w:rPr>
              <w:t>Vascular Disorders</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Hypertension </w:t>
            </w:r>
          </w:p>
        </w:tc>
        <w:tc>
          <w:tcPr>
            <w:tcW w:w="1347" w:type="dxa"/>
            <w:gridSpan w:val="2"/>
            <w:shd w:val="clear" w:color="auto" w:fill="auto"/>
          </w:tcPr>
          <w:p w:rsidR="006A2BDC" w:rsidRPr="00666CEB" w:rsidRDefault="006A2BDC" w:rsidP="006E3F26">
            <w:pPr>
              <w:spacing w:after="0"/>
            </w:pPr>
            <w:r w:rsidRPr="00666CEB">
              <w:t>5 (1.0)</w:t>
            </w:r>
          </w:p>
        </w:tc>
        <w:tc>
          <w:tcPr>
            <w:tcW w:w="1276" w:type="dxa"/>
            <w:gridSpan w:val="3"/>
            <w:shd w:val="clear" w:color="auto" w:fill="auto"/>
          </w:tcPr>
          <w:p w:rsidR="006A2BDC" w:rsidRPr="00666CEB" w:rsidRDefault="006A2BDC" w:rsidP="006E3F26">
            <w:pPr>
              <w:spacing w:after="0"/>
            </w:pPr>
            <w:r w:rsidRPr="00666CEB">
              <w:t>0 (0.0)</w:t>
            </w:r>
          </w:p>
        </w:tc>
        <w:tc>
          <w:tcPr>
            <w:tcW w:w="1352" w:type="dxa"/>
            <w:gridSpan w:val="3"/>
            <w:shd w:val="clear" w:color="auto" w:fill="auto"/>
          </w:tcPr>
          <w:p w:rsidR="006A2BDC" w:rsidRPr="00666CEB" w:rsidRDefault="006A2BDC" w:rsidP="006E3F26">
            <w:pPr>
              <w:spacing w:after="0"/>
            </w:pPr>
            <w:r w:rsidRPr="00666CEB">
              <w:t>2 (0.6)</w:t>
            </w:r>
          </w:p>
        </w:tc>
        <w:tc>
          <w:tcPr>
            <w:tcW w:w="1418" w:type="dxa"/>
            <w:gridSpan w:val="3"/>
            <w:shd w:val="clear" w:color="auto" w:fill="auto"/>
          </w:tcPr>
          <w:p w:rsidR="006A2BDC" w:rsidRPr="00666CEB" w:rsidRDefault="006A2BDC" w:rsidP="006E3F26">
            <w:pPr>
              <w:spacing w:after="0"/>
            </w:pPr>
            <w:r w:rsidRPr="00666CEB">
              <w:t>1 (0.5)</w:t>
            </w:r>
          </w:p>
        </w:tc>
        <w:tc>
          <w:tcPr>
            <w:tcW w:w="1177" w:type="dxa"/>
            <w:shd w:val="clear" w:color="auto" w:fill="auto"/>
          </w:tcPr>
          <w:p w:rsidR="006A2BDC" w:rsidRPr="00666CEB" w:rsidRDefault="006A2BDC" w:rsidP="006E3F26">
            <w:pPr>
              <w:spacing w:after="0"/>
            </w:pPr>
            <w:r w:rsidRPr="00666CEB">
              <w:t>8 (1.6)</w:t>
            </w:r>
          </w:p>
        </w:tc>
      </w:tr>
      <w:tr w:rsidR="006A2BDC" w:rsidRPr="00666CEB" w:rsidTr="001660D6">
        <w:trPr>
          <w:trHeight w:val="300"/>
        </w:trPr>
        <w:tc>
          <w:tcPr>
            <w:tcW w:w="2448" w:type="dxa"/>
            <w:shd w:val="clear" w:color="auto" w:fill="auto"/>
            <w:noWrap/>
            <w:hideMark/>
          </w:tcPr>
          <w:p w:rsidR="006A2BDC" w:rsidRPr="00666CEB" w:rsidRDefault="006A2BDC" w:rsidP="006E3F26">
            <w:pPr>
              <w:spacing w:after="0"/>
            </w:pPr>
            <w:r w:rsidRPr="00666CEB">
              <w:t xml:space="preserve">Deep Vein Thrombosis </w:t>
            </w:r>
          </w:p>
        </w:tc>
        <w:tc>
          <w:tcPr>
            <w:tcW w:w="1347" w:type="dxa"/>
            <w:gridSpan w:val="2"/>
            <w:shd w:val="clear" w:color="auto" w:fill="auto"/>
          </w:tcPr>
          <w:p w:rsidR="006A2BDC" w:rsidRPr="00666CEB" w:rsidRDefault="006A2BDC" w:rsidP="006E3F26">
            <w:pPr>
              <w:spacing w:after="0"/>
            </w:pPr>
            <w:r w:rsidRPr="00666CEB">
              <w:t>1 (0.2)</w:t>
            </w:r>
          </w:p>
        </w:tc>
        <w:tc>
          <w:tcPr>
            <w:tcW w:w="1276" w:type="dxa"/>
            <w:gridSpan w:val="3"/>
            <w:shd w:val="clear" w:color="auto" w:fill="auto"/>
          </w:tcPr>
          <w:p w:rsidR="006A2BDC" w:rsidRPr="00666CEB" w:rsidRDefault="006A2BDC" w:rsidP="006E3F26">
            <w:pPr>
              <w:spacing w:after="0"/>
            </w:pPr>
            <w:r w:rsidRPr="00666CEB">
              <w:t>2 (0.5)</w:t>
            </w:r>
          </w:p>
        </w:tc>
        <w:tc>
          <w:tcPr>
            <w:tcW w:w="1352" w:type="dxa"/>
            <w:gridSpan w:val="3"/>
            <w:shd w:val="clear" w:color="auto" w:fill="auto"/>
          </w:tcPr>
          <w:p w:rsidR="006A2BDC" w:rsidRPr="00666CEB" w:rsidRDefault="006A2BDC" w:rsidP="006E3F26">
            <w:pPr>
              <w:spacing w:after="0"/>
            </w:pPr>
            <w:r w:rsidRPr="00666CEB">
              <w:t>1 (0.3)</w:t>
            </w:r>
          </w:p>
        </w:tc>
        <w:tc>
          <w:tcPr>
            <w:tcW w:w="1418" w:type="dxa"/>
            <w:gridSpan w:val="3"/>
            <w:shd w:val="clear" w:color="auto" w:fill="auto"/>
          </w:tcPr>
          <w:p w:rsidR="006A2BDC" w:rsidRPr="00666CEB" w:rsidRDefault="006A2BDC" w:rsidP="006E3F26">
            <w:pPr>
              <w:spacing w:after="0"/>
            </w:pPr>
            <w:r w:rsidRPr="00666CEB">
              <w:t>2 (1.1)</w:t>
            </w:r>
          </w:p>
        </w:tc>
        <w:tc>
          <w:tcPr>
            <w:tcW w:w="1177" w:type="dxa"/>
            <w:shd w:val="clear" w:color="auto" w:fill="auto"/>
          </w:tcPr>
          <w:p w:rsidR="006A2BDC" w:rsidRPr="00666CEB" w:rsidRDefault="006A2BDC" w:rsidP="006E3F26">
            <w:pPr>
              <w:spacing w:after="0"/>
            </w:pPr>
            <w:r w:rsidRPr="00666CEB">
              <w:t>6 (1.2)</w:t>
            </w:r>
          </w:p>
        </w:tc>
      </w:tr>
    </w:tbl>
    <w:p w:rsidR="006A2BDC" w:rsidRPr="006A2BDC" w:rsidRDefault="006A2BDC" w:rsidP="002B2B88">
      <w:r w:rsidRPr="006A2BDC">
        <w:t>The adverse events considered to be at least possibly-related to treatment in clinical trials involving 523 patien</w:t>
      </w:r>
      <w:r>
        <w:t>ts</w:t>
      </w:r>
      <w:r w:rsidR="005B3D55">
        <w:t xml:space="preserve"> treated with </w:t>
      </w:r>
      <w:proofErr w:type="spellStart"/>
      <w:r w:rsidR="005B3D55">
        <w:t>PecFent</w:t>
      </w:r>
      <w:proofErr w:type="spellEnd"/>
      <w:r>
        <w:t xml:space="preserve"> </w:t>
      </w:r>
      <w:r w:rsidR="00207B58">
        <w:t xml:space="preserve">that fall below the 1% cut-off </w:t>
      </w:r>
      <w:r w:rsidR="00CE33A7">
        <w:t>are listed below</w:t>
      </w:r>
      <w:r>
        <w:t xml:space="preserve"> </w:t>
      </w:r>
      <w:r w:rsidRPr="006A2BDC">
        <w:t>(Uncommon &gt;0.1-1%)</w:t>
      </w:r>
      <w:r w:rsidR="00397234">
        <w:t>.</w:t>
      </w:r>
    </w:p>
    <w:p w:rsidR="006A2BDC" w:rsidRPr="006A2BDC" w:rsidRDefault="006A2BDC" w:rsidP="00C9650F">
      <w:pPr>
        <w:pStyle w:val="Heading3"/>
        <w:spacing w:after="0"/>
      </w:pPr>
      <w:r w:rsidRPr="006A2BDC">
        <w:t>Blood and Lymphatic System Disorders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r>
      <w:proofErr w:type="spellStart"/>
      <w:r w:rsidRPr="006A2BDC">
        <w:rPr>
          <w:szCs w:val="22"/>
        </w:rPr>
        <w:t>Neutropenia</w:t>
      </w:r>
      <w:proofErr w:type="spellEnd"/>
    </w:p>
    <w:p w:rsidR="006A2BDC" w:rsidRPr="006A2BDC" w:rsidRDefault="006A2BDC" w:rsidP="00C9650F">
      <w:pPr>
        <w:pStyle w:val="Heading3"/>
        <w:spacing w:after="0"/>
      </w:pPr>
      <w:r w:rsidRPr="006A2BDC">
        <w:t>Cardiac Disorders</w:t>
      </w:r>
    </w:p>
    <w:p w:rsidR="00C9650F" w:rsidRDefault="006A2BDC" w:rsidP="00C9650F">
      <w:pPr>
        <w:tabs>
          <w:tab w:val="left" w:pos="1418"/>
        </w:tabs>
        <w:spacing w:after="0"/>
        <w:ind w:left="1418" w:hanging="1418"/>
        <w:rPr>
          <w:b/>
          <w:noProof/>
        </w:rPr>
      </w:pPr>
      <w:r w:rsidRPr="006A2BDC">
        <w:rPr>
          <w:i/>
          <w:szCs w:val="22"/>
        </w:rPr>
        <w:t>Uncommon</w:t>
      </w:r>
      <w:r w:rsidRPr="006A2BDC">
        <w:rPr>
          <w:szCs w:val="22"/>
        </w:rPr>
        <w:tab/>
        <w:t>Cyanosis</w:t>
      </w:r>
    </w:p>
    <w:p w:rsidR="006A2BDC" w:rsidRPr="006A2BDC" w:rsidRDefault="006A2BDC" w:rsidP="00C9650F">
      <w:pPr>
        <w:pStyle w:val="Heading3"/>
        <w:spacing w:after="0"/>
      </w:pPr>
      <w:r w:rsidRPr="006A2BDC">
        <w:t>Ear and Labyrinth Disorders</w:t>
      </w:r>
    </w:p>
    <w:p w:rsidR="002B2B88" w:rsidRDefault="006A2BDC" w:rsidP="002B2B88">
      <w:pPr>
        <w:tabs>
          <w:tab w:val="left" w:pos="1418"/>
        </w:tabs>
        <w:spacing w:after="0"/>
        <w:ind w:left="1418" w:hanging="1418"/>
        <w:rPr>
          <w:szCs w:val="22"/>
        </w:rPr>
      </w:pPr>
      <w:r w:rsidRPr="006A2BDC">
        <w:rPr>
          <w:i/>
          <w:szCs w:val="22"/>
        </w:rPr>
        <w:t>Uncommon</w:t>
      </w:r>
      <w:r w:rsidRPr="006A2BDC">
        <w:rPr>
          <w:szCs w:val="22"/>
        </w:rPr>
        <w:tab/>
        <w:t>Vertigo</w:t>
      </w:r>
      <w:r w:rsidR="002B2B88">
        <w:rPr>
          <w:szCs w:val="22"/>
        </w:rPr>
        <w:br w:type="page"/>
      </w:r>
    </w:p>
    <w:p w:rsidR="006A2BDC" w:rsidRPr="006A2BDC" w:rsidRDefault="006A2BDC" w:rsidP="00272639">
      <w:pPr>
        <w:pStyle w:val="Heading3"/>
        <w:spacing w:after="0"/>
      </w:pPr>
      <w:r w:rsidRPr="006A2BDC">
        <w:lastRenderedPageBreak/>
        <w:t>Gastrointestinal Disorders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t xml:space="preserve">Abdominal Pain, Diarrhoea, Dry Mouth, Dyspepsia, </w:t>
      </w:r>
      <w:proofErr w:type="spellStart"/>
      <w:r w:rsidRPr="006A2BDC">
        <w:rPr>
          <w:szCs w:val="22"/>
        </w:rPr>
        <w:t>Hypoaesthesia</w:t>
      </w:r>
      <w:proofErr w:type="spellEnd"/>
      <w:r w:rsidRPr="006A2BDC">
        <w:rPr>
          <w:szCs w:val="22"/>
        </w:rPr>
        <w:t xml:space="preserve"> Oral, Intestinal Perforation, Mouth Ulceration, </w:t>
      </w:r>
      <w:proofErr w:type="spellStart"/>
      <w:r w:rsidRPr="006A2BDC">
        <w:rPr>
          <w:szCs w:val="22"/>
        </w:rPr>
        <w:t>Paraesthesia</w:t>
      </w:r>
      <w:proofErr w:type="spellEnd"/>
      <w:r w:rsidRPr="006A2BDC">
        <w:rPr>
          <w:szCs w:val="22"/>
        </w:rPr>
        <w:t xml:space="preserve"> Oral, Peritonitis, Retching, Tongue Disorder</w:t>
      </w:r>
    </w:p>
    <w:p w:rsidR="006A2BDC" w:rsidRPr="006A2BDC" w:rsidRDefault="006A2BDC" w:rsidP="00272639">
      <w:pPr>
        <w:pStyle w:val="Heading3"/>
        <w:spacing w:after="0"/>
      </w:pPr>
      <w:r w:rsidRPr="006A2BDC">
        <w:t>General Disorders and Administration Site Conditions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t>Asthenia, Chills, Face Oedema, Fatigue, Gait Disturbance, Malaise, Non-cardiac Chest Pain, Oedema Peripheral, Pain, Pyrexia, Thirst</w:t>
      </w:r>
    </w:p>
    <w:p w:rsidR="006A2BDC" w:rsidRPr="006A2BDC" w:rsidRDefault="006A2BDC" w:rsidP="00272639">
      <w:pPr>
        <w:pStyle w:val="Heading3"/>
        <w:spacing w:after="0"/>
      </w:pPr>
      <w:r w:rsidRPr="006A2BDC">
        <w:t>Immune System Disorders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t xml:space="preserve"> Hypersensitivity</w:t>
      </w:r>
    </w:p>
    <w:p w:rsidR="006A2BDC" w:rsidRPr="006A2BDC" w:rsidRDefault="006A2BDC" w:rsidP="00272639">
      <w:pPr>
        <w:pStyle w:val="Heading3"/>
        <w:spacing w:after="0"/>
      </w:pPr>
      <w:r w:rsidRPr="006A2BDC">
        <w:t>Infections and Infestations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r>
      <w:proofErr w:type="spellStart"/>
      <w:r w:rsidRPr="006A2BDC">
        <w:rPr>
          <w:szCs w:val="22"/>
        </w:rPr>
        <w:t>Nasopharyngitis</w:t>
      </w:r>
      <w:proofErr w:type="spellEnd"/>
      <w:r w:rsidRPr="006A2BDC">
        <w:rPr>
          <w:szCs w:val="22"/>
        </w:rPr>
        <w:t xml:space="preserve">, </w:t>
      </w:r>
      <w:proofErr w:type="spellStart"/>
      <w:r w:rsidRPr="006A2BDC">
        <w:rPr>
          <w:szCs w:val="22"/>
        </w:rPr>
        <w:t>Pharyngitis</w:t>
      </w:r>
      <w:proofErr w:type="spellEnd"/>
      <w:r w:rsidRPr="006A2BDC">
        <w:rPr>
          <w:szCs w:val="22"/>
        </w:rPr>
        <w:t xml:space="preserve"> , Pneumonia, Rhinitis</w:t>
      </w:r>
    </w:p>
    <w:p w:rsidR="006A2BDC" w:rsidRPr="006A2BDC" w:rsidRDefault="006A2BDC" w:rsidP="00272639">
      <w:pPr>
        <w:pStyle w:val="Heading3"/>
        <w:spacing w:after="0"/>
      </w:pPr>
      <w:r w:rsidRPr="006A2BDC">
        <w:t>Injury, Poisoning and Procedural Complications</w:t>
      </w:r>
    </w:p>
    <w:p w:rsidR="006A2BDC" w:rsidRPr="006A2BDC" w:rsidRDefault="006A2BDC" w:rsidP="006E3F26">
      <w:pPr>
        <w:tabs>
          <w:tab w:val="left" w:pos="1418"/>
        </w:tabs>
        <w:spacing w:after="0"/>
        <w:ind w:left="1418" w:hanging="1418"/>
        <w:rPr>
          <w:szCs w:val="22"/>
        </w:rPr>
      </w:pPr>
      <w:r w:rsidRPr="006A2BDC">
        <w:rPr>
          <w:i/>
          <w:szCs w:val="22"/>
        </w:rPr>
        <w:t>Uncommon</w:t>
      </w:r>
      <w:r w:rsidRPr="006A2BDC">
        <w:rPr>
          <w:szCs w:val="22"/>
        </w:rPr>
        <w:tab/>
        <w:t>Fall, Intentional Drug Misuse, Medication Error</w:t>
      </w:r>
    </w:p>
    <w:p w:rsidR="006A2BDC" w:rsidRPr="006A2BDC" w:rsidRDefault="006A2BDC" w:rsidP="002B48C4">
      <w:pPr>
        <w:pStyle w:val="Heading3"/>
        <w:spacing w:after="0"/>
      </w:pPr>
      <w:r w:rsidRPr="006A2BDC">
        <w:t>Investigations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Platelet Count Decreased, Weight Decreased</w:t>
      </w:r>
    </w:p>
    <w:p w:rsidR="006A2BDC" w:rsidRPr="006A2BDC" w:rsidRDefault="006A2BDC" w:rsidP="002B48C4">
      <w:pPr>
        <w:pStyle w:val="Heading3"/>
        <w:spacing w:after="0"/>
      </w:pPr>
      <w:r w:rsidRPr="006A2BDC">
        <w:t>Metabolism and Nutrition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Decreased Appetite, Dehydration, Hyperglycaemia, Increased Appetite</w:t>
      </w:r>
    </w:p>
    <w:p w:rsidR="006A2BDC" w:rsidRPr="006A2BDC" w:rsidRDefault="006A2BDC" w:rsidP="002B48C4">
      <w:pPr>
        <w:pStyle w:val="Heading3"/>
        <w:spacing w:after="0"/>
      </w:pPr>
      <w:r w:rsidRPr="006A2BDC">
        <w:t>Musculoskeletal and Connective Tissue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 </w:t>
      </w:r>
      <w:proofErr w:type="spellStart"/>
      <w:r w:rsidRPr="006A2BDC">
        <w:rPr>
          <w:szCs w:val="22"/>
        </w:rPr>
        <w:t>Arthralgia</w:t>
      </w:r>
      <w:proofErr w:type="spellEnd"/>
      <w:r w:rsidRPr="006A2BDC">
        <w:rPr>
          <w:szCs w:val="22"/>
        </w:rPr>
        <w:t>, Muscle Twitching</w:t>
      </w:r>
    </w:p>
    <w:p w:rsidR="006A2BDC" w:rsidRPr="006A2BDC" w:rsidRDefault="006A2BDC" w:rsidP="002B48C4">
      <w:pPr>
        <w:pStyle w:val="Heading3"/>
        <w:spacing w:after="0"/>
      </w:pPr>
      <w:r w:rsidRPr="006A2BDC">
        <w:t>Nervous System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r>
      <w:proofErr w:type="spellStart"/>
      <w:r w:rsidRPr="006A2BDC">
        <w:rPr>
          <w:szCs w:val="22"/>
        </w:rPr>
        <w:t>Ageusia</w:t>
      </w:r>
      <w:proofErr w:type="spellEnd"/>
      <w:r w:rsidRPr="006A2BDC">
        <w:rPr>
          <w:szCs w:val="22"/>
        </w:rPr>
        <w:t xml:space="preserve">, </w:t>
      </w:r>
      <w:proofErr w:type="spellStart"/>
      <w:r w:rsidRPr="006A2BDC">
        <w:rPr>
          <w:szCs w:val="22"/>
        </w:rPr>
        <w:t>Anosmia</w:t>
      </w:r>
      <w:proofErr w:type="spellEnd"/>
      <w:r w:rsidRPr="006A2BDC">
        <w:rPr>
          <w:szCs w:val="22"/>
        </w:rPr>
        <w:t xml:space="preserve">, Convulsion, Depressed Level of Consciousness, Lethargy, Loss of Consciousness, Memory Impairment, </w:t>
      </w:r>
      <w:proofErr w:type="spellStart"/>
      <w:r w:rsidRPr="006A2BDC">
        <w:rPr>
          <w:szCs w:val="22"/>
        </w:rPr>
        <w:t>Parosmia</w:t>
      </w:r>
      <w:proofErr w:type="spellEnd"/>
      <w:r w:rsidRPr="006A2BDC">
        <w:rPr>
          <w:szCs w:val="22"/>
        </w:rPr>
        <w:t>, Sedation, Speech Disorder, Tremor</w:t>
      </w:r>
    </w:p>
    <w:p w:rsidR="006A2BDC" w:rsidRPr="006A2BDC" w:rsidRDefault="006A2BDC" w:rsidP="002B48C4">
      <w:pPr>
        <w:pStyle w:val="Heading3"/>
        <w:spacing w:after="0"/>
      </w:pPr>
      <w:r w:rsidRPr="006A2BDC">
        <w:t>Psychiatric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Anxiety, Attention Deficit/hyperactivity Disorder, </w:t>
      </w:r>
      <w:proofErr w:type="spellStart"/>
      <w:r w:rsidRPr="006A2BDC">
        <w:rPr>
          <w:szCs w:val="22"/>
        </w:rPr>
        <w:t>Confusional</w:t>
      </w:r>
      <w:proofErr w:type="spellEnd"/>
      <w:r w:rsidRPr="006A2BDC">
        <w:rPr>
          <w:szCs w:val="22"/>
        </w:rPr>
        <w:t xml:space="preserve"> State, Delirium, Depression, Disorientation, Drug Abuse, Euphoric Mood, Hallucination, Visual, Nervousness</w:t>
      </w:r>
    </w:p>
    <w:p w:rsidR="006A2BDC" w:rsidRPr="006A2BDC" w:rsidRDefault="006A2BDC" w:rsidP="002B48C4">
      <w:pPr>
        <w:pStyle w:val="Heading3"/>
        <w:spacing w:after="0"/>
      </w:pPr>
      <w:r w:rsidRPr="006A2BDC">
        <w:t>Renal and Urinary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r>
      <w:proofErr w:type="spellStart"/>
      <w:r w:rsidRPr="006A2BDC">
        <w:rPr>
          <w:szCs w:val="22"/>
        </w:rPr>
        <w:t>Anuria</w:t>
      </w:r>
      <w:proofErr w:type="spellEnd"/>
      <w:r w:rsidRPr="006A2BDC">
        <w:rPr>
          <w:szCs w:val="22"/>
        </w:rPr>
        <w:t xml:space="preserve">, </w:t>
      </w:r>
      <w:proofErr w:type="spellStart"/>
      <w:r w:rsidRPr="006A2BDC">
        <w:rPr>
          <w:szCs w:val="22"/>
        </w:rPr>
        <w:t>Dysuria</w:t>
      </w:r>
      <w:proofErr w:type="spellEnd"/>
      <w:r w:rsidRPr="006A2BDC">
        <w:rPr>
          <w:szCs w:val="22"/>
        </w:rPr>
        <w:t xml:space="preserve">, </w:t>
      </w:r>
      <w:proofErr w:type="spellStart"/>
      <w:r w:rsidRPr="006A2BDC">
        <w:rPr>
          <w:szCs w:val="22"/>
        </w:rPr>
        <w:t>Proteinuria</w:t>
      </w:r>
      <w:proofErr w:type="spellEnd"/>
      <w:r w:rsidRPr="006A2BDC">
        <w:rPr>
          <w:szCs w:val="22"/>
        </w:rPr>
        <w:t>, Urinary Hesitation</w:t>
      </w:r>
    </w:p>
    <w:p w:rsidR="006A2BDC" w:rsidRPr="006A2BDC" w:rsidRDefault="006A2BDC" w:rsidP="002B48C4">
      <w:pPr>
        <w:pStyle w:val="Heading3"/>
        <w:spacing w:after="0"/>
      </w:pPr>
      <w:r w:rsidRPr="006A2BDC">
        <w:t>Reproductive System and Breast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Vaginal Haemorrhage</w:t>
      </w:r>
    </w:p>
    <w:p w:rsidR="006A2BDC" w:rsidRPr="006A2BDC" w:rsidRDefault="006A2BDC" w:rsidP="002B48C4">
      <w:pPr>
        <w:pStyle w:val="Heading3"/>
        <w:spacing w:after="0"/>
      </w:pPr>
      <w:r w:rsidRPr="006A2BDC">
        <w:t>Respiratory, Thoracic and Mediastinal Disorders</w:t>
      </w:r>
    </w:p>
    <w:p w:rsidR="00C9650F" w:rsidRDefault="006A2BDC" w:rsidP="00C9650F">
      <w:pPr>
        <w:tabs>
          <w:tab w:val="left" w:pos="1418"/>
        </w:tabs>
        <w:ind w:left="1418" w:hanging="1418"/>
        <w:rPr>
          <w:b/>
          <w:noProof/>
        </w:rPr>
      </w:pPr>
      <w:r w:rsidRPr="006A2BDC">
        <w:rPr>
          <w:i/>
          <w:szCs w:val="22"/>
        </w:rPr>
        <w:t>Uncommon</w:t>
      </w:r>
      <w:r w:rsidRPr="006A2BDC">
        <w:rPr>
          <w:szCs w:val="22"/>
        </w:rPr>
        <w:tab/>
        <w:t xml:space="preserve">Cough, Dyspnoea, Intranasal </w:t>
      </w:r>
      <w:proofErr w:type="spellStart"/>
      <w:r w:rsidRPr="006A2BDC">
        <w:rPr>
          <w:szCs w:val="22"/>
        </w:rPr>
        <w:t>Hypoaesthesia</w:t>
      </w:r>
      <w:proofErr w:type="spellEnd"/>
      <w:r w:rsidRPr="006A2BDC">
        <w:rPr>
          <w:szCs w:val="22"/>
        </w:rPr>
        <w:t xml:space="preserve">, Nasal Congestion, Nasal Dryness, Nasal Mucosal Disorder, </w:t>
      </w:r>
      <w:proofErr w:type="spellStart"/>
      <w:r w:rsidRPr="006A2BDC">
        <w:rPr>
          <w:szCs w:val="22"/>
        </w:rPr>
        <w:t>Pharyngolaryngeal</w:t>
      </w:r>
      <w:proofErr w:type="spellEnd"/>
      <w:r w:rsidRPr="006A2BDC">
        <w:rPr>
          <w:szCs w:val="22"/>
        </w:rPr>
        <w:t xml:space="preserve"> Pain, Postnasal Drip, </w:t>
      </w:r>
      <w:proofErr w:type="spellStart"/>
      <w:r w:rsidRPr="006A2BDC">
        <w:rPr>
          <w:szCs w:val="22"/>
        </w:rPr>
        <w:t>Rhinorrhoea</w:t>
      </w:r>
      <w:proofErr w:type="spellEnd"/>
      <w:r w:rsidRPr="006A2BDC">
        <w:rPr>
          <w:szCs w:val="22"/>
        </w:rPr>
        <w:t>, Sneezing, Throat Irritation, Upper Airway Obstruction, Upper Respiratory Tract Congestion</w:t>
      </w:r>
    </w:p>
    <w:p w:rsidR="006A2BDC" w:rsidRPr="006A2BDC" w:rsidRDefault="006A2BDC" w:rsidP="002B48C4">
      <w:pPr>
        <w:pStyle w:val="Heading3"/>
        <w:spacing w:after="0"/>
      </w:pPr>
      <w:r w:rsidRPr="006A2BDC">
        <w:t>Skin and Subcutaneous Tissue Disorders</w:t>
      </w:r>
    </w:p>
    <w:p w:rsidR="002B2B88" w:rsidRDefault="006A2BDC" w:rsidP="002B2B88">
      <w:pPr>
        <w:tabs>
          <w:tab w:val="left" w:pos="1418"/>
        </w:tabs>
        <w:ind w:left="1418" w:hanging="1418"/>
        <w:rPr>
          <w:szCs w:val="22"/>
        </w:rPr>
      </w:pPr>
      <w:r w:rsidRPr="006A2BDC">
        <w:rPr>
          <w:i/>
          <w:szCs w:val="22"/>
        </w:rPr>
        <w:t>Uncommon</w:t>
      </w:r>
      <w:r w:rsidRPr="006A2BDC">
        <w:rPr>
          <w:szCs w:val="22"/>
        </w:rPr>
        <w:tab/>
      </w:r>
      <w:proofErr w:type="spellStart"/>
      <w:r w:rsidRPr="006A2BDC">
        <w:rPr>
          <w:szCs w:val="22"/>
        </w:rPr>
        <w:t>Hyperhidrosis</w:t>
      </w:r>
      <w:proofErr w:type="spellEnd"/>
      <w:r w:rsidRPr="006A2BDC">
        <w:rPr>
          <w:szCs w:val="22"/>
        </w:rPr>
        <w:t xml:space="preserve">, Night Sweats, </w:t>
      </w:r>
      <w:proofErr w:type="spellStart"/>
      <w:r w:rsidRPr="006A2BDC">
        <w:rPr>
          <w:szCs w:val="22"/>
        </w:rPr>
        <w:t>Pruritus</w:t>
      </w:r>
      <w:proofErr w:type="spellEnd"/>
      <w:r w:rsidRPr="006A2BDC">
        <w:rPr>
          <w:szCs w:val="22"/>
        </w:rPr>
        <w:t xml:space="preserve"> Generalised, </w:t>
      </w:r>
      <w:proofErr w:type="spellStart"/>
      <w:r w:rsidRPr="006A2BDC">
        <w:rPr>
          <w:szCs w:val="22"/>
        </w:rPr>
        <w:t>Urticaria</w:t>
      </w:r>
      <w:proofErr w:type="spellEnd"/>
      <w:r w:rsidR="002B2B88">
        <w:rPr>
          <w:szCs w:val="22"/>
        </w:rPr>
        <w:br w:type="page"/>
      </w:r>
    </w:p>
    <w:p w:rsidR="006A2BDC" w:rsidRPr="006A2BDC" w:rsidRDefault="006A2BDC" w:rsidP="002B48C4">
      <w:pPr>
        <w:pStyle w:val="Heading3"/>
        <w:spacing w:after="0"/>
      </w:pPr>
      <w:r w:rsidRPr="006A2BDC">
        <w:lastRenderedPageBreak/>
        <w:t xml:space="preserve">Vascular Disorders </w:t>
      </w:r>
    </w:p>
    <w:p w:rsidR="002B48C4" w:rsidRDefault="006A2BDC" w:rsidP="002B48C4">
      <w:pPr>
        <w:tabs>
          <w:tab w:val="left" w:pos="1418"/>
        </w:tabs>
        <w:ind w:left="1418" w:hanging="1418"/>
        <w:rPr>
          <w:szCs w:val="22"/>
        </w:rPr>
      </w:pPr>
      <w:r w:rsidRPr="006A2BDC">
        <w:rPr>
          <w:i/>
          <w:szCs w:val="22"/>
        </w:rPr>
        <w:t>Uncommon</w:t>
      </w:r>
      <w:r w:rsidRPr="006A2BDC">
        <w:rPr>
          <w:szCs w:val="22"/>
        </w:rPr>
        <w:tab/>
        <w:t xml:space="preserve">Cardiovascular Insufficiency, Hot Flush, Hypotension, </w:t>
      </w:r>
      <w:proofErr w:type="spellStart"/>
      <w:r w:rsidRPr="006A2BDC">
        <w:rPr>
          <w:szCs w:val="22"/>
        </w:rPr>
        <w:t>Lymphoedema</w:t>
      </w:r>
      <w:proofErr w:type="spellEnd"/>
    </w:p>
    <w:p w:rsidR="00AF15CB" w:rsidRDefault="004942A1" w:rsidP="002B48C4">
      <w:pPr>
        <w:pStyle w:val="Heading2"/>
        <w:spacing w:after="0"/>
      </w:pPr>
      <w:r>
        <w:t>DOSAGE AND ADMINISTRATION</w:t>
      </w:r>
    </w:p>
    <w:p w:rsidR="004942A1" w:rsidRPr="00267822" w:rsidRDefault="004942A1" w:rsidP="002B2B88">
      <w:pPr>
        <w:rPr>
          <w:noProof/>
        </w:rPr>
      </w:pPr>
      <w:r w:rsidRPr="00267822">
        <w:rPr>
          <w:noProof/>
        </w:rPr>
        <w:t xml:space="preserve">Treatment should be initiated by and remain under the supervision of a physician experienced in the management of opioid therapy in cancer patients. </w:t>
      </w:r>
      <w:r w:rsidR="004D2F76">
        <w:rPr>
          <w:noProof/>
        </w:rPr>
        <w:t xml:space="preserve"> </w:t>
      </w:r>
      <w:r w:rsidRPr="00267822">
        <w:rPr>
          <w:noProof/>
        </w:rPr>
        <w:t>Physicians should keep in mind the potential for abuse of fentanyl.</w:t>
      </w:r>
    </w:p>
    <w:p w:rsidR="004942A1" w:rsidRPr="00267822" w:rsidRDefault="004933FA" w:rsidP="008F7DB6">
      <w:pPr>
        <w:pStyle w:val="Heading4"/>
      </w:pPr>
      <w:r>
        <w:t>Dose and Interval</w:t>
      </w:r>
    </w:p>
    <w:p w:rsidR="004942A1" w:rsidRPr="00267822" w:rsidRDefault="004942A1" w:rsidP="002B2B88">
      <w:pPr>
        <w:rPr>
          <w:noProof/>
        </w:rPr>
      </w:pPr>
      <w:r w:rsidRPr="00267822">
        <w:rPr>
          <w:noProof/>
        </w:rPr>
        <w:t>PecFent should be titrated to an “effective” dose that provides</w:t>
      </w:r>
      <w:r w:rsidR="002610EC" w:rsidRPr="00267822">
        <w:rPr>
          <w:noProof/>
        </w:rPr>
        <w:t xml:space="preserve">, for two consecutively treated episodes of </w:t>
      </w:r>
      <w:r w:rsidR="002610EC">
        <w:rPr>
          <w:noProof/>
          <w:szCs w:val="24"/>
        </w:rPr>
        <w:t>breakthrough pain,</w:t>
      </w:r>
      <w:r w:rsidR="002610EC" w:rsidRPr="00267822">
        <w:rPr>
          <w:noProof/>
        </w:rPr>
        <w:t xml:space="preserve"> adequate analgesia </w:t>
      </w:r>
      <w:r w:rsidRPr="00267822">
        <w:rPr>
          <w:noProof/>
        </w:rPr>
        <w:t xml:space="preserve">without causing undue (or intolerable) adverse reactions. The efficacy of a given dose should be assessed over the ensuing 30 minute period. </w:t>
      </w:r>
    </w:p>
    <w:p w:rsidR="004942A1" w:rsidRPr="00267822" w:rsidRDefault="004942A1" w:rsidP="002B2B88">
      <w:pPr>
        <w:rPr>
          <w:noProof/>
        </w:rPr>
      </w:pPr>
      <w:r w:rsidRPr="00267822">
        <w:rPr>
          <w:noProof/>
        </w:rPr>
        <w:t>Patients should be carefully monitored until an effective dose is reached.</w:t>
      </w:r>
    </w:p>
    <w:p w:rsidR="004942A1" w:rsidRPr="00267822" w:rsidRDefault="004942A1" w:rsidP="002B2B88">
      <w:pPr>
        <w:rPr>
          <w:noProof/>
        </w:rPr>
      </w:pPr>
      <w:r w:rsidRPr="00267822">
        <w:rPr>
          <w:noProof/>
        </w:rPr>
        <w:t>One dose of PecFent may include administration of 1 spray (100 </w:t>
      </w:r>
      <w:r w:rsidR="004933FA">
        <w:rPr>
          <w:noProof/>
        </w:rPr>
        <w:t>µ</w:t>
      </w:r>
      <w:r w:rsidR="004933FA" w:rsidRPr="00267822">
        <w:rPr>
          <w:noProof/>
        </w:rPr>
        <w:t>g</w:t>
      </w:r>
      <w:r w:rsidRPr="00267822">
        <w:rPr>
          <w:noProof/>
        </w:rPr>
        <w:t xml:space="preserve"> or 400 </w:t>
      </w:r>
      <w:r w:rsidR="004933FA">
        <w:rPr>
          <w:noProof/>
        </w:rPr>
        <w:t>µ</w:t>
      </w:r>
      <w:r w:rsidR="004933FA" w:rsidRPr="00267822">
        <w:rPr>
          <w:noProof/>
        </w:rPr>
        <w:t>g</w:t>
      </w:r>
      <w:r w:rsidRPr="00267822">
        <w:rPr>
          <w:noProof/>
        </w:rPr>
        <w:t xml:space="preserve"> doses) or 2 sprays (200 </w:t>
      </w:r>
      <w:r w:rsidR="004933FA">
        <w:rPr>
          <w:noProof/>
        </w:rPr>
        <w:t>µ</w:t>
      </w:r>
      <w:r w:rsidR="004933FA" w:rsidRPr="00267822">
        <w:rPr>
          <w:noProof/>
        </w:rPr>
        <w:t>g</w:t>
      </w:r>
      <w:r w:rsidRPr="00267822">
        <w:rPr>
          <w:noProof/>
        </w:rPr>
        <w:t xml:space="preserve"> or 800 </w:t>
      </w:r>
      <w:r w:rsidR="004933FA">
        <w:rPr>
          <w:noProof/>
        </w:rPr>
        <w:t>µ</w:t>
      </w:r>
      <w:r w:rsidR="004933FA" w:rsidRPr="00267822">
        <w:rPr>
          <w:noProof/>
        </w:rPr>
        <w:t>g</w:t>
      </w:r>
      <w:r w:rsidRPr="00267822">
        <w:rPr>
          <w:noProof/>
        </w:rPr>
        <w:t xml:space="preserve"> doses) of the </w:t>
      </w:r>
      <w:r w:rsidRPr="00267822">
        <w:rPr>
          <w:noProof/>
          <w:u w:val="single"/>
        </w:rPr>
        <w:t>same</w:t>
      </w:r>
      <w:r w:rsidRPr="00267822">
        <w:rPr>
          <w:noProof/>
        </w:rPr>
        <w:t xml:space="preserve"> dose strength (either 100 </w:t>
      </w:r>
      <w:r w:rsidR="004933FA">
        <w:rPr>
          <w:noProof/>
        </w:rPr>
        <w:t>µ</w:t>
      </w:r>
      <w:r w:rsidR="004933FA" w:rsidRPr="00267822">
        <w:rPr>
          <w:noProof/>
        </w:rPr>
        <w:t>g</w:t>
      </w:r>
      <w:r w:rsidRPr="00267822">
        <w:rPr>
          <w:noProof/>
        </w:rPr>
        <w:t xml:space="preserve"> or 400 </w:t>
      </w:r>
      <w:r w:rsidR="004933FA">
        <w:rPr>
          <w:noProof/>
        </w:rPr>
        <w:t>µ</w:t>
      </w:r>
      <w:r w:rsidR="004933FA" w:rsidRPr="00267822">
        <w:rPr>
          <w:noProof/>
        </w:rPr>
        <w:t>g</w:t>
      </w:r>
      <w:r w:rsidRPr="00267822">
        <w:rPr>
          <w:noProof/>
        </w:rPr>
        <w:t xml:space="preserve"> strength).  </w:t>
      </w:r>
    </w:p>
    <w:p w:rsidR="004942A1" w:rsidRPr="00267822" w:rsidRDefault="004942A1" w:rsidP="002B2B88">
      <w:pPr>
        <w:rPr>
          <w:noProof/>
        </w:rPr>
      </w:pPr>
      <w:r w:rsidRPr="00267822">
        <w:rPr>
          <w:noProof/>
        </w:rPr>
        <w:t xml:space="preserve">Patients should not take more than 4 doses per day. Patients should wait at least </w:t>
      </w:r>
      <w:r w:rsidR="00BD3289">
        <w:rPr>
          <w:noProof/>
        </w:rPr>
        <w:t>2</w:t>
      </w:r>
      <w:r w:rsidR="00BD3289" w:rsidRPr="00267822">
        <w:rPr>
          <w:noProof/>
        </w:rPr>
        <w:t xml:space="preserve"> </w:t>
      </w:r>
      <w:r w:rsidRPr="00267822">
        <w:rPr>
          <w:noProof/>
        </w:rPr>
        <w:t xml:space="preserve">hours after a dose before treating another </w:t>
      </w:r>
      <w:r w:rsidR="007C22C9">
        <w:rPr>
          <w:noProof/>
          <w:szCs w:val="24"/>
        </w:rPr>
        <w:t>breakthrough pain</w:t>
      </w:r>
      <w:r w:rsidRPr="00267822">
        <w:rPr>
          <w:noProof/>
        </w:rPr>
        <w:t xml:space="preserve"> episode with PecFent.</w:t>
      </w:r>
    </w:p>
    <w:p w:rsidR="004942A1" w:rsidRPr="00267822" w:rsidRDefault="004942A1" w:rsidP="005A3BC2">
      <w:pPr>
        <w:pStyle w:val="Heading6"/>
        <w:spacing w:after="0"/>
        <w:rPr>
          <w:noProof/>
        </w:rPr>
      </w:pPr>
      <w:r w:rsidRPr="00267822">
        <w:rPr>
          <w:noProof/>
        </w:rPr>
        <w:t>Initial dose</w:t>
      </w:r>
    </w:p>
    <w:p w:rsidR="004942A1" w:rsidRPr="00267822" w:rsidRDefault="004942A1" w:rsidP="00C01EAB">
      <w:pPr>
        <w:numPr>
          <w:ilvl w:val="0"/>
          <w:numId w:val="5"/>
        </w:numPr>
        <w:tabs>
          <w:tab w:val="clear" w:pos="720"/>
        </w:tabs>
        <w:spacing w:after="0"/>
        <w:ind w:left="567" w:hanging="567"/>
        <w:rPr>
          <w:noProof/>
        </w:rPr>
      </w:pPr>
      <w:r w:rsidRPr="00267822">
        <w:rPr>
          <w:noProof/>
        </w:rPr>
        <w:t xml:space="preserve">The initial dose of PecFent to treat episodes of </w:t>
      </w:r>
      <w:r w:rsidR="007C22C9">
        <w:rPr>
          <w:noProof/>
          <w:szCs w:val="24"/>
        </w:rPr>
        <w:t>breakthrough pain</w:t>
      </w:r>
      <w:r w:rsidR="007C22C9" w:rsidRPr="00267822" w:rsidDel="007C22C9">
        <w:rPr>
          <w:noProof/>
        </w:rPr>
        <w:t xml:space="preserve"> </w:t>
      </w:r>
      <w:r w:rsidRPr="00267822">
        <w:rPr>
          <w:noProof/>
        </w:rPr>
        <w:t>is always 100 </w:t>
      </w:r>
      <w:r w:rsidR="004933FA">
        <w:rPr>
          <w:noProof/>
        </w:rPr>
        <w:t>µ</w:t>
      </w:r>
      <w:r w:rsidR="004933FA" w:rsidRPr="00267822">
        <w:rPr>
          <w:noProof/>
        </w:rPr>
        <w:t>g</w:t>
      </w:r>
      <w:r w:rsidRPr="00267822">
        <w:rPr>
          <w:noProof/>
        </w:rPr>
        <w:t xml:space="preserve"> (one spray), even in patients switching from other fentanyl containing products for their </w:t>
      </w:r>
      <w:r w:rsidR="007C22C9">
        <w:rPr>
          <w:noProof/>
          <w:szCs w:val="24"/>
        </w:rPr>
        <w:t>breakthrough pain</w:t>
      </w:r>
      <w:r w:rsidRPr="00267822">
        <w:rPr>
          <w:noProof/>
        </w:rPr>
        <w:t>.</w:t>
      </w:r>
    </w:p>
    <w:p w:rsidR="004942A1" w:rsidRPr="00267822" w:rsidRDefault="004942A1" w:rsidP="004942A1">
      <w:pPr>
        <w:numPr>
          <w:ilvl w:val="0"/>
          <w:numId w:val="5"/>
        </w:numPr>
        <w:tabs>
          <w:tab w:val="clear" w:pos="720"/>
        </w:tabs>
        <w:ind w:left="567" w:hanging="567"/>
        <w:rPr>
          <w:noProof/>
        </w:rPr>
      </w:pPr>
      <w:r w:rsidRPr="00267822">
        <w:rPr>
          <w:noProof/>
        </w:rPr>
        <w:t xml:space="preserve">Patients must wait at least </w:t>
      </w:r>
      <w:r w:rsidR="00BD3289">
        <w:rPr>
          <w:noProof/>
        </w:rPr>
        <w:t>2</w:t>
      </w:r>
      <w:r w:rsidR="00BD3289" w:rsidRPr="00267822">
        <w:rPr>
          <w:noProof/>
        </w:rPr>
        <w:t xml:space="preserve"> </w:t>
      </w:r>
      <w:r w:rsidRPr="00267822">
        <w:rPr>
          <w:noProof/>
        </w:rPr>
        <w:t xml:space="preserve">hours before treating another episode of </w:t>
      </w:r>
      <w:r w:rsidR="007C22C9">
        <w:rPr>
          <w:noProof/>
          <w:szCs w:val="24"/>
        </w:rPr>
        <w:t>breakthrough pain</w:t>
      </w:r>
      <w:r w:rsidRPr="00267822">
        <w:rPr>
          <w:noProof/>
        </w:rPr>
        <w:t xml:space="preserve"> with PecFent.</w:t>
      </w:r>
    </w:p>
    <w:p w:rsidR="004942A1" w:rsidRPr="00267822" w:rsidRDefault="004942A1" w:rsidP="005A3BC2">
      <w:pPr>
        <w:pStyle w:val="Heading6"/>
        <w:spacing w:after="0"/>
        <w:rPr>
          <w:noProof/>
        </w:rPr>
      </w:pPr>
      <w:r w:rsidRPr="00267822">
        <w:rPr>
          <w:noProof/>
        </w:rPr>
        <w:t>Method of titration</w:t>
      </w:r>
    </w:p>
    <w:p w:rsidR="004942A1" w:rsidRPr="00267822" w:rsidRDefault="004942A1" w:rsidP="00C01EAB">
      <w:pPr>
        <w:numPr>
          <w:ilvl w:val="0"/>
          <w:numId w:val="6"/>
        </w:numPr>
        <w:tabs>
          <w:tab w:val="clear" w:pos="720"/>
        </w:tabs>
        <w:spacing w:after="0"/>
        <w:ind w:left="567" w:hanging="567"/>
        <w:rPr>
          <w:noProof/>
        </w:rPr>
      </w:pPr>
      <w:r w:rsidRPr="00267822">
        <w:rPr>
          <w:noProof/>
        </w:rPr>
        <w:t xml:space="preserve">Patients should be prescribed an initial titration supply of one bottle (8 </w:t>
      </w:r>
      <w:r w:rsidR="00B01D6C">
        <w:rPr>
          <w:noProof/>
        </w:rPr>
        <w:t xml:space="preserve">full </w:t>
      </w:r>
      <w:r w:rsidRPr="00267822">
        <w:rPr>
          <w:noProof/>
        </w:rPr>
        <w:t>sprays) of PecFent 100 </w:t>
      </w:r>
      <w:r w:rsidR="004933FA">
        <w:rPr>
          <w:noProof/>
        </w:rPr>
        <w:t>µ</w:t>
      </w:r>
      <w:r w:rsidR="004933FA" w:rsidRPr="00267822">
        <w:rPr>
          <w:noProof/>
        </w:rPr>
        <w:t>g</w:t>
      </w:r>
      <w:r w:rsidRPr="00267822">
        <w:rPr>
          <w:noProof/>
        </w:rPr>
        <w:t>/spray.</w:t>
      </w:r>
    </w:p>
    <w:p w:rsidR="004942A1" w:rsidRPr="00267822" w:rsidRDefault="004942A1" w:rsidP="00C01EAB">
      <w:pPr>
        <w:numPr>
          <w:ilvl w:val="0"/>
          <w:numId w:val="6"/>
        </w:numPr>
        <w:tabs>
          <w:tab w:val="clear" w:pos="720"/>
        </w:tabs>
        <w:spacing w:after="0"/>
        <w:ind w:left="567" w:hanging="567"/>
        <w:rPr>
          <w:noProof/>
        </w:rPr>
      </w:pPr>
      <w:r w:rsidRPr="00267822">
        <w:rPr>
          <w:noProof/>
        </w:rPr>
        <w:t>Patients whose initial dose is 100 </w:t>
      </w:r>
      <w:r w:rsidR="004933FA">
        <w:rPr>
          <w:noProof/>
        </w:rPr>
        <w:t>µ</w:t>
      </w:r>
      <w:r w:rsidR="004933FA" w:rsidRPr="00267822">
        <w:rPr>
          <w:noProof/>
        </w:rPr>
        <w:t>g</w:t>
      </w:r>
      <w:r w:rsidRPr="00267822">
        <w:rPr>
          <w:noProof/>
        </w:rPr>
        <w:t xml:space="preserve"> and who need to titrate to a higher dose due to a lack of effect can be instructed to use two 100 </w:t>
      </w:r>
      <w:r w:rsidR="004933FA">
        <w:rPr>
          <w:noProof/>
        </w:rPr>
        <w:t>µ</w:t>
      </w:r>
      <w:r w:rsidR="004933FA" w:rsidRPr="00267822">
        <w:rPr>
          <w:noProof/>
        </w:rPr>
        <w:t xml:space="preserve">g </w:t>
      </w:r>
      <w:r w:rsidRPr="00267822">
        <w:rPr>
          <w:noProof/>
        </w:rPr>
        <w:t xml:space="preserve">sprays (one in each nostril) for their next </w:t>
      </w:r>
      <w:r w:rsidR="007C22C9">
        <w:rPr>
          <w:noProof/>
          <w:szCs w:val="24"/>
        </w:rPr>
        <w:t>breakthrough pain</w:t>
      </w:r>
      <w:r w:rsidR="007C22C9" w:rsidRPr="00267822" w:rsidDel="007C22C9">
        <w:rPr>
          <w:noProof/>
        </w:rPr>
        <w:t xml:space="preserve"> </w:t>
      </w:r>
      <w:r w:rsidRPr="00267822">
        <w:rPr>
          <w:noProof/>
        </w:rPr>
        <w:t>episode. If this dose is not successful, the patient may be prescribed a bottle of PecFent 400 </w:t>
      </w:r>
      <w:r w:rsidR="004933FA">
        <w:rPr>
          <w:noProof/>
        </w:rPr>
        <w:t>µ</w:t>
      </w:r>
      <w:r w:rsidR="004933FA" w:rsidRPr="00267822">
        <w:rPr>
          <w:noProof/>
        </w:rPr>
        <w:t>g</w:t>
      </w:r>
      <w:r w:rsidRPr="00267822">
        <w:rPr>
          <w:noProof/>
        </w:rPr>
        <w:t>/spray and instructed to change to one 400 </w:t>
      </w:r>
      <w:r w:rsidR="004933FA">
        <w:rPr>
          <w:noProof/>
        </w:rPr>
        <w:t>µ</w:t>
      </w:r>
      <w:r w:rsidR="004933FA" w:rsidRPr="00267822">
        <w:rPr>
          <w:noProof/>
        </w:rPr>
        <w:t xml:space="preserve">g </w:t>
      </w:r>
      <w:r w:rsidRPr="00267822">
        <w:rPr>
          <w:noProof/>
        </w:rPr>
        <w:t>spray for their next episode of pain. If this dose is not successful, the patient may be instructed to increase to two 400 </w:t>
      </w:r>
      <w:r w:rsidR="004933FA">
        <w:rPr>
          <w:noProof/>
        </w:rPr>
        <w:t>µ</w:t>
      </w:r>
      <w:r w:rsidR="004933FA" w:rsidRPr="00267822">
        <w:rPr>
          <w:noProof/>
        </w:rPr>
        <w:t xml:space="preserve">g </w:t>
      </w:r>
      <w:r w:rsidRPr="00267822">
        <w:rPr>
          <w:noProof/>
        </w:rPr>
        <w:t>sprays (one in each nostril).</w:t>
      </w:r>
    </w:p>
    <w:p w:rsidR="004942A1" w:rsidRPr="00267822" w:rsidRDefault="004942A1" w:rsidP="00C01EAB">
      <w:pPr>
        <w:numPr>
          <w:ilvl w:val="0"/>
          <w:numId w:val="6"/>
        </w:numPr>
        <w:tabs>
          <w:tab w:val="clear" w:pos="720"/>
        </w:tabs>
        <w:spacing w:after="0"/>
        <w:ind w:left="567" w:hanging="567"/>
        <w:rPr>
          <w:noProof/>
        </w:rPr>
      </w:pPr>
      <w:r w:rsidRPr="00267822">
        <w:rPr>
          <w:noProof/>
        </w:rPr>
        <w:t xml:space="preserve">From treatment initiation, patients should be closely followed and the dose titrated until an effective dose is reached and confirmed for two consecutively treated episodes of </w:t>
      </w:r>
      <w:r w:rsidR="007C22C9">
        <w:rPr>
          <w:noProof/>
          <w:szCs w:val="24"/>
        </w:rPr>
        <w:t>breakthrough pain</w:t>
      </w:r>
      <w:r w:rsidRPr="00267822">
        <w:rPr>
          <w:noProof/>
        </w:rPr>
        <w:t xml:space="preserve">. </w:t>
      </w:r>
    </w:p>
    <w:p w:rsidR="004942A1" w:rsidRPr="00397234" w:rsidRDefault="004942A1" w:rsidP="00272639">
      <w:pPr>
        <w:pStyle w:val="Heading7"/>
        <w:spacing w:before="120" w:after="0"/>
      </w:pPr>
      <w:r w:rsidRPr="00397234">
        <w:t>Titration in patients switching between immediate-release fentanyl containing products</w:t>
      </w:r>
    </w:p>
    <w:p w:rsidR="004942A1" w:rsidRPr="00267822" w:rsidRDefault="004942A1" w:rsidP="004942A1">
      <w:pPr>
        <w:pStyle w:val="PlainText"/>
        <w:rPr>
          <w:rFonts w:ascii="Times New Roman" w:hAnsi="Times New Roman"/>
          <w:sz w:val="22"/>
          <w:szCs w:val="22"/>
        </w:rPr>
      </w:pPr>
      <w:r w:rsidRPr="00267822">
        <w:rPr>
          <w:rFonts w:ascii="Times New Roman" w:hAnsi="Times New Roman"/>
          <w:sz w:val="22"/>
          <w:szCs w:val="22"/>
        </w:rPr>
        <w:t xml:space="preserve">Substantial differences may exist in the pharmacokinetic profile of immediate-release </w:t>
      </w:r>
      <w:proofErr w:type="spellStart"/>
      <w:r w:rsidRPr="00267822">
        <w:rPr>
          <w:rFonts w:ascii="Times New Roman" w:hAnsi="Times New Roman"/>
          <w:sz w:val="22"/>
          <w:szCs w:val="22"/>
        </w:rPr>
        <w:t>fentanyl</w:t>
      </w:r>
      <w:proofErr w:type="spellEnd"/>
      <w:r w:rsidRPr="00267822">
        <w:rPr>
          <w:rFonts w:ascii="Times New Roman" w:hAnsi="Times New Roman"/>
          <w:sz w:val="22"/>
          <w:szCs w:val="22"/>
        </w:rPr>
        <w:t xml:space="preserve"> products, which result in clinically important differences in the rate and extent of absorption of </w:t>
      </w:r>
      <w:proofErr w:type="spellStart"/>
      <w:r w:rsidRPr="00267822">
        <w:rPr>
          <w:rFonts w:ascii="Times New Roman" w:hAnsi="Times New Roman"/>
          <w:sz w:val="22"/>
          <w:szCs w:val="22"/>
        </w:rPr>
        <w:t>fentanyl</w:t>
      </w:r>
      <w:proofErr w:type="spellEnd"/>
      <w:r w:rsidRPr="00267822">
        <w:rPr>
          <w:rFonts w:ascii="Times New Roman" w:hAnsi="Times New Roman"/>
          <w:sz w:val="22"/>
          <w:szCs w:val="22"/>
        </w:rPr>
        <w:t xml:space="preserve">.  Therefore, when switching between </w:t>
      </w:r>
      <w:proofErr w:type="spellStart"/>
      <w:r w:rsidRPr="00267822">
        <w:rPr>
          <w:rFonts w:ascii="Times New Roman" w:hAnsi="Times New Roman"/>
          <w:sz w:val="22"/>
          <w:szCs w:val="22"/>
        </w:rPr>
        <w:t>fentanyl</w:t>
      </w:r>
      <w:proofErr w:type="spellEnd"/>
      <w:r w:rsidRPr="00267822">
        <w:rPr>
          <w:rFonts w:ascii="Times New Roman" w:hAnsi="Times New Roman"/>
          <w:sz w:val="22"/>
          <w:szCs w:val="22"/>
        </w:rPr>
        <w:t xml:space="preserve"> containing products indicated for treatment of breakthrough pain, including intranasal formulations, it is essential that patients are again titrated with the new product, and not switched on a dose-for-dose (</w:t>
      </w:r>
      <w:r w:rsidR="004933FA">
        <w:rPr>
          <w:noProof/>
        </w:rPr>
        <w:t>µ</w:t>
      </w:r>
      <w:r w:rsidR="004933FA" w:rsidRPr="00267822">
        <w:rPr>
          <w:noProof/>
        </w:rPr>
        <w:t>g</w:t>
      </w:r>
      <w:r w:rsidRPr="00267822">
        <w:rPr>
          <w:rFonts w:ascii="Times New Roman" w:hAnsi="Times New Roman"/>
          <w:sz w:val="22"/>
          <w:szCs w:val="22"/>
        </w:rPr>
        <w:t>-for</w:t>
      </w:r>
      <w:r w:rsidR="004933FA">
        <w:rPr>
          <w:rFonts w:ascii="Times New Roman" w:hAnsi="Times New Roman"/>
          <w:sz w:val="22"/>
          <w:szCs w:val="22"/>
        </w:rPr>
        <w:t>-</w:t>
      </w:r>
      <w:r w:rsidR="004933FA">
        <w:rPr>
          <w:noProof/>
        </w:rPr>
        <w:t>µ</w:t>
      </w:r>
      <w:r w:rsidR="004933FA" w:rsidRPr="00267822">
        <w:rPr>
          <w:noProof/>
        </w:rPr>
        <w:t>g</w:t>
      </w:r>
      <w:r w:rsidRPr="00267822">
        <w:rPr>
          <w:rFonts w:ascii="Times New Roman" w:hAnsi="Times New Roman"/>
          <w:sz w:val="22"/>
          <w:szCs w:val="22"/>
        </w:rPr>
        <w:t>) basis.</w:t>
      </w:r>
    </w:p>
    <w:p w:rsidR="004942A1" w:rsidRPr="00267822" w:rsidRDefault="004942A1" w:rsidP="005A3BC2">
      <w:pPr>
        <w:pStyle w:val="Heading7"/>
        <w:spacing w:after="0"/>
      </w:pPr>
      <w:r w:rsidRPr="00267822">
        <w:t>Maintenance therapy</w:t>
      </w:r>
    </w:p>
    <w:p w:rsidR="004942A1" w:rsidRPr="00267822" w:rsidRDefault="004942A1" w:rsidP="002B2B88">
      <w:pPr>
        <w:rPr>
          <w:noProof/>
        </w:rPr>
      </w:pPr>
      <w:r w:rsidRPr="00267822">
        <w:rPr>
          <w:noProof/>
        </w:rPr>
        <w:t>Once an effective dose has been established during titration, patients should continue to take this dose up t</w:t>
      </w:r>
      <w:r w:rsidR="002B2B88">
        <w:rPr>
          <w:noProof/>
        </w:rPr>
        <w:t>o a maximum of 4 doses per day.</w:t>
      </w:r>
    </w:p>
    <w:p w:rsidR="004942A1" w:rsidRPr="00267822" w:rsidRDefault="004942A1" w:rsidP="005A3BC2">
      <w:pPr>
        <w:pStyle w:val="Heading7"/>
        <w:spacing w:after="0"/>
      </w:pPr>
      <w:r w:rsidRPr="00267822">
        <w:t>Dose readjustment</w:t>
      </w:r>
    </w:p>
    <w:p w:rsidR="004942A1" w:rsidRPr="00267822" w:rsidRDefault="004942A1" w:rsidP="002B2B88">
      <w:pPr>
        <w:rPr>
          <w:noProof/>
        </w:rPr>
      </w:pPr>
      <w:r w:rsidRPr="00267822">
        <w:rPr>
          <w:noProof/>
        </w:rPr>
        <w:lastRenderedPageBreak/>
        <w:t xml:space="preserve">Generally, the maintenance dose of PecFent should be increased only where the current dose fails to adequately treat the </w:t>
      </w:r>
      <w:r w:rsidR="007C22C9">
        <w:rPr>
          <w:noProof/>
          <w:szCs w:val="24"/>
        </w:rPr>
        <w:t>breakthrough pain</w:t>
      </w:r>
      <w:r w:rsidR="007C22C9" w:rsidRPr="00267822" w:rsidDel="007C22C9">
        <w:rPr>
          <w:noProof/>
        </w:rPr>
        <w:t xml:space="preserve"> </w:t>
      </w:r>
      <w:r w:rsidRPr="00267822">
        <w:rPr>
          <w:noProof/>
        </w:rPr>
        <w:t>for several consecutive episodes.</w:t>
      </w:r>
    </w:p>
    <w:p w:rsidR="004942A1" w:rsidRPr="00267822" w:rsidRDefault="004942A1" w:rsidP="002B2B88">
      <w:pPr>
        <w:rPr>
          <w:noProof/>
        </w:rPr>
      </w:pPr>
      <w:r w:rsidRPr="00267822">
        <w:rPr>
          <w:noProof/>
        </w:rPr>
        <w:t xml:space="preserve">A review of the dose of the background opioid therapy may be required if patients consistently present with more than four </w:t>
      </w:r>
      <w:r w:rsidR="007C22C9">
        <w:rPr>
          <w:noProof/>
          <w:szCs w:val="24"/>
        </w:rPr>
        <w:t>breakthrough pain</w:t>
      </w:r>
      <w:r w:rsidRPr="00267822">
        <w:rPr>
          <w:noProof/>
        </w:rPr>
        <w:t xml:space="preserve"> episodes per 24 hours.</w:t>
      </w:r>
    </w:p>
    <w:p w:rsidR="004942A1" w:rsidRPr="00267822" w:rsidRDefault="004942A1" w:rsidP="002B2B88">
      <w:pPr>
        <w:rPr>
          <w:noProof/>
        </w:rPr>
      </w:pPr>
      <w:r w:rsidRPr="00267822">
        <w:rPr>
          <w:noProof/>
        </w:rPr>
        <w:t>If adverse reactions are intolerable or persistent, the dose should be reduced or treatment with PecFent replaced by another analgesic.</w:t>
      </w:r>
    </w:p>
    <w:p w:rsidR="004942A1" w:rsidRPr="00267822" w:rsidRDefault="004942A1" w:rsidP="005A3BC2">
      <w:pPr>
        <w:pStyle w:val="Heading7"/>
        <w:spacing w:after="0"/>
      </w:pPr>
      <w:r w:rsidRPr="00267822">
        <w:t>Discontinuation of therapy</w:t>
      </w:r>
    </w:p>
    <w:p w:rsidR="004942A1" w:rsidRPr="00267822" w:rsidRDefault="004942A1" w:rsidP="002B2B88">
      <w:pPr>
        <w:rPr>
          <w:noProof/>
        </w:rPr>
      </w:pPr>
      <w:r w:rsidRPr="00267822">
        <w:rPr>
          <w:noProof/>
        </w:rPr>
        <w:t>PecFent should be discontinued immediately if the patient no longer experiences breakthrough pain episodes. The treatment for persistent backg</w:t>
      </w:r>
      <w:r w:rsidR="000D1B83">
        <w:rPr>
          <w:noProof/>
        </w:rPr>
        <w:t>r</w:t>
      </w:r>
      <w:r w:rsidRPr="00267822">
        <w:rPr>
          <w:noProof/>
        </w:rPr>
        <w:t>ound pain should be kept as prescribed.</w:t>
      </w:r>
    </w:p>
    <w:p w:rsidR="004942A1" w:rsidRPr="00267822" w:rsidRDefault="004942A1" w:rsidP="002B2B88">
      <w:pPr>
        <w:rPr>
          <w:noProof/>
        </w:rPr>
      </w:pPr>
      <w:r w:rsidRPr="00267822">
        <w:rPr>
          <w:noProof/>
        </w:rPr>
        <w:t>If discontinuation of all opioid therapy is required, the patient must be closely followed by the doctor as gradual downward opioid titration therapy is necessary in order to avoid the possibility</w:t>
      </w:r>
      <w:r w:rsidR="002B2B88">
        <w:rPr>
          <w:noProof/>
        </w:rPr>
        <w:t xml:space="preserve"> of abrupt withdrawal effects.</w:t>
      </w:r>
    </w:p>
    <w:p w:rsidR="004942A1" w:rsidRPr="00267822" w:rsidRDefault="004942A1" w:rsidP="005A3BC2">
      <w:pPr>
        <w:pStyle w:val="Heading7"/>
        <w:spacing w:after="0"/>
      </w:pPr>
      <w:r w:rsidRPr="00267822">
        <w:t>Method of administration</w:t>
      </w:r>
    </w:p>
    <w:p w:rsidR="004942A1" w:rsidRPr="00267822" w:rsidRDefault="004942A1" w:rsidP="002B2B88">
      <w:pPr>
        <w:rPr>
          <w:noProof/>
        </w:rPr>
      </w:pPr>
      <w:r w:rsidRPr="00267822">
        <w:rPr>
          <w:noProof/>
        </w:rPr>
        <w:t>PecFent is for administration via the nasal route only.</w:t>
      </w:r>
    </w:p>
    <w:p w:rsidR="00D968B7" w:rsidRPr="00267822" w:rsidRDefault="004942A1" w:rsidP="002B2B88">
      <w:pPr>
        <w:rPr>
          <w:noProof/>
        </w:rPr>
      </w:pPr>
      <w:r w:rsidRPr="00267822">
        <w:rPr>
          <w:noProof/>
        </w:rPr>
        <w:t>PecFent can deliver 100, 200, 400 and 800 microgram doses as follows:</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2575"/>
        <w:gridCol w:w="3631"/>
      </w:tblGrid>
      <w:tr w:rsidR="004942A1" w:rsidRPr="00267822" w:rsidTr="00272639">
        <w:tc>
          <w:tcPr>
            <w:tcW w:w="2734" w:type="dxa"/>
          </w:tcPr>
          <w:p w:rsidR="004942A1" w:rsidRPr="00267822" w:rsidRDefault="004942A1" w:rsidP="004933FA">
            <w:pPr>
              <w:spacing w:line="240" w:lineRule="auto"/>
              <w:rPr>
                <w:noProof/>
              </w:rPr>
            </w:pPr>
            <w:r w:rsidRPr="00267822">
              <w:rPr>
                <w:noProof/>
              </w:rPr>
              <w:t xml:space="preserve">Dose required </w:t>
            </w:r>
            <w:r w:rsidR="004933FA">
              <w:rPr>
                <w:noProof/>
              </w:rPr>
              <w:t xml:space="preserve"> (µ</w:t>
            </w:r>
            <w:r w:rsidR="004933FA" w:rsidRPr="00267822">
              <w:rPr>
                <w:noProof/>
              </w:rPr>
              <w:t>g</w:t>
            </w:r>
            <w:r w:rsidRPr="00267822">
              <w:rPr>
                <w:noProof/>
              </w:rPr>
              <w:t xml:space="preserve">) </w:t>
            </w:r>
          </w:p>
        </w:tc>
        <w:tc>
          <w:tcPr>
            <w:tcW w:w="2575" w:type="dxa"/>
          </w:tcPr>
          <w:p w:rsidR="004942A1" w:rsidRPr="00267822" w:rsidRDefault="004942A1" w:rsidP="004942A1">
            <w:pPr>
              <w:spacing w:line="240" w:lineRule="auto"/>
              <w:rPr>
                <w:noProof/>
              </w:rPr>
            </w:pPr>
            <w:r w:rsidRPr="00267822">
              <w:rPr>
                <w:noProof/>
              </w:rPr>
              <w:t>Product strength (</w:t>
            </w:r>
            <w:r w:rsidR="004933FA">
              <w:rPr>
                <w:noProof/>
              </w:rPr>
              <w:t>µ</w:t>
            </w:r>
            <w:r w:rsidR="004933FA" w:rsidRPr="00267822">
              <w:rPr>
                <w:noProof/>
              </w:rPr>
              <w:t>g</w:t>
            </w:r>
            <w:r w:rsidRPr="00267822">
              <w:rPr>
                <w:noProof/>
              </w:rPr>
              <w:t>)</w:t>
            </w:r>
          </w:p>
        </w:tc>
        <w:tc>
          <w:tcPr>
            <w:tcW w:w="3631" w:type="dxa"/>
          </w:tcPr>
          <w:p w:rsidR="004942A1" w:rsidRPr="00267822" w:rsidRDefault="004942A1" w:rsidP="004942A1">
            <w:pPr>
              <w:spacing w:line="240" w:lineRule="auto"/>
              <w:rPr>
                <w:noProof/>
              </w:rPr>
            </w:pPr>
            <w:r w:rsidRPr="00267822">
              <w:rPr>
                <w:noProof/>
              </w:rPr>
              <w:t>Amount</w:t>
            </w:r>
          </w:p>
        </w:tc>
      </w:tr>
      <w:tr w:rsidR="004942A1" w:rsidRPr="00267822" w:rsidTr="00272639">
        <w:trPr>
          <w:trHeight w:val="571"/>
        </w:trPr>
        <w:tc>
          <w:tcPr>
            <w:tcW w:w="2734" w:type="dxa"/>
          </w:tcPr>
          <w:p w:rsidR="004942A1" w:rsidRPr="00267822" w:rsidRDefault="004942A1" w:rsidP="004942A1">
            <w:pPr>
              <w:spacing w:line="240" w:lineRule="auto"/>
              <w:jc w:val="center"/>
              <w:rPr>
                <w:noProof/>
              </w:rPr>
            </w:pPr>
            <w:r w:rsidRPr="00267822">
              <w:rPr>
                <w:noProof/>
              </w:rPr>
              <w:t>100</w:t>
            </w:r>
          </w:p>
        </w:tc>
        <w:tc>
          <w:tcPr>
            <w:tcW w:w="2575" w:type="dxa"/>
          </w:tcPr>
          <w:p w:rsidR="004942A1" w:rsidRPr="00267822" w:rsidRDefault="004942A1" w:rsidP="004942A1">
            <w:pPr>
              <w:spacing w:line="240" w:lineRule="auto"/>
              <w:jc w:val="center"/>
              <w:rPr>
                <w:noProof/>
              </w:rPr>
            </w:pPr>
            <w:r w:rsidRPr="00267822">
              <w:rPr>
                <w:noProof/>
              </w:rPr>
              <w:t>100</w:t>
            </w:r>
          </w:p>
        </w:tc>
        <w:tc>
          <w:tcPr>
            <w:tcW w:w="3631" w:type="dxa"/>
          </w:tcPr>
          <w:p w:rsidR="004942A1" w:rsidRPr="00267822" w:rsidRDefault="004942A1" w:rsidP="004942A1">
            <w:pPr>
              <w:spacing w:line="240" w:lineRule="auto"/>
              <w:rPr>
                <w:noProof/>
              </w:rPr>
            </w:pPr>
            <w:r w:rsidRPr="00267822">
              <w:rPr>
                <w:noProof/>
              </w:rPr>
              <w:t>One spray administered into one nostril</w:t>
            </w:r>
          </w:p>
        </w:tc>
      </w:tr>
      <w:tr w:rsidR="004942A1" w:rsidRPr="00267822" w:rsidTr="00272639">
        <w:tc>
          <w:tcPr>
            <w:tcW w:w="2734" w:type="dxa"/>
          </w:tcPr>
          <w:p w:rsidR="004942A1" w:rsidRPr="00267822" w:rsidRDefault="004942A1" w:rsidP="004942A1">
            <w:pPr>
              <w:spacing w:line="240" w:lineRule="auto"/>
              <w:jc w:val="center"/>
              <w:rPr>
                <w:noProof/>
              </w:rPr>
            </w:pPr>
            <w:r w:rsidRPr="00267822">
              <w:rPr>
                <w:noProof/>
              </w:rPr>
              <w:t>200</w:t>
            </w:r>
          </w:p>
        </w:tc>
        <w:tc>
          <w:tcPr>
            <w:tcW w:w="2575" w:type="dxa"/>
          </w:tcPr>
          <w:p w:rsidR="004942A1" w:rsidRPr="00267822" w:rsidRDefault="004942A1" w:rsidP="004942A1">
            <w:pPr>
              <w:spacing w:line="240" w:lineRule="auto"/>
              <w:jc w:val="center"/>
              <w:rPr>
                <w:noProof/>
              </w:rPr>
            </w:pPr>
            <w:r w:rsidRPr="00267822">
              <w:rPr>
                <w:noProof/>
              </w:rPr>
              <w:t>100</w:t>
            </w:r>
          </w:p>
        </w:tc>
        <w:tc>
          <w:tcPr>
            <w:tcW w:w="3631" w:type="dxa"/>
          </w:tcPr>
          <w:p w:rsidR="004942A1" w:rsidRPr="00267822" w:rsidRDefault="004942A1" w:rsidP="004942A1">
            <w:pPr>
              <w:spacing w:line="240" w:lineRule="auto"/>
              <w:rPr>
                <w:noProof/>
              </w:rPr>
            </w:pPr>
            <w:r w:rsidRPr="00267822">
              <w:rPr>
                <w:noProof/>
              </w:rPr>
              <w:t>One spray administered into each nostril</w:t>
            </w:r>
          </w:p>
        </w:tc>
      </w:tr>
      <w:tr w:rsidR="004942A1" w:rsidRPr="00267822" w:rsidTr="00272639">
        <w:tc>
          <w:tcPr>
            <w:tcW w:w="2734" w:type="dxa"/>
          </w:tcPr>
          <w:p w:rsidR="004942A1" w:rsidRPr="00267822" w:rsidRDefault="004942A1" w:rsidP="004942A1">
            <w:pPr>
              <w:spacing w:line="240" w:lineRule="auto"/>
              <w:jc w:val="center"/>
              <w:rPr>
                <w:noProof/>
              </w:rPr>
            </w:pPr>
            <w:r w:rsidRPr="00267822">
              <w:rPr>
                <w:noProof/>
              </w:rPr>
              <w:t>400</w:t>
            </w:r>
          </w:p>
        </w:tc>
        <w:tc>
          <w:tcPr>
            <w:tcW w:w="2575" w:type="dxa"/>
          </w:tcPr>
          <w:p w:rsidR="004942A1" w:rsidRPr="00267822" w:rsidRDefault="004942A1" w:rsidP="004942A1">
            <w:pPr>
              <w:spacing w:line="240" w:lineRule="auto"/>
              <w:jc w:val="center"/>
              <w:rPr>
                <w:noProof/>
              </w:rPr>
            </w:pPr>
            <w:r w:rsidRPr="00267822">
              <w:rPr>
                <w:noProof/>
              </w:rPr>
              <w:t>400</w:t>
            </w:r>
          </w:p>
        </w:tc>
        <w:tc>
          <w:tcPr>
            <w:tcW w:w="3631" w:type="dxa"/>
          </w:tcPr>
          <w:p w:rsidR="004942A1" w:rsidRPr="00267822" w:rsidRDefault="004942A1" w:rsidP="004942A1">
            <w:pPr>
              <w:spacing w:line="240" w:lineRule="auto"/>
              <w:rPr>
                <w:noProof/>
              </w:rPr>
            </w:pPr>
            <w:r w:rsidRPr="00267822">
              <w:rPr>
                <w:noProof/>
              </w:rPr>
              <w:t>One spray administered into one nostril</w:t>
            </w:r>
          </w:p>
        </w:tc>
      </w:tr>
      <w:tr w:rsidR="004942A1" w:rsidRPr="00267822" w:rsidTr="00272639">
        <w:tc>
          <w:tcPr>
            <w:tcW w:w="2734" w:type="dxa"/>
          </w:tcPr>
          <w:p w:rsidR="004942A1" w:rsidRPr="00267822" w:rsidRDefault="004942A1" w:rsidP="004942A1">
            <w:pPr>
              <w:spacing w:line="240" w:lineRule="auto"/>
              <w:jc w:val="center"/>
              <w:rPr>
                <w:noProof/>
              </w:rPr>
            </w:pPr>
            <w:r w:rsidRPr="00267822">
              <w:rPr>
                <w:noProof/>
              </w:rPr>
              <w:t>800</w:t>
            </w:r>
          </w:p>
        </w:tc>
        <w:tc>
          <w:tcPr>
            <w:tcW w:w="2575" w:type="dxa"/>
          </w:tcPr>
          <w:p w:rsidR="004942A1" w:rsidRPr="00267822" w:rsidRDefault="004942A1" w:rsidP="004942A1">
            <w:pPr>
              <w:spacing w:line="240" w:lineRule="auto"/>
              <w:jc w:val="center"/>
              <w:rPr>
                <w:noProof/>
              </w:rPr>
            </w:pPr>
            <w:r w:rsidRPr="00267822">
              <w:rPr>
                <w:noProof/>
              </w:rPr>
              <w:t>400</w:t>
            </w:r>
          </w:p>
        </w:tc>
        <w:tc>
          <w:tcPr>
            <w:tcW w:w="3631" w:type="dxa"/>
          </w:tcPr>
          <w:p w:rsidR="004942A1" w:rsidRPr="00267822" w:rsidRDefault="004942A1" w:rsidP="004942A1">
            <w:pPr>
              <w:spacing w:line="240" w:lineRule="auto"/>
              <w:rPr>
                <w:noProof/>
              </w:rPr>
            </w:pPr>
            <w:r w:rsidRPr="00267822">
              <w:rPr>
                <w:noProof/>
              </w:rPr>
              <w:t>One spray administered into each nostril</w:t>
            </w:r>
          </w:p>
        </w:tc>
      </w:tr>
    </w:tbl>
    <w:p w:rsidR="004942A1" w:rsidRPr="00267822" w:rsidRDefault="004942A1" w:rsidP="002B2B88">
      <w:pPr>
        <w:rPr>
          <w:noProof/>
        </w:rPr>
      </w:pPr>
      <w:r w:rsidRPr="00267822">
        <w:rPr>
          <w:noProof/>
        </w:rPr>
        <w:t>The bottle should be removed from the child resistant container immediately prior to use and the protective cap removed. The bottle must be primed before first use by holding upright and simply pressing and releasing the finger grips either side of the nozzle until a green bar appears in the counting window (should occur after four sprays).</w:t>
      </w:r>
      <w:r w:rsidR="00BC1774">
        <w:rPr>
          <w:noProof/>
        </w:rPr>
        <w:t xml:space="preserve">  During priming aim the spray away from you (and any other people or animals).</w:t>
      </w:r>
    </w:p>
    <w:p w:rsidR="00B1707C" w:rsidRPr="00267822" w:rsidRDefault="0058258D" w:rsidP="002B2B88">
      <w:pPr>
        <w:rPr>
          <w:noProof/>
        </w:rPr>
      </w:pPr>
      <w:r>
        <w:rPr>
          <w:noProof/>
        </w:rPr>
        <w:t xml:space="preserve">If the product has not been used for </w:t>
      </w:r>
      <w:r w:rsidR="002A5CF8">
        <w:rPr>
          <w:noProof/>
        </w:rPr>
        <w:t xml:space="preserve">more than </w:t>
      </w:r>
      <w:r>
        <w:rPr>
          <w:noProof/>
        </w:rPr>
        <w:t>5 days, re-prime by spraying once</w:t>
      </w:r>
      <w:r w:rsidR="00DF5563">
        <w:rPr>
          <w:noProof/>
        </w:rPr>
        <w:t xml:space="preserve"> in the air</w:t>
      </w:r>
      <w:r>
        <w:rPr>
          <w:noProof/>
        </w:rPr>
        <w:t>. Discard bottle 60 days after first opening. The patient should be advised to write the date of first use in the space provided on the label of the child resistant container.</w:t>
      </w:r>
    </w:p>
    <w:p w:rsidR="004942A1" w:rsidRPr="00267822" w:rsidRDefault="004942A1" w:rsidP="002B2B88">
      <w:pPr>
        <w:rPr>
          <w:noProof/>
        </w:rPr>
      </w:pPr>
      <w:r w:rsidRPr="00267822">
        <w:rPr>
          <w:noProof/>
        </w:rPr>
        <w:t>To administer PecFent the nozzle is placed a short distance (about 1 cm) into the nostril and pointed slightly towards the bridge of the nose. A spray is then administered by pressing and releasing the finger grips either side of the nozzle. An audible click will be heard and the number displayed on t</w:t>
      </w:r>
      <w:r w:rsidR="00397234">
        <w:rPr>
          <w:noProof/>
        </w:rPr>
        <w:t>he counter will advance by one.</w:t>
      </w:r>
    </w:p>
    <w:p w:rsidR="004942A1" w:rsidRPr="00267822" w:rsidRDefault="004942A1" w:rsidP="002B2B88">
      <w:pPr>
        <w:rPr>
          <w:noProof/>
        </w:rPr>
      </w:pPr>
      <w:r w:rsidRPr="00267822">
        <w:rPr>
          <w:noProof/>
        </w:rPr>
        <w:t>Patients must be advised that they may not feel the spray being administered, and that they should therefore rely on the audible click and the number on the counter advancing to confirm t</w:t>
      </w:r>
      <w:r w:rsidR="00397234">
        <w:rPr>
          <w:noProof/>
        </w:rPr>
        <w:t>hat a spray has been delivered.</w:t>
      </w:r>
    </w:p>
    <w:p w:rsidR="00BE54BF" w:rsidRDefault="00BE54BF" w:rsidP="002B2B88">
      <w:pPr>
        <w:rPr>
          <w:noProof/>
        </w:rPr>
      </w:pPr>
      <w:r>
        <w:rPr>
          <w:noProof/>
        </w:rPr>
        <w:t>Patients should be advised not to blow their nose immediately after PecFent administration.</w:t>
      </w:r>
    </w:p>
    <w:p w:rsidR="00C01EAB" w:rsidRDefault="004942A1" w:rsidP="002B2B88">
      <w:pPr>
        <w:rPr>
          <w:noProof/>
        </w:rPr>
      </w:pPr>
      <w:r w:rsidRPr="00267822">
        <w:rPr>
          <w:noProof/>
        </w:rPr>
        <w:lastRenderedPageBreak/>
        <w:t>The protective cap should be replaced after each use and the bottle returned to the child resistant container for safe storage.</w:t>
      </w:r>
    </w:p>
    <w:p w:rsidR="004942A1" w:rsidRDefault="004942A1" w:rsidP="005A3BC2">
      <w:pPr>
        <w:pStyle w:val="Heading2"/>
        <w:spacing w:after="0"/>
      </w:pPr>
      <w:r>
        <w:t>OVERDOSAGE</w:t>
      </w:r>
    </w:p>
    <w:p w:rsidR="004942A1" w:rsidRPr="00267822" w:rsidRDefault="004942A1" w:rsidP="002B2B88">
      <w:pPr>
        <w:rPr>
          <w:noProof/>
        </w:rPr>
      </w:pPr>
      <w:r w:rsidRPr="00267822">
        <w:rPr>
          <w:noProof/>
        </w:rPr>
        <w:t>The symptoms of fentanyl overdose via the nasal route are expected to be similar in nature to those of intravenous fentanyl and other opioids, and are an extension of its pharmacological actions, with the most serious significant effect being respiratory depression.</w:t>
      </w:r>
    </w:p>
    <w:p w:rsidR="004942A1" w:rsidRPr="00267822" w:rsidRDefault="004942A1" w:rsidP="002B2B88">
      <w:pPr>
        <w:rPr>
          <w:noProof/>
        </w:rPr>
      </w:pPr>
      <w:r w:rsidRPr="00267822">
        <w:rPr>
          <w:noProof/>
        </w:rPr>
        <w:t>Immediate management of opioid overdose includes ensuring a patent airway, physical and verbal stimulation of the patient, assessment of the level of consciousness, ventilatory and circulatory status, and assisted ventilation (ventilatory support) if necessary.</w:t>
      </w:r>
    </w:p>
    <w:p w:rsidR="004942A1" w:rsidRPr="00267822" w:rsidRDefault="004942A1" w:rsidP="002B2B88">
      <w:pPr>
        <w:rPr>
          <w:noProof/>
        </w:rPr>
      </w:pPr>
      <w:r w:rsidRPr="00267822">
        <w:rPr>
          <w:noProof/>
        </w:rPr>
        <w:t>For treatment of overdose (accidental ingestion) in the opioid-naïve person, intravenous access should be obtained and naloxone or other opioid antagonists should be employed as clinically indicated. The duration of respiratory depression following overdose may be longer than the effects of the opioid antagonist’s action (e.g. the half life of naloxone ranges from 30 to 81 minutes) and repeated administration may be necessary</w:t>
      </w:r>
      <w:r w:rsidRPr="00FC4B2C">
        <w:rPr>
          <w:noProof/>
        </w:rPr>
        <w:t xml:space="preserve">. Consult the </w:t>
      </w:r>
      <w:r w:rsidR="00FC4B2C" w:rsidRPr="00FC4B2C">
        <w:rPr>
          <w:noProof/>
        </w:rPr>
        <w:t>Product Information</w:t>
      </w:r>
      <w:r w:rsidRPr="00FC4B2C">
        <w:rPr>
          <w:noProof/>
        </w:rPr>
        <w:t xml:space="preserve"> of the individual opioid antagonist for details about such use.</w:t>
      </w:r>
    </w:p>
    <w:p w:rsidR="004942A1" w:rsidRPr="00267822" w:rsidRDefault="004942A1" w:rsidP="002B2B88">
      <w:pPr>
        <w:rPr>
          <w:noProof/>
          <w:szCs w:val="24"/>
        </w:rPr>
      </w:pPr>
      <w:r w:rsidRPr="00267822">
        <w:rPr>
          <w:noProof/>
          <w:szCs w:val="24"/>
        </w:rPr>
        <w:t>For treatment of overdose in opioid-maintained patients, intravenous access should be obtained. The judicious use of naloxone or another opioid antagonist may be warranted in some instances, but it is associated with the risk of precipitating an acute withdrawal syndrome.</w:t>
      </w:r>
    </w:p>
    <w:p w:rsidR="004942A1" w:rsidRPr="00267822" w:rsidRDefault="004942A1" w:rsidP="002B2B88">
      <w:pPr>
        <w:rPr>
          <w:noProof/>
          <w:szCs w:val="22"/>
        </w:rPr>
      </w:pPr>
      <w:r w:rsidRPr="00267822">
        <w:rPr>
          <w:noProof/>
          <w:szCs w:val="22"/>
        </w:rPr>
        <w:t>It should be noted that although statistically significant i</w:t>
      </w:r>
      <w:r w:rsidRPr="00267822">
        <w:rPr>
          <w:iCs/>
          <w:noProof/>
          <w:szCs w:val="22"/>
        </w:rPr>
        <w:t>ncreases in C</w:t>
      </w:r>
      <w:r w:rsidRPr="00267822">
        <w:rPr>
          <w:iCs/>
          <w:noProof/>
          <w:szCs w:val="22"/>
          <w:vertAlign w:val="subscript"/>
        </w:rPr>
        <w:t>max</w:t>
      </w:r>
      <w:r w:rsidRPr="00267822">
        <w:rPr>
          <w:iCs/>
          <w:noProof/>
          <w:szCs w:val="22"/>
        </w:rPr>
        <w:t xml:space="preserve"> levels were seen following a second dose of PecFent given either one or two hours after the initial dose, this increase is not considered to be large enough to suggest that clinically concerning accumulation or over-exposure would occur, providing a wide safety margin for the recommended dose interval of </w:t>
      </w:r>
      <w:r w:rsidR="00994CAA">
        <w:rPr>
          <w:iCs/>
          <w:noProof/>
          <w:szCs w:val="22"/>
        </w:rPr>
        <w:t>two</w:t>
      </w:r>
      <w:r w:rsidR="00994CAA" w:rsidRPr="00267822">
        <w:rPr>
          <w:iCs/>
          <w:noProof/>
          <w:szCs w:val="22"/>
        </w:rPr>
        <w:t xml:space="preserve"> </w:t>
      </w:r>
      <w:r w:rsidRPr="00267822">
        <w:rPr>
          <w:iCs/>
          <w:noProof/>
          <w:szCs w:val="22"/>
        </w:rPr>
        <w:t>hours.</w:t>
      </w:r>
    </w:p>
    <w:p w:rsidR="004942A1" w:rsidRPr="00267822" w:rsidRDefault="004942A1" w:rsidP="002B2B88">
      <w:pPr>
        <w:rPr>
          <w:noProof/>
        </w:rPr>
      </w:pPr>
      <w:r w:rsidRPr="00267822">
        <w:rPr>
          <w:noProof/>
        </w:rPr>
        <w:t>Although muscle rigidity interfering with respiration has not been seen following the use of PecFent, this is possible with fentanyl and other opioids. If it occurs, it should be managed by the use of assisted ventilation, by an opioid antagonist, and as a final alternative, by a neuromuscular blocking agent.</w:t>
      </w:r>
    </w:p>
    <w:p w:rsidR="004942A1" w:rsidRDefault="004942A1" w:rsidP="005A3BC2">
      <w:pPr>
        <w:pStyle w:val="Heading2"/>
        <w:spacing w:after="0"/>
      </w:pPr>
      <w:r>
        <w:t>PRESENTATION</w:t>
      </w:r>
      <w:r w:rsidR="00E46967">
        <w:t xml:space="preserve"> </w:t>
      </w:r>
      <w:r w:rsidR="00397234">
        <w:t>AND STORAGE CONDITIONS</w:t>
      </w:r>
    </w:p>
    <w:p w:rsidR="00AF40AC" w:rsidRPr="004F0E5F" w:rsidRDefault="00714112" w:rsidP="002B2B88">
      <w:pPr>
        <w:rPr>
          <w:noProof/>
        </w:rPr>
      </w:pPr>
      <w:r w:rsidRPr="004F0E5F">
        <w:rPr>
          <w:noProof/>
        </w:rPr>
        <w:t>Pec</w:t>
      </w:r>
      <w:r w:rsidR="00AF40AC" w:rsidRPr="004F0E5F">
        <w:rPr>
          <w:noProof/>
        </w:rPr>
        <w:t xml:space="preserve">Fent nasal spray solution is presented in a bottle (clear Type I glass) with an attached metering pump incorporating a </w:t>
      </w:r>
      <w:r w:rsidR="00544547" w:rsidRPr="004F0E5F">
        <w:rPr>
          <w:noProof/>
        </w:rPr>
        <w:t xml:space="preserve">visual and </w:t>
      </w:r>
      <w:r w:rsidR="00AF40AC" w:rsidRPr="004F0E5F">
        <w:rPr>
          <w:noProof/>
        </w:rPr>
        <w:t xml:space="preserve">audible dose counter and a protective cap.  It is available in two strengths, 100 and 400 </w:t>
      </w:r>
      <w:r w:rsidR="004933FA">
        <w:rPr>
          <w:noProof/>
        </w:rPr>
        <w:t>µ</w:t>
      </w:r>
      <w:r w:rsidR="004933FA" w:rsidRPr="00267822">
        <w:rPr>
          <w:noProof/>
        </w:rPr>
        <w:t>g</w:t>
      </w:r>
      <w:r w:rsidR="00AF40AC" w:rsidRPr="004F0E5F">
        <w:rPr>
          <w:noProof/>
        </w:rPr>
        <w:t xml:space="preserve">/actuation.  Each ml of solution contains either </w:t>
      </w:r>
      <w:r w:rsidR="008B1BDE" w:rsidRPr="004F0E5F">
        <w:rPr>
          <w:noProof/>
        </w:rPr>
        <w:t xml:space="preserve">1,000 </w:t>
      </w:r>
      <w:r w:rsidR="00AF40AC" w:rsidRPr="004F0E5F">
        <w:rPr>
          <w:noProof/>
        </w:rPr>
        <w:t>or 4,000 </w:t>
      </w:r>
      <w:r w:rsidR="004054FE">
        <w:rPr>
          <w:noProof/>
        </w:rPr>
        <w:t>µ</w:t>
      </w:r>
      <w:r w:rsidR="004054FE" w:rsidRPr="00267822">
        <w:rPr>
          <w:noProof/>
        </w:rPr>
        <w:t>g</w:t>
      </w:r>
      <w:r w:rsidR="004054FE" w:rsidRPr="004F0E5F">
        <w:rPr>
          <w:noProof/>
        </w:rPr>
        <w:t xml:space="preserve"> </w:t>
      </w:r>
      <w:r w:rsidR="00AF40AC" w:rsidRPr="004F0E5F">
        <w:rPr>
          <w:noProof/>
        </w:rPr>
        <w:t>fentanyl (as citrate).  One</w:t>
      </w:r>
      <w:r w:rsidR="005E004D" w:rsidRPr="004F0E5F">
        <w:rPr>
          <w:noProof/>
        </w:rPr>
        <w:t xml:space="preserve"> </w:t>
      </w:r>
      <w:r w:rsidR="00544547" w:rsidRPr="004F0E5F">
        <w:rPr>
          <w:noProof/>
        </w:rPr>
        <w:t xml:space="preserve">full </w:t>
      </w:r>
      <w:r w:rsidR="005E004D" w:rsidRPr="004F0E5F">
        <w:rPr>
          <w:noProof/>
        </w:rPr>
        <w:t>spray (100 </w:t>
      </w:r>
      <w:r w:rsidR="004933FA">
        <w:rPr>
          <w:noProof/>
        </w:rPr>
        <w:t>µL</w:t>
      </w:r>
      <w:r w:rsidR="00AF40AC" w:rsidRPr="004F0E5F">
        <w:rPr>
          <w:noProof/>
        </w:rPr>
        <w:t xml:space="preserve">) contains </w:t>
      </w:r>
      <w:r w:rsidR="008B1BDE" w:rsidRPr="004F0E5F">
        <w:rPr>
          <w:noProof/>
        </w:rPr>
        <w:t xml:space="preserve">either </w:t>
      </w:r>
      <w:r w:rsidR="00AF40AC" w:rsidRPr="004F0E5F">
        <w:rPr>
          <w:noProof/>
        </w:rPr>
        <w:t>100 </w:t>
      </w:r>
      <w:r w:rsidR="008B1BDE" w:rsidRPr="004F0E5F">
        <w:rPr>
          <w:noProof/>
        </w:rPr>
        <w:t>or 400 </w:t>
      </w:r>
      <w:r w:rsidR="004054FE">
        <w:rPr>
          <w:noProof/>
        </w:rPr>
        <w:t>µ</w:t>
      </w:r>
      <w:r w:rsidR="004054FE" w:rsidRPr="00267822">
        <w:rPr>
          <w:noProof/>
        </w:rPr>
        <w:t>g</w:t>
      </w:r>
      <w:r w:rsidR="004054FE" w:rsidRPr="004F0E5F">
        <w:rPr>
          <w:noProof/>
        </w:rPr>
        <w:t xml:space="preserve"> </w:t>
      </w:r>
      <w:r w:rsidR="008B1BDE" w:rsidRPr="004F0E5F">
        <w:rPr>
          <w:noProof/>
        </w:rPr>
        <w:t>fentanyl</w:t>
      </w:r>
      <w:r w:rsidR="00544547" w:rsidRPr="004F0E5F">
        <w:rPr>
          <w:noProof/>
        </w:rPr>
        <w:t>.</w:t>
      </w:r>
    </w:p>
    <w:p w:rsidR="00AF40AC" w:rsidRPr="004F0E5F" w:rsidRDefault="00AF40AC" w:rsidP="002B2B88">
      <w:pPr>
        <w:rPr>
          <w:noProof/>
        </w:rPr>
      </w:pPr>
      <w:r w:rsidRPr="004F0E5F">
        <w:rPr>
          <w:noProof/>
        </w:rPr>
        <w:t>Each PecFent bottle is packed in a clam-shell-like child resistant container.  Each bottle contains 1.55 m</w:t>
      </w:r>
      <w:r w:rsidR="004054FE" w:rsidRPr="004F0E5F">
        <w:rPr>
          <w:noProof/>
        </w:rPr>
        <w:t>L</w:t>
      </w:r>
      <w:r w:rsidRPr="004F0E5F">
        <w:rPr>
          <w:noProof/>
        </w:rPr>
        <w:t xml:space="preserve"> ensuring delivery of 8 </w:t>
      </w:r>
      <w:r w:rsidR="00C302FD" w:rsidRPr="004F0E5F">
        <w:rPr>
          <w:noProof/>
        </w:rPr>
        <w:t xml:space="preserve">full </w:t>
      </w:r>
      <w:r w:rsidRPr="004F0E5F">
        <w:rPr>
          <w:noProof/>
        </w:rPr>
        <w:t>sprays.</w:t>
      </w:r>
    </w:p>
    <w:p w:rsidR="00AF40AC" w:rsidRPr="004F0E5F" w:rsidRDefault="00AF40AC" w:rsidP="002B2B88">
      <w:pPr>
        <w:rPr>
          <w:noProof/>
        </w:rPr>
      </w:pPr>
      <w:r w:rsidRPr="004F0E5F">
        <w:rPr>
          <w:noProof/>
        </w:rPr>
        <w:t>Bottles in their child resistant containers are supplied in cartons containing 1 or 4 bottles.</w:t>
      </w:r>
    </w:p>
    <w:p w:rsidR="00B24B22" w:rsidRPr="004F0E5F" w:rsidRDefault="00B24B22" w:rsidP="008F7DB6">
      <w:pPr>
        <w:pStyle w:val="Heading4"/>
        <w:rPr>
          <w:lang w:eastAsia="en-GB"/>
        </w:rPr>
      </w:pPr>
      <w:r w:rsidRPr="004F0E5F">
        <w:rPr>
          <w:lang w:eastAsia="en-GB"/>
        </w:rPr>
        <w:t>List of excipients</w:t>
      </w:r>
    </w:p>
    <w:p w:rsidR="00EC3DDD" w:rsidRDefault="00657E44" w:rsidP="00EC3DDD">
      <w:pPr>
        <w:tabs>
          <w:tab w:val="clear" w:pos="567"/>
        </w:tabs>
        <w:autoSpaceDE w:val="0"/>
        <w:autoSpaceDN w:val="0"/>
        <w:adjustRightInd w:val="0"/>
        <w:spacing w:line="240" w:lineRule="auto"/>
        <w:rPr>
          <w:szCs w:val="22"/>
          <w:lang w:eastAsia="en-GB"/>
        </w:rPr>
      </w:pPr>
      <w:r w:rsidRPr="00657E44">
        <w:rPr>
          <w:szCs w:val="22"/>
          <w:lang w:eastAsia="en-GB"/>
        </w:rPr>
        <w:t>Partially de-</w:t>
      </w:r>
      <w:proofErr w:type="spellStart"/>
      <w:r w:rsidRPr="00657E44">
        <w:rPr>
          <w:szCs w:val="22"/>
          <w:lang w:eastAsia="en-GB"/>
        </w:rPr>
        <w:t>esterified</w:t>
      </w:r>
      <w:proofErr w:type="spellEnd"/>
      <w:r w:rsidRPr="00657E44">
        <w:rPr>
          <w:szCs w:val="22"/>
          <w:lang w:eastAsia="en-GB"/>
        </w:rPr>
        <w:t xml:space="preserve"> </w:t>
      </w:r>
      <w:r w:rsidR="00F927F2" w:rsidRPr="00657E44">
        <w:rPr>
          <w:szCs w:val="22"/>
          <w:lang w:eastAsia="en-GB"/>
        </w:rPr>
        <w:t>p</w:t>
      </w:r>
      <w:r w:rsidR="00B24B22" w:rsidRPr="00657E44">
        <w:rPr>
          <w:szCs w:val="22"/>
          <w:lang w:eastAsia="en-GB"/>
        </w:rPr>
        <w:t>ectin</w:t>
      </w:r>
      <w:r w:rsidR="00B24B22" w:rsidRPr="004F0E5F">
        <w:rPr>
          <w:szCs w:val="22"/>
          <w:lang w:eastAsia="en-GB"/>
        </w:rPr>
        <w:t xml:space="preserve"> (E440)</w:t>
      </w:r>
      <w:r w:rsidR="005A3BC2">
        <w:rPr>
          <w:szCs w:val="22"/>
          <w:lang w:eastAsia="en-GB"/>
        </w:rPr>
        <w:br/>
      </w:r>
      <w:proofErr w:type="spellStart"/>
      <w:r w:rsidR="00B24B22" w:rsidRPr="004F0E5F">
        <w:rPr>
          <w:szCs w:val="22"/>
          <w:lang w:eastAsia="en-GB"/>
        </w:rPr>
        <w:t>Mannitol</w:t>
      </w:r>
      <w:proofErr w:type="spellEnd"/>
      <w:r w:rsidR="00B24B22" w:rsidRPr="004F0E5F">
        <w:rPr>
          <w:szCs w:val="22"/>
          <w:lang w:eastAsia="en-GB"/>
        </w:rPr>
        <w:t xml:space="preserve"> (E421)</w:t>
      </w:r>
      <w:r w:rsidR="005A3BC2">
        <w:rPr>
          <w:szCs w:val="22"/>
          <w:lang w:eastAsia="en-GB"/>
        </w:rPr>
        <w:br/>
      </w:r>
      <w:proofErr w:type="spellStart"/>
      <w:r w:rsidRPr="00657E44">
        <w:rPr>
          <w:szCs w:val="22"/>
          <w:lang w:eastAsia="en-GB"/>
        </w:rPr>
        <w:t>Phenethyl</w:t>
      </w:r>
      <w:proofErr w:type="spellEnd"/>
      <w:r w:rsidR="00B24B22" w:rsidRPr="00657E44">
        <w:rPr>
          <w:szCs w:val="22"/>
          <w:lang w:eastAsia="en-GB"/>
        </w:rPr>
        <w:t xml:space="preserve"> alcohol</w:t>
      </w:r>
      <w:r w:rsidR="005A3BC2">
        <w:rPr>
          <w:szCs w:val="22"/>
          <w:lang w:eastAsia="en-GB"/>
        </w:rPr>
        <w:br/>
      </w:r>
      <w:proofErr w:type="spellStart"/>
      <w:r w:rsidR="00B24B22" w:rsidRPr="004F0E5F">
        <w:rPr>
          <w:szCs w:val="22"/>
          <w:lang w:eastAsia="en-GB"/>
        </w:rPr>
        <w:t>Propyl</w:t>
      </w:r>
      <w:proofErr w:type="spellEnd"/>
      <w:r w:rsidR="00B24B22" w:rsidRPr="004F0E5F">
        <w:rPr>
          <w:szCs w:val="22"/>
          <w:lang w:eastAsia="en-GB"/>
        </w:rPr>
        <w:t xml:space="preserve"> </w:t>
      </w:r>
      <w:proofErr w:type="spellStart"/>
      <w:r w:rsidR="00B24B22" w:rsidRPr="004F0E5F">
        <w:rPr>
          <w:szCs w:val="22"/>
          <w:lang w:eastAsia="en-GB"/>
        </w:rPr>
        <w:t>hydroxybenzoate</w:t>
      </w:r>
      <w:proofErr w:type="spellEnd"/>
      <w:r w:rsidR="00B24B22" w:rsidRPr="004F0E5F">
        <w:rPr>
          <w:szCs w:val="22"/>
          <w:lang w:eastAsia="en-GB"/>
        </w:rPr>
        <w:t xml:space="preserve"> (E216)</w:t>
      </w:r>
      <w:r w:rsidR="005A3BC2">
        <w:rPr>
          <w:szCs w:val="22"/>
          <w:lang w:eastAsia="en-GB"/>
        </w:rPr>
        <w:br/>
      </w:r>
      <w:r w:rsidR="00B24B22" w:rsidRPr="004F0E5F">
        <w:rPr>
          <w:szCs w:val="22"/>
          <w:lang w:eastAsia="en-GB"/>
        </w:rPr>
        <w:t>Sucrose</w:t>
      </w:r>
      <w:r w:rsidR="005A3BC2">
        <w:rPr>
          <w:szCs w:val="22"/>
          <w:lang w:eastAsia="en-GB"/>
        </w:rPr>
        <w:br/>
      </w:r>
      <w:r w:rsidR="00B24B22" w:rsidRPr="004F0E5F">
        <w:rPr>
          <w:szCs w:val="22"/>
          <w:lang w:eastAsia="en-GB"/>
        </w:rPr>
        <w:t>Hydrochloric acid (0.36%) or sodium hydroxide (for pH adjustment)</w:t>
      </w:r>
      <w:r w:rsidR="005A3BC2">
        <w:rPr>
          <w:szCs w:val="22"/>
          <w:lang w:eastAsia="en-GB"/>
        </w:rPr>
        <w:br/>
        <w:t>P</w:t>
      </w:r>
      <w:r w:rsidR="00B24B22" w:rsidRPr="004F0E5F">
        <w:rPr>
          <w:szCs w:val="22"/>
          <w:lang w:eastAsia="en-GB"/>
        </w:rPr>
        <w:t>urified water</w:t>
      </w:r>
      <w:r w:rsidR="00EC3DDD">
        <w:rPr>
          <w:szCs w:val="22"/>
          <w:lang w:eastAsia="en-GB"/>
        </w:rPr>
        <w:br w:type="page"/>
      </w:r>
    </w:p>
    <w:p w:rsidR="008B1BDE" w:rsidRDefault="008B1BDE" w:rsidP="008F7DB6">
      <w:pPr>
        <w:pStyle w:val="Heading4"/>
        <w:rPr>
          <w:lang w:eastAsia="en-GB"/>
        </w:rPr>
      </w:pPr>
      <w:r>
        <w:rPr>
          <w:lang w:eastAsia="en-GB"/>
        </w:rPr>
        <w:lastRenderedPageBreak/>
        <w:t>Storage conditions</w:t>
      </w:r>
    </w:p>
    <w:p w:rsidR="008B1BDE" w:rsidRPr="004F0E5F" w:rsidRDefault="00BD3289" w:rsidP="008B1BDE">
      <w:pPr>
        <w:tabs>
          <w:tab w:val="clear" w:pos="567"/>
        </w:tabs>
        <w:autoSpaceDE w:val="0"/>
        <w:autoSpaceDN w:val="0"/>
        <w:adjustRightInd w:val="0"/>
        <w:spacing w:line="240" w:lineRule="auto"/>
        <w:rPr>
          <w:szCs w:val="22"/>
          <w:lang w:eastAsia="en-GB"/>
        </w:rPr>
      </w:pPr>
      <w:r>
        <w:rPr>
          <w:szCs w:val="22"/>
        </w:rPr>
        <w:t>Store below</w:t>
      </w:r>
      <w:r w:rsidR="00657E44" w:rsidRPr="00657E44">
        <w:rPr>
          <w:rFonts w:ascii="TimesNewRomanPSMT" w:hAnsi="TimesNewRomanPSMT" w:cs="TimesNewRomanPSMT"/>
          <w:szCs w:val="22"/>
          <w:lang w:val="en-US"/>
        </w:rPr>
        <w:t xml:space="preserve"> </w:t>
      </w:r>
      <w:r w:rsidR="00657E44" w:rsidRPr="00657E44">
        <w:rPr>
          <w:szCs w:val="22"/>
        </w:rPr>
        <w:t>25˚C</w:t>
      </w:r>
      <w:r w:rsidRPr="00657E44">
        <w:rPr>
          <w:szCs w:val="22"/>
        </w:rPr>
        <w:t>.</w:t>
      </w:r>
      <w:r>
        <w:rPr>
          <w:szCs w:val="22"/>
        </w:rPr>
        <w:t xml:space="preserve"> </w:t>
      </w:r>
      <w:r w:rsidR="009C7B63">
        <w:rPr>
          <w:szCs w:val="22"/>
        </w:rPr>
        <w:br/>
      </w:r>
      <w:r w:rsidR="008B1BDE" w:rsidRPr="004F0E5F">
        <w:rPr>
          <w:szCs w:val="22"/>
          <w:lang w:eastAsia="en-GB"/>
        </w:rPr>
        <w:t>Do not freeze.</w:t>
      </w:r>
      <w:r w:rsidR="009C7B63">
        <w:rPr>
          <w:szCs w:val="22"/>
          <w:lang w:eastAsia="en-GB"/>
        </w:rPr>
        <w:br/>
      </w:r>
      <w:r w:rsidR="008B1BDE" w:rsidRPr="004F0E5F">
        <w:rPr>
          <w:szCs w:val="22"/>
          <w:lang w:eastAsia="en-GB"/>
        </w:rPr>
        <w:t>Keep the bottle in the child resistant container in order to protect from light.</w:t>
      </w:r>
      <w:r w:rsidR="009C7B63">
        <w:rPr>
          <w:szCs w:val="22"/>
          <w:lang w:eastAsia="en-GB"/>
        </w:rPr>
        <w:br/>
      </w:r>
      <w:r w:rsidR="008B1BDE" w:rsidRPr="004F0E5F">
        <w:rPr>
          <w:szCs w:val="22"/>
          <w:lang w:eastAsia="en-GB"/>
        </w:rPr>
        <w:t>Store the bottle in the child resistant container at all times, even when finished.</w:t>
      </w:r>
    </w:p>
    <w:p w:rsidR="008B1BDE" w:rsidRPr="008B1BDE" w:rsidRDefault="008B1BDE" w:rsidP="008F7DB6">
      <w:pPr>
        <w:pStyle w:val="Heading4"/>
        <w:rPr>
          <w:lang w:eastAsia="en-GB"/>
        </w:rPr>
      </w:pPr>
      <w:r w:rsidRPr="008B1BDE">
        <w:rPr>
          <w:lang w:eastAsia="en-GB"/>
        </w:rPr>
        <w:t>Special precautions for disposal</w:t>
      </w:r>
    </w:p>
    <w:p w:rsidR="00B01D6C" w:rsidRPr="00B01D6C" w:rsidRDefault="00B01D6C" w:rsidP="002B2B88">
      <w:pPr>
        <w:rPr>
          <w:lang w:eastAsia="en-GB"/>
        </w:rPr>
      </w:pPr>
      <w:r w:rsidRPr="00B01D6C">
        <w:rPr>
          <w:lang w:eastAsia="en-GB"/>
        </w:rPr>
        <w:t xml:space="preserve">Partially used </w:t>
      </w:r>
      <w:proofErr w:type="spellStart"/>
      <w:r w:rsidRPr="00B01D6C">
        <w:rPr>
          <w:lang w:eastAsia="en-GB"/>
        </w:rPr>
        <w:t>PecFent</w:t>
      </w:r>
      <w:proofErr w:type="spellEnd"/>
      <w:r w:rsidRPr="00B01D6C">
        <w:rPr>
          <w:lang w:eastAsia="en-GB"/>
        </w:rPr>
        <w:t xml:space="preserve"> bottles may contain </w:t>
      </w:r>
      <w:r w:rsidR="00B01FC0">
        <w:rPr>
          <w:lang w:eastAsia="en-GB"/>
        </w:rPr>
        <w:t>enough medicine to be harmful or</w:t>
      </w:r>
      <w:r w:rsidRPr="00B01D6C">
        <w:rPr>
          <w:lang w:eastAsia="en-GB"/>
        </w:rPr>
        <w:t xml:space="preserve"> life-threatening to a child.</w:t>
      </w:r>
      <w:r>
        <w:rPr>
          <w:lang w:eastAsia="en-GB"/>
        </w:rPr>
        <w:t xml:space="preserve">  </w:t>
      </w:r>
      <w:r w:rsidRPr="00B01D6C">
        <w:rPr>
          <w:lang w:eastAsia="en-GB"/>
        </w:rPr>
        <w:t xml:space="preserve">Even if there is little or no medicine left in the bottle, </w:t>
      </w:r>
      <w:proofErr w:type="spellStart"/>
      <w:r w:rsidRPr="00B01D6C">
        <w:rPr>
          <w:lang w:eastAsia="en-GB"/>
        </w:rPr>
        <w:t>PecFent</w:t>
      </w:r>
      <w:proofErr w:type="spellEnd"/>
      <w:r w:rsidRPr="00B01D6C">
        <w:rPr>
          <w:lang w:eastAsia="en-GB"/>
        </w:rPr>
        <w:t xml:space="preserve"> must be disposed of properly, according to the following steps:</w:t>
      </w:r>
    </w:p>
    <w:p w:rsidR="00747DB3" w:rsidRPr="00747DB3" w:rsidRDefault="00747DB3" w:rsidP="00BA2CA0">
      <w:pPr>
        <w:numPr>
          <w:ilvl w:val="1"/>
          <w:numId w:val="44"/>
        </w:numPr>
        <w:tabs>
          <w:tab w:val="clear" w:pos="567"/>
        </w:tabs>
        <w:autoSpaceDE w:val="0"/>
        <w:autoSpaceDN w:val="0"/>
        <w:adjustRightInd w:val="0"/>
        <w:spacing w:after="0" w:line="240" w:lineRule="auto"/>
        <w:ind w:left="1077" w:hanging="357"/>
        <w:rPr>
          <w:color w:val="000000"/>
        </w:rPr>
      </w:pPr>
      <w:r w:rsidRPr="00747DB3">
        <w:rPr>
          <w:color w:val="000000"/>
        </w:rPr>
        <w:t xml:space="preserve">Patients and caregivers must be instructed to properly dispose of all unused, partially used and used </w:t>
      </w:r>
      <w:proofErr w:type="spellStart"/>
      <w:r>
        <w:rPr>
          <w:color w:val="000000"/>
        </w:rPr>
        <w:t>PecFent</w:t>
      </w:r>
      <w:proofErr w:type="spellEnd"/>
      <w:r w:rsidRPr="00747DB3">
        <w:rPr>
          <w:bCs/>
          <w:iCs/>
          <w:color w:val="000000"/>
        </w:rPr>
        <w:t xml:space="preserve"> </w:t>
      </w:r>
      <w:r w:rsidRPr="00747DB3">
        <w:rPr>
          <w:color w:val="000000"/>
        </w:rPr>
        <w:t xml:space="preserve">bottles. The patient should be instructed how to do this correctly. </w:t>
      </w:r>
    </w:p>
    <w:p w:rsidR="00747DB3" w:rsidRPr="00747DB3" w:rsidRDefault="00747DB3" w:rsidP="00BA2CA0">
      <w:pPr>
        <w:numPr>
          <w:ilvl w:val="1"/>
          <w:numId w:val="44"/>
        </w:numPr>
        <w:tabs>
          <w:tab w:val="clear" w:pos="567"/>
        </w:tabs>
        <w:autoSpaceDE w:val="0"/>
        <w:autoSpaceDN w:val="0"/>
        <w:adjustRightInd w:val="0"/>
        <w:spacing w:after="0" w:line="240" w:lineRule="auto"/>
        <w:ind w:left="1077" w:hanging="357"/>
        <w:rPr>
          <w:color w:val="000000"/>
        </w:rPr>
      </w:pPr>
      <w:r w:rsidRPr="00747DB3">
        <w:rPr>
          <w:color w:val="000000"/>
        </w:rPr>
        <w:t xml:space="preserve">If there are any unwanted therapeutic sprays remaining in the bottle, instruct the patient to expel these </w:t>
      </w:r>
      <w:r w:rsidRPr="00747DB3">
        <w:rPr>
          <w:bCs/>
          <w:iCs/>
          <w:color w:val="000000"/>
        </w:rPr>
        <w:t>by aiming the spray away from themselves (and any other people or animals)</w:t>
      </w:r>
      <w:r w:rsidRPr="00747DB3">
        <w:rPr>
          <w:color w:val="000000"/>
        </w:rPr>
        <w:t xml:space="preserve"> until the number “8” appears in the counting window and there are no more full therapeutic sprays obtainable from the bottle.</w:t>
      </w:r>
    </w:p>
    <w:p w:rsidR="00747DB3" w:rsidRPr="00747DB3" w:rsidRDefault="00747DB3" w:rsidP="00BA2CA0">
      <w:pPr>
        <w:numPr>
          <w:ilvl w:val="1"/>
          <w:numId w:val="44"/>
        </w:numPr>
        <w:tabs>
          <w:tab w:val="clear" w:pos="567"/>
        </w:tabs>
        <w:autoSpaceDE w:val="0"/>
        <w:autoSpaceDN w:val="0"/>
        <w:adjustRightInd w:val="0"/>
        <w:spacing w:after="0" w:line="240" w:lineRule="auto"/>
        <w:ind w:left="1077" w:hanging="357"/>
        <w:rPr>
          <w:color w:val="000000"/>
        </w:rPr>
      </w:pPr>
      <w:r w:rsidRPr="00747DB3">
        <w:rPr>
          <w:color w:val="000000"/>
        </w:rPr>
        <w:t xml:space="preserve"> After the counter has advanced to “8”, the patient should continue to push down on the finger grips (there will be some increased resistance) a total of four times in order to expel any residual medicine from the bottle. </w:t>
      </w:r>
    </w:p>
    <w:p w:rsidR="00747DB3" w:rsidRPr="00747DB3" w:rsidRDefault="00747DB3" w:rsidP="00BA2CA0">
      <w:pPr>
        <w:numPr>
          <w:ilvl w:val="1"/>
          <w:numId w:val="44"/>
        </w:numPr>
        <w:tabs>
          <w:tab w:val="clear" w:pos="567"/>
        </w:tabs>
        <w:autoSpaceDE w:val="0"/>
        <w:autoSpaceDN w:val="0"/>
        <w:adjustRightInd w:val="0"/>
        <w:spacing w:after="0" w:line="240" w:lineRule="auto"/>
        <w:ind w:left="1077" w:hanging="357"/>
        <w:rPr>
          <w:color w:val="000000"/>
        </w:rPr>
      </w:pPr>
      <w:r w:rsidRPr="00747DB3">
        <w:rPr>
          <w:color w:val="000000"/>
        </w:rPr>
        <w:t xml:space="preserve">After the 8 therapeutic sprays have been emitted, the patient will not hear a click and the counter will not advance beyond “8”; further sprays emitted will not be full sprays and should </w:t>
      </w:r>
      <w:r w:rsidRPr="00747DB3">
        <w:rPr>
          <w:b/>
          <w:color w:val="000000"/>
        </w:rPr>
        <w:t>not be</w:t>
      </w:r>
      <w:r w:rsidRPr="00747DB3">
        <w:rPr>
          <w:color w:val="000000"/>
        </w:rPr>
        <w:t xml:space="preserve"> used therapeutically.</w:t>
      </w:r>
    </w:p>
    <w:p w:rsidR="00747DB3" w:rsidRPr="00747DB3" w:rsidRDefault="00747DB3" w:rsidP="00BA2CA0">
      <w:pPr>
        <w:numPr>
          <w:ilvl w:val="1"/>
          <w:numId w:val="44"/>
        </w:numPr>
        <w:tabs>
          <w:tab w:val="clear" w:pos="567"/>
        </w:tabs>
        <w:autoSpaceDE w:val="0"/>
        <w:autoSpaceDN w:val="0"/>
        <w:adjustRightInd w:val="0"/>
        <w:spacing w:after="0" w:line="240" w:lineRule="auto"/>
        <w:ind w:left="1077" w:hanging="357"/>
        <w:rPr>
          <w:color w:val="000000"/>
        </w:rPr>
      </w:pPr>
      <w:r w:rsidRPr="00747DB3">
        <w:rPr>
          <w:b/>
          <w:color w:val="000000"/>
        </w:rPr>
        <w:t xml:space="preserve">The patient and caregiver must be instructed to </w:t>
      </w:r>
      <w:r w:rsidRPr="00747DB3">
        <w:rPr>
          <w:color w:val="000000"/>
        </w:rPr>
        <w:t xml:space="preserve">continue to store the </w:t>
      </w:r>
      <w:proofErr w:type="spellStart"/>
      <w:r>
        <w:rPr>
          <w:bCs/>
          <w:iCs/>
          <w:color w:val="000000"/>
        </w:rPr>
        <w:t>PecFent</w:t>
      </w:r>
      <w:proofErr w:type="spellEnd"/>
      <w:r w:rsidRPr="00747DB3">
        <w:rPr>
          <w:color w:val="000000"/>
        </w:rPr>
        <w:t xml:space="preserve"> bottle in the specially provided child-resistant container out of the reach of children until proper disposal, as described above, is possible.</w:t>
      </w:r>
    </w:p>
    <w:p w:rsidR="00BA2CA0" w:rsidRDefault="008B1BDE" w:rsidP="002B2B88">
      <w:pPr>
        <w:spacing w:before="180"/>
        <w:rPr>
          <w:lang w:eastAsia="en-GB"/>
        </w:rPr>
      </w:pPr>
      <w:r w:rsidRPr="004F0E5F">
        <w:rPr>
          <w:lang w:eastAsia="en-GB"/>
        </w:rPr>
        <w:t xml:space="preserve">As soon as </w:t>
      </w:r>
      <w:proofErr w:type="spellStart"/>
      <w:r w:rsidRPr="004F0E5F">
        <w:rPr>
          <w:lang w:eastAsia="en-GB"/>
        </w:rPr>
        <w:t>PecFent</w:t>
      </w:r>
      <w:proofErr w:type="spellEnd"/>
      <w:r w:rsidRPr="004F0E5F">
        <w:rPr>
          <w:lang w:eastAsia="en-GB"/>
        </w:rPr>
        <w:t xml:space="preserve"> is no longer needed, patients and members of their household must be advised to systematically dispose of any bottles remaining from a prescription as soon as possible by returning them to their child-resistant container and discarding them, according to local requirements or by returning them to the pharmacy.</w:t>
      </w:r>
    </w:p>
    <w:p w:rsidR="008B1BDE" w:rsidRPr="00BA2CA0" w:rsidRDefault="008B1BDE" w:rsidP="00BA2CA0">
      <w:pPr>
        <w:tabs>
          <w:tab w:val="clear" w:pos="567"/>
        </w:tabs>
        <w:autoSpaceDE w:val="0"/>
        <w:autoSpaceDN w:val="0"/>
        <w:adjustRightInd w:val="0"/>
        <w:spacing w:line="240" w:lineRule="auto"/>
        <w:rPr>
          <w:b/>
        </w:rPr>
      </w:pPr>
      <w:r w:rsidRPr="00BA2CA0">
        <w:rPr>
          <w:b/>
        </w:rPr>
        <w:t>NAME AND ADDRESS OF THE SPONSOR</w:t>
      </w:r>
    </w:p>
    <w:p w:rsidR="00297EC8" w:rsidRPr="008B1BDE" w:rsidRDefault="00297EC8" w:rsidP="00E826EA">
      <w:pPr>
        <w:tabs>
          <w:tab w:val="clear" w:pos="567"/>
          <w:tab w:val="left" w:pos="0"/>
        </w:tabs>
        <w:spacing w:line="240" w:lineRule="auto"/>
        <w:rPr>
          <w:noProof/>
        </w:rPr>
      </w:pPr>
      <w:r>
        <w:rPr>
          <w:noProof/>
        </w:rPr>
        <w:t>AstraZeneca Pty Ltd</w:t>
      </w:r>
      <w:r w:rsidR="00E826EA">
        <w:rPr>
          <w:noProof/>
        </w:rPr>
        <w:br/>
      </w:r>
      <w:r>
        <w:rPr>
          <w:noProof/>
        </w:rPr>
        <w:t>ABN 54 009 682 311</w:t>
      </w:r>
      <w:r w:rsidR="00E826EA">
        <w:rPr>
          <w:noProof/>
        </w:rPr>
        <w:br/>
      </w:r>
      <w:r>
        <w:rPr>
          <w:noProof/>
        </w:rPr>
        <w:t>Alma Road</w:t>
      </w:r>
      <w:r w:rsidR="00E826EA">
        <w:rPr>
          <w:noProof/>
        </w:rPr>
        <w:br/>
      </w:r>
      <w:r>
        <w:rPr>
          <w:noProof/>
        </w:rPr>
        <w:t>NORTH RYDE NSW 2113</w:t>
      </w:r>
    </w:p>
    <w:p w:rsidR="008B1BDE" w:rsidRPr="004F0E5F" w:rsidRDefault="008B1BDE" w:rsidP="0067571A">
      <w:pPr>
        <w:spacing w:line="240" w:lineRule="auto"/>
        <w:rPr>
          <w:szCs w:val="22"/>
          <w:lang w:eastAsia="en-GB"/>
        </w:rPr>
      </w:pPr>
      <w:proofErr w:type="spellStart"/>
      <w:r w:rsidRPr="004F0E5F">
        <w:rPr>
          <w:szCs w:val="22"/>
          <w:lang w:eastAsia="en-GB"/>
        </w:rPr>
        <w:t>PecFent</w:t>
      </w:r>
      <w:proofErr w:type="spellEnd"/>
      <w:r w:rsidRPr="004F0E5F">
        <w:rPr>
          <w:szCs w:val="22"/>
          <w:lang w:eastAsia="en-GB"/>
        </w:rPr>
        <w:t xml:space="preserve"> is a registered trademark of Archimedes Development Limited, used under licence by </w:t>
      </w:r>
      <w:r w:rsidR="005133F5">
        <w:rPr>
          <w:szCs w:val="22"/>
          <w:lang w:eastAsia="en-GB"/>
        </w:rPr>
        <w:t xml:space="preserve">AstraZeneca </w:t>
      </w:r>
      <w:r w:rsidR="0067571A">
        <w:rPr>
          <w:szCs w:val="22"/>
          <w:lang w:eastAsia="en-GB"/>
        </w:rPr>
        <w:t>Pty Ltd.</w:t>
      </w:r>
    </w:p>
    <w:p w:rsidR="008B1BDE" w:rsidRDefault="008B1BDE" w:rsidP="00BA2CA0">
      <w:pPr>
        <w:pStyle w:val="Heading2"/>
        <w:spacing w:after="0"/>
      </w:pPr>
      <w:r>
        <w:t>POISON SCHEDULE OF THE MEDICINE</w:t>
      </w:r>
    </w:p>
    <w:p w:rsidR="008B1BDE" w:rsidRPr="008B1BDE" w:rsidRDefault="008B1BDE" w:rsidP="00B05A14">
      <w:pPr>
        <w:spacing w:line="240" w:lineRule="auto"/>
        <w:ind w:left="567" w:hanging="567"/>
        <w:rPr>
          <w:noProof/>
        </w:rPr>
      </w:pPr>
      <w:r w:rsidRPr="008B1BDE">
        <w:rPr>
          <w:caps/>
          <w:noProof/>
        </w:rPr>
        <w:t>S</w:t>
      </w:r>
      <w:r w:rsidRPr="008B1BDE">
        <w:rPr>
          <w:noProof/>
        </w:rPr>
        <w:t>8</w:t>
      </w:r>
    </w:p>
    <w:p w:rsidR="005133F5" w:rsidRDefault="008B1BDE" w:rsidP="00BA2CA0">
      <w:pPr>
        <w:pStyle w:val="Heading2"/>
        <w:spacing w:after="0"/>
      </w:pPr>
      <w:r>
        <w:t xml:space="preserve">DATE OF </w:t>
      </w:r>
      <w:r w:rsidR="00E826EA">
        <w:t xml:space="preserve">FIRST INCLUSION IN THE AUSTRALIAN REGISTER OF THERAPEUTIC GOODS </w:t>
      </w:r>
      <w:r w:rsidR="00E46967">
        <w:t>(the ARTG)</w:t>
      </w:r>
    </w:p>
    <w:p w:rsidR="004F0E5F" w:rsidRDefault="008B1BDE" w:rsidP="00F45060">
      <w:pPr>
        <w:spacing w:line="240" w:lineRule="auto"/>
        <w:rPr>
          <w:b/>
          <w:caps/>
          <w:noProof/>
          <w:highlight w:val="cyan"/>
        </w:rPr>
      </w:pPr>
      <w:r w:rsidRPr="004F0E5F">
        <w:rPr>
          <w:szCs w:val="22"/>
          <w:lang w:eastAsia="en-GB"/>
        </w:rPr>
        <w:t xml:space="preserve">This Product Information was approved by the Therapeutic Goods Administration on </w:t>
      </w:r>
      <w:r w:rsidR="00F45060">
        <w:rPr>
          <w:szCs w:val="22"/>
          <w:lang w:eastAsia="en-GB"/>
        </w:rPr>
        <w:t>31 July 2012.</w:t>
      </w:r>
    </w:p>
    <w:p w:rsidR="005133F5" w:rsidRDefault="0053754B" w:rsidP="00BA2CA0">
      <w:pPr>
        <w:pStyle w:val="Heading2"/>
        <w:spacing w:after="0"/>
      </w:pPr>
      <w:r>
        <w:t>DATE OF MOST RECENT AMENDMENT</w:t>
      </w:r>
    </w:p>
    <w:p w:rsidR="005133F5" w:rsidRPr="008B171F" w:rsidRDefault="008B171F" w:rsidP="005133F5">
      <w:pPr>
        <w:spacing w:line="240" w:lineRule="auto"/>
        <w:rPr>
          <w:bCs/>
          <w:noProof/>
        </w:rPr>
      </w:pPr>
      <w:r>
        <w:rPr>
          <w:bCs/>
          <w:caps/>
          <w:noProof/>
        </w:rPr>
        <w:t>22 F</w:t>
      </w:r>
      <w:r>
        <w:rPr>
          <w:bCs/>
          <w:noProof/>
        </w:rPr>
        <w:t>ebruary 2013</w:t>
      </w:r>
    </w:p>
    <w:sectPr w:rsidR="005133F5" w:rsidRPr="008B171F" w:rsidSect="0016622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40" w:right="1440" w:bottom="1440" w:left="1584" w:header="624" w:footer="107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34" w:rsidRDefault="008A5B34">
      <w:r>
        <w:separator/>
      </w:r>
    </w:p>
  </w:endnote>
  <w:endnote w:type="continuationSeparator" w:id="0">
    <w:p w:rsidR="008A5B34" w:rsidRDefault="008A5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ozuka Gothic Pro B">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Default="008F7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Default="008F7DB6" w:rsidP="009B3ACF">
    <w:pPr>
      <w:pStyle w:val="Footer"/>
      <w:tabs>
        <w:tab w:val="clear" w:pos="4536"/>
        <w:tab w:val="clear" w:pos="8930"/>
        <w:tab w:val="left" w:pos="-2127"/>
        <w:tab w:val="right" w:pos="8910"/>
      </w:tabs>
      <w:rPr>
        <w:rFonts w:ascii="Times New Roman" w:hAnsi="Times New Roman"/>
        <w:sz w:val="20"/>
      </w:rPr>
    </w:pPr>
  </w:p>
  <w:p w:rsidR="008F7DB6" w:rsidRPr="00784EF3" w:rsidRDefault="008F7DB6" w:rsidP="009B3ACF">
    <w:pPr>
      <w:pStyle w:val="Footer"/>
      <w:pBdr>
        <w:top w:val="single" w:sz="4" w:space="1" w:color="auto"/>
      </w:pBdr>
      <w:tabs>
        <w:tab w:val="clear" w:pos="4536"/>
        <w:tab w:val="clear" w:pos="8930"/>
        <w:tab w:val="left" w:pos="-2127"/>
        <w:tab w:val="right" w:pos="-1985"/>
        <w:tab w:val="right" w:pos="8910"/>
      </w:tabs>
      <w:rPr>
        <w:rFonts w:ascii="Times New Roman" w:hAnsi="Times New Roman"/>
        <w:sz w:val="20"/>
      </w:rPr>
    </w:pPr>
    <w:r>
      <w:rPr>
        <w:rFonts w:ascii="Times New Roman" w:hAnsi="Times New Roman"/>
        <w:i/>
        <w:sz w:val="20"/>
      </w:rPr>
      <w:t>Version 2.0</w:t>
    </w:r>
    <w:r>
      <w:rPr>
        <w:rFonts w:ascii="Times New Roman" w:hAnsi="Times New Roman"/>
        <w:sz w:val="20"/>
      </w:rPr>
      <w:tab/>
    </w:r>
    <w:r w:rsidRPr="00E522B1">
      <w:rPr>
        <w:rFonts w:ascii="Times New Roman" w:hAnsi="Times New Roman"/>
        <w:sz w:val="20"/>
      </w:rPr>
      <w:t xml:space="preserve"> </w:t>
    </w:r>
    <w:r w:rsidR="00712C7F" w:rsidRPr="00E522B1">
      <w:rPr>
        <w:rFonts w:ascii="Times New Roman" w:hAnsi="Times New Roman"/>
        <w:sz w:val="20"/>
      </w:rPr>
      <w:fldChar w:fldCharType="begin"/>
    </w:r>
    <w:r w:rsidRPr="00E522B1">
      <w:rPr>
        <w:rFonts w:ascii="Times New Roman" w:hAnsi="Times New Roman"/>
        <w:sz w:val="20"/>
      </w:rPr>
      <w:instrText xml:space="preserve"> PAGE   \* MERGEFORMAT </w:instrText>
    </w:r>
    <w:r w:rsidR="00712C7F" w:rsidRPr="00E522B1">
      <w:rPr>
        <w:rFonts w:ascii="Times New Roman" w:hAnsi="Times New Roman"/>
        <w:sz w:val="20"/>
      </w:rPr>
      <w:fldChar w:fldCharType="separate"/>
    </w:r>
    <w:r w:rsidR="002E795F">
      <w:rPr>
        <w:rFonts w:ascii="Times New Roman" w:hAnsi="Times New Roman"/>
        <w:noProof/>
        <w:sz w:val="20"/>
      </w:rPr>
      <w:t>1</w:t>
    </w:r>
    <w:r w:rsidR="00712C7F" w:rsidRPr="00E522B1">
      <w:rPr>
        <w:rFonts w:ascii="Times New Roman" w:hAnsi="Times New Roman"/>
        <w:sz w:val="20"/>
      </w:rPr>
      <w:fldChar w:fldCharType="end"/>
    </w:r>
    <w:r>
      <w:rPr>
        <w:rFonts w:ascii="Times New Roman" w:hAnsi="Times New Roman"/>
        <w:sz w:val="20"/>
      </w:rPr>
      <w:t xml:space="preserve"> / 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Default="008F7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34" w:rsidRDefault="008A5B34">
      <w:r>
        <w:separator/>
      </w:r>
    </w:p>
  </w:footnote>
  <w:footnote w:type="continuationSeparator" w:id="0">
    <w:p w:rsidR="008A5B34" w:rsidRDefault="008A5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Default="008F7D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Pr="008F63B4" w:rsidRDefault="008F7DB6" w:rsidP="008F63B4">
    <w:pPr>
      <w:pStyle w:val="Header"/>
      <w:pBdr>
        <w:top w:val="single" w:sz="4" w:space="1" w:color="auto"/>
        <w:left w:val="single" w:sz="4" w:space="4" w:color="auto"/>
        <w:bottom w:val="single" w:sz="4" w:space="1" w:color="auto"/>
        <w:right w:val="single" w:sz="4" w:space="4" w:color="auto"/>
      </w:pBdr>
      <w:shd w:val="clear" w:color="auto" w:fill="E4F2E0"/>
      <w:rPr>
        <w:rFonts w:ascii="Cambria" w:hAnsi="Cambria"/>
        <w:b/>
      </w:rPr>
    </w:pPr>
    <w:r w:rsidRPr="008F63B4">
      <w:rPr>
        <w:rFonts w:ascii="Cambria" w:hAnsi="Cambria"/>
        <w:b/>
      </w:rPr>
      <w:t xml:space="preserve">Attachment 1: Product information for </w:t>
    </w:r>
    <w:proofErr w:type="spellStart"/>
    <w:r w:rsidRPr="008F63B4">
      <w:rPr>
        <w:rFonts w:ascii="Cambria" w:hAnsi="Cambria"/>
        <w:b/>
      </w:rPr>
      <w:t>AusPAR</w:t>
    </w:r>
    <w:proofErr w:type="spellEnd"/>
    <w:r w:rsidRPr="008F63B4">
      <w:rPr>
        <w:rFonts w:ascii="Cambria" w:hAnsi="Cambria"/>
        <w:b/>
      </w:rPr>
      <w:t xml:space="preserve"> </w:t>
    </w:r>
    <w:proofErr w:type="spellStart"/>
    <w:r w:rsidRPr="008F63B4">
      <w:rPr>
        <w:rFonts w:ascii="Cambria" w:hAnsi="Cambria"/>
        <w:b/>
      </w:rPr>
      <w:t>PecFent</w:t>
    </w:r>
    <w:proofErr w:type="spellEnd"/>
    <w:r w:rsidRPr="008F63B4">
      <w:rPr>
        <w:rFonts w:ascii="Cambria" w:hAnsi="Cambria"/>
        <w:b/>
      </w:rPr>
      <w:t xml:space="preserve"> </w:t>
    </w:r>
    <w:proofErr w:type="spellStart"/>
    <w:r w:rsidRPr="008F63B4">
      <w:rPr>
        <w:rFonts w:ascii="Cambria" w:hAnsi="Cambria"/>
        <w:b/>
      </w:rPr>
      <w:t>Fentanyl</w:t>
    </w:r>
    <w:proofErr w:type="spellEnd"/>
    <w:r w:rsidRPr="008F63B4">
      <w:rPr>
        <w:rFonts w:ascii="Cambria" w:hAnsi="Cambria"/>
        <w:b/>
      </w:rPr>
      <w:t xml:space="preserve"> (as citrate) ERA Consulting (Australia) Pty Ltd PM-2011-00911-3-1 Final 19 March 2013. This Product Information was approved at the time this </w:t>
    </w:r>
    <w:proofErr w:type="spellStart"/>
    <w:r w:rsidRPr="008F63B4">
      <w:rPr>
        <w:rFonts w:ascii="Cambria" w:hAnsi="Cambria"/>
        <w:b/>
      </w:rPr>
      <w:t>AusPAR</w:t>
    </w:r>
    <w:proofErr w:type="spellEnd"/>
    <w:r w:rsidRPr="008F63B4">
      <w:rPr>
        <w:rFonts w:ascii="Cambria" w:hAnsi="Cambria"/>
        <w:b/>
      </w:rPr>
      <w:t xml:space="preserve"> was published.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B6" w:rsidRDefault="008F7D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843C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D031D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0CB8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CC9C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D0F01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8819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1488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B4E15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7400A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44DF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928C2"/>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C3B5B35"/>
    <w:multiLevelType w:val="hybridMultilevel"/>
    <w:tmpl w:val="B328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21902"/>
    <w:multiLevelType w:val="hybridMultilevel"/>
    <w:tmpl w:val="745A423A"/>
    <w:lvl w:ilvl="0" w:tplc="ECEA4E4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49A17FD"/>
    <w:multiLevelType w:val="hybridMultilevel"/>
    <w:tmpl w:val="9A10C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8094F03"/>
    <w:multiLevelType w:val="hybridMultilevel"/>
    <w:tmpl w:val="04A0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B95289"/>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AED718A"/>
    <w:multiLevelType w:val="hybridMultilevel"/>
    <w:tmpl w:val="0F4C4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362490"/>
    <w:multiLevelType w:val="multilevel"/>
    <w:tmpl w:val="A02E932A"/>
    <w:numStyleLink w:val="BulletsAgency"/>
  </w:abstractNum>
  <w:abstractNum w:abstractNumId="21">
    <w:nsid w:val="31234913"/>
    <w:multiLevelType w:val="hybridMultilevel"/>
    <w:tmpl w:val="3E2EF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2564D3"/>
    <w:multiLevelType w:val="hybridMultilevel"/>
    <w:tmpl w:val="79E0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236E5"/>
    <w:multiLevelType w:val="hybridMultilevel"/>
    <w:tmpl w:val="4F40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D68C7"/>
    <w:multiLevelType w:val="hybridMultilevel"/>
    <w:tmpl w:val="EB9EC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E579C8"/>
    <w:multiLevelType w:val="hybridMultilevel"/>
    <w:tmpl w:val="63F4DC2E"/>
    <w:lvl w:ilvl="0" w:tplc="B888CF3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5041A7B"/>
    <w:multiLevelType w:val="hybridMultilevel"/>
    <w:tmpl w:val="F2C4EABA"/>
    <w:lvl w:ilvl="0" w:tplc="08090001">
      <w:start w:val="1"/>
      <w:numFmt w:val="lowerLetter"/>
      <w:pStyle w:val="ListNumbered2"/>
      <w:lvlText w:val="%1."/>
      <w:lvlJc w:val="left"/>
      <w:pPr>
        <w:tabs>
          <w:tab w:val="num" w:pos="720"/>
        </w:tabs>
        <w:ind w:left="720" w:hanging="360"/>
      </w:pPr>
      <w:rPr>
        <w:rFonts w:ascii="Times New Roman" w:hAnsi="Times New Roman"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A1E3FA7"/>
    <w:multiLevelType w:val="hybridMultilevel"/>
    <w:tmpl w:val="BA7A73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0F7BE9"/>
    <w:multiLevelType w:val="hybridMultilevel"/>
    <w:tmpl w:val="DD56EBD8"/>
    <w:lvl w:ilvl="0" w:tplc="6AC8F18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3C7768BF"/>
    <w:multiLevelType w:val="hybridMultilevel"/>
    <w:tmpl w:val="50CCF6E8"/>
    <w:lvl w:ilvl="0" w:tplc="F4AADC9C">
      <w:start w:val="1"/>
      <w:numFmt w:val="bullet"/>
      <w:lvlText w:val=""/>
      <w:lvlJc w:val="left"/>
      <w:pPr>
        <w:ind w:left="1335" w:hanging="360"/>
      </w:pPr>
      <w:rPr>
        <w:rFonts w:ascii="Symbol" w:hAnsi="Symbol" w:hint="default"/>
      </w:rPr>
    </w:lvl>
    <w:lvl w:ilvl="1" w:tplc="D7B86A92" w:tentative="1">
      <w:start w:val="1"/>
      <w:numFmt w:val="bullet"/>
      <w:lvlText w:val="o"/>
      <w:lvlJc w:val="left"/>
      <w:pPr>
        <w:ind w:left="2055" w:hanging="360"/>
      </w:pPr>
      <w:rPr>
        <w:rFonts w:ascii="Courier New" w:hAnsi="Courier New" w:cs="Arial" w:hint="default"/>
      </w:rPr>
    </w:lvl>
    <w:lvl w:ilvl="2" w:tplc="D9646C6C" w:tentative="1">
      <w:start w:val="1"/>
      <w:numFmt w:val="bullet"/>
      <w:lvlText w:val=""/>
      <w:lvlJc w:val="left"/>
      <w:pPr>
        <w:ind w:left="2775" w:hanging="360"/>
      </w:pPr>
      <w:rPr>
        <w:rFonts w:ascii="Wingdings" w:hAnsi="Wingdings" w:hint="default"/>
      </w:rPr>
    </w:lvl>
    <w:lvl w:ilvl="3" w:tplc="DB4A282E" w:tentative="1">
      <w:start w:val="1"/>
      <w:numFmt w:val="bullet"/>
      <w:lvlText w:val=""/>
      <w:lvlJc w:val="left"/>
      <w:pPr>
        <w:ind w:left="3495" w:hanging="360"/>
      </w:pPr>
      <w:rPr>
        <w:rFonts w:ascii="Symbol" w:hAnsi="Symbol" w:hint="default"/>
      </w:rPr>
    </w:lvl>
    <w:lvl w:ilvl="4" w:tplc="ECE0F1F0" w:tentative="1">
      <w:start w:val="1"/>
      <w:numFmt w:val="bullet"/>
      <w:lvlText w:val="o"/>
      <w:lvlJc w:val="left"/>
      <w:pPr>
        <w:ind w:left="4215" w:hanging="360"/>
      </w:pPr>
      <w:rPr>
        <w:rFonts w:ascii="Courier New" w:hAnsi="Courier New" w:cs="Arial" w:hint="default"/>
      </w:rPr>
    </w:lvl>
    <w:lvl w:ilvl="5" w:tplc="3C1EA510" w:tentative="1">
      <w:start w:val="1"/>
      <w:numFmt w:val="bullet"/>
      <w:lvlText w:val=""/>
      <w:lvlJc w:val="left"/>
      <w:pPr>
        <w:ind w:left="4935" w:hanging="360"/>
      </w:pPr>
      <w:rPr>
        <w:rFonts w:ascii="Wingdings" w:hAnsi="Wingdings" w:hint="default"/>
      </w:rPr>
    </w:lvl>
    <w:lvl w:ilvl="6" w:tplc="C382E3A4" w:tentative="1">
      <w:start w:val="1"/>
      <w:numFmt w:val="bullet"/>
      <w:lvlText w:val=""/>
      <w:lvlJc w:val="left"/>
      <w:pPr>
        <w:ind w:left="5655" w:hanging="360"/>
      </w:pPr>
      <w:rPr>
        <w:rFonts w:ascii="Symbol" w:hAnsi="Symbol" w:hint="default"/>
      </w:rPr>
    </w:lvl>
    <w:lvl w:ilvl="7" w:tplc="87E61E7E" w:tentative="1">
      <w:start w:val="1"/>
      <w:numFmt w:val="bullet"/>
      <w:lvlText w:val="o"/>
      <w:lvlJc w:val="left"/>
      <w:pPr>
        <w:ind w:left="6375" w:hanging="360"/>
      </w:pPr>
      <w:rPr>
        <w:rFonts w:ascii="Courier New" w:hAnsi="Courier New" w:cs="Arial" w:hint="default"/>
      </w:rPr>
    </w:lvl>
    <w:lvl w:ilvl="8" w:tplc="260C1274" w:tentative="1">
      <w:start w:val="1"/>
      <w:numFmt w:val="bullet"/>
      <w:lvlText w:val=""/>
      <w:lvlJc w:val="left"/>
      <w:pPr>
        <w:ind w:left="7095" w:hanging="360"/>
      </w:pPr>
      <w:rPr>
        <w:rFonts w:ascii="Wingdings" w:hAnsi="Wingdings" w:hint="default"/>
      </w:rPr>
    </w:lvl>
  </w:abstractNum>
  <w:abstractNum w:abstractNumId="31">
    <w:nsid w:val="3D0404F6"/>
    <w:multiLevelType w:val="hybridMultilevel"/>
    <w:tmpl w:val="F348B286"/>
    <w:lvl w:ilvl="0" w:tplc="601EB792">
      <w:start w:val="2"/>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nsid w:val="3F7F3E4A"/>
    <w:multiLevelType w:val="hybridMultilevel"/>
    <w:tmpl w:val="97146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7F0007"/>
    <w:multiLevelType w:val="hybridMultilevel"/>
    <w:tmpl w:val="7458F3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Aria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Arial"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599453F"/>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7431190"/>
    <w:multiLevelType w:val="hybridMultilevel"/>
    <w:tmpl w:val="AAA4C510"/>
    <w:lvl w:ilvl="0" w:tplc="08090001">
      <w:start w:val="1"/>
      <w:numFmt w:val="decimal"/>
      <w:lvlText w:val="%1."/>
      <w:lvlJc w:val="left"/>
      <w:pPr>
        <w:tabs>
          <w:tab w:val="num" w:pos="1080"/>
        </w:tabs>
        <w:ind w:left="1080" w:hanging="72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nsid w:val="605D234A"/>
    <w:multiLevelType w:val="hybridMultilevel"/>
    <w:tmpl w:val="18F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D83757"/>
    <w:multiLevelType w:val="multilevel"/>
    <w:tmpl w:val="A02E932A"/>
    <w:numStyleLink w:val="BulletsAgency"/>
  </w:abstractNum>
  <w:abstractNum w:abstractNumId="3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1D9735A"/>
    <w:multiLevelType w:val="hybridMultilevel"/>
    <w:tmpl w:val="1570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1F4FF1"/>
    <w:multiLevelType w:val="hybridMultilevel"/>
    <w:tmpl w:val="0ECAD2AC"/>
    <w:lvl w:ilvl="0" w:tplc="DA462DF0">
      <w:start w:val="1"/>
      <w:numFmt w:val="bullet"/>
      <w:lvlText w:val=""/>
      <w:lvlJc w:val="left"/>
      <w:rPr>
        <w:rFonts w:ascii="Symbol" w:hAnsi="Symbol" w:hint="default"/>
      </w:rPr>
    </w:lvl>
    <w:lvl w:ilvl="1" w:tplc="BFF6ECB0">
      <w:numFmt w:val="decimal"/>
      <w:lvlText w:val=""/>
      <w:lvlJc w:val="left"/>
    </w:lvl>
    <w:lvl w:ilvl="2" w:tplc="E4400FA4">
      <w:numFmt w:val="decimal"/>
      <w:lvlText w:val=""/>
      <w:lvlJc w:val="left"/>
    </w:lvl>
    <w:lvl w:ilvl="3" w:tplc="46A238B0">
      <w:numFmt w:val="decimal"/>
      <w:lvlText w:val=""/>
      <w:lvlJc w:val="left"/>
    </w:lvl>
    <w:lvl w:ilvl="4" w:tplc="369ECA82">
      <w:numFmt w:val="decimal"/>
      <w:lvlText w:val=""/>
      <w:lvlJc w:val="left"/>
    </w:lvl>
    <w:lvl w:ilvl="5" w:tplc="713A16A4">
      <w:numFmt w:val="decimal"/>
      <w:lvlText w:val=""/>
      <w:lvlJc w:val="left"/>
    </w:lvl>
    <w:lvl w:ilvl="6" w:tplc="F5AEC5F2">
      <w:numFmt w:val="decimal"/>
      <w:lvlText w:val=""/>
      <w:lvlJc w:val="left"/>
    </w:lvl>
    <w:lvl w:ilvl="7" w:tplc="780AA6AC">
      <w:numFmt w:val="decimal"/>
      <w:lvlText w:val=""/>
      <w:lvlJc w:val="left"/>
    </w:lvl>
    <w:lvl w:ilvl="8" w:tplc="B1F46E68">
      <w:numFmt w:val="decimal"/>
      <w:lvlText w:val=""/>
      <w:lvlJc w:val="left"/>
    </w:lvl>
  </w:abstractNum>
  <w:abstractNum w:abstractNumId="41">
    <w:nsid w:val="723766E7"/>
    <w:multiLevelType w:val="hybridMultilevel"/>
    <w:tmpl w:val="DF2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806A97"/>
    <w:multiLevelType w:val="hybridMultilevel"/>
    <w:tmpl w:val="CEECDC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B4607E1"/>
    <w:multiLevelType w:val="hybridMultilevel"/>
    <w:tmpl w:val="F47A95F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76C9A"/>
    <w:multiLevelType w:val="hybridMultilevel"/>
    <w:tmpl w:val="49CA397A"/>
    <w:lvl w:ilvl="0" w:tplc="6AC8F1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18"/>
  </w:num>
  <w:num w:numId="4">
    <w:abstractNumId w:val="17"/>
  </w:num>
  <w:num w:numId="5">
    <w:abstractNumId w:val="22"/>
  </w:num>
  <w:num w:numId="6">
    <w:abstractNumId w:val="32"/>
  </w:num>
  <w:num w:numId="7">
    <w:abstractNumId w:val="13"/>
  </w:num>
  <w:num w:numId="8">
    <w:abstractNumId w:val="35"/>
  </w:num>
  <w:num w:numId="9">
    <w:abstractNumId w:val="43"/>
  </w:num>
  <w:num w:numId="10">
    <w:abstractNumId w:val="33"/>
  </w:num>
  <w:num w:numId="11">
    <w:abstractNumId w:val="30"/>
  </w:num>
  <w:num w:numId="12">
    <w:abstractNumId w:val="15"/>
  </w:num>
  <w:num w:numId="13">
    <w:abstractNumId w:val="25"/>
  </w:num>
  <w:num w:numId="14">
    <w:abstractNumId w:val="42"/>
  </w:num>
  <w:num w:numId="15">
    <w:abstractNumId w:val="40"/>
  </w:num>
  <w:num w:numId="16">
    <w:abstractNumId w:val="29"/>
  </w:num>
  <w:num w:numId="17">
    <w:abstractNumId w:val="26"/>
  </w:num>
  <w:num w:numId="18">
    <w:abstractNumId w:val="31"/>
  </w:num>
  <w:num w:numId="19">
    <w:abstractNumId w:val="44"/>
  </w:num>
  <w:num w:numId="20">
    <w:abstractNumId w:val="41"/>
  </w:num>
  <w:num w:numId="21">
    <w:abstractNumId w:val="36"/>
  </w:num>
  <w:num w:numId="22">
    <w:abstractNumId w:val="12"/>
  </w:num>
  <w:num w:numId="23">
    <w:abstractNumId w:val="11"/>
  </w:num>
  <w:num w:numId="24">
    <w:abstractNumId w:val="37"/>
    <w:lvlOverride w:ilvl="0">
      <w:lvl w:ilvl="0">
        <w:start w:val="1"/>
        <w:numFmt w:val="bullet"/>
        <w:lvlText w:val=""/>
        <w:lvlJc w:val="left"/>
        <w:pPr>
          <w:tabs>
            <w:tab w:val="num" w:pos="357"/>
          </w:tabs>
          <w:ind w:left="357" w:hanging="357"/>
        </w:pPr>
        <w:rPr>
          <w:rFonts w:ascii="Symbol" w:hAnsi="Symbol" w:hint="default"/>
          <w:color w:val="auto"/>
          <w:sz w:val="18"/>
        </w:rPr>
      </w:lvl>
    </w:lvlOverride>
  </w:num>
  <w:num w:numId="25">
    <w:abstractNumId w:val="39"/>
  </w:num>
  <w:num w:numId="26">
    <w:abstractNumId w:val="28"/>
  </w:num>
  <w:num w:numId="27">
    <w:abstractNumId w:val="24"/>
  </w:num>
  <w:num w:numId="28">
    <w:abstractNumId w:val="21"/>
  </w:num>
  <w:num w:numId="29">
    <w:abstractNumId w:val="20"/>
    <w:lvlOverride w:ilvl="0">
      <w:lvl w:ilvl="0">
        <w:start w:val="1"/>
        <w:numFmt w:val="bullet"/>
        <w:lvlText w:val=""/>
        <w:lvlJc w:val="left"/>
        <w:pPr>
          <w:tabs>
            <w:tab w:val="num" w:pos="357"/>
          </w:tabs>
          <w:ind w:left="357" w:hanging="357"/>
        </w:pPr>
        <w:rPr>
          <w:rFonts w:ascii="Symbol" w:hAnsi="Symbol" w:hint="default"/>
          <w:color w:val="auto"/>
          <w:sz w:val="18"/>
        </w:rPr>
      </w:lvl>
    </w:lvlOverride>
  </w:num>
  <w:num w:numId="30">
    <w:abstractNumId w:val="10"/>
  </w:num>
  <w:num w:numId="31">
    <w:abstractNumId w:val="16"/>
  </w:num>
  <w:num w:numId="32">
    <w:abstractNumId w:val="3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4"/>
  </w:num>
  <w:num w:numId="44">
    <w:abstractNumId w:val="19"/>
  </w:num>
  <w:num w:numId="45">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proofState w:spelling="clean" w:grammar="clean"/>
  <w:stylePaneFormatFilter w:val="3F01"/>
  <w:defaultTabStop w:val="567"/>
  <w:doNotHyphenateCaps/>
  <w:drawingGridHorizontalSpacing w:val="11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numFmt w:val="decimal"/>
    <w:endnote w:id="-1"/>
    <w:endnote w:id="0"/>
  </w:endnotePr>
  <w:compat/>
  <w:docVars>
    <w:docVar w:name="Registered" w:val="굤椦ⴐ॰óɋ"/>
    <w:docVar w:name="Version" w:val="&lt;"/>
  </w:docVars>
  <w:rsids>
    <w:rsidRoot w:val="00D111A2"/>
    <w:rsid w:val="00004104"/>
    <w:rsid w:val="000066B6"/>
    <w:rsid w:val="00012CB4"/>
    <w:rsid w:val="0001581D"/>
    <w:rsid w:val="00017581"/>
    <w:rsid w:val="00017EB0"/>
    <w:rsid w:val="000205D4"/>
    <w:rsid w:val="0002440D"/>
    <w:rsid w:val="00027830"/>
    <w:rsid w:val="0003595D"/>
    <w:rsid w:val="00036574"/>
    <w:rsid w:val="00041816"/>
    <w:rsid w:val="00041E9C"/>
    <w:rsid w:val="0004310D"/>
    <w:rsid w:val="00044274"/>
    <w:rsid w:val="00047137"/>
    <w:rsid w:val="0005430A"/>
    <w:rsid w:val="00074F32"/>
    <w:rsid w:val="00076922"/>
    <w:rsid w:val="000770DE"/>
    <w:rsid w:val="00077A0B"/>
    <w:rsid w:val="0008178F"/>
    <w:rsid w:val="00085C7A"/>
    <w:rsid w:val="00086193"/>
    <w:rsid w:val="00091B48"/>
    <w:rsid w:val="00092E7F"/>
    <w:rsid w:val="0009627E"/>
    <w:rsid w:val="00097271"/>
    <w:rsid w:val="000A0F73"/>
    <w:rsid w:val="000A3BF0"/>
    <w:rsid w:val="000A7599"/>
    <w:rsid w:val="000A782E"/>
    <w:rsid w:val="000A7911"/>
    <w:rsid w:val="000A7B88"/>
    <w:rsid w:val="000B056E"/>
    <w:rsid w:val="000B1749"/>
    <w:rsid w:val="000B3A31"/>
    <w:rsid w:val="000B7B62"/>
    <w:rsid w:val="000C0928"/>
    <w:rsid w:val="000D1B83"/>
    <w:rsid w:val="000D2C2B"/>
    <w:rsid w:val="000D5513"/>
    <w:rsid w:val="000D6394"/>
    <w:rsid w:val="000E1111"/>
    <w:rsid w:val="000E44C1"/>
    <w:rsid w:val="000F3F7D"/>
    <w:rsid w:val="000F4B9D"/>
    <w:rsid w:val="000F4DFA"/>
    <w:rsid w:val="000F6DDF"/>
    <w:rsid w:val="000F7648"/>
    <w:rsid w:val="001016CD"/>
    <w:rsid w:val="00107D2C"/>
    <w:rsid w:val="00111FD2"/>
    <w:rsid w:val="00122A56"/>
    <w:rsid w:val="0012693A"/>
    <w:rsid w:val="0013082D"/>
    <w:rsid w:val="00131BC1"/>
    <w:rsid w:val="00136F3B"/>
    <w:rsid w:val="00137B55"/>
    <w:rsid w:val="001402D3"/>
    <w:rsid w:val="001525B3"/>
    <w:rsid w:val="00156C48"/>
    <w:rsid w:val="001600E9"/>
    <w:rsid w:val="001603C8"/>
    <w:rsid w:val="0016158A"/>
    <w:rsid w:val="001615EB"/>
    <w:rsid w:val="001634F9"/>
    <w:rsid w:val="00163C88"/>
    <w:rsid w:val="001660D6"/>
    <w:rsid w:val="0016622D"/>
    <w:rsid w:val="001671B4"/>
    <w:rsid w:val="001741A0"/>
    <w:rsid w:val="0017691D"/>
    <w:rsid w:val="001773AA"/>
    <w:rsid w:val="00180405"/>
    <w:rsid w:val="00184E8A"/>
    <w:rsid w:val="001916E8"/>
    <w:rsid w:val="00191AFA"/>
    <w:rsid w:val="001A07DE"/>
    <w:rsid w:val="001A6347"/>
    <w:rsid w:val="001B05AF"/>
    <w:rsid w:val="001B65FE"/>
    <w:rsid w:val="001B68A0"/>
    <w:rsid w:val="001B6B67"/>
    <w:rsid w:val="001B7173"/>
    <w:rsid w:val="001C00F8"/>
    <w:rsid w:val="001C1D3C"/>
    <w:rsid w:val="001C34F7"/>
    <w:rsid w:val="001C3BF5"/>
    <w:rsid w:val="001D1804"/>
    <w:rsid w:val="001D20F0"/>
    <w:rsid w:val="001D42D8"/>
    <w:rsid w:val="001D616D"/>
    <w:rsid w:val="001E2D82"/>
    <w:rsid w:val="001E3061"/>
    <w:rsid w:val="001E44F0"/>
    <w:rsid w:val="001E79B7"/>
    <w:rsid w:val="001F158F"/>
    <w:rsid w:val="001F1D54"/>
    <w:rsid w:val="001F77F3"/>
    <w:rsid w:val="0020319E"/>
    <w:rsid w:val="00204723"/>
    <w:rsid w:val="00206327"/>
    <w:rsid w:val="00207B58"/>
    <w:rsid w:val="00212373"/>
    <w:rsid w:val="00217179"/>
    <w:rsid w:val="0022224C"/>
    <w:rsid w:val="00225A80"/>
    <w:rsid w:val="00225B9B"/>
    <w:rsid w:val="002329A4"/>
    <w:rsid w:val="002338EA"/>
    <w:rsid w:val="00241551"/>
    <w:rsid w:val="00241798"/>
    <w:rsid w:val="00241B6B"/>
    <w:rsid w:val="00243524"/>
    <w:rsid w:val="00244023"/>
    <w:rsid w:val="0025151C"/>
    <w:rsid w:val="0025483D"/>
    <w:rsid w:val="00255AB9"/>
    <w:rsid w:val="0025628B"/>
    <w:rsid w:val="002572B6"/>
    <w:rsid w:val="002610EC"/>
    <w:rsid w:val="00266884"/>
    <w:rsid w:val="00267822"/>
    <w:rsid w:val="00270EA1"/>
    <w:rsid w:val="002711C4"/>
    <w:rsid w:val="00272086"/>
    <w:rsid w:val="00272639"/>
    <w:rsid w:val="0027569C"/>
    <w:rsid w:val="002757CB"/>
    <w:rsid w:val="00283B7A"/>
    <w:rsid w:val="00290F1E"/>
    <w:rsid w:val="002919B8"/>
    <w:rsid w:val="00295417"/>
    <w:rsid w:val="00295B62"/>
    <w:rsid w:val="00297EC8"/>
    <w:rsid w:val="002A18DE"/>
    <w:rsid w:val="002A5CF8"/>
    <w:rsid w:val="002B2B88"/>
    <w:rsid w:val="002B48C4"/>
    <w:rsid w:val="002B4CCE"/>
    <w:rsid w:val="002C04FD"/>
    <w:rsid w:val="002C4054"/>
    <w:rsid w:val="002C7E02"/>
    <w:rsid w:val="002D43D1"/>
    <w:rsid w:val="002D513B"/>
    <w:rsid w:val="002D5FE2"/>
    <w:rsid w:val="002D6025"/>
    <w:rsid w:val="002D782F"/>
    <w:rsid w:val="002E08D9"/>
    <w:rsid w:val="002E4AD9"/>
    <w:rsid w:val="002E795F"/>
    <w:rsid w:val="00302A53"/>
    <w:rsid w:val="00304B24"/>
    <w:rsid w:val="00313CD6"/>
    <w:rsid w:val="00315241"/>
    <w:rsid w:val="0031730D"/>
    <w:rsid w:val="00317FC8"/>
    <w:rsid w:val="00321871"/>
    <w:rsid w:val="00321A44"/>
    <w:rsid w:val="00322925"/>
    <w:rsid w:val="00334404"/>
    <w:rsid w:val="00334C0A"/>
    <w:rsid w:val="00335958"/>
    <w:rsid w:val="00351AC5"/>
    <w:rsid w:val="0035282B"/>
    <w:rsid w:val="00352A5F"/>
    <w:rsid w:val="00354E29"/>
    <w:rsid w:val="00356024"/>
    <w:rsid w:val="003560D5"/>
    <w:rsid w:val="0036349A"/>
    <w:rsid w:val="00364D63"/>
    <w:rsid w:val="00365434"/>
    <w:rsid w:val="003729F7"/>
    <w:rsid w:val="00374ADE"/>
    <w:rsid w:val="00381827"/>
    <w:rsid w:val="00393D08"/>
    <w:rsid w:val="003948AC"/>
    <w:rsid w:val="00397234"/>
    <w:rsid w:val="00397D55"/>
    <w:rsid w:val="00397F5C"/>
    <w:rsid w:val="003A0A65"/>
    <w:rsid w:val="003A3D6B"/>
    <w:rsid w:val="003A528F"/>
    <w:rsid w:val="003A7CDE"/>
    <w:rsid w:val="003B3467"/>
    <w:rsid w:val="003B6718"/>
    <w:rsid w:val="003C4219"/>
    <w:rsid w:val="003C4B34"/>
    <w:rsid w:val="003C4F06"/>
    <w:rsid w:val="003C523E"/>
    <w:rsid w:val="003C66D9"/>
    <w:rsid w:val="003D1B34"/>
    <w:rsid w:val="003D42E7"/>
    <w:rsid w:val="003D5AEF"/>
    <w:rsid w:val="003D7E75"/>
    <w:rsid w:val="003E0963"/>
    <w:rsid w:val="003E1A9D"/>
    <w:rsid w:val="003E4628"/>
    <w:rsid w:val="003E616D"/>
    <w:rsid w:val="003E656E"/>
    <w:rsid w:val="003E7C58"/>
    <w:rsid w:val="003F15FD"/>
    <w:rsid w:val="003F1653"/>
    <w:rsid w:val="003F194B"/>
    <w:rsid w:val="003F224A"/>
    <w:rsid w:val="003F56DB"/>
    <w:rsid w:val="003F6E8E"/>
    <w:rsid w:val="00401003"/>
    <w:rsid w:val="004035CC"/>
    <w:rsid w:val="004054FE"/>
    <w:rsid w:val="00411581"/>
    <w:rsid w:val="00415A6C"/>
    <w:rsid w:val="00420C6B"/>
    <w:rsid w:val="004227F9"/>
    <w:rsid w:val="00423360"/>
    <w:rsid w:val="00426F75"/>
    <w:rsid w:val="00426F93"/>
    <w:rsid w:val="004329A4"/>
    <w:rsid w:val="004329D7"/>
    <w:rsid w:val="00433629"/>
    <w:rsid w:val="0043386C"/>
    <w:rsid w:val="00434391"/>
    <w:rsid w:val="0043777A"/>
    <w:rsid w:val="00445598"/>
    <w:rsid w:val="004478B2"/>
    <w:rsid w:val="004536C6"/>
    <w:rsid w:val="00456033"/>
    <w:rsid w:val="00460860"/>
    <w:rsid w:val="0046398B"/>
    <w:rsid w:val="004644B0"/>
    <w:rsid w:val="004646D0"/>
    <w:rsid w:val="00464AC3"/>
    <w:rsid w:val="00464ECF"/>
    <w:rsid w:val="00472FE3"/>
    <w:rsid w:val="00477157"/>
    <w:rsid w:val="0048129C"/>
    <w:rsid w:val="00483056"/>
    <w:rsid w:val="00490373"/>
    <w:rsid w:val="00490F66"/>
    <w:rsid w:val="004917E9"/>
    <w:rsid w:val="00491BFE"/>
    <w:rsid w:val="0049307F"/>
    <w:rsid w:val="004933FA"/>
    <w:rsid w:val="004942A1"/>
    <w:rsid w:val="004A0266"/>
    <w:rsid w:val="004A03E8"/>
    <w:rsid w:val="004A0559"/>
    <w:rsid w:val="004A48CD"/>
    <w:rsid w:val="004A77EC"/>
    <w:rsid w:val="004A7841"/>
    <w:rsid w:val="004B0D4A"/>
    <w:rsid w:val="004B1737"/>
    <w:rsid w:val="004B200F"/>
    <w:rsid w:val="004C2A7D"/>
    <w:rsid w:val="004C2C45"/>
    <w:rsid w:val="004C7FCE"/>
    <w:rsid w:val="004D1654"/>
    <w:rsid w:val="004D2F76"/>
    <w:rsid w:val="004D6B6A"/>
    <w:rsid w:val="004D71FC"/>
    <w:rsid w:val="004E6437"/>
    <w:rsid w:val="004E6F21"/>
    <w:rsid w:val="004F0E5F"/>
    <w:rsid w:val="004F1378"/>
    <w:rsid w:val="004F365F"/>
    <w:rsid w:val="004F7C1C"/>
    <w:rsid w:val="005054EC"/>
    <w:rsid w:val="00510658"/>
    <w:rsid w:val="00510679"/>
    <w:rsid w:val="005133F5"/>
    <w:rsid w:val="00513B86"/>
    <w:rsid w:val="00514E8D"/>
    <w:rsid w:val="00517E0B"/>
    <w:rsid w:val="00530FF0"/>
    <w:rsid w:val="00533994"/>
    <w:rsid w:val="005343B6"/>
    <w:rsid w:val="0053482B"/>
    <w:rsid w:val="00536AA7"/>
    <w:rsid w:val="0053754B"/>
    <w:rsid w:val="00544547"/>
    <w:rsid w:val="00545979"/>
    <w:rsid w:val="005467FC"/>
    <w:rsid w:val="00553316"/>
    <w:rsid w:val="00553AAC"/>
    <w:rsid w:val="00553B5A"/>
    <w:rsid w:val="00560CBE"/>
    <w:rsid w:val="005623BA"/>
    <w:rsid w:val="00570778"/>
    <w:rsid w:val="00571E84"/>
    <w:rsid w:val="00575065"/>
    <w:rsid w:val="005804C9"/>
    <w:rsid w:val="0058258D"/>
    <w:rsid w:val="005847AF"/>
    <w:rsid w:val="005868F0"/>
    <w:rsid w:val="00592B4F"/>
    <w:rsid w:val="00593582"/>
    <w:rsid w:val="00597818"/>
    <w:rsid w:val="005A06D2"/>
    <w:rsid w:val="005A2372"/>
    <w:rsid w:val="005A3BC2"/>
    <w:rsid w:val="005B1F1D"/>
    <w:rsid w:val="005B3D55"/>
    <w:rsid w:val="005C2E0A"/>
    <w:rsid w:val="005C48DF"/>
    <w:rsid w:val="005D2A54"/>
    <w:rsid w:val="005D5052"/>
    <w:rsid w:val="005D5EA9"/>
    <w:rsid w:val="005D7DAA"/>
    <w:rsid w:val="005E004D"/>
    <w:rsid w:val="005E4A7F"/>
    <w:rsid w:val="005E63F6"/>
    <w:rsid w:val="005F09C7"/>
    <w:rsid w:val="005F15FE"/>
    <w:rsid w:val="005F3DB6"/>
    <w:rsid w:val="005F4C82"/>
    <w:rsid w:val="005F6020"/>
    <w:rsid w:val="005F6C67"/>
    <w:rsid w:val="0060196A"/>
    <w:rsid w:val="006027F5"/>
    <w:rsid w:val="006049AA"/>
    <w:rsid w:val="00607959"/>
    <w:rsid w:val="006108C6"/>
    <w:rsid w:val="00617645"/>
    <w:rsid w:val="0062025E"/>
    <w:rsid w:val="00620ECB"/>
    <w:rsid w:val="00625FFD"/>
    <w:rsid w:val="006265C2"/>
    <w:rsid w:val="00632DFF"/>
    <w:rsid w:val="00634EF4"/>
    <w:rsid w:val="006430C1"/>
    <w:rsid w:val="00652FA0"/>
    <w:rsid w:val="00655000"/>
    <w:rsid w:val="00657E44"/>
    <w:rsid w:val="0066230D"/>
    <w:rsid w:val="00666B72"/>
    <w:rsid w:val="006672B9"/>
    <w:rsid w:val="006711C4"/>
    <w:rsid w:val="006719FB"/>
    <w:rsid w:val="0067571A"/>
    <w:rsid w:val="00683DEE"/>
    <w:rsid w:val="00685AAF"/>
    <w:rsid w:val="00695BBC"/>
    <w:rsid w:val="00696460"/>
    <w:rsid w:val="006A2BDC"/>
    <w:rsid w:val="006A3085"/>
    <w:rsid w:val="006A3D45"/>
    <w:rsid w:val="006A46CE"/>
    <w:rsid w:val="006B0DB3"/>
    <w:rsid w:val="006B2E69"/>
    <w:rsid w:val="006B5CC0"/>
    <w:rsid w:val="006B7EF3"/>
    <w:rsid w:val="006C57C6"/>
    <w:rsid w:val="006D19E9"/>
    <w:rsid w:val="006D2C19"/>
    <w:rsid w:val="006D4C39"/>
    <w:rsid w:val="006E136B"/>
    <w:rsid w:val="006E3F26"/>
    <w:rsid w:val="006E5906"/>
    <w:rsid w:val="006E740F"/>
    <w:rsid w:val="006F3003"/>
    <w:rsid w:val="006F4F6D"/>
    <w:rsid w:val="006F5D61"/>
    <w:rsid w:val="006F701A"/>
    <w:rsid w:val="00702CAB"/>
    <w:rsid w:val="00706879"/>
    <w:rsid w:val="00710A74"/>
    <w:rsid w:val="00712C7F"/>
    <w:rsid w:val="00714112"/>
    <w:rsid w:val="00717747"/>
    <w:rsid w:val="00717851"/>
    <w:rsid w:val="00717A95"/>
    <w:rsid w:val="00720053"/>
    <w:rsid w:val="00720397"/>
    <w:rsid w:val="00725DA7"/>
    <w:rsid w:val="0073043A"/>
    <w:rsid w:val="007340B4"/>
    <w:rsid w:val="00741381"/>
    <w:rsid w:val="007416A5"/>
    <w:rsid w:val="00742694"/>
    <w:rsid w:val="00744B7A"/>
    <w:rsid w:val="00745698"/>
    <w:rsid w:val="00747902"/>
    <w:rsid w:val="00747DB3"/>
    <w:rsid w:val="00750AF9"/>
    <w:rsid w:val="007553B0"/>
    <w:rsid w:val="007632B4"/>
    <w:rsid w:val="00765BF8"/>
    <w:rsid w:val="00765CD0"/>
    <w:rsid w:val="00770B7A"/>
    <w:rsid w:val="00775489"/>
    <w:rsid w:val="00776632"/>
    <w:rsid w:val="0078249F"/>
    <w:rsid w:val="0078360F"/>
    <w:rsid w:val="00784E05"/>
    <w:rsid w:val="00784EF3"/>
    <w:rsid w:val="00785FFA"/>
    <w:rsid w:val="00791046"/>
    <w:rsid w:val="00792A04"/>
    <w:rsid w:val="007944A8"/>
    <w:rsid w:val="007956F7"/>
    <w:rsid w:val="00797E3E"/>
    <w:rsid w:val="007A152E"/>
    <w:rsid w:val="007A4C7E"/>
    <w:rsid w:val="007B094B"/>
    <w:rsid w:val="007B137B"/>
    <w:rsid w:val="007B2F72"/>
    <w:rsid w:val="007B3D59"/>
    <w:rsid w:val="007B465D"/>
    <w:rsid w:val="007B4CE9"/>
    <w:rsid w:val="007C02DB"/>
    <w:rsid w:val="007C22C9"/>
    <w:rsid w:val="007C3631"/>
    <w:rsid w:val="007C3DD9"/>
    <w:rsid w:val="007C52DC"/>
    <w:rsid w:val="007C75FB"/>
    <w:rsid w:val="007C7BC6"/>
    <w:rsid w:val="007C7FAD"/>
    <w:rsid w:val="007D00DD"/>
    <w:rsid w:val="007D3962"/>
    <w:rsid w:val="007D39D6"/>
    <w:rsid w:val="007E0532"/>
    <w:rsid w:val="007E0F71"/>
    <w:rsid w:val="007E19A5"/>
    <w:rsid w:val="007E3292"/>
    <w:rsid w:val="007F122C"/>
    <w:rsid w:val="007F5FA8"/>
    <w:rsid w:val="007F6385"/>
    <w:rsid w:val="007F7FA5"/>
    <w:rsid w:val="00807746"/>
    <w:rsid w:val="00811641"/>
    <w:rsid w:val="00814C42"/>
    <w:rsid w:val="008163A0"/>
    <w:rsid w:val="008168B3"/>
    <w:rsid w:val="0082073D"/>
    <w:rsid w:val="00820C5C"/>
    <w:rsid w:val="008239B1"/>
    <w:rsid w:val="008346AB"/>
    <w:rsid w:val="00841660"/>
    <w:rsid w:val="00841CB4"/>
    <w:rsid w:val="008462F6"/>
    <w:rsid w:val="0085713A"/>
    <w:rsid w:val="0086275A"/>
    <w:rsid w:val="0086499C"/>
    <w:rsid w:val="00864C27"/>
    <w:rsid w:val="0086589B"/>
    <w:rsid w:val="008705CB"/>
    <w:rsid w:val="00870B44"/>
    <w:rsid w:val="00871F2C"/>
    <w:rsid w:val="008728F1"/>
    <w:rsid w:val="00874ADC"/>
    <w:rsid w:val="0088054D"/>
    <w:rsid w:val="00881333"/>
    <w:rsid w:val="008819A0"/>
    <w:rsid w:val="00882F4E"/>
    <w:rsid w:val="00884955"/>
    <w:rsid w:val="00886DF2"/>
    <w:rsid w:val="008924D1"/>
    <w:rsid w:val="008A4777"/>
    <w:rsid w:val="008A5B34"/>
    <w:rsid w:val="008A7B54"/>
    <w:rsid w:val="008B171F"/>
    <w:rsid w:val="008B1BDE"/>
    <w:rsid w:val="008C286F"/>
    <w:rsid w:val="008C2FF4"/>
    <w:rsid w:val="008C4392"/>
    <w:rsid w:val="008C5698"/>
    <w:rsid w:val="008D716F"/>
    <w:rsid w:val="008D71C0"/>
    <w:rsid w:val="008D77B3"/>
    <w:rsid w:val="008E0CFC"/>
    <w:rsid w:val="008E6283"/>
    <w:rsid w:val="008F1CF1"/>
    <w:rsid w:val="008F4221"/>
    <w:rsid w:val="008F44E1"/>
    <w:rsid w:val="008F5296"/>
    <w:rsid w:val="008F56E2"/>
    <w:rsid w:val="008F63B4"/>
    <w:rsid w:val="008F7DB6"/>
    <w:rsid w:val="0090184F"/>
    <w:rsid w:val="00902268"/>
    <w:rsid w:val="009061CB"/>
    <w:rsid w:val="00907CD9"/>
    <w:rsid w:val="00907E8D"/>
    <w:rsid w:val="00913D68"/>
    <w:rsid w:val="0091713B"/>
    <w:rsid w:val="00920B60"/>
    <w:rsid w:val="009244D5"/>
    <w:rsid w:val="00927A58"/>
    <w:rsid w:val="00937F73"/>
    <w:rsid w:val="00940C3F"/>
    <w:rsid w:val="009463AD"/>
    <w:rsid w:val="0094736E"/>
    <w:rsid w:val="00947C12"/>
    <w:rsid w:val="00951029"/>
    <w:rsid w:val="009520F8"/>
    <w:rsid w:val="0095547B"/>
    <w:rsid w:val="009555DE"/>
    <w:rsid w:val="00956147"/>
    <w:rsid w:val="00957F0C"/>
    <w:rsid w:val="009619B4"/>
    <w:rsid w:val="00962BDD"/>
    <w:rsid w:val="00962E22"/>
    <w:rsid w:val="009710F2"/>
    <w:rsid w:val="009775CE"/>
    <w:rsid w:val="00986642"/>
    <w:rsid w:val="00987188"/>
    <w:rsid w:val="00991531"/>
    <w:rsid w:val="00992B51"/>
    <w:rsid w:val="009942FF"/>
    <w:rsid w:val="00994CAA"/>
    <w:rsid w:val="009A5BFE"/>
    <w:rsid w:val="009B1043"/>
    <w:rsid w:val="009B3ACF"/>
    <w:rsid w:val="009B4EE8"/>
    <w:rsid w:val="009B7DEA"/>
    <w:rsid w:val="009C1140"/>
    <w:rsid w:val="009C559C"/>
    <w:rsid w:val="009C66EB"/>
    <w:rsid w:val="009C71C3"/>
    <w:rsid w:val="009C7B63"/>
    <w:rsid w:val="009D0E4E"/>
    <w:rsid w:val="009D15D7"/>
    <w:rsid w:val="009D46C4"/>
    <w:rsid w:val="009E18C0"/>
    <w:rsid w:val="009E274A"/>
    <w:rsid w:val="009E4042"/>
    <w:rsid w:val="009E4AAC"/>
    <w:rsid w:val="009F19B6"/>
    <w:rsid w:val="009F3043"/>
    <w:rsid w:val="009F53DE"/>
    <w:rsid w:val="009F5509"/>
    <w:rsid w:val="00A02335"/>
    <w:rsid w:val="00A040CA"/>
    <w:rsid w:val="00A102AA"/>
    <w:rsid w:val="00A163BD"/>
    <w:rsid w:val="00A172A2"/>
    <w:rsid w:val="00A226A9"/>
    <w:rsid w:val="00A2373C"/>
    <w:rsid w:val="00A23EC6"/>
    <w:rsid w:val="00A308E4"/>
    <w:rsid w:val="00A33FCC"/>
    <w:rsid w:val="00A34FD3"/>
    <w:rsid w:val="00A35CA9"/>
    <w:rsid w:val="00A3754A"/>
    <w:rsid w:val="00A42A84"/>
    <w:rsid w:val="00A4426E"/>
    <w:rsid w:val="00A46CFD"/>
    <w:rsid w:val="00A501DC"/>
    <w:rsid w:val="00A50C0D"/>
    <w:rsid w:val="00A547D9"/>
    <w:rsid w:val="00A55828"/>
    <w:rsid w:val="00A56453"/>
    <w:rsid w:val="00A57F65"/>
    <w:rsid w:val="00A61603"/>
    <w:rsid w:val="00A633B9"/>
    <w:rsid w:val="00A67A2F"/>
    <w:rsid w:val="00A741E0"/>
    <w:rsid w:val="00A770EB"/>
    <w:rsid w:val="00A833C8"/>
    <w:rsid w:val="00A915AC"/>
    <w:rsid w:val="00A942FA"/>
    <w:rsid w:val="00A950AF"/>
    <w:rsid w:val="00A9571A"/>
    <w:rsid w:val="00A97800"/>
    <w:rsid w:val="00A97F73"/>
    <w:rsid w:val="00AB187B"/>
    <w:rsid w:val="00AB45F3"/>
    <w:rsid w:val="00AC0E00"/>
    <w:rsid w:val="00AC3113"/>
    <w:rsid w:val="00AC5B4F"/>
    <w:rsid w:val="00AD1C94"/>
    <w:rsid w:val="00AD2AD7"/>
    <w:rsid w:val="00AD5B09"/>
    <w:rsid w:val="00AD6158"/>
    <w:rsid w:val="00AE7760"/>
    <w:rsid w:val="00AF15CB"/>
    <w:rsid w:val="00AF29FC"/>
    <w:rsid w:val="00AF315F"/>
    <w:rsid w:val="00AF3754"/>
    <w:rsid w:val="00AF40AC"/>
    <w:rsid w:val="00AF6729"/>
    <w:rsid w:val="00B01D6C"/>
    <w:rsid w:val="00B01FC0"/>
    <w:rsid w:val="00B029DA"/>
    <w:rsid w:val="00B031F2"/>
    <w:rsid w:val="00B05A14"/>
    <w:rsid w:val="00B123AC"/>
    <w:rsid w:val="00B1707C"/>
    <w:rsid w:val="00B24024"/>
    <w:rsid w:val="00B24B22"/>
    <w:rsid w:val="00B34C86"/>
    <w:rsid w:val="00B37B51"/>
    <w:rsid w:val="00B41B23"/>
    <w:rsid w:val="00B46C5D"/>
    <w:rsid w:val="00B4763C"/>
    <w:rsid w:val="00B547C3"/>
    <w:rsid w:val="00B56AD8"/>
    <w:rsid w:val="00B57D8A"/>
    <w:rsid w:val="00B63513"/>
    <w:rsid w:val="00B63831"/>
    <w:rsid w:val="00B72F4A"/>
    <w:rsid w:val="00B73BB0"/>
    <w:rsid w:val="00B77009"/>
    <w:rsid w:val="00B81C78"/>
    <w:rsid w:val="00B82796"/>
    <w:rsid w:val="00B85782"/>
    <w:rsid w:val="00B943DC"/>
    <w:rsid w:val="00B94C17"/>
    <w:rsid w:val="00B960F1"/>
    <w:rsid w:val="00B961C9"/>
    <w:rsid w:val="00BA26A3"/>
    <w:rsid w:val="00BA2CA0"/>
    <w:rsid w:val="00BA697E"/>
    <w:rsid w:val="00BB0E9F"/>
    <w:rsid w:val="00BB6675"/>
    <w:rsid w:val="00BC0A7C"/>
    <w:rsid w:val="00BC1774"/>
    <w:rsid w:val="00BC25A7"/>
    <w:rsid w:val="00BC776F"/>
    <w:rsid w:val="00BD3289"/>
    <w:rsid w:val="00BD4533"/>
    <w:rsid w:val="00BD7B8B"/>
    <w:rsid w:val="00BE3B81"/>
    <w:rsid w:val="00BE3BA1"/>
    <w:rsid w:val="00BE4C39"/>
    <w:rsid w:val="00BE54BF"/>
    <w:rsid w:val="00BF0E08"/>
    <w:rsid w:val="00BF1223"/>
    <w:rsid w:val="00BF42A1"/>
    <w:rsid w:val="00C01EAB"/>
    <w:rsid w:val="00C134CA"/>
    <w:rsid w:val="00C20950"/>
    <w:rsid w:val="00C2523F"/>
    <w:rsid w:val="00C302FD"/>
    <w:rsid w:val="00C372A8"/>
    <w:rsid w:val="00C43B33"/>
    <w:rsid w:val="00C47199"/>
    <w:rsid w:val="00C507FC"/>
    <w:rsid w:val="00C531E8"/>
    <w:rsid w:val="00C5457A"/>
    <w:rsid w:val="00C55586"/>
    <w:rsid w:val="00C55CE6"/>
    <w:rsid w:val="00C638F0"/>
    <w:rsid w:val="00C63D53"/>
    <w:rsid w:val="00C645D8"/>
    <w:rsid w:val="00C6471E"/>
    <w:rsid w:val="00C66FB8"/>
    <w:rsid w:val="00C70349"/>
    <w:rsid w:val="00C70A47"/>
    <w:rsid w:val="00C84968"/>
    <w:rsid w:val="00C85F71"/>
    <w:rsid w:val="00C873ED"/>
    <w:rsid w:val="00C900E8"/>
    <w:rsid w:val="00C92C24"/>
    <w:rsid w:val="00C9383D"/>
    <w:rsid w:val="00C9650F"/>
    <w:rsid w:val="00C972F6"/>
    <w:rsid w:val="00CA097C"/>
    <w:rsid w:val="00CB18BF"/>
    <w:rsid w:val="00CB3402"/>
    <w:rsid w:val="00CB448A"/>
    <w:rsid w:val="00CC0FB5"/>
    <w:rsid w:val="00CC6D44"/>
    <w:rsid w:val="00CC7A7E"/>
    <w:rsid w:val="00CC7D85"/>
    <w:rsid w:val="00CD0F5D"/>
    <w:rsid w:val="00CD1253"/>
    <w:rsid w:val="00CD75EE"/>
    <w:rsid w:val="00CD7E00"/>
    <w:rsid w:val="00CE33A7"/>
    <w:rsid w:val="00CE4D95"/>
    <w:rsid w:val="00CF026D"/>
    <w:rsid w:val="00CF1520"/>
    <w:rsid w:val="00CF178F"/>
    <w:rsid w:val="00CF47D9"/>
    <w:rsid w:val="00CF7241"/>
    <w:rsid w:val="00D02465"/>
    <w:rsid w:val="00D04F9A"/>
    <w:rsid w:val="00D111A2"/>
    <w:rsid w:val="00D2152B"/>
    <w:rsid w:val="00D215BE"/>
    <w:rsid w:val="00D21931"/>
    <w:rsid w:val="00D318E6"/>
    <w:rsid w:val="00D31A5B"/>
    <w:rsid w:val="00D32638"/>
    <w:rsid w:val="00D32F88"/>
    <w:rsid w:val="00D35937"/>
    <w:rsid w:val="00D424AF"/>
    <w:rsid w:val="00D4632D"/>
    <w:rsid w:val="00D47C42"/>
    <w:rsid w:val="00D501BE"/>
    <w:rsid w:val="00D50E0D"/>
    <w:rsid w:val="00D5547D"/>
    <w:rsid w:val="00D620EC"/>
    <w:rsid w:val="00D64A69"/>
    <w:rsid w:val="00D74D8D"/>
    <w:rsid w:val="00D768DB"/>
    <w:rsid w:val="00D836D4"/>
    <w:rsid w:val="00D8428F"/>
    <w:rsid w:val="00D85B4F"/>
    <w:rsid w:val="00D86297"/>
    <w:rsid w:val="00D912F6"/>
    <w:rsid w:val="00D922F0"/>
    <w:rsid w:val="00D9285B"/>
    <w:rsid w:val="00D95526"/>
    <w:rsid w:val="00D962D6"/>
    <w:rsid w:val="00D968B7"/>
    <w:rsid w:val="00DA1527"/>
    <w:rsid w:val="00DA3D75"/>
    <w:rsid w:val="00DA4249"/>
    <w:rsid w:val="00DA4EB3"/>
    <w:rsid w:val="00DA527E"/>
    <w:rsid w:val="00DB43D3"/>
    <w:rsid w:val="00DB62B8"/>
    <w:rsid w:val="00DB71A5"/>
    <w:rsid w:val="00DC1487"/>
    <w:rsid w:val="00DC3EBA"/>
    <w:rsid w:val="00DD1BBC"/>
    <w:rsid w:val="00DD30FC"/>
    <w:rsid w:val="00DD652E"/>
    <w:rsid w:val="00DE1159"/>
    <w:rsid w:val="00DE37BE"/>
    <w:rsid w:val="00DE4BD5"/>
    <w:rsid w:val="00DE4BFF"/>
    <w:rsid w:val="00DF054D"/>
    <w:rsid w:val="00DF0781"/>
    <w:rsid w:val="00DF21B9"/>
    <w:rsid w:val="00DF2314"/>
    <w:rsid w:val="00DF2C52"/>
    <w:rsid w:val="00DF38FC"/>
    <w:rsid w:val="00DF5563"/>
    <w:rsid w:val="00DF6397"/>
    <w:rsid w:val="00E00846"/>
    <w:rsid w:val="00E031C1"/>
    <w:rsid w:val="00E0335C"/>
    <w:rsid w:val="00E04ED0"/>
    <w:rsid w:val="00E10661"/>
    <w:rsid w:val="00E140EE"/>
    <w:rsid w:val="00E158A1"/>
    <w:rsid w:val="00E21521"/>
    <w:rsid w:val="00E216A9"/>
    <w:rsid w:val="00E2187E"/>
    <w:rsid w:val="00E22974"/>
    <w:rsid w:val="00E23DAD"/>
    <w:rsid w:val="00E24C4B"/>
    <w:rsid w:val="00E314BA"/>
    <w:rsid w:val="00E31BC6"/>
    <w:rsid w:val="00E3234D"/>
    <w:rsid w:val="00E34774"/>
    <w:rsid w:val="00E35B8D"/>
    <w:rsid w:val="00E36F7A"/>
    <w:rsid w:val="00E37237"/>
    <w:rsid w:val="00E37414"/>
    <w:rsid w:val="00E454D9"/>
    <w:rsid w:val="00E45EA7"/>
    <w:rsid w:val="00E46967"/>
    <w:rsid w:val="00E519A3"/>
    <w:rsid w:val="00E61D40"/>
    <w:rsid w:val="00E677B0"/>
    <w:rsid w:val="00E826EA"/>
    <w:rsid w:val="00E84674"/>
    <w:rsid w:val="00E84B59"/>
    <w:rsid w:val="00E85675"/>
    <w:rsid w:val="00E866AB"/>
    <w:rsid w:val="00E9097C"/>
    <w:rsid w:val="00E9137C"/>
    <w:rsid w:val="00E91AB7"/>
    <w:rsid w:val="00E92C84"/>
    <w:rsid w:val="00E9430D"/>
    <w:rsid w:val="00EA11C8"/>
    <w:rsid w:val="00EA25F7"/>
    <w:rsid w:val="00EA56E0"/>
    <w:rsid w:val="00EA56F2"/>
    <w:rsid w:val="00EA60EC"/>
    <w:rsid w:val="00EB001B"/>
    <w:rsid w:val="00EB1EF8"/>
    <w:rsid w:val="00EB22C5"/>
    <w:rsid w:val="00EB2333"/>
    <w:rsid w:val="00EB7124"/>
    <w:rsid w:val="00EC2508"/>
    <w:rsid w:val="00EC399B"/>
    <w:rsid w:val="00EC3DDD"/>
    <w:rsid w:val="00EC7982"/>
    <w:rsid w:val="00ED2200"/>
    <w:rsid w:val="00ED23F8"/>
    <w:rsid w:val="00ED3C80"/>
    <w:rsid w:val="00ED5187"/>
    <w:rsid w:val="00ED5A2D"/>
    <w:rsid w:val="00ED6A88"/>
    <w:rsid w:val="00EE1499"/>
    <w:rsid w:val="00EE5755"/>
    <w:rsid w:val="00EE72A5"/>
    <w:rsid w:val="00F043FF"/>
    <w:rsid w:val="00F121C0"/>
    <w:rsid w:val="00F12A23"/>
    <w:rsid w:val="00F1785A"/>
    <w:rsid w:val="00F17B3F"/>
    <w:rsid w:val="00F21A24"/>
    <w:rsid w:val="00F23E02"/>
    <w:rsid w:val="00F24244"/>
    <w:rsid w:val="00F242FB"/>
    <w:rsid w:val="00F24A61"/>
    <w:rsid w:val="00F34A6F"/>
    <w:rsid w:val="00F45060"/>
    <w:rsid w:val="00F47101"/>
    <w:rsid w:val="00F53367"/>
    <w:rsid w:val="00F5471B"/>
    <w:rsid w:val="00F56A44"/>
    <w:rsid w:val="00F56F1F"/>
    <w:rsid w:val="00F57C8C"/>
    <w:rsid w:val="00F65123"/>
    <w:rsid w:val="00F65F4C"/>
    <w:rsid w:val="00F66D41"/>
    <w:rsid w:val="00F76E10"/>
    <w:rsid w:val="00F86A22"/>
    <w:rsid w:val="00F87143"/>
    <w:rsid w:val="00F87CC7"/>
    <w:rsid w:val="00F927F2"/>
    <w:rsid w:val="00F92E06"/>
    <w:rsid w:val="00F97EFE"/>
    <w:rsid w:val="00FA171C"/>
    <w:rsid w:val="00FB070D"/>
    <w:rsid w:val="00FB5B9F"/>
    <w:rsid w:val="00FC34CE"/>
    <w:rsid w:val="00FC3FBD"/>
    <w:rsid w:val="00FC4B2C"/>
    <w:rsid w:val="00FD1F03"/>
    <w:rsid w:val="00FD2F45"/>
    <w:rsid w:val="00FD49AE"/>
    <w:rsid w:val="00FD4EB3"/>
    <w:rsid w:val="00FE0499"/>
    <w:rsid w:val="00FE347D"/>
    <w:rsid w:val="00FE3CFF"/>
    <w:rsid w:val="00FF053B"/>
    <w:rsid w:val="00FF2AF5"/>
    <w:rsid w:val="00FF44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B9"/>
    <w:pPr>
      <w:tabs>
        <w:tab w:val="left" w:pos="567"/>
      </w:tabs>
      <w:spacing w:after="180" w:line="260" w:lineRule="exact"/>
    </w:pPr>
    <w:rPr>
      <w:sz w:val="22"/>
      <w:lang w:val="en-GB" w:eastAsia="en-US"/>
    </w:rPr>
  </w:style>
  <w:style w:type="paragraph" w:styleId="Heading1">
    <w:name w:val="heading 1"/>
    <w:basedOn w:val="StyleTitleAAllcaps"/>
    <w:next w:val="Normal"/>
    <w:qFormat/>
    <w:rsid w:val="008F7DB6"/>
  </w:style>
  <w:style w:type="paragraph" w:styleId="Heading2">
    <w:name w:val="heading 2"/>
    <w:basedOn w:val="Normal"/>
    <w:next w:val="Normal"/>
    <w:qFormat/>
    <w:rsid w:val="00E34774"/>
    <w:pPr>
      <w:spacing w:before="240" w:line="240" w:lineRule="auto"/>
      <w:outlineLvl w:val="1"/>
    </w:pPr>
    <w:rPr>
      <w:b/>
      <w:noProof/>
    </w:rPr>
  </w:style>
  <w:style w:type="paragraph" w:styleId="Heading3">
    <w:name w:val="heading 3"/>
    <w:basedOn w:val="Normal"/>
    <w:next w:val="Normal"/>
    <w:qFormat/>
    <w:rsid w:val="00E34774"/>
    <w:pPr>
      <w:spacing w:before="240" w:line="240" w:lineRule="auto"/>
      <w:outlineLvl w:val="2"/>
    </w:pPr>
    <w:rPr>
      <w:b/>
      <w:noProof/>
    </w:rPr>
  </w:style>
  <w:style w:type="paragraph" w:styleId="Heading4">
    <w:name w:val="heading 4"/>
    <w:basedOn w:val="Normal"/>
    <w:next w:val="Normal"/>
    <w:qFormat/>
    <w:rsid w:val="008F7DB6"/>
    <w:pPr>
      <w:spacing w:after="0"/>
      <w:outlineLvl w:val="3"/>
    </w:pPr>
    <w:rPr>
      <w:noProof/>
      <w:u w:val="single"/>
    </w:rPr>
  </w:style>
  <w:style w:type="paragraph" w:styleId="Heading5">
    <w:name w:val="heading 5"/>
    <w:basedOn w:val="Normal"/>
    <w:next w:val="Normal"/>
    <w:qFormat/>
    <w:rsid w:val="006672B9"/>
    <w:pPr>
      <w:outlineLvl w:val="4"/>
    </w:pPr>
    <w:rPr>
      <w:noProof/>
      <w:u w:val="single"/>
    </w:rPr>
  </w:style>
  <w:style w:type="paragraph" w:styleId="Heading6">
    <w:name w:val="heading 6"/>
    <w:basedOn w:val="Normal"/>
    <w:next w:val="Normal"/>
    <w:qFormat/>
    <w:rsid w:val="00765E17"/>
    <w:pPr>
      <w:keepNext/>
      <w:tabs>
        <w:tab w:val="left" w:pos="-720"/>
        <w:tab w:val="left" w:pos="4536"/>
      </w:tabs>
      <w:suppressAutoHyphens/>
      <w:outlineLvl w:val="5"/>
    </w:pPr>
    <w:rPr>
      <w:i/>
    </w:rPr>
  </w:style>
  <w:style w:type="paragraph" w:styleId="Heading7">
    <w:name w:val="heading 7"/>
    <w:basedOn w:val="Heading5"/>
    <w:next w:val="Normal"/>
    <w:qFormat/>
    <w:rsid w:val="00397234"/>
    <w:pPr>
      <w:outlineLvl w:val="6"/>
    </w:pPr>
    <w:rPr>
      <w:i/>
    </w:rPr>
  </w:style>
  <w:style w:type="paragraph" w:styleId="Heading8">
    <w:name w:val="heading 8"/>
    <w:basedOn w:val="Normal"/>
    <w:next w:val="Normal"/>
    <w:qFormat/>
    <w:rsid w:val="00765E17"/>
    <w:pPr>
      <w:keepNext/>
      <w:ind w:left="567" w:hanging="567"/>
      <w:jc w:val="both"/>
      <w:outlineLvl w:val="7"/>
    </w:pPr>
    <w:rPr>
      <w:b/>
      <w:i/>
    </w:rPr>
  </w:style>
  <w:style w:type="paragraph" w:styleId="Heading9">
    <w:name w:val="heading 9"/>
    <w:basedOn w:val="Normal"/>
    <w:next w:val="Normal"/>
    <w:qFormat/>
    <w:rsid w:val="00765E17"/>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E17"/>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765E17"/>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765E17"/>
  </w:style>
  <w:style w:type="paragraph" w:styleId="BodyTextIndent">
    <w:name w:val="Body Text Indent"/>
    <w:basedOn w:val="Normal"/>
    <w:link w:val="BodyTextIndentChar"/>
    <w:rsid w:val="00765E17"/>
    <w:pPr>
      <w:tabs>
        <w:tab w:val="clear" w:pos="567"/>
      </w:tabs>
      <w:autoSpaceDE w:val="0"/>
      <w:autoSpaceDN w:val="0"/>
      <w:adjustRightInd w:val="0"/>
      <w:spacing w:line="240" w:lineRule="auto"/>
      <w:ind w:left="720"/>
      <w:jc w:val="both"/>
    </w:pPr>
    <w:rPr>
      <w:szCs w:val="22"/>
    </w:rPr>
  </w:style>
  <w:style w:type="paragraph" w:styleId="BodyText3">
    <w:name w:val="Body Text 3"/>
    <w:basedOn w:val="Normal"/>
    <w:rsid w:val="00765E17"/>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765E17"/>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765E17"/>
    <w:pPr>
      <w:tabs>
        <w:tab w:val="clear" w:pos="567"/>
      </w:tabs>
      <w:spacing w:line="240" w:lineRule="auto"/>
    </w:pPr>
    <w:rPr>
      <w:i/>
      <w:color w:val="008000"/>
    </w:rPr>
  </w:style>
  <w:style w:type="paragraph" w:styleId="BodyText2">
    <w:name w:val="Body Text 2"/>
    <w:basedOn w:val="Normal"/>
    <w:rsid w:val="00765E17"/>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765E17"/>
    <w:rPr>
      <w:sz w:val="16"/>
      <w:szCs w:val="16"/>
    </w:rPr>
  </w:style>
  <w:style w:type="paragraph" w:styleId="CommentText">
    <w:name w:val="annotation text"/>
    <w:basedOn w:val="Normal"/>
    <w:semiHidden/>
    <w:rsid w:val="00765E17"/>
    <w:rPr>
      <w:sz w:val="20"/>
    </w:rPr>
  </w:style>
  <w:style w:type="paragraph" w:customStyle="1" w:styleId="EMEAEnBodyText">
    <w:name w:val="EMEA En Body Text"/>
    <w:basedOn w:val="Normal"/>
    <w:rsid w:val="00765E17"/>
    <w:pPr>
      <w:tabs>
        <w:tab w:val="clear" w:pos="567"/>
      </w:tabs>
      <w:spacing w:before="120" w:after="120" w:line="240" w:lineRule="auto"/>
      <w:jc w:val="both"/>
    </w:pPr>
    <w:rPr>
      <w:lang w:val="en-US"/>
    </w:rPr>
  </w:style>
  <w:style w:type="paragraph" w:styleId="DocumentMap">
    <w:name w:val="Document Map"/>
    <w:basedOn w:val="Normal"/>
    <w:semiHidden/>
    <w:rsid w:val="00765E17"/>
    <w:pPr>
      <w:shd w:val="clear" w:color="auto" w:fill="000080"/>
    </w:pPr>
    <w:rPr>
      <w:rFonts w:ascii="Tahoma" w:hAnsi="Tahoma" w:cs="Tahoma"/>
    </w:rPr>
  </w:style>
  <w:style w:type="character" w:styleId="Hyperlink">
    <w:name w:val="Hyperlink"/>
    <w:rsid w:val="00765E17"/>
    <w:rPr>
      <w:color w:val="0000FF"/>
      <w:u w:val="single"/>
    </w:rPr>
  </w:style>
  <w:style w:type="paragraph" w:customStyle="1" w:styleId="AHeader1">
    <w:name w:val="AHeader 1"/>
    <w:basedOn w:val="Normal"/>
    <w:rsid w:val="00765E17"/>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765E17"/>
    <w:pPr>
      <w:numPr>
        <w:ilvl w:val="1"/>
      </w:numPr>
      <w:tabs>
        <w:tab w:val="clear" w:pos="709"/>
        <w:tab w:val="num" w:pos="360"/>
      </w:tabs>
    </w:pPr>
    <w:rPr>
      <w:sz w:val="22"/>
    </w:rPr>
  </w:style>
  <w:style w:type="paragraph" w:customStyle="1" w:styleId="AHeader3">
    <w:name w:val="AHeader 3"/>
    <w:basedOn w:val="AHeader2"/>
    <w:rsid w:val="00765E17"/>
    <w:pPr>
      <w:numPr>
        <w:ilvl w:val="2"/>
      </w:numPr>
      <w:tabs>
        <w:tab w:val="clear" w:pos="1276"/>
        <w:tab w:val="num" w:pos="360"/>
      </w:tabs>
    </w:pPr>
  </w:style>
  <w:style w:type="paragraph" w:customStyle="1" w:styleId="AHeader2abc">
    <w:name w:val="AHeader 2 abc"/>
    <w:basedOn w:val="AHeader3"/>
    <w:rsid w:val="00765E17"/>
    <w:pPr>
      <w:numPr>
        <w:ilvl w:val="3"/>
      </w:numPr>
      <w:tabs>
        <w:tab w:val="clear" w:pos="1276"/>
        <w:tab w:val="num" w:pos="360"/>
      </w:tabs>
      <w:jc w:val="both"/>
    </w:pPr>
    <w:rPr>
      <w:b w:val="0"/>
      <w:bCs w:val="0"/>
    </w:rPr>
  </w:style>
  <w:style w:type="paragraph" w:customStyle="1" w:styleId="AHeader3abc">
    <w:name w:val="AHeader 3 abc"/>
    <w:basedOn w:val="AHeader2abc"/>
    <w:rsid w:val="00765E17"/>
    <w:pPr>
      <w:numPr>
        <w:ilvl w:val="4"/>
      </w:numPr>
      <w:tabs>
        <w:tab w:val="clear" w:pos="1701"/>
        <w:tab w:val="num" w:pos="360"/>
      </w:tabs>
    </w:pPr>
  </w:style>
  <w:style w:type="paragraph" w:styleId="BodyTextIndent3">
    <w:name w:val="Body Text Indent 3"/>
    <w:basedOn w:val="Normal"/>
    <w:rsid w:val="00765E17"/>
    <w:pPr>
      <w:tabs>
        <w:tab w:val="left" w:pos="1134"/>
      </w:tabs>
      <w:autoSpaceDE w:val="0"/>
      <w:autoSpaceDN w:val="0"/>
      <w:adjustRightInd w:val="0"/>
      <w:ind w:left="633"/>
      <w:jc w:val="both"/>
    </w:pPr>
    <w:rPr>
      <w:szCs w:val="21"/>
    </w:rPr>
  </w:style>
  <w:style w:type="character" w:styleId="FollowedHyperlink">
    <w:name w:val="FollowedHyperlink"/>
    <w:rsid w:val="00765E17"/>
    <w:rPr>
      <w:color w:val="800080"/>
      <w:u w:val="single"/>
    </w:rPr>
  </w:style>
  <w:style w:type="paragraph" w:styleId="BalloonText">
    <w:name w:val="Balloon Text"/>
    <w:basedOn w:val="Normal"/>
    <w:semiHidden/>
    <w:rsid w:val="00765E17"/>
    <w:rPr>
      <w:rFonts w:ascii="Tahoma" w:hAnsi="Tahoma" w:cs="Tahoma"/>
      <w:sz w:val="16"/>
      <w:szCs w:val="16"/>
    </w:rPr>
  </w:style>
  <w:style w:type="table" w:styleId="TableGrid">
    <w:name w:val="Table Grid"/>
    <w:basedOn w:val="TableNormal"/>
    <w:uiPriority w:val="59"/>
    <w:rsid w:val="00E579C1"/>
    <w:pPr>
      <w:tabs>
        <w:tab w:val="left" w:pos="567"/>
      </w:tabs>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20E"/>
    <w:pPr>
      <w:autoSpaceDE w:val="0"/>
      <w:autoSpaceDN w:val="0"/>
      <w:adjustRightInd w:val="0"/>
    </w:pPr>
    <w:rPr>
      <w:color w:val="000000"/>
      <w:sz w:val="24"/>
      <w:szCs w:val="24"/>
      <w:lang w:val="en-US" w:eastAsia="en-US"/>
    </w:rPr>
  </w:style>
  <w:style w:type="paragraph" w:styleId="Title">
    <w:name w:val="Title"/>
    <w:basedOn w:val="Normal"/>
    <w:qFormat/>
    <w:rsid w:val="00397EE2"/>
    <w:pPr>
      <w:tabs>
        <w:tab w:val="clear" w:pos="567"/>
      </w:tabs>
      <w:spacing w:line="240" w:lineRule="auto"/>
      <w:jc w:val="center"/>
    </w:pPr>
    <w:rPr>
      <w:b/>
    </w:rPr>
  </w:style>
  <w:style w:type="paragraph" w:styleId="CommentSubject">
    <w:name w:val="annotation subject"/>
    <w:basedOn w:val="CommentText"/>
    <w:next w:val="CommentText"/>
    <w:semiHidden/>
    <w:rsid w:val="00FE2FFD"/>
    <w:rPr>
      <w:b/>
      <w:bCs/>
    </w:rPr>
  </w:style>
  <w:style w:type="paragraph" w:styleId="PlainText">
    <w:name w:val="Plain Text"/>
    <w:basedOn w:val="Normal"/>
    <w:link w:val="PlainTextChar"/>
    <w:uiPriority w:val="99"/>
    <w:unhideWhenUsed/>
    <w:rsid w:val="00B4637C"/>
    <w:pPr>
      <w:tabs>
        <w:tab w:val="clear" w:pos="567"/>
      </w:tabs>
      <w:spacing w:line="240" w:lineRule="auto"/>
    </w:pPr>
    <w:rPr>
      <w:rFonts w:ascii="Consolas" w:eastAsia="Calibri" w:hAnsi="Consolas"/>
      <w:sz w:val="21"/>
      <w:szCs w:val="21"/>
    </w:rPr>
  </w:style>
  <w:style w:type="character" w:customStyle="1" w:styleId="PlainTextChar">
    <w:name w:val="Plain Text Char"/>
    <w:link w:val="PlainText"/>
    <w:uiPriority w:val="99"/>
    <w:rsid w:val="00B4637C"/>
    <w:rPr>
      <w:rFonts w:ascii="Consolas" w:eastAsia="Calibri" w:hAnsi="Consolas"/>
      <w:sz w:val="21"/>
      <w:szCs w:val="21"/>
      <w:lang w:val="en-GB"/>
    </w:rPr>
  </w:style>
  <w:style w:type="paragraph" w:customStyle="1" w:styleId="ARITitlePageText">
    <w:name w:val="ARI Title Page Text"/>
    <w:basedOn w:val="Normal"/>
    <w:rsid w:val="005635CA"/>
    <w:pPr>
      <w:tabs>
        <w:tab w:val="clear" w:pos="567"/>
      </w:tabs>
      <w:spacing w:line="240" w:lineRule="auto"/>
      <w:jc w:val="both"/>
    </w:pPr>
    <w:rPr>
      <w:rFonts w:ascii="Arial" w:hAnsi="Arial" w:cs="Arial"/>
      <w:szCs w:val="24"/>
      <w:lang w:val="en-US"/>
    </w:rPr>
  </w:style>
  <w:style w:type="paragraph" w:customStyle="1" w:styleId="ARINormalText">
    <w:name w:val="ARI Normal Text"/>
    <w:basedOn w:val="Normal"/>
    <w:link w:val="ARINormalTextChar"/>
    <w:rsid w:val="002F0BF1"/>
    <w:pPr>
      <w:tabs>
        <w:tab w:val="clear" w:pos="567"/>
      </w:tabs>
      <w:spacing w:after="120" w:line="240" w:lineRule="auto"/>
      <w:jc w:val="both"/>
    </w:pPr>
    <w:rPr>
      <w:rFonts w:ascii="Arial" w:hAnsi="Arial"/>
      <w:szCs w:val="24"/>
    </w:rPr>
  </w:style>
  <w:style w:type="character" w:customStyle="1" w:styleId="ARINormalTextChar">
    <w:name w:val="ARI Normal Text Char"/>
    <w:link w:val="ARINormalText"/>
    <w:rsid w:val="002F0BF1"/>
    <w:rPr>
      <w:rFonts w:ascii="Arial" w:hAnsi="Arial" w:cs="Arial"/>
      <w:sz w:val="22"/>
      <w:szCs w:val="24"/>
    </w:rPr>
  </w:style>
  <w:style w:type="paragraph" w:customStyle="1" w:styleId="Paragraph">
    <w:name w:val="Paragraph"/>
    <w:basedOn w:val="Normal"/>
    <w:link w:val="ParagraphChar"/>
    <w:rsid w:val="001048E5"/>
    <w:pPr>
      <w:tabs>
        <w:tab w:val="clear" w:pos="567"/>
      </w:tabs>
      <w:spacing w:after="240" w:line="300" w:lineRule="auto"/>
    </w:pPr>
    <w:rPr>
      <w:sz w:val="24"/>
    </w:rPr>
  </w:style>
  <w:style w:type="paragraph" w:styleId="Caption">
    <w:name w:val="caption"/>
    <w:basedOn w:val="Normal"/>
    <w:next w:val="Normal"/>
    <w:qFormat/>
    <w:rsid w:val="001048E5"/>
    <w:pPr>
      <w:keepNext/>
      <w:keepLines/>
      <w:widowControl w:val="0"/>
      <w:tabs>
        <w:tab w:val="clear" w:pos="567"/>
      </w:tabs>
      <w:spacing w:before="120" w:after="20" w:line="240" w:lineRule="auto"/>
      <w:ind w:left="1440" w:hanging="1440"/>
    </w:pPr>
    <w:rPr>
      <w:rFonts w:eastAsia="MS Mincho"/>
      <w:b/>
      <w:bCs/>
      <w:kern w:val="2"/>
      <w:sz w:val="24"/>
      <w:szCs w:val="21"/>
      <w:lang w:val="en-US" w:eastAsia="ja-JP"/>
    </w:rPr>
  </w:style>
  <w:style w:type="paragraph" w:customStyle="1" w:styleId="TableFooter">
    <w:name w:val="Table Footer"/>
    <w:basedOn w:val="Paragraph"/>
    <w:rsid w:val="001048E5"/>
    <w:pPr>
      <w:keepLines/>
      <w:tabs>
        <w:tab w:val="right" w:pos="144"/>
      </w:tabs>
      <w:spacing w:before="60" w:after="0" w:line="240" w:lineRule="exact"/>
      <w:ind w:left="216" w:hanging="216"/>
    </w:pPr>
    <w:rPr>
      <w:sz w:val="20"/>
    </w:rPr>
  </w:style>
  <w:style w:type="paragraph" w:customStyle="1" w:styleId="ListNumbered2">
    <w:name w:val="List Numbered 2"/>
    <w:basedOn w:val="Normal"/>
    <w:rsid w:val="001048E5"/>
    <w:pPr>
      <w:numPr>
        <w:numId w:val="17"/>
      </w:numPr>
      <w:tabs>
        <w:tab w:val="clear" w:pos="567"/>
      </w:tabs>
      <w:spacing w:after="120" w:line="300" w:lineRule="auto"/>
    </w:pPr>
    <w:rPr>
      <w:sz w:val="24"/>
      <w:lang w:val="en-US"/>
    </w:rPr>
  </w:style>
  <w:style w:type="character" w:customStyle="1" w:styleId="ParagraphChar">
    <w:name w:val="Paragraph Char"/>
    <w:link w:val="Paragraph"/>
    <w:rsid w:val="00FF2958"/>
    <w:rPr>
      <w:sz w:val="24"/>
    </w:rPr>
  </w:style>
  <w:style w:type="character" w:customStyle="1" w:styleId="FooterChar">
    <w:name w:val="Footer Char"/>
    <w:link w:val="Footer"/>
    <w:uiPriority w:val="99"/>
    <w:rsid w:val="0017340D"/>
    <w:rPr>
      <w:rFonts w:ascii="Helvetica" w:hAnsi="Helvetica"/>
      <w:sz w:val="16"/>
      <w:lang w:val="en-GB"/>
    </w:rPr>
  </w:style>
  <w:style w:type="paragraph" w:styleId="Revision">
    <w:name w:val="Revision"/>
    <w:hidden/>
    <w:uiPriority w:val="99"/>
    <w:semiHidden/>
    <w:rsid w:val="00E21521"/>
    <w:rPr>
      <w:sz w:val="22"/>
      <w:lang w:val="en-GB" w:eastAsia="en-US"/>
    </w:rPr>
  </w:style>
  <w:style w:type="paragraph" w:customStyle="1" w:styleId="BodytextAgency">
    <w:name w:val="Body text (Agency)"/>
    <w:basedOn w:val="Normal"/>
    <w:link w:val="BodytextAgencyChar"/>
    <w:rsid w:val="00F17B3F"/>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17B3F"/>
    <w:pPr>
      <w:numPr>
        <w:numId w:val="23"/>
      </w:numPr>
    </w:pPr>
  </w:style>
  <w:style w:type="paragraph" w:customStyle="1" w:styleId="NormalAgency">
    <w:name w:val="Normal (Agency)"/>
    <w:link w:val="NormalAgencyChar"/>
    <w:rsid w:val="00F17B3F"/>
    <w:rPr>
      <w:rFonts w:ascii="Verdana" w:eastAsia="Verdana" w:hAnsi="Verdana" w:cs="Verdana"/>
      <w:sz w:val="18"/>
      <w:szCs w:val="18"/>
      <w:lang w:val="en-GB" w:eastAsia="en-GB"/>
    </w:rPr>
  </w:style>
  <w:style w:type="character" w:customStyle="1" w:styleId="NormalAgencyChar">
    <w:name w:val="Normal (Agency) Char"/>
    <w:link w:val="NormalAgency"/>
    <w:rsid w:val="00F17B3F"/>
    <w:rPr>
      <w:rFonts w:ascii="Verdana" w:eastAsia="Verdana" w:hAnsi="Verdana" w:cs="Verdana"/>
      <w:sz w:val="18"/>
      <w:szCs w:val="18"/>
      <w:lang w:val="en-GB" w:eastAsia="en-GB" w:bidi="ar-SA"/>
    </w:rPr>
  </w:style>
  <w:style w:type="character" w:customStyle="1" w:styleId="BodytextAgencyChar">
    <w:name w:val="Body text (Agency) Char"/>
    <w:link w:val="BodytextAgency"/>
    <w:rsid w:val="00F17B3F"/>
    <w:rPr>
      <w:rFonts w:ascii="Verdana" w:eastAsia="Verdana" w:hAnsi="Verdana" w:cs="Verdana"/>
      <w:sz w:val="18"/>
      <w:szCs w:val="18"/>
      <w:lang w:val="en-GB" w:eastAsia="en-GB" w:bidi="ar-SA"/>
    </w:rPr>
  </w:style>
  <w:style w:type="paragraph" w:customStyle="1" w:styleId="ZchnZchn2">
    <w:name w:val="Zchn Zchn2"/>
    <w:basedOn w:val="Normal"/>
    <w:next w:val="Normal"/>
    <w:rsid w:val="00F17B3F"/>
    <w:pPr>
      <w:tabs>
        <w:tab w:val="clear" w:pos="567"/>
      </w:tabs>
      <w:spacing w:after="160" w:line="240" w:lineRule="auto"/>
      <w:jc w:val="both"/>
    </w:pPr>
    <w:rPr>
      <w:sz w:val="24"/>
    </w:rPr>
  </w:style>
  <w:style w:type="paragraph" w:customStyle="1" w:styleId="FooterAgency">
    <w:name w:val="Footer (Agency)"/>
    <w:basedOn w:val="Normal"/>
    <w:link w:val="FooterAgencyCharChar"/>
    <w:rsid w:val="00F17B3F"/>
    <w:pPr>
      <w:tabs>
        <w:tab w:val="clear" w:pos="567"/>
      </w:tabs>
      <w:spacing w:line="240" w:lineRule="auto"/>
    </w:pPr>
    <w:rPr>
      <w:rFonts w:ascii="Verdana" w:eastAsia="Verdana" w:hAnsi="Verdana" w:cs="Verdana"/>
      <w:noProof/>
      <w:color w:val="6D6F71"/>
      <w:sz w:val="14"/>
      <w:szCs w:val="14"/>
      <w:lang w:eastAsia="en-GB"/>
    </w:rPr>
  </w:style>
  <w:style w:type="table" w:customStyle="1" w:styleId="FootertableAgency">
    <w:name w:val="Footer table (Agency)"/>
    <w:basedOn w:val="TableNormal"/>
    <w:rsid w:val="00F17B3F"/>
    <w:rPr>
      <w:rFonts w:ascii="Verdana" w:eastAsia="SimSun"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Kozuka Gothic Pro B" w:hAnsi="Kozuka Gothic Pro B"/>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sid w:val="00F17B3F"/>
    <w:rPr>
      <w:rFonts w:ascii="Verdana" w:eastAsia="Verdana" w:hAnsi="Verdana" w:cs="Verdana"/>
      <w:noProof/>
      <w:color w:val="6D6F71"/>
      <w:sz w:val="14"/>
      <w:szCs w:val="14"/>
      <w:lang w:val="en-GB" w:eastAsia="en-GB" w:bidi="ar-SA"/>
    </w:rPr>
  </w:style>
  <w:style w:type="paragraph" w:customStyle="1" w:styleId="PagenumberAgency">
    <w:name w:val="Page number (Agency)"/>
    <w:basedOn w:val="Normal"/>
    <w:next w:val="Normal"/>
    <w:link w:val="PagenumberAgencyCharChar"/>
    <w:rsid w:val="00F17B3F"/>
    <w:pPr>
      <w:tabs>
        <w:tab w:val="clear" w:pos="567"/>
        <w:tab w:val="right" w:pos="9781"/>
      </w:tabs>
      <w:spacing w:line="240" w:lineRule="auto"/>
      <w:jc w:val="right"/>
    </w:pPr>
    <w:rPr>
      <w:rFonts w:ascii="Verdana" w:eastAsia="Verdana" w:hAnsi="Verdana" w:cs="Verdana"/>
      <w:noProof/>
      <w:color w:val="6D6F71"/>
      <w:sz w:val="14"/>
      <w:szCs w:val="14"/>
      <w:lang w:eastAsia="en-GB"/>
    </w:rPr>
  </w:style>
  <w:style w:type="character" w:customStyle="1" w:styleId="PagenumberAgencyCharChar">
    <w:name w:val="Page number (Agency) Char Char"/>
    <w:basedOn w:val="FooterAgencyCharChar"/>
    <w:link w:val="PagenumberAgency"/>
    <w:rsid w:val="00F17B3F"/>
  </w:style>
  <w:style w:type="paragraph" w:customStyle="1" w:styleId="TitleA">
    <w:name w:val="Title A"/>
    <w:basedOn w:val="Normal"/>
    <w:qFormat/>
    <w:rsid w:val="00E34774"/>
    <w:pPr>
      <w:spacing w:after="480" w:line="240" w:lineRule="auto"/>
      <w:jc w:val="center"/>
      <w:outlineLvl w:val="0"/>
    </w:pPr>
    <w:rPr>
      <w:b/>
      <w:noProof/>
    </w:rPr>
  </w:style>
  <w:style w:type="paragraph" w:customStyle="1" w:styleId="TitleB">
    <w:name w:val="Title B"/>
    <w:basedOn w:val="NormalAgency"/>
    <w:qFormat/>
    <w:rsid w:val="00683DEE"/>
    <w:rPr>
      <w:rFonts w:ascii="Times New Roman" w:eastAsia="Times New Roman" w:hAnsi="Times New Roman" w:cs="Times New Roman"/>
      <w:b/>
      <w:iCs/>
      <w:noProof/>
      <w:sz w:val="22"/>
      <w:szCs w:val="20"/>
      <w:lang w:eastAsia="en-US"/>
    </w:rPr>
  </w:style>
  <w:style w:type="paragraph" w:styleId="Bibliography">
    <w:name w:val="Bibliography"/>
    <w:basedOn w:val="Normal"/>
    <w:next w:val="Normal"/>
    <w:uiPriority w:val="37"/>
    <w:semiHidden/>
    <w:unhideWhenUsed/>
    <w:rsid w:val="00CA097C"/>
  </w:style>
  <w:style w:type="paragraph" w:styleId="BlockText">
    <w:name w:val="Block Text"/>
    <w:basedOn w:val="Normal"/>
    <w:uiPriority w:val="99"/>
    <w:semiHidden/>
    <w:unhideWhenUsed/>
    <w:rsid w:val="00CA097C"/>
    <w:pPr>
      <w:spacing w:after="120"/>
      <w:ind w:left="1440" w:right="1440"/>
    </w:pPr>
  </w:style>
  <w:style w:type="paragraph" w:styleId="BodyTextFirstIndent">
    <w:name w:val="Body Text First Indent"/>
    <w:basedOn w:val="BodyText"/>
    <w:link w:val="BodyTextFirstIndentChar"/>
    <w:uiPriority w:val="99"/>
    <w:semiHidden/>
    <w:unhideWhenUsed/>
    <w:rsid w:val="00CA097C"/>
    <w:pPr>
      <w:tabs>
        <w:tab w:val="left" w:pos="567"/>
      </w:tabs>
      <w:spacing w:after="120" w:line="260" w:lineRule="exact"/>
      <w:ind w:firstLine="210"/>
    </w:pPr>
    <w:rPr>
      <w:i w:val="0"/>
      <w:color w:val="auto"/>
    </w:rPr>
  </w:style>
  <w:style w:type="character" w:customStyle="1" w:styleId="BodyTextChar">
    <w:name w:val="Body Text Char"/>
    <w:link w:val="BodyText"/>
    <w:rsid w:val="00CA097C"/>
    <w:rPr>
      <w:i/>
      <w:color w:val="008000"/>
      <w:sz w:val="22"/>
      <w:lang w:eastAsia="en-US"/>
    </w:rPr>
  </w:style>
  <w:style w:type="character" w:customStyle="1" w:styleId="BodyTextFirstIndentChar">
    <w:name w:val="Body Text First Indent Char"/>
    <w:basedOn w:val="BodyTextChar"/>
    <w:link w:val="BodyTextFirstIndent"/>
    <w:rsid w:val="00CA097C"/>
  </w:style>
  <w:style w:type="paragraph" w:styleId="BodyTextFirstIndent2">
    <w:name w:val="Body Text First Indent 2"/>
    <w:basedOn w:val="BodyTextIndent"/>
    <w:link w:val="BodyTextFirstIndent2Char"/>
    <w:uiPriority w:val="99"/>
    <w:semiHidden/>
    <w:unhideWhenUsed/>
    <w:rsid w:val="00CA097C"/>
    <w:pPr>
      <w:tabs>
        <w:tab w:val="left" w:pos="567"/>
      </w:tabs>
      <w:autoSpaceDE/>
      <w:autoSpaceDN/>
      <w:adjustRightInd/>
      <w:spacing w:after="120" w:line="260" w:lineRule="exact"/>
      <w:ind w:left="283" w:firstLine="210"/>
      <w:jc w:val="left"/>
    </w:pPr>
    <w:rPr>
      <w:szCs w:val="20"/>
    </w:rPr>
  </w:style>
  <w:style w:type="character" w:customStyle="1" w:styleId="BodyTextIndentChar">
    <w:name w:val="Body Text Indent Char"/>
    <w:link w:val="BodyTextIndent"/>
    <w:rsid w:val="00CA097C"/>
    <w:rPr>
      <w:sz w:val="22"/>
      <w:szCs w:val="22"/>
    </w:rPr>
  </w:style>
  <w:style w:type="character" w:customStyle="1" w:styleId="BodyTextFirstIndent2Char">
    <w:name w:val="Body Text First Indent 2 Char"/>
    <w:basedOn w:val="BodyTextIndentChar"/>
    <w:link w:val="BodyTextFirstIndent2"/>
    <w:rsid w:val="00CA097C"/>
  </w:style>
  <w:style w:type="paragraph" w:styleId="Closing">
    <w:name w:val="Closing"/>
    <w:basedOn w:val="Normal"/>
    <w:link w:val="ClosingChar"/>
    <w:uiPriority w:val="99"/>
    <w:semiHidden/>
    <w:unhideWhenUsed/>
    <w:rsid w:val="00CA097C"/>
    <w:pPr>
      <w:ind w:left="4252"/>
    </w:pPr>
  </w:style>
  <w:style w:type="character" w:customStyle="1" w:styleId="ClosingChar">
    <w:name w:val="Closing Char"/>
    <w:link w:val="Closing"/>
    <w:uiPriority w:val="99"/>
    <w:semiHidden/>
    <w:rsid w:val="00CA097C"/>
    <w:rPr>
      <w:sz w:val="22"/>
      <w:lang w:eastAsia="en-US"/>
    </w:rPr>
  </w:style>
  <w:style w:type="paragraph" w:styleId="Date">
    <w:name w:val="Date"/>
    <w:basedOn w:val="Normal"/>
    <w:next w:val="Normal"/>
    <w:link w:val="DateChar"/>
    <w:uiPriority w:val="99"/>
    <w:semiHidden/>
    <w:unhideWhenUsed/>
    <w:rsid w:val="00CA097C"/>
  </w:style>
  <w:style w:type="character" w:customStyle="1" w:styleId="DateChar">
    <w:name w:val="Date Char"/>
    <w:link w:val="Date"/>
    <w:uiPriority w:val="99"/>
    <w:semiHidden/>
    <w:rsid w:val="00CA097C"/>
    <w:rPr>
      <w:sz w:val="22"/>
      <w:lang w:eastAsia="en-US"/>
    </w:rPr>
  </w:style>
  <w:style w:type="paragraph" w:styleId="E-mailSignature">
    <w:name w:val="E-mail Signature"/>
    <w:basedOn w:val="Normal"/>
    <w:link w:val="E-mailSignatureChar"/>
    <w:uiPriority w:val="99"/>
    <w:semiHidden/>
    <w:unhideWhenUsed/>
    <w:rsid w:val="00CA097C"/>
  </w:style>
  <w:style w:type="character" w:customStyle="1" w:styleId="E-mailSignatureChar">
    <w:name w:val="E-mail Signature Char"/>
    <w:link w:val="E-mailSignature"/>
    <w:uiPriority w:val="99"/>
    <w:semiHidden/>
    <w:rsid w:val="00CA097C"/>
    <w:rPr>
      <w:sz w:val="22"/>
      <w:lang w:eastAsia="en-US"/>
    </w:rPr>
  </w:style>
  <w:style w:type="paragraph" w:styleId="EndnoteText">
    <w:name w:val="endnote text"/>
    <w:basedOn w:val="Normal"/>
    <w:link w:val="EndnoteTextChar"/>
    <w:uiPriority w:val="99"/>
    <w:semiHidden/>
    <w:unhideWhenUsed/>
    <w:rsid w:val="00CA097C"/>
    <w:rPr>
      <w:sz w:val="20"/>
    </w:rPr>
  </w:style>
  <w:style w:type="character" w:customStyle="1" w:styleId="EndnoteTextChar">
    <w:name w:val="Endnote Text Char"/>
    <w:link w:val="EndnoteText"/>
    <w:uiPriority w:val="99"/>
    <w:semiHidden/>
    <w:rsid w:val="00CA097C"/>
    <w:rPr>
      <w:lang w:eastAsia="en-US"/>
    </w:rPr>
  </w:style>
  <w:style w:type="paragraph" w:styleId="EnvelopeAddress">
    <w:name w:val="envelope address"/>
    <w:basedOn w:val="Normal"/>
    <w:uiPriority w:val="99"/>
    <w:semiHidden/>
    <w:unhideWhenUsed/>
    <w:rsid w:val="00CA097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A097C"/>
    <w:rPr>
      <w:rFonts w:ascii="Cambria" w:hAnsi="Cambria"/>
      <w:sz w:val="20"/>
    </w:rPr>
  </w:style>
  <w:style w:type="paragraph" w:styleId="FootnoteText">
    <w:name w:val="footnote text"/>
    <w:basedOn w:val="Normal"/>
    <w:link w:val="FootnoteTextChar"/>
    <w:uiPriority w:val="99"/>
    <w:semiHidden/>
    <w:unhideWhenUsed/>
    <w:rsid w:val="00CA097C"/>
    <w:rPr>
      <w:sz w:val="20"/>
    </w:rPr>
  </w:style>
  <w:style w:type="character" w:customStyle="1" w:styleId="FootnoteTextChar">
    <w:name w:val="Footnote Text Char"/>
    <w:link w:val="FootnoteText"/>
    <w:uiPriority w:val="99"/>
    <w:semiHidden/>
    <w:rsid w:val="00CA097C"/>
    <w:rPr>
      <w:lang w:eastAsia="en-US"/>
    </w:rPr>
  </w:style>
  <w:style w:type="paragraph" w:styleId="HTMLAddress">
    <w:name w:val="HTML Address"/>
    <w:basedOn w:val="Normal"/>
    <w:link w:val="HTMLAddressChar"/>
    <w:uiPriority w:val="99"/>
    <w:semiHidden/>
    <w:unhideWhenUsed/>
    <w:rsid w:val="00CA097C"/>
    <w:rPr>
      <w:i/>
      <w:iCs/>
    </w:rPr>
  </w:style>
  <w:style w:type="character" w:customStyle="1" w:styleId="HTMLAddressChar">
    <w:name w:val="HTML Address Char"/>
    <w:link w:val="HTMLAddress"/>
    <w:uiPriority w:val="99"/>
    <w:semiHidden/>
    <w:rsid w:val="00CA097C"/>
    <w:rPr>
      <w:i/>
      <w:iCs/>
      <w:sz w:val="22"/>
      <w:lang w:eastAsia="en-US"/>
    </w:rPr>
  </w:style>
  <w:style w:type="paragraph" w:styleId="HTMLPreformatted">
    <w:name w:val="HTML Preformatted"/>
    <w:basedOn w:val="Normal"/>
    <w:link w:val="HTMLPreformattedChar"/>
    <w:uiPriority w:val="99"/>
    <w:semiHidden/>
    <w:unhideWhenUsed/>
    <w:rsid w:val="00CA097C"/>
    <w:rPr>
      <w:rFonts w:ascii="Courier New" w:hAnsi="Courier New"/>
      <w:sz w:val="20"/>
    </w:rPr>
  </w:style>
  <w:style w:type="character" w:customStyle="1" w:styleId="HTMLPreformattedChar">
    <w:name w:val="HTML Preformatted Char"/>
    <w:link w:val="HTMLPreformatted"/>
    <w:uiPriority w:val="99"/>
    <w:semiHidden/>
    <w:rsid w:val="00CA097C"/>
    <w:rPr>
      <w:rFonts w:ascii="Courier New" w:hAnsi="Courier New" w:cs="Courier New"/>
      <w:lang w:eastAsia="en-US"/>
    </w:rPr>
  </w:style>
  <w:style w:type="paragraph" w:styleId="Index1">
    <w:name w:val="index 1"/>
    <w:basedOn w:val="Normal"/>
    <w:next w:val="Normal"/>
    <w:autoRedefine/>
    <w:uiPriority w:val="99"/>
    <w:semiHidden/>
    <w:unhideWhenUsed/>
    <w:rsid w:val="00CA097C"/>
    <w:pPr>
      <w:tabs>
        <w:tab w:val="clear" w:pos="567"/>
      </w:tabs>
      <w:ind w:left="220" w:hanging="220"/>
    </w:pPr>
  </w:style>
  <w:style w:type="paragraph" w:styleId="Index2">
    <w:name w:val="index 2"/>
    <w:basedOn w:val="Normal"/>
    <w:next w:val="Normal"/>
    <w:autoRedefine/>
    <w:uiPriority w:val="99"/>
    <w:semiHidden/>
    <w:unhideWhenUsed/>
    <w:rsid w:val="00CA097C"/>
    <w:pPr>
      <w:tabs>
        <w:tab w:val="clear" w:pos="567"/>
      </w:tabs>
      <w:ind w:left="440" w:hanging="220"/>
    </w:pPr>
  </w:style>
  <w:style w:type="paragraph" w:styleId="Index3">
    <w:name w:val="index 3"/>
    <w:basedOn w:val="Normal"/>
    <w:next w:val="Normal"/>
    <w:autoRedefine/>
    <w:uiPriority w:val="99"/>
    <w:semiHidden/>
    <w:unhideWhenUsed/>
    <w:rsid w:val="00CA097C"/>
    <w:pPr>
      <w:tabs>
        <w:tab w:val="clear" w:pos="567"/>
      </w:tabs>
      <w:ind w:left="660" w:hanging="220"/>
    </w:pPr>
  </w:style>
  <w:style w:type="paragraph" w:styleId="Index4">
    <w:name w:val="index 4"/>
    <w:basedOn w:val="Normal"/>
    <w:next w:val="Normal"/>
    <w:autoRedefine/>
    <w:uiPriority w:val="99"/>
    <w:semiHidden/>
    <w:unhideWhenUsed/>
    <w:rsid w:val="00CA097C"/>
    <w:pPr>
      <w:tabs>
        <w:tab w:val="clear" w:pos="567"/>
      </w:tabs>
      <w:ind w:left="880" w:hanging="220"/>
    </w:pPr>
  </w:style>
  <w:style w:type="paragraph" w:styleId="Index5">
    <w:name w:val="index 5"/>
    <w:basedOn w:val="Normal"/>
    <w:next w:val="Normal"/>
    <w:autoRedefine/>
    <w:uiPriority w:val="99"/>
    <w:semiHidden/>
    <w:unhideWhenUsed/>
    <w:rsid w:val="00CA097C"/>
    <w:pPr>
      <w:tabs>
        <w:tab w:val="clear" w:pos="567"/>
      </w:tabs>
      <w:ind w:left="1100" w:hanging="220"/>
    </w:pPr>
  </w:style>
  <w:style w:type="paragraph" w:styleId="Index6">
    <w:name w:val="index 6"/>
    <w:basedOn w:val="Normal"/>
    <w:next w:val="Normal"/>
    <w:autoRedefine/>
    <w:uiPriority w:val="99"/>
    <w:semiHidden/>
    <w:unhideWhenUsed/>
    <w:rsid w:val="00CA097C"/>
    <w:pPr>
      <w:tabs>
        <w:tab w:val="clear" w:pos="567"/>
      </w:tabs>
      <w:ind w:left="1320" w:hanging="220"/>
    </w:pPr>
  </w:style>
  <w:style w:type="paragraph" w:styleId="Index7">
    <w:name w:val="index 7"/>
    <w:basedOn w:val="Normal"/>
    <w:next w:val="Normal"/>
    <w:autoRedefine/>
    <w:uiPriority w:val="99"/>
    <w:semiHidden/>
    <w:unhideWhenUsed/>
    <w:rsid w:val="00CA097C"/>
    <w:pPr>
      <w:tabs>
        <w:tab w:val="clear" w:pos="567"/>
      </w:tabs>
      <w:ind w:left="1540" w:hanging="220"/>
    </w:pPr>
  </w:style>
  <w:style w:type="paragraph" w:styleId="Index8">
    <w:name w:val="index 8"/>
    <w:basedOn w:val="Normal"/>
    <w:next w:val="Normal"/>
    <w:autoRedefine/>
    <w:uiPriority w:val="99"/>
    <w:semiHidden/>
    <w:unhideWhenUsed/>
    <w:rsid w:val="00CA097C"/>
    <w:pPr>
      <w:tabs>
        <w:tab w:val="clear" w:pos="567"/>
      </w:tabs>
      <w:ind w:left="1760" w:hanging="220"/>
    </w:pPr>
  </w:style>
  <w:style w:type="paragraph" w:styleId="Index9">
    <w:name w:val="index 9"/>
    <w:basedOn w:val="Normal"/>
    <w:next w:val="Normal"/>
    <w:autoRedefine/>
    <w:uiPriority w:val="99"/>
    <w:semiHidden/>
    <w:unhideWhenUsed/>
    <w:rsid w:val="00CA097C"/>
    <w:pPr>
      <w:tabs>
        <w:tab w:val="clear" w:pos="567"/>
      </w:tabs>
      <w:ind w:left="1980" w:hanging="220"/>
    </w:pPr>
  </w:style>
  <w:style w:type="paragraph" w:styleId="IndexHeading">
    <w:name w:val="index heading"/>
    <w:basedOn w:val="Normal"/>
    <w:next w:val="Index1"/>
    <w:uiPriority w:val="99"/>
    <w:semiHidden/>
    <w:unhideWhenUsed/>
    <w:rsid w:val="00CA097C"/>
    <w:rPr>
      <w:rFonts w:ascii="Cambria" w:hAnsi="Cambria"/>
      <w:b/>
      <w:bCs/>
    </w:rPr>
  </w:style>
  <w:style w:type="paragraph" w:styleId="IntenseQuote">
    <w:name w:val="Intense Quote"/>
    <w:basedOn w:val="Normal"/>
    <w:next w:val="Normal"/>
    <w:link w:val="IntenseQuoteChar"/>
    <w:uiPriority w:val="30"/>
    <w:qFormat/>
    <w:rsid w:val="00CA09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A097C"/>
    <w:rPr>
      <w:b/>
      <w:bCs/>
      <w:i/>
      <w:iCs/>
      <w:color w:val="4F81BD"/>
      <w:sz w:val="22"/>
      <w:lang w:eastAsia="en-US"/>
    </w:rPr>
  </w:style>
  <w:style w:type="paragraph" w:styleId="List">
    <w:name w:val="List"/>
    <w:basedOn w:val="Normal"/>
    <w:uiPriority w:val="99"/>
    <w:semiHidden/>
    <w:unhideWhenUsed/>
    <w:rsid w:val="00CA097C"/>
    <w:pPr>
      <w:ind w:left="283" w:hanging="283"/>
      <w:contextualSpacing/>
    </w:pPr>
  </w:style>
  <w:style w:type="paragraph" w:styleId="List2">
    <w:name w:val="List 2"/>
    <w:basedOn w:val="Normal"/>
    <w:uiPriority w:val="99"/>
    <w:semiHidden/>
    <w:unhideWhenUsed/>
    <w:rsid w:val="00CA097C"/>
    <w:pPr>
      <w:ind w:left="566" w:hanging="283"/>
      <w:contextualSpacing/>
    </w:pPr>
  </w:style>
  <w:style w:type="paragraph" w:styleId="List3">
    <w:name w:val="List 3"/>
    <w:basedOn w:val="Normal"/>
    <w:uiPriority w:val="99"/>
    <w:semiHidden/>
    <w:unhideWhenUsed/>
    <w:rsid w:val="00CA097C"/>
    <w:pPr>
      <w:ind w:left="849" w:hanging="283"/>
      <w:contextualSpacing/>
    </w:pPr>
  </w:style>
  <w:style w:type="paragraph" w:styleId="List4">
    <w:name w:val="List 4"/>
    <w:basedOn w:val="Normal"/>
    <w:uiPriority w:val="99"/>
    <w:semiHidden/>
    <w:unhideWhenUsed/>
    <w:rsid w:val="00CA097C"/>
    <w:pPr>
      <w:ind w:left="1132" w:hanging="283"/>
      <w:contextualSpacing/>
    </w:pPr>
  </w:style>
  <w:style w:type="paragraph" w:styleId="List5">
    <w:name w:val="List 5"/>
    <w:basedOn w:val="Normal"/>
    <w:uiPriority w:val="99"/>
    <w:semiHidden/>
    <w:unhideWhenUsed/>
    <w:rsid w:val="00CA097C"/>
    <w:pPr>
      <w:ind w:left="1415" w:hanging="283"/>
      <w:contextualSpacing/>
    </w:pPr>
  </w:style>
  <w:style w:type="paragraph" w:styleId="ListBullet">
    <w:name w:val="List Bullet"/>
    <w:basedOn w:val="Normal"/>
    <w:uiPriority w:val="99"/>
    <w:semiHidden/>
    <w:unhideWhenUsed/>
    <w:rsid w:val="00CA097C"/>
    <w:pPr>
      <w:numPr>
        <w:numId w:val="33"/>
      </w:numPr>
      <w:contextualSpacing/>
    </w:pPr>
  </w:style>
  <w:style w:type="paragraph" w:styleId="ListBullet2">
    <w:name w:val="List Bullet 2"/>
    <w:basedOn w:val="Normal"/>
    <w:uiPriority w:val="99"/>
    <w:semiHidden/>
    <w:unhideWhenUsed/>
    <w:rsid w:val="00CA097C"/>
    <w:pPr>
      <w:numPr>
        <w:numId w:val="34"/>
      </w:numPr>
      <w:contextualSpacing/>
    </w:pPr>
  </w:style>
  <w:style w:type="paragraph" w:styleId="ListBullet3">
    <w:name w:val="List Bullet 3"/>
    <w:basedOn w:val="Normal"/>
    <w:uiPriority w:val="99"/>
    <w:semiHidden/>
    <w:unhideWhenUsed/>
    <w:rsid w:val="00CA097C"/>
    <w:pPr>
      <w:numPr>
        <w:numId w:val="35"/>
      </w:numPr>
      <w:contextualSpacing/>
    </w:pPr>
  </w:style>
  <w:style w:type="paragraph" w:styleId="ListBullet4">
    <w:name w:val="List Bullet 4"/>
    <w:basedOn w:val="Normal"/>
    <w:uiPriority w:val="99"/>
    <w:semiHidden/>
    <w:unhideWhenUsed/>
    <w:rsid w:val="00CA097C"/>
    <w:pPr>
      <w:numPr>
        <w:numId w:val="36"/>
      </w:numPr>
      <w:contextualSpacing/>
    </w:pPr>
  </w:style>
  <w:style w:type="paragraph" w:styleId="ListBullet5">
    <w:name w:val="List Bullet 5"/>
    <w:basedOn w:val="Normal"/>
    <w:uiPriority w:val="99"/>
    <w:semiHidden/>
    <w:unhideWhenUsed/>
    <w:rsid w:val="00CA097C"/>
    <w:pPr>
      <w:numPr>
        <w:numId w:val="37"/>
      </w:numPr>
      <w:contextualSpacing/>
    </w:pPr>
  </w:style>
  <w:style w:type="paragraph" w:styleId="ListContinue">
    <w:name w:val="List Continue"/>
    <w:basedOn w:val="Normal"/>
    <w:uiPriority w:val="99"/>
    <w:semiHidden/>
    <w:unhideWhenUsed/>
    <w:rsid w:val="00CA097C"/>
    <w:pPr>
      <w:spacing w:after="120"/>
      <w:ind w:left="283"/>
      <w:contextualSpacing/>
    </w:pPr>
  </w:style>
  <w:style w:type="paragraph" w:styleId="ListContinue2">
    <w:name w:val="List Continue 2"/>
    <w:basedOn w:val="Normal"/>
    <w:uiPriority w:val="99"/>
    <w:semiHidden/>
    <w:unhideWhenUsed/>
    <w:rsid w:val="00CA097C"/>
    <w:pPr>
      <w:spacing w:after="120"/>
      <w:ind w:left="566"/>
      <w:contextualSpacing/>
    </w:pPr>
  </w:style>
  <w:style w:type="paragraph" w:styleId="ListContinue3">
    <w:name w:val="List Continue 3"/>
    <w:basedOn w:val="Normal"/>
    <w:uiPriority w:val="99"/>
    <w:semiHidden/>
    <w:unhideWhenUsed/>
    <w:rsid w:val="00CA097C"/>
    <w:pPr>
      <w:spacing w:after="120"/>
      <w:ind w:left="849"/>
      <w:contextualSpacing/>
    </w:pPr>
  </w:style>
  <w:style w:type="paragraph" w:styleId="ListContinue4">
    <w:name w:val="List Continue 4"/>
    <w:basedOn w:val="Normal"/>
    <w:uiPriority w:val="99"/>
    <w:semiHidden/>
    <w:unhideWhenUsed/>
    <w:rsid w:val="00CA097C"/>
    <w:pPr>
      <w:spacing w:after="120"/>
      <w:ind w:left="1132"/>
      <w:contextualSpacing/>
    </w:pPr>
  </w:style>
  <w:style w:type="paragraph" w:styleId="ListContinue5">
    <w:name w:val="List Continue 5"/>
    <w:basedOn w:val="Normal"/>
    <w:uiPriority w:val="99"/>
    <w:semiHidden/>
    <w:unhideWhenUsed/>
    <w:rsid w:val="00CA097C"/>
    <w:pPr>
      <w:spacing w:after="120"/>
      <w:ind w:left="1415"/>
      <w:contextualSpacing/>
    </w:pPr>
  </w:style>
  <w:style w:type="paragraph" w:styleId="ListNumber">
    <w:name w:val="List Number"/>
    <w:basedOn w:val="Normal"/>
    <w:uiPriority w:val="99"/>
    <w:semiHidden/>
    <w:unhideWhenUsed/>
    <w:rsid w:val="00CA097C"/>
    <w:pPr>
      <w:numPr>
        <w:numId w:val="38"/>
      </w:numPr>
      <w:contextualSpacing/>
    </w:pPr>
  </w:style>
  <w:style w:type="paragraph" w:styleId="ListNumber2">
    <w:name w:val="List Number 2"/>
    <w:basedOn w:val="Normal"/>
    <w:uiPriority w:val="99"/>
    <w:semiHidden/>
    <w:unhideWhenUsed/>
    <w:rsid w:val="00CA097C"/>
    <w:pPr>
      <w:numPr>
        <w:numId w:val="39"/>
      </w:numPr>
      <w:contextualSpacing/>
    </w:pPr>
  </w:style>
  <w:style w:type="paragraph" w:styleId="ListNumber3">
    <w:name w:val="List Number 3"/>
    <w:basedOn w:val="Normal"/>
    <w:uiPriority w:val="99"/>
    <w:semiHidden/>
    <w:unhideWhenUsed/>
    <w:rsid w:val="00CA097C"/>
    <w:pPr>
      <w:numPr>
        <w:numId w:val="40"/>
      </w:numPr>
      <w:contextualSpacing/>
    </w:pPr>
  </w:style>
  <w:style w:type="paragraph" w:styleId="ListNumber4">
    <w:name w:val="List Number 4"/>
    <w:basedOn w:val="Normal"/>
    <w:uiPriority w:val="99"/>
    <w:semiHidden/>
    <w:unhideWhenUsed/>
    <w:rsid w:val="00CA097C"/>
    <w:pPr>
      <w:numPr>
        <w:numId w:val="41"/>
      </w:numPr>
      <w:contextualSpacing/>
    </w:pPr>
  </w:style>
  <w:style w:type="paragraph" w:styleId="ListNumber5">
    <w:name w:val="List Number 5"/>
    <w:basedOn w:val="Normal"/>
    <w:uiPriority w:val="99"/>
    <w:semiHidden/>
    <w:unhideWhenUsed/>
    <w:rsid w:val="00CA097C"/>
    <w:pPr>
      <w:numPr>
        <w:numId w:val="42"/>
      </w:numPr>
      <w:contextualSpacing/>
    </w:pPr>
  </w:style>
  <w:style w:type="paragraph" w:styleId="ListParagraph">
    <w:name w:val="List Paragraph"/>
    <w:basedOn w:val="Normal"/>
    <w:uiPriority w:val="34"/>
    <w:qFormat/>
    <w:rsid w:val="00CA097C"/>
    <w:pPr>
      <w:ind w:left="720"/>
    </w:pPr>
  </w:style>
  <w:style w:type="paragraph" w:styleId="MacroText">
    <w:name w:val="macro"/>
    <w:link w:val="MacroTextChar"/>
    <w:uiPriority w:val="99"/>
    <w:semiHidden/>
    <w:unhideWhenUsed/>
    <w:rsid w:val="00CA097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uiPriority w:val="99"/>
    <w:semiHidden/>
    <w:rsid w:val="00CA097C"/>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CA09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CA097C"/>
    <w:rPr>
      <w:rFonts w:ascii="Cambria" w:eastAsia="Times New Roman" w:hAnsi="Cambria" w:cs="Times New Roman"/>
      <w:sz w:val="24"/>
      <w:szCs w:val="24"/>
      <w:shd w:val="pct20" w:color="auto" w:fill="auto"/>
      <w:lang w:eastAsia="en-US"/>
    </w:rPr>
  </w:style>
  <w:style w:type="paragraph" w:styleId="NoSpacing">
    <w:name w:val="No Spacing"/>
    <w:uiPriority w:val="1"/>
    <w:qFormat/>
    <w:rsid w:val="00CA097C"/>
    <w:pPr>
      <w:tabs>
        <w:tab w:val="left" w:pos="567"/>
      </w:tabs>
    </w:pPr>
    <w:rPr>
      <w:sz w:val="22"/>
      <w:lang w:val="en-GB" w:eastAsia="en-US"/>
    </w:rPr>
  </w:style>
  <w:style w:type="paragraph" w:styleId="NormalWeb">
    <w:name w:val="Normal (Web)"/>
    <w:basedOn w:val="Normal"/>
    <w:uiPriority w:val="99"/>
    <w:semiHidden/>
    <w:unhideWhenUsed/>
    <w:rsid w:val="00CA097C"/>
    <w:rPr>
      <w:sz w:val="24"/>
      <w:szCs w:val="24"/>
    </w:rPr>
  </w:style>
  <w:style w:type="paragraph" w:styleId="NormalIndent">
    <w:name w:val="Normal Indent"/>
    <w:basedOn w:val="Normal"/>
    <w:uiPriority w:val="99"/>
    <w:semiHidden/>
    <w:unhideWhenUsed/>
    <w:rsid w:val="00CA097C"/>
    <w:pPr>
      <w:ind w:left="720"/>
    </w:pPr>
  </w:style>
  <w:style w:type="paragraph" w:styleId="NoteHeading">
    <w:name w:val="Note Heading"/>
    <w:basedOn w:val="Normal"/>
    <w:next w:val="Normal"/>
    <w:link w:val="NoteHeadingChar"/>
    <w:uiPriority w:val="99"/>
    <w:semiHidden/>
    <w:unhideWhenUsed/>
    <w:rsid w:val="00CA097C"/>
  </w:style>
  <w:style w:type="character" w:customStyle="1" w:styleId="NoteHeadingChar">
    <w:name w:val="Note Heading Char"/>
    <w:link w:val="NoteHeading"/>
    <w:uiPriority w:val="99"/>
    <w:semiHidden/>
    <w:rsid w:val="00CA097C"/>
    <w:rPr>
      <w:sz w:val="22"/>
      <w:lang w:eastAsia="en-US"/>
    </w:rPr>
  </w:style>
  <w:style w:type="paragraph" w:styleId="Quote">
    <w:name w:val="Quote"/>
    <w:basedOn w:val="Normal"/>
    <w:next w:val="Normal"/>
    <w:link w:val="QuoteChar"/>
    <w:uiPriority w:val="29"/>
    <w:qFormat/>
    <w:rsid w:val="00CA097C"/>
    <w:rPr>
      <w:i/>
      <w:iCs/>
      <w:color w:val="000000"/>
    </w:rPr>
  </w:style>
  <w:style w:type="character" w:customStyle="1" w:styleId="QuoteChar">
    <w:name w:val="Quote Char"/>
    <w:link w:val="Quote"/>
    <w:uiPriority w:val="29"/>
    <w:rsid w:val="00CA097C"/>
    <w:rPr>
      <w:i/>
      <w:iCs/>
      <w:color w:val="000000"/>
      <w:sz w:val="22"/>
      <w:lang w:eastAsia="en-US"/>
    </w:rPr>
  </w:style>
  <w:style w:type="paragraph" w:styleId="Salutation">
    <w:name w:val="Salutation"/>
    <w:basedOn w:val="Normal"/>
    <w:next w:val="Normal"/>
    <w:link w:val="SalutationChar"/>
    <w:uiPriority w:val="99"/>
    <w:semiHidden/>
    <w:unhideWhenUsed/>
    <w:rsid w:val="00CA097C"/>
  </w:style>
  <w:style w:type="character" w:customStyle="1" w:styleId="SalutationChar">
    <w:name w:val="Salutation Char"/>
    <w:link w:val="Salutation"/>
    <w:uiPriority w:val="99"/>
    <w:semiHidden/>
    <w:rsid w:val="00CA097C"/>
    <w:rPr>
      <w:sz w:val="22"/>
      <w:lang w:eastAsia="en-US"/>
    </w:rPr>
  </w:style>
  <w:style w:type="paragraph" w:styleId="Signature">
    <w:name w:val="Signature"/>
    <w:basedOn w:val="Normal"/>
    <w:link w:val="SignatureChar"/>
    <w:uiPriority w:val="99"/>
    <w:semiHidden/>
    <w:unhideWhenUsed/>
    <w:rsid w:val="00CA097C"/>
    <w:pPr>
      <w:ind w:left="4252"/>
    </w:pPr>
  </w:style>
  <w:style w:type="character" w:customStyle="1" w:styleId="SignatureChar">
    <w:name w:val="Signature Char"/>
    <w:link w:val="Signature"/>
    <w:uiPriority w:val="99"/>
    <w:semiHidden/>
    <w:rsid w:val="00CA097C"/>
    <w:rPr>
      <w:sz w:val="22"/>
      <w:lang w:eastAsia="en-US"/>
    </w:rPr>
  </w:style>
  <w:style w:type="paragraph" w:styleId="Subtitle">
    <w:name w:val="Subtitle"/>
    <w:basedOn w:val="Normal"/>
    <w:next w:val="Normal"/>
    <w:link w:val="SubtitleChar"/>
    <w:uiPriority w:val="11"/>
    <w:qFormat/>
    <w:rsid w:val="00CA097C"/>
    <w:pPr>
      <w:spacing w:after="60"/>
      <w:jc w:val="center"/>
      <w:outlineLvl w:val="1"/>
    </w:pPr>
    <w:rPr>
      <w:rFonts w:ascii="Cambria" w:hAnsi="Cambria"/>
      <w:sz w:val="24"/>
      <w:szCs w:val="24"/>
    </w:rPr>
  </w:style>
  <w:style w:type="character" w:customStyle="1" w:styleId="SubtitleChar">
    <w:name w:val="Subtitle Char"/>
    <w:link w:val="Subtitle"/>
    <w:uiPriority w:val="11"/>
    <w:rsid w:val="00CA097C"/>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CA097C"/>
    <w:pPr>
      <w:tabs>
        <w:tab w:val="clear" w:pos="567"/>
      </w:tabs>
      <w:ind w:left="220" w:hanging="220"/>
    </w:pPr>
  </w:style>
  <w:style w:type="paragraph" w:styleId="TableofFigures">
    <w:name w:val="table of figures"/>
    <w:basedOn w:val="Normal"/>
    <w:next w:val="Normal"/>
    <w:uiPriority w:val="99"/>
    <w:semiHidden/>
    <w:unhideWhenUsed/>
    <w:rsid w:val="00CA097C"/>
    <w:pPr>
      <w:tabs>
        <w:tab w:val="clear" w:pos="567"/>
      </w:tabs>
    </w:pPr>
  </w:style>
  <w:style w:type="paragraph" w:styleId="TOAHeading">
    <w:name w:val="toa heading"/>
    <w:basedOn w:val="Normal"/>
    <w:next w:val="Normal"/>
    <w:uiPriority w:val="99"/>
    <w:semiHidden/>
    <w:unhideWhenUsed/>
    <w:rsid w:val="00CA097C"/>
    <w:pPr>
      <w:spacing w:before="120"/>
    </w:pPr>
    <w:rPr>
      <w:rFonts w:ascii="Cambria" w:hAnsi="Cambria"/>
      <w:b/>
      <w:bCs/>
      <w:sz w:val="24"/>
      <w:szCs w:val="24"/>
    </w:rPr>
  </w:style>
  <w:style w:type="paragraph" w:styleId="TOC1">
    <w:name w:val="toc 1"/>
    <w:basedOn w:val="Normal"/>
    <w:next w:val="Normal"/>
    <w:autoRedefine/>
    <w:uiPriority w:val="39"/>
    <w:semiHidden/>
    <w:unhideWhenUsed/>
    <w:rsid w:val="00CA097C"/>
    <w:pPr>
      <w:tabs>
        <w:tab w:val="clear" w:pos="567"/>
      </w:tabs>
    </w:pPr>
  </w:style>
  <w:style w:type="paragraph" w:styleId="TOC2">
    <w:name w:val="toc 2"/>
    <w:basedOn w:val="Normal"/>
    <w:next w:val="Normal"/>
    <w:autoRedefine/>
    <w:uiPriority w:val="39"/>
    <w:semiHidden/>
    <w:unhideWhenUsed/>
    <w:rsid w:val="00CA097C"/>
    <w:pPr>
      <w:tabs>
        <w:tab w:val="clear" w:pos="567"/>
      </w:tabs>
      <w:ind w:left="220"/>
    </w:pPr>
  </w:style>
  <w:style w:type="paragraph" w:styleId="TOC3">
    <w:name w:val="toc 3"/>
    <w:basedOn w:val="Normal"/>
    <w:next w:val="Normal"/>
    <w:autoRedefine/>
    <w:uiPriority w:val="39"/>
    <w:semiHidden/>
    <w:unhideWhenUsed/>
    <w:rsid w:val="00CA097C"/>
    <w:pPr>
      <w:tabs>
        <w:tab w:val="clear" w:pos="567"/>
      </w:tabs>
      <w:ind w:left="440"/>
    </w:pPr>
  </w:style>
  <w:style w:type="paragraph" w:styleId="TOC4">
    <w:name w:val="toc 4"/>
    <w:basedOn w:val="Normal"/>
    <w:next w:val="Normal"/>
    <w:autoRedefine/>
    <w:uiPriority w:val="39"/>
    <w:semiHidden/>
    <w:unhideWhenUsed/>
    <w:rsid w:val="00CA097C"/>
    <w:pPr>
      <w:tabs>
        <w:tab w:val="clear" w:pos="567"/>
      </w:tabs>
      <w:ind w:left="660"/>
    </w:pPr>
  </w:style>
  <w:style w:type="paragraph" w:styleId="TOC5">
    <w:name w:val="toc 5"/>
    <w:basedOn w:val="Normal"/>
    <w:next w:val="Normal"/>
    <w:autoRedefine/>
    <w:uiPriority w:val="39"/>
    <w:semiHidden/>
    <w:unhideWhenUsed/>
    <w:rsid w:val="00CA097C"/>
    <w:pPr>
      <w:tabs>
        <w:tab w:val="clear" w:pos="567"/>
      </w:tabs>
      <w:ind w:left="880"/>
    </w:pPr>
  </w:style>
  <w:style w:type="paragraph" w:styleId="TOC6">
    <w:name w:val="toc 6"/>
    <w:basedOn w:val="Normal"/>
    <w:next w:val="Normal"/>
    <w:autoRedefine/>
    <w:uiPriority w:val="39"/>
    <w:semiHidden/>
    <w:unhideWhenUsed/>
    <w:rsid w:val="00CA097C"/>
    <w:pPr>
      <w:tabs>
        <w:tab w:val="clear" w:pos="567"/>
      </w:tabs>
      <w:ind w:left="1100"/>
    </w:pPr>
  </w:style>
  <w:style w:type="paragraph" w:styleId="TOC7">
    <w:name w:val="toc 7"/>
    <w:basedOn w:val="Normal"/>
    <w:next w:val="Normal"/>
    <w:autoRedefine/>
    <w:uiPriority w:val="39"/>
    <w:semiHidden/>
    <w:unhideWhenUsed/>
    <w:rsid w:val="00CA097C"/>
    <w:pPr>
      <w:tabs>
        <w:tab w:val="clear" w:pos="567"/>
      </w:tabs>
      <w:ind w:left="1320"/>
    </w:pPr>
  </w:style>
  <w:style w:type="paragraph" w:styleId="TOC8">
    <w:name w:val="toc 8"/>
    <w:basedOn w:val="Normal"/>
    <w:next w:val="Normal"/>
    <w:autoRedefine/>
    <w:uiPriority w:val="39"/>
    <w:semiHidden/>
    <w:unhideWhenUsed/>
    <w:rsid w:val="00CA097C"/>
    <w:pPr>
      <w:tabs>
        <w:tab w:val="clear" w:pos="567"/>
      </w:tabs>
      <w:ind w:left="1540"/>
    </w:pPr>
  </w:style>
  <w:style w:type="paragraph" w:styleId="TOC9">
    <w:name w:val="toc 9"/>
    <w:basedOn w:val="Normal"/>
    <w:next w:val="Normal"/>
    <w:autoRedefine/>
    <w:uiPriority w:val="39"/>
    <w:semiHidden/>
    <w:unhideWhenUsed/>
    <w:rsid w:val="00CA097C"/>
    <w:pPr>
      <w:tabs>
        <w:tab w:val="clear" w:pos="567"/>
      </w:tabs>
      <w:ind w:left="1760"/>
    </w:pPr>
  </w:style>
  <w:style w:type="paragraph" w:styleId="TOCHeading">
    <w:name w:val="TOC Heading"/>
    <w:basedOn w:val="Heading1"/>
    <w:next w:val="Normal"/>
    <w:uiPriority w:val="39"/>
    <w:semiHidden/>
    <w:unhideWhenUsed/>
    <w:qFormat/>
    <w:rsid w:val="00CA097C"/>
    <w:pPr>
      <w:keepNext/>
      <w:spacing w:after="60"/>
      <w:outlineLvl w:val="9"/>
    </w:pPr>
    <w:rPr>
      <w:rFonts w:ascii="Cambria" w:hAnsi="Cambria"/>
      <w:caps w:val="0"/>
      <w:kern w:val="32"/>
      <w:sz w:val="32"/>
      <w:szCs w:val="32"/>
    </w:rPr>
  </w:style>
  <w:style w:type="character" w:customStyle="1" w:styleId="HeaderChar">
    <w:name w:val="Header Char"/>
    <w:link w:val="Header"/>
    <w:rsid w:val="005E63F6"/>
    <w:rPr>
      <w:rFonts w:ascii="Helvetica" w:hAnsi="Helvetica"/>
      <w:lang w:eastAsia="en-US"/>
    </w:rPr>
  </w:style>
  <w:style w:type="paragraph" w:customStyle="1" w:styleId="StyleTitleAAllcaps">
    <w:name w:val="Style Title A + All caps"/>
    <w:basedOn w:val="TitleA"/>
    <w:rsid w:val="00E34774"/>
    <w:pPr>
      <w:spacing w:before="360" w:after="720"/>
    </w:pPr>
    <w:rPr>
      <w:bCs/>
      <w:caps/>
    </w:rPr>
  </w:style>
</w:styles>
</file>

<file path=word/webSettings.xml><?xml version="1.0" encoding="utf-8"?>
<w:webSettings xmlns:r="http://schemas.openxmlformats.org/officeDocument/2006/relationships" xmlns:w="http://schemas.openxmlformats.org/wordprocessingml/2006/main">
  <w:divs>
    <w:div w:id="91171284">
      <w:bodyDiv w:val="1"/>
      <w:marLeft w:val="0"/>
      <w:marRight w:val="0"/>
      <w:marTop w:val="0"/>
      <w:marBottom w:val="0"/>
      <w:divBdr>
        <w:top w:val="none" w:sz="0" w:space="0" w:color="auto"/>
        <w:left w:val="none" w:sz="0" w:space="0" w:color="auto"/>
        <w:bottom w:val="none" w:sz="0" w:space="0" w:color="auto"/>
        <w:right w:val="none" w:sz="0" w:space="0" w:color="auto"/>
      </w:divBdr>
    </w:div>
    <w:div w:id="10350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49F0-156A-4A71-A488-90BE7C00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6091</Words>
  <Characters>32042</Characters>
  <Application>Microsoft Office Word</Application>
  <DocSecurity>0</DocSecurity>
  <Lines>821</Lines>
  <Paragraphs>501</Paragraphs>
  <ScaleCrop>false</ScaleCrop>
  <HeadingPairs>
    <vt:vector size="2" baseType="variant">
      <vt:variant>
        <vt:lpstr>Title</vt:lpstr>
      </vt:variant>
      <vt:variant>
        <vt:i4>1</vt:i4>
      </vt:variant>
    </vt:vector>
  </HeadingPairs>
  <TitlesOfParts>
    <vt:vector size="1" baseType="lpstr">
      <vt:lpstr>Product Information for PerFent fentanyl (as citrate)</vt:lpstr>
    </vt:vector>
  </TitlesOfParts>
  <Company>ERA Consulting</Company>
  <LinksUpToDate>false</LinksUpToDate>
  <CharactersWithSpaces>37632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PerFent fentanyl (as citrate)</dc:title>
  <dc:subject>prescription medicine regulation</dc:subject>
  <dc:creator>ERA Consulting (Australia) Pty Ltd</dc:creator>
  <cp:keywords>product information, pi, pecfent, fentanyl as citrate</cp:keywords>
  <cp:lastModifiedBy>Sheppard, Fran</cp:lastModifiedBy>
  <cp:revision>32</cp:revision>
  <cp:lastPrinted>2012-03-19T13:31:00Z</cp:lastPrinted>
  <dcterms:created xsi:type="dcterms:W3CDTF">2013-04-10T07:46:00Z</dcterms:created>
  <dcterms:modified xsi:type="dcterms:W3CDTF">2013-09-03T04:16:00Z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Information-EMA/410532/2010</vt:lpwstr>
  </property>
  <property fmtid="{D5CDD505-2E9C-101B-9397-08002B2CF9AE}" pid="6" name="DM_Title">
    <vt:lpwstr/>
  </property>
  <property fmtid="{D5CDD505-2E9C-101B-9397-08002B2CF9AE}" pid="7" name="DM_Language">
    <vt:lpwstr/>
  </property>
  <property fmtid="{D5CDD505-2E9C-101B-9397-08002B2CF9AE}" pid="8" name="DM_Name">
    <vt:lpwstr>Pecfent SPC Final Adopted</vt:lpwstr>
  </property>
  <property fmtid="{D5CDD505-2E9C-101B-9397-08002B2CF9AE}" pid="9" name="DM_Owner">
    <vt:lpwstr>Gaudy Catherine</vt:lpwstr>
  </property>
  <property fmtid="{D5CDD505-2E9C-101B-9397-08002B2CF9AE}" pid="10" name="DM_Creation_Date">
    <vt:lpwstr>24/06/2010 12:28:35</vt:lpwstr>
  </property>
  <property fmtid="{D5CDD505-2E9C-101B-9397-08002B2CF9AE}" pid="11" name="DM_Creator_Name">
    <vt:lpwstr>Gaudy Catherine</vt:lpwstr>
  </property>
  <property fmtid="{D5CDD505-2E9C-101B-9397-08002B2CF9AE}" pid="12" name="DM_Modifer_Name">
    <vt:lpwstr>zzmmdwf</vt:lpwstr>
  </property>
  <property fmtid="{D5CDD505-2E9C-101B-9397-08002B2CF9AE}" pid="13" name="DM_Modified_Date">
    <vt:lpwstr>24/06/2010 12:28:37</vt:lpwstr>
  </property>
  <property fmtid="{D5CDD505-2E9C-101B-9397-08002B2CF9AE}" pid="14" name="DM_Type">
    <vt:lpwstr>emea_product_document</vt:lpwstr>
  </property>
  <property fmtid="{D5CDD505-2E9C-101B-9397-08002B2CF9AE}" pid="15" name="DM_Version">
    <vt:lpwstr>1.1, CURRENT</vt:lpwstr>
  </property>
  <property fmtid="{D5CDD505-2E9C-101B-9397-08002B2CF9AE}" pid="16" name="DM_emea_doc_ref_id">
    <vt:lpwstr>EMA/410532/2010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410532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ies>
</file>