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1CE" w:rsidRPr="0096433A" w:rsidRDefault="00B541CE" w:rsidP="0096433A">
      <w:pPr>
        <w:pStyle w:val="Title"/>
      </w:pPr>
      <w:r w:rsidRPr="0096433A">
        <w:t>PRODUCT INFORMATION</w:t>
      </w:r>
    </w:p>
    <w:p w:rsidR="00B541CE" w:rsidRPr="0096433A" w:rsidRDefault="000549C9" w:rsidP="0096433A">
      <w:pPr>
        <w:pStyle w:val="Subtitle"/>
      </w:pPr>
      <w:r w:rsidRPr="0096433A">
        <w:t>Instanyl</w:t>
      </w:r>
      <w:r w:rsidR="00B541CE" w:rsidRPr="0096433A">
        <w:rPr>
          <w:vertAlign w:val="superscript"/>
        </w:rPr>
        <w:t>®</w:t>
      </w:r>
      <w:r w:rsidR="00B541CE" w:rsidRPr="0096433A">
        <w:t xml:space="preserve"> </w:t>
      </w:r>
      <w:r w:rsidR="00717B17" w:rsidRPr="0096433A">
        <w:t>Nasal spray</w:t>
      </w:r>
    </w:p>
    <w:p w:rsidR="00B541CE" w:rsidRPr="009D7354" w:rsidRDefault="00B541CE" w:rsidP="009D7354">
      <w:pPr>
        <w:pStyle w:val="Heading1"/>
      </w:pPr>
      <w:r w:rsidRPr="009D7354">
        <w:t>NAME OF THE MEDICINE</w:t>
      </w:r>
    </w:p>
    <w:p w:rsidR="00B541CE" w:rsidRPr="009C5C4E" w:rsidRDefault="000C0463" w:rsidP="009C5C4E">
      <w:r w:rsidRPr="009C5C4E">
        <w:t xml:space="preserve">Fentanyl citrate </w:t>
      </w:r>
    </w:p>
    <w:p w:rsidR="00B541CE" w:rsidRPr="0054184E" w:rsidRDefault="00B541CE" w:rsidP="00B66E10">
      <w:pPr>
        <w:pStyle w:val="Heading2"/>
      </w:pPr>
      <w:r w:rsidRPr="0054184E">
        <w:t>Chemical Structure</w:t>
      </w:r>
    </w:p>
    <w:p w:rsidR="000C0463" w:rsidRPr="0054184E" w:rsidRDefault="00ED52F4" w:rsidP="0054184E">
      <w:pPr>
        <w:spacing w:after="120"/>
        <w:rPr>
          <w:rFonts w:cs="Arial"/>
          <w:szCs w:val="22"/>
          <w:highlight w:val="yellow"/>
        </w:rPr>
      </w:pPr>
      <w:r w:rsidRPr="0054184E">
        <w:rPr>
          <w:rFonts w:cs="Arial"/>
          <w:noProof/>
          <w:szCs w:val="22"/>
          <w:lang w:eastAsia="en-AU"/>
        </w:rPr>
        <w:drawing>
          <wp:inline distT="0" distB="0" distL="0" distR="0">
            <wp:extent cx="3990975" cy="1504950"/>
            <wp:effectExtent l="19050" t="0" r="9525" b="0"/>
            <wp:docPr id="1" name="Picture 3" descr="chemical structure of fentanyl cit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3990975" cy="1504950"/>
                    </a:xfrm>
                    <a:prstGeom prst="rect">
                      <a:avLst/>
                    </a:prstGeom>
                    <a:noFill/>
                    <a:ln w="9525">
                      <a:noFill/>
                      <a:miter lim="800000"/>
                      <a:headEnd/>
                      <a:tailEnd/>
                    </a:ln>
                  </pic:spPr>
                </pic:pic>
              </a:graphicData>
            </a:graphic>
          </wp:inline>
        </w:drawing>
      </w:r>
    </w:p>
    <w:p w:rsidR="00717B17" w:rsidRPr="009C5C4E" w:rsidRDefault="00717B17" w:rsidP="009C5C4E">
      <w:r w:rsidRPr="009C5C4E">
        <w:t>Molecular formula: C22H28N2O•C6H8O7</w:t>
      </w:r>
    </w:p>
    <w:p w:rsidR="004173CB" w:rsidRDefault="00717B17">
      <w:r w:rsidRPr="002B1B00">
        <w:t>Molecular mass: 528.6</w:t>
      </w:r>
    </w:p>
    <w:p w:rsidR="00B541CE" w:rsidRPr="0054184E" w:rsidRDefault="00B541CE" w:rsidP="00B66E10">
      <w:pPr>
        <w:pStyle w:val="Heading2"/>
      </w:pPr>
      <w:r w:rsidRPr="0054184E">
        <w:t>CAS Number</w:t>
      </w:r>
    </w:p>
    <w:p w:rsidR="002A0214" w:rsidRPr="009C5C4E" w:rsidRDefault="000C0463" w:rsidP="009C5C4E">
      <w:r w:rsidRPr="009C5C4E">
        <w:t>990-73-8</w:t>
      </w:r>
    </w:p>
    <w:p w:rsidR="00B541CE" w:rsidRPr="009D7354" w:rsidRDefault="00B541CE" w:rsidP="009D7354">
      <w:pPr>
        <w:pStyle w:val="Heading1"/>
      </w:pPr>
      <w:r w:rsidRPr="009D7354">
        <w:t>Description</w:t>
      </w:r>
    </w:p>
    <w:p w:rsidR="000C0463" w:rsidRPr="009C5C4E" w:rsidRDefault="00717B17" w:rsidP="009C5C4E">
      <w:r w:rsidRPr="009C5C4E">
        <w:t xml:space="preserve">Fentanyl citrate is a </w:t>
      </w:r>
      <w:r w:rsidR="000C0463" w:rsidRPr="009C5C4E">
        <w:t>white to off-white crystalline powder</w:t>
      </w:r>
      <w:r w:rsidRPr="009C5C4E">
        <w:t>, s</w:t>
      </w:r>
      <w:r w:rsidR="000C0463" w:rsidRPr="009C5C4E">
        <w:t>paringly soluble in water</w:t>
      </w:r>
      <w:r w:rsidRPr="009C5C4E">
        <w:t>, s</w:t>
      </w:r>
      <w:r w:rsidR="000C0463" w:rsidRPr="009C5C4E">
        <w:t>oluble in methanol</w:t>
      </w:r>
      <w:r w:rsidRPr="009C5C4E">
        <w:t xml:space="preserve">, with </w:t>
      </w:r>
      <w:r w:rsidR="000C0463" w:rsidRPr="009C5C4E">
        <w:t>pKa: 8.3</w:t>
      </w:r>
      <w:r w:rsidRPr="009C5C4E">
        <w:t>.</w:t>
      </w:r>
    </w:p>
    <w:p w:rsidR="000C0463" w:rsidRPr="009C5C4E" w:rsidRDefault="00717B17" w:rsidP="009C5C4E">
      <w:r w:rsidRPr="009C5C4E">
        <w:t xml:space="preserve">Instanyl is </w:t>
      </w:r>
      <w:r w:rsidR="00837E38" w:rsidRPr="009C5C4E">
        <w:t>a</w:t>
      </w:r>
      <w:r w:rsidRPr="009C5C4E">
        <w:t xml:space="preserve"> </w:t>
      </w:r>
      <w:r w:rsidR="00837E38" w:rsidRPr="009C5C4E">
        <w:t>nasal spray solution containing fentanyl citrate.  It is presented in (a) single dose vials integrated within a plastic nasal spray unit and containing 50, 100 or 200 micrograms of fentanyl</w:t>
      </w:r>
      <w:r w:rsidR="00D37DE0" w:rsidRPr="009C5C4E">
        <w:t xml:space="preserve"> (as fentanyl citrate)</w:t>
      </w:r>
      <w:r w:rsidR="00837E38" w:rsidRPr="009C5C4E">
        <w:t xml:space="preserve">, or (b) multi-dose glass bottles with metering pump and dust cap containing </w:t>
      </w:r>
      <w:r w:rsidR="00847075" w:rsidRPr="009C5C4E">
        <w:t xml:space="preserve">50, 100 or 200 micrograms of fentanyl </w:t>
      </w:r>
      <w:r w:rsidR="00D37DE0" w:rsidRPr="009C5C4E">
        <w:t xml:space="preserve">(as fentanyl citrate) </w:t>
      </w:r>
      <w:r w:rsidR="00847075" w:rsidRPr="009C5C4E">
        <w:t>per dose</w:t>
      </w:r>
      <w:r w:rsidR="00837E38" w:rsidRPr="009C5C4E">
        <w:t>.</w:t>
      </w:r>
      <w:r w:rsidR="00847075" w:rsidRPr="009C5C4E">
        <w:t xml:space="preserve">  The solution also contains s</w:t>
      </w:r>
      <w:r w:rsidR="001E0898" w:rsidRPr="009C5C4E">
        <w:t xml:space="preserve">odium phosphate - monobasic </w:t>
      </w:r>
      <w:r w:rsidR="00847075" w:rsidRPr="009C5C4E">
        <w:t>d</w:t>
      </w:r>
      <w:r w:rsidR="008D709D" w:rsidRPr="009C5C4E">
        <w:t>i</w:t>
      </w:r>
      <w:r w:rsidR="00847075" w:rsidRPr="009C5C4E">
        <w:t>hydrate, s</w:t>
      </w:r>
      <w:r w:rsidR="00726969" w:rsidRPr="009C5C4E">
        <w:t xml:space="preserve">odium phosphate - dibasic </w:t>
      </w:r>
      <w:r w:rsidR="00847075" w:rsidRPr="009C5C4E">
        <w:t>d</w:t>
      </w:r>
      <w:r w:rsidR="008D709D" w:rsidRPr="009C5C4E">
        <w:t>i</w:t>
      </w:r>
      <w:r w:rsidR="00847075" w:rsidRPr="009C5C4E">
        <w:t>hydrate and w</w:t>
      </w:r>
      <w:r w:rsidR="000C0463" w:rsidRPr="009C5C4E">
        <w:t>ater</w:t>
      </w:r>
      <w:r w:rsidR="00726969" w:rsidRPr="009C5C4E">
        <w:t xml:space="preserve"> </w:t>
      </w:r>
      <w:r w:rsidR="00847075" w:rsidRPr="009C5C4E">
        <w:t>–</w:t>
      </w:r>
      <w:r w:rsidR="00726969" w:rsidRPr="009C5C4E">
        <w:t xml:space="preserve"> purified</w:t>
      </w:r>
      <w:r w:rsidR="00847075" w:rsidRPr="009C5C4E">
        <w:t>.</w:t>
      </w:r>
    </w:p>
    <w:p w:rsidR="00B541CE" w:rsidRPr="009D7354" w:rsidRDefault="00B541CE" w:rsidP="009D7354">
      <w:pPr>
        <w:pStyle w:val="Heading1"/>
      </w:pPr>
      <w:r w:rsidRPr="009D7354">
        <w:t>Pharmacology</w:t>
      </w:r>
    </w:p>
    <w:p w:rsidR="00847075" w:rsidRPr="0054184E" w:rsidRDefault="00847075" w:rsidP="00B66E10">
      <w:pPr>
        <w:pStyle w:val="Heading2"/>
      </w:pPr>
      <w:r w:rsidRPr="0054184E">
        <w:t>Pharmacodynamics</w:t>
      </w:r>
    </w:p>
    <w:p w:rsidR="00E630DA" w:rsidRPr="009C5C4E" w:rsidRDefault="00847075" w:rsidP="009C5C4E">
      <w:r w:rsidRPr="009C5C4E">
        <w:t xml:space="preserve">Fentanyl is an opioid analgesic interacting primarily with the opioid μ-receptor as a pure agonist with low affinity for the </w:t>
      </w:r>
      <w:r w:rsidRPr="009C5C4E">
        <w:sym w:font="Symbol" w:char="F064"/>
      </w:r>
      <w:r w:rsidRPr="009C5C4E">
        <w:t>- and κ-opioid receptors. The primary therapeutic action is analgesia. The secondary pharmacological effects are respiratory depression, bradycardia, hypothermia, constipation, miosis, physical dependence and euphoria.</w:t>
      </w:r>
    </w:p>
    <w:p w:rsidR="00847075" w:rsidRPr="0054184E" w:rsidDel="00712E39" w:rsidRDefault="00847075" w:rsidP="0054184E">
      <w:pPr>
        <w:numPr>
          <w:ilvl w:val="12"/>
          <w:numId w:val="0"/>
        </w:numPr>
        <w:spacing w:after="120"/>
        <w:ind w:right="-2"/>
        <w:rPr>
          <w:rFonts w:eastAsia="SimSun" w:cs="Arial"/>
          <w:noProof/>
          <w:szCs w:val="22"/>
        </w:rPr>
      </w:pPr>
      <w:r w:rsidRPr="0054184E">
        <w:rPr>
          <w:rFonts w:eastAsia="SimSun" w:cs="Arial"/>
          <w:noProof/>
          <w:szCs w:val="22"/>
        </w:rPr>
        <w:t xml:space="preserve">The efficacy and safety of Instanyl (50, 100 and 200 micrograms) have been assessed in two randomised, double-blind, cross-over, placebo-controlled pivotal </w:t>
      </w:r>
      <w:r w:rsidR="001C582A">
        <w:rPr>
          <w:rFonts w:eastAsia="SimSun" w:cs="Arial"/>
          <w:noProof/>
          <w:szCs w:val="22"/>
        </w:rPr>
        <w:t>P</w:t>
      </w:r>
      <w:r w:rsidR="003C0D4F">
        <w:rPr>
          <w:rFonts w:eastAsia="SimSun" w:cs="Arial"/>
          <w:noProof/>
          <w:szCs w:val="22"/>
        </w:rPr>
        <w:t xml:space="preserve">hase III </w:t>
      </w:r>
      <w:r w:rsidRPr="0054184E">
        <w:rPr>
          <w:rFonts w:eastAsia="SimSun" w:cs="Arial"/>
          <w:noProof/>
          <w:szCs w:val="22"/>
        </w:rPr>
        <w:t>studies in 279 opioid-tolerant adult cancer patients (age 32</w:t>
      </w:r>
      <w:r w:rsidRPr="0054184E">
        <w:rPr>
          <w:rFonts w:eastAsia="SimSun" w:cs="Arial"/>
          <w:noProof/>
          <w:szCs w:val="22"/>
        </w:rPr>
        <w:noBreakHyphen/>
        <w:t>86 years) with breakthrough pain (BTP). The patients had an average of 1 to 4 episodes per day while taking maintenance opioid therapy. Patients in the second pivotal study had earlier participated in the Instanyl pharmacokinetic study or in the first pivotal study.</w:t>
      </w:r>
    </w:p>
    <w:p w:rsidR="00847075" w:rsidRPr="0054184E" w:rsidDel="00712E39" w:rsidRDefault="00847075" w:rsidP="0054184E">
      <w:pPr>
        <w:numPr>
          <w:ilvl w:val="12"/>
          <w:numId w:val="0"/>
        </w:numPr>
        <w:spacing w:after="120"/>
        <w:ind w:right="-2"/>
        <w:rPr>
          <w:rFonts w:eastAsia="SimSun" w:cs="Arial"/>
          <w:noProof/>
          <w:szCs w:val="22"/>
        </w:rPr>
      </w:pPr>
      <w:r w:rsidRPr="0054184E">
        <w:rPr>
          <w:rFonts w:eastAsia="SimSun" w:cs="Arial"/>
          <w:noProof/>
          <w:szCs w:val="22"/>
        </w:rPr>
        <w:t>The clinical studies demonstrated the efficacy and safety of Instanyl. No distinct correlation between the maintenance opioid dose and Instanyl doses have been established, however in the second pivotal study patients with low maintenance opioid dose tended to achieve effective pain relief with a correspondingly lower strength of Instanyl compared to patients taking higher levels of maintenance opioid dose. This was most distinct for patients ending on Instanyl 50 micrograms.</w:t>
      </w:r>
    </w:p>
    <w:p w:rsidR="00847075" w:rsidRPr="0054184E" w:rsidDel="00712E39" w:rsidRDefault="00847075" w:rsidP="0054184E">
      <w:pPr>
        <w:numPr>
          <w:ilvl w:val="12"/>
          <w:numId w:val="0"/>
        </w:numPr>
        <w:spacing w:after="120"/>
        <w:ind w:right="-2"/>
        <w:rPr>
          <w:rFonts w:eastAsia="SimSun" w:cs="Arial"/>
          <w:noProof/>
          <w:szCs w:val="22"/>
        </w:rPr>
      </w:pPr>
      <w:r w:rsidRPr="0054184E">
        <w:rPr>
          <w:rFonts w:eastAsia="SimSun" w:cs="Arial"/>
          <w:noProof/>
          <w:szCs w:val="22"/>
        </w:rPr>
        <w:lastRenderedPageBreak/>
        <w:t>In the clinical studies in cancer patients, the most frequent strength used were 100 and 200 micrograms.</w:t>
      </w:r>
    </w:p>
    <w:p w:rsidR="00847075" w:rsidRPr="0054184E" w:rsidDel="00712E39" w:rsidRDefault="00847075" w:rsidP="0054184E">
      <w:pPr>
        <w:numPr>
          <w:ilvl w:val="12"/>
          <w:numId w:val="0"/>
        </w:numPr>
        <w:spacing w:after="120"/>
        <w:ind w:right="-2"/>
        <w:rPr>
          <w:rFonts w:eastAsia="SimSun" w:cs="Arial"/>
          <w:noProof/>
          <w:szCs w:val="22"/>
        </w:rPr>
      </w:pPr>
      <w:r w:rsidRPr="0054184E">
        <w:rPr>
          <w:rFonts w:eastAsia="SimSun" w:cs="Arial"/>
          <w:noProof/>
          <w:szCs w:val="22"/>
        </w:rPr>
        <w:t>All three strengths of Instanyl showed statistically significant (p</w:t>
      </w:r>
      <w:r w:rsidRPr="0054184E">
        <w:rPr>
          <w:rFonts w:eastAsia="SimSun" w:cs="Arial"/>
          <w:noProof/>
          <w:szCs w:val="22"/>
        </w:rPr>
        <w:sym w:font="Symbol" w:char="F03C"/>
      </w:r>
      <w:r w:rsidRPr="0054184E">
        <w:rPr>
          <w:rFonts w:eastAsia="SimSun" w:cs="Arial"/>
          <w:noProof/>
          <w:szCs w:val="22"/>
        </w:rPr>
        <w:t>0.001) higher pain intensity difference at 10 minutes (PID</w:t>
      </w:r>
      <w:r w:rsidRPr="0054184E">
        <w:rPr>
          <w:rFonts w:eastAsia="SimSun" w:cs="Arial"/>
          <w:noProof/>
          <w:szCs w:val="22"/>
          <w:vertAlign w:val="subscript"/>
        </w:rPr>
        <w:t>10</w:t>
      </w:r>
      <w:r w:rsidRPr="0054184E">
        <w:rPr>
          <w:rFonts w:eastAsia="SimSun" w:cs="Arial"/>
          <w:noProof/>
          <w:szCs w:val="22"/>
        </w:rPr>
        <w:t>) compared with placebo. Furthermore Instanyl was significantly superior to placebo in BTP relief at 10, 20, 40, and 60 minutes following administration. The results of summary of PID at 60 minutes (SPID</w:t>
      </w:r>
      <w:r w:rsidRPr="0054184E">
        <w:rPr>
          <w:rFonts w:eastAsia="SimSun" w:cs="Arial"/>
          <w:noProof/>
          <w:szCs w:val="22"/>
          <w:vertAlign w:val="subscript"/>
        </w:rPr>
        <w:t>0-60</w:t>
      </w:r>
      <w:r w:rsidRPr="0054184E">
        <w:rPr>
          <w:rFonts w:eastAsia="SimSun" w:cs="Arial"/>
          <w:noProof/>
          <w:szCs w:val="22"/>
        </w:rPr>
        <w:t>)</w:t>
      </w:r>
      <w:r w:rsidRPr="0054184E">
        <w:rPr>
          <w:rFonts w:eastAsia="SimSun" w:cs="Arial"/>
          <w:noProof/>
          <w:szCs w:val="22"/>
          <w:vertAlign w:val="subscript"/>
        </w:rPr>
        <w:t xml:space="preserve"> </w:t>
      </w:r>
      <w:r w:rsidRPr="0054184E">
        <w:rPr>
          <w:rFonts w:eastAsia="SimSun" w:cs="Arial"/>
          <w:noProof/>
          <w:szCs w:val="22"/>
        </w:rPr>
        <w:t>showed that all strengths of Instanyl had significantly higher mean SPID</w:t>
      </w:r>
      <w:r w:rsidRPr="0054184E">
        <w:rPr>
          <w:rFonts w:eastAsia="SimSun" w:cs="Arial"/>
          <w:noProof/>
          <w:szCs w:val="22"/>
          <w:vertAlign w:val="subscript"/>
        </w:rPr>
        <w:t>0-60</w:t>
      </w:r>
      <w:r w:rsidRPr="0054184E">
        <w:rPr>
          <w:rFonts w:eastAsia="SimSun" w:cs="Arial"/>
          <w:noProof/>
          <w:szCs w:val="22"/>
        </w:rPr>
        <w:t xml:space="preserve"> scores compared with placebo (p</w:t>
      </w:r>
      <w:r w:rsidRPr="0054184E">
        <w:rPr>
          <w:rFonts w:eastAsia="SimSun" w:cs="Arial"/>
          <w:noProof/>
          <w:szCs w:val="22"/>
        </w:rPr>
        <w:sym w:font="Symbol" w:char="F03C"/>
      </w:r>
      <w:r w:rsidRPr="0054184E">
        <w:rPr>
          <w:rFonts w:eastAsia="SimSun" w:cs="Arial"/>
          <w:noProof/>
          <w:szCs w:val="22"/>
        </w:rPr>
        <w:t>0.001) demonstrating better pain relief of Instanyl compared to placebo during 60 minutes.</w:t>
      </w:r>
    </w:p>
    <w:p w:rsidR="00847075" w:rsidRPr="0054184E" w:rsidDel="00712E39" w:rsidRDefault="00847075" w:rsidP="0054184E">
      <w:pPr>
        <w:spacing w:after="120"/>
        <w:outlineLvl w:val="0"/>
        <w:rPr>
          <w:rFonts w:eastAsia="SimSun" w:cs="Arial"/>
          <w:noProof/>
          <w:szCs w:val="22"/>
        </w:rPr>
      </w:pPr>
      <w:r w:rsidRPr="0054184E">
        <w:rPr>
          <w:rFonts w:eastAsia="SimSun" w:cs="Arial"/>
          <w:noProof/>
          <w:szCs w:val="22"/>
        </w:rPr>
        <w:t xml:space="preserve">The safety and efficacy of Instanyl have been evaluated in patients taking the medicinal product at the onset of a </w:t>
      </w:r>
      <w:r w:rsidR="003C0D4F">
        <w:rPr>
          <w:rFonts w:eastAsia="SimSun" w:cs="Arial"/>
          <w:noProof/>
          <w:szCs w:val="22"/>
        </w:rPr>
        <w:t xml:space="preserve">BTP </w:t>
      </w:r>
      <w:r w:rsidRPr="0054184E">
        <w:rPr>
          <w:rFonts w:eastAsia="SimSun" w:cs="Arial"/>
          <w:noProof/>
          <w:szCs w:val="22"/>
        </w:rPr>
        <w:t>episode. Instanyl should not be used pre-emptively.</w:t>
      </w:r>
    </w:p>
    <w:p w:rsidR="00847075" w:rsidRPr="0054184E" w:rsidRDefault="00847075" w:rsidP="0054184E">
      <w:pPr>
        <w:numPr>
          <w:ilvl w:val="12"/>
          <w:numId w:val="0"/>
        </w:numPr>
        <w:spacing w:after="120"/>
        <w:ind w:right="-2"/>
        <w:rPr>
          <w:rFonts w:eastAsia="SimSun" w:cs="Arial"/>
          <w:noProof/>
          <w:szCs w:val="22"/>
        </w:rPr>
      </w:pPr>
      <w:r w:rsidRPr="0054184E">
        <w:rPr>
          <w:rFonts w:eastAsia="SimSun" w:cs="Arial"/>
          <w:noProof/>
          <w:szCs w:val="22"/>
        </w:rPr>
        <w:t xml:space="preserve">The clinical experience with Instanyl in patients with background opioid treatment equivalent to </w:t>
      </w:r>
      <w:r w:rsidRPr="0054184E">
        <w:rPr>
          <w:rFonts w:eastAsia="SimSun" w:cs="Arial"/>
          <w:noProof/>
          <w:szCs w:val="22"/>
        </w:rPr>
        <w:sym w:font="Symbol" w:char="F0B3"/>
      </w:r>
      <w:r w:rsidRPr="0054184E">
        <w:rPr>
          <w:rFonts w:eastAsia="SimSun" w:cs="Arial"/>
          <w:noProof/>
          <w:szCs w:val="22"/>
        </w:rPr>
        <w:t xml:space="preserve"> 500 mg/day morphine or </w:t>
      </w:r>
      <w:r w:rsidRPr="0054184E">
        <w:rPr>
          <w:rFonts w:eastAsia="SimSun" w:cs="Arial"/>
          <w:noProof/>
          <w:szCs w:val="22"/>
        </w:rPr>
        <w:sym w:font="Symbol" w:char="F0B3"/>
      </w:r>
      <w:r w:rsidRPr="0054184E">
        <w:rPr>
          <w:rFonts w:eastAsia="SimSun" w:cs="Arial"/>
          <w:noProof/>
          <w:szCs w:val="22"/>
        </w:rPr>
        <w:t> 200 micrograms/hour transdermal fentanyl is limited.</w:t>
      </w:r>
    </w:p>
    <w:p w:rsidR="00B541CE" w:rsidRDefault="00B541CE" w:rsidP="00B66E10">
      <w:pPr>
        <w:pStyle w:val="Heading2"/>
      </w:pPr>
      <w:r w:rsidRPr="0054184E">
        <w:t>Pharmacokinetics</w:t>
      </w:r>
    </w:p>
    <w:p w:rsidR="00764E71" w:rsidRDefault="001130AA" w:rsidP="00764E71">
      <w:r>
        <w:t>Instanyl has been specifically formulated as a preservative-free, isotonic nasal spray solution, providing rapid absorption of fentanyl through the nasal mucosa.</w:t>
      </w:r>
      <w:r w:rsidR="003764BF">
        <w:t xml:space="preserve"> </w:t>
      </w:r>
      <w:r w:rsidR="0034698E" w:rsidRPr="005D025F">
        <w:t xml:space="preserve">Substantial differences exist in the pharmacokinetic profile of </w:t>
      </w:r>
      <w:r w:rsidR="00E10B37">
        <w:t>INSTANYL</w:t>
      </w:r>
      <w:r w:rsidR="0034698E" w:rsidRPr="005D025F">
        <w:t xml:space="preserve"> compared to other fentanyl products that result in clinically important differences in the extent of absorption of fentanyl. </w:t>
      </w:r>
      <w:r w:rsidR="00C27491" w:rsidRPr="00C27491">
        <w:t xml:space="preserve">If switching to </w:t>
      </w:r>
      <w:r w:rsidR="00E10B37">
        <w:t>INSTANYL</w:t>
      </w:r>
      <w:r w:rsidR="00C27491" w:rsidRPr="00C27491">
        <w:t xml:space="preserve"> from another fentanyl product for breakthrough pain, independent dose titration with </w:t>
      </w:r>
      <w:r w:rsidR="00E10B37">
        <w:t>INSTANYL</w:t>
      </w:r>
      <w:r w:rsidR="00C27491" w:rsidRPr="00C27491">
        <w:t xml:space="preserve"> is required as the bioavailability between</w:t>
      </w:r>
      <w:r w:rsidR="00C27491">
        <w:t xml:space="preserve"> products differs significantly</w:t>
      </w:r>
      <w:r w:rsidR="00C27491" w:rsidRPr="00C27491">
        <w:t xml:space="preserve"> (see DOSAGE AND ADMINISTRATION)</w:t>
      </w:r>
      <w:r w:rsidR="00C27491">
        <w:t>.</w:t>
      </w:r>
    </w:p>
    <w:p w:rsidR="00764E71" w:rsidRDefault="00B541CE" w:rsidP="00764E71">
      <w:r w:rsidRPr="007A4EDE">
        <w:rPr>
          <w:u w:val="single"/>
        </w:rPr>
        <w:t>Absorption</w:t>
      </w:r>
    </w:p>
    <w:p w:rsidR="003764BF" w:rsidRDefault="00847075" w:rsidP="0054184E">
      <w:pPr>
        <w:spacing w:after="120"/>
      </w:pPr>
      <w:r w:rsidRPr="009C5C4E">
        <w:t>Fentanyl is highly lipophilic</w:t>
      </w:r>
      <w:r w:rsidR="009E61D3" w:rsidRPr="009C5C4E">
        <w:t xml:space="preserve">.  </w:t>
      </w:r>
      <w:r w:rsidRPr="009C5C4E">
        <w:t xml:space="preserve">Fentanyl exhibits three compartment distribution kinetics. The absolute bioavailability of </w:t>
      </w:r>
      <w:r w:rsidR="00E10B37" w:rsidRPr="009C5C4E">
        <w:t>INSTANYL</w:t>
      </w:r>
      <w:r w:rsidRPr="009C5C4E">
        <w:t xml:space="preserve"> is </w:t>
      </w:r>
      <w:r w:rsidR="00F6384F" w:rsidRPr="009C5C4E">
        <w:t>close to 100</w:t>
      </w:r>
      <w:r w:rsidRPr="009C5C4E">
        <w:sym w:font="Symbol" w:char="F025"/>
      </w:r>
      <w:r w:rsidR="00E57688">
        <w:t xml:space="preserve"> (</w:t>
      </w:r>
      <w:r w:rsidR="007A72F2">
        <w:t xml:space="preserve">when </w:t>
      </w:r>
      <w:r w:rsidR="00E57688" w:rsidRPr="00E57688">
        <w:t>described as a one-compartment model)</w:t>
      </w:r>
      <w:r w:rsidRPr="009C5C4E">
        <w:t xml:space="preserve">. Clinical data show that fentanyl is absorbed very rapidly through the nasal mucosa. Administration of </w:t>
      </w:r>
      <w:r w:rsidR="00E10B37" w:rsidRPr="009C5C4E">
        <w:t>INSTANYL</w:t>
      </w:r>
      <w:r w:rsidRPr="009C5C4E">
        <w:t xml:space="preserve"> in single doses ranging from 50 to 200 micrograms fentanyl per dose in opioid tolerant cancer patients produces a rapid Cmax  level of 0.35 to 1.2 ng/ml. The corresponding median Tmax are 12</w:t>
      </w:r>
      <w:r w:rsidRPr="009C5C4E">
        <w:noBreakHyphen/>
        <w:t>15 minutes. However, higher values for Tmax were observed in a dose-proportionality study in healthy volunteers.</w:t>
      </w:r>
    </w:p>
    <w:p w:rsidR="003C0B9A" w:rsidRPr="002025B2" w:rsidRDefault="00082C05" w:rsidP="0054184E">
      <w:pPr>
        <w:spacing w:after="120"/>
        <w:rPr>
          <w:rFonts w:eastAsia="SimSun" w:cs="Arial"/>
          <w:i/>
          <w:noProof/>
          <w:szCs w:val="22"/>
        </w:rPr>
      </w:pPr>
      <w:r w:rsidRPr="00082C05">
        <w:rPr>
          <w:rFonts w:eastAsia="SimSun" w:cs="Arial"/>
          <w:i/>
          <w:noProof/>
          <w:szCs w:val="22"/>
        </w:rPr>
        <w:t>Dose linearity</w:t>
      </w:r>
    </w:p>
    <w:p w:rsidR="00847075" w:rsidRPr="009C5C4E" w:rsidRDefault="00E10B37" w:rsidP="009C5C4E">
      <w:r w:rsidRPr="009C5C4E">
        <w:t>INSTANYL</w:t>
      </w:r>
      <w:r w:rsidR="00082C05" w:rsidRPr="009C5C4E">
        <w:t xml:space="preserve"> shows linear kinetics.  Dose linearity from 50 micrograms to 400 micrograms of </w:t>
      </w:r>
      <w:r w:rsidRPr="009C5C4E">
        <w:t>INSTANYL</w:t>
      </w:r>
      <w:r w:rsidR="00082C05" w:rsidRPr="009C5C4E">
        <w:t xml:space="preserve"> has been demonstrated in healthy subjects</w:t>
      </w:r>
      <w:r w:rsidR="00847075" w:rsidRPr="009C5C4E">
        <w:t>.</w:t>
      </w:r>
    </w:p>
    <w:p w:rsidR="004B1100" w:rsidRPr="004B1100" w:rsidRDefault="009063A1" w:rsidP="0054184E">
      <w:pPr>
        <w:spacing w:after="120"/>
        <w:rPr>
          <w:rFonts w:eastAsia="SimSun" w:cs="Arial"/>
          <w:i/>
          <w:szCs w:val="22"/>
          <w:lang w:val="en-GB"/>
        </w:rPr>
      </w:pPr>
      <w:r>
        <w:rPr>
          <w:rFonts w:eastAsia="SimSun" w:cs="Arial"/>
          <w:i/>
          <w:szCs w:val="22"/>
          <w:lang w:val="en-GB"/>
        </w:rPr>
        <w:t>Bioequivalence</w:t>
      </w:r>
    </w:p>
    <w:p w:rsidR="00847075" w:rsidRPr="009C5C4E" w:rsidRDefault="00847075" w:rsidP="009C5C4E">
      <w:r w:rsidRPr="009C5C4E">
        <w:t xml:space="preserve">A pharmacokinetic study has shown that </w:t>
      </w:r>
      <w:r w:rsidR="00E10B37" w:rsidRPr="009C5C4E">
        <w:t>INSTANYL</w:t>
      </w:r>
      <w:r w:rsidRPr="009C5C4E">
        <w:t xml:space="preserve"> single-dose and multi-dose nasal spray are bioequivalent.</w:t>
      </w:r>
    </w:p>
    <w:p w:rsidR="00764E71" w:rsidRDefault="00B541CE" w:rsidP="00764E71">
      <w:r w:rsidRPr="007A4EDE">
        <w:rPr>
          <w:u w:val="single"/>
        </w:rPr>
        <w:t>Distribution</w:t>
      </w:r>
    </w:p>
    <w:p w:rsidR="00847075" w:rsidRPr="009C5C4E" w:rsidRDefault="00004F0C" w:rsidP="009C5C4E">
      <w:r w:rsidRPr="009C5C4E">
        <w:t>Animal data shows that following absorption, fentanyl is rapidly distributed to the brain, heart, lungs, kidneys and spleen followed by a slower redistribution to muscles and fat.  The plasma protein binding of fentanyl is approximately 80</w:t>
      </w:r>
      <w:r w:rsidRPr="009C5C4E">
        <w:sym w:font="Symbol" w:char="F025"/>
      </w:r>
      <w:r w:rsidRPr="009C5C4E">
        <w:t xml:space="preserve">.  </w:t>
      </w:r>
      <w:r w:rsidR="00847075" w:rsidRPr="009C5C4E">
        <w:t xml:space="preserve">After intravenous administration of fentanyl the initial distribution half-life is approximately 6 minutes and a similar half-life is seen after the nasal administration of </w:t>
      </w:r>
      <w:r w:rsidR="00E10B37" w:rsidRPr="009C5C4E">
        <w:t>INSTANYL</w:t>
      </w:r>
      <w:r w:rsidR="00847075" w:rsidRPr="009C5C4E">
        <w:t>. The elimination half-life is approximately 3</w:t>
      </w:r>
      <w:r w:rsidR="00847075" w:rsidRPr="009C5C4E">
        <w:noBreakHyphen/>
        <w:t xml:space="preserve">4 hours for </w:t>
      </w:r>
      <w:r w:rsidR="00E10B37" w:rsidRPr="009C5C4E">
        <w:t>INSTANYL</w:t>
      </w:r>
      <w:r w:rsidR="00847075" w:rsidRPr="009C5C4E">
        <w:t xml:space="preserve"> in cancer patients.</w:t>
      </w:r>
      <w:r w:rsidR="00487892" w:rsidRPr="009C5C4E">
        <w:t xml:space="preserve"> </w:t>
      </w:r>
      <w:r w:rsidR="00764E71" w:rsidRPr="00764E71">
        <w:t>The mean volume of distribution at steady-state (Vss) is 4 L/kg.</w:t>
      </w:r>
    </w:p>
    <w:p w:rsidR="00764E71" w:rsidRDefault="00B541CE" w:rsidP="00764E71">
      <w:r w:rsidRPr="007A4EDE">
        <w:rPr>
          <w:u w:val="single"/>
        </w:rPr>
        <w:t>Metabolism</w:t>
      </w:r>
    </w:p>
    <w:p w:rsidR="00E13E95" w:rsidRDefault="00764E71" w:rsidP="00764E71">
      <w:r w:rsidRPr="00764E71">
        <w:t>Fentanyl is metabolised primarily in the liver via CYP3A4. The major metabolite, norfentanyl is inactive. Fentanyl is metabolised in the liver to norfentanyl by cytochrome CYP3A4 isoform. Norfentanyl is not pharmacologically active in animal studies. It is more than 90% eliminated by biotransformation to N-</w:t>
      </w:r>
      <w:proofErr w:type="spellStart"/>
      <w:r w:rsidRPr="00764E71">
        <w:t>dealkylated</w:t>
      </w:r>
      <w:proofErr w:type="spellEnd"/>
      <w:r w:rsidRPr="00764E71">
        <w:t xml:space="preserve"> and </w:t>
      </w:r>
      <w:proofErr w:type="spellStart"/>
      <w:r w:rsidRPr="00764E71">
        <w:t>hydroxylated</w:t>
      </w:r>
      <w:proofErr w:type="spellEnd"/>
      <w:r w:rsidRPr="00764E71">
        <w:t xml:space="preserve"> inactive metabolites.</w:t>
      </w:r>
    </w:p>
    <w:p w:rsidR="00E13E95" w:rsidRDefault="00E13E95">
      <w:pPr>
        <w:spacing w:after="0"/>
        <w:jc w:val="left"/>
      </w:pPr>
      <w:r>
        <w:br w:type="page"/>
      </w:r>
    </w:p>
    <w:p w:rsidR="00764E71" w:rsidRDefault="00B541CE" w:rsidP="00764E71">
      <w:r w:rsidRPr="007A4EDE">
        <w:rPr>
          <w:u w:val="single"/>
        </w:rPr>
        <w:lastRenderedPageBreak/>
        <w:t>Excretion</w:t>
      </w:r>
    </w:p>
    <w:p w:rsidR="00847075" w:rsidRPr="009C5C4E" w:rsidRDefault="00847075" w:rsidP="009C5C4E">
      <w:r w:rsidRPr="009C5C4E">
        <w:t>About 75</w:t>
      </w:r>
      <w:r w:rsidRPr="009C5C4E">
        <w:sym w:font="Symbol" w:char="F025"/>
      </w:r>
      <w:r w:rsidRPr="009C5C4E">
        <w:t xml:space="preserve"> of fentanyl is excreted into the urine, mostly as inactive metabolites, with less than 10</w:t>
      </w:r>
      <w:r w:rsidRPr="009C5C4E">
        <w:sym w:font="Symbol" w:char="F025"/>
      </w:r>
      <w:r w:rsidRPr="009C5C4E">
        <w:t xml:space="preserve"> as unchanged active substance. About 9</w:t>
      </w:r>
      <w:r w:rsidRPr="009C5C4E">
        <w:sym w:font="Symbol" w:char="F025"/>
      </w:r>
      <w:r w:rsidRPr="009C5C4E">
        <w:t xml:space="preserve"> of the dose is recovered in the faeces primarily as metabolites.</w:t>
      </w:r>
    </w:p>
    <w:p w:rsidR="00B541CE" w:rsidRPr="009D7354" w:rsidRDefault="00B541CE" w:rsidP="009D7354">
      <w:pPr>
        <w:pStyle w:val="Heading1"/>
      </w:pPr>
      <w:r w:rsidRPr="009D7354">
        <w:t>Clinical Trials</w:t>
      </w:r>
    </w:p>
    <w:p w:rsidR="00383D62" w:rsidRPr="009C5C4E" w:rsidRDefault="00383D62" w:rsidP="00383D62">
      <w:r w:rsidRPr="009C5C4E">
        <w:t>The efficacy and safety of INSTANYL (50, 100 and 200 micrograms) have been assessed in two randomised, double-blind, cross-over, placebo-controlled pivotal Phase III studies in 279 opioid-tolerant adult cancer patients (age 32</w:t>
      </w:r>
      <w:r w:rsidRPr="009C5C4E">
        <w:noBreakHyphen/>
        <w:t>86 years) with breakthrough pain (BTP). BTP is transitory exacerbation of pain that occurs in addition to otherwise stable persistent pain, is typically rapid in</w:t>
      </w:r>
      <w:r w:rsidRPr="0054184E">
        <w:rPr>
          <w:rFonts w:cs="Arial"/>
          <w:szCs w:val="22"/>
          <w:lang w:val="en-CA"/>
        </w:rPr>
        <w:t xml:space="preserve"> </w:t>
      </w:r>
      <w:r w:rsidRPr="009C5C4E">
        <w:t>onset with mean peak pain at 3 minutes, moderate to severe in intensity and relatively short in duration (30 to 60 minutes).  The patients had an average of 1 to 4 episodes per day while taking maintenance opioid therapy. Patients in the second pivotal study had earlier participated in the INSTANYL pharmacokinetic study or in the first pivotal study. The clinical studies demonstrated the efficacy and safety of INSTANYL. No distinct correlation between the maintenance opioid dose and INSTANYL doses have been established, however in the second pivotal study patients with low maintenance opioid dose tended to achieve effective pain relief with a correspondingly lower strength of INSTANYL compared to patients taking higher levels of maintenance opioid dose. This was most distinct for patients ending on INSTANYL 50 micrograms.</w:t>
      </w:r>
    </w:p>
    <w:p w:rsidR="00764E71" w:rsidRDefault="00383D62" w:rsidP="00383D62">
      <w:r w:rsidRPr="009C5C4E">
        <w:t>In the clinical studies in cancer patients, the most frequent strength used were 100 and 200 micrograms. All three strengths of INSTANYL showed statistically significant (p</w:t>
      </w:r>
      <w:r w:rsidRPr="009C5C4E">
        <w:sym w:font="Symbol" w:char="F03C"/>
      </w:r>
      <w:r w:rsidRPr="009C5C4E">
        <w:t>0.001) higher pain intensity difference at 10 minutes (PID10) compared with placebo. Furthermore INSTANYL was significantly superior to placebo in BTP relief at 10, 20, 40, and 60 minutes following administration. The results of summary of PID at 60 minutes (SPID0-60) showed that all strengths of INSTANYL had significantly higher mean SPID0-60 scores compared with placebo (p</w:t>
      </w:r>
      <w:r w:rsidRPr="009C5C4E">
        <w:sym w:font="Symbol" w:char="F03C"/>
      </w:r>
      <w:r w:rsidRPr="009C5C4E">
        <w:t xml:space="preserve">0.001) demonstrating better pain relief of INSTANYL compared to placebo during 60 minutes. The safety and efficacy of INSTANYL have been evaluated in patients taking the medicinal product at the onset of a BTP episode. INSTANYL should not be used pre-emptively. The clinical experience with INSTANYL in patients with background opioid treatment equivalent to </w:t>
      </w:r>
      <w:r w:rsidRPr="009C5C4E">
        <w:sym w:font="Symbol" w:char="F0B3"/>
      </w:r>
      <w:r w:rsidRPr="009C5C4E">
        <w:t xml:space="preserve"> 500 mg/day morphine or </w:t>
      </w:r>
      <w:r w:rsidRPr="009C5C4E">
        <w:sym w:font="Symbol" w:char="F0B3"/>
      </w:r>
      <w:r w:rsidRPr="009C5C4E">
        <w:t> 200 micrograms/hour transdermal fentanyl is limited.</w:t>
      </w:r>
    </w:p>
    <w:p w:rsidR="000D7367" w:rsidRPr="009C5C4E" w:rsidRDefault="000D7367" w:rsidP="009C5C4E">
      <w:r w:rsidRPr="009C5C4E">
        <w:t>Study FT-017-IM was a randomized, double-blind, placebo-controlled, cross-over study</w:t>
      </w:r>
      <w:r w:rsidR="003C0D4F" w:rsidRPr="009C5C4E">
        <w:t xml:space="preserve"> in cancer </w:t>
      </w:r>
      <w:r w:rsidR="00764E71" w:rsidRPr="00764E71">
        <w:t>patients with BTP.  All patients in FT-017-IM were receiving stable doses of chronic opioid treatment.  Chronic</w:t>
      </w:r>
      <w:r w:rsidR="0035608D">
        <w:t xml:space="preserve"> opioid treatment is defined as </w:t>
      </w:r>
      <w:r w:rsidR="0035608D" w:rsidRPr="009C5C4E">
        <w:t xml:space="preserve">equivalent to 60-500 mg/day oral morphine or to 25-200 µg/hour transdermal fentanyl, which in general reduced the intensity of the background pain to a mild level (≤ 4 on an 11-point NRS). </w:t>
      </w:r>
      <w:r w:rsidRPr="009C5C4E">
        <w:t xml:space="preserve">Patients included in this study were also experiencing </w:t>
      </w:r>
      <w:r w:rsidR="003C0D4F" w:rsidRPr="009C5C4E">
        <w:t>BTP</w:t>
      </w:r>
      <w:r w:rsidRPr="009C5C4E">
        <w:t xml:space="preserve"> episodes at least 3 times per week but not more than 4 episodes per day.</w:t>
      </w:r>
    </w:p>
    <w:p w:rsidR="000D7367" w:rsidRPr="009C5C4E" w:rsidRDefault="001B52C5" w:rsidP="009C5C4E">
      <w:r w:rsidRPr="009C5C4E">
        <w:t>Pain intensity was assessed using an 1</w:t>
      </w:r>
      <w:r w:rsidR="00B17ECF">
        <w:t>1</w:t>
      </w:r>
      <w:r w:rsidRPr="009C5C4E">
        <w:t xml:space="preserve">-point numerical rating scale. The primary efficacy outcome measure was Pain Intensity Difference at 10 minutes after dosing with the first study drug (PlD10).  </w:t>
      </w:r>
      <w:r w:rsidR="000D7367" w:rsidRPr="009C5C4E">
        <w:t>Patients received a single dose of 50, 100 or 200 </w:t>
      </w:r>
      <w:r w:rsidR="000549C9" w:rsidRPr="009C5C4E">
        <w:t>µ</w:t>
      </w:r>
      <w:r w:rsidR="000D7367" w:rsidRPr="009C5C4E">
        <w:t xml:space="preserve">g </w:t>
      </w:r>
      <w:r w:rsidR="00E10B37" w:rsidRPr="009C5C4E">
        <w:t>INSTANYL</w:t>
      </w:r>
      <w:r w:rsidR="000D7367" w:rsidRPr="009C5C4E">
        <w:t xml:space="preserve"> or placebo in a randomized order for the treatment of 8 </w:t>
      </w:r>
      <w:r w:rsidR="003C0D4F" w:rsidRPr="009C5C4E">
        <w:t>BTP</w:t>
      </w:r>
      <w:r w:rsidR="000D7367" w:rsidRPr="009C5C4E">
        <w:t xml:space="preserve"> episodes.  Each dose and placebo were administered for two </w:t>
      </w:r>
      <w:r w:rsidR="003C0D4F" w:rsidRPr="009C5C4E">
        <w:t>BTP</w:t>
      </w:r>
      <w:r w:rsidR="000D7367" w:rsidRPr="009C5C4E">
        <w:t xml:space="preserve"> episodes, for a total of 8 self-treated episodes over approximately 3 weeks (maximum of one episode per day), if insufficient pain relief was experienced a second dose of the same strength was taken after 10 minutes.</w:t>
      </w:r>
    </w:p>
    <w:p w:rsidR="000D7367" w:rsidRPr="009C5C4E" w:rsidRDefault="000D7367" w:rsidP="00866D0B">
      <w:pPr>
        <w:spacing w:after="120"/>
      </w:pPr>
      <w:r w:rsidRPr="009C5C4E">
        <w:t xml:space="preserve">A clinically meaningful improvement in pain control for </w:t>
      </w:r>
      <w:r w:rsidR="003C0D4F" w:rsidRPr="009C5C4E">
        <w:t>BTP</w:t>
      </w:r>
      <w:r w:rsidRPr="009C5C4E">
        <w:t xml:space="preserve"> by 10 minutes post-dose was demonstrated (</w:t>
      </w:r>
      <w:r w:rsidR="000F117E" w:rsidRPr="009C5C4E">
        <w:t>pain intensity difference at 10 minutes (</w:t>
      </w:r>
      <w:r w:rsidRPr="009C5C4E">
        <w:t>PID10</w:t>
      </w:r>
      <w:r w:rsidR="000F117E" w:rsidRPr="009C5C4E">
        <w:t>)</w:t>
      </w:r>
      <w:r w:rsidRPr="009C5C4E">
        <w:t xml:space="preserve"> and PID10 responder rate).  The PID10, primary endpoint, was statistically significantly higher for all doses of </w:t>
      </w:r>
      <w:r w:rsidR="00E10B37" w:rsidRPr="009C5C4E">
        <w:t>INSTANYL</w:t>
      </w:r>
      <w:r w:rsidRPr="009C5C4E">
        <w:t xml:space="preserve"> (50, 100 and 200 </w:t>
      </w:r>
      <w:r w:rsidR="000549C9" w:rsidRPr="009C5C4E">
        <w:t>µ</w:t>
      </w:r>
      <w:r w:rsidRPr="009C5C4E">
        <w:t>g) than placebo (p&lt;0.001) (</w:t>
      </w:r>
      <w:r w:rsidR="00082C05" w:rsidRPr="00082C05">
        <w:t xml:space="preserve">Table </w:t>
      </w:r>
      <w:r w:rsidR="00FD7C18">
        <w:t>1</w:t>
      </w:r>
      <w:r w:rsidRPr="009C5C4E">
        <w:t xml:space="preserve">).  The proportion of responders at 10 minutes increased with dose.   The mean PID can be seen in </w:t>
      </w:r>
      <w:r w:rsidR="00FD7C18" w:rsidRPr="009C5C4E">
        <w:t xml:space="preserve">Figure 1 </w:t>
      </w:r>
      <w:r w:rsidRPr="009C5C4E">
        <w:t>below, the persistence of pain relief beyond the first 10 minutes was sustained for 60 minutes, with PID</w:t>
      </w:r>
      <w:r w:rsidRPr="003764BF">
        <w:rPr>
          <w:vertAlign w:val="subscript"/>
        </w:rPr>
        <w:t>max</w:t>
      </w:r>
      <w:r w:rsidRPr="009C5C4E">
        <w:t xml:space="preserve"> occurring at between 30 to 60 minutes post-dose.</w:t>
      </w:r>
    </w:p>
    <w:p w:rsidR="004173CB" w:rsidRDefault="000D7367">
      <w:pPr>
        <w:pStyle w:val="Caption"/>
        <w:keepNext/>
        <w:spacing w:before="0" w:after="0"/>
        <w:rPr>
          <w:rFonts w:ascii="Arial" w:hAnsi="Arial" w:cs="Arial"/>
          <w:sz w:val="22"/>
          <w:szCs w:val="22"/>
          <w:lang w:val="en-CA"/>
        </w:rPr>
      </w:pPr>
      <w:bookmarkStart w:id="0" w:name="_Ref296414401"/>
      <w:r w:rsidRPr="0054184E">
        <w:rPr>
          <w:rFonts w:ascii="Arial" w:hAnsi="Arial" w:cs="Arial"/>
          <w:sz w:val="22"/>
          <w:szCs w:val="22"/>
          <w:lang w:val="en-CA"/>
        </w:rPr>
        <w:lastRenderedPageBreak/>
        <w:t xml:space="preserve">Table </w:t>
      </w:r>
      <w:bookmarkEnd w:id="0"/>
      <w:r w:rsidR="002025B2">
        <w:rPr>
          <w:rFonts w:ascii="Arial" w:hAnsi="Arial" w:cs="Arial"/>
          <w:sz w:val="22"/>
          <w:szCs w:val="22"/>
          <w:lang w:val="en-CA"/>
        </w:rPr>
        <w:t>1</w:t>
      </w:r>
      <w:r w:rsidR="00D663C7">
        <w:rPr>
          <w:rFonts w:ascii="Arial" w:hAnsi="Arial" w:cs="Arial"/>
          <w:sz w:val="22"/>
          <w:szCs w:val="22"/>
          <w:lang w:val="en-CA"/>
        </w:rPr>
        <w:t>.</w:t>
      </w:r>
      <w:r w:rsidRPr="0054184E">
        <w:rPr>
          <w:rFonts w:ascii="Arial" w:hAnsi="Arial" w:cs="Arial"/>
          <w:sz w:val="22"/>
          <w:szCs w:val="22"/>
          <w:lang w:val="en-CA"/>
        </w:rPr>
        <w:t xml:space="preserve">  Study FT-017-IM Primary Efficacy Endpoint – PID</w:t>
      </w:r>
      <w:r w:rsidRPr="00DC6C48">
        <w:rPr>
          <w:rFonts w:ascii="Arial" w:hAnsi="Arial" w:cs="Arial"/>
          <w:sz w:val="22"/>
          <w:szCs w:val="22"/>
          <w:vertAlign w:val="subscript"/>
          <w:lang w:val="en-CA"/>
        </w:rPr>
        <w:t>10</w:t>
      </w:r>
      <w:r w:rsidRPr="0054184E">
        <w:rPr>
          <w:rFonts w:ascii="Arial" w:hAnsi="Arial" w:cs="Arial"/>
          <w:sz w:val="22"/>
          <w:szCs w:val="22"/>
          <w:lang w:val="en-CA"/>
        </w:rPr>
        <w:t xml:space="preserve"> by </w:t>
      </w:r>
      <w:r w:rsidR="00E10B37">
        <w:rPr>
          <w:rFonts w:ascii="Arial" w:hAnsi="Arial" w:cs="Arial"/>
          <w:sz w:val="22"/>
          <w:szCs w:val="22"/>
          <w:lang w:val="en-CA"/>
        </w:rPr>
        <w:t>INSTANYL</w:t>
      </w:r>
      <w:r w:rsidRPr="0054184E">
        <w:rPr>
          <w:rFonts w:ascii="Arial" w:hAnsi="Arial" w:cs="Arial"/>
          <w:sz w:val="22"/>
          <w:szCs w:val="22"/>
          <w:lang w:val="en-CA"/>
        </w:rPr>
        <w:t xml:space="preserve"> Dose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2125"/>
        <w:gridCol w:w="2128"/>
        <w:gridCol w:w="2516"/>
      </w:tblGrid>
      <w:tr w:rsidR="000D7367" w:rsidRPr="00D663C7" w:rsidTr="00D663C7">
        <w:tc>
          <w:tcPr>
            <w:tcW w:w="2410" w:type="dxa"/>
          </w:tcPr>
          <w:p w:rsidR="004173CB" w:rsidRDefault="000D7367">
            <w:pPr>
              <w:keepNext/>
              <w:spacing w:after="0"/>
              <w:jc w:val="center"/>
              <w:rPr>
                <w:rFonts w:cs="Arial"/>
                <w:b/>
                <w:sz w:val="20"/>
                <w:szCs w:val="22"/>
                <w:lang w:val="en-CA"/>
              </w:rPr>
            </w:pPr>
            <w:r w:rsidRPr="00D663C7">
              <w:rPr>
                <w:rFonts w:cs="Arial"/>
                <w:b/>
                <w:sz w:val="20"/>
                <w:szCs w:val="22"/>
                <w:lang w:val="en-CA"/>
              </w:rPr>
              <w:t>ITT population</w:t>
            </w:r>
          </w:p>
        </w:tc>
        <w:tc>
          <w:tcPr>
            <w:tcW w:w="2125" w:type="dxa"/>
          </w:tcPr>
          <w:p w:rsidR="004173CB" w:rsidRDefault="000D7367">
            <w:pPr>
              <w:keepNext/>
              <w:spacing w:after="0"/>
              <w:jc w:val="center"/>
              <w:rPr>
                <w:rFonts w:cs="Arial"/>
                <w:b/>
                <w:sz w:val="20"/>
                <w:szCs w:val="22"/>
                <w:lang w:val="en-CA"/>
              </w:rPr>
            </w:pPr>
            <w:r w:rsidRPr="00D663C7">
              <w:rPr>
                <w:rFonts w:cs="Arial"/>
                <w:b/>
                <w:sz w:val="20"/>
                <w:szCs w:val="22"/>
                <w:lang w:val="en-CA"/>
              </w:rPr>
              <w:t>PID</w:t>
            </w:r>
            <w:r w:rsidRPr="00D663C7">
              <w:rPr>
                <w:rFonts w:cs="Arial"/>
                <w:b/>
                <w:sz w:val="20"/>
                <w:szCs w:val="22"/>
                <w:vertAlign w:val="subscript"/>
                <w:lang w:val="en-CA"/>
              </w:rPr>
              <w:t>10</w:t>
            </w:r>
            <w:r w:rsidRPr="00D663C7">
              <w:rPr>
                <w:rFonts w:cs="Arial"/>
                <w:b/>
                <w:sz w:val="20"/>
                <w:szCs w:val="22"/>
                <w:lang w:val="en-CA"/>
              </w:rPr>
              <w:t xml:space="preserve"> Mean (SD)</w:t>
            </w:r>
          </w:p>
        </w:tc>
        <w:tc>
          <w:tcPr>
            <w:tcW w:w="2128" w:type="dxa"/>
          </w:tcPr>
          <w:p w:rsidR="004173CB" w:rsidRDefault="000D7367">
            <w:pPr>
              <w:keepNext/>
              <w:spacing w:after="0"/>
              <w:jc w:val="center"/>
              <w:rPr>
                <w:rFonts w:cs="Arial"/>
                <w:b/>
                <w:sz w:val="20"/>
                <w:szCs w:val="22"/>
                <w:lang w:val="en-CA"/>
              </w:rPr>
            </w:pPr>
            <w:r w:rsidRPr="00D663C7">
              <w:rPr>
                <w:rFonts w:cs="Arial"/>
                <w:b/>
                <w:sz w:val="20"/>
                <w:szCs w:val="22"/>
                <w:lang w:val="en-CA"/>
              </w:rPr>
              <w:t>PID</w:t>
            </w:r>
            <w:r w:rsidRPr="00D663C7">
              <w:rPr>
                <w:rFonts w:cs="Arial"/>
                <w:b/>
                <w:sz w:val="20"/>
                <w:szCs w:val="22"/>
                <w:vertAlign w:val="subscript"/>
                <w:lang w:val="en-CA"/>
              </w:rPr>
              <w:t>10</w:t>
            </w:r>
            <w:r w:rsidRPr="00D663C7">
              <w:rPr>
                <w:rFonts w:cs="Arial"/>
                <w:b/>
                <w:sz w:val="20"/>
                <w:szCs w:val="22"/>
                <w:lang w:val="en-CA"/>
              </w:rPr>
              <w:t xml:space="preserve"> versus placebo  LS mean (CI)</w:t>
            </w:r>
          </w:p>
        </w:tc>
        <w:tc>
          <w:tcPr>
            <w:tcW w:w="2516" w:type="dxa"/>
          </w:tcPr>
          <w:p w:rsidR="004173CB" w:rsidRDefault="000D7367">
            <w:pPr>
              <w:keepNext/>
              <w:spacing w:after="0"/>
              <w:jc w:val="center"/>
              <w:rPr>
                <w:rFonts w:cs="Arial"/>
                <w:b/>
                <w:sz w:val="20"/>
                <w:szCs w:val="22"/>
                <w:lang w:val="en-CA"/>
              </w:rPr>
            </w:pPr>
            <w:r w:rsidRPr="00D663C7">
              <w:rPr>
                <w:rFonts w:cs="Arial"/>
                <w:b/>
                <w:sz w:val="20"/>
                <w:szCs w:val="22"/>
                <w:lang w:val="en-CA"/>
              </w:rPr>
              <w:t>PID</w:t>
            </w:r>
            <w:r w:rsidRPr="00D663C7">
              <w:rPr>
                <w:rFonts w:cs="Arial"/>
                <w:b/>
                <w:sz w:val="20"/>
                <w:szCs w:val="22"/>
                <w:vertAlign w:val="subscript"/>
                <w:lang w:val="en-CA"/>
              </w:rPr>
              <w:t>10</w:t>
            </w:r>
            <w:r w:rsidRPr="00D663C7">
              <w:rPr>
                <w:rFonts w:cs="Arial"/>
                <w:b/>
                <w:sz w:val="20"/>
                <w:szCs w:val="22"/>
                <w:lang w:val="en-CA"/>
              </w:rPr>
              <w:t xml:space="preserve"> responder rate (%)</w:t>
            </w:r>
          </w:p>
          <w:p w:rsidR="004173CB" w:rsidRDefault="000D7367">
            <w:pPr>
              <w:keepNext/>
              <w:spacing w:after="0"/>
              <w:jc w:val="center"/>
              <w:rPr>
                <w:rFonts w:cs="Arial"/>
                <w:b/>
                <w:sz w:val="20"/>
                <w:szCs w:val="22"/>
                <w:lang w:val="en-CA"/>
              </w:rPr>
            </w:pPr>
            <w:r w:rsidRPr="00D663C7">
              <w:rPr>
                <w:rFonts w:cs="Arial"/>
                <w:b/>
                <w:sz w:val="20"/>
                <w:szCs w:val="22"/>
                <w:lang w:val="en-CA"/>
              </w:rPr>
              <w:t>Mean (SD)</w:t>
            </w:r>
          </w:p>
        </w:tc>
      </w:tr>
      <w:tr w:rsidR="000D7367" w:rsidRPr="00D663C7" w:rsidTr="00D663C7">
        <w:tc>
          <w:tcPr>
            <w:tcW w:w="2410" w:type="dxa"/>
          </w:tcPr>
          <w:p w:rsidR="000D7367" w:rsidRPr="00D663C7" w:rsidRDefault="000D7367" w:rsidP="00D663C7">
            <w:pPr>
              <w:spacing w:after="0"/>
              <w:jc w:val="left"/>
              <w:rPr>
                <w:rFonts w:cs="Arial"/>
                <w:sz w:val="20"/>
                <w:szCs w:val="22"/>
                <w:lang w:val="en-CA"/>
              </w:rPr>
            </w:pPr>
            <w:r w:rsidRPr="00D663C7">
              <w:rPr>
                <w:rFonts w:cs="Arial"/>
                <w:sz w:val="20"/>
                <w:szCs w:val="22"/>
                <w:lang w:val="en-CA"/>
              </w:rPr>
              <w:t>Placebo (N=145)</w:t>
            </w:r>
          </w:p>
        </w:tc>
        <w:tc>
          <w:tcPr>
            <w:tcW w:w="2125" w:type="dxa"/>
          </w:tcPr>
          <w:p w:rsidR="000D7367" w:rsidRPr="00D663C7" w:rsidRDefault="000D7367" w:rsidP="00D663C7">
            <w:pPr>
              <w:spacing w:after="0"/>
              <w:jc w:val="center"/>
              <w:rPr>
                <w:rFonts w:cs="Arial"/>
                <w:sz w:val="20"/>
                <w:szCs w:val="22"/>
                <w:lang w:val="en-CA"/>
              </w:rPr>
            </w:pPr>
            <w:r w:rsidRPr="00D663C7">
              <w:rPr>
                <w:rFonts w:cs="Arial"/>
                <w:sz w:val="20"/>
                <w:szCs w:val="22"/>
                <w:lang w:val="en-CA"/>
              </w:rPr>
              <w:t>1.41 (1.33)</w:t>
            </w:r>
          </w:p>
        </w:tc>
        <w:tc>
          <w:tcPr>
            <w:tcW w:w="2128" w:type="dxa"/>
          </w:tcPr>
          <w:p w:rsidR="000D7367" w:rsidRPr="00D663C7" w:rsidRDefault="000D7367" w:rsidP="00D663C7">
            <w:pPr>
              <w:spacing w:after="0"/>
              <w:jc w:val="center"/>
              <w:rPr>
                <w:rFonts w:cs="Arial"/>
                <w:sz w:val="20"/>
                <w:szCs w:val="22"/>
                <w:lang w:val="en-CA"/>
              </w:rPr>
            </w:pPr>
          </w:p>
        </w:tc>
        <w:tc>
          <w:tcPr>
            <w:tcW w:w="2516" w:type="dxa"/>
          </w:tcPr>
          <w:p w:rsidR="000D7367" w:rsidRPr="00D663C7" w:rsidRDefault="000D7367" w:rsidP="00D663C7">
            <w:pPr>
              <w:spacing w:after="0"/>
              <w:jc w:val="center"/>
              <w:rPr>
                <w:rFonts w:cs="Arial"/>
                <w:sz w:val="20"/>
                <w:szCs w:val="22"/>
                <w:lang w:val="en-CA"/>
              </w:rPr>
            </w:pPr>
            <w:r w:rsidRPr="00D663C7">
              <w:rPr>
                <w:rFonts w:cs="Arial"/>
                <w:sz w:val="20"/>
                <w:szCs w:val="22"/>
                <w:lang w:val="en-CA"/>
              </w:rPr>
              <w:t>22.07 (33.27)</w:t>
            </w:r>
          </w:p>
        </w:tc>
      </w:tr>
      <w:tr w:rsidR="000D7367" w:rsidRPr="00D663C7" w:rsidTr="00D663C7">
        <w:tc>
          <w:tcPr>
            <w:tcW w:w="2410" w:type="dxa"/>
          </w:tcPr>
          <w:p w:rsidR="000D7367" w:rsidRPr="00D663C7" w:rsidRDefault="000D7367" w:rsidP="00D663C7">
            <w:pPr>
              <w:spacing w:after="0"/>
              <w:jc w:val="left"/>
              <w:rPr>
                <w:rFonts w:cs="Arial"/>
                <w:sz w:val="20"/>
                <w:szCs w:val="22"/>
                <w:lang w:val="en-CA"/>
              </w:rPr>
            </w:pPr>
            <w:r w:rsidRPr="00D663C7">
              <w:rPr>
                <w:rFonts w:cs="Arial"/>
                <w:sz w:val="20"/>
                <w:szCs w:val="22"/>
                <w:lang w:val="en-CA"/>
              </w:rPr>
              <w:t xml:space="preserve">Fentanyl 50 </w:t>
            </w:r>
            <w:r w:rsidR="000549C9">
              <w:rPr>
                <w:rFonts w:cs="Arial"/>
                <w:sz w:val="20"/>
                <w:szCs w:val="22"/>
                <w:lang w:val="en-CA"/>
              </w:rPr>
              <w:t>µ</w:t>
            </w:r>
            <w:r w:rsidRPr="00D663C7">
              <w:rPr>
                <w:rFonts w:cs="Arial"/>
                <w:sz w:val="20"/>
                <w:szCs w:val="22"/>
                <w:lang w:val="en-CA"/>
              </w:rPr>
              <w:t>g (N=148)</w:t>
            </w:r>
          </w:p>
        </w:tc>
        <w:tc>
          <w:tcPr>
            <w:tcW w:w="2125" w:type="dxa"/>
          </w:tcPr>
          <w:p w:rsidR="000D7367" w:rsidRPr="00D663C7" w:rsidRDefault="000D7367" w:rsidP="00D663C7">
            <w:pPr>
              <w:spacing w:after="0"/>
              <w:jc w:val="center"/>
              <w:rPr>
                <w:rFonts w:cs="Arial"/>
                <w:sz w:val="20"/>
                <w:szCs w:val="22"/>
                <w:lang w:val="en-CA"/>
              </w:rPr>
            </w:pPr>
            <w:r w:rsidRPr="00D663C7">
              <w:rPr>
                <w:rFonts w:cs="Arial"/>
                <w:sz w:val="20"/>
                <w:szCs w:val="22"/>
                <w:lang w:val="en-CA"/>
              </w:rPr>
              <w:t>1.82 (1.43)</w:t>
            </w:r>
          </w:p>
        </w:tc>
        <w:tc>
          <w:tcPr>
            <w:tcW w:w="2128" w:type="dxa"/>
          </w:tcPr>
          <w:p w:rsidR="000D7367" w:rsidRPr="00D663C7" w:rsidRDefault="000D7367" w:rsidP="00D663C7">
            <w:pPr>
              <w:spacing w:after="0"/>
              <w:jc w:val="center"/>
              <w:rPr>
                <w:rFonts w:cs="Arial"/>
                <w:sz w:val="20"/>
                <w:szCs w:val="22"/>
                <w:lang w:val="en-CA"/>
              </w:rPr>
            </w:pPr>
            <w:r w:rsidRPr="00D663C7">
              <w:rPr>
                <w:rFonts w:cs="Arial"/>
                <w:sz w:val="20"/>
                <w:szCs w:val="22"/>
                <w:lang w:val="en-CA"/>
              </w:rPr>
              <w:t>0.41 (0.17, 0.64)*</w:t>
            </w:r>
          </w:p>
        </w:tc>
        <w:tc>
          <w:tcPr>
            <w:tcW w:w="2516" w:type="dxa"/>
          </w:tcPr>
          <w:p w:rsidR="000D7367" w:rsidRPr="00D663C7" w:rsidRDefault="000D7367" w:rsidP="00D663C7">
            <w:pPr>
              <w:spacing w:after="0"/>
              <w:jc w:val="center"/>
              <w:rPr>
                <w:rFonts w:cs="Arial"/>
                <w:sz w:val="20"/>
                <w:szCs w:val="22"/>
                <w:lang w:val="en-CA"/>
              </w:rPr>
            </w:pPr>
            <w:r w:rsidRPr="00D663C7">
              <w:rPr>
                <w:rFonts w:cs="Arial"/>
                <w:sz w:val="20"/>
                <w:szCs w:val="22"/>
                <w:lang w:val="en-CA"/>
              </w:rPr>
              <w:t>29.05 (37.35)</w:t>
            </w:r>
          </w:p>
        </w:tc>
      </w:tr>
      <w:tr w:rsidR="000D7367" w:rsidRPr="00D663C7" w:rsidTr="00D663C7">
        <w:tc>
          <w:tcPr>
            <w:tcW w:w="2410" w:type="dxa"/>
          </w:tcPr>
          <w:p w:rsidR="000D7367" w:rsidRPr="00D663C7" w:rsidRDefault="000D7367" w:rsidP="00D663C7">
            <w:pPr>
              <w:spacing w:after="0"/>
              <w:jc w:val="left"/>
              <w:rPr>
                <w:rFonts w:cs="Arial"/>
                <w:sz w:val="20"/>
                <w:szCs w:val="22"/>
                <w:lang w:val="en-CA"/>
              </w:rPr>
            </w:pPr>
            <w:r w:rsidRPr="00D663C7">
              <w:rPr>
                <w:rFonts w:cs="Arial"/>
                <w:sz w:val="20"/>
                <w:szCs w:val="22"/>
                <w:lang w:val="en-CA"/>
              </w:rPr>
              <w:t xml:space="preserve">Fentanyl 100 </w:t>
            </w:r>
            <w:r w:rsidR="000549C9">
              <w:rPr>
                <w:rFonts w:cs="Arial"/>
                <w:sz w:val="20"/>
                <w:szCs w:val="22"/>
                <w:lang w:val="en-CA"/>
              </w:rPr>
              <w:t>µ</w:t>
            </w:r>
            <w:r w:rsidRPr="00D663C7">
              <w:rPr>
                <w:rFonts w:cs="Arial"/>
                <w:sz w:val="20"/>
                <w:szCs w:val="22"/>
                <w:lang w:val="en-CA"/>
              </w:rPr>
              <w:t>g (N=148)</w:t>
            </w:r>
          </w:p>
        </w:tc>
        <w:tc>
          <w:tcPr>
            <w:tcW w:w="2125" w:type="dxa"/>
          </w:tcPr>
          <w:p w:rsidR="000D7367" w:rsidRPr="00D663C7" w:rsidRDefault="000D7367" w:rsidP="00D663C7">
            <w:pPr>
              <w:spacing w:after="0"/>
              <w:jc w:val="center"/>
              <w:rPr>
                <w:rFonts w:cs="Arial"/>
                <w:sz w:val="20"/>
                <w:szCs w:val="22"/>
                <w:lang w:val="en-CA"/>
              </w:rPr>
            </w:pPr>
            <w:r w:rsidRPr="00D663C7">
              <w:rPr>
                <w:rFonts w:cs="Arial"/>
                <w:sz w:val="20"/>
                <w:szCs w:val="22"/>
                <w:lang w:val="en-CA"/>
              </w:rPr>
              <w:t>2.23 (1.51)</w:t>
            </w:r>
          </w:p>
        </w:tc>
        <w:tc>
          <w:tcPr>
            <w:tcW w:w="2128" w:type="dxa"/>
          </w:tcPr>
          <w:p w:rsidR="000D7367" w:rsidRPr="00D663C7" w:rsidRDefault="000D7367" w:rsidP="00D663C7">
            <w:pPr>
              <w:spacing w:after="0"/>
              <w:jc w:val="center"/>
              <w:rPr>
                <w:rFonts w:cs="Arial"/>
                <w:sz w:val="20"/>
                <w:szCs w:val="22"/>
                <w:lang w:val="en-CA"/>
              </w:rPr>
            </w:pPr>
            <w:r w:rsidRPr="00D663C7">
              <w:rPr>
                <w:rFonts w:cs="Arial"/>
                <w:sz w:val="20"/>
                <w:szCs w:val="22"/>
                <w:lang w:val="en-CA"/>
              </w:rPr>
              <w:t>0.81 (0.57, 1.04)*</w:t>
            </w:r>
          </w:p>
        </w:tc>
        <w:tc>
          <w:tcPr>
            <w:tcW w:w="2516" w:type="dxa"/>
          </w:tcPr>
          <w:p w:rsidR="000D7367" w:rsidRPr="00D663C7" w:rsidRDefault="000D7367" w:rsidP="00D663C7">
            <w:pPr>
              <w:spacing w:after="0"/>
              <w:jc w:val="center"/>
              <w:rPr>
                <w:rFonts w:cs="Arial"/>
                <w:sz w:val="20"/>
                <w:szCs w:val="22"/>
                <w:lang w:val="en-CA"/>
              </w:rPr>
            </w:pPr>
            <w:r w:rsidRPr="00D663C7">
              <w:rPr>
                <w:rFonts w:cs="Arial"/>
                <w:sz w:val="20"/>
                <w:szCs w:val="22"/>
                <w:lang w:val="en-CA"/>
              </w:rPr>
              <w:t>41.55 (41.40)</w:t>
            </w:r>
          </w:p>
        </w:tc>
      </w:tr>
      <w:tr w:rsidR="000D7367" w:rsidRPr="00D663C7" w:rsidTr="00D663C7">
        <w:tc>
          <w:tcPr>
            <w:tcW w:w="2410" w:type="dxa"/>
          </w:tcPr>
          <w:p w:rsidR="000D7367" w:rsidRPr="00D663C7" w:rsidRDefault="000D7367" w:rsidP="00D663C7">
            <w:pPr>
              <w:spacing w:after="0"/>
              <w:jc w:val="left"/>
              <w:rPr>
                <w:rFonts w:cs="Arial"/>
                <w:sz w:val="20"/>
                <w:szCs w:val="22"/>
                <w:lang w:val="en-CA"/>
              </w:rPr>
            </w:pPr>
            <w:r w:rsidRPr="00D663C7">
              <w:rPr>
                <w:rFonts w:cs="Arial"/>
                <w:sz w:val="20"/>
                <w:szCs w:val="22"/>
                <w:lang w:val="en-CA"/>
              </w:rPr>
              <w:t xml:space="preserve">Fentanyl 200 </w:t>
            </w:r>
            <w:r w:rsidR="000549C9">
              <w:rPr>
                <w:rFonts w:cs="Arial"/>
                <w:sz w:val="20"/>
                <w:szCs w:val="22"/>
                <w:lang w:val="en-CA"/>
              </w:rPr>
              <w:t>µ</w:t>
            </w:r>
            <w:r w:rsidRPr="00D663C7">
              <w:rPr>
                <w:rFonts w:cs="Arial"/>
                <w:sz w:val="20"/>
                <w:szCs w:val="22"/>
                <w:lang w:val="en-CA"/>
              </w:rPr>
              <w:t>g (N=147)</w:t>
            </w:r>
          </w:p>
        </w:tc>
        <w:tc>
          <w:tcPr>
            <w:tcW w:w="2125" w:type="dxa"/>
          </w:tcPr>
          <w:p w:rsidR="000D7367" w:rsidRPr="00D663C7" w:rsidRDefault="000D7367" w:rsidP="00D663C7">
            <w:pPr>
              <w:spacing w:after="0"/>
              <w:jc w:val="center"/>
              <w:rPr>
                <w:rFonts w:cs="Arial"/>
                <w:sz w:val="20"/>
                <w:szCs w:val="22"/>
                <w:lang w:val="en-CA"/>
              </w:rPr>
            </w:pPr>
            <w:r w:rsidRPr="00D663C7">
              <w:rPr>
                <w:rFonts w:cs="Arial"/>
                <w:sz w:val="20"/>
                <w:szCs w:val="22"/>
                <w:lang w:val="en-CA"/>
              </w:rPr>
              <w:t>2.65 (1.77)</w:t>
            </w:r>
          </w:p>
        </w:tc>
        <w:tc>
          <w:tcPr>
            <w:tcW w:w="2128" w:type="dxa"/>
          </w:tcPr>
          <w:p w:rsidR="000D7367" w:rsidRPr="00D663C7" w:rsidRDefault="000D7367" w:rsidP="00D663C7">
            <w:pPr>
              <w:spacing w:after="0"/>
              <w:jc w:val="center"/>
              <w:rPr>
                <w:rFonts w:cs="Arial"/>
                <w:sz w:val="20"/>
                <w:szCs w:val="22"/>
                <w:lang w:val="en-CA"/>
              </w:rPr>
            </w:pPr>
            <w:r w:rsidRPr="00D663C7">
              <w:rPr>
                <w:rFonts w:cs="Arial"/>
                <w:sz w:val="20"/>
                <w:szCs w:val="22"/>
                <w:lang w:val="en-CA"/>
              </w:rPr>
              <w:t>1.24 (1.01, 1.48)*</w:t>
            </w:r>
          </w:p>
        </w:tc>
        <w:tc>
          <w:tcPr>
            <w:tcW w:w="2516" w:type="dxa"/>
          </w:tcPr>
          <w:p w:rsidR="000D7367" w:rsidRPr="00D663C7" w:rsidRDefault="000D7367" w:rsidP="00D663C7">
            <w:pPr>
              <w:spacing w:after="0"/>
              <w:jc w:val="center"/>
              <w:rPr>
                <w:rFonts w:cs="Arial"/>
                <w:sz w:val="20"/>
                <w:szCs w:val="22"/>
                <w:lang w:val="en-CA"/>
              </w:rPr>
            </w:pPr>
            <w:r w:rsidRPr="00D663C7">
              <w:rPr>
                <w:rFonts w:cs="Arial"/>
                <w:sz w:val="20"/>
                <w:szCs w:val="22"/>
                <w:lang w:val="en-CA"/>
              </w:rPr>
              <w:t>49.66 (43.99)</w:t>
            </w:r>
          </w:p>
        </w:tc>
      </w:tr>
    </w:tbl>
    <w:p w:rsidR="000D7367" w:rsidRPr="00D663C7" w:rsidRDefault="000D7367" w:rsidP="00866D0B">
      <w:pPr>
        <w:spacing w:after="0"/>
        <w:rPr>
          <w:rFonts w:cs="Arial"/>
          <w:sz w:val="20"/>
          <w:szCs w:val="22"/>
          <w:lang w:val="en-CA"/>
        </w:rPr>
      </w:pPr>
      <w:r w:rsidRPr="00D663C7">
        <w:rPr>
          <w:rFonts w:cs="Arial"/>
          <w:sz w:val="20"/>
          <w:szCs w:val="22"/>
          <w:lang w:val="en-CA"/>
        </w:rPr>
        <w:t>CI=confidence interval; ITT=intent to treat; LS=least squares; SD=standard deviation; PID</w:t>
      </w:r>
      <w:r w:rsidRPr="00D663C7">
        <w:rPr>
          <w:rFonts w:cs="Arial"/>
          <w:sz w:val="20"/>
          <w:szCs w:val="22"/>
          <w:vertAlign w:val="subscript"/>
          <w:lang w:val="en-CA"/>
        </w:rPr>
        <w:t>10</w:t>
      </w:r>
      <w:r w:rsidRPr="00D663C7">
        <w:rPr>
          <w:rFonts w:cs="Arial"/>
          <w:sz w:val="20"/>
          <w:szCs w:val="22"/>
          <w:lang w:val="en-CA"/>
        </w:rPr>
        <w:t>=pain intensity difference at 10 minutes.* p&lt;0.001 compared to placebo.</w:t>
      </w:r>
    </w:p>
    <w:p w:rsidR="000D7367" w:rsidRPr="0080410D" w:rsidRDefault="000D7367" w:rsidP="00D663C7">
      <w:pPr>
        <w:pStyle w:val="Caption"/>
        <w:keepNext/>
        <w:spacing w:before="0" w:after="0"/>
        <w:rPr>
          <w:rFonts w:ascii="Arial" w:hAnsi="Arial" w:cs="Arial"/>
          <w:sz w:val="22"/>
          <w:szCs w:val="22"/>
          <w:lang w:val="en-CA"/>
        </w:rPr>
      </w:pPr>
      <w:bookmarkStart w:id="1" w:name="_Ref296414468"/>
      <w:r w:rsidRPr="0080410D">
        <w:rPr>
          <w:rFonts w:ascii="Arial" w:hAnsi="Arial" w:cs="Arial"/>
          <w:sz w:val="22"/>
          <w:szCs w:val="22"/>
          <w:lang w:val="en-CA"/>
        </w:rPr>
        <w:t xml:space="preserve">Figure </w:t>
      </w:r>
      <w:bookmarkEnd w:id="1"/>
      <w:r w:rsidR="00D72DB1" w:rsidRPr="0080410D">
        <w:rPr>
          <w:rFonts w:ascii="Arial" w:hAnsi="Arial" w:cs="Arial"/>
          <w:sz w:val="22"/>
          <w:szCs w:val="22"/>
          <w:lang w:val="en-CA"/>
        </w:rPr>
        <w:t>1</w:t>
      </w:r>
      <w:r w:rsidRPr="0080410D">
        <w:rPr>
          <w:rFonts w:ascii="Arial" w:hAnsi="Arial" w:cs="Arial"/>
          <w:sz w:val="22"/>
          <w:szCs w:val="22"/>
          <w:lang w:val="en-CA"/>
        </w:rPr>
        <w:t xml:space="preserve">.  Mean PID over Time by </w:t>
      </w:r>
      <w:r w:rsidR="00E10B37">
        <w:rPr>
          <w:rFonts w:ascii="Arial" w:hAnsi="Arial" w:cs="Arial"/>
          <w:sz w:val="22"/>
          <w:szCs w:val="22"/>
          <w:lang w:val="en-CA"/>
        </w:rPr>
        <w:t>INSTANYL</w:t>
      </w:r>
      <w:r w:rsidRPr="0080410D">
        <w:rPr>
          <w:rFonts w:ascii="Arial" w:hAnsi="Arial" w:cs="Arial"/>
          <w:sz w:val="22"/>
          <w:szCs w:val="22"/>
          <w:lang w:val="en-CA"/>
        </w:rPr>
        <w:t xml:space="preserve"> Dose (Study FT-017-IM)</w:t>
      </w:r>
    </w:p>
    <w:p w:rsidR="000D7367" w:rsidRPr="0054184E" w:rsidRDefault="000D7367" w:rsidP="0054184E">
      <w:pPr>
        <w:spacing w:after="120"/>
        <w:rPr>
          <w:rFonts w:cs="Arial"/>
          <w:szCs w:val="22"/>
          <w:lang w:val="en-CA"/>
        </w:rPr>
      </w:pPr>
      <w:r w:rsidRPr="0054184E">
        <w:rPr>
          <w:rFonts w:cs="Arial"/>
          <w:noProof/>
          <w:szCs w:val="22"/>
          <w:lang w:eastAsia="en-AU"/>
        </w:rPr>
        <w:drawing>
          <wp:inline distT="0" distB="0" distL="0" distR="0">
            <wp:extent cx="5191125" cy="3407779"/>
            <wp:effectExtent l="0" t="0" r="9525" b="0"/>
            <wp:docPr id="3" name="Picture 4" descr="Figure 1.  Mean PID over Time by INSTANYL Dose (Study FT-017-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t="6250" b="5531"/>
                    <a:stretch>
                      <a:fillRect/>
                    </a:stretch>
                  </pic:blipFill>
                  <pic:spPr bwMode="auto">
                    <a:xfrm>
                      <a:off x="0" y="0"/>
                      <a:ext cx="5191125" cy="3407779"/>
                    </a:xfrm>
                    <a:prstGeom prst="rect">
                      <a:avLst/>
                    </a:prstGeom>
                    <a:noFill/>
                    <a:ln w="9525">
                      <a:noFill/>
                      <a:miter lim="800000"/>
                      <a:headEnd/>
                      <a:tailEnd/>
                    </a:ln>
                  </pic:spPr>
                </pic:pic>
              </a:graphicData>
            </a:graphic>
          </wp:inline>
        </w:drawing>
      </w:r>
    </w:p>
    <w:p w:rsidR="000D7367" w:rsidRPr="00D663C7" w:rsidRDefault="000D7367" w:rsidP="00D663C7">
      <w:pPr>
        <w:spacing w:after="0"/>
        <w:rPr>
          <w:rFonts w:cs="Arial"/>
          <w:sz w:val="20"/>
          <w:szCs w:val="22"/>
          <w:lang w:val="en-CA"/>
        </w:rPr>
      </w:pPr>
      <w:r w:rsidRPr="00D663C7">
        <w:rPr>
          <w:rFonts w:cs="Arial"/>
          <w:sz w:val="20"/>
          <w:szCs w:val="22"/>
          <w:lang w:val="en-CA"/>
        </w:rPr>
        <w:t>ITT population. Note that symbols for each dose level are offset to enable visual comparison.</w:t>
      </w:r>
    </w:p>
    <w:p w:rsidR="000D7367" w:rsidRPr="00D663C7" w:rsidRDefault="000D7367" w:rsidP="0054184E">
      <w:pPr>
        <w:spacing w:after="120"/>
        <w:rPr>
          <w:rFonts w:cs="Arial"/>
          <w:sz w:val="20"/>
          <w:szCs w:val="22"/>
          <w:lang w:val="en-CA"/>
        </w:rPr>
      </w:pPr>
      <w:r w:rsidRPr="00D663C7">
        <w:rPr>
          <w:rFonts w:cs="Arial"/>
          <w:sz w:val="20"/>
          <w:szCs w:val="22"/>
          <w:lang w:val="en-CA"/>
        </w:rPr>
        <w:t>ITT=intent to treat; NAF=nasal fentanyl (</w:t>
      </w:r>
      <w:r w:rsidR="000549C9">
        <w:rPr>
          <w:rFonts w:cs="Arial"/>
          <w:sz w:val="20"/>
          <w:szCs w:val="22"/>
          <w:lang w:val="en-CA"/>
        </w:rPr>
        <w:t>Instanyl</w:t>
      </w:r>
      <w:r w:rsidRPr="00D663C7">
        <w:rPr>
          <w:rFonts w:cs="Arial"/>
          <w:sz w:val="20"/>
          <w:szCs w:val="22"/>
          <w:lang w:val="en-CA"/>
        </w:rPr>
        <w:t>); PID=pain intensity difference.</w:t>
      </w:r>
    </w:p>
    <w:p w:rsidR="000D7367" w:rsidRPr="009C5C4E" w:rsidRDefault="000D7367" w:rsidP="009C5C4E">
      <w:r w:rsidRPr="009C5C4E">
        <w:t>Both of the secondary endpoints, sum of the pain intensity difference at the first 60 minutes post-dose (SPID0-60) and general impression scores</w:t>
      </w:r>
      <w:r w:rsidR="003C0D4F" w:rsidRPr="009C5C4E">
        <w:t xml:space="preserve"> (GI)</w:t>
      </w:r>
      <w:r w:rsidRPr="009C5C4E">
        <w:t xml:space="preserve">, were also statistically significantly higher (p&lt;0.001) for all doses of </w:t>
      </w:r>
      <w:r w:rsidR="00E10B37" w:rsidRPr="009C5C4E">
        <w:t>INSTANYL</w:t>
      </w:r>
      <w:r w:rsidRPr="009C5C4E">
        <w:t xml:space="preserve"> compared with placebo (</w:t>
      </w:r>
      <w:r w:rsidR="00FD7C18" w:rsidRPr="009C5C4E">
        <w:t xml:space="preserve">Table </w:t>
      </w:r>
      <w:r w:rsidR="00FD7C18">
        <w:t>2</w:t>
      </w:r>
      <w:r w:rsidRPr="009C5C4E">
        <w:t>).</w:t>
      </w:r>
    </w:p>
    <w:p w:rsidR="00082C05" w:rsidRDefault="000D7367" w:rsidP="00BA7A1E">
      <w:pPr>
        <w:pStyle w:val="Caption"/>
        <w:keepNext/>
        <w:spacing w:before="0" w:after="0"/>
        <w:rPr>
          <w:rFonts w:ascii="Arial" w:hAnsi="Arial" w:cs="Arial"/>
          <w:sz w:val="22"/>
          <w:szCs w:val="22"/>
          <w:lang w:val="en-CA"/>
        </w:rPr>
      </w:pPr>
      <w:bookmarkStart w:id="2" w:name="_Ref296414503"/>
      <w:r w:rsidRPr="0054184E">
        <w:rPr>
          <w:rFonts w:ascii="Arial" w:hAnsi="Arial" w:cs="Arial"/>
          <w:sz w:val="22"/>
          <w:szCs w:val="22"/>
          <w:lang w:val="en-CA"/>
        </w:rPr>
        <w:t xml:space="preserve">Table </w:t>
      </w:r>
      <w:bookmarkEnd w:id="2"/>
      <w:r w:rsidR="002025B2">
        <w:rPr>
          <w:rFonts w:ascii="Arial" w:hAnsi="Arial" w:cs="Arial"/>
          <w:sz w:val="22"/>
          <w:szCs w:val="22"/>
          <w:lang w:val="en-CA"/>
        </w:rPr>
        <w:t>2</w:t>
      </w:r>
      <w:r w:rsidRPr="0054184E">
        <w:rPr>
          <w:rFonts w:ascii="Arial" w:hAnsi="Arial" w:cs="Arial"/>
          <w:sz w:val="22"/>
          <w:szCs w:val="22"/>
          <w:lang w:val="en-CA"/>
        </w:rPr>
        <w:t xml:space="preserve">.  Study FT-017-IM Secondary Efficacy Endpoints - General Impression Score at 60 minutes and SPID0-60 by </w:t>
      </w:r>
      <w:r w:rsidR="00E10B37">
        <w:rPr>
          <w:rFonts w:ascii="Arial" w:hAnsi="Arial" w:cs="Arial"/>
          <w:sz w:val="22"/>
          <w:szCs w:val="22"/>
          <w:lang w:val="en-CA"/>
        </w:rPr>
        <w:t>INSTANYL</w:t>
      </w:r>
      <w:r w:rsidRPr="0054184E">
        <w:rPr>
          <w:rFonts w:ascii="Arial" w:hAnsi="Arial" w:cs="Arial"/>
          <w:sz w:val="22"/>
          <w:szCs w:val="22"/>
          <w:lang w:val="en-CA"/>
        </w:rPr>
        <w:t xml:space="preserve"> Dose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7"/>
        <w:gridCol w:w="3096"/>
        <w:gridCol w:w="3096"/>
      </w:tblGrid>
      <w:tr w:rsidR="000D7367" w:rsidRPr="00D663C7" w:rsidTr="00D663C7">
        <w:tc>
          <w:tcPr>
            <w:tcW w:w="2987" w:type="dxa"/>
          </w:tcPr>
          <w:p w:rsidR="000D7367" w:rsidRPr="00D663C7" w:rsidRDefault="000D7367" w:rsidP="00BA7A1E">
            <w:pPr>
              <w:keepNext/>
              <w:spacing w:after="0"/>
              <w:jc w:val="center"/>
              <w:rPr>
                <w:rFonts w:cs="Arial"/>
                <w:b/>
                <w:sz w:val="20"/>
                <w:szCs w:val="22"/>
                <w:lang w:val="en-CA"/>
              </w:rPr>
            </w:pPr>
            <w:r w:rsidRPr="00D663C7">
              <w:rPr>
                <w:rFonts w:cs="Arial"/>
                <w:b/>
                <w:sz w:val="20"/>
                <w:szCs w:val="22"/>
                <w:lang w:val="en-CA"/>
              </w:rPr>
              <w:t>ITT population</w:t>
            </w:r>
          </w:p>
        </w:tc>
        <w:tc>
          <w:tcPr>
            <w:tcW w:w="3096" w:type="dxa"/>
          </w:tcPr>
          <w:p w:rsidR="000D7367" w:rsidRPr="00D663C7" w:rsidRDefault="000D7367" w:rsidP="00BA7A1E">
            <w:pPr>
              <w:keepNext/>
              <w:spacing w:after="0"/>
              <w:jc w:val="center"/>
              <w:rPr>
                <w:rFonts w:cs="Arial"/>
                <w:b/>
                <w:sz w:val="20"/>
                <w:szCs w:val="22"/>
                <w:lang w:val="en-CA"/>
              </w:rPr>
            </w:pPr>
            <w:r w:rsidRPr="00D663C7">
              <w:rPr>
                <w:rFonts w:cs="Arial"/>
                <w:b/>
                <w:sz w:val="20"/>
                <w:szCs w:val="22"/>
                <w:lang w:val="en-CA"/>
              </w:rPr>
              <w:t>GI at 60 minutes</w:t>
            </w:r>
          </w:p>
          <w:p w:rsidR="000D7367" w:rsidRPr="00D663C7" w:rsidRDefault="000D7367" w:rsidP="00BA7A1E">
            <w:pPr>
              <w:keepNext/>
              <w:spacing w:after="0"/>
              <w:jc w:val="center"/>
              <w:rPr>
                <w:rFonts w:cs="Arial"/>
                <w:b/>
                <w:sz w:val="20"/>
                <w:szCs w:val="22"/>
                <w:lang w:val="en-CA"/>
              </w:rPr>
            </w:pPr>
            <w:r w:rsidRPr="00D663C7">
              <w:rPr>
                <w:rFonts w:cs="Arial"/>
                <w:b/>
                <w:sz w:val="20"/>
                <w:szCs w:val="22"/>
                <w:lang w:val="en-CA"/>
              </w:rPr>
              <w:t>Mean (SD)</w:t>
            </w:r>
          </w:p>
        </w:tc>
        <w:tc>
          <w:tcPr>
            <w:tcW w:w="3096" w:type="dxa"/>
          </w:tcPr>
          <w:p w:rsidR="000D7367" w:rsidRPr="00D663C7" w:rsidRDefault="000D7367" w:rsidP="00BA7A1E">
            <w:pPr>
              <w:keepNext/>
              <w:spacing w:after="0"/>
              <w:jc w:val="center"/>
              <w:rPr>
                <w:rFonts w:cs="Arial"/>
                <w:b/>
                <w:sz w:val="20"/>
                <w:szCs w:val="22"/>
                <w:lang w:val="en-CA"/>
              </w:rPr>
            </w:pPr>
            <w:r w:rsidRPr="00D663C7">
              <w:rPr>
                <w:rFonts w:cs="Arial"/>
                <w:b/>
                <w:sz w:val="20"/>
                <w:szCs w:val="22"/>
                <w:lang w:val="en-CA"/>
              </w:rPr>
              <w:t>SPID</w:t>
            </w:r>
            <w:r w:rsidRPr="00D663C7">
              <w:rPr>
                <w:rFonts w:cs="Arial"/>
                <w:b/>
                <w:sz w:val="20"/>
                <w:szCs w:val="22"/>
                <w:vertAlign w:val="subscript"/>
                <w:lang w:val="en-CA"/>
              </w:rPr>
              <w:t>0-60</w:t>
            </w:r>
          </w:p>
          <w:p w:rsidR="000D7367" w:rsidRPr="00D663C7" w:rsidRDefault="000D7367" w:rsidP="00BA7A1E">
            <w:pPr>
              <w:keepNext/>
              <w:spacing w:after="0"/>
              <w:jc w:val="center"/>
              <w:rPr>
                <w:rFonts w:cs="Arial"/>
                <w:b/>
                <w:sz w:val="20"/>
                <w:szCs w:val="22"/>
                <w:lang w:val="en-CA"/>
              </w:rPr>
            </w:pPr>
            <w:r w:rsidRPr="00D663C7">
              <w:rPr>
                <w:rFonts w:cs="Arial"/>
                <w:b/>
                <w:sz w:val="20"/>
                <w:szCs w:val="22"/>
                <w:lang w:val="en-CA"/>
              </w:rPr>
              <w:t>Mean (SD)</w:t>
            </w:r>
          </w:p>
        </w:tc>
      </w:tr>
      <w:tr w:rsidR="000D7367" w:rsidRPr="00D663C7" w:rsidTr="00D663C7">
        <w:tc>
          <w:tcPr>
            <w:tcW w:w="2987" w:type="dxa"/>
          </w:tcPr>
          <w:p w:rsidR="000D7367" w:rsidRPr="00D663C7" w:rsidRDefault="000D7367" w:rsidP="00BA7A1E">
            <w:pPr>
              <w:keepNext/>
              <w:spacing w:after="0"/>
              <w:rPr>
                <w:rFonts w:cs="Arial"/>
                <w:sz w:val="20"/>
                <w:szCs w:val="22"/>
                <w:lang w:val="en-CA"/>
              </w:rPr>
            </w:pPr>
            <w:r w:rsidRPr="00D663C7">
              <w:rPr>
                <w:rFonts w:cs="Arial"/>
                <w:sz w:val="20"/>
                <w:szCs w:val="22"/>
                <w:lang w:val="en-CA"/>
              </w:rPr>
              <w:t>Placebo (N=146)</w:t>
            </w:r>
          </w:p>
        </w:tc>
        <w:tc>
          <w:tcPr>
            <w:tcW w:w="3096" w:type="dxa"/>
          </w:tcPr>
          <w:p w:rsidR="000D7367" w:rsidRPr="00D663C7" w:rsidRDefault="000D7367" w:rsidP="00BA7A1E">
            <w:pPr>
              <w:keepNext/>
              <w:spacing w:after="0"/>
              <w:jc w:val="center"/>
              <w:rPr>
                <w:rFonts w:cs="Arial"/>
                <w:sz w:val="20"/>
                <w:szCs w:val="22"/>
                <w:lang w:val="en-CA"/>
              </w:rPr>
            </w:pPr>
            <w:r w:rsidRPr="00D663C7">
              <w:rPr>
                <w:rFonts w:cs="Arial"/>
                <w:sz w:val="20"/>
                <w:szCs w:val="22"/>
                <w:lang w:val="en-CA"/>
              </w:rPr>
              <w:t>0.96 (0.86)</w:t>
            </w:r>
          </w:p>
        </w:tc>
        <w:tc>
          <w:tcPr>
            <w:tcW w:w="3096" w:type="dxa"/>
          </w:tcPr>
          <w:p w:rsidR="000D7367" w:rsidRPr="00D663C7" w:rsidRDefault="000D7367" w:rsidP="00BA7A1E">
            <w:pPr>
              <w:keepNext/>
              <w:spacing w:after="0"/>
              <w:jc w:val="center"/>
              <w:rPr>
                <w:rFonts w:cs="Arial"/>
                <w:sz w:val="20"/>
                <w:szCs w:val="22"/>
                <w:lang w:val="en-CA"/>
              </w:rPr>
            </w:pPr>
            <w:r w:rsidRPr="00D663C7">
              <w:rPr>
                <w:rFonts w:cs="Arial"/>
                <w:sz w:val="20"/>
                <w:szCs w:val="22"/>
                <w:lang w:val="en-CA"/>
              </w:rPr>
              <w:t>2.02 (1.50)</w:t>
            </w:r>
          </w:p>
        </w:tc>
      </w:tr>
      <w:tr w:rsidR="000D7367" w:rsidRPr="00D663C7" w:rsidTr="00D663C7">
        <w:tc>
          <w:tcPr>
            <w:tcW w:w="2987" w:type="dxa"/>
          </w:tcPr>
          <w:p w:rsidR="000D7367" w:rsidRPr="00D663C7" w:rsidRDefault="000D7367" w:rsidP="00BA7A1E">
            <w:pPr>
              <w:keepNext/>
              <w:spacing w:after="0"/>
              <w:rPr>
                <w:rFonts w:cs="Arial"/>
                <w:sz w:val="20"/>
                <w:szCs w:val="22"/>
                <w:lang w:val="en-CA"/>
              </w:rPr>
            </w:pPr>
            <w:r w:rsidRPr="00D663C7">
              <w:rPr>
                <w:rFonts w:cs="Arial"/>
                <w:sz w:val="20"/>
                <w:szCs w:val="22"/>
                <w:lang w:val="en-CA"/>
              </w:rPr>
              <w:t xml:space="preserve">Fentanyl 50 </w:t>
            </w:r>
            <w:r w:rsidR="000549C9">
              <w:rPr>
                <w:rFonts w:cs="Arial"/>
                <w:sz w:val="20"/>
                <w:szCs w:val="22"/>
                <w:lang w:val="en-CA"/>
              </w:rPr>
              <w:t>µ</w:t>
            </w:r>
            <w:r w:rsidRPr="00D663C7">
              <w:rPr>
                <w:rFonts w:cs="Arial"/>
                <w:sz w:val="20"/>
                <w:szCs w:val="22"/>
                <w:lang w:val="en-CA"/>
              </w:rPr>
              <w:t>g (N=148)</w:t>
            </w:r>
          </w:p>
        </w:tc>
        <w:tc>
          <w:tcPr>
            <w:tcW w:w="3096" w:type="dxa"/>
          </w:tcPr>
          <w:p w:rsidR="000D7367" w:rsidRPr="00D663C7" w:rsidRDefault="000D7367" w:rsidP="00BA7A1E">
            <w:pPr>
              <w:keepNext/>
              <w:spacing w:after="0"/>
              <w:jc w:val="center"/>
              <w:rPr>
                <w:rFonts w:cs="Arial"/>
                <w:sz w:val="20"/>
                <w:szCs w:val="22"/>
                <w:lang w:val="en-CA"/>
              </w:rPr>
            </w:pPr>
            <w:r w:rsidRPr="00D663C7">
              <w:rPr>
                <w:rFonts w:cs="Arial"/>
                <w:sz w:val="20"/>
                <w:szCs w:val="22"/>
                <w:lang w:val="en-CA"/>
              </w:rPr>
              <w:t>1.32 (0.96)*</w:t>
            </w:r>
          </w:p>
        </w:tc>
        <w:tc>
          <w:tcPr>
            <w:tcW w:w="3096" w:type="dxa"/>
          </w:tcPr>
          <w:p w:rsidR="000D7367" w:rsidRPr="00D663C7" w:rsidRDefault="000D7367" w:rsidP="00BA7A1E">
            <w:pPr>
              <w:keepNext/>
              <w:spacing w:after="0"/>
              <w:jc w:val="center"/>
              <w:rPr>
                <w:rFonts w:cs="Arial"/>
                <w:sz w:val="20"/>
                <w:szCs w:val="22"/>
                <w:lang w:val="en-CA"/>
              </w:rPr>
            </w:pPr>
            <w:r w:rsidRPr="00D663C7">
              <w:rPr>
                <w:rFonts w:cs="Arial"/>
                <w:sz w:val="20"/>
                <w:szCs w:val="22"/>
                <w:lang w:val="en-CA"/>
              </w:rPr>
              <w:t>2.64 (1.59)*</w:t>
            </w:r>
          </w:p>
        </w:tc>
      </w:tr>
      <w:tr w:rsidR="000D7367" w:rsidRPr="00D663C7" w:rsidTr="00D663C7">
        <w:tc>
          <w:tcPr>
            <w:tcW w:w="2987" w:type="dxa"/>
          </w:tcPr>
          <w:p w:rsidR="000D7367" w:rsidRPr="00D663C7" w:rsidRDefault="000D7367" w:rsidP="00BA7A1E">
            <w:pPr>
              <w:keepNext/>
              <w:spacing w:after="0"/>
              <w:rPr>
                <w:rFonts w:cs="Arial"/>
                <w:sz w:val="20"/>
                <w:szCs w:val="22"/>
                <w:lang w:val="en-CA"/>
              </w:rPr>
            </w:pPr>
            <w:r w:rsidRPr="00D663C7">
              <w:rPr>
                <w:rFonts w:cs="Arial"/>
                <w:sz w:val="20"/>
                <w:szCs w:val="22"/>
                <w:lang w:val="en-CA"/>
              </w:rPr>
              <w:t xml:space="preserve">Fentanyl 100 </w:t>
            </w:r>
            <w:r w:rsidR="000549C9">
              <w:rPr>
                <w:rFonts w:cs="Arial"/>
                <w:sz w:val="20"/>
                <w:szCs w:val="22"/>
                <w:lang w:val="en-CA"/>
              </w:rPr>
              <w:t>µ</w:t>
            </w:r>
            <w:r w:rsidRPr="00D663C7">
              <w:rPr>
                <w:rFonts w:cs="Arial"/>
                <w:sz w:val="20"/>
                <w:szCs w:val="22"/>
                <w:lang w:val="en-CA"/>
              </w:rPr>
              <w:t>g (N=149)</w:t>
            </w:r>
          </w:p>
        </w:tc>
        <w:tc>
          <w:tcPr>
            <w:tcW w:w="3096" w:type="dxa"/>
          </w:tcPr>
          <w:p w:rsidR="000D7367" w:rsidRPr="00D663C7" w:rsidRDefault="000D7367" w:rsidP="00BA7A1E">
            <w:pPr>
              <w:keepNext/>
              <w:spacing w:after="0"/>
              <w:jc w:val="center"/>
              <w:rPr>
                <w:rFonts w:cs="Arial"/>
                <w:sz w:val="20"/>
                <w:szCs w:val="22"/>
                <w:lang w:val="en-CA"/>
              </w:rPr>
            </w:pPr>
            <w:r w:rsidRPr="00D663C7">
              <w:rPr>
                <w:rFonts w:cs="Arial"/>
                <w:sz w:val="20"/>
                <w:szCs w:val="22"/>
                <w:lang w:val="en-CA"/>
              </w:rPr>
              <w:t>1.57 (0.85)*</w:t>
            </w:r>
          </w:p>
        </w:tc>
        <w:tc>
          <w:tcPr>
            <w:tcW w:w="3096" w:type="dxa"/>
          </w:tcPr>
          <w:p w:rsidR="000D7367" w:rsidRPr="00D663C7" w:rsidRDefault="000D7367" w:rsidP="00BA7A1E">
            <w:pPr>
              <w:keepNext/>
              <w:spacing w:after="0"/>
              <w:jc w:val="center"/>
              <w:rPr>
                <w:rFonts w:cs="Arial"/>
                <w:sz w:val="20"/>
                <w:szCs w:val="22"/>
                <w:lang w:val="en-CA"/>
              </w:rPr>
            </w:pPr>
            <w:r w:rsidRPr="00D663C7">
              <w:rPr>
                <w:rFonts w:cs="Arial"/>
                <w:sz w:val="20"/>
                <w:szCs w:val="22"/>
                <w:lang w:val="en-CA"/>
              </w:rPr>
              <w:t>3.10 (1.68)*</w:t>
            </w:r>
          </w:p>
        </w:tc>
      </w:tr>
      <w:tr w:rsidR="000D7367" w:rsidRPr="00D663C7" w:rsidTr="00D663C7">
        <w:tc>
          <w:tcPr>
            <w:tcW w:w="2987" w:type="dxa"/>
          </w:tcPr>
          <w:p w:rsidR="000D7367" w:rsidRPr="00D663C7" w:rsidRDefault="000D7367" w:rsidP="00D663C7">
            <w:pPr>
              <w:spacing w:after="0"/>
              <w:rPr>
                <w:rFonts w:cs="Arial"/>
                <w:sz w:val="20"/>
                <w:szCs w:val="22"/>
                <w:lang w:val="en-CA"/>
              </w:rPr>
            </w:pPr>
            <w:r w:rsidRPr="00D663C7">
              <w:rPr>
                <w:rFonts w:cs="Arial"/>
                <w:sz w:val="20"/>
                <w:szCs w:val="22"/>
                <w:lang w:val="en-CA"/>
              </w:rPr>
              <w:t xml:space="preserve">Fentanyl 200 </w:t>
            </w:r>
            <w:r w:rsidR="000549C9">
              <w:rPr>
                <w:rFonts w:cs="Arial"/>
                <w:sz w:val="20"/>
                <w:szCs w:val="22"/>
                <w:lang w:val="en-CA"/>
              </w:rPr>
              <w:t>µ</w:t>
            </w:r>
            <w:r w:rsidRPr="00D663C7">
              <w:rPr>
                <w:rFonts w:cs="Arial"/>
                <w:sz w:val="20"/>
                <w:szCs w:val="22"/>
                <w:lang w:val="en-CA"/>
              </w:rPr>
              <w:t>g (N=148)</w:t>
            </w:r>
          </w:p>
        </w:tc>
        <w:tc>
          <w:tcPr>
            <w:tcW w:w="3096" w:type="dxa"/>
          </w:tcPr>
          <w:p w:rsidR="000D7367" w:rsidRPr="00D663C7" w:rsidRDefault="000D7367" w:rsidP="00D663C7">
            <w:pPr>
              <w:spacing w:after="0"/>
              <w:jc w:val="center"/>
              <w:rPr>
                <w:rFonts w:cs="Arial"/>
                <w:sz w:val="20"/>
                <w:szCs w:val="22"/>
                <w:lang w:val="en-CA"/>
              </w:rPr>
            </w:pPr>
            <w:r w:rsidRPr="00D663C7">
              <w:rPr>
                <w:rFonts w:cs="Arial"/>
                <w:sz w:val="20"/>
                <w:szCs w:val="22"/>
                <w:lang w:val="en-CA"/>
              </w:rPr>
              <w:t>1.90 (0.97)*</w:t>
            </w:r>
          </w:p>
        </w:tc>
        <w:tc>
          <w:tcPr>
            <w:tcW w:w="3096" w:type="dxa"/>
          </w:tcPr>
          <w:p w:rsidR="000D7367" w:rsidRPr="00D663C7" w:rsidRDefault="000D7367" w:rsidP="00D663C7">
            <w:pPr>
              <w:spacing w:after="0"/>
              <w:jc w:val="center"/>
              <w:rPr>
                <w:rFonts w:cs="Arial"/>
                <w:sz w:val="20"/>
                <w:szCs w:val="22"/>
                <w:lang w:val="en-CA"/>
              </w:rPr>
            </w:pPr>
            <w:r w:rsidRPr="00D663C7">
              <w:rPr>
                <w:rFonts w:cs="Arial"/>
                <w:sz w:val="20"/>
                <w:szCs w:val="22"/>
                <w:lang w:val="en-CA"/>
              </w:rPr>
              <w:t>3.53 (1.83)*</w:t>
            </w:r>
          </w:p>
        </w:tc>
      </w:tr>
    </w:tbl>
    <w:p w:rsidR="000D7367" w:rsidRPr="00D663C7" w:rsidRDefault="000D7367" w:rsidP="00D663C7">
      <w:pPr>
        <w:spacing w:after="0"/>
        <w:rPr>
          <w:rFonts w:cs="Arial"/>
          <w:sz w:val="20"/>
          <w:szCs w:val="22"/>
          <w:lang w:val="en-CA"/>
        </w:rPr>
      </w:pPr>
      <w:r w:rsidRPr="00D663C7">
        <w:rPr>
          <w:rFonts w:cs="Arial"/>
          <w:sz w:val="20"/>
          <w:szCs w:val="22"/>
          <w:lang w:val="en-CA"/>
        </w:rPr>
        <w:t>GI=general impression; ITT=intent to treat; SD=standard deviation; SPID</w:t>
      </w:r>
      <w:r w:rsidRPr="00D663C7">
        <w:rPr>
          <w:rFonts w:cs="Arial"/>
          <w:sz w:val="20"/>
          <w:szCs w:val="22"/>
          <w:vertAlign w:val="subscript"/>
          <w:lang w:val="en-CA"/>
        </w:rPr>
        <w:t>0-60</w:t>
      </w:r>
      <w:r w:rsidRPr="00D663C7">
        <w:rPr>
          <w:rFonts w:cs="Arial"/>
          <w:sz w:val="20"/>
          <w:szCs w:val="22"/>
          <w:lang w:val="en-CA"/>
        </w:rPr>
        <w:t>=sum of pain intensity differences from 0 to 60 minutes.</w:t>
      </w:r>
    </w:p>
    <w:p w:rsidR="000D7367" w:rsidRPr="00D663C7" w:rsidRDefault="000D7367" w:rsidP="0054184E">
      <w:pPr>
        <w:spacing w:after="120"/>
        <w:rPr>
          <w:rFonts w:cs="Arial"/>
          <w:sz w:val="20"/>
          <w:szCs w:val="22"/>
          <w:lang w:val="en-CA"/>
        </w:rPr>
      </w:pPr>
      <w:r w:rsidRPr="00D663C7">
        <w:rPr>
          <w:rFonts w:cs="Arial"/>
          <w:sz w:val="20"/>
          <w:szCs w:val="22"/>
          <w:lang w:val="en-CA"/>
        </w:rPr>
        <w:t>* p&lt;0.001 compared to placebo.</w:t>
      </w:r>
    </w:p>
    <w:p w:rsidR="000D7367" w:rsidRPr="009C5C4E" w:rsidRDefault="000D7367" w:rsidP="009C5C4E">
      <w:r w:rsidRPr="009C5C4E">
        <w:t xml:space="preserve">The effect for all efficacy parameters increased with dose, and all doses of </w:t>
      </w:r>
      <w:r w:rsidR="00E10B37" w:rsidRPr="009C5C4E">
        <w:t>INSTANYL</w:t>
      </w:r>
      <w:r w:rsidRPr="009C5C4E">
        <w:t xml:space="preserve"> were well tolerated and clinically effective regardless of the background level of opioid use.</w:t>
      </w:r>
    </w:p>
    <w:p w:rsidR="000D7367" w:rsidRPr="009C5C4E" w:rsidRDefault="000D7367" w:rsidP="009C5C4E">
      <w:r w:rsidRPr="009C5C4E">
        <w:t xml:space="preserve">A second pivotal study, FT-018-IM, for </w:t>
      </w:r>
      <w:r w:rsidR="003C0D4F" w:rsidRPr="009C5C4E">
        <w:t>BTP</w:t>
      </w:r>
      <w:r w:rsidRPr="009C5C4E">
        <w:t xml:space="preserve"> in cancer patient</w:t>
      </w:r>
      <w:r w:rsidR="006758E4" w:rsidRPr="009C5C4E">
        <w:t>s</w:t>
      </w:r>
      <w:r w:rsidRPr="009C5C4E">
        <w:t xml:space="preserve"> consist</w:t>
      </w:r>
      <w:r w:rsidR="00746FF3" w:rsidRPr="009C5C4E">
        <w:t>ed</w:t>
      </w:r>
      <w:r w:rsidRPr="009C5C4E">
        <w:t xml:space="preserve"> of three phases: an open-label dose-titration phase, a double-blind, randomized, placebo-controlled, cross-over efficacy </w:t>
      </w:r>
      <w:r w:rsidRPr="009C5C4E">
        <w:lastRenderedPageBreak/>
        <w:t xml:space="preserve">assessment phase, and an uncontrolled safety follow-up phase.  The primary objectives of the study were to confirm the efficacy of </w:t>
      </w:r>
      <w:r w:rsidR="00E10B37" w:rsidRPr="009C5C4E">
        <w:t>INSTANYL</w:t>
      </w:r>
      <w:r w:rsidRPr="009C5C4E">
        <w:t xml:space="preserve"> titrated to doses 50, 100 or 200 </w:t>
      </w:r>
      <w:r w:rsidR="000549C9" w:rsidRPr="009C5C4E">
        <w:t>µ</w:t>
      </w:r>
      <w:r w:rsidRPr="009C5C4E">
        <w:t xml:space="preserve">g for the treatment of </w:t>
      </w:r>
      <w:r w:rsidR="003C0D4F" w:rsidRPr="009C5C4E">
        <w:t>BTP</w:t>
      </w:r>
      <w:r w:rsidRPr="009C5C4E">
        <w:t xml:space="preserve"> in cancer patients, and to establish the long-term safety of </w:t>
      </w:r>
      <w:r w:rsidR="00E10B37" w:rsidRPr="009C5C4E">
        <w:t>INSTANYL</w:t>
      </w:r>
      <w:r w:rsidRPr="009C5C4E">
        <w:t xml:space="preserve"> treatment.  All patients in the study were receiving stable doses of chronic opioid treatment.  </w:t>
      </w:r>
      <w:r w:rsidR="00CE5F71">
        <w:t xml:space="preserve">Chronic opioid treatment is defined as </w:t>
      </w:r>
      <w:r w:rsidR="00CE5F71" w:rsidRPr="009C5C4E">
        <w:t xml:space="preserve">equivalent to 60-500 mg/day oral morphine or to 25-200 µg/hour transdermal fentanyl, which in general reduced the intensity of the background pain to a mild level (≤ 4 on an 11-point NRS). </w:t>
      </w:r>
      <w:r w:rsidRPr="009C5C4E">
        <w:t xml:space="preserve">Patients included in this study were also experiencing </w:t>
      </w:r>
      <w:r w:rsidR="003C0D4F" w:rsidRPr="009C5C4E">
        <w:t xml:space="preserve">BTP </w:t>
      </w:r>
      <w:r w:rsidRPr="009C5C4E">
        <w:t>episodes at least 3 times per week but not more than 4 episodes per day</w:t>
      </w:r>
      <w:r w:rsidR="00DC598D" w:rsidRPr="009C5C4E">
        <w:t xml:space="preserve"> and many patients enrolled in this study had previously demonstrated tolerance of opiods for BTP.</w:t>
      </w:r>
    </w:p>
    <w:p w:rsidR="000D7367" w:rsidRPr="009C5C4E" w:rsidRDefault="000D7367" w:rsidP="009C5C4E">
      <w:r w:rsidRPr="009C5C4E">
        <w:t xml:space="preserve">In the dose titration phase, the </w:t>
      </w:r>
      <w:r w:rsidR="00E10B37" w:rsidRPr="009C5C4E">
        <w:t>INSTANYL</w:t>
      </w:r>
      <w:r w:rsidRPr="009C5C4E">
        <w:t xml:space="preserve"> dose was increased from 50 to 200 </w:t>
      </w:r>
      <w:r w:rsidR="000549C9" w:rsidRPr="009C5C4E">
        <w:t>µ</w:t>
      </w:r>
      <w:r w:rsidRPr="009C5C4E">
        <w:t>g depending on efficacy and tolerability, until 3 of 4 episodes were treated successfully.  In the efficacy phase, the</w:t>
      </w:r>
      <w:r w:rsidRPr="0054184E">
        <w:rPr>
          <w:rFonts w:cs="Arial"/>
          <w:szCs w:val="22"/>
          <w:lang w:val="en-CA"/>
        </w:rPr>
        <w:t xml:space="preserve"> </w:t>
      </w:r>
      <w:r w:rsidRPr="009C5C4E">
        <w:t xml:space="preserve">optimal dose from the titration phase was tested against placebo for the treatment of 8 episodes of </w:t>
      </w:r>
      <w:r w:rsidR="003C0D4F" w:rsidRPr="009C5C4E">
        <w:t>BTP</w:t>
      </w:r>
      <w:r w:rsidRPr="009C5C4E">
        <w:t xml:space="preserve"> (6 with </w:t>
      </w:r>
      <w:r w:rsidR="00E10B37" w:rsidRPr="009C5C4E">
        <w:t>INSTANYL</w:t>
      </w:r>
      <w:r w:rsidRPr="009C5C4E">
        <w:t xml:space="preserve">, 2 with placebo) over a period of approximately 3 weeks.  Patients received a single dose at the onset of each episode of </w:t>
      </w:r>
      <w:r w:rsidR="003C0D4F" w:rsidRPr="009C5C4E">
        <w:t xml:space="preserve">BTP </w:t>
      </w:r>
      <w:r w:rsidRPr="009C5C4E">
        <w:t xml:space="preserve">(up to 4 per day), with a second dose allowed after 10 minutes if the first dose provided inadequate pain relief.  In the safety follow-up phase, patients continued treatment with the dose of </w:t>
      </w:r>
      <w:r w:rsidR="00E10B37" w:rsidRPr="009C5C4E">
        <w:t>INSTANYL</w:t>
      </w:r>
      <w:r w:rsidRPr="009C5C4E">
        <w:t xml:space="preserve"> selected in the titration phase, with dose adjustment if needed.  In the efficacy phase, the primary efficacy endpoint was PID10 reflecting the importance of a fast onset of action and rapid pain relief. The secondary efficacy variables were SPID0-60, general impression score, and the relationship between the dose of background pain opioid treatment and the titrated </w:t>
      </w:r>
      <w:r w:rsidR="00E10B37" w:rsidRPr="009C5C4E">
        <w:t>INSTANYL</w:t>
      </w:r>
      <w:r w:rsidR="003E3580" w:rsidRPr="009C5C4E">
        <w:t xml:space="preserve"> </w:t>
      </w:r>
      <w:r w:rsidRPr="009C5C4E">
        <w:t>dose.</w:t>
      </w:r>
      <w:r w:rsidR="0087289D" w:rsidRPr="009C5C4E">
        <w:t xml:space="preserve"> </w:t>
      </w:r>
      <w:r w:rsidR="00E10B37" w:rsidRPr="009C5C4E">
        <w:t>INSTANYL</w:t>
      </w:r>
      <w:r w:rsidR="003E3580" w:rsidRPr="009C5C4E">
        <w:t xml:space="preserve"> </w:t>
      </w:r>
      <w:r w:rsidRPr="009C5C4E">
        <w:t xml:space="preserve">(all doses pooled) was found to be superior to placebo in treating </w:t>
      </w:r>
      <w:r w:rsidR="003C0D4F" w:rsidRPr="009C5C4E">
        <w:t>B</w:t>
      </w:r>
      <w:r w:rsidR="00746FF3" w:rsidRPr="009C5C4E">
        <w:t>TP</w:t>
      </w:r>
      <w:r w:rsidRPr="009C5C4E">
        <w:t xml:space="preserve"> in cancer patients, all doses of </w:t>
      </w:r>
      <w:r w:rsidR="00E10B37" w:rsidRPr="009C5C4E">
        <w:t>INSTANYL</w:t>
      </w:r>
      <w:r w:rsidRPr="009C5C4E">
        <w:t xml:space="preserve"> provided higher mean PID10 scores in comparison with placebo.  For all fentanyl doses pooled, PID10 scores were statistically </w:t>
      </w:r>
      <w:r w:rsidR="003C0D4F" w:rsidRPr="009C5C4E">
        <w:t xml:space="preserve">and clinically </w:t>
      </w:r>
      <w:r w:rsidRPr="009C5C4E">
        <w:t xml:space="preserve">significantly higher than placebo, with a least squares (LS) mean versus placebo of 1.26 (p&lt;0.001).  </w:t>
      </w:r>
      <w:r w:rsidR="00E10B37" w:rsidRPr="009C5C4E">
        <w:t>INSTANYL</w:t>
      </w:r>
      <w:r w:rsidRPr="009C5C4E">
        <w:t xml:space="preserve"> was statistically </w:t>
      </w:r>
      <w:r w:rsidR="003C0D4F" w:rsidRPr="009C5C4E">
        <w:t xml:space="preserve">and clinically </w:t>
      </w:r>
      <w:r w:rsidRPr="009C5C4E">
        <w:t>superior to placebo for the primary efficacy endpoint of PID10 (</w:t>
      </w:r>
      <w:r w:rsidR="00FD7C18" w:rsidRPr="009C5C4E">
        <w:t>Table 3</w:t>
      </w:r>
      <w:r w:rsidRPr="009C5C4E">
        <w:t>).</w:t>
      </w:r>
    </w:p>
    <w:p w:rsidR="00082C05" w:rsidRDefault="000D7367" w:rsidP="00082C05">
      <w:pPr>
        <w:pStyle w:val="Caption"/>
        <w:keepNext/>
        <w:spacing w:before="0" w:after="0"/>
        <w:rPr>
          <w:rFonts w:ascii="Arial" w:hAnsi="Arial" w:cs="Arial"/>
          <w:sz w:val="22"/>
          <w:szCs w:val="22"/>
          <w:lang w:val="en-CA"/>
        </w:rPr>
      </w:pPr>
      <w:bookmarkStart w:id="3" w:name="_Ref296414546"/>
      <w:r w:rsidRPr="0054184E">
        <w:rPr>
          <w:rFonts w:ascii="Arial" w:hAnsi="Arial" w:cs="Arial"/>
          <w:sz w:val="22"/>
          <w:szCs w:val="22"/>
          <w:lang w:val="en-CA"/>
        </w:rPr>
        <w:t xml:space="preserve">Table </w:t>
      </w:r>
      <w:bookmarkEnd w:id="3"/>
      <w:r w:rsidR="002025B2">
        <w:rPr>
          <w:rFonts w:ascii="Arial" w:hAnsi="Arial" w:cs="Arial"/>
          <w:sz w:val="22"/>
          <w:szCs w:val="22"/>
          <w:lang w:val="en-CA"/>
        </w:rPr>
        <w:t>3</w:t>
      </w:r>
      <w:r w:rsidRPr="0054184E">
        <w:rPr>
          <w:rFonts w:ascii="Arial" w:hAnsi="Arial" w:cs="Arial"/>
          <w:sz w:val="22"/>
          <w:szCs w:val="22"/>
          <w:lang w:val="en-CA"/>
        </w:rPr>
        <w:t>.  Study FT-018-IM Primary Efficacy Endpoint – PID</w:t>
      </w:r>
      <w:r w:rsidR="00082C05" w:rsidRPr="00082C05">
        <w:rPr>
          <w:rFonts w:ascii="Arial" w:hAnsi="Arial" w:cs="Arial"/>
          <w:sz w:val="22"/>
          <w:szCs w:val="22"/>
          <w:lang w:val="en-CA"/>
        </w:rPr>
        <w:t xml:space="preserve">10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5"/>
        <w:gridCol w:w="2392"/>
        <w:gridCol w:w="2392"/>
      </w:tblGrid>
      <w:tr w:rsidR="000D7367" w:rsidRPr="00D663C7" w:rsidTr="00D663C7">
        <w:trPr>
          <w:trHeight w:val="550"/>
        </w:trPr>
        <w:tc>
          <w:tcPr>
            <w:tcW w:w="4395" w:type="dxa"/>
          </w:tcPr>
          <w:p w:rsidR="000D7367" w:rsidRPr="00D663C7" w:rsidRDefault="000D7367" w:rsidP="00D663C7">
            <w:pPr>
              <w:spacing w:after="0"/>
              <w:jc w:val="center"/>
              <w:rPr>
                <w:rFonts w:cs="Arial"/>
                <w:b/>
                <w:sz w:val="20"/>
                <w:szCs w:val="22"/>
                <w:lang w:val="en-CA"/>
              </w:rPr>
            </w:pPr>
            <w:r w:rsidRPr="00D663C7">
              <w:rPr>
                <w:rFonts w:cs="Arial"/>
                <w:b/>
                <w:sz w:val="20"/>
                <w:szCs w:val="22"/>
                <w:lang w:val="en-CA"/>
              </w:rPr>
              <w:t>ITT population</w:t>
            </w:r>
          </w:p>
        </w:tc>
        <w:tc>
          <w:tcPr>
            <w:tcW w:w="2392" w:type="dxa"/>
          </w:tcPr>
          <w:p w:rsidR="000D7367" w:rsidRPr="00D663C7" w:rsidRDefault="000D7367" w:rsidP="00D663C7">
            <w:pPr>
              <w:spacing w:after="0"/>
              <w:jc w:val="center"/>
              <w:rPr>
                <w:rFonts w:cs="Arial"/>
                <w:b/>
                <w:sz w:val="20"/>
                <w:szCs w:val="22"/>
                <w:lang w:val="en-CA"/>
              </w:rPr>
            </w:pPr>
            <w:r w:rsidRPr="00D663C7">
              <w:rPr>
                <w:rFonts w:cs="Arial"/>
                <w:b/>
                <w:sz w:val="20"/>
                <w:szCs w:val="22"/>
                <w:lang w:val="en-CA"/>
              </w:rPr>
              <w:t>PID</w:t>
            </w:r>
            <w:r w:rsidRPr="00D663C7">
              <w:rPr>
                <w:rFonts w:cs="Arial"/>
                <w:b/>
                <w:sz w:val="20"/>
                <w:szCs w:val="22"/>
                <w:vertAlign w:val="subscript"/>
                <w:lang w:val="en-CA"/>
              </w:rPr>
              <w:t>10</w:t>
            </w:r>
          </w:p>
          <w:p w:rsidR="000D7367" w:rsidRPr="00D663C7" w:rsidRDefault="000D7367" w:rsidP="00D663C7">
            <w:pPr>
              <w:spacing w:after="0"/>
              <w:jc w:val="center"/>
              <w:rPr>
                <w:rFonts w:cs="Arial"/>
                <w:b/>
                <w:sz w:val="20"/>
                <w:szCs w:val="22"/>
                <w:lang w:val="en-CA"/>
              </w:rPr>
            </w:pPr>
            <w:r w:rsidRPr="00D663C7">
              <w:rPr>
                <w:rFonts w:cs="Arial"/>
                <w:b/>
                <w:sz w:val="20"/>
                <w:szCs w:val="22"/>
                <w:lang w:val="en-CA"/>
              </w:rPr>
              <w:t>Mean (SD)</w:t>
            </w:r>
          </w:p>
        </w:tc>
        <w:tc>
          <w:tcPr>
            <w:tcW w:w="2392" w:type="dxa"/>
          </w:tcPr>
          <w:p w:rsidR="000D7367" w:rsidRPr="00D663C7" w:rsidRDefault="000D7367" w:rsidP="00D663C7">
            <w:pPr>
              <w:spacing w:after="0"/>
              <w:jc w:val="center"/>
              <w:rPr>
                <w:rFonts w:cs="Arial"/>
                <w:b/>
                <w:sz w:val="20"/>
                <w:szCs w:val="22"/>
                <w:lang w:val="en-CA"/>
              </w:rPr>
            </w:pPr>
            <w:r w:rsidRPr="00D663C7">
              <w:rPr>
                <w:rFonts w:cs="Arial"/>
                <w:b/>
                <w:sz w:val="20"/>
                <w:szCs w:val="22"/>
                <w:lang w:val="en-CA"/>
              </w:rPr>
              <w:t>PID</w:t>
            </w:r>
            <w:r w:rsidRPr="00D663C7">
              <w:rPr>
                <w:rFonts w:cs="Arial"/>
                <w:b/>
                <w:sz w:val="20"/>
                <w:szCs w:val="22"/>
                <w:vertAlign w:val="subscript"/>
                <w:lang w:val="en-CA"/>
              </w:rPr>
              <w:t>10</w:t>
            </w:r>
            <w:r w:rsidRPr="00D663C7">
              <w:rPr>
                <w:rFonts w:cs="Arial"/>
                <w:b/>
                <w:sz w:val="20"/>
                <w:szCs w:val="22"/>
                <w:lang w:val="en-CA"/>
              </w:rPr>
              <w:t xml:space="preserve"> responder rate (%) Mean (SD)</w:t>
            </w:r>
          </w:p>
        </w:tc>
      </w:tr>
      <w:tr w:rsidR="000D7367" w:rsidRPr="00D663C7" w:rsidTr="00D663C7">
        <w:tc>
          <w:tcPr>
            <w:tcW w:w="4395" w:type="dxa"/>
          </w:tcPr>
          <w:p w:rsidR="000D7367" w:rsidRPr="00D663C7" w:rsidRDefault="000D7367" w:rsidP="00D663C7">
            <w:pPr>
              <w:spacing w:after="0"/>
              <w:rPr>
                <w:rFonts w:cs="Arial"/>
                <w:sz w:val="20"/>
                <w:szCs w:val="22"/>
                <w:lang w:val="en-CA"/>
              </w:rPr>
            </w:pPr>
            <w:r w:rsidRPr="00D663C7">
              <w:rPr>
                <w:rFonts w:cs="Arial"/>
                <w:sz w:val="20"/>
                <w:szCs w:val="22"/>
                <w:lang w:val="en-CA"/>
              </w:rPr>
              <w:t>Placebo (N=110)</w:t>
            </w:r>
          </w:p>
        </w:tc>
        <w:tc>
          <w:tcPr>
            <w:tcW w:w="2392" w:type="dxa"/>
          </w:tcPr>
          <w:p w:rsidR="000D7367" w:rsidRPr="00D663C7" w:rsidRDefault="000D7367" w:rsidP="00D663C7">
            <w:pPr>
              <w:spacing w:after="0"/>
              <w:jc w:val="center"/>
              <w:rPr>
                <w:rFonts w:cs="Arial"/>
                <w:sz w:val="20"/>
                <w:szCs w:val="22"/>
                <w:lang w:val="en-CA"/>
              </w:rPr>
            </w:pPr>
            <w:r w:rsidRPr="00D663C7">
              <w:rPr>
                <w:rFonts w:cs="Arial"/>
                <w:sz w:val="20"/>
                <w:szCs w:val="22"/>
                <w:lang w:val="en-CA"/>
              </w:rPr>
              <w:t>1.28 (1.45)</w:t>
            </w:r>
          </w:p>
        </w:tc>
        <w:tc>
          <w:tcPr>
            <w:tcW w:w="2392" w:type="dxa"/>
          </w:tcPr>
          <w:p w:rsidR="000D7367" w:rsidRPr="00D663C7" w:rsidRDefault="000D7367" w:rsidP="00D663C7">
            <w:pPr>
              <w:spacing w:after="0"/>
              <w:jc w:val="center"/>
              <w:rPr>
                <w:rFonts w:cs="Arial"/>
                <w:sz w:val="20"/>
                <w:szCs w:val="22"/>
                <w:lang w:val="en-CA"/>
              </w:rPr>
            </w:pPr>
            <w:r w:rsidRPr="00D663C7">
              <w:rPr>
                <w:rFonts w:cs="Arial"/>
                <w:sz w:val="20"/>
                <w:szCs w:val="22"/>
                <w:lang w:val="en-CA"/>
              </w:rPr>
              <w:t>20.91 (34.12)</w:t>
            </w:r>
          </w:p>
        </w:tc>
      </w:tr>
      <w:tr w:rsidR="000D7367" w:rsidRPr="00D663C7" w:rsidTr="00D663C7">
        <w:tc>
          <w:tcPr>
            <w:tcW w:w="4395" w:type="dxa"/>
          </w:tcPr>
          <w:p w:rsidR="000D7367" w:rsidRPr="00D663C7" w:rsidRDefault="000D7367" w:rsidP="00D663C7">
            <w:pPr>
              <w:spacing w:after="0"/>
              <w:rPr>
                <w:rFonts w:cs="Arial"/>
                <w:sz w:val="20"/>
                <w:szCs w:val="22"/>
                <w:lang w:val="en-CA"/>
              </w:rPr>
            </w:pPr>
            <w:r w:rsidRPr="00D663C7">
              <w:rPr>
                <w:rFonts w:cs="Arial"/>
                <w:sz w:val="20"/>
                <w:szCs w:val="22"/>
                <w:lang w:val="en-CA"/>
              </w:rPr>
              <w:t>Fentanyl (all doses) (N=111)</w:t>
            </w:r>
          </w:p>
        </w:tc>
        <w:tc>
          <w:tcPr>
            <w:tcW w:w="2392" w:type="dxa"/>
          </w:tcPr>
          <w:p w:rsidR="000D7367" w:rsidRPr="00D663C7" w:rsidRDefault="000D7367" w:rsidP="00D663C7">
            <w:pPr>
              <w:spacing w:after="0"/>
              <w:jc w:val="center"/>
              <w:rPr>
                <w:rFonts w:cs="Arial"/>
                <w:sz w:val="20"/>
                <w:szCs w:val="22"/>
                <w:lang w:val="en-CA"/>
              </w:rPr>
            </w:pPr>
            <w:r w:rsidRPr="00D663C7">
              <w:rPr>
                <w:rFonts w:cs="Arial"/>
                <w:sz w:val="20"/>
                <w:szCs w:val="22"/>
                <w:lang w:val="en-CA"/>
              </w:rPr>
              <w:t>2.56 (1.38)</w:t>
            </w:r>
          </w:p>
        </w:tc>
        <w:tc>
          <w:tcPr>
            <w:tcW w:w="2392" w:type="dxa"/>
          </w:tcPr>
          <w:p w:rsidR="000D7367" w:rsidRPr="00D663C7" w:rsidRDefault="000D7367" w:rsidP="00D663C7">
            <w:pPr>
              <w:spacing w:after="0"/>
              <w:jc w:val="center"/>
              <w:rPr>
                <w:rFonts w:cs="Arial"/>
                <w:sz w:val="20"/>
                <w:szCs w:val="22"/>
                <w:lang w:val="en-CA"/>
              </w:rPr>
            </w:pPr>
            <w:r w:rsidRPr="00D663C7">
              <w:rPr>
                <w:rFonts w:cs="Arial"/>
                <w:sz w:val="20"/>
                <w:szCs w:val="22"/>
                <w:lang w:val="en-CA"/>
              </w:rPr>
              <w:t>51.08 (38.11)</w:t>
            </w:r>
          </w:p>
        </w:tc>
      </w:tr>
      <w:tr w:rsidR="000D7367" w:rsidRPr="00D663C7" w:rsidTr="00D663C7">
        <w:tc>
          <w:tcPr>
            <w:tcW w:w="4395" w:type="dxa"/>
          </w:tcPr>
          <w:p w:rsidR="000D7367" w:rsidRPr="00D663C7" w:rsidRDefault="000D7367" w:rsidP="00D663C7">
            <w:pPr>
              <w:spacing w:after="0"/>
              <w:rPr>
                <w:rFonts w:cs="Arial"/>
                <w:sz w:val="20"/>
                <w:szCs w:val="22"/>
                <w:lang w:val="en-CA"/>
              </w:rPr>
            </w:pPr>
            <w:r w:rsidRPr="00D663C7">
              <w:rPr>
                <w:rFonts w:cs="Arial"/>
                <w:sz w:val="20"/>
                <w:szCs w:val="22"/>
                <w:lang w:val="en-CA"/>
              </w:rPr>
              <w:t>LS mean [95% CI] fentanyl all doses versus placebo</w:t>
            </w:r>
          </w:p>
        </w:tc>
        <w:tc>
          <w:tcPr>
            <w:tcW w:w="2392" w:type="dxa"/>
          </w:tcPr>
          <w:p w:rsidR="000D7367" w:rsidRPr="00D663C7" w:rsidRDefault="000D7367" w:rsidP="00D663C7">
            <w:pPr>
              <w:spacing w:after="0"/>
              <w:jc w:val="center"/>
              <w:rPr>
                <w:rFonts w:cs="Arial"/>
                <w:sz w:val="20"/>
                <w:szCs w:val="22"/>
                <w:lang w:val="en-CA"/>
              </w:rPr>
            </w:pPr>
            <w:r w:rsidRPr="00D663C7">
              <w:rPr>
                <w:rFonts w:cs="Arial"/>
                <w:sz w:val="20"/>
                <w:szCs w:val="22"/>
                <w:lang w:val="en-CA"/>
              </w:rPr>
              <w:t>1.26 (1.03, 1.48)*</w:t>
            </w:r>
          </w:p>
        </w:tc>
        <w:tc>
          <w:tcPr>
            <w:tcW w:w="2392" w:type="dxa"/>
          </w:tcPr>
          <w:p w:rsidR="000D7367" w:rsidRPr="00D663C7" w:rsidRDefault="000D7367" w:rsidP="00D663C7">
            <w:pPr>
              <w:spacing w:after="0"/>
              <w:jc w:val="center"/>
              <w:rPr>
                <w:rFonts w:cs="Arial"/>
                <w:sz w:val="20"/>
                <w:szCs w:val="22"/>
                <w:lang w:val="en-CA"/>
              </w:rPr>
            </w:pPr>
            <w:r w:rsidRPr="00D663C7">
              <w:rPr>
                <w:rFonts w:cs="Arial"/>
                <w:sz w:val="20"/>
                <w:szCs w:val="22"/>
                <w:lang w:val="en-CA"/>
              </w:rPr>
              <w:t>ND</w:t>
            </w:r>
          </w:p>
        </w:tc>
      </w:tr>
    </w:tbl>
    <w:p w:rsidR="000D7367" w:rsidRPr="00D663C7" w:rsidRDefault="000D7367" w:rsidP="00D663C7">
      <w:pPr>
        <w:spacing w:after="0"/>
        <w:rPr>
          <w:rFonts w:cs="Arial"/>
          <w:sz w:val="20"/>
          <w:szCs w:val="22"/>
          <w:lang w:val="en-CA"/>
        </w:rPr>
      </w:pPr>
      <w:r w:rsidRPr="00D663C7">
        <w:rPr>
          <w:rFonts w:cs="Arial"/>
          <w:sz w:val="20"/>
          <w:szCs w:val="22"/>
          <w:lang w:val="en-CA"/>
        </w:rPr>
        <w:t>CI=confidence interval; ITT=intent to treat; LS=least squares; ND=not done; SD=standard deviation; PID</w:t>
      </w:r>
      <w:r w:rsidRPr="00D663C7">
        <w:rPr>
          <w:rFonts w:cs="Arial"/>
          <w:sz w:val="20"/>
          <w:szCs w:val="22"/>
          <w:vertAlign w:val="subscript"/>
          <w:lang w:val="en-CA"/>
        </w:rPr>
        <w:t>10</w:t>
      </w:r>
      <w:r w:rsidRPr="00D663C7">
        <w:rPr>
          <w:rFonts w:cs="Arial"/>
          <w:sz w:val="20"/>
          <w:szCs w:val="22"/>
          <w:lang w:val="en-CA"/>
        </w:rPr>
        <w:t>=pain intensity difference at 10 minutes.</w:t>
      </w:r>
    </w:p>
    <w:p w:rsidR="000D7367" w:rsidRPr="00D663C7" w:rsidRDefault="000D7367" w:rsidP="0054184E">
      <w:pPr>
        <w:spacing w:after="120"/>
        <w:rPr>
          <w:rFonts w:cs="Arial"/>
          <w:sz w:val="20"/>
          <w:szCs w:val="22"/>
          <w:lang w:val="en-CA"/>
        </w:rPr>
      </w:pPr>
      <w:r w:rsidRPr="00D663C7">
        <w:rPr>
          <w:rFonts w:cs="Arial"/>
          <w:sz w:val="20"/>
          <w:szCs w:val="22"/>
          <w:lang w:val="en-CA"/>
        </w:rPr>
        <w:t>* p&lt;0.001 compared to placebo</w:t>
      </w:r>
    </w:p>
    <w:p w:rsidR="000D7367" w:rsidRPr="009C5C4E" w:rsidRDefault="000D7367" w:rsidP="009C5C4E">
      <w:r w:rsidRPr="009C5C4E">
        <w:t xml:space="preserve">All of the </w:t>
      </w:r>
      <w:r w:rsidR="00E10B37" w:rsidRPr="009C5C4E">
        <w:t>INSTANYL</w:t>
      </w:r>
      <w:r w:rsidRPr="009C5C4E">
        <w:t xml:space="preserve"> dose groups had statistically significantly higher mean SPID0-60 and general impression scores compared with placebo (p&lt;0.001).  </w:t>
      </w:r>
      <w:r w:rsidR="00FD7C18" w:rsidRPr="009C5C4E">
        <w:t xml:space="preserve">Table 4 </w:t>
      </w:r>
      <w:r w:rsidRPr="009C5C4E">
        <w:t>summarizes the results of the secondary endpoints.  For all INFS dose groups combined, mean general impression and mean SPID0-60 were statistically significantly higher than placebo.</w:t>
      </w:r>
    </w:p>
    <w:p w:rsidR="004173CB" w:rsidRDefault="000D7367">
      <w:pPr>
        <w:pStyle w:val="Caption"/>
        <w:keepNext/>
        <w:spacing w:before="0" w:after="0"/>
        <w:rPr>
          <w:rFonts w:ascii="Arial" w:hAnsi="Arial" w:cs="Arial"/>
          <w:sz w:val="22"/>
          <w:szCs w:val="22"/>
          <w:lang w:val="en-CA"/>
        </w:rPr>
      </w:pPr>
      <w:bookmarkStart w:id="4" w:name="_Ref296414576"/>
      <w:r w:rsidRPr="0054184E">
        <w:rPr>
          <w:rFonts w:ascii="Arial" w:hAnsi="Arial" w:cs="Arial"/>
          <w:sz w:val="22"/>
          <w:szCs w:val="22"/>
          <w:lang w:val="en-CA"/>
        </w:rPr>
        <w:t xml:space="preserve">Table </w:t>
      </w:r>
      <w:bookmarkEnd w:id="4"/>
      <w:r w:rsidR="002025B2">
        <w:rPr>
          <w:rFonts w:ascii="Arial" w:hAnsi="Arial" w:cs="Arial"/>
          <w:sz w:val="22"/>
          <w:szCs w:val="22"/>
          <w:lang w:val="en-CA"/>
        </w:rPr>
        <w:t>4</w:t>
      </w:r>
      <w:r w:rsidRPr="0054184E">
        <w:rPr>
          <w:rFonts w:ascii="Arial" w:hAnsi="Arial" w:cs="Arial"/>
          <w:sz w:val="22"/>
          <w:szCs w:val="22"/>
          <w:lang w:val="en-CA"/>
        </w:rPr>
        <w:t>.  Study FT-018-IM Secondary Efficacy Endpoints – General Impression Score at 60 minutes and SPID</w:t>
      </w:r>
      <w:r w:rsidRPr="0054184E">
        <w:rPr>
          <w:rFonts w:ascii="Arial" w:hAnsi="Arial" w:cs="Arial"/>
          <w:sz w:val="22"/>
          <w:szCs w:val="22"/>
          <w:vertAlign w:val="subscript"/>
          <w:lang w:val="en-CA"/>
        </w:rPr>
        <w:t>0-60</w:t>
      </w:r>
      <w:r w:rsidRPr="0054184E">
        <w:rPr>
          <w:rFonts w:ascii="Arial" w:hAnsi="Arial" w:cs="Arial"/>
          <w:sz w:val="22"/>
          <w:szCs w:val="22"/>
          <w:lang w:val="en-C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2321"/>
        <w:gridCol w:w="2322"/>
      </w:tblGrid>
      <w:tr w:rsidR="000D7367" w:rsidRPr="00D663C7" w:rsidTr="00D663C7">
        <w:tc>
          <w:tcPr>
            <w:tcW w:w="4536" w:type="dxa"/>
          </w:tcPr>
          <w:p w:rsidR="000D7367" w:rsidRPr="00D663C7" w:rsidRDefault="000D7367" w:rsidP="00D663C7">
            <w:pPr>
              <w:spacing w:after="0"/>
              <w:jc w:val="center"/>
              <w:rPr>
                <w:rFonts w:cs="Arial"/>
                <w:b/>
                <w:sz w:val="20"/>
                <w:szCs w:val="22"/>
                <w:lang w:val="en-CA"/>
              </w:rPr>
            </w:pPr>
            <w:r w:rsidRPr="00D663C7">
              <w:rPr>
                <w:rFonts w:cs="Arial"/>
                <w:b/>
                <w:sz w:val="20"/>
                <w:szCs w:val="22"/>
                <w:lang w:val="en-CA"/>
              </w:rPr>
              <w:t>ITT population</w:t>
            </w:r>
          </w:p>
        </w:tc>
        <w:tc>
          <w:tcPr>
            <w:tcW w:w="2321" w:type="dxa"/>
          </w:tcPr>
          <w:p w:rsidR="000D7367" w:rsidRPr="00D663C7" w:rsidRDefault="000D7367" w:rsidP="00D663C7">
            <w:pPr>
              <w:spacing w:after="0"/>
              <w:jc w:val="center"/>
              <w:rPr>
                <w:rFonts w:cs="Arial"/>
                <w:b/>
                <w:sz w:val="20"/>
                <w:szCs w:val="22"/>
                <w:lang w:val="en-CA"/>
              </w:rPr>
            </w:pPr>
            <w:r w:rsidRPr="00D663C7">
              <w:rPr>
                <w:rFonts w:cs="Arial"/>
                <w:b/>
                <w:sz w:val="20"/>
                <w:szCs w:val="22"/>
                <w:lang w:val="en-CA"/>
              </w:rPr>
              <w:t>GI at 60 minutes</w:t>
            </w:r>
          </w:p>
          <w:p w:rsidR="000D7367" w:rsidRPr="00D663C7" w:rsidRDefault="000D7367" w:rsidP="00D663C7">
            <w:pPr>
              <w:spacing w:after="0"/>
              <w:jc w:val="center"/>
              <w:rPr>
                <w:rFonts w:cs="Arial"/>
                <w:b/>
                <w:sz w:val="20"/>
                <w:szCs w:val="22"/>
                <w:lang w:val="en-CA"/>
              </w:rPr>
            </w:pPr>
            <w:r w:rsidRPr="00D663C7">
              <w:rPr>
                <w:rFonts w:cs="Arial"/>
                <w:b/>
                <w:sz w:val="20"/>
                <w:szCs w:val="22"/>
                <w:lang w:val="en-CA"/>
              </w:rPr>
              <w:t>Mean (SD)</w:t>
            </w:r>
          </w:p>
        </w:tc>
        <w:tc>
          <w:tcPr>
            <w:tcW w:w="2322" w:type="dxa"/>
          </w:tcPr>
          <w:p w:rsidR="000D7367" w:rsidRPr="00D663C7" w:rsidRDefault="000D7367" w:rsidP="00D663C7">
            <w:pPr>
              <w:spacing w:after="0"/>
              <w:jc w:val="center"/>
              <w:rPr>
                <w:rFonts w:cs="Arial"/>
                <w:b/>
                <w:sz w:val="20"/>
                <w:szCs w:val="22"/>
                <w:lang w:val="en-CA"/>
              </w:rPr>
            </w:pPr>
            <w:r w:rsidRPr="00D663C7">
              <w:rPr>
                <w:rFonts w:cs="Arial"/>
                <w:b/>
                <w:sz w:val="20"/>
                <w:szCs w:val="22"/>
                <w:lang w:val="en-CA"/>
              </w:rPr>
              <w:t>SPID</w:t>
            </w:r>
            <w:r w:rsidRPr="00D663C7">
              <w:rPr>
                <w:rFonts w:cs="Arial"/>
                <w:b/>
                <w:sz w:val="20"/>
                <w:szCs w:val="22"/>
                <w:vertAlign w:val="subscript"/>
                <w:lang w:val="en-CA"/>
              </w:rPr>
              <w:t>0-60</w:t>
            </w:r>
          </w:p>
          <w:p w:rsidR="000D7367" w:rsidRPr="00D663C7" w:rsidRDefault="000D7367" w:rsidP="00D663C7">
            <w:pPr>
              <w:spacing w:after="0"/>
              <w:jc w:val="center"/>
              <w:rPr>
                <w:rFonts w:cs="Arial"/>
                <w:b/>
                <w:sz w:val="20"/>
                <w:szCs w:val="22"/>
                <w:lang w:val="en-CA"/>
              </w:rPr>
            </w:pPr>
            <w:r w:rsidRPr="00D663C7">
              <w:rPr>
                <w:rFonts w:cs="Arial"/>
                <w:b/>
                <w:sz w:val="20"/>
                <w:szCs w:val="22"/>
                <w:lang w:val="en-CA"/>
              </w:rPr>
              <w:t>Mean (SD)</w:t>
            </w:r>
          </w:p>
        </w:tc>
      </w:tr>
      <w:tr w:rsidR="000D7367" w:rsidRPr="00D663C7" w:rsidTr="00D663C7">
        <w:tc>
          <w:tcPr>
            <w:tcW w:w="4536" w:type="dxa"/>
          </w:tcPr>
          <w:p w:rsidR="000D7367" w:rsidRPr="00D663C7" w:rsidRDefault="000D7367" w:rsidP="00D663C7">
            <w:pPr>
              <w:spacing w:after="0"/>
              <w:jc w:val="left"/>
              <w:rPr>
                <w:rFonts w:cs="Arial"/>
                <w:sz w:val="20"/>
                <w:szCs w:val="22"/>
                <w:lang w:val="en-CA"/>
              </w:rPr>
            </w:pPr>
            <w:r w:rsidRPr="00D663C7">
              <w:rPr>
                <w:rFonts w:cs="Arial"/>
                <w:sz w:val="20"/>
                <w:szCs w:val="22"/>
                <w:lang w:val="en-CA"/>
              </w:rPr>
              <w:t>Placebo (N=110)</w:t>
            </w:r>
          </w:p>
        </w:tc>
        <w:tc>
          <w:tcPr>
            <w:tcW w:w="2321" w:type="dxa"/>
          </w:tcPr>
          <w:p w:rsidR="000D7367" w:rsidRPr="00D663C7" w:rsidRDefault="000D7367" w:rsidP="00D663C7">
            <w:pPr>
              <w:spacing w:after="0"/>
              <w:jc w:val="center"/>
              <w:rPr>
                <w:rFonts w:cs="Arial"/>
                <w:sz w:val="20"/>
                <w:szCs w:val="22"/>
                <w:lang w:val="en-CA"/>
              </w:rPr>
            </w:pPr>
            <w:r w:rsidRPr="00D663C7">
              <w:rPr>
                <w:rFonts w:cs="Arial"/>
                <w:sz w:val="20"/>
                <w:szCs w:val="22"/>
                <w:lang w:val="en-CA"/>
              </w:rPr>
              <w:t>0.94 (0.97)</w:t>
            </w:r>
          </w:p>
        </w:tc>
        <w:tc>
          <w:tcPr>
            <w:tcW w:w="2322" w:type="dxa"/>
          </w:tcPr>
          <w:p w:rsidR="000D7367" w:rsidRPr="00D663C7" w:rsidRDefault="000D7367" w:rsidP="00D663C7">
            <w:pPr>
              <w:spacing w:after="0"/>
              <w:jc w:val="center"/>
              <w:rPr>
                <w:rFonts w:cs="Arial"/>
                <w:sz w:val="20"/>
                <w:szCs w:val="22"/>
                <w:lang w:val="en-CA"/>
              </w:rPr>
            </w:pPr>
            <w:r w:rsidRPr="00D663C7">
              <w:rPr>
                <w:rFonts w:cs="Arial"/>
                <w:sz w:val="20"/>
                <w:szCs w:val="22"/>
                <w:lang w:val="en-CA"/>
              </w:rPr>
              <w:t>1.89 (1.75)</w:t>
            </w:r>
          </w:p>
        </w:tc>
      </w:tr>
      <w:tr w:rsidR="000D7367" w:rsidRPr="00D663C7" w:rsidTr="00D663C7">
        <w:tc>
          <w:tcPr>
            <w:tcW w:w="4536" w:type="dxa"/>
          </w:tcPr>
          <w:p w:rsidR="000D7367" w:rsidRPr="00D663C7" w:rsidRDefault="000D7367" w:rsidP="00D663C7">
            <w:pPr>
              <w:spacing w:after="0"/>
              <w:jc w:val="left"/>
              <w:rPr>
                <w:rFonts w:cs="Arial"/>
                <w:sz w:val="20"/>
                <w:szCs w:val="22"/>
                <w:lang w:val="en-CA"/>
              </w:rPr>
            </w:pPr>
            <w:r w:rsidRPr="00D663C7">
              <w:rPr>
                <w:rFonts w:cs="Arial"/>
                <w:sz w:val="20"/>
                <w:szCs w:val="22"/>
                <w:lang w:val="en-CA"/>
              </w:rPr>
              <w:t>Fentanyl (all doses) (N=111)</w:t>
            </w:r>
          </w:p>
        </w:tc>
        <w:tc>
          <w:tcPr>
            <w:tcW w:w="2321" w:type="dxa"/>
          </w:tcPr>
          <w:p w:rsidR="000D7367" w:rsidRPr="00D663C7" w:rsidRDefault="000D7367" w:rsidP="00D663C7">
            <w:pPr>
              <w:spacing w:after="0"/>
              <w:jc w:val="center"/>
              <w:rPr>
                <w:rFonts w:cs="Arial"/>
                <w:sz w:val="20"/>
                <w:szCs w:val="22"/>
                <w:lang w:val="en-CA"/>
              </w:rPr>
            </w:pPr>
            <w:r w:rsidRPr="00D663C7">
              <w:rPr>
                <w:rFonts w:cs="Arial"/>
                <w:sz w:val="20"/>
                <w:szCs w:val="22"/>
                <w:lang w:val="en-CA"/>
              </w:rPr>
              <w:t>1.87 (0.54)</w:t>
            </w:r>
          </w:p>
        </w:tc>
        <w:tc>
          <w:tcPr>
            <w:tcW w:w="2322" w:type="dxa"/>
          </w:tcPr>
          <w:p w:rsidR="000D7367" w:rsidRPr="00D663C7" w:rsidRDefault="000D7367" w:rsidP="00D663C7">
            <w:pPr>
              <w:spacing w:after="0"/>
              <w:jc w:val="center"/>
              <w:rPr>
                <w:rFonts w:cs="Arial"/>
                <w:sz w:val="20"/>
                <w:szCs w:val="22"/>
                <w:lang w:val="en-CA"/>
              </w:rPr>
            </w:pPr>
            <w:r w:rsidRPr="00D663C7">
              <w:rPr>
                <w:rFonts w:cs="Arial"/>
                <w:sz w:val="20"/>
                <w:szCs w:val="22"/>
                <w:lang w:val="en-CA"/>
              </w:rPr>
              <w:t>3.63 (1.51)</w:t>
            </w:r>
          </w:p>
        </w:tc>
      </w:tr>
      <w:tr w:rsidR="000D7367" w:rsidRPr="00D663C7" w:rsidTr="00D663C7">
        <w:tc>
          <w:tcPr>
            <w:tcW w:w="4536" w:type="dxa"/>
          </w:tcPr>
          <w:p w:rsidR="000D7367" w:rsidRPr="00D663C7" w:rsidRDefault="000D7367" w:rsidP="00D663C7">
            <w:pPr>
              <w:spacing w:after="0"/>
              <w:jc w:val="left"/>
              <w:rPr>
                <w:rFonts w:cs="Arial"/>
                <w:sz w:val="20"/>
                <w:szCs w:val="22"/>
                <w:lang w:val="en-CA"/>
              </w:rPr>
            </w:pPr>
            <w:r w:rsidRPr="00D663C7">
              <w:rPr>
                <w:rFonts w:cs="Arial"/>
                <w:sz w:val="20"/>
                <w:szCs w:val="22"/>
                <w:lang w:val="en-CA"/>
              </w:rPr>
              <w:t>LS mean [95% CI] fentanyl all doses versus placebo</w:t>
            </w:r>
          </w:p>
        </w:tc>
        <w:tc>
          <w:tcPr>
            <w:tcW w:w="2321" w:type="dxa"/>
          </w:tcPr>
          <w:p w:rsidR="000D7367" w:rsidRPr="00D663C7" w:rsidRDefault="000D7367" w:rsidP="00D663C7">
            <w:pPr>
              <w:spacing w:after="0"/>
              <w:jc w:val="center"/>
              <w:rPr>
                <w:rFonts w:cs="Arial"/>
                <w:sz w:val="20"/>
                <w:szCs w:val="22"/>
                <w:lang w:val="en-CA"/>
              </w:rPr>
            </w:pPr>
            <w:r w:rsidRPr="00D663C7">
              <w:rPr>
                <w:rFonts w:cs="Arial"/>
                <w:sz w:val="20"/>
                <w:szCs w:val="22"/>
                <w:lang w:val="en-CA"/>
              </w:rPr>
              <w:t>0.93 [0.77, 1.08]*</w:t>
            </w:r>
          </w:p>
        </w:tc>
        <w:tc>
          <w:tcPr>
            <w:tcW w:w="2322" w:type="dxa"/>
          </w:tcPr>
          <w:p w:rsidR="000D7367" w:rsidRPr="00D663C7" w:rsidRDefault="000D7367" w:rsidP="00D663C7">
            <w:pPr>
              <w:spacing w:after="0"/>
              <w:jc w:val="center"/>
              <w:rPr>
                <w:rFonts w:cs="Arial"/>
                <w:sz w:val="20"/>
                <w:szCs w:val="22"/>
                <w:lang w:val="en-CA"/>
              </w:rPr>
            </w:pPr>
            <w:r w:rsidRPr="00D663C7">
              <w:rPr>
                <w:rFonts w:cs="Arial"/>
                <w:sz w:val="20"/>
                <w:szCs w:val="22"/>
                <w:lang w:val="en-CA"/>
              </w:rPr>
              <w:t>1.70 [1.45, 1.94]*</w:t>
            </w:r>
          </w:p>
        </w:tc>
      </w:tr>
    </w:tbl>
    <w:p w:rsidR="000D7367" w:rsidRPr="00D663C7" w:rsidRDefault="000D7367" w:rsidP="00D663C7">
      <w:pPr>
        <w:spacing w:after="0"/>
        <w:rPr>
          <w:rFonts w:cs="Arial"/>
          <w:sz w:val="20"/>
          <w:szCs w:val="22"/>
          <w:lang w:val="en-CA"/>
        </w:rPr>
      </w:pPr>
      <w:r w:rsidRPr="00D663C7">
        <w:rPr>
          <w:rFonts w:cs="Arial"/>
          <w:sz w:val="20"/>
          <w:szCs w:val="22"/>
          <w:lang w:val="en-CA"/>
        </w:rPr>
        <w:t>CI=confidence interval; GI=general impression; ITT=intent to treat; SD=standard deviation; SPID</w:t>
      </w:r>
      <w:r w:rsidRPr="00D663C7">
        <w:rPr>
          <w:rFonts w:cs="Arial"/>
          <w:sz w:val="20"/>
          <w:szCs w:val="22"/>
          <w:vertAlign w:val="subscript"/>
          <w:lang w:val="en-CA"/>
        </w:rPr>
        <w:t>0-60=</w:t>
      </w:r>
      <w:r w:rsidRPr="00D663C7">
        <w:rPr>
          <w:rFonts w:cs="Arial"/>
          <w:sz w:val="20"/>
          <w:szCs w:val="22"/>
          <w:lang w:val="en-CA"/>
        </w:rPr>
        <w:t>sum of pain intensity differences from 0 to 60 minutes.</w:t>
      </w:r>
    </w:p>
    <w:p w:rsidR="000D7367" w:rsidRPr="00D663C7" w:rsidRDefault="000D7367" w:rsidP="0054184E">
      <w:pPr>
        <w:spacing w:after="120"/>
        <w:rPr>
          <w:rFonts w:cs="Arial"/>
          <w:sz w:val="20"/>
          <w:szCs w:val="22"/>
          <w:lang w:val="en-CA"/>
        </w:rPr>
      </w:pPr>
      <w:r w:rsidRPr="00D663C7">
        <w:rPr>
          <w:rFonts w:cs="Arial"/>
          <w:sz w:val="20"/>
          <w:szCs w:val="22"/>
          <w:lang w:val="en-CA"/>
        </w:rPr>
        <w:t>* p&lt;0.001 compared to placebo.</w:t>
      </w:r>
    </w:p>
    <w:p w:rsidR="000D7367" w:rsidRPr="009C5C4E" w:rsidRDefault="000D7367" w:rsidP="009C5C4E">
      <w:r w:rsidRPr="009C5C4E">
        <w:t xml:space="preserve">One supportive study, FT-019-IM, was conducted to compare the efficacy of </w:t>
      </w:r>
      <w:r w:rsidR="00E10B37" w:rsidRPr="009C5C4E">
        <w:t>INSTANYL</w:t>
      </w:r>
      <w:r w:rsidRPr="009C5C4E">
        <w:t xml:space="preserve"> with an active comparator, oral transmucosal fentanyl citrate lozenge (</w:t>
      </w:r>
      <w:r w:rsidR="005C6A55" w:rsidRPr="009C5C4E">
        <w:t>Actiq</w:t>
      </w:r>
      <w:r w:rsidRPr="009C5C4E">
        <w:t xml:space="preserve">), in the management of </w:t>
      </w:r>
      <w:r w:rsidR="003C0D4F" w:rsidRPr="009C5C4E">
        <w:t>BTP</w:t>
      </w:r>
      <w:r w:rsidRPr="009C5C4E">
        <w:t xml:space="preserve"> in cancer patients on maintenance opioid therapy.  This study was an open-label, randomised, cross-</w:t>
      </w:r>
      <w:r w:rsidRPr="009C5C4E">
        <w:lastRenderedPageBreak/>
        <w:t>over, active-controlled trial</w:t>
      </w:r>
      <w:r w:rsidR="00746FF3" w:rsidRPr="009C5C4E">
        <w:t>.</w:t>
      </w:r>
      <w:r w:rsidRPr="009C5C4E">
        <w:t xml:space="preserve"> All patients in the study were receiving stable doses of chronic opioid treatment.  </w:t>
      </w:r>
      <w:r w:rsidR="00CE5F71">
        <w:t xml:space="preserve">Chronic opioid treatment is defined as </w:t>
      </w:r>
      <w:r w:rsidR="00CE5F71" w:rsidRPr="009C5C4E">
        <w:t xml:space="preserve">equivalent to 60-500 mg/day oral morphine or to 25-200 µg/hour transdermal fentanyl, which in general reduced the intensity of the background pain to a mild level (≤ 4 on an 11-point NRS). </w:t>
      </w:r>
      <w:r w:rsidRPr="009C5C4E">
        <w:t xml:space="preserve">Patients were randomly assigned to receive either </w:t>
      </w:r>
      <w:r w:rsidR="00E10B37" w:rsidRPr="009C5C4E">
        <w:t>INSTANYL</w:t>
      </w:r>
      <w:r w:rsidRPr="009C5C4E">
        <w:t xml:space="preserve"> or </w:t>
      </w:r>
      <w:r w:rsidR="00533A49" w:rsidRPr="009C5C4E">
        <w:t>Actiq</w:t>
      </w:r>
      <w:r w:rsidRPr="009C5C4E">
        <w:t xml:space="preserve"> during the first titration and efficacy phase.  In the titration phase, the dose was increased (50 to 200 </w:t>
      </w:r>
      <w:r w:rsidR="000549C9" w:rsidRPr="009C5C4E">
        <w:t>µ</w:t>
      </w:r>
      <w:r w:rsidRPr="009C5C4E">
        <w:t xml:space="preserve">g for </w:t>
      </w:r>
      <w:r w:rsidR="00E10B37" w:rsidRPr="009C5C4E">
        <w:t>INSTANYL</w:t>
      </w:r>
      <w:r w:rsidRPr="009C5C4E">
        <w:t xml:space="preserve">; 200 to 1600 </w:t>
      </w:r>
      <w:r w:rsidR="000549C9" w:rsidRPr="009C5C4E">
        <w:t>µ</w:t>
      </w:r>
      <w:r w:rsidRPr="009C5C4E">
        <w:t xml:space="preserve">g for </w:t>
      </w:r>
      <w:r w:rsidR="00533A49" w:rsidRPr="009C5C4E">
        <w:t>Actiq</w:t>
      </w:r>
      <w:r w:rsidRPr="009C5C4E">
        <w:t xml:space="preserve">) depending on efficacy and tolerability for the patient, until 3 of 4 </w:t>
      </w:r>
      <w:r w:rsidR="003C0D4F" w:rsidRPr="009C5C4E">
        <w:t xml:space="preserve">BTP </w:t>
      </w:r>
      <w:r w:rsidRPr="009C5C4E">
        <w:t>episodes were treated successfully.  In the efficacy phase, the optimal dose from the titration phase was tested for treatment of 6 </w:t>
      </w:r>
      <w:r w:rsidR="003C0D4F" w:rsidRPr="009C5C4E">
        <w:t xml:space="preserve">BTP </w:t>
      </w:r>
      <w:r w:rsidRPr="009C5C4E">
        <w:t xml:space="preserve">episodes over a period of approximately 2 weeks.  The process was then repeated for the other study drug.  At the onset of each </w:t>
      </w:r>
      <w:r w:rsidR="003C0D4F" w:rsidRPr="009C5C4E">
        <w:t>BTP</w:t>
      </w:r>
      <w:r w:rsidRPr="009C5C4E">
        <w:t xml:space="preserve"> episode (up to a maximum of 4 per day) patients took a single dose of study drug.  A second dose was allowed if the first dose provided inadequate pain relief after 10 minutes with </w:t>
      </w:r>
      <w:r w:rsidR="00E10B37" w:rsidRPr="009C5C4E">
        <w:t>INSTANYL</w:t>
      </w:r>
      <w:r w:rsidRPr="009C5C4E">
        <w:t xml:space="preserve">, or after 30 minutes with the active comparator.  </w:t>
      </w:r>
    </w:p>
    <w:p w:rsidR="000D7367" w:rsidRPr="009C5C4E" w:rsidRDefault="000D7367" w:rsidP="009C5C4E">
      <w:r w:rsidRPr="009C5C4E">
        <w:t xml:space="preserve">The primary efficacy endpoint was the proportion of patients who experienced a faster onset of meaningful pain relief with </w:t>
      </w:r>
      <w:r w:rsidR="00E10B37" w:rsidRPr="009C5C4E">
        <w:t>INSTANYL</w:t>
      </w:r>
      <w:r w:rsidRPr="009C5C4E">
        <w:t xml:space="preserve"> as compared to </w:t>
      </w:r>
      <w:r w:rsidR="00533A49" w:rsidRPr="009C5C4E">
        <w:t>Actiq</w:t>
      </w:r>
      <w:r w:rsidRPr="009C5C4E">
        <w:t>.  The time to onset of meaningful pain</w:t>
      </w:r>
      <w:r w:rsidRPr="0054184E">
        <w:rPr>
          <w:rFonts w:cs="Arial"/>
          <w:szCs w:val="22"/>
          <w:lang w:val="en-CA"/>
        </w:rPr>
        <w:t xml:space="preserve"> </w:t>
      </w:r>
      <w:r w:rsidRPr="009C5C4E">
        <w:t>relief was recorded by stopwatch, and was defined as the time at which the patient experienced meaningful pain relief.  The secondary efficacy variables were PID at 10 and 30 minutes, SPID0-15 and SPID0-60, general impression at 60 minutes, ease of administration using a 5 point scale (measured at the end of each efficacy phase), and patient’s preference (</w:t>
      </w:r>
      <w:r w:rsidR="00E10B37" w:rsidRPr="009C5C4E">
        <w:t>INSTANYL</w:t>
      </w:r>
      <w:r w:rsidRPr="009C5C4E">
        <w:t xml:space="preserve"> or </w:t>
      </w:r>
      <w:r w:rsidR="00533A49" w:rsidRPr="009C5C4E">
        <w:t>Actiq</w:t>
      </w:r>
      <w:r w:rsidRPr="009C5C4E">
        <w:t xml:space="preserve">, measured at the end of the second efficacy phase). </w:t>
      </w:r>
      <w:r w:rsidR="0087289D" w:rsidRPr="009C5C4E">
        <w:t xml:space="preserve"> </w:t>
      </w:r>
      <w:r w:rsidRPr="009C5C4E">
        <w:t xml:space="preserve">For the analysis of the primary efficacy endpoint of time to the onset of meaningful pain relief, the median total difference between </w:t>
      </w:r>
      <w:r w:rsidR="00E10B37" w:rsidRPr="009C5C4E">
        <w:t>INSTANYL</w:t>
      </w:r>
      <w:r w:rsidRPr="009C5C4E">
        <w:t xml:space="preserve"> and </w:t>
      </w:r>
      <w:r w:rsidR="00533A49" w:rsidRPr="009C5C4E">
        <w:t>Actiq</w:t>
      </w:r>
      <w:r w:rsidRPr="009C5C4E">
        <w:t xml:space="preserve"> was 4.3 minutes, indicating a faster time to meaningful pain relief using </w:t>
      </w:r>
      <w:r w:rsidR="00E10B37" w:rsidRPr="009C5C4E">
        <w:t>INSTANYL</w:t>
      </w:r>
      <w:r w:rsidRPr="009C5C4E">
        <w:t xml:space="preserve">, with 66% of patients achieving faster pain relief on </w:t>
      </w:r>
      <w:r w:rsidR="00E10B37" w:rsidRPr="009C5C4E">
        <w:t>INSTANYL</w:t>
      </w:r>
      <w:r w:rsidRPr="009C5C4E">
        <w:t xml:space="preserve">.  The overall median time to onset of meaningful pain relief was 10.6 minutes for </w:t>
      </w:r>
      <w:r w:rsidR="00E10B37" w:rsidRPr="009C5C4E">
        <w:t>INSTANYL</w:t>
      </w:r>
      <w:r w:rsidRPr="009C5C4E">
        <w:t xml:space="preserve">, and 15.7 minutes for </w:t>
      </w:r>
      <w:r w:rsidR="00533A49" w:rsidRPr="009C5C4E">
        <w:t>Actiq</w:t>
      </w:r>
      <w:r w:rsidRPr="009C5C4E">
        <w:t xml:space="preserve">.  Analysis of the time to onset by treatment sequence indicated that time to meaningful pain relief was faster with </w:t>
      </w:r>
      <w:r w:rsidR="00E10B37" w:rsidRPr="009C5C4E">
        <w:t>INSTANYL</w:t>
      </w:r>
      <w:r w:rsidRPr="009C5C4E">
        <w:t xml:space="preserve"> regardless of which treatment was taken first.  </w:t>
      </w:r>
      <w:r w:rsidR="00E10B37" w:rsidRPr="009C5C4E">
        <w:t>INSTANYL</w:t>
      </w:r>
      <w:r w:rsidRPr="009C5C4E">
        <w:t xml:space="preserve"> was statistically significantly superior to </w:t>
      </w:r>
      <w:r w:rsidR="00533A49" w:rsidRPr="009C5C4E">
        <w:t>Actiq</w:t>
      </w:r>
      <w:r w:rsidRPr="009C5C4E">
        <w:t xml:space="preserve"> at all time points measured.  The additional analysis of PID at 5, 15, 20 and 60 minutes post-dose, showed a statistically and clinically significant separation between the two groups in favour of </w:t>
      </w:r>
      <w:r w:rsidR="00E10B37" w:rsidRPr="009C5C4E">
        <w:t>INSTANYL</w:t>
      </w:r>
      <w:r w:rsidRPr="009C5C4E">
        <w:t xml:space="preserve"> as early as 5 minutes post-dosing.  Using imputed values for fastest median time to meaningful pain relief, 65.7% of patients reported fastest relief using </w:t>
      </w:r>
      <w:r w:rsidR="00E10B37" w:rsidRPr="009C5C4E">
        <w:t>INSTANYL</w:t>
      </w:r>
      <w:r w:rsidRPr="009C5C4E">
        <w:t xml:space="preserve"> (p&lt;0.001, 95% CI: 57.1, 73.6).  </w:t>
      </w:r>
    </w:p>
    <w:p w:rsidR="000D7367" w:rsidRPr="009C5C4E" w:rsidRDefault="000D7367" w:rsidP="009C5C4E">
      <w:r w:rsidRPr="009C5C4E">
        <w:t xml:space="preserve">All secondary efficacy endpoints were statistically significantly favourable to </w:t>
      </w:r>
      <w:r w:rsidR="00E10B37" w:rsidRPr="009C5C4E">
        <w:t>INSTANYL</w:t>
      </w:r>
      <w:r w:rsidRPr="009C5C4E">
        <w:t xml:space="preserve">, even after multiplicity adjustment.  The reduction in pain intensity was significantly higher with </w:t>
      </w:r>
      <w:r w:rsidR="00E10B37" w:rsidRPr="009C5C4E">
        <w:t>INSTANYL</w:t>
      </w:r>
      <w:r w:rsidRPr="009C5C4E">
        <w:t xml:space="preserve"> as early as 5 minutes post-dose, and continued to be so at the 10, 15, 20 and 30 minute time points.  All doses of </w:t>
      </w:r>
      <w:r w:rsidR="00E10B37" w:rsidRPr="009C5C4E">
        <w:t>INSTANYL</w:t>
      </w:r>
      <w:r w:rsidRPr="009C5C4E">
        <w:t xml:space="preserve"> provided statistically significantly higher mean PID10 scores (ranging from 1.63 to 3.00) in comparison to all doses of </w:t>
      </w:r>
      <w:r w:rsidR="00533A49" w:rsidRPr="009C5C4E">
        <w:t>Actiq</w:t>
      </w:r>
      <w:r w:rsidRPr="009C5C4E">
        <w:t xml:space="preserve"> (</w:t>
      </w:r>
      <w:r w:rsidR="00FD7C18" w:rsidRPr="009C5C4E">
        <w:t>Table 5</w:t>
      </w:r>
      <w:r w:rsidRPr="009C5C4E">
        <w:t xml:space="preserve">).  Similar results were observed for PID30.  </w:t>
      </w:r>
    </w:p>
    <w:p w:rsidR="004173CB" w:rsidRDefault="000D7367">
      <w:pPr>
        <w:pStyle w:val="Caption"/>
        <w:keepNext/>
        <w:spacing w:before="0" w:after="0"/>
        <w:rPr>
          <w:rFonts w:ascii="Arial" w:hAnsi="Arial" w:cs="Arial"/>
          <w:sz w:val="22"/>
          <w:szCs w:val="22"/>
          <w:lang w:val="en-CA"/>
        </w:rPr>
      </w:pPr>
      <w:bookmarkStart w:id="5" w:name="_Ref296414664"/>
      <w:bookmarkStart w:id="6" w:name="_Ref301178661"/>
      <w:r w:rsidRPr="0054184E">
        <w:rPr>
          <w:rFonts w:ascii="Arial" w:hAnsi="Arial" w:cs="Arial"/>
          <w:sz w:val="22"/>
          <w:szCs w:val="22"/>
          <w:lang w:val="en-CA"/>
        </w:rPr>
        <w:t xml:space="preserve">Table </w:t>
      </w:r>
      <w:bookmarkEnd w:id="5"/>
      <w:bookmarkEnd w:id="6"/>
      <w:r w:rsidR="002025B2">
        <w:rPr>
          <w:rFonts w:ascii="Arial" w:hAnsi="Arial" w:cs="Arial"/>
          <w:sz w:val="22"/>
          <w:szCs w:val="22"/>
          <w:lang w:val="en-CA"/>
        </w:rPr>
        <w:t>5</w:t>
      </w:r>
      <w:r w:rsidRPr="0054184E">
        <w:rPr>
          <w:rFonts w:ascii="Arial" w:hAnsi="Arial" w:cs="Arial"/>
          <w:sz w:val="22"/>
          <w:szCs w:val="22"/>
          <w:lang w:val="en-CA"/>
        </w:rPr>
        <w:t>.  PID</w:t>
      </w:r>
      <w:r w:rsidRPr="0054184E">
        <w:rPr>
          <w:rFonts w:ascii="Arial" w:hAnsi="Arial" w:cs="Arial"/>
          <w:sz w:val="22"/>
          <w:szCs w:val="22"/>
          <w:vertAlign w:val="subscript"/>
          <w:lang w:val="en-CA"/>
        </w:rPr>
        <w:t>10</w:t>
      </w:r>
      <w:r w:rsidRPr="0054184E">
        <w:rPr>
          <w:rFonts w:ascii="Arial" w:hAnsi="Arial" w:cs="Arial"/>
          <w:sz w:val="22"/>
          <w:szCs w:val="22"/>
          <w:lang w:val="en-CA"/>
        </w:rPr>
        <w:t xml:space="preserve"> (Study FT-019-IM) – ITT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3870"/>
        <w:gridCol w:w="3509"/>
      </w:tblGrid>
      <w:tr w:rsidR="000D7367" w:rsidRPr="00D663C7" w:rsidTr="003E3580">
        <w:trPr>
          <w:cantSplit/>
        </w:trPr>
        <w:tc>
          <w:tcPr>
            <w:tcW w:w="1908" w:type="dxa"/>
          </w:tcPr>
          <w:p w:rsidR="004173CB" w:rsidRDefault="004173CB">
            <w:pPr>
              <w:keepNext/>
              <w:spacing w:after="0"/>
              <w:rPr>
                <w:rFonts w:cs="Arial"/>
                <w:b/>
                <w:sz w:val="20"/>
                <w:szCs w:val="22"/>
                <w:lang w:val="en-CA"/>
              </w:rPr>
            </w:pPr>
          </w:p>
        </w:tc>
        <w:tc>
          <w:tcPr>
            <w:tcW w:w="3870" w:type="dxa"/>
          </w:tcPr>
          <w:p w:rsidR="004173CB" w:rsidRPr="00247B74" w:rsidRDefault="00E10B37">
            <w:pPr>
              <w:keepNext/>
              <w:spacing w:after="0"/>
              <w:jc w:val="center"/>
              <w:rPr>
                <w:rFonts w:cs="Arial"/>
                <w:b/>
                <w:sz w:val="20"/>
                <w:szCs w:val="22"/>
                <w:lang w:val="en-CA"/>
              </w:rPr>
            </w:pPr>
            <w:r>
              <w:rPr>
                <w:rFonts w:cs="Arial"/>
                <w:b/>
                <w:sz w:val="20"/>
                <w:szCs w:val="22"/>
                <w:lang w:val="en-CA"/>
              </w:rPr>
              <w:t>INSTANYL</w:t>
            </w:r>
            <w:r w:rsidR="00764E71" w:rsidRPr="00764E71">
              <w:rPr>
                <w:rFonts w:cs="Arial"/>
                <w:b/>
                <w:sz w:val="20"/>
                <w:szCs w:val="22"/>
                <w:lang w:val="en-CA"/>
              </w:rPr>
              <w:t xml:space="preserve"> PID</w:t>
            </w:r>
            <w:r w:rsidR="00764E71" w:rsidRPr="00764E71">
              <w:rPr>
                <w:rFonts w:cs="Arial"/>
                <w:b/>
                <w:sz w:val="20"/>
                <w:szCs w:val="22"/>
                <w:vertAlign w:val="subscript"/>
                <w:lang w:val="en-CA"/>
              </w:rPr>
              <w:t>10</w:t>
            </w:r>
          </w:p>
        </w:tc>
        <w:tc>
          <w:tcPr>
            <w:tcW w:w="3509" w:type="dxa"/>
          </w:tcPr>
          <w:p w:rsidR="004173CB" w:rsidRPr="00247B74" w:rsidRDefault="00533A49">
            <w:pPr>
              <w:keepNext/>
              <w:spacing w:after="0"/>
              <w:jc w:val="center"/>
              <w:rPr>
                <w:rFonts w:cs="Arial"/>
                <w:b/>
                <w:sz w:val="20"/>
                <w:szCs w:val="22"/>
                <w:lang w:val="en-CA"/>
              </w:rPr>
            </w:pPr>
            <w:r w:rsidRPr="00247B74">
              <w:rPr>
                <w:rFonts w:cs="Arial"/>
                <w:b/>
                <w:sz w:val="20"/>
                <w:szCs w:val="22"/>
                <w:lang w:val="en-CA"/>
              </w:rPr>
              <w:t>Actiq</w:t>
            </w:r>
            <w:r w:rsidR="00764E71" w:rsidRPr="00764E71">
              <w:rPr>
                <w:rFonts w:cs="Arial"/>
                <w:b/>
                <w:sz w:val="20"/>
                <w:szCs w:val="22"/>
                <w:lang w:val="en-CA"/>
              </w:rPr>
              <w:t xml:space="preserve"> PID</w:t>
            </w:r>
            <w:r w:rsidR="00764E71" w:rsidRPr="00764E71">
              <w:rPr>
                <w:rFonts w:cs="Arial"/>
                <w:b/>
                <w:sz w:val="20"/>
                <w:szCs w:val="22"/>
                <w:vertAlign w:val="subscript"/>
                <w:lang w:val="en-CA"/>
              </w:rPr>
              <w:t>10</w:t>
            </w:r>
          </w:p>
        </w:tc>
      </w:tr>
      <w:tr w:rsidR="000D7367" w:rsidRPr="00D663C7" w:rsidTr="003E3580">
        <w:trPr>
          <w:cantSplit/>
        </w:trPr>
        <w:tc>
          <w:tcPr>
            <w:tcW w:w="1908" w:type="dxa"/>
          </w:tcPr>
          <w:p w:rsidR="004173CB" w:rsidRDefault="000D7367">
            <w:pPr>
              <w:keepNext/>
              <w:spacing w:after="0"/>
              <w:rPr>
                <w:rFonts w:cs="Arial"/>
                <w:b/>
                <w:sz w:val="20"/>
                <w:szCs w:val="22"/>
                <w:lang w:val="en-CA"/>
              </w:rPr>
            </w:pPr>
            <w:r w:rsidRPr="00D663C7">
              <w:rPr>
                <w:rFonts w:cs="Arial"/>
                <w:b/>
                <w:sz w:val="20"/>
                <w:szCs w:val="22"/>
                <w:lang w:val="en-CA"/>
              </w:rPr>
              <w:t>n</w:t>
            </w:r>
          </w:p>
        </w:tc>
        <w:tc>
          <w:tcPr>
            <w:tcW w:w="3870" w:type="dxa"/>
          </w:tcPr>
          <w:p w:rsidR="004173CB" w:rsidRDefault="000D7367">
            <w:pPr>
              <w:keepNext/>
              <w:spacing w:after="0"/>
              <w:jc w:val="center"/>
              <w:rPr>
                <w:rFonts w:cs="Arial"/>
                <w:sz w:val="20"/>
                <w:szCs w:val="22"/>
                <w:lang w:val="en-CA"/>
              </w:rPr>
            </w:pPr>
            <w:r w:rsidRPr="00D663C7">
              <w:rPr>
                <w:rFonts w:cs="Arial"/>
                <w:sz w:val="20"/>
                <w:szCs w:val="22"/>
                <w:lang w:val="en-CA"/>
              </w:rPr>
              <w:t>101</w:t>
            </w:r>
          </w:p>
        </w:tc>
        <w:tc>
          <w:tcPr>
            <w:tcW w:w="3509" w:type="dxa"/>
          </w:tcPr>
          <w:p w:rsidR="004173CB" w:rsidRDefault="000D7367">
            <w:pPr>
              <w:keepNext/>
              <w:spacing w:after="0"/>
              <w:jc w:val="center"/>
              <w:rPr>
                <w:rFonts w:cs="Arial"/>
                <w:sz w:val="20"/>
                <w:szCs w:val="22"/>
                <w:lang w:val="en-CA"/>
              </w:rPr>
            </w:pPr>
            <w:r w:rsidRPr="00D663C7">
              <w:rPr>
                <w:rFonts w:cs="Arial"/>
                <w:sz w:val="20"/>
                <w:szCs w:val="22"/>
                <w:lang w:val="en-CA"/>
              </w:rPr>
              <w:t>100</w:t>
            </w:r>
          </w:p>
        </w:tc>
      </w:tr>
      <w:tr w:rsidR="000D7367" w:rsidRPr="00D663C7" w:rsidTr="003E3580">
        <w:tc>
          <w:tcPr>
            <w:tcW w:w="1908" w:type="dxa"/>
          </w:tcPr>
          <w:p w:rsidR="004173CB" w:rsidRDefault="000D7367">
            <w:pPr>
              <w:keepNext/>
              <w:spacing w:after="0"/>
              <w:rPr>
                <w:rFonts w:cs="Arial"/>
                <w:b/>
                <w:sz w:val="20"/>
                <w:szCs w:val="22"/>
                <w:lang w:val="en-CA"/>
              </w:rPr>
            </w:pPr>
            <w:r w:rsidRPr="00D663C7">
              <w:rPr>
                <w:rFonts w:cs="Arial"/>
                <w:b/>
                <w:sz w:val="20"/>
                <w:szCs w:val="22"/>
                <w:lang w:val="en-CA"/>
              </w:rPr>
              <w:t>Number missing</w:t>
            </w:r>
          </w:p>
        </w:tc>
        <w:tc>
          <w:tcPr>
            <w:tcW w:w="3870" w:type="dxa"/>
          </w:tcPr>
          <w:p w:rsidR="004173CB" w:rsidRDefault="000D7367">
            <w:pPr>
              <w:keepNext/>
              <w:spacing w:after="0"/>
              <w:jc w:val="center"/>
              <w:rPr>
                <w:rFonts w:cs="Arial"/>
                <w:sz w:val="20"/>
                <w:szCs w:val="22"/>
                <w:lang w:val="en-CA"/>
              </w:rPr>
            </w:pPr>
            <w:r w:rsidRPr="00D663C7">
              <w:rPr>
                <w:rFonts w:cs="Arial"/>
                <w:sz w:val="20"/>
                <w:szCs w:val="22"/>
                <w:lang w:val="en-CA"/>
              </w:rPr>
              <w:t>1</w:t>
            </w:r>
          </w:p>
        </w:tc>
        <w:tc>
          <w:tcPr>
            <w:tcW w:w="3509" w:type="dxa"/>
          </w:tcPr>
          <w:p w:rsidR="004173CB" w:rsidRDefault="000D7367">
            <w:pPr>
              <w:keepNext/>
              <w:spacing w:after="0"/>
              <w:jc w:val="center"/>
              <w:rPr>
                <w:rFonts w:cs="Arial"/>
                <w:sz w:val="20"/>
                <w:szCs w:val="22"/>
                <w:lang w:val="en-CA"/>
              </w:rPr>
            </w:pPr>
            <w:r w:rsidRPr="00D663C7">
              <w:rPr>
                <w:rFonts w:cs="Arial"/>
                <w:sz w:val="20"/>
                <w:szCs w:val="22"/>
                <w:lang w:val="en-CA"/>
              </w:rPr>
              <w:t>0</w:t>
            </w:r>
          </w:p>
        </w:tc>
      </w:tr>
      <w:tr w:rsidR="000D7367" w:rsidRPr="00D663C7" w:rsidTr="003E3580">
        <w:tc>
          <w:tcPr>
            <w:tcW w:w="1908" w:type="dxa"/>
          </w:tcPr>
          <w:p w:rsidR="004173CB" w:rsidRDefault="000D7367">
            <w:pPr>
              <w:keepNext/>
              <w:spacing w:after="0"/>
              <w:rPr>
                <w:rFonts w:cs="Arial"/>
                <w:b/>
                <w:sz w:val="20"/>
                <w:szCs w:val="22"/>
                <w:lang w:val="en-CA"/>
              </w:rPr>
            </w:pPr>
            <w:r w:rsidRPr="00D663C7">
              <w:rPr>
                <w:rFonts w:cs="Arial"/>
                <w:b/>
                <w:sz w:val="20"/>
                <w:szCs w:val="22"/>
                <w:lang w:val="en-CA"/>
              </w:rPr>
              <w:t>Mean</w:t>
            </w:r>
          </w:p>
        </w:tc>
        <w:tc>
          <w:tcPr>
            <w:tcW w:w="3870" w:type="dxa"/>
          </w:tcPr>
          <w:p w:rsidR="004173CB" w:rsidRDefault="000D7367">
            <w:pPr>
              <w:keepNext/>
              <w:spacing w:after="0"/>
              <w:jc w:val="center"/>
              <w:rPr>
                <w:rFonts w:cs="Arial"/>
                <w:sz w:val="20"/>
                <w:szCs w:val="22"/>
                <w:lang w:val="en-CA"/>
              </w:rPr>
            </w:pPr>
            <w:r w:rsidRPr="00D663C7">
              <w:rPr>
                <w:rFonts w:cs="Arial"/>
                <w:sz w:val="20"/>
                <w:szCs w:val="22"/>
                <w:lang w:val="en-CA"/>
              </w:rPr>
              <w:t>2.39</w:t>
            </w:r>
          </w:p>
        </w:tc>
        <w:tc>
          <w:tcPr>
            <w:tcW w:w="3509" w:type="dxa"/>
          </w:tcPr>
          <w:p w:rsidR="004173CB" w:rsidRDefault="000D7367">
            <w:pPr>
              <w:keepNext/>
              <w:spacing w:after="0"/>
              <w:jc w:val="center"/>
              <w:rPr>
                <w:rFonts w:cs="Arial"/>
                <w:sz w:val="20"/>
                <w:szCs w:val="22"/>
                <w:lang w:val="en-CA"/>
              </w:rPr>
            </w:pPr>
            <w:r w:rsidRPr="00D663C7">
              <w:rPr>
                <w:rFonts w:cs="Arial"/>
                <w:sz w:val="20"/>
                <w:szCs w:val="22"/>
                <w:lang w:val="en-CA"/>
              </w:rPr>
              <w:t>1.10</w:t>
            </w:r>
          </w:p>
        </w:tc>
      </w:tr>
      <w:tr w:rsidR="000D7367" w:rsidRPr="00D663C7" w:rsidTr="003E3580">
        <w:tc>
          <w:tcPr>
            <w:tcW w:w="1908" w:type="dxa"/>
          </w:tcPr>
          <w:p w:rsidR="004173CB" w:rsidRDefault="000D7367">
            <w:pPr>
              <w:keepNext/>
              <w:spacing w:after="0"/>
              <w:rPr>
                <w:rFonts w:cs="Arial"/>
                <w:b/>
                <w:sz w:val="20"/>
                <w:szCs w:val="22"/>
                <w:lang w:val="en-CA"/>
              </w:rPr>
            </w:pPr>
            <w:r w:rsidRPr="00D663C7">
              <w:rPr>
                <w:rFonts w:cs="Arial"/>
                <w:b/>
                <w:sz w:val="20"/>
                <w:szCs w:val="22"/>
                <w:lang w:val="en-CA"/>
              </w:rPr>
              <w:t>SD</w:t>
            </w:r>
          </w:p>
        </w:tc>
        <w:tc>
          <w:tcPr>
            <w:tcW w:w="3870" w:type="dxa"/>
          </w:tcPr>
          <w:p w:rsidR="004173CB" w:rsidRDefault="000D7367">
            <w:pPr>
              <w:keepNext/>
              <w:spacing w:after="0"/>
              <w:jc w:val="center"/>
              <w:rPr>
                <w:rFonts w:cs="Arial"/>
                <w:sz w:val="20"/>
                <w:szCs w:val="22"/>
                <w:lang w:val="en-CA"/>
              </w:rPr>
            </w:pPr>
            <w:r w:rsidRPr="00D663C7">
              <w:rPr>
                <w:rFonts w:cs="Arial"/>
                <w:sz w:val="20"/>
                <w:szCs w:val="22"/>
                <w:lang w:val="en-CA"/>
              </w:rPr>
              <w:t>1.90</w:t>
            </w:r>
          </w:p>
        </w:tc>
        <w:tc>
          <w:tcPr>
            <w:tcW w:w="3509" w:type="dxa"/>
          </w:tcPr>
          <w:p w:rsidR="004173CB" w:rsidRDefault="000D7367">
            <w:pPr>
              <w:keepNext/>
              <w:spacing w:after="0"/>
              <w:jc w:val="center"/>
              <w:rPr>
                <w:rFonts w:cs="Arial"/>
                <w:sz w:val="20"/>
                <w:szCs w:val="22"/>
                <w:lang w:val="en-CA"/>
              </w:rPr>
            </w:pPr>
            <w:r w:rsidRPr="00D663C7">
              <w:rPr>
                <w:rFonts w:cs="Arial"/>
                <w:sz w:val="20"/>
                <w:szCs w:val="22"/>
                <w:lang w:val="en-CA"/>
              </w:rPr>
              <w:t>1.12</w:t>
            </w:r>
          </w:p>
        </w:tc>
      </w:tr>
      <w:tr w:rsidR="000D7367" w:rsidRPr="00D663C7" w:rsidTr="003E3580">
        <w:tc>
          <w:tcPr>
            <w:tcW w:w="1908" w:type="dxa"/>
          </w:tcPr>
          <w:p w:rsidR="004173CB" w:rsidRDefault="000D7367">
            <w:pPr>
              <w:keepNext/>
              <w:spacing w:after="0"/>
              <w:rPr>
                <w:rFonts w:cs="Arial"/>
                <w:b/>
                <w:sz w:val="20"/>
                <w:szCs w:val="22"/>
                <w:lang w:val="en-CA"/>
              </w:rPr>
            </w:pPr>
            <w:r w:rsidRPr="00D663C7">
              <w:rPr>
                <w:rFonts w:cs="Arial"/>
                <w:b/>
                <w:sz w:val="20"/>
                <w:szCs w:val="22"/>
                <w:lang w:val="en-CA"/>
              </w:rPr>
              <w:t>Median</w:t>
            </w:r>
          </w:p>
        </w:tc>
        <w:tc>
          <w:tcPr>
            <w:tcW w:w="3870" w:type="dxa"/>
          </w:tcPr>
          <w:p w:rsidR="004173CB" w:rsidRDefault="000D7367">
            <w:pPr>
              <w:keepNext/>
              <w:spacing w:after="0"/>
              <w:jc w:val="center"/>
              <w:rPr>
                <w:rFonts w:cs="Arial"/>
                <w:sz w:val="20"/>
                <w:szCs w:val="22"/>
                <w:lang w:val="en-CA"/>
              </w:rPr>
            </w:pPr>
            <w:r w:rsidRPr="00D663C7">
              <w:rPr>
                <w:rFonts w:cs="Arial"/>
                <w:sz w:val="20"/>
                <w:szCs w:val="22"/>
                <w:lang w:val="en-CA"/>
              </w:rPr>
              <w:t>2.00</w:t>
            </w:r>
          </w:p>
        </w:tc>
        <w:tc>
          <w:tcPr>
            <w:tcW w:w="3509" w:type="dxa"/>
          </w:tcPr>
          <w:p w:rsidR="004173CB" w:rsidRDefault="000D7367">
            <w:pPr>
              <w:keepNext/>
              <w:spacing w:after="0"/>
              <w:jc w:val="center"/>
              <w:rPr>
                <w:rFonts w:cs="Arial"/>
                <w:sz w:val="20"/>
                <w:szCs w:val="22"/>
                <w:lang w:val="en-CA"/>
              </w:rPr>
            </w:pPr>
            <w:r w:rsidRPr="00D663C7">
              <w:rPr>
                <w:rFonts w:cs="Arial"/>
                <w:sz w:val="20"/>
                <w:szCs w:val="22"/>
                <w:lang w:val="en-CA"/>
              </w:rPr>
              <w:t>0.83</w:t>
            </w:r>
          </w:p>
        </w:tc>
      </w:tr>
      <w:tr w:rsidR="000D7367" w:rsidRPr="00D663C7" w:rsidTr="003E3580">
        <w:tc>
          <w:tcPr>
            <w:tcW w:w="1908" w:type="dxa"/>
          </w:tcPr>
          <w:p w:rsidR="000D7367" w:rsidRPr="00D663C7" w:rsidRDefault="000D7367" w:rsidP="00D663C7">
            <w:pPr>
              <w:spacing w:after="0"/>
              <w:rPr>
                <w:rFonts w:cs="Arial"/>
                <w:b/>
                <w:sz w:val="20"/>
                <w:szCs w:val="22"/>
                <w:lang w:val="en-CA"/>
              </w:rPr>
            </w:pPr>
            <w:r w:rsidRPr="00D663C7">
              <w:rPr>
                <w:rFonts w:cs="Arial"/>
                <w:b/>
                <w:sz w:val="20"/>
                <w:szCs w:val="22"/>
                <w:lang w:val="en-CA"/>
              </w:rPr>
              <w:t>Range</w:t>
            </w:r>
          </w:p>
        </w:tc>
        <w:tc>
          <w:tcPr>
            <w:tcW w:w="3870" w:type="dxa"/>
          </w:tcPr>
          <w:p w:rsidR="000D7367" w:rsidRPr="00D663C7" w:rsidRDefault="000D7367" w:rsidP="00D663C7">
            <w:pPr>
              <w:spacing w:after="0"/>
              <w:jc w:val="center"/>
              <w:rPr>
                <w:rFonts w:cs="Arial"/>
                <w:sz w:val="20"/>
                <w:szCs w:val="22"/>
                <w:lang w:val="en-CA"/>
              </w:rPr>
            </w:pPr>
            <w:r w:rsidRPr="00D663C7">
              <w:rPr>
                <w:rFonts w:cs="Arial"/>
                <w:sz w:val="20"/>
                <w:szCs w:val="22"/>
                <w:lang w:val="en-CA"/>
              </w:rPr>
              <w:t>0.0 to 7.8</w:t>
            </w:r>
          </w:p>
        </w:tc>
        <w:tc>
          <w:tcPr>
            <w:tcW w:w="3509" w:type="dxa"/>
          </w:tcPr>
          <w:p w:rsidR="000D7367" w:rsidRPr="00D663C7" w:rsidRDefault="000D7367" w:rsidP="00D663C7">
            <w:pPr>
              <w:spacing w:after="0"/>
              <w:jc w:val="center"/>
              <w:rPr>
                <w:rFonts w:cs="Arial"/>
                <w:sz w:val="20"/>
                <w:szCs w:val="22"/>
                <w:lang w:val="en-CA"/>
              </w:rPr>
            </w:pPr>
            <w:r w:rsidRPr="00D663C7">
              <w:rPr>
                <w:rFonts w:cs="Arial"/>
                <w:sz w:val="20"/>
                <w:szCs w:val="22"/>
                <w:lang w:val="en-CA"/>
              </w:rPr>
              <w:t>-0.3 to 6.0</w:t>
            </w:r>
          </w:p>
        </w:tc>
      </w:tr>
    </w:tbl>
    <w:p w:rsidR="000D7367" w:rsidRPr="00D663C7" w:rsidRDefault="000D7367" w:rsidP="0054184E">
      <w:pPr>
        <w:spacing w:after="120"/>
        <w:rPr>
          <w:rFonts w:cs="Arial"/>
          <w:sz w:val="20"/>
          <w:szCs w:val="22"/>
          <w:lang w:val="en-CA"/>
        </w:rPr>
      </w:pPr>
      <w:r w:rsidRPr="00D663C7">
        <w:rPr>
          <w:rFonts w:cs="Arial"/>
          <w:sz w:val="20"/>
          <w:szCs w:val="22"/>
          <w:lang w:val="en-CA"/>
        </w:rPr>
        <w:t>ITT=intent to treat; SD=standard deviation; PID</w:t>
      </w:r>
      <w:r w:rsidRPr="00D663C7">
        <w:rPr>
          <w:rFonts w:cs="Arial"/>
          <w:sz w:val="20"/>
          <w:szCs w:val="22"/>
          <w:vertAlign w:val="subscript"/>
          <w:lang w:val="en-CA"/>
        </w:rPr>
        <w:t>10</w:t>
      </w:r>
      <w:r w:rsidRPr="00D663C7">
        <w:rPr>
          <w:rFonts w:cs="Arial"/>
          <w:sz w:val="20"/>
          <w:szCs w:val="22"/>
          <w:lang w:val="en-CA"/>
        </w:rPr>
        <w:t>=pain intensity difference at 10 minutes.</w:t>
      </w:r>
    </w:p>
    <w:p w:rsidR="00975034" w:rsidRPr="009C5C4E" w:rsidRDefault="000D7367" w:rsidP="009C5C4E">
      <w:r w:rsidRPr="009C5C4E">
        <w:t xml:space="preserve">All </w:t>
      </w:r>
      <w:r w:rsidR="00E10B37" w:rsidRPr="009C5C4E">
        <w:t>INSTANYL</w:t>
      </w:r>
      <w:r w:rsidRPr="009C5C4E">
        <w:t xml:space="preserve"> doses provided statistically significantly higher mean overall sum of the pain intensity differences in the first 15 minutes (SPID0-15 scores ranging from 1.25 to 2.14) compared with all </w:t>
      </w:r>
      <w:r w:rsidR="00533A49" w:rsidRPr="009C5C4E">
        <w:t>Actiq</w:t>
      </w:r>
      <w:r w:rsidRPr="009C5C4E">
        <w:t xml:space="preserve"> doses (ranging from 0.40 to 1.09).  Similar results were observed for SPID0-60 scores (means ranging from 3.27 to 4.33 for </w:t>
      </w:r>
      <w:r w:rsidR="00E10B37" w:rsidRPr="009C5C4E">
        <w:t>INSTANYL</w:t>
      </w:r>
      <w:r w:rsidRPr="009C5C4E">
        <w:t xml:space="preserve"> and from 1.83 to 3.51 for </w:t>
      </w:r>
      <w:r w:rsidR="00533A49" w:rsidRPr="009C5C4E">
        <w:t>Actiq</w:t>
      </w:r>
      <w:r w:rsidRPr="009C5C4E">
        <w:t>).</w:t>
      </w:r>
      <w:r w:rsidR="00975034" w:rsidRPr="009C5C4E">
        <w:t xml:space="preserve"> </w:t>
      </w:r>
      <w:r w:rsidR="00E10B37" w:rsidRPr="009C5C4E">
        <w:t>INSTANYL</w:t>
      </w:r>
      <w:r w:rsidRPr="009C5C4E">
        <w:t xml:space="preserve"> was considered preferable </w:t>
      </w:r>
      <w:r w:rsidR="002D0A65" w:rsidRPr="009C5C4E">
        <w:t xml:space="preserve">(77.4% </w:t>
      </w:r>
      <w:r w:rsidR="00E10B37" w:rsidRPr="009C5C4E">
        <w:t>INSTANYL</w:t>
      </w:r>
      <w:r w:rsidR="002D0A65" w:rsidRPr="009C5C4E">
        <w:t xml:space="preserve"> compared to 22.6% </w:t>
      </w:r>
      <w:r w:rsidR="00533A49" w:rsidRPr="009C5C4E">
        <w:t>Actiq</w:t>
      </w:r>
      <w:r w:rsidR="002D0A65" w:rsidRPr="009C5C4E">
        <w:t xml:space="preserve">, p&lt;0.001) </w:t>
      </w:r>
      <w:r w:rsidRPr="009C5C4E">
        <w:t xml:space="preserve">and easier to use by a majority of patients in comparison to </w:t>
      </w:r>
      <w:r w:rsidR="00533A49" w:rsidRPr="009C5C4E">
        <w:t>Actiq</w:t>
      </w:r>
      <w:r w:rsidRPr="009C5C4E">
        <w:t xml:space="preserve"> (p&lt;0.001).</w:t>
      </w:r>
    </w:p>
    <w:p w:rsidR="00B541CE" w:rsidRPr="009D7354" w:rsidRDefault="00B541CE" w:rsidP="009D7354">
      <w:pPr>
        <w:pStyle w:val="Heading1"/>
      </w:pPr>
      <w:r w:rsidRPr="009D7354">
        <w:lastRenderedPageBreak/>
        <w:t>Indications</w:t>
      </w:r>
    </w:p>
    <w:p w:rsidR="00ED2BBA" w:rsidRPr="009C5C4E" w:rsidRDefault="00E10B37" w:rsidP="009C5C4E">
      <w:r w:rsidRPr="009C5C4E">
        <w:t>INSTANYL</w:t>
      </w:r>
      <w:r w:rsidR="00ED2BBA" w:rsidRPr="009C5C4E">
        <w:t xml:space="preserve"> is indicated for the management of breakthrough pain in </w:t>
      </w:r>
      <w:r w:rsidR="00F12272" w:rsidRPr="009C5C4E">
        <w:t xml:space="preserve">adults </w:t>
      </w:r>
      <w:r w:rsidR="00ED2BBA" w:rsidRPr="009C5C4E">
        <w:t xml:space="preserve">already receiving maintenance opioid therapy for chronic cancer pain. </w:t>
      </w:r>
    </w:p>
    <w:p w:rsidR="00B541CE" w:rsidRPr="009D7354" w:rsidRDefault="00B541CE" w:rsidP="009D7354">
      <w:pPr>
        <w:pStyle w:val="Heading1"/>
      </w:pPr>
      <w:r w:rsidRPr="009D7354">
        <w:t>Contraindications</w:t>
      </w:r>
    </w:p>
    <w:p w:rsidR="00764E71" w:rsidRDefault="00AE6C1E" w:rsidP="00764E71">
      <w:r w:rsidRPr="009C5C4E">
        <w:t>P</w:t>
      </w:r>
      <w:r w:rsidR="006D4EDB" w:rsidRPr="009C5C4E">
        <w:t>atients with known hypersensitivity to fentanyl or to any of the excipients (see DESCRIPTION).</w:t>
      </w:r>
    </w:p>
    <w:p w:rsidR="00667101" w:rsidRDefault="00667101" w:rsidP="00764E71">
      <w:r w:rsidRPr="00667101">
        <w:t xml:space="preserve"> Use in patients not receiving opioid</w:t>
      </w:r>
      <w:r w:rsidR="00721C7C">
        <w:t xml:space="preserve"> maintenance therapy for cancer</w:t>
      </w:r>
      <w:r w:rsidRPr="00667101">
        <w:t>–related pain unless under the immediate supervision of healthcare professionals such as in a hospital or in-patient clinic.</w:t>
      </w:r>
    </w:p>
    <w:p w:rsidR="00764E71" w:rsidRDefault="00247B74" w:rsidP="00764E71">
      <w:r w:rsidRPr="009C5C4E">
        <w:t>S</w:t>
      </w:r>
      <w:r w:rsidR="00764E71" w:rsidRPr="00764E71">
        <w:t>evere respiratory depression or severe obstructive lung conditions;</w:t>
      </w:r>
    </w:p>
    <w:p w:rsidR="00764E71" w:rsidRDefault="00247B74" w:rsidP="00764E71">
      <w:r w:rsidRPr="009C5C4E">
        <w:t>P</w:t>
      </w:r>
      <w:r w:rsidR="00764E71" w:rsidRPr="00764E71">
        <w:t>revious facial radiotherapy;</w:t>
      </w:r>
    </w:p>
    <w:p w:rsidR="00764E71" w:rsidRDefault="00247B74" w:rsidP="00764E71">
      <w:r w:rsidRPr="009C5C4E">
        <w:t>R</w:t>
      </w:r>
      <w:r w:rsidR="00764E71" w:rsidRPr="00764E71">
        <w:t>ecurrent episodes of epistaxis (see Precautions)</w:t>
      </w:r>
    </w:p>
    <w:p w:rsidR="00B541CE" w:rsidRPr="009D7354" w:rsidRDefault="00B541CE" w:rsidP="009D7354">
      <w:pPr>
        <w:pStyle w:val="Heading1"/>
      </w:pPr>
      <w:r w:rsidRPr="009D7354">
        <w:t>Precautions</w:t>
      </w:r>
    </w:p>
    <w:p w:rsidR="006235B5" w:rsidRPr="00445514" w:rsidRDefault="006235B5" w:rsidP="006235B5">
      <w:pPr>
        <w:rPr>
          <w:rFonts w:eastAsia="SimSun"/>
          <w:b/>
        </w:rPr>
      </w:pPr>
      <w:r w:rsidRPr="006235B5">
        <w:rPr>
          <w:rFonts w:eastAsia="SimSun"/>
          <w:b/>
        </w:rPr>
        <w:t xml:space="preserve">Patients and their caregivers must be instructed that </w:t>
      </w:r>
      <w:r w:rsidR="00E10B37">
        <w:rPr>
          <w:rFonts w:eastAsia="SimSun"/>
          <w:b/>
        </w:rPr>
        <w:t>INSTANYL</w:t>
      </w:r>
      <w:r w:rsidRPr="006235B5">
        <w:rPr>
          <w:rFonts w:eastAsia="SimSun"/>
          <w:b/>
        </w:rPr>
        <w:t xml:space="preserve"> contains medicine in an amount that can be fatal in children, in individuals for whom it is not prescribed, and in those who are opioid naive. Patients and their caregivers must be instructed to keep </w:t>
      </w:r>
      <w:r w:rsidR="00E10B37">
        <w:rPr>
          <w:rFonts w:eastAsia="SimSun"/>
          <w:b/>
        </w:rPr>
        <w:t>INSTANYL</w:t>
      </w:r>
      <w:r w:rsidRPr="006235B5">
        <w:rPr>
          <w:rFonts w:eastAsia="SimSun"/>
          <w:b/>
        </w:rPr>
        <w:t xml:space="preserve"> out of the reach of children.</w:t>
      </w:r>
    </w:p>
    <w:p w:rsidR="004173CB" w:rsidRPr="00286329" w:rsidRDefault="00EB0EC5">
      <w:r w:rsidRPr="002B1B00">
        <w:t xml:space="preserve">When dispensing, do not substitute an </w:t>
      </w:r>
      <w:r w:rsidR="00E10B37">
        <w:t>INSTANYL</w:t>
      </w:r>
      <w:r w:rsidRPr="002B1B00">
        <w:t xml:space="preserve"> prescription for any other fentanyl product. Substantial differences exist</w:t>
      </w:r>
      <w:r w:rsidR="00736738" w:rsidRPr="00736738">
        <w:t xml:space="preserve"> in the pharmacokinetic profile of </w:t>
      </w:r>
      <w:r w:rsidR="00E10B37">
        <w:t>INSTANYL</w:t>
      </w:r>
      <w:r w:rsidR="00736738" w:rsidRPr="00736738">
        <w:t xml:space="preserve"> compa</w:t>
      </w:r>
      <w:r w:rsidR="004736AD" w:rsidRPr="004736AD">
        <w:t xml:space="preserve">red to other fentanyl products that result in clinically important differences in the extent of absorption of fentanyl. As a result of these differences, the substitution of </w:t>
      </w:r>
      <w:r w:rsidR="00E10B37">
        <w:t>INSTANYL</w:t>
      </w:r>
      <w:r w:rsidR="004736AD" w:rsidRPr="004736AD">
        <w:t xml:space="preserve"> for any other fentanyl product may result in fatal overdose. </w:t>
      </w:r>
      <w:r w:rsidR="00E10B37">
        <w:t>INSTANYL</w:t>
      </w:r>
      <w:r w:rsidR="004736AD" w:rsidRPr="004736AD">
        <w:t xml:space="preserve"> is NOT a generic version of any other fentanyl product.</w:t>
      </w:r>
      <w:r w:rsidR="00286329">
        <w:t xml:space="preserve"> </w:t>
      </w:r>
      <w:r w:rsidR="00764E71" w:rsidRPr="00764E71">
        <w:t xml:space="preserve">Patients commencing </w:t>
      </w:r>
      <w:r w:rsidR="00E10B37">
        <w:t>INSTANYL</w:t>
      </w:r>
      <w:r w:rsidR="00764E71" w:rsidRPr="00764E71">
        <w:t xml:space="preserve"> must be titrated to </w:t>
      </w:r>
      <w:r w:rsidR="00BE68D6">
        <w:t>a</w:t>
      </w:r>
      <w:r w:rsidR="00764E71" w:rsidRPr="00764E71">
        <w:t xml:space="preserve">n appropriate dose (see DOSAGE AND ADMINISTRATION). Do not convert patients on a microgram per microgram basis from any other fentanyl products to </w:t>
      </w:r>
      <w:r w:rsidR="00E10B37">
        <w:t>INSTANYL</w:t>
      </w:r>
      <w:r w:rsidR="00764E71" w:rsidRPr="00764E71">
        <w:t xml:space="preserve">. No other product should be substituted for </w:t>
      </w:r>
      <w:r w:rsidR="00E10B37">
        <w:t>INSTANYL</w:t>
      </w:r>
      <w:r w:rsidR="00764E71" w:rsidRPr="00764E71">
        <w:t>. Failure to titrate as recommended may result in overdose</w:t>
      </w:r>
      <w:r w:rsidR="00155B4E">
        <w:t>.</w:t>
      </w:r>
    </w:p>
    <w:p w:rsidR="008D2DF2" w:rsidRPr="007C657E" w:rsidRDefault="0088666E" w:rsidP="007C657E">
      <w:pPr>
        <w:pStyle w:val="Heading2"/>
      </w:pPr>
      <w:r w:rsidRPr="007C657E">
        <w:t>Maintenance opioid therapy</w:t>
      </w:r>
    </w:p>
    <w:p w:rsidR="004173CB" w:rsidRDefault="0088666E" w:rsidP="009C5C4E">
      <w:r>
        <w:t xml:space="preserve">Before patients are titrated with </w:t>
      </w:r>
      <w:r w:rsidR="00E10B37">
        <w:t>INSTANYL</w:t>
      </w:r>
      <w:r>
        <w:t xml:space="preserve"> it is expected that the patient’s background persistent pain is controlled through the use of chronic opioid therapy and that they are experiencing no more than four (4) </w:t>
      </w:r>
      <w:r w:rsidR="003C0D4F">
        <w:t xml:space="preserve">BTP </w:t>
      </w:r>
      <w:r>
        <w:t>episodes per day.</w:t>
      </w:r>
      <w:r w:rsidR="00632024">
        <w:t xml:space="preserve">  Maintenance therapy should be continued while patients are using </w:t>
      </w:r>
      <w:r w:rsidR="00E10B37">
        <w:t>INSTANYL</w:t>
      </w:r>
      <w:r w:rsidR="00632024">
        <w:t xml:space="preserve">.  </w:t>
      </w:r>
      <w:r w:rsidR="008D2DF2" w:rsidRPr="008D2DF2">
        <w:t>Patients</w:t>
      </w:r>
      <w:r w:rsidR="008D2DF2">
        <w:t xml:space="preserve"> </w:t>
      </w:r>
      <w:r w:rsidR="008D2DF2" w:rsidRPr="008D2DF2">
        <w:t>receiving maintenance opioid therapy are those who are taking at least 60</w:t>
      </w:r>
      <w:r w:rsidR="008D2DF2">
        <w:t> </w:t>
      </w:r>
      <w:r w:rsidR="008D2DF2" w:rsidRPr="008D2DF2">
        <w:t>mg morphine daily, 25</w:t>
      </w:r>
      <w:r w:rsidR="008D2DF2">
        <w:t> </w:t>
      </w:r>
      <w:r w:rsidR="008D2DF2" w:rsidRPr="002B1B00">
        <w:t>µ</w:t>
      </w:r>
      <w:r w:rsidR="008D2DF2" w:rsidRPr="008D2DF2">
        <w:t>g of transdermal fentanyl per hour, or an equianalgesic dose of</w:t>
      </w:r>
      <w:r w:rsidR="008D2DF2">
        <w:t xml:space="preserve"> </w:t>
      </w:r>
      <w:r w:rsidR="008D2DF2" w:rsidRPr="008D2DF2">
        <w:t>another opioid for a week or longer.</w:t>
      </w:r>
    </w:p>
    <w:p w:rsidR="00DC6C48" w:rsidRPr="007C657E" w:rsidRDefault="00DC6C48" w:rsidP="007C657E">
      <w:pPr>
        <w:pStyle w:val="Heading2"/>
      </w:pPr>
      <w:r w:rsidRPr="007C657E">
        <w:t>Opioid</w:t>
      </w:r>
      <w:r w:rsidR="008D2DF2" w:rsidRPr="007C657E">
        <w:t>-</w:t>
      </w:r>
      <w:r w:rsidRPr="007C657E">
        <w:t>naive patients</w:t>
      </w:r>
      <w:r w:rsidR="00866D0B">
        <w:t xml:space="preserve"> </w:t>
      </w:r>
      <w:r w:rsidR="00E44476" w:rsidRPr="007C657E">
        <w:t>/</w:t>
      </w:r>
      <w:r w:rsidR="00866D0B">
        <w:t xml:space="preserve"> </w:t>
      </w:r>
      <w:r w:rsidR="00E44476" w:rsidRPr="007C657E">
        <w:t>Patients not receiving opioid maintenance therapy</w:t>
      </w:r>
    </w:p>
    <w:p w:rsidR="00E44476" w:rsidRDefault="008D2DF2" w:rsidP="009C5C4E">
      <w:r>
        <w:t xml:space="preserve">. </w:t>
      </w:r>
      <w:r w:rsidR="00555E7B" w:rsidRPr="00555E7B">
        <w:t xml:space="preserve">INSTANYL is contraindicated in patients not receiving opioid maintenance therapy for cancer-related pain unless under the immediate supervision of healthcare professionals such as in </w:t>
      </w:r>
      <w:r w:rsidR="00555E7B">
        <w:t>a hospital or in-patient clinic</w:t>
      </w:r>
      <w:r w:rsidR="00555E7B" w:rsidRPr="00555E7B">
        <w:t xml:space="preserve"> (see </w:t>
      </w:r>
      <w:r w:rsidR="00555E7B">
        <w:t>‘</w:t>
      </w:r>
      <w:r w:rsidR="00555E7B" w:rsidRPr="00555E7B">
        <w:t>Contraindications</w:t>
      </w:r>
      <w:r w:rsidR="00555E7B">
        <w:t>’</w:t>
      </w:r>
      <w:r w:rsidR="00555E7B" w:rsidRPr="00555E7B">
        <w:t>)</w:t>
      </w:r>
      <w:r w:rsidR="00555E7B">
        <w:t xml:space="preserve">. </w:t>
      </w:r>
      <w:r>
        <w:t xml:space="preserve">Life-threatening respiratory depression could occur at any dose in opioid </w:t>
      </w:r>
      <w:r w:rsidR="006D4FCF">
        <w:t>naive</w:t>
      </w:r>
      <w:r>
        <w:t xml:space="preserve"> patients.</w:t>
      </w:r>
      <w:r w:rsidR="006E11C3">
        <w:t xml:space="preserve">  Deaths have occurred in opioid </w:t>
      </w:r>
      <w:r w:rsidR="00DB43EB">
        <w:t xml:space="preserve">naive </w:t>
      </w:r>
      <w:r w:rsidR="006E11C3">
        <w:t>patients treated with other fentanyl products.</w:t>
      </w:r>
    </w:p>
    <w:p w:rsidR="00771CD7" w:rsidRPr="007C657E" w:rsidRDefault="00771CD7" w:rsidP="007C657E">
      <w:pPr>
        <w:pStyle w:val="Heading2"/>
      </w:pPr>
      <w:r w:rsidRPr="007C657E">
        <w:t>Respiratory depression</w:t>
      </w:r>
    </w:p>
    <w:p w:rsidR="00771CD7" w:rsidRDefault="00771CD7" w:rsidP="009C5C4E">
      <w:r>
        <w:t>As with all potent opioids clinical significant respiratory depression may occur with fentanyl, and patients must be observed for these effects</w:t>
      </w:r>
      <w:r w:rsidR="009E61D3">
        <w:t xml:space="preserve">.  </w:t>
      </w:r>
      <w:r>
        <w:t>Patients with pain who receive chronic opioid therapy develop tolerance to respiratory depression and hence the risk of respiratory depression in these patients is reduced</w:t>
      </w:r>
      <w:r w:rsidR="009E61D3">
        <w:t xml:space="preserve">.  </w:t>
      </w:r>
      <w:r>
        <w:t xml:space="preserve">The use of concomitant central nervous system depressants may increase the risk of respiratory depression (see </w:t>
      </w:r>
      <w:r w:rsidR="003E6339">
        <w:t>INTERACTIONS WITH OTHER MEDICINES</w:t>
      </w:r>
      <w:r>
        <w:t>).</w:t>
      </w:r>
    </w:p>
    <w:p w:rsidR="00771CD7" w:rsidRPr="007C657E" w:rsidRDefault="00771CD7" w:rsidP="007C657E">
      <w:pPr>
        <w:pStyle w:val="Heading2"/>
      </w:pPr>
      <w:r w:rsidRPr="007C657E">
        <w:lastRenderedPageBreak/>
        <w:t>Chronic pulmonary disease</w:t>
      </w:r>
    </w:p>
    <w:p w:rsidR="00771CD7" w:rsidRDefault="00771CD7" w:rsidP="009C5C4E">
      <w:r>
        <w:t>In patients with chronic obstructive pulmonary diseases, fentanyl may have more severe adverse reactions</w:t>
      </w:r>
      <w:r w:rsidR="009E61D3">
        <w:t xml:space="preserve">.  </w:t>
      </w:r>
      <w:r>
        <w:t>In these patients, opioids may decrease respiratory drive and increase airway resistance.</w:t>
      </w:r>
    </w:p>
    <w:p w:rsidR="00771CD7" w:rsidRPr="007C657E" w:rsidRDefault="00CF4166" w:rsidP="007C657E">
      <w:pPr>
        <w:pStyle w:val="Heading2"/>
      </w:pPr>
      <w:r w:rsidRPr="007C657E">
        <w:t>Hepatic and renal impairment</w:t>
      </w:r>
    </w:p>
    <w:p w:rsidR="00771CD7" w:rsidRDefault="00771CD7" w:rsidP="009C5C4E">
      <w:r>
        <w:t>Fentanyl should be administered with caution to patients with moderate to severe hepatic or renal impairment</w:t>
      </w:r>
      <w:r w:rsidR="009E61D3">
        <w:t xml:space="preserve">.  </w:t>
      </w:r>
      <w:r>
        <w:t xml:space="preserve">The influence of hepatic and renal impairment on the pharmacokinetics of </w:t>
      </w:r>
      <w:r w:rsidR="00E10B37">
        <w:t>INSTANYL</w:t>
      </w:r>
      <w:r>
        <w:t xml:space="preserve"> have not been evaluated; however, when administered intravenously the clearance of fentanyl has shown to be altered due to hepatic and renal impairment caused by alterations in metabolic clearance and plasma proteins. </w:t>
      </w:r>
    </w:p>
    <w:p w:rsidR="00771CD7" w:rsidRPr="007C657E" w:rsidRDefault="00771CD7" w:rsidP="007C657E">
      <w:pPr>
        <w:pStyle w:val="Heading2"/>
      </w:pPr>
      <w:r w:rsidRPr="007C657E">
        <w:t>Increased intracranial pressure</w:t>
      </w:r>
    </w:p>
    <w:p w:rsidR="00771CD7" w:rsidRDefault="00771CD7" w:rsidP="009C5C4E">
      <w:r>
        <w:t xml:space="preserve">Fentanyl should be used with caution in patients with evidence of increased intracranial pressure, impaired consciousness or coma. </w:t>
      </w:r>
      <w:r w:rsidR="00E10B37">
        <w:t>INSTANYL</w:t>
      </w:r>
      <w:r>
        <w:t xml:space="preserve"> should be used with caution in patients with cerebral tumour or head injury.</w:t>
      </w:r>
    </w:p>
    <w:p w:rsidR="00771CD7" w:rsidRPr="007C657E" w:rsidRDefault="00771CD7" w:rsidP="007C657E">
      <w:pPr>
        <w:pStyle w:val="Heading2"/>
      </w:pPr>
      <w:r w:rsidRPr="007C657E">
        <w:t>Cardiac disease</w:t>
      </w:r>
    </w:p>
    <w:p w:rsidR="00771CD7" w:rsidRDefault="00771CD7" w:rsidP="009C5C4E">
      <w:r>
        <w:t>Fentanyl may produce bradycardia</w:t>
      </w:r>
      <w:r w:rsidR="009E61D3">
        <w:t xml:space="preserve">. </w:t>
      </w:r>
      <w:r>
        <w:t>Fentanyl should therefore be administered with caution to patients with bradyarrhythmias</w:t>
      </w:r>
      <w:r w:rsidR="009E61D3">
        <w:t xml:space="preserve">. </w:t>
      </w:r>
      <w:r w:rsidR="00E10B37">
        <w:t>INSTANYL</w:t>
      </w:r>
      <w:r>
        <w:t xml:space="preserve"> should be used with caution in patients with hypot</w:t>
      </w:r>
      <w:r w:rsidR="006758E4">
        <w:t>ension</w:t>
      </w:r>
      <w:r>
        <w:t xml:space="preserve"> and/or hypovolaemia.</w:t>
      </w:r>
    </w:p>
    <w:p w:rsidR="00771CD7" w:rsidRPr="007C657E" w:rsidRDefault="00771CD7" w:rsidP="007C657E">
      <w:pPr>
        <w:pStyle w:val="Heading2"/>
      </w:pPr>
      <w:r w:rsidRPr="007C657E">
        <w:t>Nasal conditions</w:t>
      </w:r>
    </w:p>
    <w:p w:rsidR="00771CD7" w:rsidRDefault="00771CD7" w:rsidP="009C5C4E">
      <w:r>
        <w:t>If the patient experience</w:t>
      </w:r>
      <w:r w:rsidR="001045F7">
        <w:t>s</w:t>
      </w:r>
      <w:r>
        <w:t xml:space="preserve"> recurrent episodes of epistaxis or nasal discomfort while taking </w:t>
      </w:r>
      <w:r w:rsidR="00E10B37">
        <w:t>INSTANYL</w:t>
      </w:r>
      <w:r>
        <w:t xml:space="preserve">, an alternative administration form for treatment of </w:t>
      </w:r>
      <w:r w:rsidR="003C0D4F">
        <w:t xml:space="preserve">BTP </w:t>
      </w:r>
      <w:r>
        <w:t>should be considered.</w:t>
      </w:r>
    </w:p>
    <w:p w:rsidR="00771CD7" w:rsidRPr="007C657E" w:rsidRDefault="00771CD7" w:rsidP="007C657E">
      <w:pPr>
        <w:pStyle w:val="Heading2"/>
      </w:pPr>
      <w:r w:rsidRPr="007C657E">
        <w:t>Common cold</w:t>
      </w:r>
    </w:p>
    <w:p w:rsidR="00771CD7" w:rsidRDefault="00771CD7" w:rsidP="009C5C4E">
      <w:r>
        <w:t>The overall extent of fentanyl exposure in subjects with common cold without prior treatment with nasal vasoconstrictor is comparable to that in healthy subjects</w:t>
      </w:r>
      <w:r w:rsidR="009E61D3">
        <w:t xml:space="preserve">.  </w:t>
      </w:r>
      <w:r>
        <w:t xml:space="preserve">For concomitant use of nasal vasoconstrictor see </w:t>
      </w:r>
      <w:r w:rsidR="003E6339">
        <w:t>INTERACTIONS WITH OTHER MEDICINES</w:t>
      </w:r>
      <w:r>
        <w:t>.</w:t>
      </w:r>
    </w:p>
    <w:p w:rsidR="00771CD7" w:rsidRPr="007C657E" w:rsidRDefault="00771CD7" w:rsidP="007C657E">
      <w:pPr>
        <w:pStyle w:val="Heading2"/>
      </w:pPr>
      <w:r w:rsidRPr="007C657E">
        <w:t>Abuse potential and dependence</w:t>
      </w:r>
    </w:p>
    <w:p w:rsidR="00771CD7" w:rsidRDefault="00771CD7" w:rsidP="009C5C4E">
      <w:r>
        <w:t>Tolerance and physical and/or psychological dependence may develop upon repeated administration of opioids such as fentanyl</w:t>
      </w:r>
      <w:r w:rsidR="009E61D3">
        <w:t xml:space="preserve">.  </w:t>
      </w:r>
      <w:r>
        <w:t>However, iatrogenic addiction following therapeutic use of opioids is rare in the treatment of cancer related pain.</w:t>
      </w:r>
    </w:p>
    <w:p w:rsidR="00771CD7" w:rsidRPr="007C657E" w:rsidRDefault="00771CD7" w:rsidP="007C657E">
      <w:pPr>
        <w:pStyle w:val="Heading2"/>
      </w:pPr>
      <w:r w:rsidRPr="007C657E">
        <w:t>Withdrawal symptoms</w:t>
      </w:r>
    </w:p>
    <w:p w:rsidR="00771CD7" w:rsidRDefault="00771CD7" w:rsidP="009C5C4E">
      <w:r>
        <w:t>Withdrawal symptoms may be precipitated through the administration of substances with opioid antagonist activity, e.g. naloxone, or mixed agonist/antagonist analgesic (e.g. pentazocine, butorphanol, buprenorphine, nalbuphine).</w:t>
      </w:r>
    </w:p>
    <w:p w:rsidR="004173CB" w:rsidRPr="007C657E" w:rsidRDefault="00771CD7" w:rsidP="007C657E">
      <w:pPr>
        <w:pStyle w:val="Heading2"/>
      </w:pPr>
      <w:r w:rsidRPr="007C657E">
        <w:t>Treatment with other nasally administered medicinal products</w:t>
      </w:r>
    </w:p>
    <w:p w:rsidR="00771CD7" w:rsidRDefault="00771CD7" w:rsidP="009C5C4E">
      <w:r>
        <w:t xml:space="preserve">When initiating treatment with </w:t>
      </w:r>
      <w:r w:rsidR="00E10B37">
        <w:t>INSTANYL</w:t>
      </w:r>
      <w:r>
        <w:t>, alternative administration forms should be considered for concurrent treatment of concomitant diseases that can be treated via nasal administration.</w:t>
      </w:r>
    </w:p>
    <w:p w:rsidR="004173CB" w:rsidRPr="007C657E" w:rsidRDefault="004D4B7B" w:rsidP="007C657E">
      <w:pPr>
        <w:pStyle w:val="Heading2"/>
      </w:pPr>
      <w:r w:rsidRPr="007C657E">
        <w:t>Local tolerance</w:t>
      </w:r>
    </w:p>
    <w:p w:rsidR="004D4B7B" w:rsidRPr="009C5C4E" w:rsidRDefault="004D4B7B" w:rsidP="004D4B7B">
      <w:r w:rsidRPr="009C5C4E">
        <w:t xml:space="preserve">Local tolerance studies with </w:t>
      </w:r>
      <w:r w:rsidR="00E10B37" w:rsidRPr="009C5C4E">
        <w:t>INSTANYL</w:t>
      </w:r>
      <w:r w:rsidRPr="009C5C4E">
        <w:t xml:space="preserve"> in mini-pigs demonstrated that </w:t>
      </w:r>
      <w:r w:rsidR="00E10B37" w:rsidRPr="009C5C4E">
        <w:t>INSTANYL</w:t>
      </w:r>
      <w:r w:rsidRPr="009C5C4E">
        <w:t xml:space="preserve"> administration was well tolerated.</w:t>
      </w:r>
    </w:p>
    <w:p w:rsidR="00B541CE" w:rsidRPr="0054184E" w:rsidRDefault="00B541CE" w:rsidP="00B66E10">
      <w:pPr>
        <w:pStyle w:val="Heading2"/>
      </w:pPr>
      <w:r w:rsidRPr="0054184E">
        <w:t>Effects on Fertility</w:t>
      </w:r>
    </w:p>
    <w:p w:rsidR="00764E71" w:rsidRDefault="00764E71" w:rsidP="00764E71">
      <w:r w:rsidRPr="00764E71">
        <w:t xml:space="preserve">In humans, the prolonged use of opioid analgesics may result in sexual dysfunction, infertility or impairment of fertility in both sexes, and menstrual disturbance in women. Impairment of fertility has been observed in female rats given subcutaneous fentanyl 160 µg/kg/ day no-effect dose not </w:t>
      </w:r>
      <w:r w:rsidRPr="00764E71">
        <w:lastRenderedPageBreak/>
        <w:t>established) or intravenous fentanyl 400 µg/kg/ day (no-effect dose L00 1tg/kg/day). No effect</w:t>
      </w:r>
      <w:r w:rsidR="00B66E10" w:rsidRPr="009C5C4E">
        <w:t xml:space="preserve"> </w:t>
      </w:r>
      <w:r w:rsidRPr="00764E71">
        <w:t>was observed on the fertility of male rats at 400 µg/kg/ day intravenous fentanyl.</w:t>
      </w:r>
    </w:p>
    <w:p w:rsidR="00B541CE" w:rsidRPr="0054184E" w:rsidRDefault="00B541CE" w:rsidP="00B66E10">
      <w:pPr>
        <w:pStyle w:val="Heading2"/>
      </w:pPr>
      <w:r w:rsidRPr="0054184E">
        <w:t>Use in Pregnancy</w:t>
      </w:r>
      <w:r w:rsidR="009A5F0D">
        <w:t xml:space="preserve"> (Category C)</w:t>
      </w:r>
    </w:p>
    <w:p w:rsidR="00764E71" w:rsidRDefault="009A5F0D" w:rsidP="00764E71">
      <w:r w:rsidRPr="009C5C4E">
        <w:t>There are no adequate data from the use of fentanyl in pregnant women</w:t>
      </w:r>
      <w:r w:rsidR="009E61D3" w:rsidRPr="009C5C4E">
        <w:t xml:space="preserve">.  </w:t>
      </w:r>
      <w:r w:rsidR="000F3B77" w:rsidRPr="009C5C4E">
        <w:t xml:space="preserve">Fentanyl crosses the placenta in humans (fetal blood concentrations about 40% of maternal blood concentrations]. There are no adequate and well-controlled studies in pregnant women. </w:t>
      </w:r>
      <w:r w:rsidR="00E10B37" w:rsidRPr="009C5C4E">
        <w:t>INSTANYL</w:t>
      </w:r>
      <w:r w:rsidR="000F3B77" w:rsidRPr="009C5C4E">
        <w:t xml:space="preserve"> should be used during pregnancy only if the potential benefit justifies the potential risk to the fetus. No epidemiological studies of congenital abnormalities in infants born to women treated with fentanyl during pregnancy have been reported. chronic maternal treatment with fentanyl during pregnancy has been associated with transient respiratory depression, behavioural changes, or seizures in newborn infants characteristic of neonatal abstinence syndrome. </w:t>
      </w:r>
    </w:p>
    <w:p w:rsidR="00764E71" w:rsidRDefault="000F3B77" w:rsidP="00764E71">
      <w:r w:rsidRPr="009C5C4E">
        <w:t>In pregnant rats, fentanyl is embryocidal as evidenced by increased resorptions at doses of 30 µg/kg/ day intravenously or 160 µg/kg/day or greater subcutaneously. Intravenous administration to rats at 30 µg/kg/day during organogenesis was associated with prolonged delivery time and increased postnatal mortality of offspring. There was no effect on embryofetal development when rats received fentanyl at subcutaneous doses up to 500 µg/kg/day throughout gestation, and no evidence of teratogenicity in rabbits administered fentanyl at intravenous doses up to 400 µg/kg/day during organogenesis. The significance of these findings for potential human risk is unknown.</w:t>
      </w:r>
      <w:r w:rsidR="0087289D" w:rsidRPr="009C5C4E">
        <w:t xml:space="preserve"> </w:t>
      </w:r>
      <w:r w:rsidR="009A5F0D" w:rsidRPr="009C5C4E">
        <w:t>The potential risk for humans is unknown</w:t>
      </w:r>
      <w:r w:rsidR="009E61D3" w:rsidRPr="009C5C4E">
        <w:t xml:space="preserve">.  </w:t>
      </w:r>
      <w:r w:rsidR="00E10B37" w:rsidRPr="009C5C4E">
        <w:t>INSTANYL</w:t>
      </w:r>
      <w:r w:rsidR="009A5F0D" w:rsidRPr="009C5C4E">
        <w:t xml:space="preserve"> should not be used in pregnancy unless clearly necessary.</w:t>
      </w:r>
      <w:r w:rsidRPr="009C5C4E">
        <w:t xml:space="preserve"> </w:t>
      </w:r>
      <w:r w:rsidR="009A5F0D" w:rsidRPr="009C5C4E">
        <w:t xml:space="preserve">Following long-term treatment, fentanyl may cause withdrawal in the new-born infant. </w:t>
      </w:r>
      <w:r w:rsidRPr="009C5C4E">
        <w:t xml:space="preserve"> </w:t>
      </w:r>
      <w:r w:rsidR="009A5F0D" w:rsidRPr="009C5C4E">
        <w:t xml:space="preserve">It is advised not to use fentanyl during labour and delivery (including caesarean section) because fentanyl passes through the placenta and may cause respiratory depression in the foetus. If </w:t>
      </w:r>
      <w:r w:rsidR="00E10B37" w:rsidRPr="009C5C4E">
        <w:t>INSTANYL</w:t>
      </w:r>
      <w:r w:rsidR="009A5F0D" w:rsidRPr="009C5C4E">
        <w:t xml:space="preserve"> is administered, an antidote for the child should be readily available. </w:t>
      </w:r>
    </w:p>
    <w:p w:rsidR="00B541CE" w:rsidRDefault="00B541CE" w:rsidP="00B66E10">
      <w:pPr>
        <w:pStyle w:val="Heading2"/>
      </w:pPr>
      <w:r w:rsidRPr="0054184E">
        <w:t>Use in Lactation</w:t>
      </w:r>
    </w:p>
    <w:p w:rsidR="00215788" w:rsidRPr="009C5C4E" w:rsidRDefault="009A5F0D" w:rsidP="00215788">
      <w:pPr>
        <w:spacing w:after="120"/>
        <w:outlineLvl w:val="0"/>
      </w:pPr>
      <w:r w:rsidRPr="009C5C4E">
        <w:t>Fentanyl is excreted into human milk and may cause sedation and respiratory depression in the breast-fed infant</w:t>
      </w:r>
      <w:r w:rsidR="009E61D3" w:rsidRPr="009C5C4E">
        <w:t xml:space="preserve">.  </w:t>
      </w:r>
      <w:r w:rsidRPr="009C5C4E">
        <w:t>Fentanyl should only be used by breast</w:t>
      </w:r>
      <w:r w:rsidR="00EE7137" w:rsidRPr="009C5C4E">
        <w:t>-</w:t>
      </w:r>
      <w:r w:rsidRPr="009C5C4E">
        <w:t>feeding women if the benefits outweigh the potential risks for both mother and child.</w:t>
      </w:r>
      <w:r w:rsidR="00215788" w:rsidRPr="009C5C4E">
        <w:t xml:space="preserve">  </w:t>
      </w:r>
      <w:r w:rsidR="00764E71" w:rsidRPr="00764E71">
        <w:t>Administration of fentanyl to female rats from early</w:t>
      </w:r>
      <w:r w:rsidR="00764E71" w:rsidRPr="00764E71">
        <w:rPr>
          <w:rFonts w:eastAsia="SimSun" w:cs="Arial"/>
          <w:noProof/>
          <w:szCs w:val="22"/>
        </w:rPr>
        <w:t xml:space="preserve"> </w:t>
      </w:r>
      <w:r w:rsidR="00764E71" w:rsidRPr="00764E71">
        <w:t>gestation to weaning was associated with reduced early postnatal survival. This could be a direct effect on the pups or secondary to maternal toxicity.</w:t>
      </w:r>
    </w:p>
    <w:p w:rsidR="00975034" w:rsidRDefault="00B541CE">
      <w:pPr>
        <w:pStyle w:val="Heading2"/>
      </w:pPr>
      <w:r w:rsidRPr="0054184E">
        <w:t>Paediatric Use</w:t>
      </w:r>
    </w:p>
    <w:p w:rsidR="00E039C3" w:rsidRDefault="00E039C3" w:rsidP="009C5C4E">
      <w:r>
        <w:t xml:space="preserve">The safety and efficacy of </w:t>
      </w:r>
      <w:r w:rsidR="00E10B37">
        <w:t>INSTANYL</w:t>
      </w:r>
      <w:r>
        <w:t xml:space="preserve"> in children aged below 18 years have not yet been established.</w:t>
      </w:r>
    </w:p>
    <w:p w:rsidR="00B541CE" w:rsidRDefault="00B541CE" w:rsidP="00B66E10">
      <w:pPr>
        <w:pStyle w:val="Heading2"/>
      </w:pPr>
      <w:r w:rsidRPr="0054184E">
        <w:t>Use in the Elderly</w:t>
      </w:r>
    </w:p>
    <w:p w:rsidR="00CF4166" w:rsidRPr="009C5C4E" w:rsidRDefault="00CF4166" w:rsidP="009C5C4E">
      <w:r w:rsidRPr="009C5C4E">
        <w:t xml:space="preserve">Limited data on pharmacokinetics, efficacy and safety are available for the use of </w:t>
      </w:r>
      <w:r w:rsidR="00E10B37" w:rsidRPr="009C5C4E">
        <w:t>INSTANYL</w:t>
      </w:r>
      <w:r w:rsidRPr="009C5C4E">
        <w:t xml:space="preserve"> in patients above 65 years of age. Elderly patients may have a reduced clearance, a prolonged half-life and higher sensitivity to fentanyl than younger patients. Caution should therefore be taken in treatment of elderly, cachectic or debilitated patients.</w:t>
      </w:r>
      <w:r w:rsidR="0087289D">
        <w:t xml:space="preserve"> </w:t>
      </w:r>
      <w:r w:rsidRPr="00D45C10">
        <w:t>In clinical trials elderly patients tend to titrate to a lower effective strength than patients less than 65 years of age</w:t>
      </w:r>
      <w:r w:rsidR="009E61D3" w:rsidRPr="00D45C10">
        <w:t xml:space="preserve">.  </w:t>
      </w:r>
      <w:r w:rsidRPr="00D45C10">
        <w:t xml:space="preserve">Particular caution should be exercised when titrating </w:t>
      </w:r>
      <w:r w:rsidR="00E10B37">
        <w:t>INSTANYL</w:t>
      </w:r>
      <w:r w:rsidRPr="00D45C10">
        <w:t xml:space="preserve"> in elderly patients.</w:t>
      </w:r>
    </w:p>
    <w:p w:rsidR="00B541CE" w:rsidRDefault="00B541CE" w:rsidP="00B66E10">
      <w:pPr>
        <w:pStyle w:val="Heading2"/>
      </w:pPr>
      <w:r w:rsidRPr="0054184E">
        <w:t>Genotoxicity</w:t>
      </w:r>
    </w:p>
    <w:p w:rsidR="00764E71" w:rsidRDefault="00764E71" w:rsidP="00764E71">
      <w:r w:rsidRPr="00764E71">
        <w:t>Fentanyl showed no evidence of genotoxic potential in assays for gene mutations (Ames reverse mutation test, mouse lymphoma thymidine kinase assay</w:t>
      </w:r>
      <w:r w:rsidR="00D33C3B" w:rsidRPr="009C5C4E">
        <w:t>)</w:t>
      </w:r>
      <w:r w:rsidRPr="00764E71">
        <w:t xml:space="preserve">, chromosomal damage </w:t>
      </w:r>
      <w:r w:rsidR="00D33C3B" w:rsidRPr="009C5C4E">
        <w:t>(C</w:t>
      </w:r>
      <w:r w:rsidRPr="00764E71">
        <w:t>hinese hamster ovary cells, mouse micronucleus test</w:t>
      </w:r>
      <w:r w:rsidR="00D33C3B" w:rsidRPr="009C5C4E">
        <w:t>)</w:t>
      </w:r>
      <w:r w:rsidRPr="00764E71">
        <w:t xml:space="preserve"> and other genotoxic effects (unscheduled DNA synthesis in rat hepatocytes, mammalian cell transformation assay). The metabolite despropionylfentanyl was negative in assays for reverse mutation in bacteria and chromosomal damage in human lymphocytes. The genotoxic potential of fentanyl is considered to be low.</w:t>
      </w:r>
    </w:p>
    <w:p w:rsidR="00160E17" w:rsidRDefault="00160E17" w:rsidP="00B66E10">
      <w:pPr>
        <w:pStyle w:val="Heading2"/>
      </w:pPr>
      <w:r w:rsidRPr="0054184E">
        <w:lastRenderedPageBreak/>
        <w:t>Carcinogenicity</w:t>
      </w:r>
    </w:p>
    <w:p w:rsidR="00764E71" w:rsidRDefault="003C0B9A" w:rsidP="00764E71">
      <w:r w:rsidRPr="009C5C4E">
        <w:t xml:space="preserve">Non-clinical data reveal no special hazard for humans based on conventional studies of carcinogenicity.  </w:t>
      </w:r>
      <w:r w:rsidR="00764E71" w:rsidRPr="00764E71">
        <w:t xml:space="preserve"> </w:t>
      </w:r>
      <w:r w:rsidR="00AC7A55" w:rsidRPr="009C5C4E">
        <w:t>I</w:t>
      </w:r>
      <w:r w:rsidR="00764E71" w:rsidRPr="00764E71">
        <w:t xml:space="preserve">n a two year study in rats, there was no evidence of carcinogenicity following </w:t>
      </w:r>
      <w:r w:rsidR="00AC7A55" w:rsidRPr="009C5C4E">
        <w:t>daily subcutaneous</w:t>
      </w:r>
      <w:r w:rsidR="00764E71" w:rsidRPr="00764E71">
        <w:t xml:space="preserve"> administration of fentanyl at the maximum tolerated dose.</w:t>
      </w:r>
    </w:p>
    <w:p w:rsidR="00764E71" w:rsidRPr="00764E71" w:rsidRDefault="00764E71" w:rsidP="00764E71">
      <w:pPr>
        <w:pStyle w:val="Heading2"/>
        <w:rPr>
          <w:b w:val="0"/>
        </w:rPr>
      </w:pPr>
      <w:r w:rsidRPr="00764E71">
        <w:t>Effects on ability to drive and use machines</w:t>
      </w:r>
    </w:p>
    <w:p w:rsidR="00BC78E4" w:rsidRPr="009C5C4E" w:rsidRDefault="00BC78E4" w:rsidP="007C657E">
      <w:r w:rsidRPr="009C5C4E">
        <w:t xml:space="preserve">No studies of the effects on the ability to drive and use machines have been performed. However, opioid analgesics are known to impair the mental and/or physical ability required for driving or operating machinery. Patients should be advised not to drive or operate machinery if they experience somnolence, dizziness, visual disturbances or other adverse reaction which can impair their ability to drive and operate machinery. </w:t>
      </w:r>
    </w:p>
    <w:p w:rsidR="00B541CE" w:rsidRPr="009D7354" w:rsidRDefault="00B541CE" w:rsidP="009D7354">
      <w:pPr>
        <w:pStyle w:val="Heading1"/>
      </w:pPr>
      <w:r w:rsidRPr="009D7354">
        <w:t>Interactions with other Medicines</w:t>
      </w:r>
    </w:p>
    <w:p w:rsidR="00CF4166" w:rsidRPr="009C5C4E" w:rsidRDefault="00E10B37" w:rsidP="009C5C4E">
      <w:r w:rsidRPr="009C5C4E">
        <w:t>INSTANYL</w:t>
      </w:r>
      <w:r w:rsidR="00CF4166" w:rsidRPr="009C5C4E">
        <w:t xml:space="preserve"> is not recommended for use in patients who have received monoamine oxidase inhibitors (MAO) within 14 days because severe and unpredictable potentiation by MAO has been reported with opioid analgesics. </w:t>
      </w:r>
    </w:p>
    <w:p w:rsidR="00CF4166" w:rsidRPr="009C5C4E" w:rsidRDefault="00CF4166" w:rsidP="009C5C4E">
      <w:r w:rsidRPr="009C5C4E">
        <w:t xml:space="preserve">Fentanyl is metabolised mainly via the human cytochrome P450 3A4 isoenzyme system (CYP3A4), therefore potential interactions may occur when </w:t>
      </w:r>
      <w:r w:rsidR="00E10B37" w:rsidRPr="009C5C4E">
        <w:t>INSTANYL</w:t>
      </w:r>
      <w:r w:rsidRPr="009C5C4E">
        <w:t xml:space="preserve"> is given concurrently with medicinal products that affect CYP3A4 activity. Co-administration with medicinal products that induce 3A4 activity may reduce the efficacy of </w:t>
      </w:r>
      <w:r w:rsidR="00E10B37" w:rsidRPr="009C5C4E">
        <w:t>INSTANYL</w:t>
      </w:r>
      <w:r w:rsidRPr="009C5C4E">
        <w:t xml:space="preserve">. The concomitant use of </w:t>
      </w:r>
      <w:r w:rsidR="00E10B37" w:rsidRPr="009C5C4E">
        <w:t>INSTANYL</w:t>
      </w:r>
      <w:r w:rsidRPr="009C5C4E">
        <w:t xml:space="preserve"> with strong CYP3A4 inhibitors (e.g. ritonavir, ketoconazole, itraconazole, troleandomycin, clarithromycin, and nelfinavir) or moderate CYP3A4 inhibitors (e.g., amprenavir, aprepitant, diltiazem, erythromycin, fluconazole, fosamprenavir, and verapamil) may result in increased fentanyl plasma concentrations, potentially causing serious adverse drug reactions including fatal respiratory depression. </w:t>
      </w:r>
    </w:p>
    <w:p w:rsidR="00CF4166" w:rsidRPr="009C5C4E" w:rsidRDefault="00CF4166" w:rsidP="009C5C4E">
      <w:r w:rsidRPr="009C5C4E">
        <w:t xml:space="preserve">Patients receiving </w:t>
      </w:r>
      <w:r w:rsidR="00E10B37" w:rsidRPr="009C5C4E">
        <w:t>INSTANYL</w:t>
      </w:r>
      <w:r w:rsidRPr="009C5C4E">
        <w:t xml:space="preserve"> concomitantly with moderate or strong CYP3A4 inhibitors should be carefully monitored for an extended period of time. Dose increase should be done with caution. </w:t>
      </w:r>
    </w:p>
    <w:p w:rsidR="00CF4166" w:rsidRPr="009C5C4E" w:rsidRDefault="00CF4166" w:rsidP="009C5C4E">
      <w:r w:rsidRPr="009C5C4E">
        <w:t xml:space="preserve">In a pharmacokinetic interaction study it was found that the maximum plasma concentration of nasally applied fentanyl was reduced about 50% by the concomitant use of oxymetazoline, while the time to reach Cmax (Tmax) was doubled. This may reduce the efficacy of </w:t>
      </w:r>
      <w:r w:rsidR="00E10B37" w:rsidRPr="009C5C4E">
        <w:t>INSTANYL</w:t>
      </w:r>
      <w:r w:rsidRPr="009C5C4E">
        <w:t xml:space="preserve">. It is recommended that concomitant use of nasal decongestants is avoided. </w:t>
      </w:r>
    </w:p>
    <w:p w:rsidR="00CF4166" w:rsidRPr="009C5C4E" w:rsidRDefault="00CF4166" w:rsidP="009C5C4E">
      <w:r w:rsidRPr="009C5C4E">
        <w:t xml:space="preserve">The concomitant use of other central nervous system depressants, including other opioids, sedatives or hypnotics, general anaesthetics, phenothiazines, tranquillisers, skeletal muscle relaxants, sedating antihistamines and alcohol may produce additive depressant effects. </w:t>
      </w:r>
    </w:p>
    <w:p w:rsidR="00CF4166" w:rsidRPr="009C5C4E" w:rsidRDefault="00CF4166" w:rsidP="009C5C4E">
      <w:r w:rsidRPr="009C5C4E">
        <w:t xml:space="preserve">The concomitant use </w:t>
      </w:r>
      <w:r w:rsidR="00C84B83" w:rsidRPr="009C5C4E">
        <w:t>of drugs with opioid antagonist activity e.g.</w:t>
      </w:r>
      <w:r w:rsidR="0087289D" w:rsidRPr="009C5C4E">
        <w:t xml:space="preserve"> </w:t>
      </w:r>
      <w:r w:rsidR="00C84B83" w:rsidRPr="009C5C4E">
        <w:t xml:space="preserve">naloxone, nalmefene or </w:t>
      </w:r>
      <w:r w:rsidRPr="009C5C4E">
        <w:t>of partial opioid agonists/antagonists (e.g. buprenorphine, nalbuphine, pentazocine</w:t>
      </w:r>
      <w:r w:rsidR="006A3567" w:rsidRPr="009C5C4E">
        <w:t>, butorphanol</w:t>
      </w:r>
      <w:r w:rsidRPr="009C5C4E">
        <w:t>) is not recommended</w:t>
      </w:r>
      <w:r w:rsidR="009E61D3" w:rsidRPr="009C5C4E">
        <w:t xml:space="preserve">.  </w:t>
      </w:r>
      <w:r w:rsidRPr="009C5C4E">
        <w:t>They have high affinity to opioid receptors with relatively low intrinsic activity and therefore partially antagonise the analgesic effect of fentanyl and may induce withdrawal symptoms in opioid dependent patients</w:t>
      </w:r>
      <w:r w:rsidR="001F2FFA" w:rsidRPr="009C5C4E">
        <w:t>.</w:t>
      </w:r>
    </w:p>
    <w:p w:rsidR="00CF4166" w:rsidRPr="009C5C4E" w:rsidRDefault="00CF4166" w:rsidP="009C5C4E">
      <w:r w:rsidRPr="009C5C4E">
        <w:t xml:space="preserve">Concomitant use of </w:t>
      </w:r>
      <w:r w:rsidR="00E10B37" w:rsidRPr="009C5C4E">
        <w:t>INSTANYL</w:t>
      </w:r>
      <w:r w:rsidRPr="009C5C4E">
        <w:t xml:space="preserve"> and other medicinal products (other than oxymetazoline) administered via the nose has not been evaluated in the clinical trials</w:t>
      </w:r>
      <w:r w:rsidR="009E61D3" w:rsidRPr="009C5C4E">
        <w:t xml:space="preserve">.  </w:t>
      </w:r>
      <w:r w:rsidRPr="009C5C4E">
        <w:t>It is recommended that alternative administration forms should be considered for concomitant treatment of concurrent diseases that can be treated via nasal administration.</w:t>
      </w:r>
    </w:p>
    <w:p w:rsidR="00B541CE" w:rsidRPr="009D7354" w:rsidRDefault="00B541CE" w:rsidP="009D7354">
      <w:pPr>
        <w:pStyle w:val="Heading1"/>
      </w:pPr>
      <w:r w:rsidRPr="009D7354">
        <w:t>Adverse Effects</w:t>
      </w:r>
    </w:p>
    <w:p w:rsidR="00764E71" w:rsidRDefault="00CC71E3" w:rsidP="00764E71">
      <w:r w:rsidRPr="009C5C4E">
        <w:t xml:space="preserve">Typical opioid adverse reactions are to be expected with </w:t>
      </w:r>
      <w:r w:rsidR="00E10B37" w:rsidRPr="009C5C4E">
        <w:t>INSTANYL</w:t>
      </w:r>
      <w:r w:rsidRPr="009C5C4E">
        <w:t>. Frequently, most of these will cease or decrease in intensity with continued use of the medicinal product. The most serious adverse reactions are respiratory depression (potentially leading to apnoea or respiratory arrest), circulatory depression, hypotension and shock and all patients should be closely monitored for these.</w:t>
      </w:r>
      <w:r w:rsidR="0087289D" w:rsidRPr="009C5C4E">
        <w:t xml:space="preserve"> </w:t>
      </w:r>
      <w:r w:rsidRPr="009C5C4E">
        <w:t xml:space="preserve">The clinical trials of </w:t>
      </w:r>
      <w:r w:rsidR="00E10B37" w:rsidRPr="009C5C4E">
        <w:t>INSTANYL</w:t>
      </w:r>
      <w:r w:rsidRPr="009C5C4E">
        <w:t xml:space="preserve"> were designed to evaluate safety and efficacy in treating breakthrough pain</w:t>
      </w:r>
      <w:r w:rsidR="009E61D3" w:rsidRPr="009C5C4E">
        <w:t xml:space="preserve">.  </w:t>
      </w:r>
      <w:r w:rsidRPr="009C5C4E">
        <w:t xml:space="preserve">All patients were also taking concomitant opioids, such as sustained-release </w:t>
      </w:r>
      <w:r w:rsidRPr="009C5C4E">
        <w:lastRenderedPageBreak/>
        <w:t>morphine or transdermal fentanyl, for their persistent pain</w:t>
      </w:r>
      <w:r w:rsidR="009E61D3" w:rsidRPr="009C5C4E">
        <w:t xml:space="preserve">.  </w:t>
      </w:r>
      <w:r w:rsidRPr="009C5C4E">
        <w:t xml:space="preserve">Thus, it is not possible to definitively separate the effects of </w:t>
      </w:r>
      <w:r w:rsidR="00E10B37" w:rsidRPr="009C5C4E">
        <w:t>INSTANYL</w:t>
      </w:r>
      <w:r w:rsidRPr="009C5C4E">
        <w:t xml:space="preserve"> alone.</w:t>
      </w:r>
    </w:p>
    <w:p w:rsidR="00DE4C8A" w:rsidRPr="001B294D" w:rsidRDefault="00764E71" w:rsidP="00DE4C8A">
      <w:pPr>
        <w:rPr>
          <w:lang w:val="en-CA"/>
        </w:rPr>
      </w:pPr>
      <w:r w:rsidRPr="00866D0B">
        <w:rPr>
          <w:lang w:val="en-CA"/>
        </w:rPr>
        <w:t xml:space="preserve">Adverse that occurred during the </w:t>
      </w:r>
      <w:r w:rsidR="00866D0B">
        <w:rPr>
          <w:lang w:val="en-CA"/>
        </w:rPr>
        <w:t xml:space="preserve">pivotal </w:t>
      </w:r>
      <w:r w:rsidRPr="00866D0B">
        <w:rPr>
          <w:lang w:val="en-CA"/>
        </w:rPr>
        <w:t xml:space="preserve">clinical trials </w:t>
      </w:r>
      <w:r w:rsidR="00866D0B">
        <w:rPr>
          <w:lang w:val="en-CA"/>
        </w:rPr>
        <w:t xml:space="preserve">for INSTANYL for breakthrough pain in cancer patients </w:t>
      </w:r>
      <w:r w:rsidRPr="00866D0B">
        <w:rPr>
          <w:lang w:val="en-CA"/>
        </w:rPr>
        <w:t xml:space="preserve">are listed in </w:t>
      </w:r>
      <w:r w:rsidRPr="00866D0B">
        <w:rPr>
          <w:rFonts w:cs="Arial"/>
          <w:lang w:val="en-CA"/>
        </w:rPr>
        <w:t xml:space="preserve">Table </w:t>
      </w:r>
      <w:r w:rsidRPr="00866D0B">
        <w:rPr>
          <w:lang w:val="en-CA"/>
        </w:rPr>
        <w:t>6.</w:t>
      </w:r>
    </w:p>
    <w:p w:rsidR="00866D0B" w:rsidRPr="001F302F" w:rsidRDefault="00866D0B" w:rsidP="00866D0B">
      <w:pPr>
        <w:pStyle w:val="Caption"/>
        <w:keepNext/>
        <w:spacing w:before="0" w:after="120"/>
        <w:rPr>
          <w:rFonts w:ascii="Arial" w:hAnsi="Arial" w:cs="Arial"/>
          <w:sz w:val="22"/>
          <w:szCs w:val="22"/>
          <w:lang w:val="en-CA"/>
        </w:rPr>
      </w:pPr>
      <w:r w:rsidRPr="001F302F">
        <w:rPr>
          <w:rFonts w:ascii="Arial" w:hAnsi="Arial" w:cs="Arial"/>
          <w:sz w:val="22"/>
          <w:szCs w:val="22"/>
          <w:lang w:val="en-CA"/>
        </w:rPr>
        <w:t xml:space="preserve">Table 6. Adverse </w:t>
      </w:r>
      <w:r>
        <w:rPr>
          <w:rFonts w:ascii="Arial" w:hAnsi="Arial" w:cs="Arial"/>
          <w:sz w:val="22"/>
          <w:szCs w:val="22"/>
          <w:lang w:val="en-CA"/>
        </w:rPr>
        <w:t xml:space="preserve">Events which occurred during </w:t>
      </w:r>
      <w:r w:rsidR="00AA57EC" w:rsidRPr="00AA57EC">
        <w:rPr>
          <w:rFonts w:ascii="Arial" w:hAnsi="Arial" w:cs="Arial"/>
          <w:sz w:val="22"/>
          <w:szCs w:val="22"/>
          <w:lang w:val="en-CA"/>
        </w:rPr>
        <w:t xml:space="preserve">FT-017-IM and FT-018-IM </w:t>
      </w:r>
      <w:r>
        <w:rPr>
          <w:rFonts w:ascii="Arial" w:hAnsi="Arial" w:cs="Arial"/>
          <w:sz w:val="22"/>
          <w:szCs w:val="22"/>
          <w:lang w:val="en-CA"/>
        </w:rPr>
        <w:t xml:space="preserve">at a frequency of </w:t>
      </w:r>
      <w:r>
        <w:rPr>
          <w:rFonts w:ascii="Arial" w:hAnsi="Arial" w:cs="Arial"/>
          <w:sz w:val="22"/>
          <w:szCs w:val="22"/>
          <w:lang w:val="en-CA"/>
        </w:rPr>
        <w:sym w:font="Symbol" w:char="F0B3"/>
      </w:r>
      <w:r>
        <w:rPr>
          <w:rFonts w:ascii="Arial" w:hAnsi="Arial" w:cs="Arial"/>
          <w:sz w:val="22"/>
          <w:szCs w:val="22"/>
          <w:lang w:val="en-CA"/>
        </w:rPr>
        <w:t xml:space="preserve"> 1%</w:t>
      </w:r>
    </w:p>
    <w:tbl>
      <w:tblPr>
        <w:tblW w:w="43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2"/>
        <w:gridCol w:w="2126"/>
      </w:tblGrid>
      <w:tr w:rsidR="00866D0B" w:rsidRPr="001F302F" w:rsidTr="006B5A3F">
        <w:trPr>
          <w:tblHeader/>
        </w:trPr>
        <w:tc>
          <w:tcPr>
            <w:tcW w:w="3771" w:type="pct"/>
            <w:tcBorders>
              <w:bottom w:val="double" w:sz="4" w:space="0" w:color="auto"/>
            </w:tcBorders>
          </w:tcPr>
          <w:p w:rsidR="00866D0B" w:rsidRPr="001F302F" w:rsidRDefault="00866D0B" w:rsidP="00866D0B">
            <w:pPr>
              <w:pStyle w:val="Tablenormal0"/>
              <w:keepNext/>
              <w:outlineLvl w:val="1"/>
              <w:rPr>
                <w:rFonts w:ascii="Arial" w:hAnsi="Arial" w:cs="Arial"/>
                <w:b/>
                <w:sz w:val="22"/>
                <w:szCs w:val="22"/>
                <w:lang w:val="en-CA"/>
              </w:rPr>
            </w:pPr>
            <w:r w:rsidRPr="00C3648C">
              <w:rPr>
                <w:rFonts w:ascii="Arial" w:hAnsi="Arial" w:cs="Arial"/>
                <w:b/>
                <w:sz w:val="22"/>
                <w:szCs w:val="22"/>
                <w:lang w:val="en-CA"/>
              </w:rPr>
              <w:t>System Organ Class</w:t>
            </w:r>
          </w:p>
        </w:tc>
        <w:tc>
          <w:tcPr>
            <w:tcW w:w="1229" w:type="pct"/>
            <w:tcBorders>
              <w:bottom w:val="double" w:sz="4" w:space="0" w:color="auto"/>
            </w:tcBorders>
          </w:tcPr>
          <w:p w:rsidR="000465A4" w:rsidRDefault="00866D0B" w:rsidP="00866D0B">
            <w:pPr>
              <w:keepNext/>
              <w:jc w:val="center"/>
              <w:rPr>
                <w:rFonts w:cs="Arial"/>
                <w:b/>
                <w:szCs w:val="22"/>
                <w:lang w:val="en-CA"/>
              </w:rPr>
            </w:pPr>
            <w:r w:rsidRPr="001F302F">
              <w:rPr>
                <w:rFonts w:cs="Arial"/>
                <w:b/>
                <w:szCs w:val="22"/>
                <w:lang w:val="en-CA"/>
              </w:rPr>
              <w:t>INSTANYL</w:t>
            </w:r>
            <w:r>
              <w:rPr>
                <w:rFonts w:cs="Arial"/>
                <w:b/>
                <w:szCs w:val="22"/>
                <w:lang w:val="en-CA"/>
              </w:rPr>
              <w:t xml:space="preserve"> </w:t>
            </w:r>
          </w:p>
          <w:p w:rsidR="00866D0B" w:rsidRPr="001F302F" w:rsidRDefault="00866D0B" w:rsidP="00866D0B">
            <w:pPr>
              <w:keepNext/>
              <w:jc w:val="center"/>
              <w:rPr>
                <w:rFonts w:cs="Arial"/>
                <w:b/>
                <w:szCs w:val="22"/>
                <w:lang w:val="en-CA"/>
              </w:rPr>
            </w:pPr>
            <w:r>
              <w:rPr>
                <w:rFonts w:cs="Arial"/>
                <w:b/>
                <w:szCs w:val="22"/>
                <w:lang w:val="en-CA"/>
              </w:rPr>
              <w:t>(</w:t>
            </w:r>
            <w:r w:rsidRPr="00C3648C">
              <w:rPr>
                <w:rFonts w:cs="Arial"/>
                <w:b/>
                <w:szCs w:val="22"/>
                <w:lang w:val="en-CA"/>
              </w:rPr>
              <w:t>N= 166</w:t>
            </w:r>
            <w:r>
              <w:rPr>
                <w:rFonts w:cs="Arial"/>
                <w:b/>
                <w:szCs w:val="22"/>
                <w:lang w:val="en-CA"/>
              </w:rPr>
              <w:t>)</w:t>
            </w:r>
          </w:p>
        </w:tc>
      </w:tr>
      <w:tr w:rsidR="00866D0B" w:rsidRPr="001F302F" w:rsidTr="000465A4">
        <w:trPr>
          <w:trHeight w:val="272"/>
        </w:trPr>
        <w:tc>
          <w:tcPr>
            <w:tcW w:w="3771" w:type="pct"/>
            <w:tcBorders>
              <w:top w:val="double" w:sz="4" w:space="0" w:color="auto"/>
            </w:tcBorders>
          </w:tcPr>
          <w:p w:rsidR="00866D0B" w:rsidRDefault="00866D0B" w:rsidP="00866D0B">
            <w:pPr>
              <w:keepNext/>
              <w:jc w:val="left"/>
              <w:rPr>
                <w:rFonts w:cs="Arial"/>
                <w:b/>
                <w:szCs w:val="22"/>
                <w:lang w:val="en-CA"/>
              </w:rPr>
            </w:pPr>
            <w:r w:rsidRPr="001F302F">
              <w:rPr>
                <w:rFonts w:cs="Arial"/>
                <w:b/>
                <w:szCs w:val="22"/>
              </w:rPr>
              <w:t>Blood and lymphatic system disorders</w:t>
            </w:r>
            <w:r w:rsidRPr="001F302F" w:rsidDel="00AB64FD">
              <w:rPr>
                <w:rFonts w:cs="Arial"/>
                <w:b/>
                <w:szCs w:val="22"/>
                <w:lang w:val="en-CA"/>
              </w:rPr>
              <w:t xml:space="preserve"> </w:t>
            </w:r>
          </w:p>
        </w:tc>
        <w:tc>
          <w:tcPr>
            <w:tcW w:w="1229" w:type="pct"/>
            <w:tcBorders>
              <w:top w:val="double" w:sz="4" w:space="0" w:color="auto"/>
            </w:tcBorders>
          </w:tcPr>
          <w:p w:rsidR="00866D0B" w:rsidRDefault="00866D0B" w:rsidP="00866D0B">
            <w:pPr>
              <w:keepNext/>
              <w:ind w:right="610"/>
              <w:jc w:val="right"/>
              <w:rPr>
                <w:rFonts w:cs="Arial"/>
                <w:szCs w:val="22"/>
                <w:lang w:val="en-CA"/>
              </w:rPr>
            </w:pPr>
          </w:p>
        </w:tc>
      </w:tr>
      <w:tr w:rsidR="00866D0B" w:rsidRPr="001F302F" w:rsidTr="000465A4">
        <w:trPr>
          <w:trHeight w:val="272"/>
        </w:trPr>
        <w:tc>
          <w:tcPr>
            <w:tcW w:w="3771" w:type="pct"/>
          </w:tcPr>
          <w:p w:rsidR="00866D0B" w:rsidRDefault="00866D0B" w:rsidP="00866D0B">
            <w:pPr>
              <w:jc w:val="left"/>
              <w:rPr>
                <w:rFonts w:cs="Arial"/>
                <w:szCs w:val="22"/>
                <w:lang w:val="en-CA"/>
              </w:rPr>
            </w:pPr>
            <w:r>
              <w:rPr>
                <w:rFonts w:cs="Arial"/>
                <w:szCs w:val="22"/>
              </w:rPr>
              <w:t xml:space="preserve">Anaemia </w:t>
            </w:r>
          </w:p>
        </w:tc>
        <w:tc>
          <w:tcPr>
            <w:tcW w:w="1229" w:type="pct"/>
          </w:tcPr>
          <w:p w:rsidR="00866D0B" w:rsidRDefault="00866D0B" w:rsidP="00866D0B">
            <w:pPr>
              <w:ind w:right="610"/>
              <w:jc w:val="right"/>
              <w:rPr>
                <w:rFonts w:cs="Arial"/>
                <w:szCs w:val="22"/>
                <w:lang w:val="en-CA"/>
              </w:rPr>
            </w:pPr>
            <w:r w:rsidRPr="00C3648C">
              <w:rPr>
                <w:rFonts w:cs="Arial"/>
                <w:szCs w:val="22"/>
                <w:lang w:val="en-CA"/>
              </w:rPr>
              <w:t>3.6%</w:t>
            </w:r>
          </w:p>
        </w:tc>
      </w:tr>
      <w:tr w:rsidR="00866D0B" w:rsidRPr="001F302F" w:rsidTr="000465A4">
        <w:trPr>
          <w:trHeight w:val="272"/>
        </w:trPr>
        <w:tc>
          <w:tcPr>
            <w:tcW w:w="3771" w:type="pct"/>
          </w:tcPr>
          <w:p w:rsidR="00866D0B" w:rsidRDefault="00866D0B" w:rsidP="00866D0B">
            <w:pPr>
              <w:jc w:val="left"/>
              <w:rPr>
                <w:rFonts w:cs="Arial"/>
                <w:b/>
                <w:szCs w:val="22"/>
                <w:lang w:val="en-CA"/>
              </w:rPr>
            </w:pPr>
            <w:r>
              <w:rPr>
                <w:rFonts w:cs="Arial"/>
                <w:b/>
                <w:szCs w:val="22"/>
              </w:rPr>
              <w:t>Ear and labyrinth disorders</w:t>
            </w:r>
          </w:p>
        </w:tc>
        <w:tc>
          <w:tcPr>
            <w:tcW w:w="1229" w:type="pct"/>
          </w:tcPr>
          <w:p w:rsidR="00866D0B" w:rsidRDefault="00866D0B" w:rsidP="00866D0B">
            <w:pPr>
              <w:ind w:right="610"/>
              <w:jc w:val="right"/>
              <w:rPr>
                <w:rFonts w:cs="Arial"/>
                <w:szCs w:val="22"/>
                <w:lang w:val="en-CA"/>
              </w:rPr>
            </w:pPr>
          </w:p>
        </w:tc>
      </w:tr>
      <w:tr w:rsidR="00866D0B" w:rsidRPr="001F302F" w:rsidTr="000465A4">
        <w:trPr>
          <w:trHeight w:val="272"/>
        </w:trPr>
        <w:tc>
          <w:tcPr>
            <w:tcW w:w="3771" w:type="pct"/>
          </w:tcPr>
          <w:p w:rsidR="00866D0B" w:rsidRDefault="00866D0B" w:rsidP="00866D0B">
            <w:pPr>
              <w:jc w:val="left"/>
              <w:rPr>
                <w:rFonts w:cs="Arial"/>
                <w:szCs w:val="22"/>
                <w:lang w:val="en-CA"/>
              </w:rPr>
            </w:pPr>
            <w:r>
              <w:rPr>
                <w:rFonts w:cs="Arial"/>
                <w:szCs w:val="22"/>
              </w:rPr>
              <w:t xml:space="preserve">Vertigo </w:t>
            </w:r>
          </w:p>
        </w:tc>
        <w:tc>
          <w:tcPr>
            <w:tcW w:w="1229" w:type="pct"/>
          </w:tcPr>
          <w:p w:rsidR="00866D0B" w:rsidRDefault="00866D0B" w:rsidP="00866D0B">
            <w:pPr>
              <w:ind w:right="610"/>
              <w:jc w:val="right"/>
              <w:rPr>
                <w:rFonts w:cs="Arial"/>
                <w:szCs w:val="22"/>
                <w:lang w:val="en-CA"/>
              </w:rPr>
            </w:pPr>
            <w:r>
              <w:rPr>
                <w:rFonts w:cs="Arial"/>
                <w:szCs w:val="22"/>
                <w:lang w:val="en-CA"/>
              </w:rPr>
              <w:t>7.2%</w:t>
            </w:r>
          </w:p>
        </w:tc>
      </w:tr>
      <w:tr w:rsidR="00866D0B" w:rsidRPr="001F302F" w:rsidTr="000465A4">
        <w:trPr>
          <w:trHeight w:val="272"/>
        </w:trPr>
        <w:tc>
          <w:tcPr>
            <w:tcW w:w="3771" w:type="pct"/>
          </w:tcPr>
          <w:p w:rsidR="00866D0B" w:rsidRDefault="00866D0B" w:rsidP="00866D0B">
            <w:pPr>
              <w:jc w:val="left"/>
              <w:rPr>
                <w:rFonts w:cs="Arial"/>
                <w:b/>
                <w:szCs w:val="22"/>
                <w:lang w:val="en-CA"/>
              </w:rPr>
            </w:pPr>
            <w:r>
              <w:rPr>
                <w:rFonts w:cs="Arial"/>
                <w:b/>
                <w:szCs w:val="22"/>
              </w:rPr>
              <w:t>Gastrointestinal disorders</w:t>
            </w:r>
          </w:p>
        </w:tc>
        <w:tc>
          <w:tcPr>
            <w:tcW w:w="1229" w:type="pct"/>
          </w:tcPr>
          <w:p w:rsidR="00866D0B" w:rsidRDefault="00866D0B" w:rsidP="00866D0B">
            <w:pPr>
              <w:ind w:right="610"/>
              <w:jc w:val="right"/>
              <w:rPr>
                <w:rFonts w:cs="Arial"/>
                <w:szCs w:val="22"/>
                <w:lang w:val="en-CA"/>
              </w:rPr>
            </w:pPr>
          </w:p>
        </w:tc>
      </w:tr>
      <w:tr w:rsidR="00866D0B" w:rsidRPr="001F302F" w:rsidTr="000465A4">
        <w:trPr>
          <w:trHeight w:val="272"/>
        </w:trPr>
        <w:tc>
          <w:tcPr>
            <w:tcW w:w="3771" w:type="pct"/>
          </w:tcPr>
          <w:p w:rsidR="00866D0B" w:rsidRDefault="00866D0B" w:rsidP="00866D0B">
            <w:pPr>
              <w:jc w:val="left"/>
              <w:rPr>
                <w:rFonts w:cs="Arial"/>
                <w:szCs w:val="22"/>
                <w:lang w:val="en-CA"/>
              </w:rPr>
            </w:pPr>
            <w:r>
              <w:rPr>
                <w:rFonts w:cs="Arial"/>
                <w:szCs w:val="22"/>
              </w:rPr>
              <w:t xml:space="preserve">Nausea </w:t>
            </w:r>
          </w:p>
        </w:tc>
        <w:tc>
          <w:tcPr>
            <w:tcW w:w="1229" w:type="pct"/>
          </w:tcPr>
          <w:p w:rsidR="00866D0B" w:rsidRDefault="00866D0B" w:rsidP="00866D0B">
            <w:pPr>
              <w:ind w:right="610"/>
              <w:jc w:val="right"/>
              <w:rPr>
                <w:rFonts w:cs="Arial"/>
                <w:szCs w:val="22"/>
                <w:lang w:val="en-CA"/>
              </w:rPr>
            </w:pPr>
            <w:r>
              <w:rPr>
                <w:rFonts w:cs="Arial"/>
                <w:szCs w:val="22"/>
                <w:lang w:val="en-CA"/>
              </w:rPr>
              <w:t>12.0%</w:t>
            </w:r>
          </w:p>
        </w:tc>
      </w:tr>
      <w:tr w:rsidR="00866D0B" w:rsidRPr="001F302F" w:rsidTr="000465A4">
        <w:trPr>
          <w:trHeight w:val="272"/>
        </w:trPr>
        <w:tc>
          <w:tcPr>
            <w:tcW w:w="3771" w:type="pct"/>
          </w:tcPr>
          <w:p w:rsidR="00866D0B" w:rsidRDefault="00866D0B" w:rsidP="00866D0B">
            <w:pPr>
              <w:jc w:val="left"/>
              <w:rPr>
                <w:rFonts w:cs="Arial"/>
                <w:szCs w:val="22"/>
                <w:lang w:val="en-CA"/>
              </w:rPr>
            </w:pPr>
            <w:r w:rsidRPr="001F302F">
              <w:rPr>
                <w:rFonts w:cs="Arial"/>
                <w:szCs w:val="22"/>
              </w:rPr>
              <w:t>Constipation</w:t>
            </w:r>
            <w:r>
              <w:rPr>
                <w:rFonts w:cs="Arial"/>
                <w:szCs w:val="22"/>
              </w:rPr>
              <w:t xml:space="preserve"> </w:t>
            </w:r>
          </w:p>
        </w:tc>
        <w:tc>
          <w:tcPr>
            <w:tcW w:w="1229" w:type="pct"/>
          </w:tcPr>
          <w:p w:rsidR="00866D0B" w:rsidRDefault="00866D0B" w:rsidP="00866D0B">
            <w:pPr>
              <w:ind w:right="610"/>
              <w:jc w:val="right"/>
              <w:rPr>
                <w:rFonts w:cs="Arial"/>
                <w:szCs w:val="22"/>
                <w:lang w:val="en-CA"/>
              </w:rPr>
            </w:pPr>
            <w:r>
              <w:rPr>
                <w:rFonts w:cs="Arial"/>
                <w:szCs w:val="22"/>
                <w:lang w:val="en-CA"/>
              </w:rPr>
              <w:t>9.0%</w:t>
            </w:r>
          </w:p>
        </w:tc>
      </w:tr>
      <w:tr w:rsidR="00866D0B" w:rsidRPr="001F302F" w:rsidTr="000465A4">
        <w:trPr>
          <w:trHeight w:val="272"/>
        </w:trPr>
        <w:tc>
          <w:tcPr>
            <w:tcW w:w="3771" w:type="pct"/>
          </w:tcPr>
          <w:p w:rsidR="00866D0B" w:rsidRDefault="00866D0B" w:rsidP="00866D0B">
            <w:pPr>
              <w:jc w:val="left"/>
              <w:rPr>
                <w:rFonts w:cs="Arial"/>
                <w:szCs w:val="22"/>
              </w:rPr>
            </w:pPr>
            <w:r w:rsidRPr="001F302F">
              <w:rPr>
                <w:rFonts w:cs="Arial"/>
                <w:szCs w:val="22"/>
              </w:rPr>
              <w:t>Vomiting</w:t>
            </w:r>
            <w:r>
              <w:rPr>
                <w:rFonts w:cs="Arial"/>
                <w:szCs w:val="22"/>
              </w:rPr>
              <w:t xml:space="preserve"> </w:t>
            </w:r>
          </w:p>
        </w:tc>
        <w:tc>
          <w:tcPr>
            <w:tcW w:w="1229" w:type="pct"/>
          </w:tcPr>
          <w:p w:rsidR="00866D0B" w:rsidRDefault="00866D0B" w:rsidP="00866D0B">
            <w:pPr>
              <w:ind w:right="610"/>
              <w:jc w:val="right"/>
              <w:rPr>
                <w:rFonts w:cs="Arial"/>
                <w:szCs w:val="22"/>
                <w:lang w:val="en-CA"/>
              </w:rPr>
            </w:pPr>
            <w:r>
              <w:rPr>
                <w:rFonts w:cs="Arial"/>
                <w:szCs w:val="22"/>
                <w:lang w:val="en-CA"/>
              </w:rPr>
              <w:t>8.4%</w:t>
            </w:r>
          </w:p>
        </w:tc>
      </w:tr>
      <w:tr w:rsidR="00866D0B" w:rsidRPr="001F302F" w:rsidTr="000465A4">
        <w:trPr>
          <w:trHeight w:val="272"/>
        </w:trPr>
        <w:tc>
          <w:tcPr>
            <w:tcW w:w="3771" w:type="pct"/>
          </w:tcPr>
          <w:p w:rsidR="00866D0B" w:rsidRDefault="00866D0B" w:rsidP="00866D0B">
            <w:pPr>
              <w:jc w:val="left"/>
              <w:rPr>
                <w:rFonts w:cs="Arial"/>
                <w:szCs w:val="22"/>
                <w:lang w:val="en-CA"/>
              </w:rPr>
            </w:pPr>
            <w:r>
              <w:rPr>
                <w:rFonts w:cs="Arial"/>
                <w:szCs w:val="22"/>
              </w:rPr>
              <w:t xml:space="preserve">Diarrhoea </w:t>
            </w:r>
          </w:p>
        </w:tc>
        <w:tc>
          <w:tcPr>
            <w:tcW w:w="1229" w:type="pct"/>
          </w:tcPr>
          <w:p w:rsidR="00866D0B" w:rsidRDefault="00866D0B" w:rsidP="00866D0B">
            <w:pPr>
              <w:ind w:right="610"/>
              <w:jc w:val="right"/>
              <w:rPr>
                <w:rFonts w:cs="Arial"/>
                <w:szCs w:val="22"/>
                <w:lang w:val="en-CA"/>
              </w:rPr>
            </w:pPr>
            <w:r>
              <w:rPr>
                <w:rFonts w:cs="Arial"/>
                <w:szCs w:val="22"/>
                <w:lang w:val="en-CA"/>
              </w:rPr>
              <w:t>2.4%</w:t>
            </w:r>
          </w:p>
        </w:tc>
      </w:tr>
      <w:tr w:rsidR="00866D0B" w:rsidRPr="001F302F" w:rsidTr="000465A4">
        <w:trPr>
          <w:trHeight w:val="272"/>
        </w:trPr>
        <w:tc>
          <w:tcPr>
            <w:tcW w:w="3771" w:type="pct"/>
          </w:tcPr>
          <w:p w:rsidR="00866D0B" w:rsidRDefault="00866D0B" w:rsidP="00866D0B">
            <w:pPr>
              <w:jc w:val="left"/>
              <w:rPr>
                <w:rFonts w:cs="Arial"/>
                <w:szCs w:val="22"/>
                <w:lang w:val="en-CA"/>
              </w:rPr>
            </w:pPr>
            <w:r>
              <w:rPr>
                <w:rFonts w:cs="Arial"/>
                <w:szCs w:val="22"/>
              </w:rPr>
              <w:t xml:space="preserve">Abdominal pain </w:t>
            </w:r>
          </w:p>
        </w:tc>
        <w:tc>
          <w:tcPr>
            <w:tcW w:w="1229" w:type="pct"/>
          </w:tcPr>
          <w:p w:rsidR="00866D0B" w:rsidRDefault="00866D0B" w:rsidP="00866D0B">
            <w:pPr>
              <w:ind w:right="610"/>
              <w:jc w:val="right"/>
              <w:rPr>
                <w:rFonts w:cs="Arial"/>
                <w:szCs w:val="22"/>
                <w:lang w:val="en-CA"/>
              </w:rPr>
            </w:pPr>
            <w:r>
              <w:rPr>
                <w:rFonts w:cs="Arial"/>
                <w:szCs w:val="22"/>
                <w:lang w:val="en-CA"/>
              </w:rPr>
              <w:t>1.8%</w:t>
            </w:r>
          </w:p>
        </w:tc>
      </w:tr>
      <w:tr w:rsidR="00866D0B" w:rsidRPr="001F302F" w:rsidTr="000465A4">
        <w:trPr>
          <w:trHeight w:val="272"/>
        </w:trPr>
        <w:tc>
          <w:tcPr>
            <w:tcW w:w="3771" w:type="pct"/>
          </w:tcPr>
          <w:p w:rsidR="00866D0B" w:rsidRDefault="00866D0B" w:rsidP="00866D0B">
            <w:pPr>
              <w:jc w:val="left"/>
              <w:rPr>
                <w:rFonts w:cs="Arial"/>
                <w:szCs w:val="22"/>
              </w:rPr>
            </w:pPr>
            <w:r>
              <w:rPr>
                <w:rFonts w:cs="Arial"/>
                <w:szCs w:val="22"/>
              </w:rPr>
              <w:t xml:space="preserve">Abdominal pain upper </w:t>
            </w:r>
          </w:p>
        </w:tc>
        <w:tc>
          <w:tcPr>
            <w:tcW w:w="1229" w:type="pct"/>
          </w:tcPr>
          <w:p w:rsidR="00866D0B" w:rsidRDefault="00866D0B" w:rsidP="00866D0B">
            <w:pPr>
              <w:ind w:right="610"/>
              <w:jc w:val="right"/>
              <w:rPr>
                <w:rFonts w:cs="Arial"/>
                <w:szCs w:val="22"/>
                <w:lang w:val="en-CA"/>
              </w:rPr>
            </w:pPr>
            <w:r w:rsidRPr="00C3648C">
              <w:rPr>
                <w:rFonts w:cs="Arial"/>
                <w:szCs w:val="22"/>
              </w:rPr>
              <w:t>1.2%</w:t>
            </w:r>
          </w:p>
        </w:tc>
      </w:tr>
      <w:tr w:rsidR="00866D0B" w:rsidRPr="001F302F" w:rsidTr="000465A4">
        <w:trPr>
          <w:trHeight w:val="272"/>
        </w:trPr>
        <w:tc>
          <w:tcPr>
            <w:tcW w:w="3771" w:type="pct"/>
          </w:tcPr>
          <w:p w:rsidR="00866D0B" w:rsidRDefault="00866D0B" w:rsidP="00866D0B">
            <w:pPr>
              <w:jc w:val="left"/>
              <w:rPr>
                <w:rFonts w:cs="Arial"/>
                <w:szCs w:val="22"/>
              </w:rPr>
            </w:pPr>
            <w:r>
              <w:rPr>
                <w:rFonts w:cs="Arial"/>
                <w:szCs w:val="22"/>
              </w:rPr>
              <w:t xml:space="preserve">Dry mouth </w:t>
            </w:r>
          </w:p>
        </w:tc>
        <w:tc>
          <w:tcPr>
            <w:tcW w:w="1229" w:type="pct"/>
          </w:tcPr>
          <w:p w:rsidR="00866D0B" w:rsidRDefault="00866D0B" w:rsidP="00866D0B">
            <w:pPr>
              <w:ind w:right="610"/>
              <w:jc w:val="right"/>
              <w:rPr>
                <w:rFonts w:cs="Arial"/>
                <w:szCs w:val="22"/>
                <w:lang w:val="en-CA"/>
              </w:rPr>
            </w:pPr>
            <w:r w:rsidRPr="00C3648C">
              <w:rPr>
                <w:rFonts w:cs="Arial"/>
                <w:szCs w:val="22"/>
              </w:rPr>
              <w:t>1.2%</w:t>
            </w:r>
          </w:p>
        </w:tc>
      </w:tr>
      <w:tr w:rsidR="00866D0B" w:rsidRPr="001F302F" w:rsidTr="000465A4">
        <w:trPr>
          <w:trHeight w:val="272"/>
        </w:trPr>
        <w:tc>
          <w:tcPr>
            <w:tcW w:w="3771" w:type="pct"/>
          </w:tcPr>
          <w:p w:rsidR="00866D0B" w:rsidRDefault="00866D0B" w:rsidP="00866D0B">
            <w:pPr>
              <w:jc w:val="left"/>
              <w:rPr>
                <w:rFonts w:cs="Arial"/>
                <w:szCs w:val="22"/>
              </w:rPr>
            </w:pPr>
            <w:r>
              <w:rPr>
                <w:rFonts w:cs="Arial"/>
                <w:szCs w:val="22"/>
              </w:rPr>
              <w:t xml:space="preserve">Faecal incontinence </w:t>
            </w:r>
          </w:p>
        </w:tc>
        <w:tc>
          <w:tcPr>
            <w:tcW w:w="1229" w:type="pct"/>
          </w:tcPr>
          <w:p w:rsidR="00866D0B" w:rsidRDefault="00866D0B" w:rsidP="00866D0B">
            <w:pPr>
              <w:ind w:right="610"/>
              <w:jc w:val="right"/>
              <w:rPr>
                <w:rFonts w:cs="Arial"/>
                <w:szCs w:val="22"/>
                <w:lang w:val="en-CA"/>
              </w:rPr>
            </w:pPr>
            <w:r w:rsidRPr="00C3648C">
              <w:rPr>
                <w:rFonts w:cs="Arial"/>
                <w:szCs w:val="22"/>
              </w:rPr>
              <w:t>1.2%</w:t>
            </w:r>
          </w:p>
        </w:tc>
      </w:tr>
      <w:tr w:rsidR="00866D0B" w:rsidRPr="001F302F" w:rsidTr="000465A4">
        <w:trPr>
          <w:trHeight w:val="272"/>
        </w:trPr>
        <w:tc>
          <w:tcPr>
            <w:tcW w:w="3771" w:type="pct"/>
          </w:tcPr>
          <w:p w:rsidR="00866D0B" w:rsidRDefault="00866D0B" w:rsidP="00866D0B">
            <w:pPr>
              <w:jc w:val="left"/>
              <w:rPr>
                <w:rFonts w:cs="Arial"/>
                <w:szCs w:val="22"/>
              </w:rPr>
            </w:pPr>
            <w:r>
              <w:rPr>
                <w:rFonts w:cs="Arial"/>
                <w:szCs w:val="22"/>
              </w:rPr>
              <w:t xml:space="preserve">Stomatitis </w:t>
            </w:r>
          </w:p>
        </w:tc>
        <w:tc>
          <w:tcPr>
            <w:tcW w:w="1229" w:type="pct"/>
          </w:tcPr>
          <w:p w:rsidR="00866D0B" w:rsidRDefault="00866D0B" w:rsidP="00866D0B">
            <w:pPr>
              <w:ind w:right="610"/>
              <w:jc w:val="right"/>
              <w:rPr>
                <w:rFonts w:cs="Arial"/>
                <w:szCs w:val="22"/>
                <w:lang w:val="en-CA"/>
              </w:rPr>
            </w:pPr>
            <w:r w:rsidRPr="00C3648C">
              <w:rPr>
                <w:rFonts w:cs="Arial"/>
                <w:szCs w:val="22"/>
              </w:rPr>
              <w:t>1.2%</w:t>
            </w:r>
          </w:p>
        </w:tc>
      </w:tr>
      <w:tr w:rsidR="00866D0B" w:rsidRPr="001F302F" w:rsidTr="000465A4">
        <w:trPr>
          <w:trHeight w:val="272"/>
        </w:trPr>
        <w:tc>
          <w:tcPr>
            <w:tcW w:w="3771" w:type="pct"/>
          </w:tcPr>
          <w:p w:rsidR="00866D0B" w:rsidRDefault="00866D0B" w:rsidP="00866D0B">
            <w:pPr>
              <w:jc w:val="left"/>
              <w:rPr>
                <w:rFonts w:cs="Arial"/>
                <w:b/>
                <w:szCs w:val="22"/>
              </w:rPr>
            </w:pPr>
            <w:r>
              <w:rPr>
                <w:rFonts w:cs="Arial"/>
                <w:b/>
                <w:szCs w:val="22"/>
              </w:rPr>
              <w:t>General disorders and administration site conditions</w:t>
            </w:r>
          </w:p>
        </w:tc>
        <w:tc>
          <w:tcPr>
            <w:tcW w:w="1229" w:type="pct"/>
          </w:tcPr>
          <w:p w:rsidR="00866D0B" w:rsidRDefault="00866D0B" w:rsidP="00866D0B">
            <w:pPr>
              <w:ind w:right="610"/>
              <w:jc w:val="right"/>
              <w:rPr>
                <w:rFonts w:cs="Arial"/>
                <w:szCs w:val="22"/>
                <w:lang w:val="en-CA"/>
              </w:rPr>
            </w:pPr>
          </w:p>
        </w:tc>
      </w:tr>
      <w:tr w:rsidR="00866D0B" w:rsidRPr="001F302F" w:rsidTr="000465A4">
        <w:trPr>
          <w:trHeight w:val="272"/>
        </w:trPr>
        <w:tc>
          <w:tcPr>
            <w:tcW w:w="3771" w:type="pct"/>
          </w:tcPr>
          <w:p w:rsidR="00866D0B" w:rsidRDefault="00866D0B" w:rsidP="00866D0B">
            <w:pPr>
              <w:jc w:val="left"/>
              <w:rPr>
                <w:rFonts w:cs="Arial"/>
                <w:szCs w:val="22"/>
              </w:rPr>
            </w:pPr>
            <w:r>
              <w:rPr>
                <w:rFonts w:cs="Arial"/>
                <w:szCs w:val="22"/>
              </w:rPr>
              <w:t xml:space="preserve">Asthenia </w:t>
            </w:r>
          </w:p>
        </w:tc>
        <w:tc>
          <w:tcPr>
            <w:tcW w:w="1229" w:type="pct"/>
          </w:tcPr>
          <w:p w:rsidR="00866D0B" w:rsidRDefault="00866D0B" w:rsidP="00866D0B">
            <w:pPr>
              <w:ind w:right="610"/>
              <w:jc w:val="right"/>
              <w:rPr>
                <w:rFonts w:cs="Arial"/>
                <w:szCs w:val="22"/>
                <w:lang w:val="en-CA"/>
              </w:rPr>
            </w:pPr>
            <w:r>
              <w:rPr>
                <w:rFonts w:cs="Arial"/>
                <w:szCs w:val="22"/>
                <w:lang w:val="en-CA"/>
              </w:rPr>
              <w:t>6.0%</w:t>
            </w:r>
          </w:p>
        </w:tc>
      </w:tr>
      <w:tr w:rsidR="00866D0B" w:rsidRPr="001F302F" w:rsidTr="000465A4">
        <w:trPr>
          <w:trHeight w:val="272"/>
        </w:trPr>
        <w:tc>
          <w:tcPr>
            <w:tcW w:w="3771" w:type="pct"/>
          </w:tcPr>
          <w:p w:rsidR="00866D0B" w:rsidRDefault="00866D0B" w:rsidP="00866D0B">
            <w:pPr>
              <w:jc w:val="left"/>
              <w:rPr>
                <w:rFonts w:cs="Arial"/>
                <w:szCs w:val="22"/>
              </w:rPr>
            </w:pPr>
            <w:r>
              <w:rPr>
                <w:rFonts w:cs="Arial"/>
                <w:szCs w:val="22"/>
              </w:rPr>
              <w:t xml:space="preserve">Oedema peripheral </w:t>
            </w:r>
          </w:p>
        </w:tc>
        <w:tc>
          <w:tcPr>
            <w:tcW w:w="1229" w:type="pct"/>
          </w:tcPr>
          <w:p w:rsidR="00866D0B" w:rsidRDefault="00866D0B" w:rsidP="00866D0B">
            <w:pPr>
              <w:ind w:right="610"/>
              <w:jc w:val="right"/>
              <w:rPr>
                <w:rFonts w:cs="Arial"/>
                <w:szCs w:val="22"/>
                <w:lang w:val="en-CA"/>
              </w:rPr>
            </w:pPr>
            <w:r>
              <w:rPr>
                <w:rFonts w:cs="Arial"/>
                <w:szCs w:val="22"/>
                <w:lang w:val="en-CA"/>
              </w:rPr>
              <w:t>3.6%</w:t>
            </w:r>
          </w:p>
        </w:tc>
      </w:tr>
      <w:tr w:rsidR="00866D0B" w:rsidRPr="001F302F" w:rsidTr="000465A4">
        <w:trPr>
          <w:trHeight w:val="272"/>
        </w:trPr>
        <w:tc>
          <w:tcPr>
            <w:tcW w:w="3771" w:type="pct"/>
          </w:tcPr>
          <w:p w:rsidR="00866D0B" w:rsidRDefault="00866D0B" w:rsidP="00866D0B">
            <w:pPr>
              <w:jc w:val="left"/>
              <w:rPr>
                <w:rFonts w:cs="Arial"/>
                <w:szCs w:val="22"/>
              </w:rPr>
            </w:pPr>
            <w:r>
              <w:rPr>
                <w:rFonts w:cs="Arial"/>
                <w:szCs w:val="22"/>
              </w:rPr>
              <w:t>Catheter related complication</w:t>
            </w:r>
          </w:p>
        </w:tc>
        <w:tc>
          <w:tcPr>
            <w:tcW w:w="1229" w:type="pct"/>
          </w:tcPr>
          <w:p w:rsidR="00866D0B" w:rsidRDefault="00866D0B" w:rsidP="00866D0B">
            <w:pPr>
              <w:ind w:right="610"/>
              <w:jc w:val="right"/>
              <w:rPr>
                <w:rFonts w:cs="Arial"/>
                <w:szCs w:val="22"/>
                <w:lang w:val="en-CA"/>
              </w:rPr>
            </w:pPr>
            <w:r>
              <w:rPr>
                <w:rFonts w:cs="Arial"/>
                <w:szCs w:val="22"/>
                <w:lang w:val="en-CA"/>
              </w:rPr>
              <w:t>2.4%</w:t>
            </w:r>
          </w:p>
        </w:tc>
      </w:tr>
      <w:tr w:rsidR="00866D0B" w:rsidRPr="001F302F" w:rsidTr="000465A4">
        <w:trPr>
          <w:trHeight w:val="272"/>
        </w:trPr>
        <w:tc>
          <w:tcPr>
            <w:tcW w:w="3771" w:type="pct"/>
          </w:tcPr>
          <w:p w:rsidR="00866D0B" w:rsidRDefault="00866D0B" w:rsidP="00866D0B">
            <w:pPr>
              <w:jc w:val="left"/>
              <w:rPr>
                <w:rFonts w:cs="Arial"/>
                <w:szCs w:val="22"/>
              </w:rPr>
            </w:pPr>
            <w:r w:rsidRPr="001F302F">
              <w:rPr>
                <w:rFonts w:cs="Arial"/>
                <w:szCs w:val="22"/>
              </w:rPr>
              <w:t>Pyrexia</w:t>
            </w:r>
            <w:r>
              <w:rPr>
                <w:rFonts w:cs="Arial"/>
                <w:szCs w:val="22"/>
              </w:rPr>
              <w:t xml:space="preserve"> </w:t>
            </w:r>
          </w:p>
        </w:tc>
        <w:tc>
          <w:tcPr>
            <w:tcW w:w="1229" w:type="pct"/>
          </w:tcPr>
          <w:p w:rsidR="00866D0B" w:rsidRDefault="00866D0B" w:rsidP="00866D0B">
            <w:pPr>
              <w:ind w:right="610"/>
              <w:jc w:val="right"/>
              <w:rPr>
                <w:rFonts w:cs="Arial"/>
                <w:szCs w:val="22"/>
              </w:rPr>
            </w:pPr>
            <w:r>
              <w:rPr>
                <w:rFonts w:cs="Arial"/>
                <w:szCs w:val="22"/>
                <w:lang w:val="en-CA"/>
              </w:rPr>
              <w:t>1.8%</w:t>
            </w:r>
          </w:p>
        </w:tc>
      </w:tr>
      <w:tr w:rsidR="00866D0B" w:rsidRPr="001F302F" w:rsidTr="000465A4">
        <w:trPr>
          <w:trHeight w:val="272"/>
        </w:trPr>
        <w:tc>
          <w:tcPr>
            <w:tcW w:w="3771" w:type="pct"/>
          </w:tcPr>
          <w:p w:rsidR="00866D0B" w:rsidRDefault="00866D0B" w:rsidP="00866D0B">
            <w:pPr>
              <w:jc w:val="left"/>
              <w:rPr>
                <w:rFonts w:cs="Arial"/>
                <w:szCs w:val="22"/>
              </w:rPr>
            </w:pPr>
            <w:r>
              <w:rPr>
                <w:rFonts w:cs="Arial"/>
                <w:szCs w:val="22"/>
              </w:rPr>
              <w:t xml:space="preserve">Disease progression </w:t>
            </w:r>
          </w:p>
        </w:tc>
        <w:tc>
          <w:tcPr>
            <w:tcW w:w="1229" w:type="pct"/>
          </w:tcPr>
          <w:p w:rsidR="00866D0B" w:rsidRDefault="00866D0B" w:rsidP="00866D0B">
            <w:pPr>
              <w:ind w:right="610"/>
              <w:jc w:val="right"/>
              <w:rPr>
                <w:rFonts w:cs="Arial"/>
                <w:szCs w:val="22"/>
                <w:lang w:val="en-CA"/>
              </w:rPr>
            </w:pPr>
            <w:r w:rsidRPr="00C3648C">
              <w:rPr>
                <w:rFonts w:cs="Arial"/>
                <w:szCs w:val="22"/>
              </w:rPr>
              <w:t>1.2%</w:t>
            </w:r>
          </w:p>
        </w:tc>
      </w:tr>
      <w:tr w:rsidR="00866D0B" w:rsidRPr="001F302F" w:rsidTr="000465A4">
        <w:trPr>
          <w:trHeight w:val="272"/>
        </w:trPr>
        <w:tc>
          <w:tcPr>
            <w:tcW w:w="3771" w:type="pct"/>
          </w:tcPr>
          <w:p w:rsidR="00866D0B" w:rsidRDefault="00866D0B" w:rsidP="00866D0B">
            <w:pPr>
              <w:jc w:val="left"/>
              <w:rPr>
                <w:rFonts w:cs="Arial"/>
                <w:szCs w:val="22"/>
              </w:rPr>
            </w:pPr>
            <w:r>
              <w:rPr>
                <w:rFonts w:cs="Arial"/>
                <w:szCs w:val="22"/>
              </w:rPr>
              <w:t xml:space="preserve">Crepitations </w:t>
            </w:r>
          </w:p>
        </w:tc>
        <w:tc>
          <w:tcPr>
            <w:tcW w:w="1229" w:type="pct"/>
          </w:tcPr>
          <w:p w:rsidR="00866D0B" w:rsidRDefault="00866D0B" w:rsidP="00866D0B">
            <w:pPr>
              <w:ind w:right="610"/>
              <w:jc w:val="right"/>
              <w:rPr>
                <w:rFonts w:cs="Arial"/>
                <w:szCs w:val="22"/>
                <w:lang w:val="en-CA"/>
              </w:rPr>
            </w:pPr>
            <w:r w:rsidRPr="00C3648C">
              <w:rPr>
                <w:rFonts w:cs="Arial"/>
                <w:szCs w:val="22"/>
              </w:rPr>
              <w:t>1.2%</w:t>
            </w:r>
          </w:p>
        </w:tc>
      </w:tr>
      <w:tr w:rsidR="00866D0B" w:rsidRPr="001F302F" w:rsidTr="000465A4">
        <w:trPr>
          <w:trHeight w:val="272"/>
        </w:trPr>
        <w:tc>
          <w:tcPr>
            <w:tcW w:w="3771" w:type="pct"/>
          </w:tcPr>
          <w:p w:rsidR="00866D0B" w:rsidRDefault="00866D0B" w:rsidP="00866D0B">
            <w:pPr>
              <w:jc w:val="left"/>
              <w:rPr>
                <w:rFonts w:cs="Arial"/>
                <w:b/>
                <w:szCs w:val="22"/>
              </w:rPr>
            </w:pPr>
            <w:r>
              <w:rPr>
                <w:rFonts w:cs="Arial"/>
                <w:b/>
                <w:szCs w:val="22"/>
              </w:rPr>
              <w:t>Infections and infestations</w:t>
            </w:r>
          </w:p>
        </w:tc>
        <w:tc>
          <w:tcPr>
            <w:tcW w:w="1229" w:type="pct"/>
          </w:tcPr>
          <w:p w:rsidR="00866D0B" w:rsidRDefault="00866D0B" w:rsidP="00866D0B">
            <w:pPr>
              <w:ind w:right="610"/>
              <w:jc w:val="right"/>
              <w:rPr>
                <w:rFonts w:cs="Arial"/>
                <w:szCs w:val="22"/>
                <w:lang w:val="en-CA"/>
              </w:rPr>
            </w:pPr>
          </w:p>
        </w:tc>
      </w:tr>
      <w:tr w:rsidR="00866D0B" w:rsidRPr="001F302F" w:rsidTr="000465A4">
        <w:trPr>
          <w:trHeight w:val="272"/>
        </w:trPr>
        <w:tc>
          <w:tcPr>
            <w:tcW w:w="3771" w:type="pct"/>
          </w:tcPr>
          <w:p w:rsidR="00866D0B" w:rsidRDefault="00866D0B" w:rsidP="00866D0B">
            <w:pPr>
              <w:jc w:val="left"/>
              <w:rPr>
                <w:rFonts w:cs="Arial"/>
                <w:szCs w:val="22"/>
              </w:rPr>
            </w:pPr>
            <w:r>
              <w:rPr>
                <w:rFonts w:cs="Arial"/>
                <w:szCs w:val="22"/>
              </w:rPr>
              <w:t xml:space="preserve">Nasopharyngitis </w:t>
            </w:r>
          </w:p>
        </w:tc>
        <w:tc>
          <w:tcPr>
            <w:tcW w:w="1229" w:type="pct"/>
          </w:tcPr>
          <w:p w:rsidR="00866D0B" w:rsidRDefault="00866D0B" w:rsidP="00866D0B">
            <w:pPr>
              <w:ind w:right="610"/>
              <w:jc w:val="right"/>
              <w:rPr>
                <w:rFonts w:cs="Arial"/>
                <w:szCs w:val="22"/>
                <w:lang w:val="en-CA"/>
              </w:rPr>
            </w:pPr>
            <w:r>
              <w:rPr>
                <w:rFonts w:cs="Arial"/>
                <w:szCs w:val="22"/>
                <w:lang w:val="en-CA"/>
              </w:rPr>
              <w:t>2.4%</w:t>
            </w:r>
          </w:p>
        </w:tc>
      </w:tr>
      <w:tr w:rsidR="00866D0B" w:rsidRPr="001F302F" w:rsidTr="000465A4">
        <w:trPr>
          <w:trHeight w:val="272"/>
        </w:trPr>
        <w:tc>
          <w:tcPr>
            <w:tcW w:w="3771" w:type="pct"/>
          </w:tcPr>
          <w:p w:rsidR="00866D0B" w:rsidRDefault="00866D0B" w:rsidP="00866D0B">
            <w:pPr>
              <w:jc w:val="left"/>
              <w:rPr>
                <w:rFonts w:cs="Arial"/>
                <w:szCs w:val="22"/>
              </w:rPr>
            </w:pPr>
            <w:r>
              <w:rPr>
                <w:rFonts w:cs="Arial"/>
                <w:szCs w:val="22"/>
              </w:rPr>
              <w:t xml:space="preserve">Urinary tract infection </w:t>
            </w:r>
          </w:p>
        </w:tc>
        <w:tc>
          <w:tcPr>
            <w:tcW w:w="1229" w:type="pct"/>
          </w:tcPr>
          <w:p w:rsidR="00866D0B" w:rsidRDefault="00866D0B" w:rsidP="00866D0B">
            <w:pPr>
              <w:ind w:right="610"/>
              <w:jc w:val="right"/>
              <w:rPr>
                <w:rFonts w:cs="Arial"/>
                <w:szCs w:val="22"/>
                <w:lang w:val="en-CA"/>
              </w:rPr>
            </w:pPr>
            <w:r>
              <w:rPr>
                <w:rFonts w:cs="Arial"/>
                <w:szCs w:val="22"/>
                <w:lang w:val="en-CA"/>
              </w:rPr>
              <w:t>1.8%</w:t>
            </w:r>
          </w:p>
        </w:tc>
      </w:tr>
      <w:tr w:rsidR="00866D0B" w:rsidRPr="001F302F" w:rsidTr="000465A4">
        <w:trPr>
          <w:trHeight w:val="272"/>
        </w:trPr>
        <w:tc>
          <w:tcPr>
            <w:tcW w:w="3771" w:type="pct"/>
          </w:tcPr>
          <w:p w:rsidR="00866D0B" w:rsidRDefault="00866D0B" w:rsidP="00866D0B">
            <w:pPr>
              <w:jc w:val="left"/>
              <w:rPr>
                <w:rFonts w:cs="Arial"/>
                <w:szCs w:val="22"/>
              </w:rPr>
            </w:pPr>
            <w:r>
              <w:rPr>
                <w:rFonts w:cs="Arial"/>
                <w:szCs w:val="22"/>
              </w:rPr>
              <w:t xml:space="preserve">Pneumonia </w:t>
            </w:r>
          </w:p>
        </w:tc>
        <w:tc>
          <w:tcPr>
            <w:tcW w:w="1229" w:type="pct"/>
          </w:tcPr>
          <w:p w:rsidR="00866D0B" w:rsidRDefault="00866D0B" w:rsidP="00866D0B">
            <w:pPr>
              <w:ind w:right="610"/>
              <w:jc w:val="right"/>
              <w:rPr>
                <w:rFonts w:cs="Arial"/>
                <w:szCs w:val="22"/>
                <w:lang w:val="en-CA"/>
              </w:rPr>
            </w:pPr>
            <w:r w:rsidRPr="00C3648C">
              <w:rPr>
                <w:rFonts w:cs="Arial"/>
                <w:szCs w:val="22"/>
              </w:rPr>
              <w:t>1.2%</w:t>
            </w:r>
          </w:p>
        </w:tc>
      </w:tr>
      <w:tr w:rsidR="00866D0B" w:rsidRPr="001F302F" w:rsidTr="000465A4">
        <w:trPr>
          <w:trHeight w:val="272"/>
        </w:trPr>
        <w:tc>
          <w:tcPr>
            <w:tcW w:w="3771" w:type="pct"/>
          </w:tcPr>
          <w:p w:rsidR="00866D0B" w:rsidRDefault="00866D0B" w:rsidP="00866D0B">
            <w:pPr>
              <w:jc w:val="left"/>
              <w:rPr>
                <w:rFonts w:cs="Arial"/>
                <w:szCs w:val="22"/>
              </w:rPr>
            </w:pPr>
            <w:r>
              <w:rPr>
                <w:rFonts w:cs="Arial"/>
                <w:szCs w:val="22"/>
              </w:rPr>
              <w:t xml:space="preserve">Infection </w:t>
            </w:r>
          </w:p>
        </w:tc>
        <w:tc>
          <w:tcPr>
            <w:tcW w:w="1229" w:type="pct"/>
          </w:tcPr>
          <w:p w:rsidR="00866D0B" w:rsidRDefault="00866D0B" w:rsidP="00866D0B">
            <w:pPr>
              <w:ind w:right="610"/>
              <w:jc w:val="right"/>
              <w:rPr>
                <w:rFonts w:cs="Arial"/>
                <w:szCs w:val="22"/>
                <w:lang w:val="en-CA"/>
              </w:rPr>
            </w:pPr>
            <w:r w:rsidRPr="00C3648C">
              <w:rPr>
                <w:rFonts w:cs="Arial"/>
                <w:szCs w:val="22"/>
              </w:rPr>
              <w:t>1.2%</w:t>
            </w:r>
          </w:p>
        </w:tc>
      </w:tr>
      <w:tr w:rsidR="00866D0B" w:rsidRPr="001F302F" w:rsidTr="000465A4">
        <w:trPr>
          <w:trHeight w:val="272"/>
        </w:trPr>
        <w:tc>
          <w:tcPr>
            <w:tcW w:w="3771" w:type="pct"/>
          </w:tcPr>
          <w:p w:rsidR="00866D0B" w:rsidRDefault="00866D0B" w:rsidP="00866D0B">
            <w:pPr>
              <w:jc w:val="left"/>
              <w:rPr>
                <w:rFonts w:cs="Arial"/>
                <w:szCs w:val="22"/>
              </w:rPr>
            </w:pPr>
            <w:r>
              <w:rPr>
                <w:rFonts w:cs="Arial"/>
                <w:szCs w:val="22"/>
              </w:rPr>
              <w:t>Respiratory tract infection</w:t>
            </w:r>
          </w:p>
        </w:tc>
        <w:tc>
          <w:tcPr>
            <w:tcW w:w="1229" w:type="pct"/>
          </w:tcPr>
          <w:p w:rsidR="00866D0B" w:rsidRDefault="00866D0B" w:rsidP="00866D0B">
            <w:pPr>
              <w:ind w:right="610"/>
              <w:jc w:val="right"/>
              <w:rPr>
                <w:rFonts w:cs="Arial"/>
                <w:szCs w:val="22"/>
                <w:lang w:val="en-CA"/>
              </w:rPr>
            </w:pPr>
            <w:r w:rsidRPr="00C3648C">
              <w:rPr>
                <w:rFonts w:cs="Arial"/>
                <w:szCs w:val="22"/>
              </w:rPr>
              <w:t>1.2%</w:t>
            </w:r>
          </w:p>
        </w:tc>
      </w:tr>
      <w:tr w:rsidR="00866D0B" w:rsidRPr="001F302F" w:rsidTr="000465A4">
        <w:trPr>
          <w:trHeight w:val="272"/>
        </w:trPr>
        <w:tc>
          <w:tcPr>
            <w:tcW w:w="3771" w:type="pct"/>
          </w:tcPr>
          <w:p w:rsidR="00866D0B" w:rsidRDefault="00866D0B" w:rsidP="00866D0B">
            <w:pPr>
              <w:jc w:val="left"/>
              <w:rPr>
                <w:rFonts w:cs="Arial"/>
                <w:szCs w:val="22"/>
              </w:rPr>
            </w:pPr>
            <w:r>
              <w:rPr>
                <w:rFonts w:cs="Arial"/>
                <w:szCs w:val="22"/>
              </w:rPr>
              <w:t>Upper respiratory tract infection</w:t>
            </w:r>
          </w:p>
        </w:tc>
        <w:tc>
          <w:tcPr>
            <w:tcW w:w="1229" w:type="pct"/>
          </w:tcPr>
          <w:p w:rsidR="00866D0B" w:rsidRDefault="00866D0B" w:rsidP="00866D0B">
            <w:pPr>
              <w:ind w:right="610"/>
              <w:jc w:val="right"/>
              <w:rPr>
                <w:rFonts w:cs="Arial"/>
                <w:szCs w:val="22"/>
                <w:lang w:val="en-CA"/>
              </w:rPr>
            </w:pPr>
            <w:r w:rsidRPr="00C3648C">
              <w:rPr>
                <w:rFonts w:cs="Arial"/>
                <w:szCs w:val="22"/>
              </w:rPr>
              <w:t>1.2%</w:t>
            </w:r>
          </w:p>
        </w:tc>
      </w:tr>
      <w:tr w:rsidR="00866D0B" w:rsidRPr="001F302F" w:rsidTr="000465A4">
        <w:trPr>
          <w:trHeight w:val="272"/>
        </w:trPr>
        <w:tc>
          <w:tcPr>
            <w:tcW w:w="3771" w:type="pct"/>
          </w:tcPr>
          <w:p w:rsidR="00866D0B" w:rsidRDefault="00866D0B" w:rsidP="00866D0B">
            <w:pPr>
              <w:jc w:val="left"/>
              <w:rPr>
                <w:rFonts w:cs="Arial"/>
                <w:szCs w:val="22"/>
              </w:rPr>
            </w:pPr>
            <w:r>
              <w:rPr>
                <w:rFonts w:cs="Arial"/>
                <w:szCs w:val="22"/>
              </w:rPr>
              <w:t xml:space="preserve">Bronchitis </w:t>
            </w:r>
          </w:p>
        </w:tc>
        <w:tc>
          <w:tcPr>
            <w:tcW w:w="1229" w:type="pct"/>
          </w:tcPr>
          <w:p w:rsidR="00866D0B" w:rsidRDefault="00866D0B" w:rsidP="00866D0B">
            <w:pPr>
              <w:ind w:right="610"/>
              <w:jc w:val="right"/>
              <w:rPr>
                <w:rFonts w:cs="Arial"/>
                <w:szCs w:val="22"/>
                <w:lang w:val="en-CA"/>
              </w:rPr>
            </w:pPr>
            <w:r w:rsidRPr="00C3648C">
              <w:rPr>
                <w:rFonts w:cs="Arial"/>
                <w:szCs w:val="22"/>
              </w:rPr>
              <w:t>1.2%</w:t>
            </w:r>
          </w:p>
        </w:tc>
      </w:tr>
      <w:tr w:rsidR="00866D0B" w:rsidRPr="001F302F" w:rsidTr="000465A4">
        <w:trPr>
          <w:trHeight w:val="272"/>
        </w:trPr>
        <w:tc>
          <w:tcPr>
            <w:tcW w:w="3771" w:type="pct"/>
          </w:tcPr>
          <w:p w:rsidR="00866D0B" w:rsidRDefault="00866D0B" w:rsidP="00866D0B">
            <w:pPr>
              <w:jc w:val="left"/>
              <w:rPr>
                <w:rFonts w:cs="Arial"/>
                <w:b/>
                <w:szCs w:val="22"/>
              </w:rPr>
            </w:pPr>
            <w:r>
              <w:rPr>
                <w:rFonts w:cs="Arial"/>
                <w:b/>
                <w:szCs w:val="22"/>
              </w:rPr>
              <w:t>Metabolism and nutrition disorders</w:t>
            </w:r>
          </w:p>
        </w:tc>
        <w:tc>
          <w:tcPr>
            <w:tcW w:w="1229" w:type="pct"/>
          </w:tcPr>
          <w:p w:rsidR="00866D0B" w:rsidRDefault="00866D0B" w:rsidP="00866D0B">
            <w:pPr>
              <w:ind w:right="610"/>
              <w:jc w:val="right"/>
              <w:rPr>
                <w:rFonts w:cs="Arial"/>
                <w:szCs w:val="22"/>
                <w:lang w:val="en-CA"/>
              </w:rPr>
            </w:pPr>
          </w:p>
        </w:tc>
      </w:tr>
      <w:tr w:rsidR="00866D0B" w:rsidRPr="001F302F" w:rsidTr="000465A4">
        <w:trPr>
          <w:trHeight w:val="272"/>
        </w:trPr>
        <w:tc>
          <w:tcPr>
            <w:tcW w:w="3771" w:type="pct"/>
          </w:tcPr>
          <w:p w:rsidR="00866D0B" w:rsidRDefault="00866D0B" w:rsidP="00866D0B">
            <w:pPr>
              <w:jc w:val="left"/>
              <w:rPr>
                <w:rFonts w:cs="Arial"/>
                <w:szCs w:val="22"/>
              </w:rPr>
            </w:pPr>
            <w:r>
              <w:rPr>
                <w:rFonts w:cs="Arial"/>
                <w:szCs w:val="22"/>
              </w:rPr>
              <w:t xml:space="preserve">Anorexia </w:t>
            </w:r>
          </w:p>
        </w:tc>
        <w:tc>
          <w:tcPr>
            <w:tcW w:w="1229" w:type="pct"/>
          </w:tcPr>
          <w:p w:rsidR="00866D0B" w:rsidRDefault="00866D0B" w:rsidP="00866D0B">
            <w:pPr>
              <w:ind w:right="610"/>
              <w:jc w:val="right"/>
              <w:rPr>
                <w:rFonts w:cs="Arial"/>
                <w:szCs w:val="22"/>
                <w:lang w:val="en-CA"/>
              </w:rPr>
            </w:pPr>
            <w:r>
              <w:rPr>
                <w:rFonts w:cs="Arial"/>
                <w:szCs w:val="22"/>
                <w:lang w:val="en-CA"/>
              </w:rPr>
              <w:t>3.0%</w:t>
            </w:r>
          </w:p>
        </w:tc>
      </w:tr>
      <w:tr w:rsidR="00866D0B" w:rsidRPr="001F302F" w:rsidTr="000465A4">
        <w:trPr>
          <w:trHeight w:val="272"/>
        </w:trPr>
        <w:tc>
          <w:tcPr>
            <w:tcW w:w="3771" w:type="pct"/>
          </w:tcPr>
          <w:p w:rsidR="00866D0B" w:rsidRDefault="00866D0B" w:rsidP="00866D0B">
            <w:pPr>
              <w:jc w:val="left"/>
              <w:rPr>
                <w:rFonts w:cs="Arial"/>
                <w:szCs w:val="22"/>
              </w:rPr>
            </w:pPr>
            <w:r>
              <w:rPr>
                <w:rFonts w:cs="Arial"/>
                <w:szCs w:val="22"/>
              </w:rPr>
              <w:t xml:space="preserve">Cachexia </w:t>
            </w:r>
          </w:p>
        </w:tc>
        <w:tc>
          <w:tcPr>
            <w:tcW w:w="1229" w:type="pct"/>
          </w:tcPr>
          <w:p w:rsidR="00866D0B" w:rsidRDefault="00866D0B" w:rsidP="00866D0B">
            <w:pPr>
              <w:ind w:right="610"/>
              <w:jc w:val="right"/>
              <w:rPr>
                <w:rFonts w:cs="Arial"/>
                <w:szCs w:val="22"/>
                <w:lang w:val="en-CA"/>
              </w:rPr>
            </w:pPr>
            <w:r>
              <w:rPr>
                <w:rFonts w:cs="Arial"/>
                <w:szCs w:val="22"/>
                <w:lang w:val="en-CA"/>
              </w:rPr>
              <w:t>1.8%</w:t>
            </w:r>
          </w:p>
        </w:tc>
      </w:tr>
      <w:tr w:rsidR="00866D0B" w:rsidRPr="001F302F" w:rsidTr="000465A4">
        <w:trPr>
          <w:trHeight w:val="272"/>
        </w:trPr>
        <w:tc>
          <w:tcPr>
            <w:tcW w:w="3771" w:type="pct"/>
          </w:tcPr>
          <w:p w:rsidR="00866D0B" w:rsidRDefault="00866D0B" w:rsidP="00866D0B">
            <w:pPr>
              <w:jc w:val="left"/>
              <w:rPr>
                <w:rFonts w:cs="Arial"/>
                <w:szCs w:val="22"/>
              </w:rPr>
            </w:pPr>
            <w:r>
              <w:rPr>
                <w:rFonts w:cs="Arial"/>
                <w:szCs w:val="22"/>
              </w:rPr>
              <w:t xml:space="preserve">Decreased appetite </w:t>
            </w:r>
          </w:p>
        </w:tc>
        <w:tc>
          <w:tcPr>
            <w:tcW w:w="1229" w:type="pct"/>
          </w:tcPr>
          <w:p w:rsidR="00866D0B" w:rsidRDefault="00866D0B" w:rsidP="00866D0B">
            <w:pPr>
              <w:ind w:right="610"/>
              <w:jc w:val="right"/>
              <w:rPr>
                <w:rFonts w:cs="Arial"/>
                <w:szCs w:val="22"/>
                <w:lang w:val="en-CA"/>
              </w:rPr>
            </w:pPr>
            <w:r>
              <w:rPr>
                <w:rFonts w:cs="Arial"/>
                <w:szCs w:val="22"/>
                <w:lang w:val="en-CA"/>
              </w:rPr>
              <w:t>1.8%</w:t>
            </w:r>
          </w:p>
        </w:tc>
      </w:tr>
      <w:tr w:rsidR="00866D0B" w:rsidRPr="001F302F" w:rsidTr="000465A4">
        <w:trPr>
          <w:trHeight w:val="272"/>
        </w:trPr>
        <w:tc>
          <w:tcPr>
            <w:tcW w:w="3771" w:type="pct"/>
          </w:tcPr>
          <w:p w:rsidR="00866D0B" w:rsidRDefault="00866D0B" w:rsidP="00866D0B">
            <w:pPr>
              <w:jc w:val="left"/>
              <w:rPr>
                <w:rFonts w:cs="Arial"/>
                <w:b/>
                <w:szCs w:val="22"/>
              </w:rPr>
            </w:pPr>
            <w:r>
              <w:rPr>
                <w:rFonts w:cs="Arial"/>
                <w:b/>
                <w:szCs w:val="22"/>
              </w:rPr>
              <w:t>Musculoskeletal and connective tissue disorders</w:t>
            </w:r>
          </w:p>
        </w:tc>
        <w:tc>
          <w:tcPr>
            <w:tcW w:w="1229" w:type="pct"/>
          </w:tcPr>
          <w:p w:rsidR="00866D0B" w:rsidRDefault="00866D0B" w:rsidP="00866D0B">
            <w:pPr>
              <w:ind w:right="610"/>
              <w:jc w:val="right"/>
              <w:rPr>
                <w:rFonts w:cs="Arial"/>
                <w:szCs w:val="22"/>
                <w:lang w:val="en-CA"/>
              </w:rPr>
            </w:pPr>
          </w:p>
        </w:tc>
      </w:tr>
      <w:tr w:rsidR="00866D0B" w:rsidRPr="001F302F" w:rsidTr="000465A4">
        <w:trPr>
          <w:trHeight w:val="272"/>
        </w:trPr>
        <w:tc>
          <w:tcPr>
            <w:tcW w:w="3771" w:type="pct"/>
          </w:tcPr>
          <w:p w:rsidR="00866D0B" w:rsidRDefault="00866D0B" w:rsidP="00866D0B">
            <w:pPr>
              <w:jc w:val="left"/>
              <w:rPr>
                <w:rFonts w:cs="Arial"/>
                <w:szCs w:val="22"/>
              </w:rPr>
            </w:pPr>
            <w:r>
              <w:rPr>
                <w:rFonts w:cs="Arial"/>
                <w:szCs w:val="22"/>
              </w:rPr>
              <w:t xml:space="preserve">Osteoarthritis </w:t>
            </w:r>
          </w:p>
        </w:tc>
        <w:tc>
          <w:tcPr>
            <w:tcW w:w="1229" w:type="pct"/>
          </w:tcPr>
          <w:p w:rsidR="00866D0B" w:rsidRDefault="00866D0B" w:rsidP="00866D0B">
            <w:pPr>
              <w:ind w:right="610"/>
              <w:jc w:val="right"/>
              <w:rPr>
                <w:rFonts w:cs="Arial"/>
                <w:szCs w:val="22"/>
                <w:lang w:val="en-CA"/>
              </w:rPr>
            </w:pPr>
            <w:r>
              <w:rPr>
                <w:rFonts w:cs="Arial"/>
                <w:szCs w:val="22"/>
                <w:lang w:val="en-CA"/>
              </w:rPr>
              <w:t>1.8%</w:t>
            </w:r>
          </w:p>
        </w:tc>
      </w:tr>
      <w:tr w:rsidR="00866D0B" w:rsidRPr="001F302F" w:rsidTr="000465A4">
        <w:trPr>
          <w:trHeight w:val="272"/>
        </w:trPr>
        <w:tc>
          <w:tcPr>
            <w:tcW w:w="3771" w:type="pct"/>
          </w:tcPr>
          <w:p w:rsidR="00866D0B" w:rsidRDefault="00866D0B" w:rsidP="00866D0B">
            <w:pPr>
              <w:jc w:val="left"/>
              <w:rPr>
                <w:rFonts w:cs="Arial"/>
                <w:b/>
                <w:szCs w:val="22"/>
              </w:rPr>
            </w:pPr>
            <w:r>
              <w:rPr>
                <w:rFonts w:cs="Arial"/>
                <w:b/>
                <w:szCs w:val="22"/>
              </w:rPr>
              <w:lastRenderedPageBreak/>
              <w:t xml:space="preserve">Neoplasms benign, malignant and unspecified (incl cysts and polyps) </w:t>
            </w:r>
          </w:p>
        </w:tc>
        <w:tc>
          <w:tcPr>
            <w:tcW w:w="1229" w:type="pct"/>
          </w:tcPr>
          <w:p w:rsidR="00866D0B" w:rsidRDefault="00866D0B" w:rsidP="00866D0B">
            <w:pPr>
              <w:ind w:right="610"/>
              <w:jc w:val="right"/>
              <w:rPr>
                <w:rFonts w:cs="Arial"/>
                <w:szCs w:val="22"/>
                <w:lang w:val="en-CA"/>
              </w:rPr>
            </w:pPr>
          </w:p>
        </w:tc>
      </w:tr>
      <w:tr w:rsidR="00866D0B" w:rsidRPr="001F302F" w:rsidTr="000465A4">
        <w:trPr>
          <w:trHeight w:val="272"/>
        </w:trPr>
        <w:tc>
          <w:tcPr>
            <w:tcW w:w="3771" w:type="pct"/>
          </w:tcPr>
          <w:p w:rsidR="00866D0B" w:rsidRDefault="00866D0B" w:rsidP="00866D0B">
            <w:pPr>
              <w:jc w:val="left"/>
              <w:rPr>
                <w:rFonts w:cs="Arial"/>
                <w:szCs w:val="22"/>
              </w:rPr>
            </w:pPr>
            <w:r>
              <w:rPr>
                <w:rFonts w:cs="Arial"/>
                <w:szCs w:val="22"/>
              </w:rPr>
              <w:t xml:space="preserve">Malignant neoplasm progression </w:t>
            </w:r>
          </w:p>
        </w:tc>
        <w:tc>
          <w:tcPr>
            <w:tcW w:w="1229" w:type="pct"/>
          </w:tcPr>
          <w:p w:rsidR="00866D0B" w:rsidRDefault="00866D0B" w:rsidP="00866D0B">
            <w:pPr>
              <w:ind w:right="610"/>
              <w:jc w:val="right"/>
              <w:rPr>
                <w:rFonts w:cs="Arial"/>
                <w:szCs w:val="22"/>
                <w:lang w:val="en-CA"/>
              </w:rPr>
            </w:pPr>
            <w:r>
              <w:rPr>
                <w:rFonts w:cs="Arial"/>
                <w:szCs w:val="22"/>
                <w:lang w:val="en-CA"/>
              </w:rPr>
              <w:t>46.4%</w:t>
            </w:r>
          </w:p>
        </w:tc>
      </w:tr>
      <w:tr w:rsidR="00866D0B" w:rsidRPr="001F302F" w:rsidTr="000465A4">
        <w:trPr>
          <w:trHeight w:val="272"/>
        </w:trPr>
        <w:tc>
          <w:tcPr>
            <w:tcW w:w="3771" w:type="pct"/>
          </w:tcPr>
          <w:p w:rsidR="00866D0B" w:rsidRDefault="00866D0B" w:rsidP="00866D0B">
            <w:pPr>
              <w:jc w:val="left"/>
              <w:rPr>
                <w:rFonts w:cs="Arial"/>
                <w:szCs w:val="22"/>
              </w:rPr>
            </w:pPr>
            <w:r>
              <w:rPr>
                <w:rFonts w:cs="Arial"/>
                <w:szCs w:val="22"/>
              </w:rPr>
              <w:t xml:space="preserve">Metastases to liver </w:t>
            </w:r>
          </w:p>
        </w:tc>
        <w:tc>
          <w:tcPr>
            <w:tcW w:w="1229" w:type="pct"/>
          </w:tcPr>
          <w:p w:rsidR="00866D0B" w:rsidRDefault="00866D0B" w:rsidP="00866D0B">
            <w:pPr>
              <w:ind w:right="610"/>
              <w:jc w:val="right"/>
              <w:rPr>
                <w:rFonts w:cs="Arial"/>
                <w:szCs w:val="22"/>
                <w:lang w:val="en-CA"/>
              </w:rPr>
            </w:pPr>
            <w:r w:rsidRPr="00C3648C">
              <w:rPr>
                <w:rFonts w:cs="Arial"/>
                <w:szCs w:val="22"/>
              </w:rPr>
              <w:t>1.2%</w:t>
            </w:r>
          </w:p>
        </w:tc>
      </w:tr>
      <w:tr w:rsidR="00866D0B" w:rsidRPr="001F302F" w:rsidTr="000465A4">
        <w:trPr>
          <w:trHeight w:val="272"/>
        </w:trPr>
        <w:tc>
          <w:tcPr>
            <w:tcW w:w="3771" w:type="pct"/>
          </w:tcPr>
          <w:p w:rsidR="00866D0B" w:rsidRDefault="00866D0B" w:rsidP="00866D0B">
            <w:pPr>
              <w:jc w:val="left"/>
              <w:rPr>
                <w:rFonts w:cs="Arial"/>
                <w:b/>
                <w:szCs w:val="22"/>
              </w:rPr>
            </w:pPr>
            <w:r>
              <w:rPr>
                <w:rFonts w:cs="Arial"/>
                <w:b/>
                <w:szCs w:val="22"/>
              </w:rPr>
              <w:t xml:space="preserve">Nervous system disorders </w:t>
            </w:r>
          </w:p>
        </w:tc>
        <w:tc>
          <w:tcPr>
            <w:tcW w:w="1229" w:type="pct"/>
          </w:tcPr>
          <w:p w:rsidR="00866D0B" w:rsidRDefault="00866D0B" w:rsidP="00866D0B">
            <w:pPr>
              <w:ind w:right="610"/>
              <w:jc w:val="right"/>
              <w:rPr>
                <w:rFonts w:cs="Arial"/>
                <w:szCs w:val="22"/>
                <w:lang w:val="en-CA"/>
              </w:rPr>
            </w:pPr>
          </w:p>
        </w:tc>
      </w:tr>
      <w:tr w:rsidR="00866D0B" w:rsidRPr="001F302F" w:rsidTr="000465A4">
        <w:trPr>
          <w:trHeight w:val="272"/>
        </w:trPr>
        <w:tc>
          <w:tcPr>
            <w:tcW w:w="3771" w:type="pct"/>
          </w:tcPr>
          <w:p w:rsidR="00866D0B" w:rsidRDefault="00866D0B" w:rsidP="00866D0B">
            <w:pPr>
              <w:jc w:val="left"/>
              <w:rPr>
                <w:rFonts w:cs="Arial"/>
                <w:szCs w:val="22"/>
              </w:rPr>
            </w:pPr>
            <w:r>
              <w:rPr>
                <w:rFonts w:cs="Arial"/>
                <w:szCs w:val="22"/>
              </w:rPr>
              <w:t xml:space="preserve">Headache </w:t>
            </w:r>
          </w:p>
        </w:tc>
        <w:tc>
          <w:tcPr>
            <w:tcW w:w="1229" w:type="pct"/>
          </w:tcPr>
          <w:p w:rsidR="00866D0B" w:rsidRDefault="00866D0B" w:rsidP="00866D0B">
            <w:pPr>
              <w:ind w:right="610"/>
              <w:jc w:val="right"/>
              <w:rPr>
                <w:rFonts w:cs="Arial"/>
                <w:szCs w:val="22"/>
                <w:lang w:val="en-CA"/>
              </w:rPr>
            </w:pPr>
            <w:r>
              <w:rPr>
                <w:rFonts w:cs="Arial"/>
                <w:szCs w:val="22"/>
                <w:lang w:val="en-CA"/>
              </w:rPr>
              <w:t>3.0%</w:t>
            </w:r>
          </w:p>
        </w:tc>
      </w:tr>
      <w:tr w:rsidR="00866D0B" w:rsidRPr="001F302F" w:rsidTr="000465A4">
        <w:trPr>
          <w:trHeight w:val="272"/>
        </w:trPr>
        <w:tc>
          <w:tcPr>
            <w:tcW w:w="3771" w:type="pct"/>
          </w:tcPr>
          <w:p w:rsidR="00866D0B" w:rsidRDefault="00866D0B" w:rsidP="00866D0B">
            <w:pPr>
              <w:jc w:val="left"/>
              <w:rPr>
                <w:rFonts w:cs="Arial"/>
                <w:szCs w:val="22"/>
              </w:rPr>
            </w:pPr>
            <w:r>
              <w:rPr>
                <w:rFonts w:cs="Arial"/>
                <w:szCs w:val="22"/>
              </w:rPr>
              <w:t xml:space="preserve">Somnolence </w:t>
            </w:r>
          </w:p>
        </w:tc>
        <w:tc>
          <w:tcPr>
            <w:tcW w:w="1229" w:type="pct"/>
          </w:tcPr>
          <w:p w:rsidR="00866D0B" w:rsidRDefault="00866D0B" w:rsidP="00866D0B">
            <w:pPr>
              <w:ind w:right="610"/>
              <w:jc w:val="right"/>
              <w:rPr>
                <w:rFonts w:cs="Arial"/>
                <w:szCs w:val="22"/>
                <w:lang w:val="en-CA"/>
              </w:rPr>
            </w:pPr>
            <w:r>
              <w:rPr>
                <w:rFonts w:cs="Arial"/>
                <w:szCs w:val="22"/>
                <w:lang w:val="en-CA"/>
              </w:rPr>
              <w:t>2.4%</w:t>
            </w:r>
          </w:p>
        </w:tc>
      </w:tr>
      <w:tr w:rsidR="00866D0B" w:rsidRPr="001F302F" w:rsidTr="000465A4">
        <w:trPr>
          <w:trHeight w:val="272"/>
        </w:trPr>
        <w:tc>
          <w:tcPr>
            <w:tcW w:w="3771" w:type="pct"/>
          </w:tcPr>
          <w:p w:rsidR="00866D0B" w:rsidRDefault="00866D0B" w:rsidP="00866D0B">
            <w:pPr>
              <w:jc w:val="left"/>
              <w:rPr>
                <w:rFonts w:cs="Arial"/>
                <w:szCs w:val="22"/>
              </w:rPr>
            </w:pPr>
            <w:r>
              <w:rPr>
                <w:rFonts w:cs="Arial"/>
                <w:szCs w:val="22"/>
              </w:rPr>
              <w:t xml:space="preserve">Dizziness </w:t>
            </w:r>
          </w:p>
        </w:tc>
        <w:tc>
          <w:tcPr>
            <w:tcW w:w="1229" w:type="pct"/>
          </w:tcPr>
          <w:p w:rsidR="00866D0B" w:rsidRDefault="00866D0B" w:rsidP="00866D0B">
            <w:pPr>
              <w:ind w:right="610"/>
              <w:jc w:val="right"/>
              <w:rPr>
                <w:rFonts w:cs="Arial"/>
                <w:szCs w:val="22"/>
                <w:lang w:val="en-CA"/>
              </w:rPr>
            </w:pPr>
            <w:r>
              <w:rPr>
                <w:rFonts w:cs="Arial"/>
                <w:szCs w:val="22"/>
                <w:lang w:val="en-CA"/>
              </w:rPr>
              <w:t>1.8%</w:t>
            </w:r>
          </w:p>
        </w:tc>
      </w:tr>
      <w:tr w:rsidR="00866D0B" w:rsidRPr="001F302F" w:rsidTr="000465A4">
        <w:trPr>
          <w:trHeight w:val="272"/>
        </w:trPr>
        <w:tc>
          <w:tcPr>
            <w:tcW w:w="3771" w:type="pct"/>
          </w:tcPr>
          <w:p w:rsidR="00866D0B" w:rsidRDefault="00866D0B" w:rsidP="00866D0B">
            <w:pPr>
              <w:jc w:val="left"/>
              <w:rPr>
                <w:rFonts w:cs="Arial"/>
                <w:szCs w:val="22"/>
              </w:rPr>
            </w:pPr>
            <w:r>
              <w:rPr>
                <w:rFonts w:cs="Arial"/>
                <w:szCs w:val="22"/>
              </w:rPr>
              <w:t xml:space="preserve">Sciatica </w:t>
            </w:r>
          </w:p>
        </w:tc>
        <w:tc>
          <w:tcPr>
            <w:tcW w:w="1229" w:type="pct"/>
          </w:tcPr>
          <w:p w:rsidR="00866D0B" w:rsidRDefault="00866D0B" w:rsidP="00866D0B">
            <w:pPr>
              <w:ind w:right="610"/>
              <w:jc w:val="right"/>
              <w:rPr>
                <w:rFonts w:cs="Arial"/>
                <w:szCs w:val="22"/>
                <w:lang w:val="en-CA"/>
              </w:rPr>
            </w:pPr>
            <w:r>
              <w:rPr>
                <w:rFonts w:cs="Arial"/>
                <w:szCs w:val="22"/>
                <w:lang w:val="en-CA"/>
              </w:rPr>
              <w:t>1.8%</w:t>
            </w:r>
          </w:p>
        </w:tc>
      </w:tr>
      <w:tr w:rsidR="00866D0B" w:rsidRPr="001F302F" w:rsidTr="000465A4">
        <w:trPr>
          <w:trHeight w:val="272"/>
        </w:trPr>
        <w:tc>
          <w:tcPr>
            <w:tcW w:w="3771" w:type="pct"/>
          </w:tcPr>
          <w:p w:rsidR="00866D0B" w:rsidRDefault="00866D0B" w:rsidP="00866D0B">
            <w:pPr>
              <w:jc w:val="left"/>
              <w:rPr>
                <w:rFonts w:cs="Arial"/>
                <w:b/>
                <w:szCs w:val="22"/>
              </w:rPr>
            </w:pPr>
            <w:r>
              <w:rPr>
                <w:rFonts w:cs="Arial"/>
                <w:b/>
                <w:szCs w:val="22"/>
              </w:rPr>
              <w:t xml:space="preserve">Psychiatric disorders </w:t>
            </w:r>
          </w:p>
        </w:tc>
        <w:tc>
          <w:tcPr>
            <w:tcW w:w="1229" w:type="pct"/>
          </w:tcPr>
          <w:p w:rsidR="00866D0B" w:rsidRDefault="00866D0B" w:rsidP="00866D0B">
            <w:pPr>
              <w:ind w:right="610"/>
              <w:jc w:val="right"/>
              <w:rPr>
                <w:rFonts w:cs="Arial"/>
                <w:szCs w:val="22"/>
                <w:lang w:val="en-CA"/>
              </w:rPr>
            </w:pPr>
          </w:p>
        </w:tc>
      </w:tr>
      <w:tr w:rsidR="00866D0B" w:rsidRPr="001F302F" w:rsidTr="000465A4">
        <w:trPr>
          <w:trHeight w:val="272"/>
        </w:trPr>
        <w:tc>
          <w:tcPr>
            <w:tcW w:w="3771" w:type="pct"/>
          </w:tcPr>
          <w:p w:rsidR="00866D0B" w:rsidRDefault="00866D0B" w:rsidP="00866D0B">
            <w:pPr>
              <w:jc w:val="left"/>
              <w:rPr>
                <w:rFonts w:cs="Arial"/>
                <w:szCs w:val="22"/>
              </w:rPr>
            </w:pPr>
            <w:r>
              <w:rPr>
                <w:rFonts w:cs="Arial"/>
                <w:szCs w:val="22"/>
              </w:rPr>
              <w:t xml:space="preserve">Anxiety </w:t>
            </w:r>
          </w:p>
        </w:tc>
        <w:tc>
          <w:tcPr>
            <w:tcW w:w="1229" w:type="pct"/>
          </w:tcPr>
          <w:p w:rsidR="00866D0B" w:rsidRDefault="00866D0B" w:rsidP="00866D0B">
            <w:pPr>
              <w:ind w:right="610"/>
              <w:jc w:val="right"/>
              <w:rPr>
                <w:rFonts w:cs="Arial"/>
                <w:szCs w:val="22"/>
                <w:lang w:val="en-CA"/>
              </w:rPr>
            </w:pPr>
            <w:r>
              <w:rPr>
                <w:rFonts w:cs="Arial"/>
                <w:szCs w:val="22"/>
                <w:lang w:val="en-CA"/>
              </w:rPr>
              <w:t>3.6%</w:t>
            </w:r>
          </w:p>
        </w:tc>
      </w:tr>
      <w:tr w:rsidR="00866D0B" w:rsidRPr="001F302F" w:rsidTr="000465A4">
        <w:trPr>
          <w:trHeight w:val="272"/>
        </w:trPr>
        <w:tc>
          <w:tcPr>
            <w:tcW w:w="3771" w:type="pct"/>
          </w:tcPr>
          <w:p w:rsidR="00866D0B" w:rsidRDefault="00866D0B" w:rsidP="00866D0B">
            <w:pPr>
              <w:jc w:val="left"/>
              <w:rPr>
                <w:rFonts w:cs="Arial"/>
                <w:szCs w:val="22"/>
              </w:rPr>
            </w:pPr>
            <w:r>
              <w:rPr>
                <w:rFonts w:cs="Arial"/>
                <w:szCs w:val="22"/>
              </w:rPr>
              <w:t xml:space="preserve">Insomnia </w:t>
            </w:r>
          </w:p>
        </w:tc>
        <w:tc>
          <w:tcPr>
            <w:tcW w:w="1229" w:type="pct"/>
          </w:tcPr>
          <w:p w:rsidR="00866D0B" w:rsidRDefault="00866D0B" w:rsidP="00866D0B">
            <w:pPr>
              <w:ind w:right="610"/>
              <w:jc w:val="right"/>
              <w:rPr>
                <w:rFonts w:cs="Arial"/>
                <w:szCs w:val="22"/>
                <w:lang w:val="en-CA"/>
              </w:rPr>
            </w:pPr>
            <w:r>
              <w:rPr>
                <w:rFonts w:cs="Arial"/>
                <w:szCs w:val="22"/>
                <w:lang w:val="en-CA"/>
              </w:rPr>
              <w:t>2.4%</w:t>
            </w:r>
          </w:p>
        </w:tc>
      </w:tr>
      <w:tr w:rsidR="00866D0B" w:rsidRPr="001F302F" w:rsidTr="000465A4">
        <w:trPr>
          <w:trHeight w:val="272"/>
        </w:trPr>
        <w:tc>
          <w:tcPr>
            <w:tcW w:w="3771" w:type="pct"/>
          </w:tcPr>
          <w:p w:rsidR="00866D0B" w:rsidRDefault="00866D0B" w:rsidP="00866D0B">
            <w:pPr>
              <w:jc w:val="left"/>
              <w:rPr>
                <w:rFonts w:cs="Arial"/>
                <w:szCs w:val="22"/>
              </w:rPr>
            </w:pPr>
            <w:r>
              <w:rPr>
                <w:rFonts w:cs="Arial"/>
                <w:szCs w:val="22"/>
              </w:rPr>
              <w:t xml:space="preserve">Depressed mood </w:t>
            </w:r>
          </w:p>
        </w:tc>
        <w:tc>
          <w:tcPr>
            <w:tcW w:w="1229" w:type="pct"/>
          </w:tcPr>
          <w:p w:rsidR="00866D0B" w:rsidRDefault="00866D0B" w:rsidP="00866D0B">
            <w:pPr>
              <w:ind w:right="610"/>
              <w:jc w:val="right"/>
              <w:rPr>
                <w:rFonts w:cs="Arial"/>
                <w:szCs w:val="22"/>
                <w:lang w:val="en-CA"/>
              </w:rPr>
            </w:pPr>
            <w:r>
              <w:rPr>
                <w:rFonts w:cs="Arial"/>
                <w:szCs w:val="22"/>
                <w:lang w:val="en-CA"/>
              </w:rPr>
              <w:t>2.4%</w:t>
            </w:r>
          </w:p>
        </w:tc>
      </w:tr>
      <w:tr w:rsidR="00866D0B" w:rsidRPr="001F302F" w:rsidTr="000465A4">
        <w:trPr>
          <w:trHeight w:val="272"/>
        </w:trPr>
        <w:tc>
          <w:tcPr>
            <w:tcW w:w="3771" w:type="pct"/>
          </w:tcPr>
          <w:p w:rsidR="00866D0B" w:rsidRDefault="00866D0B" w:rsidP="00866D0B">
            <w:pPr>
              <w:jc w:val="left"/>
              <w:rPr>
                <w:rFonts w:cs="Arial"/>
                <w:szCs w:val="22"/>
              </w:rPr>
            </w:pPr>
            <w:r>
              <w:rPr>
                <w:rFonts w:cs="Arial"/>
                <w:szCs w:val="22"/>
              </w:rPr>
              <w:t xml:space="preserve">Depression </w:t>
            </w:r>
          </w:p>
        </w:tc>
        <w:tc>
          <w:tcPr>
            <w:tcW w:w="1229" w:type="pct"/>
          </w:tcPr>
          <w:p w:rsidR="00866D0B" w:rsidRDefault="00866D0B" w:rsidP="00866D0B">
            <w:pPr>
              <w:ind w:right="610"/>
              <w:jc w:val="right"/>
              <w:rPr>
                <w:rFonts w:cs="Arial"/>
                <w:szCs w:val="22"/>
                <w:lang w:val="en-CA"/>
              </w:rPr>
            </w:pPr>
            <w:r>
              <w:rPr>
                <w:rFonts w:cs="Arial"/>
                <w:szCs w:val="22"/>
                <w:lang w:val="en-CA"/>
              </w:rPr>
              <w:t>1.8%</w:t>
            </w:r>
          </w:p>
        </w:tc>
      </w:tr>
      <w:tr w:rsidR="00866D0B" w:rsidRPr="001F302F" w:rsidTr="000465A4">
        <w:trPr>
          <w:trHeight w:val="272"/>
        </w:trPr>
        <w:tc>
          <w:tcPr>
            <w:tcW w:w="3771" w:type="pct"/>
          </w:tcPr>
          <w:p w:rsidR="00866D0B" w:rsidRDefault="00866D0B" w:rsidP="00866D0B">
            <w:pPr>
              <w:jc w:val="left"/>
              <w:rPr>
                <w:rFonts w:cs="Arial"/>
                <w:b/>
                <w:szCs w:val="22"/>
              </w:rPr>
            </w:pPr>
            <w:r>
              <w:rPr>
                <w:rFonts w:cs="Arial"/>
                <w:b/>
                <w:szCs w:val="22"/>
              </w:rPr>
              <w:t>Renal and urinary disorders</w:t>
            </w:r>
          </w:p>
        </w:tc>
        <w:tc>
          <w:tcPr>
            <w:tcW w:w="1229" w:type="pct"/>
          </w:tcPr>
          <w:p w:rsidR="00866D0B" w:rsidRDefault="00866D0B" w:rsidP="00866D0B">
            <w:pPr>
              <w:ind w:right="610"/>
              <w:jc w:val="right"/>
              <w:rPr>
                <w:rFonts w:cs="Arial"/>
                <w:szCs w:val="22"/>
                <w:lang w:val="en-CA"/>
              </w:rPr>
            </w:pPr>
          </w:p>
        </w:tc>
      </w:tr>
      <w:tr w:rsidR="00866D0B" w:rsidRPr="001F302F" w:rsidTr="000465A4">
        <w:trPr>
          <w:trHeight w:val="272"/>
        </w:trPr>
        <w:tc>
          <w:tcPr>
            <w:tcW w:w="3771" w:type="pct"/>
          </w:tcPr>
          <w:p w:rsidR="00866D0B" w:rsidRDefault="00866D0B" w:rsidP="00866D0B">
            <w:pPr>
              <w:jc w:val="left"/>
              <w:rPr>
                <w:rFonts w:cs="Arial"/>
                <w:szCs w:val="22"/>
              </w:rPr>
            </w:pPr>
            <w:r>
              <w:rPr>
                <w:rFonts w:cs="Arial"/>
                <w:szCs w:val="22"/>
              </w:rPr>
              <w:t xml:space="preserve">Dysuria </w:t>
            </w:r>
          </w:p>
        </w:tc>
        <w:tc>
          <w:tcPr>
            <w:tcW w:w="1229" w:type="pct"/>
          </w:tcPr>
          <w:p w:rsidR="00866D0B" w:rsidRDefault="00866D0B" w:rsidP="00866D0B">
            <w:pPr>
              <w:ind w:right="610"/>
              <w:jc w:val="right"/>
              <w:rPr>
                <w:rFonts w:cs="Arial"/>
                <w:szCs w:val="22"/>
                <w:lang w:val="en-CA"/>
              </w:rPr>
            </w:pPr>
            <w:r>
              <w:rPr>
                <w:rFonts w:cs="Arial"/>
                <w:szCs w:val="22"/>
                <w:lang w:val="en-CA"/>
              </w:rPr>
              <w:t>3.0%</w:t>
            </w:r>
          </w:p>
        </w:tc>
      </w:tr>
      <w:tr w:rsidR="00866D0B" w:rsidRPr="001F302F" w:rsidTr="000465A4">
        <w:trPr>
          <w:trHeight w:val="272"/>
        </w:trPr>
        <w:tc>
          <w:tcPr>
            <w:tcW w:w="3771" w:type="pct"/>
          </w:tcPr>
          <w:p w:rsidR="00866D0B" w:rsidRDefault="00866D0B" w:rsidP="00866D0B">
            <w:pPr>
              <w:jc w:val="left"/>
              <w:rPr>
                <w:rFonts w:cs="Arial"/>
                <w:szCs w:val="22"/>
              </w:rPr>
            </w:pPr>
            <w:r>
              <w:rPr>
                <w:rFonts w:cs="Arial"/>
                <w:szCs w:val="22"/>
              </w:rPr>
              <w:t xml:space="preserve">Urinary incontinence </w:t>
            </w:r>
          </w:p>
        </w:tc>
        <w:tc>
          <w:tcPr>
            <w:tcW w:w="1229" w:type="pct"/>
          </w:tcPr>
          <w:p w:rsidR="00866D0B" w:rsidRDefault="00866D0B" w:rsidP="00866D0B">
            <w:pPr>
              <w:ind w:right="610"/>
              <w:jc w:val="right"/>
              <w:rPr>
                <w:rFonts w:cs="Arial"/>
                <w:szCs w:val="22"/>
                <w:lang w:val="en-CA"/>
              </w:rPr>
            </w:pPr>
            <w:r w:rsidRPr="00C3648C">
              <w:rPr>
                <w:rFonts w:cs="Arial"/>
                <w:szCs w:val="22"/>
              </w:rPr>
              <w:t>1.2%</w:t>
            </w:r>
          </w:p>
        </w:tc>
      </w:tr>
      <w:tr w:rsidR="00866D0B" w:rsidRPr="001F302F" w:rsidTr="000465A4">
        <w:trPr>
          <w:trHeight w:val="272"/>
        </w:trPr>
        <w:tc>
          <w:tcPr>
            <w:tcW w:w="3771" w:type="pct"/>
          </w:tcPr>
          <w:p w:rsidR="00866D0B" w:rsidRDefault="00866D0B" w:rsidP="00866D0B">
            <w:pPr>
              <w:jc w:val="left"/>
              <w:rPr>
                <w:rFonts w:cs="Arial"/>
                <w:b/>
                <w:szCs w:val="22"/>
              </w:rPr>
            </w:pPr>
            <w:r>
              <w:rPr>
                <w:rFonts w:cs="Arial"/>
                <w:b/>
                <w:szCs w:val="22"/>
              </w:rPr>
              <w:t>Respiratory, thoracic and mediastinal disorders</w:t>
            </w:r>
          </w:p>
        </w:tc>
        <w:tc>
          <w:tcPr>
            <w:tcW w:w="1229" w:type="pct"/>
          </w:tcPr>
          <w:p w:rsidR="00866D0B" w:rsidRDefault="00866D0B" w:rsidP="00866D0B">
            <w:pPr>
              <w:ind w:right="610"/>
              <w:jc w:val="right"/>
              <w:rPr>
                <w:rFonts w:cs="Arial"/>
                <w:szCs w:val="22"/>
                <w:lang w:val="en-CA"/>
              </w:rPr>
            </w:pPr>
          </w:p>
        </w:tc>
      </w:tr>
      <w:tr w:rsidR="00866D0B" w:rsidRPr="001F302F" w:rsidTr="000465A4">
        <w:trPr>
          <w:trHeight w:val="272"/>
        </w:trPr>
        <w:tc>
          <w:tcPr>
            <w:tcW w:w="3771" w:type="pct"/>
          </w:tcPr>
          <w:p w:rsidR="00866D0B" w:rsidRDefault="00866D0B" w:rsidP="00866D0B">
            <w:pPr>
              <w:jc w:val="left"/>
              <w:rPr>
                <w:rFonts w:cs="Arial"/>
                <w:szCs w:val="22"/>
              </w:rPr>
            </w:pPr>
            <w:r>
              <w:rPr>
                <w:rFonts w:cs="Arial"/>
                <w:szCs w:val="22"/>
              </w:rPr>
              <w:t xml:space="preserve">Dyspnoea </w:t>
            </w:r>
          </w:p>
        </w:tc>
        <w:tc>
          <w:tcPr>
            <w:tcW w:w="1229" w:type="pct"/>
          </w:tcPr>
          <w:p w:rsidR="00866D0B" w:rsidRDefault="00866D0B" w:rsidP="00866D0B">
            <w:pPr>
              <w:ind w:right="610"/>
              <w:jc w:val="right"/>
              <w:rPr>
                <w:rFonts w:cs="Arial"/>
                <w:szCs w:val="22"/>
                <w:lang w:val="en-CA"/>
              </w:rPr>
            </w:pPr>
            <w:r>
              <w:rPr>
                <w:rFonts w:cs="Arial"/>
                <w:szCs w:val="22"/>
                <w:lang w:val="en-CA"/>
              </w:rPr>
              <w:t>1.8%</w:t>
            </w:r>
          </w:p>
        </w:tc>
      </w:tr>
      <w:tr w:rsidR="00866D0B" w:rsidRPr="001F302F" w:rsidTr="000465A4">
        <w:trPr>
          <w:trHeight w:val="272"/>
        </w:trPr>
        <w:tc>
          <w:tcPr>
            <w:tcW w:w="3771" w:type="pct"/>
          </w:tcPr>
          <w:p w:rsidR="00866D0B" w:rsidRDefault="00866D0B" w:rsidP="00866D0B">
            <w:pPr>
              <w:jc w:val="left"/>
              <w:rPr>
                <w:rFonts w:cs="Arial"/>
                <w:szCs w:val="22"/>
              </w:rPr>
            </w:pPr>
            <w:r>
              <w:rPr>
                <w:rFonts w:cs="Arial"/>
                <w:szCs w:val="22"/>
              </w:rPr>
              <w:t xml:space="preserve">Hiccups </w:t>
            </w:r>
          </w:p>
        </w:tc>
        <w:tc>
          <w:tcPr>
            <w:tcW w:w="1229" w:type="pct"/>
          </w:tcPr>
          <w:p w:rsidR="00866D0B" w:rsidRDefault="00866D0B" w:rsidP="00866D0B">
            <w:pPr>
              <w:ind w:right="610"/>
              <w:jc w:val="right"/>
              <w:rPr>
                <w:rFonts w:cs="Arial"/>
                <w:szCs w:val="22"/>
                <w:lang w:val="en-CA"/>
              </w:rPr>
            </w:pPr>
            <w:r>
              <w:rPr>
                <w:rFonts w:cs="Arial"/>
                <w:szCs w:val="22"/>
                <w:lang w:val="en-CA"/>
              </w:rPr>
              <w:t>1.8%</w:t>
            </w:r>
          </w:p>
        </w:tc>
      </w:tr>
      <w:tr w:rsidR="00866D0B" w:rsidRPr="001F302F" w:rsidTr="000465A4">
        <w:trPr>
          <w:trHeight w:val="272"/>
        </w:trPr>
        <w:tc>
          <w:tcPr>
            <w:tcW w:w="3771" w:type="pct"/>
          </w:tcPr>
          <w:p w:rsidR="00866D0B" w:rsidRDefault="00866D0B" w:rsidP="00866D0B">
            <w:pPr>
              <w:jc w:val="left"/>
              <w:rPr>
                <w:rFonts w:cs="Arial"/>
                <w:b/>
                <w:szCs w:val="22"/>
              </w:rPr>
            </w:pPr>
            <w:r>
              <w:rPr>
                <w:rFonts w:cs="Arial"/>
                <w:b/>
                <w:szCs w:val="22"/>
              </w:rPr>
              <w:t>Skin and subcutaneous tissue disorders</w:t>
            </w:r>
          </w:p>
        </w:tc>
        <w:tc>
          <w:tcPr>
            <w:tcW w:w="1229" w:type="pct"/>
          </w:tcPr>
          <w:p w:rsidR="00866D0B" w:rsidRDefault="00866D0B" w:rsidP="00866D0B">
            <w:pPr>
              <w:ind w:right="610"/>
              <w:jc w:val="right"/>
              <w:rPr>
                <w:rFonts w:cs="Arial"/>
                <w:szCs w:val="22"/>
                <w:lang w:val="en-CA"/>
              </w:rPr>
            </w:pPr>
          </w:p>
        </w:tc>
      </w:tr>
      <w:tr w:rsidR="00866D0B" w:rsidRPr="001F302F" w:rsidTr="000465A4">
        <w:trPr>
          <w:trHeight w:val="272"/>
        </w:trPr>
        <w:tc>
          <w:tcPr>
            <w:tcW w:w="3771" w:type="pct"/>
          </w:tcPr>
          <w:p w:rsidR="00866D0B" w:rsidRDefault="00866D0B" w:rsidP="00866D0B">
            <w:pPr>
              <w:jc w:val="left"/>
              <w:rPr>
                <w:rFonts w:cs="Arial"/>
                <w:szCs w:val="22"/>
              </w:rPr>
            </w:pPr>
            <w:r>
              <w:rPr>
                <w:rFonts w:cs="Arial"/>
                <w:szCs w:val="22"/>
              </w:rPr>
              <w:t xml:space="preserve">Decubitus ulcer </w:t>
            </w:r>
          </w:p>
        </w:tc>
        <w:tc>
          <w:tcPr>
            <w:tcW w:w="1229" w:type="pct"/>
          </w:tcPr>
          <w:p w:rsidR="00866D0B" w:rsidRDefault="00866D0B" w:rsidP="00866D0B">
            <w:pPr>
              <w:ind w:right="610"/>
              <w:jc w:val="right"/>
              <w:rPr>
                <w:rFonts w:cs="Arial"/>
                <w:szCs w:val="22"/>
                <w:lang w:val="en-CA"/>
              </w:rPr>
            </w:pPr>
            <w:r>
              <w:rPr>
                <w:rFonts w:cs="Arial"/>
                <w:szCs w:val="22"/>
                <w:lang w:val="en-CA"/>
              </w:rPr>
              <w:t>4.2%</w:t>
            </w:r>
          </w:p>
        </w:tc>
      </w:tr>
      <w:tr w:rsidR="00866D0B" w:rsidRPr="001F302F" w:rsidTr="000465A4">
        <w:trPr>
          <w:trHeight w:val="272"/>
        </w:trPr>
        <w:tc>
          <w:tcPr>
            <w:tcW w:w="3771" w:type="pct"/>
          </w:tcPr>
          <w:p w:rsidR="00866D0B" w:rsidRDefault="00866D0B" w:rsidP="00866D0B">
            <w:pPr>
              <w:jc w:val="left"/>
              <w:rPr>
                <w:rFonts w:cs="Arial"/>
                <w:szCs w:val="22"/>
              </w:rPr>
            </w:pPr>
            <w:r>
              <w:rPr>
                <w:rFonts w:cs="Arial"/>
                <w:szCs w:val="22"/>
              </w:rPr>
              <w:t xml:space="preserve">Pruritus </w:t>
            </w:r>
          </w:p>
        </w:tc>
        <w:tc>
          <w:tcPr>
            <w:tcW w:w="1229" w:type="pct"/>
          </w:tcPr>
          <w:p w:rsidR="00866D0B" w:rsidRDefault="00866D0B" w:rsidP="00866D0B">
            <w:pPr>
              <w:ind w:right="610"/>
              <w:jc w:val="right"/>
              <w:rPr>
                <w:rFonts w:cs="Arial"/>
                <w:szCs w:val="22"/>
                <w:lang w:val="en-CA"/>
              </w:rPr>
            </w:pPr>
            <w:r>
              <w:rPr>
                <w:rFonts w:cs="Arial"/>
                <w:szCs w:val="22"/>
                <w:lang w:val="en-CA"/>
              </w:rPr>
              <w:t>2.4%</w:t>
            </w:r>
          </w:p>
        </w:tc>
      </w:tr>
      <w:tr w:rsidR="00866D0B" w:rsidRPr="001F302F" w:rsidTr="000465A4">
        <w:trPr>
          <w:trHeight w:val="272"/>
        </w:trPr>
        <w:tc>
          <w:tcPr>
            <w:tcW w:w="3771" w:type="pct"/>
          </w:tcPr>
          <w:p w:rsidR="00866D0B" w:rsidRDefault="00866D0B" w:rsidP="00866D0B">
            <w:pPr>
              <w:jc w:val="left"/>
              <w:rPr>
                <w:rFonts w:cs="Arial"/>
                <w:szCs w:val="22"/>
              </w:rPr>
            </w:pPr>
            <w:r>
              <w:rPr>
                <w:rFonts w:cs="Arial"/>
                <w:szCs w:val="22"/>
              </w:rPr>
              <w:t xml:space="preserve">Hyperhidrosis </w:t>
            </w:r>
          </w:p>
        </w:tc>
        <w:tc>
          <w:tcPr>
            <w:tcW w:w="1229" w:type="pct"/>
          </w:tcPr>
          <w:p w:rsidR="00866D0B" w:rsidRDefault="00866D0B" w:rsidP="00866D0B">
            <w:pPr>
              <w:ind w:right="610"/>
              <w:jc w:val="right"/>
              <w:rPr>
                <w:rFonts w:cs="Arial"/>
                <w:szCs w:val="22"/>
                <w:lang w:val="en-CA"/>
              </w:rPr>
            </w:pPr>
            <w:r>
              <w:rPr>
                <w:rFonts w:cs="Arial"/>
                <w:szCs w:val="22"/>
                <w:lang w:val="en-CA"/>
              </w:rPr>
              <w:t>1.8%</w:t>
            </w:r>
          </w:p>
        </w:tc>
      </w:tr>
      <w:tr w:rsidR="00866D0B" w:rsidRPr="001F302F" w:rsidTr="000465A4">
        <w:trPr>
          <w:trHeight w:val="272"/>
        </w:trPr>
        <w:tc>
          <w:tcPr>
            <w:tcW w:w="3771" w:type="pct"/>
          </w:tcPr>
          <w:p w:rsidR="00866D0B" w:rsidRDefault="00866D0B" w:rsidP="00866D0B">
            <w:pPr>
              <w:jc w:val="left"/>
              <w:rPr>
                <w:rFonts w:cs="Arial"/>
                <w:szCs w:val="22"/>
              </w:rPr>
            </w:pPr>
            <w:r>
              <w:rPr>
                <w:rFonts w:cs="Arial"/>
                <w:szCs w:val="22"/>
              </w:rPr>
              <w:t xml:space="preserve">Dry skin </w:t>
            </w:r>
          </w:p>
        </w:tc>
        <w:tc>
          <w:tcPr>
            <w:tcW w:w="1229" w:type="pct"/>
          </w:tcPr>
          <w:p w:rsidR="00866D0B" w:rsidRDefault="00866D0B" w:rsidP="00866D0B">
            <w:pPr>
              <w:ind w:right="610"/>
              <w:jc w:val="right"/>
              <w:rPr>
                <w:rFonts w:cs="Arial"/>
                <w:szCs w:val="22"/>
                <w:lang w:val="en-CA"/>
              </w:rPr>
            </w:pPr>
            <w:r w:rsidRPr="00C3648C">
              <w:rPr>
                <w:rFonts w:cs="Arial"/>
                <w:szCs w:val="22"/>
              </w:rPr>
              <w:t>1.2%</w:t>
            </w:r>
          </w:p>
        </w:tc>
      </w:tr>
      <w:tr w:rsidR="00866D0B" w:rsidRPr="001F302F" w:rsidTr="000465A4">
        <w:trPr>
          <w:trHeight w:val="272"/>
        </w:trPr>
        <w:tc>
          <w:tcPr>
            <w:tcW w:w="3771" w:type="pct"/>
          </w:tcPr>
          <w:p w:rsidR="00866D0B" w:rsidRDefault="00866D0B" w:rsidP="00866D0B">
            <w:pPr>
              <w:jc w:val="left"/>
              <w:rPr>
                <w:rFonts w:cs="Arial"/>
                <w:szCs w:val="22"/>
              </w:rPr>
            </w:pPr>
            <w:r>
              <w:rPr>
                <w:rFonts w:cs="Arial"/>
                <w:szCs w:val="22"/>
              </w:rPr>
              <w:t xml:space="preserve">Rash </w:t>
            </w:r>
          </w:p>
        </w:tc>
        <w:tc>
          <w:tcPr>
            <w:tcW w:w="1229" w:type="pct"/>
          </w:tcPr>
          <w:p w:rsidR="00866D0B" w:rsidRDefault="00866D0B" w:rsidP="00866D0B">
            <w:pPr>
              <w:ind w:right="610"/>
              <w:jc w:val="right"/>
              <w:rPr>
                <w:rFonts w:cs="Arial"/>
                <w:szCs w:val="22"/>
                <w:lang w:val="en-CA"/>
              </w:rPr>
            </w:pPr>
            <w:r w:rsidRPr="00C3648C">
              <w:rPr>
                <w:rFonts w:cs="Arial"/>
                <w:szCs w:val="22"/>
              </w:rPr>
              <w:t>1.2%</w:t>
            </w:r>
          </w:p>
        </w:tc>
      </w:tr>
      <w:tr w:rsidR="00866D0B" w:rsidRPr="001F302F" w:rsidTr="000465A4">
        <w:trPr>
          <w:trHeight w:val="272"/>
        </w:trPr>
        <w:tc>
          <w:tcPr>
            <w:tcW w:w="3771" w:type="pct"/>
          </w:tcPr>
          <w:p w:rsidR="00866D0B" w:rsidRDefault="00866D0B" w:rsidP="00866D0B">
            <w:pPr>
              <w:jc w:val="left"/>
              <w:rPr>
                <w:rFonts w:cs="Arial"/>
                <w:b/>
                <w:szCs w:val="22"/>
              </w:rPr>
            </w:pPr>
            <w:r>
              <w:rPr>
                <w:rFonts w:cs="Arial"/>
                <w:b/>
                <w:szCs w:val="22"/>
              </w:rPr>
              <w:t xml:space="preserve">Vascular disorders </w:t>
            </w:r>
          </w:p>
        </w:tc>
        <w:tc>
          <w:tcPr>
            <w:tcW w:w="1229" w:type="pct"/>
          </w:tcPr>
          <w:p w:rsidR="00866D0B" w:rsidRDefault="00866D0B" w:rsidP="00866D0B">
            <w:pPr>
              <w:ind w:right="610"/>
              <w:jc w:val="right"/>
              <w:rPr>
                <w:rFonts w:cs="Arial"/>
                <w:szCs w:val="22"/>
                <w:lang w:val="en-CA"/>
              </w:rPr>
            </w:pPr>
          </w:p>
        </w:tc>
      </w:tr>
      <w:tr w:rsidR="00866D0B" w:rsidRPr="001F302F" w:rsidTr="000465A4">
        <w:trPr>
          <w:trHeight w:val="272"/>
        </w:trPr>
        <w:tc>
          <w:tcPr>
            <w:tcW w:w="3771" w:type="pct"/>
          </w:tcPr>
          <w:p w:rsidR="00866D0B" w:rsidRDefault="00866D0B" w:rsidP="00866D0B">
            <w:pPr>
              <w:jc w:val="left"/>
              <w:rPr>
                <w:rFonts w:cs="Arial"/>
                <w:szCs w:val="22"/>
              </w:rPr>
            </w:pPr>
            <w:r>
              <w:rPr>
                <w:rFonts w:cs="Arial"/>
                <w:szCs w:val="22"/>
              </w:rPr>
              <w:t xml:space="preserve">Hypertension </w:t>
            </w:r>
          </w:p>
        </w:tc>
        <w:tc>
          <w:tcPr>
            <w:tcW w:w="1229" w:type="pct"/>
          </w:tcPr>
          <w:p w:rsidR="00866D0B" w:rsidRDefault="00866D0B" w:rsidP="00866D0B">
            <w:pPr>
              <w:ind w:right="610"/>
              <w:jc w:val="right"/>
              <w:rPr>
                <w:rFonts w:cs="Arial"/>
                <w:szCs w:val="22"/>
                <w:lang w:val="en-CA"/>
              </w:rPr>
            </w:pPr>
            <w:r>
              <w:rPr>
                <w:rFonts w:cs="Arial"/>
                <w:szCs w:val="22"/>
                <w:lang w:val="en-CA"/>
              </w:rPr>
              <w:t>3.0%</w:t>
            </w:r>
          </w:p>
        </w:tc>
      </w:tr>
      <w:tr w:rsidR="00866D0B" w:rsidRPr="001F302F" w:rsidTr="000465A4">
        <w:trPr>
          <w:trHeight w:val="272"/>
        </w:trPr>
        <w:tc>
          <w:tcPr>
            <w:tcW w:w="3771" w:type="pct"/>
          </w:tcPr>
          <w:p w:rsidR="00866D0B" w:rsidRDefault="00866D0B" w:rsidP="00866D0B">
            <w:pPr>
              <w:jc w:val="left"/>
              <w:rPr>
                <w:rFonts w:cs="Arial"/>
                <w:szCs w:val="22"/>
              </w:rPr>
            </w:pPr>
            <w:r>
              <w:rPr>
                <w:rFonts w:cs="Arial"/>
                <w:szCs w:val="22"/>
              </w:rPr>
              <w:t xml:space="preserve">Flushing </w:t>
            </w:r>
          </w:p>
        </w:tc>
        <w:tc>
          <w:tcPr>
            <w:tcW w:w="1229" w:type="pct"/>
          </w:tcPr>
          <w:p w:rsidR="00866D0B" w:rsidRDefault="00866D0B" w:rsidP="00866D0B">
            <w:pPr>
              <w:ind w:right="610"/>
              <w:jc w:val="right"/>
              <w:rPr>
                <w:rFonts w:cs="Arial"/>
                <w:szCs w:val="22"/>
                <w:lang w:val="en-CA"/>
              </w:rPr>
            </w:pPr>
            <w:r w:rsidRPr="00C3648C">
              <w:rPr>
                <w:rFonts w:cs="Arial"/>
                <w:szCs w:val="22"/>
              </w:rPr>
              <w:t>1.2%</w:t>
            </w:r>
          </w:p>
        </w:tc>
      </w:tr>
      <w:tr w:rsidR="00866D0B" w:rsidRPr="001F302F" w:rsidTr="000465A4">
        <w:trPr>
          <w:trHeight w:val="272"/>
        </w:trPr>
        <w:tc>
          <w:tcPr>
            <w:tcW w:w="3771" w:type="pct"/>
          </w:tcPr>
          <w:p w:rsidR="00866D0B" w:rsidRDefault="00866D0B" w:rsidP="00866D0B">
            <w:pPr>
              <w:jc w:val="left"/>
              <w:rPr>
                <w:rFonts w:cs="Arial"/>
                <w:szCs w:val="22"/>
              </w:rPr>
            </w:pPr>
            <w:r>
              <w:rPr>
                <w:rFonts w:cs="Arial"/>
                <w:szCs w:val="22"/>
              </w:rPr>
              <w:t xml:space="preserve">Hot flush </w:t>
            </w:r>
          </w:p>
        </w:tc>
        <w:tc>
          <w:tcPr>
            <w:tcW w:w="1229" w:type="pct"/>
          </w:tcPr>
          <w:p w:rsidR="00866D0B" w:rsidRDefault="00866D0B" w:rsidP="00866D0B">
            <w:pPr>
              <w:ind w:right="610"/>
              <w:jc w:val="right"/>
              <w:rPr>
                <w:rFonts w:cs="Arial"/>
                <w:szCs w:val="22"/>
                <w:lang w:val="en-CA"/>
              </w:rPr>
            </w:pPr>
            <w:r w:rsidRPr="00C3648C">
              <w:rPr>
                <w:rFonts w:cs="Arial"/>
                <w:szCs w:val="22"/>
              </w:rPr>
              <w:t>1.2%</w:t>
            </w:r>
          </w:p>
        </w:tc>
      </w:tr>
      <w:tr w:rsidR="00866D0B" w:rsidRPr="001F302F" w:rsidTr="000465A4">
        <w:trPr>
          <w:trHeight w:val="272"/>
        </w:trPr>
        <w:tc>
          <w:tcPr>
            <w:tcW w:w="3771" w:type="pct"/>
          </w:tcPr>
          <w:p w:rsidR="00866D0B" w:rsidRDefault="00866D0B" w:rsidP="00866D0B">
            <w:pPr>
              <w:jc w:val="left"/>
              <w:rPr>
                <w:rFonts w:cs="Arial"/>
                <w:szCs w:val="22"/>
              </w:rPr>
            </w:pPr>
            <w:r>
              <w:rPr>
                <w:rFonts w:cs="Arial"/>
                <w:szCs w:val="22"/>
              </w:rPr>
              <w:t xml:space="preserve">Venous stasis </w:t>
            </w:r>
          </w:p>
        </w:tc>
        <w:tc>
          <w:tcPr>
            <w:tcW w:w="1229" w:type="pct"/>
          </w:tcPr>
          <w:p w:rsidR="00866D0B" w:rsidRDefault="00866D0B" w:rsidP="00866D0B">
            <w:pPr>
              <w:ind w:right="610"/>
              <w:jc w:val="right"/>
              <w:rPr>
                <w:rFonts w:cs="Arial"/>
                <w:szCs w:val="22"/>
                <w:lang w:val="en-CA"/>
              </w:rPr>
            </w:pPr>
            <w:r w:rsidRPr="00C3648C">
              <w:rPr>
                <w:rFonts w:cs="Arial"/>
                <w:szCs w:val="22"/>
              </w:rPr>
              <w:t>1.2%</w:t>
            </w:r>
          </w:p>
        </w:tc>
      </w:tr>
    </w:tbl>
    <w:p w:rsidR="000465A4" w:rsidRDefault="000465A4" w:rsidP="00DE4C8A">
      <w:pPr>
        <w:rPr>
          <w:b/>
          <w:u w:val="single"/>
          <w:lang w:val="en-CA"/>
        </w:rPr>
      </w:pPr>
    </w:p>
    <w:p w:rsidR="00DE4C8A" w:rsidRPr="009C5C4E" w:rsidRDefault="00DE4C8A" w:rsidP="009C5C4E">
      <w:r w:rsidRPr="009C5C4E">
        <w:t>Additional adverse events occurring in clinical trials with an incidence of (</w:t>
      </w:r>
      <w:r w:rsidRPr="009C5C4E">
        <w:sym w:font="Symbol" w:char="F0B3"/>
      </w:r>
      <w:r w:rsidRPr="009C5C4E">
        <w:t xml:space="preserve"> 0.01% to &lt; 1%) include the following:</w:t>
      </w:r>
    </w:p>
    <w:p w:rsidR="00DE4C8A" w:rsidRPr="009C5C4E" w:rsidRDefault="00764E71" w:rsidP="00DE4C8A">
      <w:r w:rsidRPr="00866D0B">
        <w:rPr>
          <w:i/>
        </w:rPr>
        <w:t>Cardiovascular:</w:t>
      </w:r>
      <w:r w:rsidRPr="00764E71">
        <w:t xml:space="preserve"> Hypotension</w:t>
      </w:r>
    </w:p>
    <w:p w:rsidR="00DE4C8A" w:rsidRPr="009C5C4E" w:rsidRDefault="00764E71" w:rsidP="00DE4C8A">
      <w:r w:rsidRPr="00866D0B">
        <w:rPr>
          <w:i/>
        </w:rPr>
        <w:t>Ear and labyrinth:</w:t>
      </w:r>
      <w:r w:rsidRPr="00764E71">
        <w:t xml:space="preserve"> Motion sickness</w:t>
      </w:r>
    </w:p>
    <w:p w:rsidR="00DE4C8A" w:rsidRPr="009C5C4E" w:rsidRDefault="00764E71" w:rsidP="00DE4C8A">
      <w:r w:rsidRPr="00866D0B">
        <w:rPr>
          <w:i/>
        </w:rPr>
        <w:t>Gastrointestinal:</w:t>
      </w:r>
      <w:r w:rsidRPr="00764E71">
        <w:t xml:space="preserve"> Constipation, stomatitis, dry mouth</w:t>
      </w:r>
    </w:p>
    <w:p w:rsidR="00DE4C8A" w:rsidRPr="009C5C4E" w:rsidRDefault="00764E71" w:rsidP="00DE4C8A">
      <w:r w:rsidRPr="00866D0B">
        <w:rPr>
          <w:i/>
        </w:rPr>
        <w:t>General:</w:t>
      </w:r>
      <w:r w:rsidRPr="00764E71">
        <w:t xml:space="preserve"> Pyrexia</w:t>
      </w:r>
    </w:p>
    <w:p w:rsidR="00DE4C8A" w:rsidRPr="009C5C4E" w:rsidRDefault="00764E71" w:rsidP="00DE4C8A">
      <w:r w:rsidRPr="00866D0B">
        <w:rPr>
          <w:i/>
        </w:rPr>
        <w:t>Nervous system:</w:t>
      </w:r>
      <w:r w:rsidRPr="00764E71">
        <w:t xml:space="preserve"> Sedation, myoclonus, paraesthesia, dysaesthesia, dysgeusia </w:t>
      </w:r>
    </w:p>
    <w:p w:rsidR="00DE4C8A" w:rsidRPr="009C5C4E" w:rsidRDefault="00764E71" w:rsidP="00DE4C8A">
      <w:r w:rsidRPr="00866D0B">
        <w:rPr>
          <w:i/>
        </w:rPr>
        <w:t>Psychiatric:</w:t>
      </w:r>
      <w:r w:rsidRPr="00764E71">
        <w:t xml:space="preserve"> Dependence, insomnia</w:t>
      </w:r>
    </w:p>
    <w:p w:rsidR="00DE4C8A" w:rsidRPr="009C5C4E" w:rsidRDefault="00764E71" w:rsidP="00DE4C8A">
      <w:r w:rsidRPr="00866D0B">
        <w:rPr>
          <w:i/>
        </w:rPr>
        <w:t>Respiratory, thoracic and mediastinal:</w:t>
      </w:r>
      <w:r w:rsidRPr="00764E71">
        <w:t xml:space="preserve"> Respiratory depression, epistaxis, nasal ulcer, rhinorrhea</w:t>
      </w:r>
    </w:p>
    <w:p w:rsidR="00082C05" w:rsidRPr="009C5C4E" w:rsidRDefault="00764E71" w:rsidP="009C5C4E">
      <w:r w:rsidRPr="00866D0B">
        <w:rPr>
          <w:i/>
        </w:rPr>
        <w:lastRenderedPageBreak/>
        <w:t>Skin and subcutaneous tissue:</w:t>
      </w:r>
      <w:r w:rsidR="00DE4C8A" w:rsidRPr="009C5C4E">
        <w:t xml:space="preserve"> Pain of skin, pruritus</w:t>
      </w:r>
      <w:r w:rsidR="00160E17" w:rsidRPr="009C5C4E">
        <w:t xml:space="preserve"> </w:t>
      </w:r>
    </w:p>
    <w:p w:rsidR="00DA5CF4" w:rsidRPr="0028109D" w:rsidRDefault="00DA5CF4" w:rsidP="00DA5CF4">
      <w:pPr>
        <w:spacing w:before="240" w:after="120"/>
        <w:rPr>
          <w:b/>
          <w:bCs/>
        </w:rPr>
      </w:pPr>
      <w:r w:rsidRPr="0028109D">
        <w:rPr>
          <w:b/>
          <w:bCs/>
        </w:rPr>
        <w:t>Post-marketing Experience</w:t>
      </w:r>
    </w:p>
    <w:p w:rsidR="00495155" w:rsidRPr="009C5C4E" w:rsidRDefault="00764E71" w:rsidP="009C5C4E">
      <w:r w:rsidRPr="00764E71">
        <w:t xml:space="preserve">Psychiatric: Hallucination </w:t>
      </w:r>
    </w:p>
    <w:p w:rsidR="00495155" w:rsidRPr="009C5C4E" w:rsidRDefault="00764E71" w:rsidP="009C5C4E">
      <w:r w:rsidRPr="00764E71">
        <w:t>Respiratory, thoracic and mediastinal: Nasal</w:t>
      </w:r>
      <w:r w:rsidR="00DA5CF4" w:rsidRPr="009C5C4E">
        <w:t xml:space="preserve"> septum perforation.  </w:t>
      </w:r>
    </w:p>
    <w:p w:rsidR="00DA5CF4" w:rsidRPr="009C5C4E" w:rsidRDefault="00DA5CF4" w:rsidP="009C5C4E">
      <w:r w:rsidRPr="009C5C4E">
        <w:t>Because these reactions are reported voluntarily from a population of uncertain size and are not always confirmed with a health care professional, it is not possible to reliably estimate their frequency or to establish a causal relationship to drug exposure.</w:t>
      </w:r>
    </w:p>
    <w:p w:rsidR="00B541CE" w:rsidRPr="009D7354" w:rsidRDefault="00B541CE" w:rsidP="009D7354">
      <w:pPr>
        <w:pStyle w:val="Heading1"/>
      </w:pPr>
      <w:r w:rsidRPr="009D7354">
        <w:t>Dosage and Administration</w:t>
      </w:r>
    </w:p>
    <w:p w:rsidR="0028525B" w:rsidRPr="009C5C4E" w:rsidRDefault="0028525B" w:rsidP="009C5C4E">
      <w:r w:rsidRPr="009C5C4E">
        <w:t>Treatment should be initiated by and remain under the supervision of a physician experienced in the management of opioid therapy in cancer patients</w:t>
      </w:r>
      <w:r w:rsidR="009E61D3" w:rsidRPr="009C5C4E">
        <w:t xml:space="preserve">.  </w:t>
      </w:r>
      <w:r w:rsidRPr="009C5C4E">
        <w:t>Physicians should keep in mind the potential of abuse of fentanyl.</w:t>
      </w:r>
    </w:p>
    <w:p w:rsidR="0028525B" w:rsidRPr="009C5C4E" w:rsidRDefault="0028525B" w:rsidP="009C5C4E">
      <w:r w:rsidRPr="009C5C4E">
        <w:t>Patients should be individually titrated to the dose that provides adequate analgesia with tolerable adverse drug reactions. Patients must be carefully monitored during the titration process. Titration to a higher dose necessitates contact with the health care professional.</w:t>
      </w:r>
      <w:r w:rsidR="0087289D" w:rsidRPr="009C5C4E">
        <w:t xml:space="preserve"> </w:t>
      </w:r>
      <w:r w:rsidRPr="009C5C4E">
        <w:t xml:space="preserve">The dose of </w:t>
      </w:r>
      <w:r w:rsidR="00E10B37" w:rsidRPr="009C5C4E">
        <w:t>INSTANYL</w:t>
      </w:r>
      <w:r w:rsidRPr="009C5C4E">
        <w:t xml:space="preserve"> for treatment of breakthrough pain was independent of the daily maintenance dose of opioid in the clinical studies (see </w:t>
      </w:r>
      <w:r w:rsidR="006A6DCA" w:rsidRPr="009C5C4E">
        <w:t>PHARMACOLOGY</w:t>
      </w:r>
      <w:r w:rsidRPr="009C5C4E">
        <w:t xml:space="preserve">). </w:t>
      </w:r>
    </w:p>
    <w:p w:rsidR="0028525B" w:rsidRPr="009C5C4E" w:rsidRDefault="0028525B" w:rsidP="009C5C4E">
      <w:r w:rsidRPr="009C5C4E">
        <w:t>Maximum daily dose: Treatment of up to four breakthrough pain episodes, each with no more than two doses separated by at least 10 minutes.</w:t>
      </w:r>
      <w:r w:rsidR="0087289D" w:rsidRPr="009C5C4E">
        <w:t xml:space="preserve"> </w:t>
      </w:r>
      <w:r w:rsidRPr="009C5C4E">
        <w:t xml:space="preserve">Patient should wait at least 4 hours before treating another breakthrough pain episode with </w:t>
      </w:r>
      <w:r w:rsidR="00E10B37" w:rsidRPr="009C5C4E">
        <w:t>INSTANYL</w:t>
      </w:r>
      <w:r w:rsidRPr="009C5C4E">
        <w:t xml:space="preserve"> during both titration and maintenance therapy.</w:t>
      </w:r>
      <w:r w:rsidR="00272F33">
        <w:t xml:space="preserve"> </w:t>
      </w:r>
      <w:r w:rsidR="00272F33" w:rsidRPr="00D15587">
        <w:rPr>
          <w:rFonts w:cs="Arial"/>
          <w:snapToGrid w:val="0"/>
          <w:szCs w:val="21"/>
        </w:rPr>
        <w:t>Rescue medication can be used if adequate analgesia is not achieved after use of INSTANYL.</w:t>
      </w:r>
    </w:p>
    <w:p w:rsidR="00A20E24" w:rsidRPr="009C5C4E" w:rsidRDefault="00571573">
      <w:r w:rsidRPr="009C5C4E">
        <w:t xml:space="preserve">Patients should be instructed not to use more than one fentanyl product concurrently for the treatment of </w:t>
      </w:r>
      <w:r w:rsidR="00736738" w:rsidRPr="009C5C4E">
        <w:t xml:space="preserve">BTP, and to dispose of any fentanyl product prescribed for BTP when switching to </w:t>
      </w:r>
      <w:r w:rsidR="00E10B37" w:rsidRPr="009C5C4E">
        <w:t>INSTANYL</w:t>
      </w:r>
      <w:r w:rsidR="00736738" w:rsidRPr="009C5C4E">
        <w:t>.</w:t>
      </w:r>
    </w:p>
    <w:p w:rsidR="0028525B" w:rsidRPr="00CC7022" w:rsidRDefault="0028525B" w:rsidP="00CC7022">
      <w:pPr>
        <w:pStyle w:val="Heading2"/>
      </w:pPr>
      <w:r w:rsidRPr="00CC7022">
        <w:t>Dose titration</w:t>
      </w:r>
    </w:p>
    <w:p w:rsidR="0028525B" w:rsidRPr="009C5C4E" w:rsidRDefault="0028525B" w:rsidP="009C5C4E">
      <w:r w:rsidRPr="009C5C4E">
        <w:t xml:space="preserve">Before patients are titrated with </w:t>
      </w:r>
      <w:r w:rsidR="00E10B37" w:rsidRPr="009C5C4E">
        <w:t>INSTANYL</w:t>
      </w:r>
      <w:r w:rsidRPr="009C5C4E">
        <w:t xml:space="preserve">, it is expected that their background persistent pain is controlled by use of chronic opioid therapy and that they are experiencing no more than four episodes of breakthrough pain per day. </w:t>
      </w:r>
    </w:p>
    <w:p w:rsidR="0028525B" w:rsidRPr="0087289D" w:rsidRDefault="00764E71" w:rsidP="0028525B">
      <w:pPr>
        <w:keepNext/>
        <w:spacing w:after="120"/>
        <w:rPr>
          <w:rFonts w:eastAsia="SimSun"/>
          <w:iCs/>
          <w:noProof/>
          <w:szCs w:val="22"/>
          <w:u w:val="single"/>
        </w:rPr>
      </w:pPr>
      <w:r w:rsidRPr="00764E71">
        <w:rPr>
          <w:rFonts w:eastAsia="SimSun"/>
          <w:iCs/>
          <w:noProof/>
          <w:szCs w:val="22"/>
          <w:u w:val="single"/>
        </w:rPr>
        <w:t>Method of titration</w:t>
      </w:r>
    </w:p>
    <w:p w:rsidR="00764E71" w:rsidRPr="00764E71" w:rsidRDefault="00764E71" w:rsidP="00764E71">
      <w:r w:rsidRPr="00764E71">
        <w:t>The initial strength should be one dose of 50 micrograms in one nostril.  If adequate analgesia is not obtained, redosing of the same strength may be administered at the earliest after 10 minutes in the alternate nostril. If adequate analgesia has still not yet been achieved, titrate upwards as necessary through the range of available strengths (50, 100, and 200 micrograms). Each titration step (dose strength) should be evaluated in several episodes.</w:t>
      </w:r>
    </w:p>
    <w:p w:rsidR="0028525B" w:rsidRPr="00D45C10" w:rsidRDefault="002E01E7" w:rsidP="0028525B">
      <w:pPr>
        <w:rPr>
          <w:rFonts w:eastAsia="SimSun"/>
          <w:i/>
          <w:iCs/>
          <w:noProof/>
          <w:szCs w:val="22"/>
        </w:rPr>
      </w:pPr>
      <w:r w:rsidRPr="002E01E7">
        <w:rPr>
          <w:rFonts w:eastAsia="SimSun" w:cs="Arial"/>
          <w:noProof/>
          <w:szCs w:val="22"/>
          <w:lang w:val="en-US" w:eastAsia="zh-TW"/>
        </w:rPr>
        <w:lastRenderedPageBreak/>
        <w:pict>
          <v:shapetype id="_x0000_t202" coordsize="21600,21600" o:spt="202" path="m,l,21600r21600,l21600,xe">
            <v:stroke joinstyle="miter"/>
            <v:path gradientshapeok="t" o:connecttype="rect"/>
          </v:shapetype>
          <v:shape id="_x0000_s1051" type="#_x0000_t202" style="position:absolute;left:0;text-align:left;margin-left:396pt;margin-top:90pt;width:90pt;height:2in;z-index:251662336;mso-width-relative:margin;mso-height-relative:margin">
            <v:textbox style="mso-next-textbox:#_x0000_s1051">
              <w:txbxContent>
                <w:p w:rsidR="00571C04" w:rsidRDefault="00571C04" w:rsidP="00082C05">
                  <w:pPr>
                    <w:jc w:val="left"/>
                  </w:pPr>
                  <w:r>
                    <w:t>Wait at least 4 hours</w:t>
                  </w:r>
                </w:p>
                <w:p w:rsidR="00571C04" w:rsidRDefault="00571C04" w:rsidP="00082C05">
                  <w:pPr>
                    <w:jc w:val="left"/>
                  </w:pPr>
                  <w:r w:rsidRPr="00D15587">
                    <w:rPr>
                      <w:rFonts w:cs="Arial"/>
                      <w:snapToGrid w:val="0"/>
                      <w:szCs w:val="21"/>
                    </w:rPr>
                    <w:t>Rescue medication can be used if adequate analgesia is not achieved after use of INSTANYL.</w:t>
                  </w:r>
                </w:p>
              </w:txbxContent>
            </v:textbox>
          </v:shape>
        </w:pict>
      </w:r>
      <w:r>
        <w:rPr>
          <w:rFonts w:eastAsia="SimSun"/>
          <w:i/>
          <w:iCs/>
          <w:noProof/>
          <w:szCs w:val="22"/>
        </w:rPr>
      </w:r>
      <w:r>
        <w:rPr>
          <w:rFonts w:eastAsia="SimSun"/>
          <w:i/>
          <w:iCs/>
          <w:noProof/>
          <w:szCs w:val="22"/>
        </w:rPr>
        <w:pict>
          <v:group id="_x0000_s1032" editas="canvas" style="width:441pt;height:4in;mso-position-horizontal-relative:char;mso-position-vertical-relative:line" coordorigin="1135,5722" coordsize="8820,57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1135;top:5722;width:8820;height:5760" o:preferrelative="f">
              <v:fill o:detectmouseclick="t"/>
              <v:path o:extrusionok="t" o:connecttype="none"/>
              <o:lock v:ext="edit" text="t"/>
            </v:shape>
            <v:rect id="_x0000_s1034" style="position:absolute;left:3655;top:5902;width:3780;height:540">
              <v:textbox style="mso-next-textbox:#_x0000_s1034">
                <w:txbxContent>
                  <w:p w:rsidR="00571C04" w:rsidRDefault="00571C04" w:rsidP="0028525B">
                    <w:pPr>
                      <w:jc w:val="center"/>
                      <w:rPr>
                        <w:szCs w:val="22"/>
                      </w:rPr>
                    </w:pPr>
                    <w:r>
                      <w:rPr>
                        <w:szCs w:val="22"/>
                      </w:rPr>
                      <w:t>Start at 50 micrograms</w:t>
                    </w:r>
                  </w:p>
                </w:txbxContent>
              </v:textbox>
            </v:rect>
            <v:rect id="_x0000_s1035" style="position:absolute;left:3655;top:6802;width:3780;height:720">
              <v:textbox style="mso-next-textbox:#_x0000_s1035">
                <w:txbxContent>
                  <w:p w:rsidR="00571C04" w:rsidRDefault="00571C04" w:rsidP="0028525B">
                    <w:r>
                      <w:t>- Use one dose of INSTANYL</w:t>
                    </w:r>
                  </w:p>
                  <w:p w:rsidR="00571C04" w:rsidRDefault="00571C04" w:rsidP="0028525B">
                    <w:r>
                      <w:t>- Wait 10 minutes</w:t>
                    </w:r>
                  </w:p>
                  <w:p w:rsidR="00571C04" w:rsidRDefault="00571C04" w:rsidP="0028525B">
                    <w:pPr>
                      <w:jc w:val="center"/>
                    </w:pPr>
                  </w:p>
                </w:txbxContent>
              </v:textbox>
            </v:rect>
            <v:rect id="_x0000_s1036" style="position:absolute;left:2575;top:9862;width:2520;height:540">
              <v:textbox style="mso-next-textbox:#_x0000_s1036">
                <w:txbxContent>
                  <w:p w:rsidR="00571C04" w:rsidRDefault="00571C04" w:rsidP="0028525B">
                    <w:pPr>
                      <w:jc w:val="center"/>
                      <w:rPr>
                        <w:b/>
                        <w:lang w:val="en-US"/>
                      </w:rPr>
                    </w:pPr>
                    <w:r>
                      <w:rPr>
                        <w:b/>
                        <w:lang w:val="en-US"/>
                      </w:rPr>
                      <w:t>Dose obtained</w:t>
                    </w:r>
                  </w:p>
                </w:txbxContent>
              </v:textbox>
            </v:rect>
            <v:shapetype id="_x0000_t32" coordsize="21600,21600" o:spt="32" o:oned="t" path="m,l21600,21600e" filled="f">
              <v:path arrowok="t" fillok="f" o:connecttype="none"/>
              <o:lock v:ext="edit" shapetype="t"/>
            </v:shapetype>
            <v:shape id="_x0000_s1037" type="#_x0000_t32" style="position:absolute;left:5545;top:6442;width:1;height:360" o:connectortype="straight">
              <v:stroke endarrow="block"/>
            </v:shape>
            <v:shape id="_x0000_s1038" type="#_x0000_t32" style="position:absolute;left:5545;top:7522;width:1;height:360" o:connectortype="straight">
              <v:stroke endarrow="block"/>
            </v:shape>
            <v:rect id="_x0000_s1039" style="position:absolute;left:2575;top:7882;width:5940;height:540">
              <v:textbox style="mso-next-textbox:#_x0000_s1039">
                <w:txbxContent>
                  <w:p w:rsidR="00571C04" w:rsidRDefault="00571C04" w:rsidP="0028525B">
                    <w:pPr>
                      <w:jc w:val="center"/>
                    </w:pPr>
                    <w:r>
                      <w:t>Adequate pain relief with one dose of INSTANYL</w:t>
                    </w:r>
                  </w:p>
                </w:txbxContent>
              </v:textbox>
            </v:rect>
            <v:rect id="_x0000_s1040" style="position:absolute;left:2575;top:8962;width:2520;height:540">
              <v:textbox style="mso-next-textbox:#_x0000_s1040">
                <w:txbxContent>
                  <w:p w:rsidR="00571C04" w:rsidRDefault="00571C04" w:rsidP="0028525B">
                    <w:pPr>
                      <w:jc w:val="center"/>
                      <w:rPr>
                        <w:lang w:val="en-US"/>
                      </w:rPr>
                    </w:pPr>
                    <w:r>
                      <w:rPr>
                        <w:lang w:val="en-US"/>
                      </w:rPr>
                      <w:t>Yes</w:t>
                    </w:r>
                  </w:p>
                </w:txbxContent>
              </v:textbox>
            </v:rect>
            <v:shape id="_x0000_s1041" type="#_x0000_t32" style="position:absolute;left:3835;top:8422;width:1350;height:540;flip:x" o:connectortype="straight">
              <v:stroke endarrow="block"/>
            </v:shape>
            <v:shape id="_x0000_s1042" type="#_x0000_t32" style="position:absolute;left:5905;top:8422;width:1350;height:540" o:connectortype="straight">
              <v:stroke endarrow="block"/>
            </v:shape>
            <v:rect id="_x0000_s1043" style="position:absolute;left:5995;top:8962;width:2520;height:540">
              <v:textbox style="mso-next-textbox:#_x0000_s1043">
                <w:txbxContent>
                  <w:p w:rsidR="00571C04" w:rsidRDefault="00571C04" w:rsidP="0028525B">
                    <w:pPr>
                      <w:jc w:val="center"/>
                      <w:rPr>
                        <w:lang w:val="en-US"/>
                      </w:rPr>
                    </w:pPr>
                    <w:r>
                      <w:rPr>
                        <w:lang w:val="en-US"/>
                      </w:rPr>
                      <w:t>No</w:t>
                    </w:r>
                  </w:p>
                </w:txbxContent>
              </v:textbox>
            </v:rect>
            <v:rect id="_x0000_s1044" style="position:absolute;left:5995;top:9862;width:2520;height:1493">
              <v:textbox style="mso-next-textbox:#_x0000_s1044">
                <w:txbxContent>
                  <w:p w:rsidR="00571C04" w:rsidRDefault="00571C04" w:rsidP="0028525B">
                    <w:pPr>
                      <w:jc w:val="left"/>
                      <w:rPr>
                        <w:lang w:val="en-US"/>
                      </w:rPr>
                    </w:pPr>
                    <w:r>
                      <w:rPr>
                        <w:lang w:val="en-US"/>
                      </w:rPr>
                      <w:t xml:space="preserve">Redose with same strength. </w:t>
                    </w:r>
                  </w:p>
                  <w:p w:rsidR="00571C04" w:rsidRDefault="00571C04" w:rsidP="0028525B">
                    <w:pPr>
                      <w:jc w:val="left"/>
                      <w:rPr>
                        <w:lang w:val="en-US"/>
                      </w:rPr>
                    </w:pPr>
                    <w:r>
                      <w:rPr>
                        <w:lang w:val="en-US"/>
                      </w:rPr>
                      <w:t>Consider next higher strength for next episode</w:t>
                    </w:r>
                  </w:p>
                </w:txbxContent>
              </v:textbox>
            </v:rect>
            <v:shape id="_x0000_s1045" type="#_x0000_t32" style="position:absolute;left:3835;top:9502;width:1;height:360" o:connectortype="straigh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6" type="#_x0000_t34" style="position:absolute;left:7435;top:7162;width:1080;height:3447;flip:x y" o:connectortype="elbow" adj="-7200,37730,170280">
              <v:stroke endarrow="block"/>
            </v:shape>
            <v:shape id="_x0000_s1047" type="#_x0000_t32" style="position:absolute;left:7255;top:9502;width:1;height:360" o:connectortype="straight">
              <v:stroke endarrow="block"/>
            </v:shape>
            <w10:wrap type="none"/>
            <w10:anchorlock/>
          </v:group>
        </w:pict>
      </w:r>
    </w:p>
    <w:p w:rsidR="00A20E24" w:rsidRDefault="00A20E24">
      <w:pPr>
        <w:spacing w:after="120"/>
        <w:rPr>
          <w:rFonts w:eastAsia="SimSun" w:cs="Arial"/>
          <w:noProof/>
          <w:szCs w:val="22"/>
          <w:u w:val="single"/>
        </w:rPr>
      </w:pPr>
    </w:p>
    <w:p w:rsidR="00BE68D6" w:rsidRPr="0087289D" w:rsidRDefault="00BE68D6" w:rsidP="00BE68D6">
      <w:pPr>
        <w:keepNext/>
        <w:spacing w:after="120"/>
        <w:rPr>
          <w:rFonts w:eastAsia="SimSun"/>
          <w:iCs/>
          <w:noProof/>
          <w:szCs w:val="22"/>
          <w:u w:val="single"/>
        </w:rPr>
      </w:pPr>
      <w:r w:rsidRPr="0087289D">
        <w:rPr>
          <w:rFonts w:eastAsia="SimSun"/>
          <w:iCs/>
          <w:noProof/>
          <w:szCs w:val="22"/>
          <w:u w:val="single"/>
        </w:rPr>
        <w:t>Titration in patients switching between immediate-release fentanyl containing products</w:t>
      </w:r>
    </w:p>
    <w:p w:rsidR="00764E71" w:rsidRPr="00764E71" w:rsidRDefault="00272F33" w:rsidP="00764E71">
      <w:r w:rsidRPr="00272F33">
        <w:t>Fatal respiratory depression has occurred in patients treated with immediate-release transmucosal fentanyl, including following use in opioid non-tolerant patients and improper dosing. The substitution of INSTANYL  for any other fentanyl product may result in fatal overdose. When prescribing, do not convert patients on a microgram per microgram basis from any other fentanyl products to INSTANYL.</w:t>
      </w:r>
      <w:r>
        <w:t xml:space="preserve"> </w:t>
      </w:r>
      <w:r w:rsidR="00764E71" w:rsidRPr="00764E71">
        <w:t>Substantial differences may exist in the pharmacokinetic profile of immediate-release fentanyl products, which result in clinically important differences in the rate and extent of absorption of fentanyl. Therefore, when switching between fentanyl containing products indicated for treatment of breakthrough pain, including intranasal formulations, it is essential that patients are again titrated with the new product, and not switched on a dose-for-dose (μg-for-μg) basis.</w:t>
      </w:r>
    </w:p>
    <w:p w:rsidR="0028525B" w:rsidRPr="00CC7022" w:rsidRDefault="0028525B" w:rsidP="00CC7022">
      <w:pPr>
        <w:pStyle w:val="Heading2"/>
      </w:pPr>
      <w:r w:rsidRPr="00CC7022">
        <w:t>Maintenance therapy</w:t>
      </w:r>
    </w:p>
    <w:p w:rsidR="00764E71" w:rsidRPr="00764E71" w:rsidRDefault="00764E71" w:rsidP="00764E71">
      <w:r w:rsidRPr="00764E71">
        <w:t xml:space="preserve">Once the dose has been established according to the steps described above, the patient should be maintained on this strength of INSTANYL. If the patient has insufficient pain relief, redosing with same strength can be done at the earliest after 10 minutes. </w:t>
      </w:r>
    </w:p>
    <w:p w:rsidR="0028525B" w:rsidRPr="00CC7022" w:rsidRDefault="0028525B" w:rsidP="00CC7022">
      <w:pPr>
        <w:pStyle w:val="Heading2"/>
      </w:pPr>
      <w:r w:rsidRPr="00CC7022">
        <w:t>Dose adjustment</w:t>
      </w:r>
    </w:p>
    <w:p w:rsidR="00764E71" w:rsidRPr="00764E71" w:rsidRDefault="00764E71" w:rsidP="00764E71">
      <w:r w:rsidRPr="00764E71">
        <w:t xml:space="preserve">Generally, the maintenance strength of INSTANYL should be increased when a patient requires more than one dose per breakthrough pain episode for several consecutive episodes. Dose adjustment of the background opioid therapy may be required if the patient consistently present with more than four breakthrough pain episodes per 24 hours. If adverse reactions are intolerable or persistent, the strength should be reduced or treatment with INSTANYL replaced by other analgesics. </w:t>
      </w:r>
    </w:p>
    <w:p w:rsidR="0028525B" w:rsidRPr="0028525B" w:rsidRDefault="0028525B" w:rsidP="0028525B">
      <w:pPr>
        <w:keepNext/>
        <w:spacing w:after="120"/>
        <w:rPr>
          <w:rFonts w:eastAsia="SimSun" w:cs="Arial"/>
          <w:noProof/>
          <w:szCs w:val="22"/>
        </w:rPr>
      </w:pPr>
      <w:r w:rsidRPr="0028525B">
        <w:rPr>
          <w:rFonts w:eastAsia="SimSun" w:cs="Arial"/>
          <w:noProof/>
          <w:szCs w:val="22"/>
          <w:u w:val="single"/>
        </w:rPr>
        <w:t>Discontinuation of therapy</w:t>
      </w:r>
    </w:p>
    <w:p w:rsidR="00B86DFC" w:rsidRPr="009C5C4E" w:rsidRDefault="00764E71" w:rsidP="00B86DFC">
      <w:r w:rsidRPr="00764E71">
        <w:t xml:space="preserve">INSTANYL should be discontinued immediately if the patient no longer experiences BTP episodes. The treatment for the persistent background pain should be kept as prescribed. </w:t>
      </w:r>
    </w:p>
    <w:p w:rsidR="00764E71" w:rsidRPr="00764E71" w:rsidRDefault="00764E71" w:rsidP="00764E71">
      <w:r w:rsidRPr="00764E71">
        <w:lastRenderedPageBreak/>
        <w:t>If discontinuation of all opioid therapy is required, the patient must be closely followed by the doctor as gradual downward opioid titration is necessary in order to avoid the possibility of abrupt withdrawal effects.</w:t>
      </w:r>
    </w:p>
    <w:p w:rsidR="00A20E24" w:rsidRPr="00CC7022" w:rsidRDefault="0028525B" w:rsidP="00CC7022">
      <w:pPr>
        <w:pStyle w:val="Heading2"/>
      </w:pPr>
      <w:r w:rsidRPr="00CC7022">
        <w:t>Special populations</w:t>
      </w:r>
    </w:p>
    <w:p w:rsidR="00764E71" w:rsidRPr="00764E71" w:rsidRDefault="00764E71" w:rsidP="00764E71">
      <w:pPr>
        <w:keepNext/>
        <w:spacing w:after="120"/>
        <w:rPr>
          <w:rFonts w:eastAsia="SimSun" w:cs="Arial"/>
          <w:noProof/>
          <w:szCs w:val="22"/>
          <w:u w:val="single"/>
        </w:rPr>
      </w:pPr>
      <w:r w:rsidRPr="00764E71">
        <w:rPr>
          <w:rFonts w:eastAsia="SimSun" w:cs="Arial"/>
          <w:noProof/>
          <w:szCs w:val="22"/>
          <w:u w:val="single"/>
        </w:rPr>
        <w:t>Paediatric Use</w:t>
      </w:r>
    </w:p>
    <w:p w:rsidR="00764E71" w:rsidRPr="00764E71" w:rsidRDefault="00764E71" w:rsidP="00764E71">
      <w:r w:rsidRPr="00764E71">
        <w:t>The safety and efficacy of INSTANYL in children aged below 18 years have not been established.</w:t>
      </w:r>
    </w:p>
    <w:p w:rsidR="0028525B" w:rsidRPr="0087289D" w:rsidRDefault="00764E71" w:rsidP="0028525B">
      <w:pPr>
        <w:keepNext/>
        <w:spacing w:after="120"/>
        <w:rPr>
          <w:rFonts w:eastAsia="SimSun" w:cs="Arial"/>
          <w:noProof/>
          <w:szCs w:val="22"/>
          <w:u w:val="single"/>
        </w:rPr>
      </w:pPr>
      <w:r w:rsidRPr="00764E71">
        <w:rPr>
          <w:rFonts w:eastAsia="SimSun" w:cs="Arial"/>
          <w:noProof/>
          <w:szCs w:val="22"/>
          <w:u w:val="single"/>
        </w:rPr>
        <w:t>Use in the Elderly</w:t>
      </w:r>
    </w:p>
    <w:p w:rsidR="00764E71" w:rsidRPr="00764E71" w:rsidRDefault="00764E71" w:rsidP="00764E71">
      <w:r w:rsidRPr="00764E71">
        <w:t xml:space="preserve">Limited data on pharmacokinetics, efficacy and safety are available for the use of INSTANYL in patients above </w:t>
      </w:r>
      <w:r w:rsidRPr="00764E71">
        <w:sym w:font="Symbol" w:char="F03E"/>
      </w:r>
      <w:r w:rsidRPr="00764E71">
        <w:t>65 years of age. Elderly patients may have a reduced clearance, a prolonged half-life and higher sensitivity to fentanyl than younger patients. Caution should therefore be taken in treatment of elderly, cachectic or debilitated patients.</w:t>
      </w:r>
    </w:p>
    <w:p w:rsidR="00764E71" w:rsidRPr="00764E71" w:rsidRDefault="00764E71" w:rsidP="00764E71">
      <w:r w:rsidRPr="00764E71">
        <w:t>In clinical trials elderly patients tend to titrate to a lower effective dose than patients less than 65 years of age.  Particular caution should be exercised when titrating INSTANYL in elderly patients.</w:t>
      </w:r>
    </w:p>
    <w:p w:rsidR="0028525B" w:rsidRPr="0087289D" w:rsidRDefault="00764E71" w:rsidP="0028525B">
      <w:pPr>
        <w:keepNext/>
        <w:spacing w:after="120"/>
        <w:rPr>
          <w:rFonts w:eastAsia="SimSun" w:cs="Arial"/>
          <w:noProof/>
          <w:szCs w:val="22"/>
          <w:u w:val="single"/>
        </w:rPr>
      </w:pPr>
      <w:r w:rsidRPr="00764E71">
        <w:rPr>
          <w:rFonts w:eastAsia="SimSun" w:cs="Arial"/>
          <w:noProof/>
          <w:szCs w:val="22"/>
          <w:u w:val="single"/>
        </w:rPr>
        <w:t>Hepatic impairment</w:t>
      </w:r>
    </w:p>
    <w:p w:rsidR="00764E71" w:rsidRPr="00764E71" w:rsidRDefault="00764E71" w:rsidP="00764E71">
      <w:r w:rsidRPr="00764E71">
        <w:t>INSTANYL should be administered with caution to patients with moderate to severe hepatic impairment (see PRECAUTIONS).</w:t>
      </w:r>
    </w:p>
    <w:p w:rsidR="0028525B" w:rsidRPr="0087289D" w:rsidRDefault="00764E71" w:rsidP="0028525B">
      <w:pPr>
        <w:keepNext/>
        <w:spacing w:after="120"/>
        <w:rPr>
          <w:rFonts w:eastAsia="SimSun" w:cs="Arial"/>
          <w:noProof/>
          <w:szCs w:val="22"/>
          <w:u w:val="single"/>
        </w:rPr>
      </w:pPr>
      <w:r w:rsidRPr="00764E71">
        <w:rPr>
          <w:rFonts w:eastAsia="SimSun" w:cs="Arial"/>
          <w:noProof/>
          <w:szCs w:val="22"/>
          <w:u w:val="single"/>
        </w:rPr>
        <w:t>Renal impairment</w:t>
      </w:r>
    </w:p>
    <w:p w:rsidR="00764E71" w:rsidRPr="00764E71" w:rsidRDefault="00764E71" w:rsidP="00764E71">
      <w:r w:rsidRPr="00764E71">
        <w:t>INSTANYL should be administered with caution to patients with moderate to severe renal impairment (see PRECAUTIONS).</w:t>
      </w:r>
    </w:p>
    <w:p w:rsidR="00A20E24" w:rsidRPr="00CC7022" w:rsidRDefault="0087289D" w:rsidP="00CC7022">
      <w:pPr>
        <w:pStyle w:val="Heading2"/>
      </w:pPr>
      <w:r>
        <w:t xml:space="preserve">Method of </w:t>
      </w:r>
      <w:r w:rsidR="00825679" w:rsidRPr="00CC7022">
        <w:t>Administration</w:t>
      </w:r>
    </w:p>
    <w:p w:rsidR="00764E71" w:rsidRPr="00764E71" w:rsidRDefault="00764E71" w:rsidP="00764E71">
      <w:r w:rsidRPr="00764E71">
        <w:t xml:space="preserve">INSTANYL is intended for nasal use. It is recommended that the patient sit or stand in upright position when administrating INSTANYL. </w:t>
      </w:r>
    </w:p>
    <w:p w:rsidR="0087289D" w:rsidRDefault="00E10B37" w:rsidP="00825679">
      <w:pPr>
        <w:rPr>
          <w:rFonts w:eastAsia="SimSun"/>
          <w:noProof/>
          <w:szCs w:val="22"/>
        </w:rPr>
      </w:pPr>
      <w:r>
        <w:rPr>
          <w:rFonts w:eastAsia="SimSun"/>
          <w:noProof/>
          <w:szCs w:val="22"/>
          <w:u w:val="single"/>
        </w:rPr>
        <w:t>INSTANYL</w:t>
      </w:r>
      <w:r w:rsidR="00825679" w:rsidRPr="00825679">
        <w:rPr>
          <w:rFonts w:eastAsia="SimSun"/>
          <w:noProof/>
          <w:szCs w:val="22"/>
          <w:u w:val="single"/>
        </w:rPr>
        <w:t xml:space="preserve"> single-dose nasal spray</w:t>
      </w:r>
      <w:r w:rsidR="00825679" w:rsidRPr="006F4E4A">
        <w:rPr>
          <w:rFonts w:eastAsia="SimSun"/>
          <w:noProof/>
          <w:szCs w:val="22"/>
          <w:u w:val="single"/>
        </w:rPr>
        <w:t>:</w:t>
      </w:r>
      <w:r w:rsidR="00BA3967" w:rsidRPr="00BA3967">
        <w:rPr>
          <w:rFonts w:eastAsia="SimSun"/>
          <w:noProof/>
          <w:szCs w:val="22"/>
        </w:rPr>
        <w:t xml:space="preserve"> </w:t>
      </w:r>
    </w:p>
    <w:p w:rsidR="00825679" w:rsidRPr="009C5C4E" w:rsidRDefault="00764E71" w:rsidP="00825679">
      <w:r w:rsidRPr="00764E71">
        <w:t>The nasal spray should only be removed from the child-resistant blister immediately prior to use. Each spray container contains only one dose. Do not test before use.</w:t>
      </w:r>
    </w:p>
    <w:p w:rsidR="0087289D" w:rsidRPr="0076268C" w:rsidRDefault="00E10B37" w:rsidP="004D1A52">
      <w:pPr>
        <w:rPr>
          <w:rFonts w:eastAsia="SimSun"/>
          <w:noProof/>
          <w:szCs w:val="22"/>
          <w:lang w:val="da-DK"/>
        </w:rPr>
      </w:pPr>
      <w:r w:rsidRPr="0076268C">
        <w:rPr>
          <w:rFonts w:eastAsia="SimSun"/>
          <w:noProof/>
          <w:szCs w:val="22"/>
          <w:u w:val="single"/>
          <w:lang w:val="da-DK"/>
        </w:rPr>
        <w:t>INSTANYL</w:t>
      </w:r>
      <w:r w:rsidR="00825679" w:rsidRPr="0076268C">
        <w:rPr>
          <w:rFonts w:eastAsia="SimSun"/>
          <w:noProof/>
          <w:szCs w:val="22"/>
          <w:u w:val="single"/>
          <w:lang w:val="da-DK"/>
        </w:rPr>
        <w:t xml:space="preserve"> multi-dose nasal spray:</w:t>
      </w:r>
      <w:r w:rsidR="00825679" w:rsidRPr="0076268C">
        <w:rPr>
          <w:rFonts w:eastAsia="SimSun"/>
          <w:noProof/>
          <w:szCs w:val="22"/>
          <w:lang w:val="da-DK"/>
        </w:rPr>
        <w:t xml:space="preserve"> </w:t>
      </w:r>
    </w:p>
    <w:p w:rsidR="004D1A52" w:rsidRPr="009C5C4E" w:rsidRDefault="00764E71" w:rsidP="004D1A52">
      <w:r w:rsidRPr="00764E71">
        <w:t>The nasal spray should only be removed from the child-resistant box and the protective cap removed immediately prior to use.  Before using INSTANYL multi-dose nasal spray for the first time, the nasal spray must be primed until a fine mist appears; 3 to 4 actuations of the nasal spray are usually required. During priming, aim the spray away from yourself, other people or animals.</w:t>
      </w:r>
    </w:p>
    <w:p w:rsidR="00764E71" w:rsidRPr="00764E71" w:rsidRDefault="00764E71" w:rsidP="00764E71">
      <w:r w:rsidRPr="00764E71">
        <w:t xml:space="preserve">If the product has not been used during a period of more than seven days, the nasal spray must be actuated once to waste before the next dose is taken. Cleaning of the nasal spray tip is required after each use.  The protective cap should then be replaced and the nasal spray returned to the child-resistant box. </w:t>
      </w:r>
    </w:p>
    <w:p w:rsidR="00B541CE" w:rsidRPr="009D7354" w:rsidRDefault="00B541CE" w:rsidP="009D7354">
      <w:pPr>
        <w:pStyle w:val="Heading1"/>
      </w:pPr>
      <w:r w:rsidRPr="009D7354">
        <w:t>Overdosage</w:t>
      </w:r>
    </w:p>
    <w:p w:rsidR="00764E71" w:rsidRPr="00764E71" w:rsidRDefault="00764E71" w:rsidP="00764E71">
      <w:r w:rsidRPr="00764E71">
        <w:t xml:space="preserve">The symptoms of fentanyl overdose are expected to be an extension of its pharmacological actions with the most serious significant effects being deep sedation, coma and severe respiratory depression. Other symptoms may be miosis, hypothermia, ataxia, decreased muscle tonus, lethargy, bradycardia, hypotonia, and convulsions. For management of respiratory depression immediate countermeasures should be started including physical or verbal stimulation of the patient. These actions can be followed by administration of a specific opioid antagonist such as naloxone. Respiratory depression following an overdose may outlast the duration of action of the opioid antagonist. The half-life of the antagonist may be short, therefore repeated administration or continuous infusion may be necessary. Reversal of the narcotic effect may result in acute onset of pain and release of catecholamines. If the clinical situation warrants, a patent airway should be established and maintained, possibly with an oropharyngeal airway or endotracheal tube and </w:t>
      </w:r>
      <w:r w:rsidRPr="00764E71">
        <w:lastRenderedPageBreak/>
        <w:t>oxygen should be administered and respiration assisted or controlled, as appropriate. Adequate body temperature and fluid intake should be maintained. If severe or persistent hypotension occurs, hypovolemia should be considered and the condition should be managed with appropiate parenteral fluid therapy.</w:t>
      </w:r>
    </w:p>
    <w:p w:rsidR="00764E71" w:rsidRDefault="00764E71" w:rsidP="00764E71">
      <w:r w:rsidRPr="00764E71">
        <w:t>For information on the management of overdose, contact the Poison Information Centre on 131126 (Australia).</w:t>
      </w:r>
    </w:p>
    <w:p w:rsidR="00B541CE" w:rsidRPr="009D7354" w:rsidRDefault="00B541CE" w:rsidP="009D7354">
      <w:pPr>
        <w:pStyle w:val="Heading1"/>
      </w:pPr>
      <w:r w:rsidRPr="009D7354">
        <w:t>Presentation and Storage Conditions</w:t>
      </w:r>
    </w:p>
    <w:p w:rsidR="00764E71" w:rsidRDefault="00764E71" w:rsidP="00764E71">
      <w:r w:rsidRPr="00764E71">
        <w:t xml:space="preserve">INSTANYL nasal spray is available as either single-dose or multi-dose packs with 50, 100 or 200 micrograms per actuation of fentanyl (as fentanyl citrate).  </w:t>
      </w:r>
    </w:p>
    <w:p w:rsidR="00764E71" w:rsidRPr="00764E71" w:rsidRDefault="00764E71" w:rsidP="00764E71">
      <w:r w:rsidRPr="00764E71">
        <w:t>The single-dose nasal spray consists of a glass vial integrated in a plastic spray container, packed in a child-resistant blister in pack sizes of 2, 6, 8 and 10</w:t>
      </w:r>
      <w:r w:rsidR="002A1418">
        <w:t>’</w:t>
      </w:r>
      <w:r w:rsidRPr="00764E71">
        <w:t xml:space="preserve">s.  </w:t>
      </w:r>
      <w:r w:rsidR="002A1418" w:rsidRPr="00764E71">
        <w:t xml:space="preserve">Not all pack sizes may be marketed. </w:t>
      </w:r>
    </w:p>
    <w:p w:rsidR="00764E71" w:rsidRPr="00764E71" w:rsidRDefault="00764E71" w:rsidP="00764E71">
      <w:r w:rsidRPr="00764E71">
        <w:t xml:space="preserve">The multi-dose nasal spray consists of a glass bottle with metering pump and dust cap packed in a child-resistant outer box and </w:t>
      </w:r>
      <w:r w:rsidR="006E11DB">
        <w:t>contains</w:t>
      </w:r>
      <w:r w:rsidR="006E11DB" w:rsidRPr="00764E71">
        <w:t xml:space="preserve"> </w:t>
      </w:r>
      <w:r w:rsidRPr="00764E71">
        <w:t>10</w:t>
      </w:r>
      <w:r w:rsidR="002A1418">
        <w:t xml:space="preserve"> </w:t>
      </w:r>
      <w:r w:rsidRPr="00764E71">
        <w:t>doses per bottle.</w:t>
      </w:r>
      <w:r w:rsidR="002A1418">
        <w:t xml:space="preserve"> </w:t>
      </w:r>
      <w:r w:rsidR="004F303E">
        <w:t>N</w:t>
      </w:r>
      <w:r w:rsidR="002A1418" w:rsidRPr="00764E71">
        <w:t xml:space="preserve">ot </w:t>
      </w:r>
      <w:r w:rsidR="00B83FFD">
        <w:t xml:space="preserve">currently </w:t>
      </w:r>
      <w:r w:rsidR="002A1418" w:rsidRPr="00764E71">
        <w:t>marketed.</w:t>
      </w:r>
    </w:p>
    <w:p w:rsidR="00764E71" w:rsidRDefault="00D8023E" w:rsidP="00764E71">
      <w:pPr>
        <w:pStyle w:val="Heading2"/>
      </w:pPr>
      <w:r>
        <w:t>Storage Conditions</w:t>
      </w:r>
    </w:p>
    <w:p w:rsidR="00D8023E" w:rsidRPr="0076268C" w:rsidRDefault="001B24F2" w:rsidP="00D8023E">
      <w:pPr>
        <w:spacing w:after="120"/>
        <w:rPr>
          <w:rFonts w:cs="Arial"/>
          <w:szCs w:val="22"/>
          <w:lang w:val="en-US"/>
        </w:rPr>
      </w:pPr>
      <w:r w:rsidRPr="0076268C">
        <w:rPr>
          <w:rFonts w:cs="Arial"/>
          <w:szCs w:val="22"/>
          <w:u w:val="single"/>
          <w:lang w:val="en-US"/>
        </w:rPr>
        <w:t>S</w:t>
      </w:r>
      <w:r w:rsidR="00D8023E" w:rsidRPr="0076268C">
        <w:rPr>
          <w:rFonts w:cs="Arial"/>
          <w:szCs w:val="22"/>
          <w:u w:val="single"/>
          <w:lang w:val="en-US"/>
        </w:rPr>
        <w:t>ingle-dose nasal spray</w:t>
      </w:r>
      <w:r w:rsidR="00D8023E" w:rsidRPr="0076268C">
        <w:rPr>
          <w:rFonts w:cs="Arial"/>
          <w:szCs w:val="22"/>
          <w:lang w:val="en-US"/>
        </w:rPr>
        <w:t>:</w:t>
      </w:r>
    </w:p>
    <w:p w:rsidR="00764E71" w:rsidRDefault="00764E71" w:rsidP="00764E71">
      <w:r w:rsidRPr="00764E71">
        <w:t>INSTANYL 50, 100 and 200 microgram: Store below 25</w:t>
      </w:r>
      <w:r w:rsidR="00911D1D" w:rsidRPr="00764E71">
        <w:t>º</w:t>
      </w:r>
      <w:r w:rsidRPr="00764E71">
        <w:t xml:space="preserve">C.  </w:t>
      </w:r>
    </w:p>
    <w:p w:rsidR="00DF0D4A" w:rsidRPr="0076268C" w:rsidRDefault="001B24F2" w:rsidP="006F4370">
      <w:pPr>
        <w:spacing w:after="120"/>
        <w:rPr>
          <w:rFonts w:cs="Arial"/>
          <w:szCs w:val="22"/>
          <w:lang w:val="en-US"/>
        </w:rPr>
      </w:pPr>
      <w:r w:rsidRPr="0076268C">
        <w:rPr>
          <w:rFonts w:cs="Arial"/>
          <w:szCs w:val="22"/>
          <w:u w:val="single"/>
          <w:lang w:val="en-US"/>
        </w:rPr>
        <w:t>M</w:t>
      </w:r>
      <w:r w:rsidR="00BA3967" w:rsidRPr="0076268C">
        <w:rPr>
          <w:rFonts w:cs="Arial"/>
          <w:szCs w:val="22"/>
          <w:u w:val="single"/>
          <w:lang w:val="en-US"/>
        </w:rPr>
        <w:t>ulti-dose nasal spray</w:t>
      </w:r>
      <w:r w:rsidR="00DF0D4A" w:rsidRPr="0076268C">
        <w:rPr>
          <w:rFonts w:cs="Arial"/>
          <w:szCs w:val="22"/>
          <w:lang w:val="en-US"/>
        </w:rPr>
        <w:t>:</w:t>
      </w:r>
    </w:p>
    <w:p w:rsidR="00764E71" w:rsidRDefault="00764E71" w:rsidP="00764E71">
      <w:r w:rsidRPr="00764E71">
        <w:t>INSTANYL 50</w:t>
      </w:r>
      <w:r w:rsidR="007A72F2">
        <w:t>,</w:t>
      </w:r>
      <w:r w:rsidRPr="00764E71">
        <w:t xml:space="preserve"> </w:t>
      </w:r>
      <w:r w:rsidR="007A72F2" w:rsidRPr="00AE3D66">
        <w:t xml:space="preserve">100 and 200 </w:t>
      </w:r>
      <w:r w:rsidRPr="00764E71">
        <w:t xml:space="preserve">microgram: Store below 25ºC.  </w:t>
      </w:r>
      <w:r w:rsidR="00CB59C2">
        <w:t>D</w:t>
      </w:r>
      <w:r w:rsidRPr="00764E71">
        <w:t xml:space="preserve">o not freeze.  </w:t>
      </w:r>
      <w:r w:rsidR="00CB59C2">
        <w:t>INSTANYL multi-dose nasal spray should be s</w:t>
      </w:r>
      <w:r w:rsidR="00CB59C2" w:rsidRPr="00CB59C2">
        <w:t xml:space="preserve">tored in an upright position and consumed within 2 months of </w:t>
      </w:r>
      <w:r w:rsidR="000F45F5">
        <w:t>opening</w:t>
      </w:r>
      <w:r w:rsidR="00CB59C2">
        <w:t>.</w:t>
      </w:r>
    </w:p>
    <w:p w:rsidR="00464AF6" w:rsidRPr="00CC7022" w:rsidRDefault="00BA3967" w:rsidP="00CC7022">
      <w:pPr>
        <w:pStyle w:val="Heading2"/>
      </w:pPr>
      <w:r w:rsidRPr="00CC7022">
        <w:t xml:space="preserve">Special </w:t>
      </w:r>
      <w:r w:rsidR="00A0239D" w:rsidRPr="00CC7022">
        <w:t>p</w:t>
      </w:r>
      <w:r w:rsidRPr="00CC7022">
        <w:t>recautions for disposal</w:t>
      </w:r>
    </w:p>
    <w:p w:rsidR="00A20E24" w:rsidRPr="00826F09" w:rsidRDefault="00764E71" w:rsidP="00FD71C2">
      <w:r w:rsidRPr="00764E71">
        <w:t>INSTANYL can be harmful to other people, especially children.  Because of the possible misuse of fentanyl and the possible amount of solution left, INSTANYL should be disposed of in the following way:</w:t>
      </w:r>
    </w:p>
    <w:p w:rsidR="009878CE" w:rsidRDefault="00E10B37" w:rsidP="003A5976">
      <w:pPr>
        <w:keepNext/>
        <w:rPr>
          <w:rFonts w:eastAsia="SimSun"/>
          <w:noProof/>
          <w:szCs w:val="22"/>
          <w:u w:val="single"/>
        </w:rPr>
      </w:pPr>
      <w:r>
        <w:rPr>
          <w:rFonts w:eastAsia="SimSun"/>
          <w:noProof/>
          <w:szCs w:val="22"/>
          <w:u w:val="single"/>
        </w:rPr>
        <w:t>INSTANYL</w:t>
      </w:r>
      <w:r w:rsidR="001D3ED8" w:rsidRPr="00AA5E58">
        <w:rPr>
          <w:rFonts w:eastAsia="SimSun"/>
          <w:noProof/>
          <w:szCs w:val="22"/>
          <w:u w:val="single"/>
        </w:rPr>
        <w:t xml:space="preserve"> single-dose nasal spray</w:t>
      </w:r>
      <w:r w:rsidR="00BA3967" w:rsidRPr="00BA3967">
        <w:rPr>
          <w:rFonts w:eastAsia="SimSun"/>
          <w:noProof/>
          <w:szCs w:val="22"/>
        </w:rPr>
        <w:t>:</w:t>
      </w:r>
    </w:p>
    <w:p w:rsidR="009878CE" w:rsidRPr="00826F09" w:rsidRDefault="00764E71" w:rsidP="00FD71C2">
      <w:r w:rsidRPr="00764E71">
        <w:t>Unused nasal spray solutions: Any unused nasal sprays should be returned in the child-resistant blister to the pharmacy.</w:t>
      </w:r>
    </w:p>
    <w:p w:rsidR="00AA5E58" w:rsidRPr="00826F09" w:rsidRDefault="00764E71" w:rsidP="00FD71C2">
      <w:r w:rsidRPr="00764E71">
        <w:t>Used nasal spray solutions:  The used nasal spray bottles should be disposed of carefully.</w:t>
      </w:r>
    </w:p>
    <w:p w:rsidR="00AA5E58" w:rsidRPr="00202112" w:rsidRDefault="00E10B37" w:rsidP="003A5976">
      <w:pPr>
        <w:keepNext/>
        <w:rPr>
          <w:rFonts w:eastAsia="SimSun"/>
          <w:noProof/>
          <w:u w:val="single"/>
          <w:lang w:val="da-DK"/>
        </w:rPr>
      </w:pPr>
      <w:r>
        <w:rPr>
          <w:rFonts w:eastAsia="SimSun"/>
          <w:noProof/>
          <w:u w:val="single"/>
          <w:lang w:val="da-DK"/>
        </w:rPr>
        <w:t>INSTANYL</w:t>
      </w:r>
      <w:r w:rsidR="00BA3967" w:rsidRPr="00202112">
        <w:rPr>
          <w:rFonts w:eastAsia="SimSun"/>
          <w:noProof/>
          <w:u w:val="single"/>
          <w:lang w:val="da-DK"/>
        </w:rPr>
        <w:t xml:space="preserve"> multi-dose nasal spray:</w:t>
      </w:r>
    </w:p>
    <w:p w:rsidR="006E11DB" w:rsidRDefault="006E11DB" w:rsidP="006E11DB">
      <w:r>
        <w:t>Patients and caregivers must be instructed to properly dispose of all partially used and used bottles. The patient should be instructed how to do this correctly.</w:t>
      </w:r>
    </w:p>
    <w:p w:rsidR="006E11DB" w:rsidRDefault="006E11DB" w:rsidP="006E11DB">
      <w:pPr>
        <w:pStyle w:val="ListParagraph"/>
        <w:numPr>
          <w:ilvl w:val="0"/>
          <w:numId w:val="35"/>
        </w:numPr>
      </w:pPr>
      <w:r>
        <w:t xml:space="preserve">If there are any unwanted </w:t>
      </w:r>
      <w:r w:rsidR="001D3AB2">
        <w:t>doses</w:t>
      </w:r>
      <w:r>
        <w:t xml:space="preserve"> remaining in the bottle, instruct the patient to expel these by aiming the </w:t>
      </w:r>
      <w:r w:rsidR="001D3AB2">
        <w:t xml:space="preserve">nasal </w:t>
      </w:r>
      <w:r>
        <w:t xml:space="preserve">spray away from themselves (and any other people or animals) until there are no more </w:t>
      </w:r>
      <w:r w:rsidR="001D3AB2">
        <w:t>doses</w:t>
      </w:r>
      <w:r>
        <w:t xml:space="preserve"> obtainable from the bottle.</w:t>
      </w:r>
    </w:p>
    <w:p w:rsidR="0029762C" w:rsidRDefault="006E11DB" w:rsidP="006E11DB">
      <w:pPr>
        <w:pStyle w:val="ListParagraph"/>
        <w:numPr>
          <w:ilvl w:val="0"/>
          <w:numId w:val="35"/>
        </w:numPr>
      </w:pPr>
      <w:r>
        <w:t xml:space="preserve">The patient and caregiver must be instructed to continue to store the </w:t>
      </w:r>
      <w:r w:rsidR="001D3AB2">
        <w:t>Instanyl nasal spray</w:t>
      </w:r>
      <w:r>
        <w:t xml:space="preserve"> bottle</w:t>
      </w:r>
      <w:r w:rsidR="0029762C">
        <w:t xml:space="preserve"> </w:t>
      </w:r>
      <w:r>
        <w:t>in the specially provided child-resistant container out of the reach of children until</w:t>
      </w:r>
      <w:r w:rsidR="0029762C">
        <w:t xml:space="preserve"> </w:t>
      </w:r>
      <w:r>
        <w:t>proper disposal, as described above, is possible.</w:t>
      </w:r>
    </w:p>
    <w:p w:rsidR="00FD71C2" w:rsidRPr="00826F09" w:rsidRDefault="00764E71" w:rsidP="0029762C">
      <w:r w:rsidRPr="00764E71">
        <w:t>Any used and unused multi-dose nasal sprays must be returned in the child-resistant outer box to the pharmacy.</w:t>
      </w:r>
      <w:r w:rsidR="00826F09">
        <w:t xml:space="preserve"> </w:t>
      </w:r>
      <w:r w:rsidRPr="00764E71">
        <w:t>The patient and caregiver must be instructed to continue to store the INSTANYL nasal sprays in the child-resistant container (box for multi-dose spray and blister for single-dose spray) out of the reach of children until proper disposal, as described above, is possible.</w:t>
      </w:r>
    </w:p>
    <w:p w:rsidR="00E13E95" w:rsidRDefault="00764E71" w:rsidP="003817F6">
      <w:r w:rsidRPr="00764E71">
        <w:t>As soon as INSTANYL is no longer needed, patients and members of their household must be advised to systematically dispose of any nasal sprays remaining from a prescription as soon as possible by returning them in their child-resistant container to the pharmacy.</w:t>
      </w:r>
    </w:p>
    <w:p w:rsidR="00E13E95" w:rsidRDefault="00E13E95">
      <w:pPr>
        <w:spacing w:after="0"/>
        <w:jc w:val="left"/>
      </w:pPr>
      <w:r>
        <w:br w:type="page"/>
      </w:r>
    </w:p>
    <w:p w:rsidR="00B541CE" w:rsidRPr="009D7354" w:rsidRDefault="00B541CE" w:rsidP="009D7354">
      <w:pPr>
        <w:pStyle w:val="Heading1"/>
      </w:pPr>
      <w:r w:rsidRPr="009D7354">
        <w:lastRenderedPageBreak/>
        <w:t>Name and Address of the Sponsor</w:t>
      </w:r>
    </w:p>
    <w:p w:rsidR="00764E71" w:rsidRDefault="00A31D42" w:rsidP="00764E71">
      <w:r w:rsidRPr="00826F09">
        <w:t>Takeda Pharmaceuticals Australia</w:t>
      </w:r>
      <w:r w:rsidR="00764E71" w:rsidRPr="00764E71">
        <w:t xml:space="preserve"> Pty Ltd</w:t>
      </w:r>
    </w:p>
    <w:p w:rsidR="00764E71" w:rsidRDefault="00764E71" w:rsidP="00764E71">
      <w:r w:rsidRPr="00764E71">
        <w:t>2-4 Lyonpark Rd</w:t>
      </w:r>
    </w:p>
    <w:p w:rsidR="00764E71" w:rsidRDefault="00764E71" w:rsidP="00764E71">
      <w:r w:rsidRPr="00764E71">
        <w:t xml:space="preserve">Macquarie Park </w:t>
      </w:r>
    </w:p>
    <w:p w:rsidR="00764E71" w:rsidRPr="00764E71" w:rsidRDefault="00764E71" w:rsidP="00764E71">
      <w:r w:rsidRPr="00764E71">
        <w:t>NSW 2113</w:t>
      </w:r>
    </w:p>
    <w:p w:rsidR="00B541CE" w:rsidRPr="009D7354" w:rsidRDefault="00B541CE" w:rsidP="009D7354">
      <w:pPr>
        <w:pStyle w:val="Heading1"/>
      </w:pPr>
      <w:r w:rsidRPr="009D7354">
        <w:t>Poison Schedule of the Medicine</w:t>
      </w:r>
    </w:p>
    <w:p w:rsidR="00764E71" w:rsidRDefault="0020288E" w:rsidP="00764E71">
      <w:r w:rsidRPr="00826F09">
        <w:t>Schedule 8</w:t>
      </w:r>
    </w:p>
    <w:p w:rsidR="00B541CE" w:rsidRPr="009D7354" w:rsidRDefault="00B541CE" w:rsidP="009D7354">
      <w:pPr>
        <w:pStyle w:val="Heading1"/>
      </w:pPr>
      <w:r w:rsidRPr="009D7354">
        <w:t xml:space="preserve">Date of </w:t>
      </w:r>
      <w:r w:rsidR="00160E17" w:rsidRPr="009D7354">
        <w:t>FIRST INCLUSION IN THE ARTG</w:t>
      </w:r>
    </w:p>
    <w:p w:rsidR="00764E71" w:rsidRDefault="006B5A3F" w:rsidP="00764E71">
      <w:r>
        <w:t>17 June 2013</w:t>
      </w:r>
    </w:p>
    <w:sectPr w:rsidR="00764E71" w:rsidSect="00273440">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C04" w:rsidRDefault="00571C04">
      <w:r>
        <w:separator/>
      </w:r>
    </w:p>
  </w:endnote>
  <w:endnote w:type="continuationSeparator" w:id="0">
    <w:p w:rsidR="00571C04" w:rsidRDefault="00571C0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D85" w:rsidRDefault="00213D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60" w:type="dxa"/>
      <w:tblBorders>
        <w:top w:val="single" w:sz="4" w:space="0" w:color="auto"/>
      </w:tblBorders>
      <w:tblLook w:val="0000"/>
    </w:tblPr>
    <w:tblGrid>
      <w:gridCol w:w="4219"/>
      <w:gridCol w:w="3274"/>
      <w:gridCol w:w="3267"/>
    </w:tblGrid>
    <w:tr w:rsidR="00571C04" w:rsidTr="00816494">
      <w:tc>
        <w:tcPr>
          <w:tcW w:w="4219" w:type="dxa"/>
        </w:tcPr>
        <w:p w:rsidR="00571C04" w:rsidRDefault="00571C04" w:rsidP="006B5A3F">
          <w:pPr>
            <w:pStyle w:val="Footer"/>
            <w:tabs>
              <w:tab w:val="right" w:pos="-1843"/>
              <w:tab w:val="center" w:pos="4962"/>
              <w:tab w:val="right" w:pos="9923"/>
              <w:tab w:val="right" w:pos="10632"/>
            </w:tabs>
            <w:jc w:val="left"/>
            <w:rPr>
              <w:rStyle w:val="PageNumber"/>
              <w:bCs/>
              <w:i/>
              <w:iCs/>
              <w:sz w:val="16"/>
            </w:rPr>
          </w:pPr>
          <w:r>
            <w:rPr>
              <w:bCs/>
              <w:i/>
              <w:iCs/>
            </w:rPr>
            <w:t>INSTANYL</w:t>
          </w:r>
        </w:p>
      </w:tc>
      <w:tc>
        <w:tcPr>
          <w:tcW w:w="3274" w:type="dxa"/>
        </w:tcPr>
        <w:p w:rsidR="00571C04" w:rsidRDefault="00571C04" w:rsidP="00CB59C2">
          <w:pPr>
            <w:pStyle w:val="Footer"/>
            <w:tabs>
              <w:tab w:val="right" w:pos="-1843"/>
              <w:tab w:val="center" w:pos="4962"/>
              <w:tab w:val="right" w:pos="9923"/>
              <w:tab w:val="right" w:pos="10632"/>
            </w:tabs>
            <w:jc w:val="center"/>
            <w:rPr>
              <w:rStyle w:val="PageNumber"/>
              <w:bCs/>
              <w:i/>
              <w:iCs/>
            </w:rPr>
          </w:pPr>
          <w:r w:rsidRPr="00637FAE">
            <w:rPr>
              <w:rStyle w:val="PageNumber"/>
              <w:bCs/>
              <w:i/>
              <w:iCs/>
            </w:rPr>
            <w:t>version</w:t>
          </w:r>
          <w:r>
            <w:rPr>
              <w:rStyle w:val="PageNumber"/>
              <w:bCs/>
              <w:i/>
              <w:iCs/>
            </w:rPr>
            <w:t xml:space="preserve"> 1.0</w:t>
          </w:r>
        </w:p>
      </w:tc>
      <w:tc>
        <w:tcPr>
          <w:tcW w:w="3267" w:type="dxa"/>
        </w:tcPr>
        <w:p w:rsidR="00571C04" w:rsidRDefault="00571C04" w:rsidP="006B5A3F">
          <w:pPr>
            <w:pStyle w:val="Footer"/>
            <w:tabs>
              <w:tab w:val="right" w:pos="-1843"/>
              <w:tab w:val="center" w:pos="4962"/>
              <w:tab w:val="right" w:pos="9923"/>
              <w:tab w:val="right" w:pos="10632"/>
            </w:tabs>
            <w:jc w:val="center"/>
            <w:rPr>
              <w:rStyle w:val="PageNumber"/>
              <w:bCs/>
              <w:i/>
              <w:iCs/>
              <w:highlight w:val="yellow"/>
            </w:rPr>
          </w:pPr>
          <w:r>
            <w:rPr>
              <w:bCs/>
              <w:i/>
              <w:iCs/>
            </w:rPr>
            <w:t xml:space="preserve">Page </w:t>
          </w:r>
          <w:r w:rsidR="002E01E7">
            <w:rPr>
              <w:rStyle w:val="PageNumber"/>
              <w:i/>
              <w:iCs/>
            </w:rPr>
            <w:fldChar w:fldCharType="begin"/>
          </w:r>
          <w:r>
            <w:rPr>
              <w:rStyle w:val="PageNumber"/>
              <w:i/>
              <w:iCs/>
            </w:rPr>
            <w:instrText xml:space="preserve"> PAGE </w:instrText>
          </w:r>
          <w:r w:rsidR="002E01E7">
            <w:rPr>
              <w:rStyle w:val="PageNumber"/>
              <w:i/>
              <w:iCs/>
            </w:rPr>
            <w:fldChar w:fldCharType="separate"/>
          </w:r>
          <w:r w:rsidR="0069397A">
            <w:rPr>
              <w:rStyle w:val="PageNumber"/>
              <w:i/>
              <w:iCs/>
              <w:noProof/>
            </w:rPr>
            <w:t>1</w:t>
          </w:r>
          <w:r w:rsidR="002E01E7">
            <w:rPr>
              <w:rStyle w:val="PageNumber"/>
              <w:i/>
              <w:iCs/>
            </w:rPr>
            <w:fldChar w:fldCharType="end"/>
          </w:r>
          <w:r>
            <w:rPr>
              <w:bCs/>
              <w:i/>
              <w:iCs/>
            </w:rPr>
            <w:t xml:space="preserve"> </w:t>
          </w:r>
        </w:p>
      </w:tc>
    </w:tr>
  </w:tbl>
  <w:p w:rsidR="00571C04" w:rsidRDefault="00571C04">
    <w:pPr>
      <w:pStyle w:val="Footer"/>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D85" w:rsidRDefault="00213D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C04" w:rsidRDefault="00571C04">
      <w:r>
        <w:separator/>
      </w:r>
    </w:p>
  </w:footnote>
  <w:footnote w:type="continuationSeparator" w:id="0">
    <w:p w:rsidR="00571C04" w:rsidRDefault="00571C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D85" w:rsidRDefault="00213D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D85" w:rsidRPr="00D361CA" w:rsidRDefault="00213D85" w:rsidP="00213D85">
    <w:pPr>
      <w:pBdr>
        <w:top w:val="single" w:sz="4" w:space="1" w:color="auto"/>
        <w:left w:val="single" w:sz="4" w:space="4" w:color="auto"/>
        <w:bottom w:val="single" w:sz="4" w:space="1" w:color="auto"/>
        <w:right w:val="single" w:sz="4" w:space="4" w:color="auto"/>
      </w:pBdr>
      <w:shd w:val="clear" w:color="auto" w:fill="E4F2E0"/>
      <w:spacing w:before="40" w:after="40"/>
      <w:rPr>
        <w:b/>
        <w:sz w:val="20"/>
      </w:rPr>
    </w:pPr>
    <w:r w:rsidRPr="00D361CA">
      <w:rPr>
        <w:b/>
        <w:sz w:val="20"/>
      </w:rPr>
      <w:t xml:space="preserve">Attachment 1: Product information for </w:t>
    </w:r>
    <w:proofErr w:type="spellStart"/>
    <w:r w:rsidRPr="00213D85">
      <w:rPr>
        <w:b/>
        <w:sz w:val="20"/>
      </w:rPr>
      <w:t>AusPAR</w:t>
    </w:r>
    <w:proofErr w:type="spellEnd"/>
    <w:r w:rsidRPr="00213D85">
      <w:rPr>
        <w:b/>
        <w:sz w:val="20"/>
      </w:rPr>
      <w:t xml:space="preserve"> </w:t>
    </w:r>
    <w:proofErr w:type="spellStart"/>
    <w:r w:rsidRPr="00213D85">
      <w:rPr>
        <w:b/>
        <w:sz w:val="20"/>
      </w:rPr>
      <w:t>Instanyl</w:t>
    </w:r>
    <w:proofErr w:type="spellEnd"/>
    <w:r w:rsidRPr="00213D85">
      <w:rPr>
        <w:b/>
        <w:sz w:val="20"/>
      </w:rPr>
      <w:t xml:space="preserve"> Takeda Pharmaceuticals Australia Pty Ltd PM-2012-00804-3-1</w:t>
    </w:r>
    <w:r>
      <w:rPr>
        <w:b/>
        <w:sz w:val="20"/>
      </w:rPr>
      <w:t xml:space="preserve">, </w:t>
    </w:r>
    <w:r w:rsidRPr="00213D85">
      <w:rPr>
        <w:b/>
        <w:sz w:val="20"/>
      </w:rPr>
      <w:t>Final 11 November 2013</w:t>
    </w:r>
    <w:r w:rsidRPr="00D361CA">
      <w:rPr>
        <w:b/>
        <w:sz w:val="20"/>
      </w:rPr>
      <w:t xml:space="preserve">. This Product Information was approved at the time this </w:t>
    </w:r>
    <w:proofErr w:type="spellStart"/>
    <w:r w:rsidRPr="00D361CA">
      <w:rPr>
        <w:b/>
        <w:sz w:val="20"/>
      </w:rPr>
      <w:t>AusPAR</w:t>
    </w:r>
    <w:proofErr w:type="spellEnd"/>
    <w:r w:rsidRPr="00D361CA">
      <w:rPr>
        <w:b/>
        <w:sz w:val="20"/>
      </w:rPr>
      <w:t xml:space="preserve"> was published.</w:t>
    </w:r>
  </w:p>
  <w:p w:rsidR="00213D85" w:rsidRDefault="00213D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D85" w:rsidRDefault="00213D8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7B8E5E6"/>
    <w:lvl w:ilvl="0">
      <w:start w:val="1"/>
      <w:numFmt w:val="decimal"/>
      <w:pStyle w:val="ListNumber"/>
      <w:lvlText w:val="%1."/>
      <w:lvlJc w:val="left"/>
      <w:pPr>
        <w:tabs>
          <w:tab w:val="num" w:pos="360"/>
        </w:tabs>
        <w:ind w:left="360" w:hanging="360"/>
      </w:pPr>
      <w:rPr>
        <w:rFonts w:ascii="Arial" w:hAnsi="Arial" w:hint="default"/>
        <w:b w:val="0"/>
        <w:i w:val="0"/>
        <w:sz w:val="22"/>
      </w:rPr>
    </w:lvl>
  </w:abstractNum>
  <w:abstractNum w:abstractNumId="1">
    <w:nsid w:val="FFFFFF89"/>
    <w:multiLevelType w:val="singleLevel"/>
    <w:tmpl w:val="4C466B7A"/>
    <w:lvl w:ilvl="0">
      <w:start w:val="1"/>
      <w:numFmt w:val="bullet"/>
      <w:pStyle w:val="ListBullet"/>
      <w:lvlText w:val=""/>
      <w:lvlJc w:val="left"/>
      <w:pPr>
        <w:tabs>
          <w:tab w:val="num" w:pos="360"/>
        </w:tabs>
        <w:ind w:left="340" w:hanging="340"/>
      </w:pPr>
      <w:rPr>
        <w:rFonts w:ascii="Symbol" w:hAnsi="Symbol" w:hint="default"/>
      </w:rPr>
    </w:lvl>
  </w:abstractNum>
  <w:abstractNum w:abstractNumId="2">
    <w:nsid w:val="222F13B1"/>
    <w:multiLevelType w:val="hybridMultilevel"/>
    <w:tmpl w:val="59AC881C"/>
    <w:lvl w:ilvl="0" w:tplc="8280C97C">
      <w:start w:val="1"/>
      <w:numFmt w:val="lowerLetter"/>
      <w:pStyle w:val="List2"/>
      <w:lvlText w:val="%1."/>
      <w:lvlJc w:val="left"/>
      <w:pPr>
        <w:tabs>
          <w:tab w:val="num" w:pos="360"/>
        </w:tabs>
        <w:ind w:left="340" w:hanging="340"/>
      </w:pPr>
      <w:rPr>
        <w:rFonts w:ascii="Arial" w:hAnsi="Arial" w:hint="default"/>
        <w:b w:val="0"/>
        <w:i w:val="0"/>
        <w:caps w:val="0"/>
        <w:strike w:val="0"/>
        <w:dstrike w:val="0"/>
        <w:outline w:val="0"/>
        <w:shadow w:val="0"/>
        <w:emboss w:val="0"/>
        <w:imprint w:val="0"/>
        <w:vanish w:val="0"/>
        <w:color w:val="auto"/>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771114"/>
    <w:multiLevelType w:val="hybridMultilevel"/>
    <w:tmpl w:val="BB6CBD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C93867"/>
    <w:multiLevelType w:val="hybridMultilevel"/>
    <w:tmpl w:val="F7C83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AF65CF9"/>
    <w:multiLevelType w:val="hybridMultilevel"/>
    <w:tmpl w:val="0B32ED88"/>
    <w:lvl w:ilvl="0" w:tplc="22104444">
      <w:start w:val="1"/>
      <w:numFmt w:val="lowerLetter"/>
      <w:lvlText w:val="%1."/>
      <w:lvlJc w:val="left"/>
      <w:pPr>
        <w:tabs>
          <w:tab w:val="num" w:pos="360"/>
        </w:tabs>
        <w:ind w:left="340" w:hanging="340"/>
      </w:pPr>
      <w:rPr>
        <w:rFonts w:ascii="Arial" w:hAnsi="Arial" w:hint="default"/>
        <w:b w:val="0"/>
        <w:i w:val="0"/>
        <w:caps w:val="0"/>
        <w:strike w:val="0"/>
        <w:dstrike w:val="0"/>
        <w:outline w:val="0"/>
        <w:shadow w:val="0"/>
        <w:emboss w:val="0"/>
        <w:imprint w:val="0"/>
        <w:vanish w:val="0"/>
        <w:color w:val="auto"/>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C65576D"/>
    <w:multiLevelType w:val="hybridMultilevel"/>
    <w:tmpl w:val="529460D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nsid w:val="3B0D0F68"/>
    <w:multiLevelType w:val="hybridMultilevel"/>
    <w:tmpl w:val="65A8790C"/>
    <w:lvl w:ilvl="0" w:tplc="04405612">
      <w:start w:val="1"/>
      <w:numFmt w:val="decimal"/>
      <w:pStyle w:val="List"/>
      <w:lvlText w:val="%1."/>
      <w:lvlJc w:val="left"/>
      <w:pPr>
        <w:tabs>
          <w:tab w:val="num" w:pos="360"/>
        </w:tabs>
        <w:ind w:left="340" w:hanging="34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4D42119"/>
    <w:multiLevelType w:val="hybridMultilevel"/>
    <w:tmpl w:val="C608D3D8"/>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646F4708"/>
    <w:multiLevelType w:val="hybridMultilevel"/>
    <w:tmpl w:val="7946F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5385907"/>
    <w:multiLevelType w:val="multilevel"/>
    <w:tmpl w:val="601E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ED1449"/>
    <w:multiLevelType w:val="multilevel"/>
    <w:tmpl w:val="E96ED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A91583A"/>
    <w:multiLevelType w:val="multilevel"/>
    <w:tmpl w:val="F980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num>
  <w:num w:numId="3">
    <w:abstractNumId w:val="7"/>
  </w:num>
  <w:num w:numId="4">
    <w:abstractNumId w:val="7"/>
  </w:num>
  <w:num w:numId="5">
    <w:abstractNumId w:val="0"/>
  </w:num>
  <w:num w:numId="6">
    <w:abstractNumId w:val="0"/>
  </w:num>
  <w:num w:numId="7">
    <w:abstractNumId w:val="0"/>
  </w:num>
  <w:num w:numId="8">
    <w:abstractNumId w:val="0"/>
  </w:num>
  <w:num w:numId="9">
    <w:abstractNumId w:val="1"/>
  </w:num>
  <w:num w:numId="10">
    <w:abstractNumId w:val="5"/>
  </w:num>
  <w:num w:numId="11">
    <w:abstractNumId w:val="5"/>
  </w:num>
  <w:num w:numId="12">
    <w:abstractNumId w:val="5"/>
  </w:num>
  <w:num w:numId="13">
    <w:abstractNumId w:val="5"/>
  </w:num>
  <w:num w:numId="14">
    <w:abstractNumId w:val="5"/>
  </w:num>
  <w:num w:numId="15">
    <w:abstractNumId w:val="0"/>
  </w:num>
  <w:num w:numId="16">
    <w:abstractNumId w:val="7"/>
  </w:num>
  <w:num w:numId="17">
    <w:abstractNumId w:val="5"/>
  </w:num>
  <w:num w:numId="18">
    <w:abstractNumId w:val="7"/>
  </w:num>
  <w:num w:numId="19">
    <w:abstractNumId w:val="1"/>
  </w:num>
  <w:num w:numId="20">
    <w:abstractNumId w:val="1"/>
  </w:num>
  <w:num w:numId="21">
    <w:abstractNumId w:val="1"/>
  </w:num>
  <w:num w:numId="22">
    <w:abstractNumId w:val="1"/>
  </w:num>
  <w:num w:numId="23">
    <w:abstractNumId w:val="1"/>
  </w:num>
  <w:num w:numId="24">
    <w:abstractNumId w:val="1"/>
  </w:num>
  <w:num w:numId="25">
    <w:abstractNumId w:val="2"/>
  </w:num>
  <w:num w:numId="26">
    <w:abstractNumId w:val="7"/>
  </w:num>
  <w:num w:numId="27">
    <w:abstractNumId w:val="1"/>
  </w:num>
  <w:num w:numId="28">
    <w:abstractNumId w:val="3"/>
  </w:num>
  <w:num w:numId="29">
    <w:abstractNumId w:val="8"/>
  </w:num>
  <w:num w:numId="30">
    <w:abstractNumId w:val="11"/>
  </w:num>
  <w:num w:numId="31">
    <w:abstractNumId w:val="12"/>
  </w:num>
  <w:num w:numId="32">
    <w:abstractNumId w:val="10"/>
  </w:num>
  <w:num w:numId="33">
    <w:abstractNumId w:val="6"/>
  </w:num>
  <w:num w:numId="34">
    <w:abstractNumId w:val="4"/>
  </w:num>
  <w:num w:numId="3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stylePaneFormatFilter w:val="3F01"/>
  <w:doNotTrackMoves/>
  <w:doNotTrackFormatting/>
  <w:defaultTabStop w:val="720"/>
  <w:noPunctuationKerning/>
  <w:characterSpacingControl w:val="doNotCompress"/>
  <w:hdrShapeDefaults>
    <o:shapedefaults v:ext="edit" spidmax="6145"/>
  </w:hdrShapeDefaults>
  <w:footnotePr>
    <w:footnote w:id="-1"/>
    <w:footnote w:id="0"/>
  </w:footnotePr>
  <w:endnotePr>
    <w:pos w:val="sectEnd"/>
    <w:numFmt w:val="decimal"/>
    <w:endnote w:id="-1"/>
    <w:endnote w:id="0"/>
  </w:endnotePr>
  <w:compat/>
  <w:rsids>
    <w:rsidRoot w:val="001E0898"/>
    <w:rsid w:val="00004F0C"/>
    <w:rsid w:val="00006038"/>
    <w:rsid w:val="000061A0"/>
    <w:rsid w:val="00011585"/>
    <w:rsid w:val="0002438B"/>
    <w:rsid w:val="00026769"/>
    <w:rsid w:val="00037BEE"/>
    <w:rsid w:val="000465A4"/>
    <w:rsid w:val="00051DEB"/>
    <w:rsid w:val="000541FD"/>
    <w:rsid w:val="000549C9"/>
    <w:rsid w:val="00057846"/>
    <w:rsid w:val="00062F61"/>
    <w:rsid w:val="00066779"/>
    <w:rsid w:val="00082C05"/>
    <w:rsid w:val="000A04CA"/>
    <w:rsid w:val="000A33A0"/>
    <w:rsid w:val="000B0087"/>
    <w:rsid w:val="000B3881"/>
    <w:rsid w:val="000C0250"/>
    <w:rsid w:val="000C0463"/>
    <w:rsid w:val="000C11C8"/>
    <w:rsid w:val="000D7367"/>
    <w:rsid w:val="000F117E"/>
    <w:rsid w:val="000F3B77"/>
    <w:rsid w:val="000F45F5"/>
    <w:rsid w:val="001045F7"/>
    <w:rsid w:val="00104DF4"/>
    <w:rsid w:val="00111DE1"/>
    <w:rsid w:val="00112211"/>
    <w:rsid w:val="001130AA"/>
    <w:rsid w:val="00120548"/>
    <w:rsid w:val="00130304"/>
    <w:rsid w:val="00135197"/>
    <w:rsid w:val="001427F4"/>
    <w:rsid w:val="00145AE3"/>
    <w:rsid w:val="00151A0F"/>
    <w:rsid w:val="00155B4E"/>
    <w:rsid w:val="00160E17"/>
    <w:rsid w:val="00162A00"/>
    <w:rsid w:val="00165590"/>
    <w:rsid w:val="00173B44"/>
    <w:rsid w:val="001763BB"/>
    <w:rsid w:val="00184678"/>
    <w:rsid w:val="0019611B"/>
    <w:rsid w:val="001976E3"/>
    <w:rsid w:val="001A78FF"/>
    <w:rsid w:val="001B11D5"/>
    <w:rsid w:val="001B24F2"/>
    <w:rsid w:val="001B52C5"/>
    <w:rsid w:val="001B5B3B"/>
    <w:rsid w:val="001B7FC5"/>
    <w:rsid w:val="001C48AA"/>
    <w:rsid w:val="001C582A"/>
    <w:rsid w:val="001D2AF7"/>
    <w:rsid w:val="001D3AB2"/>
    <w:rsid w:val="001D3ED8"/>
    <w:rsid w:val="001E0898"/>
    <w:rsid w:val="001E18D1"/>
    <w:rsid w:val="001F2B74"/>
    <w:rsid w:val="001F2FFA"/>
    <w:rsid w:val="001F50CF"/>
    <w:rsid w:val="00202112"/>
    <w:rsid w:val="002025B2"/>
    <w:rsid w:val="0020288E"/>
    <w:rsid w:val="00207557"/>
    <w:rsid w:val="0021037D"/>
    <w:rsid w:val="00213D85"/>
    <w:rsid w:val="00215788"/>
    <w:rsid w:val="0021620F"/>
    <w:rsid w:val="00217B46"/>
    <w:rsid w:val="0023215C"/>
    <w:rsid w:val="002321A6"/>
    <w:rsid w:val="00233776"/>
    <w:rsid w:val="00233AF4"/>
    <w:rsid w:val="0023741D"/>
    <w:rsid w:val="002428BD"/>
    <w:rsid w:val="0024645A"/>
    <w:rsid w:val="00246D48"/>
    <w:rsid w:val="00247B74"/>
    <w:rsid w:val="0025068F"/>
    <w:rsid w:val="00256024"/>
    <w:rsid w:val="00262937"/>
    <w:rsid w:val="00272F33"/>
    <w:rsid w:val="00273440"/>
    <w:rsid w:val="00274B2A"/>
    <w:rsid w:val="0027509D"/>
    <w:rsid w:val="002759E2"/>
    <w:rsid w:val="002818A6"/>
    <w:rsid w:val="00282545"/>
    <w:rsid w:val="00284D2A"/>
    <w:rsid w:val="0028500A"/>
    <w:rsid w:val="0028525B"/>
    <w:rsid w:val="0028596B"/>
    <w:rsid w:val="00286329"/>
    <w:rsid w:val="00294A65"/>
    <w:rsid w:val="0029762C"/>
    <w:rsid w:val="002A0214"/>
    <w:rsid w:val="002A10AB"/>
    <w:rsid w:val="002A1418"/>
    <w:rsid w:val="002B0C23"/>
    <w:rsid w:val="002B1B00"/>
    <w:rsid w:val="002C30B4"/>
    <w:rsid w:val="002D0A65"/>
    <w:rsid w:val="002D433E"/>
    <w:rsid w:val="002E01E7"/>
    <w:rsid w:val="002E1027"/>
    <w:rsid w:val="002F3664"/>
    <w:rsid w:val="002F46FD"/>
    <w:rsid w:val="002F696E"/>
    <w:rsid w:val="00305C9C"/>
    <w:rsid w:val="00306078"/>
    <w:rsid w:val="003232B0"/>
    <w:rsid w:val="003260F0"/>
    <w:rsid w:val="00337C77"/>
    <w:rsid w:val="0034698E"/>
    <w:rsid w:val="003524F7"/>
    <w:rsid w:val="0035608D"/>
    <w:rsid w:val="003764BF"/>
    <w:rsid w:val="003817F6"/>
    <w:rsid w:val="00383D62"/>
    <w:rsid w:val="00386344"/>
    <w:rsid w:val="00393794"/>
    <w:rsid w:val="003A2D47"/>
    <w:rsid w:val="003A5976"/>
    <w:rsid w:val="003A7815"/>
    <w:rsid w:val="003B046D"/>
    <w:rsid w:val="003B4492"/>
    <w:rsid w:val="003C0B9A"/>
    <w:rsid w:val="003C0D4F"/>
    <w:rsid w:val="003C75C4"/>
    <w:rsid w:val="003E3580"/>
    <w:rsid w:val="003E6339"/>
    <w:rsid w:val="003E733A"/>
    <w:rsid w:val="003F048B"/>
    <w:rsid w:val="0041175D"/>
    <w:rsid w:val="0041403F"/>
    <w:rsid w:val="004173CB"/>
    <w:rsid w:val="00420828"/>
    <w:rsid w:val="00424808"/>
    <w:rsid w:val="00425703"/>
    <w:rsid w:val="00425985"/>
    <w:rsid w:val="004274A2"/>
    <w:rsid w:val="00435615"/>
    <w:rsid w:val="00445514"/>
    <w:rsid w:val="00445573"/>
    <w:rsid w:val="00445CCD"/>
    <w:rsid w:val="0045408C"/>
    <w:rsid w:val="004554D3"/>
    <w:rsid w:val="004609E1"/>
    <w:rsid w:val="00464AF6"/>
    <w:rsid w:val="004736AD"/>
    <w:rsid w:val="00476FDE"/>
    <w:rsid w:val="00480CC7"/>
    <w:rsid w:val="00487892"/>
    <w:rsid w:val="004911D6"/>
    <w:rsid w:val="0049155A"/>
    <w:rsid w:val="00495155"/>
    <w:rsid w:val="004A5DC4"/>
    <w:rsid w:val="004B1100"/>
    <w:rsid w:val="004D1A52"/>
    <w:rsid w:val="004D4B7B"/>
    <w:rsid w:val="004F303E"/>
    <w:rsid w:val="00500761"/>
    <w:rsid w:val="0051353F"/>
    <w:rsid w:val="00533A49"/>
    <w:rsid w:val="00540E8A"/>
    <w:rsid w:val="0054184E"/>
    <w:rsid w:val="005467BD"/>
    <w:rsid w:val="00551C8B"/>
    <w:rsid w:val="00551DD2"/>
    <w:rsid w:val="005544E4"/>
    <w:rsid w:val="00555E7B"/>
    <w:rsid w:val="005626AB"/>
    <w:rsid w:val="0056480A"/>
    <w:rsid w:val="00571573"/>
    <w:rsid w:val="00571C04"/>
    <w:rsid w:val="005A0718"/>
    <w:rsid w:val="005A1559"/>
    <w:rsid w:val="005C1BC6"/>
    <w:rsid w:val="005C606B"/>
    <w:rsid w:val="005C6A55"/>
    <w:rsid w:val="005D025F"/>
    <w:rsid w:val="005D15F5"/>
    <w:rsid w:val="005D7341"/>
    <w:rsid w:val="005E5392"/>
    <w:rsid w:val="005F0D07"/>
    <w:rsid w:val="005F4B10"/>
    <w:rsid w:val="00606CC3"/>
    <w:rsid w:val="006235B5"/>
    <w:rsid w:val="00632024"/>
    <w:rsid w:val="006374BC"/>
    <w:rsid w:val="00637FAE"/>
    <w:rsid w:val="0065089A"/>
    <w:rsid w:val="00656D1C"/>
    <w:rsid w:val="0066522D"/>
    <w:rsid w:val="00667101"/>
    <w:rsid w:val="006672CC"/>
    <w:rsid w:val="006758E4"/>
    <w:rsid w:val="0068244C"/>
    <w:rsid w:val="00684E71"/>
    <w:rsid w:val="006931A4"/>
    <w:rsid w:val="0069397A"/>
    <w:rsid w:val="00695DF3"/>
    <w:rsid w:val="00696B60"/>
    <w:rsid w:val="006A0F63"/>
    <w:rsid w:val="006A3567"/>
    <w:rsid w:val="006A6DCA"/>
    <w:rsid w:val="006B5A3F"/>
    <w:rsid w:val="006B7F3B"/>
    <w:rsid w:val="006D10DA"/>
    <w:rsid w:val="006D13BE"/>
    <w:rsid w:val="006D4A7F"/>
    <w:rsid w:val="006D4D8A"/>
    <w:rsid w:val="006D4EDB"/>
    <w:rsid w:val="006D4FCF"/>
    <w:rsid w:val="006D617A"/>
    <w:rsid w:val="006E11C3"/>
    <w:rsid w:val="006E11DB"/>
    <w:rsid w:val="006E41C8"/>
    <w:rsid w:val="006E7427"/>
    <w:rsid w:val="006F4370"/>
    <w:rsid w:val="006F4E4A"/>
    <w:rsid w:val="00701B3D"/>
    <w:rsid w:val="0071068E"/>
    <w:rsid w:val="00712E39"/>
    <w:rsid w:val="00713094"/>
    <w:rsid w:val="00717B17"/>
    <w:rsid w:val="00721C7C"/>
    <w:rsid w:val="00726969"/>
    <w:rsid w:val="00734EF0"/>
    <w:rsid w:val="00736738"/>
    <w:rsid w:val="00746FF3"/>
    <w:rsid w:val="00761D37"/>
    <w:rsid w:val="0076268C"/>
    <w:rsid w:val="00763DB9"/>
    <w:rsid w:val="00764E71"/>
    <w:rsid w:val="007719E0"/>
    <w:rsid w:val="00771CD7"/>
    <w:rsid w:val="00772409"/>
    <w:rsid w:val="0077260E"/>
    <w:rsid w:val="007806BB"/>
    <w:rsid w:val="00781B40"/>
    <w:rsid w:val="007864C7"/>
    <w:rsid w:val="00790F69"/>
    <w:rsid w:val="007941D7"/>
    <w:rsid w:val="00795AB6"/>
    <w:rsid w:val="007A4EDE"/>
    <w:rsid w:val="007A72F2"/>
    <w:rsid w:val="007B16DE"/>
    <w:rsid w:val="007B74BA"/>
    <w:rsid w:val="007C385C"/>
    <w:rsid w:val="007C657E"/>
    <w:rsid w:val="007C7F50"/>
    <w:rsid w:val="007E2B9C"/>
    <w:rsid w:val="007F2E5D"/>
    <w:rsid w:val="007F418F"/>
    <w:rsid w:val="008025BA"/>
    <w:rsid w:val="0080410D"/>
    <w:rsid w:val="00816494"/>
    <w:rsid w:val="008211F5"/>
    <w:rsid w:val="00825679"/>
    <w:rsid w:val="00826F09"/>
    <w:rsid w:val="00826F0F"/>
    <w:rsid w:val="00836922"/>
    <w:rsid w:val="00837E38"/>
    <w:rsid w:val="00842DB0"/>
    <w:rsid w:val="00844C65"/>
    <w:rsid w:val="00845221"/>
    <w:rsid w:val="00847075"/>
    <w:rsid w:val="008540E6"/>
    <w:rsid w:val="00866148"/>
    <w:rsid w:val="00866D0B"/>
    <w:rsid w:val="0087118D"/>
    <w:rsid w:val="0087289D"/>
    <w:rsid w:val="0087426A"/>
    <w:rsid w:val="00881BA0"/>
    <w:rsid w:val="0088666E"/>
    <w:rsid w:val="008A0A1B"/>
    <w:rsid w:val="008A139C"/>
    <w:rsid w:val="008B64B3"/>
    <w:rsid w:val="008B74F8"/>
    <w:rsid w:val="008C5C3E"/>
    <w:rsid w:val="008D2B9D"/>
    <w:rsid w:val="008D2DF2"/>
    <w:rsid w:val="008D3A33"/>
    <w:rsid w:val="008D4F9B"/>
    <w:rsid w:val="008D6F63"/>
    <w:rsid w:val="008D709D"/>
    <w:rsid w:val="008E24AF"/>
    <w:rsid w:val="008E2803"/>
    <w:rsid w:val="008E2C94"/>
    <w:rsid w:val="008E5E9B"/>
    <w:rsid w:val="008F1D34"/>
    <w:rsid w:val="008F71BE"/>
    <w:rsid w:val="009042E9"/>
    <w:rsid w:val="009063A1"/>
    <w:rsid w:val="00911D1D"/>
    <w:rsid w:val="00915E48"/>
    <w:rsid w:val="00916B19"/>
    <w:rsid w:val="00916F97"/>
    <w:rsid w:val="0092169C"/>
    <w:rsid w:val="0094094E"/>
    <w:rsid w:val="00941D03"/>
    <w:rsid w:val="00952367"/>
    <w:rsid w:val="00953634"/>
    <w:rsid w:val="009578FA"/>
    <w:rsid w:val="0096433A"/>
    <w:rsid w:val="0097234A"/>
    <w:rsid w:val="00972387"/>
    <w:rsid w:val="00975034"/>
    <w:rsid w:val="00975544"/>
    <w:rsid w:val="00981E84"/>
    <w:rsid w:val="00984E20"/>
    <w:rsid w:val="00985B88"/>
    <w:rsid w:val="009878CE"/>
    <w:rsid w:val="009915CB"/>
    <w:rsid w:val="009940FD"/>
    <w:rsid w:val="009A17C0"/>
    <w:rsid w:val="009A1E44"/>
    <w:rsid w:val="009A5F0D"/>
    <w:rsid w:val="009B15FA"/>
    <w:rsid w:val="009C5074"/>
    <w:rsid w:val="009C5C4E"/>
    <w:rsid w:val="009D1192"/>
    <w:rsid w:val="009D7354"/>
    <w:rsid w:val="009E61D3"/>
    <w:rsid w:val="009E657E"/>
    <w:rsid w:val="009F1A0D"/>
    <w:rsid w:val="00A0080B"/>
    <w:rsid w:val="00A010E3"/>
    <w:rsid w:val="00A0239D"/>
    <w:rsid w:val="00A046E7"/>
    <w:rsid w:val="00A20E24"/>
    <w:rsid w:val="00A31D42"/>
    <w:rsid w:val="00A350B0"/>
    <w:rsid w:val="00A35FE0"/>
    <w:rsid w:val="00A46B43"/>
    <w:rsid w:val="00A5588B"/>
    <w:rsid w:val="00A572A5"/>
    <w:rsid w:val="00A5776D"/>
    <w:rsid w:val="00A63D39"/>
    <w:rsid w:val="00A64C3E"/>
    <w:rsid w:val="00A66132"/>
    <w:rsid w:val="00A75C52"/>
    <w:rsid w:val="00A801CA"/>
    <w:rsid w:val="00A80D4E"/>
    <w:rsid w:val="00A84B4E"/>
    <w:rsid w:val="00A8578B"/>
    <w:rsid w:val="00AA57EC"/>
    <w:rsid w:val="00AA5E58"/>
    <w:rsid w:val="00AB0327"/>
    <w:rsid w:val="00AB1415"/>
    <w:rsid w:val="00AC0C70"/>
    <w:rsid w:val="00AC7A55"/>
    <w:rsid w:val="00AD3712"/>
    <w:rsid w:val="00AE3D66"/>
    <w:rsid w:val="00AE5BD0"/>
    <w:rsid w:val="00AE62CA"/>
    <w:rsid w:val="00AE6C1E"/>
    <w:rsid w:val="00AF41FB"/>
    <w:rsid w:val="00AF53E3"/>
    <w:rsid w:val="00AF5824"/>
    <w:rsid w:val="00B05C6E"/>
    <w:rsid w:val="00B07726"/>
    <w:rsid w:val="00B11EEF"/>
    <w:rsid w:val="00B121FE"/>
    <w:rsid w:val="00B14E4E"/>
    <w:rsid w:val="00B17ECF"/>
    <w:rsid w:val="00B208AF"/>
    <w:rsid w:val="00B300FA"/>
    <w:rsid w:val="00B32AA8"/>
    <w:rsid w:val="00B37934"/>
    <w:rsid w:val="00B433A8"/>
    <w:rsid w:val="00B541CE"/>
    <w:rsid w:val="00B57D22"/>
    <w:rsid w:val="00B603F8"/>
    <w:rsid w:val="00B63C9D"/>
    <w:rsid w:val="00B65FDE"/>
    <w:rsid w:val="00B66E10"/>
    <w:rsid w:val="00B729B6"/>
    <w:rsid w:val="00B72C43"/>
    <w:rsid w:val="00B757D4"/>
    <w:rsid w:val="00B82698"/>
    <w:rsid w:val="00B83DD3"/>
    <w:rsid w:val="00B83FFD"/>
    <w:rsid w:val="00B86DFC"/>
    <w:rsid w:val="00B912B9"/>
    <w:rsid w:val="00B94728"/>
    <w:rsid w:val="00BA3967"/>
    <w:rsid w:val="00BA7A1E"/>
    <w:rsid w:val="00BB191E"/>
    <w:rsid w:val="00BC6D6B"/>
    <w:rsid w:val="00BC78E4"/>
    <w:rsid w:val="00BD7BF7"/>
    <w:rsid w:val="00BE17C7"/>
    <w:rsid w:val="00BE2EE0"/>
    <w:rsid w:val="00BE68D6"/>
    <w:rsid w:val="00BF099C"/>
    <w:rsid w:val="00BF3AF7"/>
    <w:rsid w:val="00C073B6"/>
    <w:rsid w:val="00C16D0D"/>
    <w:rsid w:val="00C23786"/>
    <w:rsid w:val="00C242F5"/>
    <w:rsid w:val="00C27491"/>
    <w:rsid w:val="00C41CB0"/>
    <w:rsid w:val="00C42AF2"/>
    <w:rsid w:val="00C54FE6"/>
    <w:rsid w:val="00C565B1"/>
    <w:rsid w:val="00C64319"/>
    <w:rsid w:val="00C648CD"/>
    <w:rsid w:val="00C652C8"/>
    <w:rsid w:val="00C70309"/>
    <w:rsid w:val="00C73287"/>
    <w:rsid w:val="00C74AFE"/>
    <w:rsid w:val="00C84B83"/>
    <w:rsid w:val="00C85212"/>
    <w:rsid w:val="00C877AE"/>
    <w:rsid w:val="00C91026"/>
    <w:rsid w:val="00C969A9"/>
    <w:rsid w:val="00C96B90"/>
    <w:rsid w:val="00CA0BCA"/>
    <w:rsid w:val="00CA46CD"/>
    <w:rsid w:val="00CA538D"/>
    <w:rsid w:val="00CB07FE"/>
    <w:rsid w:val="00CB28A3"/>
    <w:rsid w:val="00CB59C2"/>
    <w:rsid w:val="00CB631E"/>
    <w:rsid w:val="00CC037F"/>
    <w:rsid w:val="00CC7022"/>
    <w:rsid w:val="00CC71E3"/>
    <w:rsid w:val="00CD057F"/>
    <w:rsid w:val="00CD50BA"/>
    <w:rsid w:val="00CE5F71"/>
    <w:rsid w:val="00CE7232"/>
    <w:rsid w:val="00CF293B"/>
    <w:rsid w:val="00CF296D"/>
    <w:rsid w:val="00CF4166"/>
    <w:rsid w:val="00D03568"/>
    <w:rsid w:val="00D052A0"/>
    <w:rsid w:val="00D13CEF"/>
    <w:rsid w:val="00D15C52"/>
    <w:rsid w:val="00D235EF"/>
    <w:rsid w:val="00D26C32"/>
    <w:rsid w:val="00D33C3B"/>
    <w:rsid w:val="00D34314"/>
    <w:rsid w:val="00D34AAE"/>
    <w:rsid w:val="00D37DE0"/>
    <w:rsid w:val="00D404FF"/>
    <w:rsid w:val="00D53627"/>
    <w:rsid w:val="00D5451F"/>
    <w:rsid w:val="00D663C7"/>
    <w:rsid w:val="00D721C5"/>
    <w:rsid w:val="00D72853"/>
    <w:rsid w:val="00D72DB1"/>
    <w:rsid w:val="00D8023E"/>
    <w:rsid w:val="00D93456"/>
    <w:rsid w:val="00D93547"/>
    <w:rsid w:val="00DA5CF4"/>
    <w:rsid w:val="00DA7793"/>
    <w:rsid w:val="00DB43EB"/>
    <w:rsid w:val="00DC231C"/>
    <w:rsid w:val="00DC598D"/>
    <w:rsid w:val="00DC6C48"/>
    <w:rsid w:val="00DD45D6"/>
    <w:rsid w:val="00DD640D"/>
    <w:rsid w:val="00DD776B"/>
    <w:rsid w:val="00DE4C8A"/>
    <w:rsid w:val="00DF0D4A"/>
    <w:rsid w:val="00DF4245"/>
    <w:rsid w:val="00DF62DD"/>
    <w:rsid w:val="00E00C4D"/>
    <w:rsid w:val="00E00FBC"/>
    <w:rsid w:val="00E039C3"/>
    <w:rsid w:val="00E069CF"/>
    <w:rsid w:val="00E074FC"/>
    <w:rsid w:val="00E10B37"/>
    <w:rsid w:val="00E13E95"/>
    <w:rsid w:val="00E22527"/>
    <w:rsid w:val="00E274F3"/>
    <w:rsid w:val="00E36149"/>
    <w:rsid w:val="00E44476"/>
    <w:rsid w:val="00E44694"/>
    <w:rsid w:val="00E4637F"/>
    <w:rsid w:val="00E57688"/>
    <w:rsid w:val="00E630DA"/>
    <w:rsid w:val="00E739C2"/>
    <w:rsid w:val="00E90CF8"/>
    <w:rsid w:val="00E973F7"/>
    <w:rsid w:val="00EA44A9"/>
    <w:rsid w:val="00EB0EC5"/>
    <w:rsid w:val="00EB300F"/>
    <w:rsid w:val="00ED2BBA"/>
    <w:rsid w:val="00ED52F4"/>
    <w:rsid w:val="00ED70DB"/>
    <w:rsid w:val="00EE7137"/>
    <w:rsid w:val="00F06E15"/>
    <w:rsid w:val="00F100F6"/>
    <w:rsid w:val="00F11BAC"/>
    <w:rsid w:val="00F12272"/>
    <w:rsid w:val="00F135FB"/>
    <w:rsid w:val="00F1511E"/>
    <w:rsid w:val="00F15E5A"/>
    <w:rsid w:val="00F220F8"/>
    <w:rsid w:val="00F36227"/>
    <w:rsid w:val="00F523C3"/>
    <w:rsid w:val="00F56D42"/>
    <w:rsid w:val="00F632C1"/>
    <w:rsid w:val="00F6384F"/>
    <w:rsid w:val="00F74219"/>
    <w:rsid w:val="00F833C7"/>
    <w:rsid w:val="00F85A60"/>
    <w:rsid w:val="00F866C9"/>
    <w:rsid w:val="00F903A1"/>
    <w:rsid w:val="00F959CE"/>
    <w:rsid w:val="00FA135F"/>
    <w:rsid w:val="00FB21B4"/>
    <w:rsid w:val="00FB6A78"/>
    <w:rsid w:val="00FB71A3"/>
    <w:rsid w:val="00FC0B32"/>
    <w:rsid w:val="00FD1CBD"/>
    <w:rsid w:val="00FD71C2"/>
    <w:rsid w:val="00FD7C18"/>
    <w:rsid w:val="00FE2998"/>
    <w:rsid w:val="00FF3BDF"/>
    <w:rsid w:val="00FF7D3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rules v:ext="edit">
        <o:r id="V:Rule8" type="connector" idref="#_x0000_s1046">
          <o:proxy start="" idref="#_x0000_s1044" connectloc="3"/>
          <o:proxy end="" idref="#_x0000_s1035" connectloc="3"/>
        </o:r>
        <o:r id="V:Rule9" type="connector" idref="#_x0000_s1037">
          <o:proxy start="" idref="#_x0000_s1034" connectloc="2"/>
          <o:proxy end="" idref="#_x0000_s1035" connectloc="0"/>
        </o:r>
        <o:r id="V:Rule10" type="connector" idref="#_x0000_s1045">
          <o:proxy start="" idref="#_x0000_s1040" connectloc="2"/>
          <o:proxy end="" idref="#_x0000_s1036" connectloc="0"/>
        </o:r>
        <o:r id="V:Rule11" type="connector" idref="#_x0000_s1042">
          <o:proxy end="" idref="#_x0000_s1043" connectloc="0"/>
        </o:r>
        <o:r id="V:Rule12" type="connector" idref="#_x0000_s1041">
          <o:proxy end="" idref="#_x0000_s1040" connectloc="0"/>
        </o:r>
        <o:r id="V:Rule13" type="connector" idref="#_x0000_s1047">
          <o:proxy start="" idref="#_x0000_s1043" connectloc="2"/>
          <o:proxy end="" idref="#_x0000_s1044" connectloc="0"/>
        </o:r>
        <o:r id="V:Rule14" type="connector" idref="#_x0000_s1038">
          <o:proxy start="" idref="#_x0000_s1035" connectloc="2"/>
          <o:proxy end="" idref="#_x0000_s1039" connectloc="0"/>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08AF"/>
    <w:pPr>
      <w:spacing w:after="60"/>
      <w:jc w:val="both"/>
    </w:pPr>
    <w:rPr>
      <w:rFonts w:ascii="Arial" w:hAnsi="Arial"/>
      <w:sz w:val="22"/>
      <w:lang w:eastAsia="en-US"/>
    </w:rPr>
  </w:style>
  <w:style w:type="paragraph" w:styleId="Heading1">
    <w:name w:val="heading 1"/>
    <w:basedOn w:val="Normal"/>
    <w:next w:val="Normal"/>
    <w:qFormat/>
    <w:rsid w:val="008D4F9B"/>
    <w:pPr>
      <w:keepNext/>
      <w:spacing w:before="240"/>
      <w:outlineLvl w:val="0"/>
    </w:pPr>
    <w:rPr>
      <w:b/>
      <w:caps/>
      <w:sz w:val="24"/>
    </w:rPr>
  </w:style>
  <w:style w:type="paragraph" w:styleId="Heading2">
    <w:name w:val="heading 2"/>
    <w:basedOn w:val="Heading1"/>
    <w:next w:val="Normal"/>
    <w:autoRedefine/>
    <w:qFormat/>
    <w:rsid w:val="00B66E10"/>
    <w:pPr>
      <w:spacing w:before="120" w:after="120"/>
      <w:outlineLvl w:val="1"/>
    </w:pPr>
    <w:rPr>
      <w:caps w:val="0"/>
      <w:sz w:val="22"/>
    </w:rPr>
  </w:style>
  <w:style w:type="paragraph" w:styleId="Heading3">
    <w:name w:val="heading 3"/>
    <w:aliases w:val="CMI Heading 3"/>
    <w:basedOn w:val="Heading2"/>
    <w:next w:val="Normal"/>
    <w:qFormat/>
    <w:rsid w:val="00B208AF"/>
    <w:pPr>
      <w:outlineLvl w:val="2"/>
    </w:pPr>
    <w:rPr>
      <w:b w:val="0"/>
      <w:u w:val="single"/>
    </w:rPr>
  </w:style>
  <w:style w:type="paragraph" w:styleId="Heading4">
    <w:name w:val="heading 4"/>
    <w:basedOn w:val="Heading3"/>
    <w:next w:val="Normal"/>
    <w:qFormat/>
    <w:rsid w:val="00B208AF"/>
    <w:pPr>
      <w:outlineLvl w:val="3"/>
    </w:pPr>
    <w:rPr>
      <w:rFonts w:cs="Arial"/>
      <w:i/>
      <w:u w:val="none"/>
    </w:rPr>
  </w:style>
  <w:style w:type="paragraph" w:styleId="Heading5">
    <w:name w:val="heading 5"/>
    <w:basedOn w:val="Normal"/>
    <w:next w:val="Normal"/>
    <w:qFormat/>
    <w:rsid w:val="00B208AF"/>
    <w:pPr>
      <w:spacing w:before="240"/>
      <w:jc w:val="left"/>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A46CD"/>
    <w:pPr>
      <w:spacing w:before="240"/>
      <w:jc w:val="center"/>
      <w:outlineLvl w:val="0"/>
    </w:pPr>
    <w:rPr>
      <w:rFonts w:cs="Arial"/>
      <w:b/>
      <w:bCs/>
      <w:caps/>
      <w:kern w:val="28"/>
      <w:sz w:val="28"/>
      <w:szCs w:val="32"/>
    </w:rPr>
  </w:style>
  <w:style w:type="paragraph" w:styleId="ListBullet">
    <w:name w:val="List Bullet"/>
    <w:basedOn w:val="Normal"/>
    <w:autoRedefine/>
    <w:rsid w:val="00B208AF"/>
    <w:pPr>
      <w:numPr>
        <w:numId w:val="27"/>
      </w:numPr>
    </w:pPr>
  </w:style>
  <w:style w:type="paragraph" w:styleId="List">
    <w:name w:val="List"/>
    <w:basedOn w:val="Normal"/>
    <w:rsid w:val="00B208AF"/>
    <w:pPr>
      <w:keepNext/>
      <w:numPr>
        <w:numId w:val="26"/>
      </w:numPr>
      <w:jc w:val="left"/>
    </w:pPr>
  </w:style>
  <w:style w:type="paragraph" w:styleId="ListNumber">
    <w:name w:val="List Number"/>
    <w:basedOn w:val="Normal"/>
    <w:rsid w:val="00B208AF"/>
    <w:pPr>
      <w:keepNext/>
      <w:keepLines/>
      <w:numPr>
        <w:numId w:val="15"/>
      </w:numPr>
      <w:spacing w:after="120"/>
    </w:pPr>
  </w:style>
  <w:style w:type="paragraph" w:styleId="Subtitle">
    <w:name w:val="Subtitle"/>
    <w:basedOn w:val="Normal"/>
    <w:qFormat/>
    <w:rsid w:val="008D4F9B"/>
    <w:pPr>
      <w:jc w:val="center"/>
      <w:outlineLvl w:val="1"/>
    </w:pPr>
    <w:rPr>
      <w:rFonts w:cs="Arial"/>
      <w:b/>
      <w:caps/>
      <w:sz w:val="24"/>
      <w:szCs w:val="24"/>
    </w:rPr>
  </w:style>
  <w:style w:type="paragraph" w:styleId="List2">
    <w:name w:val="List 2"/>
    <w:basedOn w:val="Normal"/>
    <w:rsid w:val="00B208AF"/>
    <w:pPr>
      <w:keepNext/>
      <w:keepLines/>
      <w:numPr>
        <w:numId w:val="25"/>
      </w:numPr>
    </w:pPr>
  </w:style>
  <w:style w:type="paragraph" w:styleId="Header">
    <w:name w:val="header"/>
    <w:basedOn w:val="Normal"/>
    <w:rsid w:val="00B208AF"/>
    <w:pPr>
      <w:tabs>
        <w:tab w:val="center" w:pos="4153"/>
        <w:tab w:val="right" w:pos="8306"/>
      </w:tabs>
    </w:pPr>
  </w:style>
  <w:style w:type="paragraph" w:styleId="Footer">
    <w:name w:val="footer"/>
    <w:basedOn w:val="Normal"/>
    <w:rsid w:val="00B208AF"/>
    <w:pPr>
      <w:tabs>
        <w:tab w:val="right" w:pos="9639"/>
      </w:tabs>
    </w:pPr>
    <w:rPr>
      <w:rFonts w:ascii="Arial Narrow" w:hAnsi="Arial Narrow"/>
    </w:rPr>
  </w:style>
  <w:style w:type="character" w:styleId="PageNumber">
    <w:name w:val="page number"/>
    <w:basedOn w:val="DefaultParagraphFont"/>
    <w:rsid w:val="00B208AF"/>
  </w:style>
  <w:style w:type="paragraph" w:styleId="BodyTextIndent">
    <w:name w:val="Body Text Indent"/>
    <w:basedOn w:val="Normal"/>
    <w:rsid w:val="00B208AF"/>
    <w:pPr>
      <w:ind w:left="720"/>
    </w:pPr>
    <w:rPr>
      <w:i/>
      <w:iCs/>
    </w:rPr>
  </w:style>
  <w:style w:type="paragraph" w:customStyle="1" w:styleId="CMIExplanation">
    <w:name w:val="CMI Explanation"/>
    <w:basedOn w:val="Normal"/>
    <w:rsid w:val="00B208AF"/>
    <w:pPr>
      <w:spacing w:before="60"/>
      <w:jc w:val="left"/>
    </w:pPr>
    <w:rPr>
      <w:rFonts w:ascii="Times New Roman" w:hAnsi="Times New Roman"/>
      <w:snapToGrid w:val="0"/>
      <w:sz w:val="20"/>
    </w:rPr>
  </w:style>
  <w:style w:type="paragraph" w:styleId="BodyText">
    <w:name w:val="Body Text"/>
    <w:basedOn w:val="Normal"/>
    <w:rsid w:val="00B208AF"/>
    <w:pPr>
      <w:jc w:val="left"/>
    </w:pPr>
  </w:style>
  <w:style w:type="paragraph" w:styleId="NormalWeb">
    <w:name w:val="Normal (Web)"/>
    <w:basedOn w:val="Normal"/>
    <w:uiPriority w:val="99"/>
    <w:unhideWhenUsed/>
    <w:rsid w:val="00F56D42"/>
    <w:pPr>
      <w:spacing w:before="100" w:beforeAutospacing="1" w:after="100" w:afterAutospacing="1"/>
      <w:jc w:val="left"/>
    </w:pPr>
    <w:rPr>
      <w:rFonts w:ascii="Times New Roman" w:hAnsi="Times New Roman"/>
      <w:sz w:val="24"/>
      <w:szCs w:val="24"/>
      <w:lang w:eastAsia="en-AU"/>
    </w:rPr>
  </w:style>
  <w:style w:type="paragraph" w:styleId="BalloonText">
    <w:name w:val="Balloon Text"/>
    <w:basedOn w:val="Normal"/>
    <w:link w:val="BalloonTextChar"/>
    <w:rsid w:val="00717B17"/>
    <w:pPr>
      <w:spacing w:after="0"/>
    </w:pPr>
    <w:rPr>
      <w:rFonts w:ascii="Tahoma" w:hAnsi="Tahoma" w:cs="Tahoma"/>
      <w:sz w:val="16"/>
      <w:szCs w:val="16"/>
    </w:rPr>
  </w:style>
  <w:style w:type="character" w:customStyle="1" w:styleId="BalloonTextChar">
    <w:name w:val="Balloon Text Char"/>
    <w:basedOn w:val="DefaultParagraphFont"/>
    <w:link w:val="BalloonText"/>
    <w:rsid w:val="00717B17"/>
    <w:rPr>
      <w:rFonts w:ascii="Tahoma" w:hAnsi="Tahoma" w:cs="Tahoma"/>
      <w:sz w:val="16"/>
      <w:szCs w:val="16"/>
      <w:lang w:eastAsia="en-US"/>
    </w:rPr>
  </w:style>
  <w:style w:type="paragraph" w:customStyle="1" w:styleId="Tablenormal0">
    <w:name w:val="Table normal"/>
    <w:basedOn w:val="Normal"/>
    <w:rsid w:val="000D7367"/>
    <w:pPr>
      <w:keepLines/>
      <w:widowControl w:val="0"/>
      <w:spacing w:before="40" w:after="40"/>
      <w:jc w:val="left"/>
    </w:pPr>
    <w:rPr>
      <w:rFonts w:ascii="Times New Roman" w:hAnsi="Times New Roman"/>
      <w:snapToGrid w:val="0"/>
      <w:sz w:val="24"/>
      <w:lang w:val="en-GB"/>
    </w:rPr>
  </w:style>
  <w:style w:type="paragraph" w:styleId="Caption">
    <w:name w:val="caption"/>
    <w:basedOn w:val="Normal"/>
    <w:next w:val="Normal"/>
    <w:qFormat/>
    <w:rsid w:val="000D7367"/>
    <w:pPr>
      <w:spacing w:before="40" w:after="40"/>
      <w:jc w:val="left"/>
    </w:pPr>
    <w:rPr>
      <w:rFonts w:ascii="Times New Roman" w:hAnsi="Times New Roman"/>
      <w:b/>
      <w:sz w:val="24"/>
      <w:lang w:val="en-GB" w:eastAsia="nb-NO"/>
    </w:rPr>
  </w:style>
  <w:style w:type="character" w:styleId="CommentReference">
    <w:name w:val="annotation reference"/>
    <w:basedOn w:val="DefaultParagraphFont"/>
    <w:uiPriority w:val="99"/>
    <w:rsid w:val="000D7367"/>
    <w:rPr>
      <w:sz w:val="16"/>
      <w:szCs w:val="16"/>
    </w:rPr>
  </w:style>
  <w:style w:type="paragraph" w:styleId="CommentText">
    <w:name w:val="annotation text"/>
    <w:basedOn w:val="Normal"/>
    <w:link w:val="CommentTextChar"/>
    <w:uiPriority w:val="99"/>
    <w:rsid w:val="000D7367"/>
    <w:rPr>
      <w:sz w:val="20"/>
    </w:rPr>
  </w:style>
  <w:style w:type="character" w:customStyle="1" w:styleId="CommentTextChar">
    <w:name w:val="Comment Text Char"/>
    <w:basedOn w:val="DefaultParagraphFont"/>
    <w:link w:val="CommentText"/>
    <w:uiPriority w:val="99"/>
    <w:rsid w:val="000D7367"/>
    <w:rPr>
      <w:rFonts w:ascii="Arial" w:hAnsi="Arial"/>
      <w:lang w:eastAsia="en-US"/>
    </w:rPr>
  </w:style>
  <w:style w:type="paragraph" w:styleId="CommentSubject">
    <w:name w:val="annotation subject"/>
    <w:basedOn w:val="CommentText"/>
    <w:next w:val="CommentText"/>
    <w:link w:val="CommentSubjectChar"/>
    <w:rsid w:val="000D7367"/>
    <w:rPr>
      <w:b/>
      <w:bCs/>
    </w:rPr>
  </w:style>
  <w:style w:type="character" w:customStyle="1" w:styleId="CommentSubjectChar">
    <w:name w:val="Comment Subject Char"/>
    <w:basedOn w:val="CommentTextChar"/>
    <w:link w:val="CommentSubject"/>
    <w:rsid w:val="000D7367"/>
    <w:rPr>
      <w:b/>
      <w:bCs/>
    </w:rPr>
  </w:style>
  <w:style w:type="paragraph" w:styleId="ListParagraph">
    <w:name w:val="List Paragraph"/>
    <w:basedOn w:val="Normal"/>
    <w:uiPriority w:val="34"/>
    <w:qFormat/>
    <w:rsid w:val="00771CD7"/>
    <w:pPr>
      <w:ind w:left="720"/>
      <w:contextualSpacing/>
    </w:pPr>
  </w:style>
  <w:style w:type="paragraph" w:customStyle="1" w:styleId="Default">
    <w:name w:val="Default"/>
    <w:rsid w:val="009A5F0D"/>
    <w:pPr>
      <w:autoSpaceDE w:val="0"/>
      <w:autoSpaceDN w:val="0"/>
      <w:adjustRightInd w:val="0"/>
    </w:pPr>
    <w:rPr>
      <w:rFonts w:eastAsia="SimSun"/>
      <w:color w:val="000000"/>
      <w:sz w:val="24"/>
      <w:szCs w:val="24"/>
      <w:lang w:val="nb-NO" w:eastAsia="zh-CN"/>
    </w:rPr>
  </w:style>
  <w:style w:type="paragraph" w:styleId="Date">
    <w:name w:val="Date"/>
    <w:basedOn w:val="Normal"/>
    <w:next w:val="Normal"/>
    <w:link w:val="DateChar"/>
    <w:rsid w:val="0028525B"/>
    <w:pPr>
      <w:spacing w:after="0"/>
      <w:jc w:val="left"/>
    </w:pPr>
    <w:rPr>
      <w:rFonts w:ascii="Times New Roman" w:hAnsi="Times New Roman"/>
      <w:lang w:val="en-GB"/>
    </w:rPr>
  </w:style>
  <w:style w:type="character" w:customStyle="1" w:styleId="DateChar">
    <w:name w:val="Date Char"/>
    <w:basedOn w:val="DefaultParagraphFont"/>
    <w:link w:val="Date"/>
    <w:rsid w:val="0028525B"/>
    <w:rPr>
      <w:sz w:val="22"/>
      <w:lang w:val="en-GB" w:eastAsia="en-US"/>
    </w:rPr>
  </w:style>
  <w:style w:type="paragraph" w:styleId="Revision">
    <w:name w:val="Revision"/>
    <w:hidden/>
    <w:uiPriority w:val="99"/>
    <w:semiHidden/>
    <w:rsid w:val="003C0D4F"/>
    <w:rPr>
      <w:rFonts w:ascii="Arial" w:hAnsi="Arial"/>
      <w:sz w:val="22"/>
      <w:lang w:eastAsia="en-US"/>
    </w:rPr>
  </w:style>
  <w:style w:type="paragraph" w:styleId="FootnoteText">
    <w:name w:val="footnote text"/>
    <w:basedOn w:val="Normal"/>
    <w:link w:val="FootnoteTextChar"/>
    <w:rsid w:val="00273440"/>
    <w:pPr>
      <w:spacing w:after="0"/>
    </w:pPr>
    <w:rPr>
      <w:sz w:val="20"/>
    </w:rPr>
  </w:style>
  <w:style w:type="character" w:customStyle="1" w:styleId="FootnoteTextChar">
    <w:name w:val="Footnote Text Char"/>
    <w:basedOn w:val="DefaultParagraphFont"/>
    <w:link w:val="FootnoteText"/>
    <w:rsid w:val="00273440"/>
    <w:rPr>
      <w:rFonts w:ascii="Arial" w:hAnsi="Arial"/>
      <w:lang w:eastAsia="en-US"/>
    </w:rPr>
  </w:style>
  <w:style w:type="character" w:styleId="FootnoteReference">
    <w:name w:val="footnote reference"/>
    <w:basedOn w:val="DefaultParagraphFont"/>
    <w:rsid w:val="00273440"/>
    <w:rPr>
      <w:vertAlign w:val="superscript"/>
    </w:rPr>
  </w:style>
  <w:style w:type="paragraph" w:styleId="EndnoteText">
    <w:name w:val="endnote text"/>
    <w:basedOn w:val="Normal"/>
    <w:link w:val="EndnoteTextChar"/>
    <w:rsid w:val="00273440"/>
    <w:pPr>
      <w:spacing w:after="0"/>
    </w:pPr>
    <w:rPr>
      <w:sz w:val="20"/>
    </w:rPr>
  </w:style>
  <w:style w:type="character" w:customStyle="1" w:styleId="EndnoteTextChar">
    <w:name w:val="Endnote Text Char"/>
    <w:basedOn w:val="DefaultParagraphFont"/>
    <w:link w:val="EndnoteText"/>
    <w:rsid w:val="00273440"/>
    <w:rPr>
      <w:rFonts w:ascii="Arial" w:hAnsi="Arial"/>
      <w:lang w:eastAsia="en-US"/>
    </w:rPr>
  </w:style>
  <w:style w:type="character" w:styleId="EndnoteReference">
    <w:name w:val="endnote reference"/>
    <w:basedOn w:val="DefaultParagraphFont"/>
    <w:rsid w:val="00273440"/>
    <w:rPr>
      <w:vertAlign w:val="superscript"/>
    </w:rPr>
  </w:style>
  <w:style w:type="table" w:styleId="TableGrid">
    <w:name w:val="Table Grid"/>
    <w:basedOn w:val="TableNormal"/>
    <w:uiPriority w:val="59"/>
    <w:rsid w:val="00213D85"/>
    <w:rPr>
      <w:rFonts w:asciiTheme="minorHAnsi" w:eastAsia="Cambria"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50175692">
      <w:bodyDiv w:val="1"/>
      <w:marLeft w:val="0"/>
      <w:marRight w:val="0"/>
      <w:marTop w:val="0"/>
      <w:marBottom w:val="0"/>
      <w:divBdr>
        <w:top w:val="none" w:sz="0" w:space="0" w:color="auto"/>
        <w:left w:val="none" w:sz="0" w:space="0" w:color="auto"/>
        <w:bottom w:val="none" w:sz="0" w:space="0" w:color="auto"/>
        <w:right w:val="none" w:sz="0" w:space="0" w:color="auto"/>
      </w:divBdr>
      <w:divsChild>
        <w:div w:id="793210214">
          <w:marLeft w:val="0"/>
          <w:marRight w:val="0"/>
          <w:marTop w:val="0"/>
          <w:marBottom w:val="0"/>
          <w:divBdr>
            <w:top w:val="none" w:sz="0" w:space="0" w:color="auto"/>
            <w:left w:val="none" w:sz="0" w:space="0" w:color="auto"/>
            <w:bottom w:val="none" w:sz="0" w:space="0" w:color="auto"/>
            <w:right w:val="none" w:sz="0" w:space="0" w:color="auto"/>
          </w:divBdr>
          <w:divsChild>
            <w:div w:id="551498233">
              <w:marLeft w:val="0"/>
              <w:marRight w:val="0"/>
              <w:marTop w:val="0"/>
              <w:marBottom w:val="0"/>
              <w:divBdr>
                <w:top w:val="none" w:sz="0" w:space="0" w:color="auto"/>
                <w:left w:val="none" w:sz="0" w:space="0" w:color="auto"/>
                <w:bottom w:val="none" w:sz="0" w:space="0" w:color="auto"/>
                <w:right w:val="none" w:sz="0" w:space="0" w:color="auto"/>
              </w:divBdr>
              <w:divsChild>
                <w:div w:id="292442234">
                  <w:blockQuote w:val="1"/>
                  <w:marLeft w:val="720"/>
                  <w:marRight w:val="0"/>
                  <w:marTop w:val="100"/>
                  <w:marBottom w:val="100"/>
                  <w:divBdr>
                    <w:top w:val="none" w:sz="0" w:space="0" w:color="auto"/>
                    <w:left w:val="none" w:sz="0" w:space="0" w:color="auto"/>
                    <w:bottom w:val="none" w:sz="0" w:space="0" w:color="auto"/>
                    <w:right w:val="none" w:sz="0" w:space="0" w:color="auto"/>
                  </w:divBdr>
                </w:div>
                <w:div w:id="936017399">
                  <w:blockQuote w:val="1"/>
                  <w:marLeft w:val="720"/>
                  <w:marRight w:val="0"/>
                  <w:marTop w:val="100"/>
                  <w:marBottom w:val="100"/>
                  <w:divBdr>
                    <w:top w:val="none" w:sz="0" w:space="0" w:color="auto"/>
                    <w:left w:val="none" w:sz="0" w:space="0" w:color="auto"/>
                    <w:bottom w:val="none" w:sz="0" w:space="0" w:color="auto"/>
                    <w:right w:val="none" w:sz="0" w:space="0" w:color="auto"/>
                  </w:divBdr>
                </w:div>
                <w:div w:id="17120763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066412047">
      <w:bodyDiv w:val="1"/>
      <w:marLeft w:val="0"/>
      <w:marRight w:val="0"/>
      <w:marTop w:val="0"/>
      <w:marBottom w:val="0"/>
      <w:divBdr>
        <w:top w:val="none" w:sz="0" w:space="0" w:color="auto"/>
        <w:left w:val="none" w:sz="0" w:space="0" w:color="auto"/>
        <w:bottom w:val="none" w:sz="0" w:space="0" w:color="auto"/>
        <w:right w:val="none" w:sz="0" w:space="0" w:color="auto"/>
      </w:divBdr>
      <w:divsChild>
        <w:div w:id="636103177">
          <w:marLeft w:val="0"/>
          <w:marRight w:val="0"/>
          <w:marTop w:val="0"/>
          <w:marBottom w:val="0"/>
          <w:divBdr>
            <w:top w:val="none" w:sz="0" w:space="0" w:color="auto"/>
            <w:left w:val="none" w:sz="0" w:space="0" w:color="auto"/>
            <w:bottom w:val="none" w:sz="0" w:space="0" w:color="auto"/>
            <w:right w:val="none" w:sz="0" w:space="0" w:color="auto"/>
          </w:divBdr>
          <w:divsChild>
            <w:div w:id="20757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90966">
      <w:bodyDiv w:val="1"/>
      <w:marLeft w:val="0"/>
      <w:marRight w:val="0"/>
      <w:marTop w:val="0"/>
      <w:marBottom w:val="0"/>
      <w:divBdr>
        <w:top w:val="none" w:sz="0" w:space="0" w:color="auto"/>
        <w:left w:val="none" w:sz="0" w:space="0" w:color="auto"/>
        <w:bottom w:val="none" w:sz="0" w:space="0" w:color="auto"/>
        <w:right w:val="none" w:sz="0" w:space="0" w:color="auto"/>
      </w:divBdr>
      <w:divsChild>
        <w:div w:id="2047870281">
          <w:marLeft w:val="0"/>
          <w:marRight w:val="0"/>
          <w:marTop w:val="0"/>
          <w:marBottom w:val="0"/>
          <w:divBdr>
            <w:top w:val="none" w:sz="0" w:space="0" w:color="auto"/>
            <w:left w:val="none" w:sz="0" w:space="0" w:color="auto"/>
            <w:bottom w:val="none" w:sz="0" w:space="0" w:color="auto"/>
            <w:right w:val="none" w:sz="0" w:space="0" w:color="auto"/>
          </w:divBdr>
          <w:divsChild>
            <w:div w:id="4668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578966">
      <w:bodyDiv w:val="1"/>
      <w:marLeft w:val="0"/>
      <w:marRight w:val="0"/>
      <w:marTop w:val="0"/>
      <w:marBottom w:val="0"/>
      <w:divBdr>
        <w:top w:val="none" w:sz="0" w:space="0" w:color="auto"/>
        <w:left w:val="none" w:sz="0" w:space="0" w:color="auto"/>
        <w:bottom w:val="none" w:sz="0" w:space="0" w:color="auto"/>
        <w:right w:val="none" w:sz="0" w:space="0" w:color="auto"/>
      </w:divBdr>
      <w:divsChild>
        <w:div w:id="1628270165">
          <w:marLeft w:val="0"/>
          <w:marRight w:val="0"/>
          <w:marTop w:val="0"/>
          <w:marBottom w:val="0"/>
          <w:divBdr>
            <w:top w:val="none" w:sz="0" w:space="0" w:color="auto"/>
            <w:left w:val="none" w:sz="0" w:space="0" w:color="auto"/>
            <w:bottom w:val="none" w:sz="0" w:space="0" w:color="auto"/>
            <w:right w:val="none" w:sz="0" w:space="0" w:color="auto"/>
          </w:divBdr>
          <w:divsChild>
            <w:div w:id="7901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21522">
      <w:bodyDiv w:val="1"/>
      <w:marLeft w:val="0"/>
      <w:marRight w:val="0"/>
      <w:marTop w:val="0"/>
      <w:marBottom w:val="0"/>
      <w:divBdr>
        <w:top w:val="none" w:sz="0" w:space="0" w:color="auto"/>
        <w:left w:val="none" w:sz="0" w:space="0" w:color="auto"/>
        <w:bottom w:val="none" w:sz="0" w:space="0" w:color="auto"/>
        <w:right w:val="none" w:sz="0" w:space="0" w:color="auto"/>
      </w:divBdr>
      <w:divsChild>
        <w:div w:id="1666204599">
          <w:marLeft w:val="0"/>
          <w:marRight w:val="0"/>
          <w:marTop w:val="0"/>
          <w:marBottom w:val="0"/>
          <w:divBdr>
            <w:top w:val="none" w:sz="0" w:space="0" w:color="auto"/>
            <w:left w:val="none" w:sz="0" w:space="0" w:color="auto"/>
            <w:bottom w:val="none" w:sz="0" w:space="0" w:color="auto"/>
            <w:right w:val="none" w:sz="0" w:space="0" w:color="auto"/>
          </w:divBdr>
          <w:divsChild>
            <w:div w:id="191420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01720">
      <w:bodyDiv w:val="1"/>
      <w:marLeft w:val="0"/>
      <w:marRight w:val="0"/>
      <w:marTop w:val="0"/>
      <w:marBottom w:val="0"/>
      <w:divBdr>
        <w:top w:val="none" w:sz="0" w:space="0" w:color="auto"/>
        <w:left w:val="none" w:sz="0" w:space="0" w:color="auto"/>
        <w:bottom w:val="none" w:sz="0" w:space="0" w:color="auto"/>
        <w:right w:val="none" w:sz="0" w:space="0" w:color="auto"/>
      </w:divBdr>
      <w:divsChild>
        <w:div w:id="2099908912">
          <w:marLeft w:val="0"/>
          <w:marRight w:val="0"/>
          <w:marTop w:val="0"/>
          <w:marBottom w:val="0"/>
          <w:divBdr>
            <w:top w:val="none" w:sz="0" w:space="0" w:color="auto"/>
            <w:left w:val="none" w:sz="0" w:space="0" w:color="auto"/>
            <w:bottom w:val="none" w:sz="0" w:space="0" w:color="auto"/>
            <w:right w:val="none" w:sz="0" w:space="0" w:color="auto"/>
          </w:divBdr>
          <w:divsChild>
            <w:div w:id="72660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FB6EA-AFBA-420A-8448-01E657717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6912</Words>
  <Characters>40248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Product Information for Instanyl Nasal Spray (Fentanyl citrate)</vt:lpstr>
    </vt:vector>
  </TitlesOfParts>
  <Company>Takeda Pharmaceuticals Australia Pty Ltd</Company>
  <LinksUpToDate>false</LinksUpToDate>
  <CharactersWithSpaces>47066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Instanyl Nasal Spray (Fentanyl citrate)</dc:title>
  <dc:subject>prescription medicine regulation</dc:subject>
  <dc:creator>Takeda Pharmaceuticals Australia Pty Ltd</dc:creator>
  <cp:keywords>pi, product information, prescription, medicine, instanyl, nasal spray, fentanyl citrate</cp:keywords>
  <cp:lastModifiedBy>Sheppard, Fran</cp:lastModifiedBy>
  <cp:revision>8</cp:revision>
  <cp:lastPrinted>2012-05-02T04:25:00Z</cp:lastPrinted>
  <dcterms:created xsi:type="dcterms:W3CDTF">2013-07-01T05:10:00Z</dcterms:created>
  <dcterms:modified xsi:type="dcterms:W3CDTF">2014-01-07T03:15:00Z</dcterms:modified>
</cp:coreProperties>
</file>