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1150AA" w:rsidP="00096AA7">
            <w:pPr>
              <w:rPr>
                <w:rFonts w:ascii="Arial" w:hAnsi="Arial" w:cs="Arial"/>
                <w:b/>
                <w:color w:val="002C47"/>
                <w:sz w:val="36"/>
                <w:szCs w:val="36"/>
              </w:rPr>
            </w:pPr>
            <w:r>
              <w:rPr>
                <w:rFonts w:ascii="Arial" w:hAnsi="Arial" w:cs="Arial"/>
                <w:b/>
                <w:color w:val="002C47"/>
                <w:sz w:val="36"/>
                <w:szCs w:val="36"/>
              </w:rPr>
              <w:t xml:space="preserve">November </w:t>
            </w:r>
            <w:r w:rsidR="000D7CD3">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0D7CD3">
              <w:rPr>
                <w:color w:val="FFFFFF"/>
              </w:rPr>
              <w:t xml:space="preserve">blic Assessment Report for </w:t>
            </w:r>
            <w:proofErr w:type="spellStart"/>
            <w:r w:rsidR="000D7CD3">
              <w:rPr>
                <w:color w:val="FFFFFF"/>
              </w:rPr>
              <w:t>f</w:t>
            </w:r>
            <w:r w:rsidR="000D7CD3" w:rsidRPr="000D7CD3">
              <w:rPr>
                <w:color w:val="FFFFFF"/>
              </w:rPr>
              <w:t>entanyl</w:t>
            </w:r>
            <w:proofErr w:type="spellEnd"/>
            <w:r w:rsidR="000D7CD3" w:rsidRPr="000D7CD3">
              <w:rPr>
                <w:color w:val="FFFFFF"/>
              </w:rPr>
              <w:t xml:space="preserve"> citrate</w:t>
            </w:r>
          </w:p>
        </w:tc>
      </w:tr>
      <w:tr w:rsidR="0032583B" w:rsidRPr="00B64760" w:rsidTr="0032583B">
        <w:tc>
          <w:tcPr>
            <w:tcW w:w="9079" w:type="dxa"/>
          </w:tcPr>
          <w:p w:rsidR="0032583B" w:rsidRPr="008E7846" w:rsidRDefault="00035654" w:rsidP="0032583B">
            <w:pPr>
              <w:pStyle w:val="Subtitle"/>
              <w:rPr>
                <w:color w:val="FFFFFF"/>
              </w:rPr>
            </w:pPr>
            <w:r>
              <w:rPr>
                <w:color w:val="FFFFFF"/>
              </w:rPr>
              <w:t xml:space="preserve">Proprietary Product Name: </w:t>
            </w:r>
            <w:proofErr w:type="spellStart"/>
            <w:r>
              <w:rPr>
                <w:color w:val="FFFFFF"/>
              </w:rPr>
              <w:t>Instanyl</w:t>
            </w:r>
            <w:proofErr w:type="spellEnd"/>
          </w:p>
        </w:tc>
      </w:tr>
      <w:tr w:rsidR="0032583B" w:rsidRPr="00B64760" w:rsidTr="0032583B">
        <w:trPr>
          <w:trHeight w:val="486"/>
        </w:trPr>
        <w:tc>
          <w:tcPr>
            <w:tcW w:w="9079" w:type="dxa"/>
          </w:tcPr>
          <w:p w:rsidR="0032583B" w:rsidRPr="008E7846" w:rsidRDefault="000D7CD3" w:rsidP="00BA44ED">
            <w:pPr>
              <w:pStyle w:val="Subtitle"/>
              <w:rPr>
                <w:color w:val="FFFFFF"/>
              </w:rPr>
            </w:pPr>
            <w:r>
              <w:rPr>
                <w:color w:val="FFFFFF"/>
              </w:rPr>
              <w:t xml:space="preserve">Sponsor: </w:t>
            </w:r>
            <w:r w:rsidR="00BA44ED">
              <w:rPr>
                <w:color w:val="FFFFFF"/>
              </w:rPr>
              <w:t>Takeda Pharmaceuticals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3C22AC" w:rsidRPr="00EB7050">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BD335D">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0871C1" w:rsidRDefault="008E7846" w:rsidP="000871C1">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0871C1" w:rsidRDefault="000871C1" w:rsidP="003C22AC">
      <w:pPr>
        <w:pStyle w:val="LegalCopy"/>
        <w:spacing w:before="3240"/>
        <w:rPr>
          <w:rFonts w:cs="Arial"/>
          <w:lang w:val="en-GB"/>
        </w:rPr>
      </w:pPr>
      <w:r w:rsidRPr="000871C1">
        <w:rPr>
          <w:rFonts w:cs="Arial"/>
          <w:b/>
          <w:lang w:val="en-GB"/>
        </w:rPr>
        <w:t>Copyright</w:t>
      </w:r>
      <w:r w:rsidRPr="000871C1">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p>
    <w:p w:rsidR="00924482" w:rsidRDefault="00924482" w:rsidP="00924482">
      <w:pPr>
        <w:pStyle w:val="LegalCopy"/>
        <w:rPr>
          <w:rFonts w:cs="Arial"/>
        </w:rPr>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0871C1" w:rsidRDefault="000871C1" w:rsidP="00924482">
      <w:pPr>
        <w:pStyle w:val="LegalCopy"/>
      </w:pP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701218" w:rsidRDefault="003775FD">
      <w:pPr>
        <w:pStyle w:val="TOC2"/>
        <w:rPr>
          <w:rFonts w:ascii="Calibri" w:eastAsia="Times New Roman" w:hAnsi="Calibri"/>
          <w:b w:val="0"/>
          <w:noProof/>
          <w:sz w:val="22"/>
          <w:lang w:eastAsia="en-AU"/>
        </w:rPr>
      </w:pPr>
      <w:r w:rsidRPr="003775FD">
        <w:fldChar w:fldCharType="begin"/>
      </w:r>
      <w:r w:rsidR="0089635C">
        <w:instrText xml:space="preserve"> TOC \o "1-3" \h \z \u </w:instrText>
      </w:r>
      <w:r w:rsidRPr="003775FD">
        <w:fldChar w:fldCharType="separate"/>
      </w:r>
      <w:hyperlink w:anchor="_Toc366842944" w:history="1">
        <w:r w:rsidR="00701218" w:rsidRPr="00806EDF">
          <w:rPr>
            <w:rStyle w:val="Hyperlink"/>
            <w:noProof/>
          </w:rPr>
          <w:t>I. Introduction to product submission</w:t>
        </w:r>
        <w:r w:rsidR="00701218">
          <w:rPr>
            <w:noProof/>
            <w:webHidden/>
          </w:rPr>
          <w:tab/>
        </w:r>
        <w:r>
          <w:rPr>
            <w:noProof/>
            <w:webHidden/>
          </w:rPr>
          <w:fldChar w:fldCharType="begin"/>
        </w:r>
        <w:r w:rsidR="00701218">
          <w:rPr>
            <w:noProof/>
            <w:webHidden/>
          </w:rPr>
          <w:instrText xml:space="preserve"> PAGEREF _Toc366842944 \h </w:instrText>
        </w:r>
        <w:r>
          <w:rPr>
            <w:noProof/>
            <w:webHidden/>
          </w:rPr>
        </w:r>
        <w:r>
          <w:rPr>
            <w:noProof/>
            <w:webHidden/>
          </w:rPr>
          <w:fldChar w:fldCharType="separate"/>
        </w:r>
        <w:r w:rsidR="000E3528">
          <w:rPr>
            <w:noProof/>
            <w:webHidden/>
          </w:rPr>
          <w:t>4</w:t>
        </w:r>
        <w:r>
          <w:rPr>
            <w:noProof/>
            <w:webHidden/>
          </w:rPr>
          <w:fldChar w:fldCharType="end"/>
        </w:r>
      </w:hyperlink>
    </w:p>
    <w:p w:rsidR="00701218" w:rsidRDefault="003775FD">
      <w:pPr>
        <w:pStyle w:val="TOC3"/>
        <w:rPr>
          <w:rFonts w:ascii="Calibri" w:eastAsia="Times New Roman" w:hAnsi="Calibri"/>
          <w:noProof/>
          <w:lang w:eastAsia="en-AU"/>
        </w:rPr>
      </w:pPr>
      <w:hyperlink w:anchor="_Toc366842945" w:history="1">
        <w:r w:rsidR="00701218" w:rsidRPr="00806EDF">
          <w:rPr>
            <w:rStyle w:val="Hyperlink"/>
            <w:noProof/>
            <w:lang w:eastAsia="en-AU"/>
          </w:rPr>
          <w:t>Submission details</w:t>
        </w:r>
        <w:r w:rsidR="00701218">
          <w:rPr>
            <w:noProof/>
            <w:webHidden/>
          </w:rPr>
          <w:tab/>
        </w:r>
        <w:r>
          <w:rPr>
            <w:noProof/>
            <w:webHidden/>
          </w:rPr>
          <w:fldChar w:fldCharType="begin"/>
        </w:r>
        <w:r w:rsidR="00701218">
          <w:rPr>
            <w:noProof/>
            <w:webHidden/>
          </w:rPr>
          <w:instrText xml:space="preserve"> PAGEREF _Toc366842945 \h </w:instrText>
        </w:r>
        <w:r>
          <w:rPr>
            <w:noProof/>
            <w:webHidden/>
          </w:rPr>
        </w:r>
        <w:r>
          <w:rPr>
            <w:noProof/>
            <w:webHidden/>
          </w:rPr>
          <w:fldChar w:fldCharType="separate"/>
        </w:r>
        <w:r w:rsidR="000E3528">
          <w:rPr>
            <w:noProof/>
            <w:webHidden/>
          </w:rPr>
          <w:t>4</w:t>
        </w:r>
        <w:r>
          <w:rPr>
            <w:noProof/>
            <w:webHidden/>
          </w:rPr>
          <w:fldChar w:fldCharType="end"/>
        </w:r>
      </w:hyperlink>
    </w:p>
    <w:p w:rsidR="00701218" w:rsidRDefault="003775FD">
      <w:pPr>
        <w:pStyle w:val="TOC3"/>
        <w:rPr>
          <w:rFonts w:ascii="Calibri" w:eastAsia="Times New Roman" w:hAnsi="Calibri"/>
          <w:noProof/>
          <w:lang w:eastAsia="en-AU"/>
        </w:rPr>
      </w:pPr>
      <w:hyperlink w:anchor="_Toc366842946" w:history="1">
        <w:r w:rsidR="00701218" w:rsidRPr="00806EDF">
          <w:rPr>
            <w:rStyle w:val="Hyperlink"/>
            <w:noProof/>
          </w:rPr>
          <w:t>Product background</w:t>
        </w:r>
        <w:r w:rsidR="00701218">
          <w:rPr>
            <w:noProof/>
            <w:webHidden/>
          </w:rPr>
          <w:tab/>
        </w:r>
        <w:r>
          <w:rPr>
            <w:noProof/>
            <w:webHidden/>
          </w:rPr>
          <w:fldChar w:fldCharType="begin"/>
        </w:r>
        <w:r w:rsidR="00701218">
          <w:rPr>
            <w:noProof/>
            <w:webHidden/>
          </w:rPr>
          <w:instrText xml:space="preserve"> PAGEREF _Toc366842946 \h </w:instrText>
        </w:r>
        <w:r>
          <w:rPr>
            <w:noProof/>
            <w:webHidden/>
          </w:rPr>
        </w:r>
        <w:r>
          <w:rPr>
            <w:noProof/>
            <w:webHidden/>
          </w:rPr>
          <w:fldChar w:fldCharType="separate"/>
        </w:r>
        <w:r w:rsidR="000E3528">
          <w:rPr>
            <w:noProof/>
            <w:webHidden/>
          </w:rPr>
          <w:t>4</w:t>
        </w:r>
        <w:r>
          <w:rPr>
            <w:noProof/>
            <w:webHidden/>
          </w:rPr>
          <w:fldChar w:fldCharType="end"/>
        </w:r>
      </w:hyperlink>
    </w:p>
    <w:p w:rsidR="00701218" w:rsidRDefault="003775FD">
      <w:pPr>
        <w:pStyle w:val="TOC3"/>
        <w:rPr>
          <w:rFonts w:ascii="Calibri" w:eastAsia="Times New Roman" w:hAnsi="Calibri"/>
          <w:noProof/>
          <w:lang w:eastAsia="en-AU"/>
        </w:rPr>
      </w:pPr>
      <w:hyperlink w:anchor="_Toc366842947" w:history="1">
        <w:r w:rsidR="00701218" w:rsidRPr="00806EDF">
          <w:rPr>
            <w:rStyle w:val="Hyperlink"/>
            <w:noProof/>
          </w:rPr>
          <w:t>Regulatory status</w:t>
        </w:r>
        <w:r w:rsidR="00701218">
          <w:rPr>
            <w:noProof/>
            <w:webHidden/>
          </w:rPr>
          <w:tab/>
        </w:r>
        <w:r>
          <w:rPr>
            <w:noProof/>
            <w:webHidden/>
          </w:rPr>
          <w:fldChar w:fldCharType="begin"/>
        </w:r>
        <w:r w:rsidR="00701218">
          <w:rPr>
            <w:noProof/>
            <w:webHidden/>
          </w:rPr>
          <w:instrText xml:space="preserve"> PAGEREF _Toc366842947 \h </w:instrText>
        </w:r>
        <w:r>
          <w:rPr>
            <w:noProof/>
            <w:webHidden/>
          </w:rPr>
        </w:r>
        <w:r>
          <w:rPr>
            <w:noProof/>
            <w:webHidden/>
          </w:rPr>
          <w:fldChar w:fldCharType="separate"/>
        </w:r>
        <w:r w:rsidR="000E3528">
          <w:rPr>
            <w:noProof/>
            <w:webHidden/>
          </w:rPr>
          <w:t>5</w:t>
        </w:r>
        <w:r>
          <w:rPr>
            <w:noProof/>
            <w:webHidden/>
          </w:rPr>
          <w:fldChar w:fldCharType="end"/>
        </w:r>
      </w:hyperlink>
    </w:p>
    <w:p w:rsidR="00701218" w:rsidRDefault="003775FD">
      <w:pPr>
        <w:pStyle w:val="TOC3"/>
        <w:rPr>
          <w:rFonts w:ascii="Calibri" w:eastAsia="Times New Roman" w:hAnsi="Calibri"/>
          <w:noProof/>
          <w:lang w:eastAsia="en-AU"/>
        </w:rPr>
      </w:pPr>
      <w:hyperlink w:anchor="_Toc366842948" w:history="1">
        <w:r w:rsidR="00701218" w:rsidRPr="00806EDF">
          <w:rPr>
            <w:rStyle w:val="Hyperlink"/>
            <w:noProof/>
          </w:rPr>
          <w:t>Product Information</w:t>
        </w:r>
        <w:r w:rsidR="00701218">
          <w:rPr>
            <w:noProof/>
            <w:webHidden/>
          </w:rPr>
          <w:tab/>
        </w:r>
        <w:r>
          <w:rPr>
            <w:noProof/>
            <w:webHidden/>
          </w:rPr>
          <w:fldChar w:fldCharType="begin"/>
        </w:r>
        <w:r w:rsidR="00701218">
          <w:rPr>
            <w:noProof/>
            <w:webHidden/>
          </w:rPr>
          <w:instrText xml:space="preserve"> PAGEREF _Toc366842948 \h </w:instrText>
        </w:r>
        <w:r>
          <w:rPr>
            <w:noProof/>
            <w:webHidden/>
          </w:rPr>
        </w:r>
        <w:r>
          <w:rPr>
            <w:noProof/>
            <w:webHidden/>
          </w:rPr>
          <w:fldChar w:fldCharType="separate"/>
        </w:r>
        <w:r w:rsidR="000E3528">
          <w:rPr>
            <w:noProof/>
            <w:webHidden/>
          </w:rPr>
          <w:t>6</w:t>
        </w:r>
        <w:r>
          <w:rPr>
            <w:noProof/>
            <w:webHidden/>
          </w:rPr>
          <w:fldChar w:fldCharType="end"/>
        </w:r>
      </w:hyperlink>
    </w:p>
    <w:p w:rsidR="00701218" w:rsidRDefault="003775FD">
      <w:pPr>
        <w:pStyle w:val="TOC2"/>
        <w:rPr>
          <w:rFonts w:ascii="Calibri" w:eastAsia="Times New Roman" w:hAnsi="Calibri"/>
          <w:b w:val="0"/>
          <w:noProof/>
          <w:sz w:val="22"/>
          <w:lang w:eastAsia="en-AU"/>
        </w:rPr>
      </w:pPr>
      <w:hyperlink w:anchor="_Toc366842949" w:history="1">
        <w:r w:rsidR="00701218" w:rsidRPr="00806EDF">
          <w:rPr>
            <w:rStyle w:val="Hyperlink"/>
            <w:noProof/>
          </w:rPr>
          <w:t>II. Quality findings</w:t>
        </w:r>
        <w:r w:rsidR="00701218">
          <w:rPr>
            <w:noProof/>
            <w:webHidden/>
          </w:rPr>
          <w:tab/>
        </w:r>
        <w:r>
          <w:rPr>
            <w:noProof/>
            <w:webHidden/>
          </w:rPr>
          <w:fldChar w:fldCharType="begin"/>
        </w:r>
        <w:r w:rsidR="00701218">
          <w:rPr>
            <w:noProof/>
            <w:webHidden/>
          </w:rPr>
          <w:instrText xml:space="preserve"> PAGEREF _Toc366842949 \h </w:instrText>
        </w:r>
        <w:r>
          <w:rPr>
            <w:noProof/>
            <w:webHidden/>
          </w:rPr>
        </w:r>
        <w:r>
          <w:rPr>
            <w:noProof/>
            <w:webHidden/>
          </w:rPr>
          <w:fldChar w:fldCharType="separate"/>
        </w:r>
        <w:r w:rsidR="000E3528">
          <w:rPr>
            <w:noProof/>
            <w:webHidden/>
          </w:rPr>
          <w:t>6</w:t>
        </w:r>
        <w:r>
          <w:rPr>
            <w:noProof/>
            <w:webHidden/>
          </w:rPr>
          <w:fldChar w:fldCharType="end"/>
        </w:r>
      </w:hyperlink>
    </w:p>
    <w:p w:rsidR="00701218" w:rsidRDefault="003775FD">
      <w:pPr>
        <w:pStyle w:val="TOC3"/>
        <w:rPr>
          <w:rFonts w:ascii="Calibri" w:eastAsia="Times New Roman" w:hAnsi="Calibri"/>
          <w:noProof/>
          <w:lang w:eastAsia="en-AU"/>
        </w:rPr>
      </w:pPr>
      <w:hyperlink w:anchor="_Toc366842950" w:history="1">
        <w:r w:rsidR="00701218" w:rsidRPr="00806EDF">
          <w:rPr>
            <w:rStyle w:val="Hyperlink"/>
            <w:noProof/>
          </w:rPr>
          <w:t>Drug substance (active ingredient)</w:t>
        </w:r>
        <w:r w:rsidR="00701218">
          <w:rPr>
            <w:noProof/>
            <w:webHidden/>
          </w:rPr>
          <w:tab/>
        </w:r>
        <w:r>
          <w:rPr>
            <w:noProof/>
            <w:webHidden/>
          </w:rPr>
          <w:fldChar w:fldCharType="begin"/>
        </w:r>
        <w:r w:rsidR="00701218">
          <w:rPr>
            <w:noProof/>
            <w:webHidden/>
          </w:rPr>
          <w:instrText xml:space="preserve"> PAGEREF _Toc366842950 \h </w:instrText>
        </w:r>
        <w:r>
          <w:rPr>
            <w:noProof/>
            <w:webHidden/>
          </w:rPr>
        </w:r>
        <w:r>
          <w:rPr>
            <w:noProof/>
            <w:webHidden/>
          </w:rPr>
          <w:fldChar w:fldCharType="separate"/>
        </w:r>
        <w:r w:rsidR="000E3528">
          <w:rPr>
            <w:noProof/>
            <w:webHidden/>
          </w:rPr>
          <w:t>6</w:t>
        </w:r>
        <w:r>
          <w:rPr>
            <w:noProof/>
            <w:webHidden/>
          </w:rPr>
          <w:fldChar w:fldCharType="end"/>
        </w:r>
      </w:hyperlink>
    </w:p>
    <w:p w:rsidR="00701218" w:rsidRDefault="003775FD">
      <w:pPr>
        <w:pStyle w:val="TOC3"/>
        <w:rPr>
          <w:rFonts w:ascii="Calibri" w:eastAsia="Times New Roman" w:hAnsi="Calibri"/>
          <w:noProof/>
          <w:lang w:eastAsia="en-AU"/>
        </w:rPr>
      </w:pPr>
      <w:hyperlink w:anchor="_Toc366842951" w:history="1">
        <w:r w:rsidR="00701218" w:rsidRPr="00806EDF">
          <w:rPr>
            <w:rStyle w:val="Hyperlink"/>
            <w:noProof/>
          </w:rPr>
          <w:t>Drug product</w:t>
        </w:r>
        <w:r w:rsidR="00701218">
          <w:rPr>
            <w:noProof/>
            <w:webHidden/>
          </w:rPr>
          <w:tab/>
        </w:r>
        <w:r>
          <w:rPr>
            <w:noProof/>
            <w:webHidden/>
          </w:rPr>
          <w:fldChar w:fldCharType="begin"/>
        </w:r>
        <w:r w:rsidR="00701218">
          <w:rPr>
            <w:noProof/>
            <w:webHidden/>
          </w:rPr>
          <w:instrText xml:space="preserve"> PAGEREF _Toc366842951 \h </w:instrText>
        </w:r>
        <w:r>
          <w:rPr>
            <w:noProof/>
            <w:webHidden/>
          </w:rPr>
        </w:r>
        <w:r>
          <w:rPr>
            <w:noProof/>
            <w:webHidden/>
          </w:rPr>
          <w:fldChar w:fldCharType="separate"/>
        </w:r>
        <w:r w:rsidR="000E3528">
          <w:rPr>
            <w:noProof/>
            <w:webHidden/>
          </w:rPr>
          <w:t>7</w:t>
        </w:r>
        <w:r>
          <w:rPr>
            <w:noProof/>
            <w:webHidden/>
          </w:rPr>
          <w:fldChar w:fldCharType="end"/>
        </w:r>
      </w:hyperlink>
    </w:p>
    <w:p w:rsidR="00701218" w:rsidRDefault="003775FD">
      <w:pPr>
        <w:pStyle w:val="TOC3"/>
        <w:rPr>
          <w:rFonts w:ascii="Calibri" w:eastAsia="Times New Roman" w:hAnsi="Calibri"/>
          <w:noProof/>
          <w:lang w:eastAsia="en-AU"/>
        </w:rPr>
      </w:pPr>
      <w:hyperlink w:anchor="_Toc366842952" w:history="1">
        <w:r w:rsidR="00701218" w:rsidRPr="00806EDF">
          <w:rPr>
            <w:rStyle w:val="Hyperlink"/>
            <w:noProof/>
          </w:rPr>
          <w:t>Biopharmaceutics</w:t>
        </w:r>
        <w:r w:rsidR="00701218">
          <w:rPr>
            <w:noProof/>
            <w:webHidden/>
          </w:rPr>
          <w:tab/>
        </w:r>
        <w:r>
          <w:rPr>
            <w:noProof/>
            <w:webHidden/>
          </w:rPr>
          <w:fldChar w:fldCharType="begin"/>
        </w:r>
        <w:r w:rsidR="00701218">
          <w:rPr>
            <w:noProof/>
            <w:webHidden/>
          </w:rPr>
          <w:instrText xml:space="preserve"> PAGEREF _Toc366842952 \h </w:instrText>
        </w:r>
        <w:r>
          <w:rPr>
            <w:noProof/>
            <w:webHidden/>
          </w:rPr>
        </w:r>
        <w:r>
          <w:rPr>
            <w:noProof/>
            <w:webHidden/>
          </w:rPr>
          <w:fldChar w:fldCharType="separate"/>
        </w:r>
        <w:r w:rsidR="000E3528">
          <w:rPr>
            <w:noProof/>
            <w:webHidden/>
          </w:rPr>
          <w:t>8</w:t>
        </w:r>
        <w:r>
          <w:rPr>
            <w:noProof/>
            <w:webHidden/>
          </w:rPr>
          <w:fldChar w:fldCharType="end"/>
        </w:r>
      </w:hyperlink>
    </w:p>
    <w:p w:rsidR="00701218" w:rsidRDefault="003775FD">
      <w:pPr>
        <w:pStyle w:val="TOC3"/>
        <w:rPr>
          <w:rFonts w:ascii="Calibri" w:eastAsia="Times New Roman" w:hAnsi="Calibri"/>
          <w:noProof/>
          <w:lang w:eastAsia="en-AU"/>
        </w:rPr>
      </w:pPr>
      <w:hyperlink w:anchor="_Toc366842953" w:history="1">
        <w:r w:rsidR="00701218" w:rsidRPr="00806EDF">
          <w:rPr>
            <w:rStyle w:val="Hyperlink"/>
            <w:noProof/>
          </w:rPr>
          <w:t>Quality summary and conclusions</w:t>
        </w:r>
        <w:r w:rsidR="00701218">
          <w:rPr>
            <w:noProof/>
            <w:webHidden/>
          </w:rPr>
          <w:tab/>
        </w:r>
        <w:r>
          <w:rPr>
            <w:noProof/>
            <w:webHidden/>
          </w:rPr>
          <w:fldChar w:fldCharType="begin"/>
        </w:r>
        <w:r w:rsidR="00701218">
          <w:rPr>
            <w:noProof/>
            <w:webHidden/>
          </w:rPr>
          <w:instrText xml:space="preserve"> PAGEREF _Toc366842953 \h </w:instrText>
        </w:r>
        <w:r>
          <w:rPr>
            <w:noProof/>
            <w:webHidden/>
          </w:rPr>
        </w:r>
        <w:r>
          <w:rPr>
            <w:noProof/>
            <w:webHidden/>
          </w:rPr>
          <w:fldChar w:fldCharType="separate"/>
        </w:r>
        <w:r w:rsidR="000E3528">
          <w:rPr>
            <w:noProof/>
            <w:webHidden/>
          </w:rPr>
          <w:t>8</w:t>
        </w:r>
        <w:r>
          <w:rPr>
            <w:noProof/>
            <w:webHidden/>
          </w:rPr>
          <w:fldChar w:fldCharType="end"/>
        </w:r>
      </w:hyperlink>
    </w:p>
    <w:p w:rsidR="00701218" w:rsidRDefault="003775FD">
      <w:pPr>
        <w:pStyle w:val="TOC2"/>
        <w:rPr>
          <w:rFonts w:ascii="Calibri" w:eastAsia="Times New Roman" w:hAnsi="Calibri"/>
          <w:b w:val="0"/>
          <w:noProof/>
          <w:sz w:val="22"/>
          <w:lang w:eastAsia="en-AU"/>
        </w:rPr>
      </w:pPr>
      <w:hyperlink w:anchor="_Toc366842954" w:history="1">
        <w:r w:rsidR="00701218" w:rsidRPr="00806EDF">
          <w:rPr>
            <w:rStyle w:val="Hyperlink"/>
            <w:noProof/>
          </w:rPr>
          <w:t>III. Nonclinical findings</w:t>
        </w:r>
        <w:r w:rsidR="00701218">
          <w:rPr>
            <w:noProof/>
            <w:webHidden/>
          </w:rPr>
          <w:tab/>
        </w:r>
        <w:r>
          <w:rPr>
            <w:noProof/>
            <w:webHidden/>
          </w:rPr>
          <w:fldChar w:fldCharType="begin"/>
        </w:r>
        <w:r w:rsidR="00701218">
          <w:rPr>
            <w:noProof/>
            <w:webHidden/>
          </w:rPr>
          <w:instrText xml:space="preserve"> PAGEREF _Toc366842954 \h </w:instrText>
        </w:r>
        <w:r>
          <w:rPr>
            <w:noProof/>
            <w:webHidden/>
          </w:rPr>
        </w:r>
        <w:r>
          <w:rPr>
            <w:noProof/>
            <w:webHidden/>
          </w:rPr>
          <w:fldChar w:fldCharType="separate"/>
        </w:r>
        <w:r w:rsidR="000E3528">
          <w:rPr>
            <w:noProof/>
            <w:webHidden/>
          </w:rPr>
          <w:t>9</w:t>
        </w:r>
        <w:r>
          <w:rPr>
            <w:noProof/>
            <w:webHidden/>
          </w:rPr>
          <w:fldChar w:fldCharType="end"/>
        </w:r>
      </w:hyperlink>
    </w:p>
    <w:p w:rsidR="00701218" w:rsidRDefault="003775FD">
      <w:pPr>
        <w:pStyle w:val="TOC3"/>
        <w:rPr>
          <w:rFonts w:ascii="Calibri" w:eastAsia="Times New Roman" w:hAnsi="Calibri"/>
          <w:noProof/>
          <w:lang w:eastAsia="en-AU"/>
        </w:rPr>
      </w:pPr>
      <w:hyperlink w:anchor="_Toc366842955" w:history="1">
        <w:r w:rsidR="00701218" w:rsidRPr="00806EDF">
          <w:rPr>
            <w:rStyle w:val="Hyperlink"/>
            <w:noProof/>
          </w:rPr>
          <w:t>Introduction</w:t>
        </w:r>
        <w:r w:rsidR="00701218">
          <w:rPr>
            <w:noProof/>
            <w:webHidden/>
          </w:rPr>
          <w:tab/>
        </w:r>
        <w:r>
          <w:rPr>
            <w:noProof/>
            <w:webHidden/>
          </w:rPr>
          <w:fldChar w:fldCharType="begin"/>
        </w:r>
        <w:r w:rsidR="00701218">
          <w:rPr>
            <w:noProof/>
            <w:webHidden/>
          </w:rPr>
          <w:instrText xml:space="preserve"> PAGEREF _Toc366842955 \h </w:instrText>
        </w:r>
        <w:r>
          <w:rPr>
            <w:noProof/>
            <w:webHidden/>
          </w:rPr>
        </w:r>
        <w:r>
          <w:rPr>
            <w:noProof/>
            <w:webHidden/>
          </w:rPr>
          <w:fldChar w:fldCharType="separate"/>
        </w:r>
        <w:r w:rsidR="000E3528">
          <w:rPr>
            <w:noProof/>
            <w:webHidden/>
          </w:rPr>
          <w:t>9</w:t>
        </w:r>
        <w:r>
          <w:rPr>
            <w:noProof/>
            <w:webHidden/>
          </w:rPr>
          <w:fldChar w:fldCharType="end"/>
        </w:r>
      </w:hyperlink>
    </w:p>
    <w:p w:rsidR="00701218" w:rsidRDefault="003775FD">
      <w:pPr>
        <w:pStyle w:val="TOC3"/>
        <w:rPr>
          <w:rFonts w:ascii="Calibri" w:eastAsia="Times New Roman" w:hAnsi="Calibri"/>
          <w:noProof/>
          <w:lang w:eastAsia="en-AU"/>
        </w:rPr>
      </w:pPr>
      <w:hyperlink w:anchor="_Toc366842956" w:history="1">
        <w:r w:rsidR="00701218" w:rsidRPr="00806EDF">
          <w:rPr>
            <w:rStyle w:val="Hyperlink"/>
            <w:noProof/>
          </w:rPr>
          <w:t>Pharmacology</w:t>
        </w:r>
        <w:r w:rsidR="00701218">
          <w:rPr>
            <w:noProof/>
            <w:webHidden/>
          </w:rPr>
          <w:tab/>
        </w:r>
        <w:r>
          <w:rPr>
            <w:noProof/>
            <w:webHidden/>
          </w:rPr>
          <w:fldChar w:fldCharType="begin"/>
        </w:r>
        <w:r w:rsidR="00701218">
          <w:rPr>
            <w:noProof/>
            <w:webHidden/>
          </w:rPr>
          <w:instrText xml:space="preserve"> PAGEREF _Toc366842956 \h </w:instrText>
        </w:r>
        <w:r>
          <w:rPr>
            <w:noProof/>
            <w:webHidden/>
          </w:rPr>
        </w:r>
        <w:r>
          <w:rPr>
            <w:noProof/>
            <w:webHidden/>
          </w:rPr>
          <w:fldChar w:fldCharType="separate"/>
        </w:r>
        <w:r w:rsidR="000E3528">
          <w:rPr>
            <w:noProof/>
            <w:webHidden/>
          </w:rPr>
          <w:t>9</w:t>
        </w:r>
        <w:r>
          <w:rPr>
            <w:noProof/>
            <w:webHidden/>
          </w:rPr>
          <w:fldChar w:fldCharType="end"/>
        </w:r>
      </w:hyperlink>
    </w:p>
    <w:p w:rsidR="00701218" w:rsidRDefault="003775FD">
      <w:pPr>
        <w:pStyle w:val="TOC3"/>
        <w:rPr>
          <w:rFonts w:ascii="Calibri" w:eastAsia="Times New Roman" w:hAnsi="Calibri"/>
          <w:noProof/>
          <w:lang w:eastAsia="en-AU"/>
        </w:rPr>
      </w:pPr>
      <w:hyperlink w:anchor="_Toc366842957" w:history="1">
        <w:r w:rsidR="00701218" w:rsidRPr="00806EDF">
          <w:rPr>
            <w:rStyle w:val="Hyperlink"/>
            <w:noProof/>
          </w:rPr>
          <w:t>Pharmacokinetics</w:t>
        </w:r>
        <w:r w:rsidR="00701218">
          <w:rPr>
            <w:noProof/>
            <w:webHidden/>
          </w:rPr>
          <w:tab/>
        </w:r>
        <w:r>
          <w:rPr>
            <w:noProof/>
            <w:webHidden/>
          </w:rPr>
          <w:fldChar w:fldCharType="begin"/>
        </w:r>
        <w:r w:rsidR="00701218">
          <w:rPr>
            <w:noProof/>
            <w:webHidden/>
          </w:rPr>
          <w:instrText xml:space="preserve"> PAGEREF _Toc366842957 \h </w:instrText>
        </w:r>
        <w:r>
          <w:rPr>
            <w:noProof/>
            <w:webHidden/>
          </w:rPr>
        </w:r>
        <w:r>
          <w:rPr>
            <w:noProof/>
            <w:webHidden/>
          </w:rPr>
          <w:fldChar w:fldCharType="separate"/>
        </w:r>
        <w:r w:rsidR="000E3528">
          <w:rPr>
            <w:noProof/>
            <w:webHidden/>
          </w:rPr>
          <w:t>10</w:t>
        </w:r>
        <w:r>
          <w:rPr>
            <w:noProof/>
            <w:webHidden/>
          </w:rPr>
          <w:fldChar w:fldCharType="end"/>
        </w:r>
      </w:hyperlink>
    </w:p>
    <w:p w:rsidR="00701218" w:rsidRDefault="003775FD">
      <w:pPr>
        <w:pStyle w:val="TOC3"/>
        <w:rPr>
          <w:rFonts w:ascii="Calibri" w:eastAsia="Times New Roman" w:hAnsi="Calibri"/>
          <w:noProof/>
          <w:lang w:eastAsia="en-AU"/>
        </w:rPr>
      </w:pPr>
      <w:hyperlink w:anchor="_Toc366842958" w:history="1">
        <w:r w:rsidR="00701218" w:rsidRPr="00806EDF">
          <w:rPr>
            <w:rStyle w:val="Hyperlink"/>
            <w:noProof/>
          </w:rPr>
          <w:t>Toxicology</w:t>
        </w:r>
        <w:r w:rsidR="00701218">
          <w:rPr>
            <w:noProof/>
            <w:webHidden/>
          </w:rPr>
          <w:tab/>
        </w:r>
        <w:r>
          <w:rPr>
            <w:noProof/>
            <w:webHidden/>
          </w:rPr>
          <w:fldChar w:fldCharType="begin"/>
        </w:r>
        <w:r w:rsidR="00701218">
          <w:rPr>
            <w:noProof/>
            <w:webHidden/>
          </w:rPr>
          <w:instrText xml:space="preserve"> PAGEREF _Toc366842958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59" w:history="1">
        <w:r w:rsidR="00701218" w:rsidRPr="00806EDF">
          <w:rPr>
            <w:rStyle w:val="Hyperlink"/>
            <w:noProof/>
          </w:rPr>
          <w:t>Nonclinical summary and conclusions</w:t>
        </w:r>
        <w:r w:rsidR="00701218">
          <w:rPr>
            <w:noProof/>
            <w:webHidden/>
          </w:rPr>
          <w:tab/>
        </w:r>
        <w:r>
          <w:rPr>
            <w:noProof/>
            <w:webHidden/>
          </w:rPr>
          <w:fldChar w:fldCharType="begin"/>
        </w:r>
        <w:r w:rsidR="00701218">
          <w:rPr>
            <w:noProof/>
            <w:webHidden/>
          </w:rPr>
          <w:instrText xml:space="preserve"> PAGEREF _Toc366842959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2"/>
        <w:rPr>
          <w:rFonts w:ascii="Calibri" w:eastAsia="Times New Roman" w:hAnsi="Calibri"/>
          <w:b w:val="0"/>
          <w:noProof/>
          <w:sz w:val="22"/>
          <w:lang w:eastAsia="en-AU"/>
        </w:rPr>
      </w:pPr>
      <w:hyperlink w:anchor="_Toc366842960" w:history="1">
        <w:r w:rsidR="00701218" w:rsidRPr="00806EDF">
          <w:rPr>
            <w:rStyle w:val="Hyperlink"/>
            <w:noProof/>
          </w:rPr>
          <w:t>IV. Clinical findings</w:t>
        </w:r>
        <w:r w:rsidR="00701218">
          <w:rPr>
            <w:noProof/>
            <w:webHidden/>
          </w:rPr>
          <w:tab/>
        </w:r>
        <w:r>
          <w:rPr>
            <w:noProof/>
            <w:webHidden/>
          </w:rPr>
          <w:fldChar w:fldCharType="begin"/>
        </w:r>
        <w:r w:rsidR="00701218">
          <w:rPr>
            <w:noProof/>
            <w:webHidden/>
          </w:rPr>
          <w:instrText xml:space="preserve"> PAGEREF _Toc366842960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61" w:history="1">
        <w:r w:rsidR="00701218" w:rsidRPr="00806EDF">
          <w:rPr>
            <w:rStyle w:val="Hyperlink"/>
            <w:noProof/>
          </w:rPr>
          <w:t>Introduction</w:t>
        </w:r>
        <w:r w:rsidR="00701218">
          <w:rPr>
            <w:noProof/>
            <w:webHidden/>
          </w:rPr>
          <w:tab/>
        </w:r>
        <w:r>
          <w:rPr>
            <w:noProof/>
            <w:webHidden/>
          </w:rPr>
          <w:fldChar w:fldCharType="begin"/>
        </w:r>
        <w:r w:rsidR="00701218">
          <w:rPr>
            <w:noProof/>
            <w:webHidden/>
          </w:rPr>
          <w:instrText xml:space="preserve"> PAGEREF _Toc366842961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62" w:history="1">
        <w:r w:rsidR="00701218" w:rsidRPr="00806EDF">
          <w:rPr>
            <w:rStyle w:val="Hyperlink"/>
            <w:noProof/>
          </w:rPr>
          <w:t>Pharmacokinetics</w:t>
        </w:r>
        <w:r w:rsidR="00701218">
          <w:rPr>
            <w:noProof/>
            <w:webHidden/>
          </w:rPr>
          <w:tab/>
        </w:r>
        <w:r>
          <w:rPr>
            <w:noProof/>
            <w:webHidden/>
          </w:rPr>
          <w:fldChar w:fldCharType="begin"/>
        </w:r>
        <w:r w:rsidR="00701218">
          <w:rPr>
            <w:noProof/>
            <w:webHidden/>
          </w:rPr>
          <w:instrText xml:space="preserve"> PAGEREF _Toc366842962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63" w:history="1">
        <w:r w:rsidR="00701218" w:rsidRPr="00806EDF">
          <w:rPr>
            <w:rStyle w:val="Hyperlink"/>
            <w:noProof/>
          </w:rPr>
          <w:t>Pharmacodynamics</w:t>
        </w:r>
        <w:r w:rsidR="00701218">
          <w:rPr>
            <w:noProof/>
            <w:webHidden/>
          </w:rPr>
          <w:tab/>
        </w:r>
        <w:r>
          <w:rPr>
            <w:noProof/>
            <w:webHidden/>
          </w:rPr>
          <w:fldChar w:fldCharType="begin"/>
        </w:r>
        <w:r w:rsidR="00701218">
          <w:rPr>
            <w:noProof/>
            <w:webHidden/>
          </w:rPr>
          <w:instrText xml:space="preserve"> PAGEREF _Toc366842963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64" w:history="1">
        <w:r w:rsidR="00701218" w:rsidRPr="00806EDF">
          <w:rPr>
            <w:rStyle w:val="Hyperlink"/>
            <w:noProof/>
          </w:rPr>
          <w:t>Efficacy</w:t>
        </w:r>
        <w:r w:rsidR="00701218">
          <w:rPr>
            <w:noProof/>
            <w:webHidden/>
          </w:rPr>
          <w:tab/>
        </w:r>
        <w:r>
          <w:rPr>
            <w:noProof/>
            <w:webHidden/>
          </w:rPr>
          <w:fldChar w:fldCharType="begin"/>
        </w:r>
        <w:r w:rsidR="00701218">
          <w:rPr>
            <w:noProof/>
            <w:webHidden/>
          </w:rPr>
          <w:instrText xml:space="preserve"> PAGEREF _Toc366842964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65" w:history="1">
        <w:r w:rsidR="00701218" w:rsidRPr="00806EDF">
          <w:rPr>
            <w:rStyle w:val="Hyperlink"/>
            <w:noProof/>
          </w:rPr>
          <w:t>Safety</w:t>
        </w:r>
        <w:r w:rsidR="00701218">
          <w:rPr>
            <w:noProof/>
            <w:webHidden/>
          </w:rPr>
          <w:tab/>
        </w:r>
        <w:r>
          <w:rPr>
            <w:noProof/>
            <w:webHidden/>
          </w:rPr>
          <w:fldChar w:fldCharType="begin"/>
        </w:r>
        <w:r w:rsidR="00701218">
          <w:rPr>
            <w:noProof/>
            <w:webHidden/>
          </w:rPr>
          <w:instrText xml:space="preserve"> PAGEREF _Toc366842965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66" w:history="1">
        <w:r w:rsidR="00701218" w:rsidRPr="00806EDF">
          <w:rPr>
            <w:rStyle w:val="Hyperlink"/>
            <w:noProof/>
          </w:rPr>
          <w:t>List of questions</w:t>
        </w:r>
        <w:r w:rsidR="00701218">
          <w:rPr>
            <w:noProof/>
            <w:webHidden/>
          </w:rPr>
          <w:tab/>
        </w:r>
        <w:r>
          <w:rPr>
            <w:noProof/>
            <w:webHidden/>
          </w:rPr>
          <w:fldChar w:fldCharType="begin"/>
        </w:r>
        <w:r w:rsidR="00701218">
          <w:rPr>
            <w:noProof/>
            <w:webHidden/>
          </w:rPr>
          <w:instrText xml:space="preserve"> PAGEREF _Toc366842966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67" w:history="1">
        <w:r w:rsidR="00701218" w:rsidRPr="00806EDF">
          <w:rPr>
            <w:rStyle w:val="Hyperlink"/>
            <w:noProof/>
          </w:rPr>
          <w:t>Clinical summary and conclusions</w:t>
        </w:r>
        <w:r w:rsidR="00701218">
          <w:rPr>
            <w:noProof/>
            <w:webHidden/>
          </w:rPr>
          <w:tab/>
        </w:r>
        <w:r>
          <w:rPr>
            <w:noProof/>
            <w:webHidden/>
          </w:rPr>
          <w:fldChar w:fldCharType="begin"/>
        </w:r>
        <w:r w:rsidR="00701218">
          <w:rPr>
            <w:noProof/>
            <w:webHidden/>
          </w:rPr>
          <w:instrText xml:space="preserve"> PAGEREF _Toc366842967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2"/>
        <w:rPr>
          <w:rFonts w:ascii="Calibri" w:eastAsia="Times New Roman" w:hAnsi="Calibri"/>
          <w:b w:val="0"/>
          <w:noProof/>
          <w:sz w:val="22"/>
          <w:lang w:eastAsia="en-AU"/>
        </w:rPr>
      </w:pPr>
      <w:hyperlink w:anchor="_Toc366842968" w:history="1">
        <w:r w:rsidR="00701218" w:rsidRPr="00806EDF">
          <w:rPr>
            <w:rStyle w:val="Hyperlink"/>
            <w:noProof/>
          </w:rPr>
          <w:t>V. Pharmacovigilance findings</w:t>
        </w:r>
        <w:r w:rsidR="00701218">
          <w:rPr>
            <w:noProof/>
            <w:webHidden/>
          </w:rPr>
          <w:tab/>
        </w:r>
        <w:r>
          <w:rPr>
            <w:noProof/>
            <w:webHidden/>
          </w:rPr>
          <w:fldChar w:fldCharType="begin"/>
        </w:r>
        <w:r w:rsidR="00701218">
          <w:rPr>
            <w:noProof/>
            <w:webHidden/>
          </w:rPr>
          <w:instrText xml:space="preserve"> PAGEREF _Toc366842968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69" w:history="1">
        <w:r w:rsidR="00701218" w:rsidRPr="00806EDF">
          <w:rPr>
            <w:rStyle w:val="Hyperlink"/>
            <w:noProof/>
            <w:lang w:eastAsia="en-AU"/>
          </w:rPr>
          <w:t>Risk management plan</w:t>
        </w:r>
        <w:r w:rsidR="00701218">
          <w:rPr>
            <w:noProof/>
            <w:webHidden/>
          </w:rPr>
          <w:tab/>
        </w:r>
        <w:r>
          <w:rPr>
            <w:noProof/>
            <w:webHidden/>
          </w:rPr>
          <w:fldChar w:fldCharType="begin"/>
        </w:r>
        <w:r w:rsidR="00701218">
          <w:rPr>
            <w:noProof/>
            <w:webHidden/>
          </w:rPr>
          <w:instrText xml:space="preserve"> PAGEREF _Toc366842969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2"/>
        <w:rPr>
          <w:rFonts w:ascii="Calibri" w:eastAsia="Times New Roman" w:hAnsi="Calibri"/>
          <w:b w:val="0"/>
          <w:noProof/>
          <w:sz w:val="22"/>
          <w:lang w:eastAsia="en-AU"/>
        </w:rPr>
      </w:pPr>
      <w:hyperlink w:anchor="_Toc366842970" w:history="1">
        <w:r w:rsidR="00701218" w:rsidRPr="00806EDF">
          <w:rPr>
            <w:rStyle w:val="Hyperlink"/>
            <w:noProof/>
          </w:rPr>
          <w:t>VI. Overall conclusion and risk/benefit assessment</w:t>
        </w:r>
        <w:r w:rsidR="00701218">
          <w:rPr>
            <w:noProof/>
            <w:webHidden/>
          </w:rPr>
          <w:tab/>
        </w:r>
        <w:r>
          <w:rPr>
            <w:noProof/>
            <w:webHidden/>
          </w:rPr>
          <w:fldChar w:fldCharType="begin"/>
        </w:r>
        <w:r w:rsidR="00701218">
          <w:rPr>
            <w:noProof/>
            <w:webHidden/>
          </w:rPr>
          <w:instrText xml:space="preserve"> PAGEREF _Toc366842970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71" w:history="1">
        <w:r w:rsidR="00701218" w:rsidRPr="00806EDF">
          <w:rPr>
            <w:rStyle w:val="Hyperlink"/>
            <w:noProof/>
          </w:rPr>
          <w:t>Quality</w:t>
        </w:r>
        <w:r w:rsidR="00701218">
          <w:rPr>
            <w:noProof/>
            <w:webHidden/>
          </w:rPr>
          <w:tab/>
        </w:r>
        <w:r>
          <w:rPr>
            <w:noProof/>
            <w:webHidden/>
          </w:rPr>
          <w:fldChar w:fldCharType="begin"/>
        </w:r>
        <w:r w:rsidR="00701218">
          <w:rPr>
            <w:noProof/>
            <w:webHidden/>
          </w:rPr>
          <w:instrText xml:space="preserve"> PAGEREF _Toc366842971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72" w:history="1">
        <w:r w:rsidR="00701218" w:rsidRPr="00806EDF">
          <w:rPr>
            <w:rStyle w:val="Hyperlink"/>
            <w:noProof/>
          </w:rPr>
          <w:t>Nonclinical</w:t>
        </w:r>
        <w:r w:rsidR="00701218">
          <w:rPr>
            <w:noProof/>
            <w:webHidden/>
          </w:rPr>
          <w:tab/>
        </w:r>
        <w:r>
          <w:rPr>
            <w:noProof/>
            <w:webHidden/>
          </w:rPr>
          <w:fldChar w:fldCharType="begin"/>
        </w:r>
        <w:r w:rsidR="00701218">
          <w:rPr>
            <w:noProof/>
            <w:webHidden/>
          </w:rPr>
          <w:instrText xml:space="preserve"> PAGEREF _Toc366842972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73" w:history="1">
        <w:r w:rsidR="00701218" w:rsidRPr="00806EDF">
          <w:rPr>
            <w:rStyle w:val="Hyperlink"/>
            <w:noProof/>
          </w:rPr>
          <w:t>Clinical</w:t>
        </w:r>
        <w:r w:rsidR="00701218">
          <w:rPr>
            <w:noProof/>
            <w:webHidden/>
          </w:rPr>
          <w:tab/>
        </w:r>
        <w:r>
          <w:rPr>
            <w:noProof/>
            <w:webHidden/>
          </w:rPr>
          <w:fldChar w:fldCharType="begin"/>
        </w:r>
        <w:r w:rsidR="00701218">
          <w:rPr>
            <w:noProof/>
            <w:webHidden/>
          </w:rPr>
          <w:instrText xml:space="preserve"> PAGEREF _Toc366842973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74" w:history="1">
        <w:r w:rsidR="00701218" w:rsidRPr="00806EDF">
          <w:rPr>
            <w:rStyle w:val="Hyperlink"/>
            <w:noProof/>
            <w:lang w:eastAsia="en-AU"/>
          </w:rPr>
          <w:t>Risk management plan</w:t>
        </w:r>
        <w:r w:rsidR="00701218">
          <w:rPr>
            <w:noProof/>
            <w:webHidden/>
          </w:rPr>
          <w:tab/>
        </w:r>
        <w:r>
          <w:rPr>
            <w:noProof/>
            <w:webHidden/>
          </w:rPr>
          <w:fldChar w:fldCharType="begin"/>
        </w:r>
        <w:r w:rsidR="00701218">
          <w:rPr>
            <w:noProof/>
            <w:webHidden/>
          </w:rPr>
          <w:instrText xml:space="preserve"> PAGEREF _Toc366842974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75" w:history="1">
        <w:r w:rsidR="00701218" w:rsidRPr="00806EDF">
          <w:rPr>
            <w:rStyle w:val="Hyperlink"/>
            <w:noProof/>
          </w:rPr>
          <w:t>Risk-benefit analysis</w:t>
        </w:r>
        <w:r w:rsidR="00701218">
          <w:rPr>
            <w:noProof/>
            <w:webHidden/>
          </w:rPr>
          <w:tab/>
        </w:r>
        <w:r>
          <w:rPr>
            <w:noProof/>
            <w:webHidden/>
          </w:rPr>
          <w:fldChar w:fldCharType="begin"/>
        </w:r>
        <w:r w:rsidR="00701218">
          <w:rPr>
            <w:noProof/>
            <w:webHidden/>
          </w:rPr>
          <w:instrText xml:space="preserve"> PAGEREF _Toc366842975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3"/>
        <w:rPr>
          <w:rFonts w:ascii="Calibri" w:eastAsia="Times New Roman" w:hAnsi="Calibri"/>
          <w:noProof/>
          <w:lang w:eastAsia="en-AU"/>
        </w:rPr>
      </w:pPr>
      <w:hyperlink w:anchor="_Toc366842976" w:history="1">
        <w:r w:rsidR="00701218" w:rsidRPr="00806EDF">
          <w:rPr>
            <w:rStyle w:val="Hyperlink"/>
            <w:noProof/>
          </w:rPr>
          <w:t>Outcome</w:t>
        </w:r>
        <w:r w:rsidR="00701218">
          <w:rPr>
            <w:noProof/>
            <w:webHidden/>
          </w:rPr>
          <w:tab/>
        </w:r>
        <w:r>
          <w:rPr>
            <w:noProof/>
            <w:webHidden/>
          </w:rPr>
          <w:fldChar w:fldCharType="begin"/>
        </w:r>
        <w:r w:rsidR="00701218">
          <w:rPr>
            <w:noProof/>
            <w:webHidden/>
          </w:rPr>
          <w:instrText xml:space="preserve"> PAGEREF _Toc366842976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2"/>
        <w:rPr>
          <w:rFonts w:ascii="Calibri" w:eastAsia="Times New Roman" w:hAnsi="Calibri"/>
          <w:b w:val="0"/>
          <w:noProof/>
          <w:sz w:val="22"/>
          <w:lang w:eastAsia="en-AU"/>
        </w:rPr>
      </w:pPr>
      <w:hyperlink w:anchor="_Toc366842977" w:history="1">
        <w:r w:rsidR="00701218" w:rsidRPr="00806EDF">
          <w:rPr>
            <w:rStyle w:val="Hyperlink"/>
            <w:noProof/>
          </w:rPr>
          <w:t>Attachment 1. Product Information</w:t>
        </w:r>
        <w:r w:rsidR="00701218">
          <w:rPr>
            <w:noProof/>
            <w:webHidden/>
          </w:rPr>
          <w:tab/>
        </w:r>
        <w:r>
          <w:rPr>
            <w:noProof/>
            <w:webHidden/>
          </w:rPr>
          <w:fldChar w:fldCharType="begin"/>
        </w:r>
        <w:r w:rsidR="00701218">
          <w:rPr>
            <w:noProof/>
            <w:webHidden/>
          </w:rPr>
          <w:instrText xml:space="preserve"> PAGEREF _Toc366842977 \h </w:instrText>
        </w:r>
        <w:r>
          <w:rPr>
            <w:noProof/>
            <w:webHidden/>
          </w:rPr>
        </w:r>
        <w:r>
          <w:rPr>
            <w:noProof/>
            <w:webHidden/>
          </w:rPr>
          <w:fldChar w:fldCharType="separate"/>
        </w:r>
        <w:r w:rsidR="000E3528">
          <w:rPr>
            <w:noProof/>
            <w:webHidden/>
          </w:rPr>
          <w:t>11</w:t>
        </w:r>
        <w:r>
          <w:rPr>
            <w:noProof/>
            <w:webHidden/>
          </w:rPr>
          <w:fldChar w:fldCharType="end"/>
        </w:r>
      </w:hyperlink>
    </w:p>
    <w:p w:rsidR="00701218" w:rsidRDefault="003775FD">
      <w:pPr>
        <w:pStyle w:val="TOC2"/>
        <w:rPr>
          <w:rFonts w:ascii="Calibri" w:eastAsia="Times New Roman" w:hAnsi="Calibri"/>
          <w:b w:val="0"/>
          <w:noProof/>
          <w:sz w:val="22"/>
          <w:lang w:eastAsia="en-AU"/>
        </w:rPr>
      </w:pPr>
      <w:hyperlink w:anchor="_Toc366842978" w:history="1">
        <w:r w:rsidR="00701218" w:rsidRPr="00806EDF">
          <w:rPr>
            <w:rStyle w:val="Hyperlink"/>
            <w:noProof/>
            <w:lang w:eastAsia="en-AU"/>
          </w:rPr>
          <w:t>Attachment 2. Extract from the Clinical Evaluation Report</w:t>
        </w:r>
        <w:r w:rsidR="00701218">
          <w:rPr>
            <w:noProof/>
            <w:webHidden/>
          </w:rPr>
          <w:tab/>
        </w:r>
        <w:r>
          <w:rPr>
            <w:noProof/>
            <w:webHidden/>
          </w:rPr>
          <w:fldChar w:fldCharType="begin"/>
        </w:r>
        <w:r w:rsidR="00701218">
          <w:rPr>
            <w:noProof/>
            <w:webHidden/>
          </w:rPr>
          <w:instrText xml:space="preserve"> PAGEREF _Toc366842978 \h </w:instrText>
        </w:r>
        <w:r>
          <w:rPr>
            <w:noProof/>
            <w:webHidden/>
          </w:rPr>
        </w:r>
        <w:r>
          <w:rPr>
            <w:noProof/>
            <w:webHidden/>
          </w:rPr>
          <w:fldChar w:fldCharType="separate"/>
        </w:r>
        <w:r w:rsidR="000E3528">
          <w:rPr>
            <w:noProof/>
            <w:webHidden/>
          </w:rPr>
          <w:t>11</w:t>
        </w:r>
        <w:r>
          <w:rPr>
            <w:noProof/>
            <w:webHidden/>
          </w:rPr>
          <w:fldChar w:fldCharType="end"/>
        </w:r>
      </w:hyperlink>
    </w:p>
    <w:p w:rsidR="008E7846" w:rsidRDefault="003775FD" w:rsidP="000A2E6F">
      <w:pPr>
        <w:pStyle w:val="Heading2"/>
      </w:pPr>
      <w:r>
        <w:lastRenderedPageBreak/>
        <w:fldChar w:fldCharType="end"/>
      </w:r>
      <w:bookmarkStart w:id="2" w:name="_Toc314842482"/>
      <w:bookmarkStart w:id="3" w:name="_Toc366842944"/>
      <w:r w:rsidR="00F53C07">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66842945"/>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72A4E" w:rsidP="003D1E62">
            <w:pPr>
              <w:rPr>
                <w:i/>
              </w:rPr>
            </w:pPr>
            <w:r>
              <w:rPr>
                <w:i/>
              </w:rPr>
              <w:t>Type of s</w:t>
            </w:r>
            <w:r w:rsidR="008E7846" w:rsidRPr="003D1E62">
              <w:rPr>
                <w:i/>
              </w:rPr>
              <w:t>ubmission</w:t>
            </w:r>
            <w:r>
              <w:rPr>
                <w:i/>
              </w:rPr>
              <w:t>:</w:t>
            </w:r>
          </w:p>
        </w:tc>
        <w:tc>
          <w:tcPr>
            <w:tcW w:w="6590" w:type="dxa"/>
          </w:tcPr>
          <w:p w:rsidR="008E7846" w:rsidRPr="003D1E62" w:rsidRDefault="008E7846" w:rsidP="003A5C0F">
            <w:r w:rsidRPr="003D1E62">
              <w:t xml:space="preserve">Major Variation (New </w:t>
            </w:r>
            <w:r w:rsidR="003A5C0F">
              <w:t>Dose Form</w:t>
            </w:r>
            <w:r w:rsidRPr="003D1E62">
              <w:t>)</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662944">
            <w:r w:rsidRPr="003D1E62">
              <w:t>Approved</w:t>
            </w:r>
          </w:p>
        </w:tc>
      </w:tr>
      <w:tr w:rsidR="008E7846" w:rsidRPr="003D1E62" w:rsidTr="0089635C">
        <w:trPr>
          <w:trHeight w:hRule="exact" w:val="454"/>
        </w:trPr>
        <w:tc>
          <w:tcPr>
            <w:tcW w:w="2907" w:type="dxa"/>
          </w:tcPr>
          <w:p w:rsidR="008E7846" w:rsidRPr="003D1E62" w:rsidRDefault="008E7846" w:rsidP="00872A4E">
            <w:pPr>
              <w:rPr>
                <w:i/>
              </w:rPr>
            </w:pPr>
            <w:r w:rsidRPr="003D1E62">
              <w:rPr>
                <w:i/>
              </w:rPr>
              <w:t xml:space="preserve">Date of </w:t>
            </w:r>
            <w:r w:rsidR="00872A4E">
              <w:rPr>
                <w:i/>
              </w:rPr>
              <w:t>d</w:t>
            </w:r>
            <w:r w:rsidRPr="003D1E62">
              <w:rPr>
                <w:i/>
              </w:rPr>
              <w:t>ecision:</w:t>
            </w:r>
          </w:p>
        </w:tc>
        <w:tc>
          <w:tcPr>
            <w:tcW w:w="6590" w:type="dxa"/>
          </w:tcPr>
          <w:p w:rsidR="008E7846" w:rsidRPr="003D1E62" w:rsidRDefault="006975DC" w:rsidP="003D1E62">
            <w:r>
              <w:t>3 June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872A4E" w:rsidP="00872A4E">
            <w:pPr>
              <w:rPr>
                <w:i/>
              </w:rPr>
            </w:pPr>
            <w:r>
              <w:rPr>
                <w:i/>
              </w:rPr>
              <w:t>Active ingredient</w:t>
            </w:r>
            <w:r w:rsidR="008E7846" w:rsidRPr="00487162">
              <w:rPr>
                <w:i/>
              </w:rPr>
              <w:t>:</w:t>
            </w:r>
          </w:p>
        </w:tc>
        <w:tc>
          <w:tcPr>
            <w:tcW w:w="6307" w:type="dxa"/>
          </w:tcPr>
          <w:p w:rsidR="008E7846" w:rsidRPr="00487162" w:rsidRDefault="00741EF7" w:rsidP="00E45619">
            <w:proofErr w:type="spellStart"/>
            <w:r>
              <w:t>F</w:t>
            </w:r>
            <w:r w:rsidRPr="00741EF7">
              <w:t>entanyl</w:t>
            </w:r>
            <w:proofErr w:type="spellEnd"/>
            <w:r w:rsidRPr="00741EF7">
              <w:t xml:space="preserve"> citrate</w:t>
            </w:r>
          </w:p>
        </w:tc>
      </w:tr>
      <w:tr w:rsidR="008E7846" w:rsidRPr="00487162" w:rsidTr="00BF1190">
        <w:tc>
          <w:tcPr>
            <w:tcW w:w="2907" w:type="dxa"/>
          </w:tcPr>
          <w:p w:rsidR="008E7846" w:rsidRPr="00487162" w:rsidRDefault="00872A4E" w:rsidP="00E45619">
            <w:pPr>
              <w:rPr>
                <w:i/>
              </w:rPr>
            </w:pPr>
            <w:r>
              <w:rPr>
                <w:i/>
              </w:rPr>
              <w:t>Product name</w:t>
            </w:r>
            <w:r w:rsidR="008E7846" w:rsidRPr="00487162">
              <w:rPr>
                <w:i/>
              </w:rPr>
              <w:t>:</w:t>
            </w:r>
          </w:p>
        </w:tc>
        <w:tc>
          <w:tcPr>
            <w:tcW w:w="6307" w:type="dxa"/>
          </w:tcPr>
          <w:p w:rsidR="008E7846" w:rsidRPr="00487162" w:rsidRDefault="00741EF7" w:rsidP="00E45619">
            <w:proofErr w:type="spellStart"/>
            <w:r>
              <w:t>Instanyl</w:t>
            </w:r>
            <w:proofErr w:type="spellEnd"/>
          </w:p>
        </w:tc>
      </w:tr>
      <w:tr w:rsidR="008E7846" w:rsidRPr="00487162" w:rsidTr="00BF1190">
        <w:tc>
          <w:tcPr>
            <w:tcW w:w="2907" w:type="dxa"/>
          </w:tcPr>
          <w:p w:rsidR="008E7846" w:rsidRPr="00487162" w:rsidRDefault="00872A4E" w:rsidP="00872A4E">
            <w:pPr>
              <w:rPr>
                <w:i/>
              </w:rPr>
            </w:pPr>
            <w:r>
              <w:rPr>
                <w:i/>
              </w:rPr>
              <w:t>Sponsor’s n</w:t>
            </w:r>
            <w:r w:rsidR="008E7846" w:rsidRPr="00487162">
              <w:rPr>
                <w:i/>
              </w:rPr>
              <w:t xml:space="preserve">ame and </w:t>
            </w:r>
            <w:r>
              <w:rPr>
                <w:i/>
              </w:rPr>
              <w:t>a</w:t>
            </w:r>
            <w:r w:rsidR="008E7846" w:rsidRPr="00487162">
              <w:rPr>
                <w:i/>
              </w:rPr>
              <w:t>ddress:</w:t>
            </w:r>
          </w:p>
        </w:tc>
        <w:tc>
          <w:tcPr>
            <w:tcW w:w="6307" w:type="dxa"/>
          </w:tcPr>
          <w:p w:rsidR="00841271" w:rsidRPr="00487162" w:rsidRDefault="00841271" w:rsidP="00872A4E">
            <w:r>
              <w:t>Takeda Pharmaceuticals Australia Pty Ltd</w:t>
            </w:r>
            <w:r w:rsidR="00872A4E">
              <w:br/>
            </w:r>
            <w:r w:rsidRPr="00841271">
              <w:t xml:space="preserve">2-4 </w:t>
            </w:r>
            <w:proofErr w:type="spellStart"/>
            <w:r w:rsidRPr="00841271">
              <w:t>Lyonpark</w:t>
            </w:r>
            <w:proofErr w:type="spellEnd"/>
            <w:r w:rsidRPr="00841271">
              <w:t xml:space="preserve"> Road</w:t>
            </w:r>
            <w:r w:rsidR="00872A4E">
              <w:br/>
            </w:r>
            <w:r>
              <w:t>Macquarie Park</w:t>
            </w:r>
            <w:r w:rsidRPr="00841271">
              <w:t xml:space="preserve"> NSW 2113</w:t>
            </w:r>
          </w:p>
        </w:tc>
      </w:tr>
      <w:tr w:rsidR="008E7846" w:rsidRPr="00E2391A" w:rsidTr="00BF1190">
        <w:tc>
          <w:tcPr>
            <w:tcW w:w="2907" w:type="dxa"/>
          </w:tcPr>
          <w:p w:rsidR="008E7846" w:rsidRPr="00E2391A" w:rsidRDefault="00EC6834" w:rsidP="00872A4E">
            <w:pPr>
              <w:rPr>
                <w:i/>
              </w:rPr>
            </w:pPr>
            <w:r>
              <w:rPr>
                <w:i/>
              </w:rPr>
              <w:t>Dose forms and strengths</w:t>
            </w:r>
            <w:r w:rsidR="008E7846" w:rsidRPr="00E2391A">
              <w:rPr>
                <w:i/>
              </w:rPr>
              <w:t>:</w:t>
            </w:r>
          </w:p>
        </w:tc>
        <w:tc>
          <w:tcPr>
            <w:tcW w:w="6307" w:type="dxa"/>
          </w:tcPr>
          <w:p w:rsidR="008E7846" w:rsidRDefault="00E2391A" w:rsidP="000C72D9">
            <w:r w:rsidRPr="00E2391A">
              <w:t>Nasal spray 50</w:t>
            </w:r>
            <w:r w:rsidR="000C72D9">
              <w:t xml:space="preserve">, </w:t>
            </w:r>
            <w:r w:rsidRPr="00E2391A">
              <w:t xml:space="preserve">100 </w:t>
            </w:r>
            <w:r w:rsidR="000C72D9">
              <w:t xml:space="preserve">and 200 </w:t>
            </w:r>
            <w:proofErr w:type="spellStart"/>
            <w:r w:rsidRPr="00E2391A">
              <w:t>μg</w:t>
            </w:r>
            <w:proofErr w:type="spellEnd"/>
            <w:r w:rsidRPr="00E2391A">
              <w:t xml:space="preserve">/100 </w:t>
            </w:r>
            <w:proofErr w:type="spellStart"/>
            <w:r w:rsidRPr="00E2391A">
              <w:t>μL</w:t>
            </w:r>
            <w:proofErr w:type="spellEnd"/>
            <w:r w:rsidRPr="00E2391A">
              <w:t xml:space="preserve"> </w:t>
            </w:r>
            <w:r w:rsidR="00990C47">
              <w:t>single-</w:t>
            </w:r>
            <w:r w:rsidRPr="00E2391A">
              <w:t>dose</w:t>
            </w:r>
          </w:p>
          <w:p w:rsidR="00990C47" w:rsidRPr="00E2391A" w:rsidRDefault="00990C47" w:rsidP="000C72D9">
            <w:r w:rsidRPr="00E2391A">
              <w:t>Nasal spray 50</w:t>
            </w:r>
            <w:r>
              <w:t xml:space="preserve">, </w:t>
            </w:r>
            <w:r w:rsidRPr="00E2391A">
              <w:t xml:space="preserve">100 </w:t>
            </w:r>
            <w:r>
              <w:t xml:space="preserve">and 200 </w:t>
            </w:r>
            <w:proofErr w:type="spellStart"/>
            <w:r w:rsidRPr="00E2391A">
              <w:t>μg</w:t>
            </w:r>
            <w:proofErr w:type="spellEnd"/>
            <w:r w:rsidRPr="00E2391A">
              <w:t xml:space="preserve">/100 </w:t>
            </w:r>
            <w:proofErr w:type="spellStart"/>
            <w:r w:rsidRPr="00E2391A">
              <w:t>μL</w:t>
            </w:r>
            <w:proofErr w:type="spellEnd"/>
            <w:r w:rsidRPr="00E2391A">
              <w:t xml:space="preserve"> </w:t>
            </w:r>
            <w:r>
              <w:t>multi-</w:t>
            </w:r>
            <w:r w:rsidRPr="00E2391A">
              <w:t>dose</w:t>
            </w:r>
          </w:p>
        </w:tc>
      </w:tr>
      <w:tr w:rsidR="008E7846" w:rsidRPr="00487162" w:rsidTr="00BF1190">
        <w:tc>
          <w:tcPr>
            <w:tcW w:w="2907" w:type="dxa"/>
          </w:tcPr>
          <w:p w:rsidR="008E7846" w:rsidRPr="00487162" w:rsidRDefault="00872A4E" w:rsidP="00E45619">
            <w:pPr>
              <w:rPr>
                <w:i/>
              </w:rPr>
            </w:pPr>
            <w:r>
              <w:rPr>
                <w:i/>
              </w:rPr>
              <w:t>Containers</w:t>
            </w:r>
            <w:r w:rsidR="008E7846" w:rsidRPr="00487162">
              <w:rPr>
                <w:i/>
              </w:rPr>
              <w:t>:</w:t>
            </w:r>
          </w:p>
        </w:tc>
        <w:tc>
          <w:tcPr>
            <w:tcW w:w="6307" w:type="dxa"/>
          </w:tcPr>
          <w:p w:rsidR="008E7846" w:rsidRPr="00487162" w:rsidRDefault="000C72D9" w:rsidP="004F5942">
            <w:r>
              <w:rPr>
                <w:rFonts w:cs="Calibri"/>
                <w:bCs/>
              </w:rPr>
              <w:t>The single</w:t>
            </w:r>
            <w:r w:rsidR="00272F40">
              <w:rPr>
                <w:rFonts w:cs="Calibri"/>
                <w:bCs/>
              </w:rPr>
              <w:t>-</w:t>
            </w:r>
            <w:r w:rsidRPr="0096520F">
              <w:rPr>
                <w:rFonts w:cs="Calibri"/>
                <w:bCs/>
              </w:rPr>
              <w:t>dose nasal spray consists of a glass vial integrated in a plastic spray container, packed in child</w:t>
            </w:r>
            <w:r w:rsidR="004F5942">
              <w:rPr>
                <w:rFonts w:cs="Calibri"/>
                <w:bCs/>
              </w:rPr>
              <w:t xml:space="preserve"> </w:t>
            </w:r>
            <w:r w:rsidRPr="0096520F">
              <w:rPr>
                <w:rFonts w:cs="Calibri"/>
                <w:bCs/>
              </w:rPr>
              <w:t>resistant blister in pack sizes of 2, 6, 8 and 10s. The multi</w:t>
            </w:r>
            <w:r w:rsidR="00801783">
              <w:rPr>
                <w:rFonts w:cs="Calibri"/>
                <w:bCs/>
              </w:rPr>
              <w:t>-</w:t>
            </w:r>
            <w:r w:rsidRPr="0096520F">
              <w:rPr>
                <w:rFonts w:cs="Calibri"/>
                <w:bCs/>
              </w:rPr>
              <w:t>dose nasal spray consists of a glass bottle with metering pump</w:t>
            </w:r>
            <w:r>
              <w:rPr>
                <w:rFonts w:cs="Calibri"/>
                <w:bCs/>
              </w:rPr>
              <w:t xml:space="preserve"> and dust cap packed in a child </w:t>
            </w:r>
            <w:r w:rsidRPr="0096520F">
              <w:rPr>
                <w:rFonts w:cs="Calibri"/>
                <w:bCs/>
              </w:rPr>
              <w:t xml:space="preserve">resistant outer box and </w:t>
            </w:r>
            <w:r>
              <w:rPr>
                <w:rFonts w:cs="Calibri"/>
                <w:bCs/>
              </w:rPr>
              <w:t xml:space="preserve">containing </w:t>
            </w:r>
            <w:r w:rsidRPr="0096520F">
              <w:rPr>
                <w:rFonts w:cs="Calibri"/>
                <w:bCs/>
              </w:rPr>
              <w:t>10</w:t>
            </w:r>
            <w:r>
              <w:rPr>
                <w:rFonts w:cs="Calibri"/>
                <w:bCs/>
              </w:rPr>
              <w:t xml:space="preserve"> and</w:t>
            </w:r>
            <w:r w:rsidRPr="0096520F">
              <w:rPr>
                <w:rFonts w:cs="Calibri"/>
                <w:bCs/>
              </w:rPr>
              <w:t xml:space="preserve"> 20</w:t>
            </w:r>
            <w:r>
              <w:rPr>
                <w:rFonts w:cs="Calibri"/>
                <w:bCs/>
              </w:rPr>
              <w:t xml:space="preserve"> </w:t>
            </w:r>
            <w:r w:rsidRPr="0096520F">
              <w:rPr>
                <w:rFonts w:cs="Calibri"/>
                <w:bCs/>
              </w:rPr>
              <w:t>doses per bottle</w:t>
            </w:r>
            <w:r>
              <w:rPr>
                <w:rFonts w:cs="Calibri"/>
                <w:bCs/>
              </w:rPr>
              <w:t>.</w:t>
            </w:r>
          </w:p>
        </w:tc>
      </w:tr>
      <w:tr w:rsidR="008E7846" w:rsidRPr="00487162" w:rsidTr="00BF1190">
        <w:tc>
          <w:tcPr>
            <w:tcW w:w="2907" w:type="dxa"/>
          </w:tcPr>
          <w:p w:rsidR="008E7846" w:rsidRPr="00487162" w:rsidRDefault="008E7846" w:rsidP="00872A4E">
            <w:pPr>
              <w:rPr>
                <w:i/>
              </w:rPr>
            </w:pPr>
            <w:r w:rsidRPr="00487162">
              <w:rPr>
                <w:i/>
              </w:rPr>
              <w:t xml:space="preserve">Approved </w:t>
            </w:r>
            <w:r w:rsidR="00872A4E">
              <w:rPr>
                <w:i/>
              </w:rPr>
              <w:t>t</w:t>
            </w:r>
            <w:r w:rsidRPr="00487162">
              <w:rPr>
                <w:i/>
              </w:rPr>
              <w:t>herapeutic use:</w:t>
            </w:r>
          </w:p>
        </w:tc>
        <w:tc>
          <w:tcPr>
            <w:tcW w:w="6307" w:type="dxa"/>
          </w:tcPr>
          <w:p w:rsidR="008E7846" w:rsidRPr="00487162" w:rsidRDefault="002F47EC" w:rsidP="00E45619">
            <w:pPr>
              <w:rPr>
                <w:rFonts w:eastAsia="MS Mincho"/>
                <w:lang w:eastAsia="ja-JP"/>
              </w:rPr>
            </w:pPr>
            <w:proofErr w:type="spellStart"/>
            <w:r>
              <w:t>Instanyl</w:t>
            </w:r>
            <w:proofErr w:type="spellEnd"/>
            <w:r>
              <w:t xml:space="preserve"> is indicated for the management of breakthrough pain in adults already receiving maintenance </w:t>
            </w:r>
            <w:proofErr w:type="spellStart"/>
            <w:r>
              <w:t>opioid</w:t>
            </w:r>
            <w:proofErr w:type="spellEnd"/>
            <w:r>
              <w:t xml:space="preserve"> therapy for chronic cancer pain.</w:t>
            </w:r>
          </w:p>
        </w:tc>
      </w:tr>
      <w:tr w:rsidR="008E7846" w:rsidRPr="00487162" w:rsidTr="00BF1190">
        <w:tc>
          <w:tcPr>
            <w:tcW w:w="2907" w:type="dxa"/>
          </w:tcPr>
          <w:p w:rsidR="008E7846" w:rsidRPr="00487162" w:rsidRDefault="008E7846" w:rsidP="00872A4E">
            <w:pPr>
              <w:rPr>
                <w:i/>
              </w:rPr>
            </w:pPr>
            <w:r w:rsidRPr="00487162">
              <w:rPr>
                <w:i/>
              </w:rPr>
              <w:t>Route of administration:</w:t>
            </w:r>
          </w:p>
        </w:tc>
        <w:tc>
          <w:tcPr>
            <w:tcW w:w="6307" w:type="dxa"/>
          </w:tcPr>
          <w:p w:rsidR="008E7846" w:rsidRPr="00487162" w:rsidRDefault="00121725" w:rsidP="00E45619">
            <w:r>
              <w:t>Intranasal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5F3E3E" w:rsidP="001B1DA8">
            <w:r w:rsidRPr="00014F34">
              <w:rPr>
                <w:rFonts w:cs="Calibri"/>
              </w:rPr>
              <w:t xml:space="preserve">Patients are to be titrated from an initial intranasal dose of 50 µg </w:t>
            </w:r>
            <w:proofErr w:type="spellStart"/>
            <w:r w:rsidRPr="00014F34">
              <w:rPr>
                <w:rFonts w:cs="Calibri"/>
              </w:rPr>
              <w:t>fentanyl</w:t>
            </w:r>
            <w:proofErr w:type="spellEnd"/>
            <w:r>
              <w:rPr>
                <w:rFonts w:cs="Calibri"/>
              </w:rPr>
              <w:t xml:space="preserve">. </w:t>
            </w:r>
            <w:r w:rsidRPr="00014F34">
              <w:rPr>
                <w:rFonts w:cs="Calibri"/>
              </w:rPr>
              <w:t xml:space="preserve">The maximum daily dose is intended for treatment of up to </w:t>
            </w:r>
            <w:r w:rsidR="001B1DA8">
              <w:rPr>
                <w:rFonts w:cs="Calibri"/>
              </w:rPr>
              <w:t>4</w:t>
            </w:r>
            <w:r w:rsidRPr="00014F34">
              <w:rPr>
                <w:rFonts w:cs="Calibri"/>
              </w:rPr>
              <w:t xml:space="preserve"> breakthrough pain episodes, each with no more than </w:t>
            </w:r>
            <w:r w:rsidR="001B1DA8">
              <w:rPr>
                <w:rFonts w:cs="Calibri"/>
              </w:rPr>
              <w:t>2</w:t>
            </w:r>
            <w:r w:rsidRPr="00014F34">
              <w:rPr>
                <w:rFonts w:cs="Calibri"/>
              </w:rPr>
              <w:t xml:space="preserve"> doses separated by at least 10 minutes. The pati</w:t>
            </w:r>
            <w:r>
              <w:rPr>
                <w:rFonts w:cs="Calibri"/>
              </w:rPr>
              <w:t>ent should wait at least 4 h</w:t>
            </w:r>
            <w:r w:rsidRPr="00014F34">
              <w:rPr>
                <w:rFonts w:cs="Calibri"/>
              </w:rPr>
              <w:t xml:space="preserve"> before treating another breakthrough pain episode with </w:t>
            </w:r>
            <w:proofErr w:type="spellStart"/>
            <w:r>
              <w:rPr>
                <w:rFonts w:cs="Calibri"/>
              </w:rPr>
              <w:t>Instanyl</w:t>
            </w:r>
            <w:proofErr w:type="spellEnd"/>
            <w:r w:rsidRPr="00014F34">
              <w:rPr>
                <w:rFonts w:cs="Calibri"/>
              </w:rPr>
              <w:t xml:space="preserve"> during both titration and maintenance therapy.</w:t>
            </w:r>
            <w:r w:rsidRPr="000114A4">
              <w:rPr>
                <w:rFonts w:cs="Calibri"/>
              </w:rPr>
              <w:t xml:space="preserve"> </w:t>
            </w:r>
            <w:r w:rsidRPr="00014F34">
              <w:rPr>
                <w:rFonts w:cs="Calibri"/>
              </w:rPr>
              <w:t xml:space="preserve">The maximum </w:t>
            </w:r>
            <w:r>
              <w:rPr>
                <w:rFonts w:cs="Calibri"/>
              </w:rPr>
              <w:t>recommended</w:t>
            </w:r>
            <w:r w:rsidRPr="00014F34">
              <w:rPr>
                <w:rFonts w:cs="Calibri"/>
              </w:rPr>
              <w:t xml:space="preserve"> dose is 2 actuations of th</w:t>
            </w:r>
            <w:r>
              <w:rPr>
                <w:rFonts w:cs="Calibri"/>
              </w:rPr>
              <w:t xml:space="preserve">e highest strength product, that is, </w:t>
            </w:r>
            <w:r w:rsidRPr="00014F34">
              <w:rPr>
                <w:rFonts w:cs="Calibri"/>
              </w:rPr>
              <w:t xml:space="preserve">400 </w:t>
            </w:r>
            <w:proofErr w:type="spellStart"/>
            <w:r>
              <w:rPr>
                <w:rFonts w:cs="Calibri"/>
                <w:bCs/>
              </w:rPr>
              <w:t>μg</w:t>
            </w:r>
            <w:proofErr w:type="spellEnd"/>
            <w:r>
              <w:rPr>
                <w:rFonts w:cs="Calibri"/>
                <w:bCs/>
              </w:rPr>
              <w:t xml:space="preserve"> up to 4 times in a 24 h</w:t>
            </w:r>
            <w:r w:rsidRPr="00014F34">
              <w:rPr>
                <w:rFonts w:cs="Calibri"/>
                <w:bCs/>
              </w:rPr>
              <w:t xml:space="preserve"> period.</w:t>
            </w:r>
          </w:p>
        </w:tc>
      </w:tr>
      <w:tr w:rsidR="008E7846" w:rsidRPr="00487162" w:rsidTr="00BF1190">
        <w:tc>
          <w:tcPr>
            <w:tcW w:w="2907" w:type="dxa"/>
          </w:tcPr>
          <w:p w:rsidR="008E7846" w:rsidRPr="00487162" w:rsidRDefault="00872A4E" w:rsidP="00872A4E">
            <w:pPr>
              <w:rPr>
                <w:i/>
              </w:rPr>
            </w:pPr>
            <w:r>
              <w:rPr>
                <w:i/>
              </w:rPr>
              <w:t>ARTG n</w:t>
            </w:r>
            <w:r w:rsidR="008E7846" w:rsidRPr="00487162">
              <w:rPr>
                <w:i/>
              </w:rPr>
              <w:t>umbers</w:t>
            </w:r>
            <w:r>
              <w:rPr>
                <w:i/>
              </w:rPr>
              <w:t>:</w:t>
            </w:r>
          </w:p>
        </w:tc>
        <w:tc>
          <w:tcPr>
            <w:tcW w:w="6307" w:type="dxa"/>
          </w:tcPr>
          <w:p w:rsidR="008E7846" w:rsidRPr="00487162" w:rsidRDefault="00556695" w:rsidP="00E45619">
            <w:r w:rsidRPr="00556695">
              <w:t>197680, 197688, 197689, 197690, 197691, 197692</w:t>
            </w:r>
          </w:p>
        </w:tc>
      </w:tr>
    </w:tbl>
    <w:p w:rsidR="008E7846" w:rsidRDefault="008E7846" w:rsidP="008E7846">
      <w:pPr>
        <w:pStyle w:val="Heading3"/>
      </w:pPr>
      <w:bookmarkStart w:id="7" w:name="_Toc247691503"/>
      <w:bookmarkStart w:id="8" w:name="_Toc314842484"/>
      <w:bookmarkStart w:id="9" w:name="_Toc366842946"/>
      <w:r>
        <w:t>Product background</w:t>
      </w:r>
      <w:bookmarkEnd w:id="7"/>
      <w:bookmarkEnd w:id="8"/>
      <w:bookmarkEnd w:id="9"/>
    </w:p>
    <w:p w:rsidR="003630D4" w:rsidRPr="003630D4" w:rsidRDefault="0079686D" w:rsidP="003630D4">
      <w:r w:rsidRPr="00E74882">
        <w:t xml:space="preserve">This </w:t>
      </w:r>
      <w:proofErr w:type="spellStart"/>
      <w:r w:rsidRPr="00E74882">
        <w:t>AusPAR</w:t>
      </w:r>
      <w:proofErr w:type="spellEnd"/>
      <w:r w:rsidRPr="00E74882">
        <w:t xml:space="preserve"> describes an application by the sponsor, </w:t>
      </w:r>
      <w:r>
        <w:t>Takeda Pharmaceuticals Australia</w:t>
      </w:r>
      <w:r w:rsidRPr="00E74882">
        <w:t xml:space="preserve"> Pty Ltd, to </w:t>
      </w:r>
      <w:r w:rsidR="00CE5C94">
        <w:t>register a new dose form</w:t>
      </w:r>
      <w:r w:rsidRPr="00E74882">
        <w:t xml:space="preserve"> for </w:t>
      </w:r>
      <w:proofErr w:type="spellStart"/>
      <w:r>
        <w:t>f</w:t>
      </w:r>
      <w:r w:rsidRPr="00741EF7">
        <w:t>entanyl</w:t>
      </w:r>
      <w:proofErr w:type="spellEnd"/>
      <w:r w:rsidRPr="00741EF7">
        <w:t xml:space="preserve"> citrate</w:t>
      </w:r>
      <w:r>
        <w:t xml:space="preserve"> (</w:t>
      </w:r>
      <w:proofErr w:type="spellStart"/>
      <w:r>
        <w:t>Instanyl</w:t>
      </w:r>
      <w:proofErr w:type="spellEnd"/>
      <w:r>
        <w:t>)</w:t>
      </w:r>
      <w:r w:rsidR="00CE5C94">
        <w:t xml:space="preserve">. </w:t>
      </w:r>
      <w:proofErr w:type="spellStart"/>
      <w:r w:rsidR="00CE5C94" w:rsidRPr="00CE5C94">
        <w:t>Fentanyl</w:t>
      </w:r>
      <w:proofErr w:type="spellEnd"/>
      <w:r w:rsidR="00CE5C94" w:rsidRPr="00CE5C94">
        <w:t xml:space="preserve"> is a potent </w:t>
      </w:r>
      <w:proofErr w:type="spellStart"/>
      <w:r w:rsidR="00CE5C94" w:rsidRPr="00CE5C94">
        <w:t>opioid</w:t>
      </w:r>
      <w:proofErr w:type="spellEnd"/>
      <w:r w:rsidR="00CE5C94" w:rsidRPr="00CE5C94">
        <w:t xml:space="preserve"> analgesic chemically related to pethidine with affinity mainly for the </w:t>
      </w:r>
      <w:r w:rsidR="00CE5C94">
        <w:t>µ</w:t>
      </w:r>
      <w:r w:rsidR="00CE5C94" w:rsidRPr="00CE5C94">
        <w:t xml:space="preserve">-receptor present in the brain and spinal cord. This application is for </w:t>
      </w:r>
      <w:proofErr w:type="spellStart"/>
      <w:r w:rsidR="00CE5C94" w:rsidRPr="00CE5C94">
        <w:t>fentanyl</w:t>
      </w:r>
      <w:proofErr w:type="spellEnd"/>
      <w:r w:rsidR="00CE5C94" w:rsidRPr="00CE5C94">
        <w:t xml:space="preserve"> citrate presented as a nasal spray for nasal administration</w:t>
      </w:r>
      <w:r w:rsidR="00CE5C94">
        <w:t>.</w:t>
      </w:r>
      <w:r w:rsidR="003630D4">
        <w:t xml:space="preserve"> </w:t>
      </w:r>
      <w:r w:rsidR="003630D4" w:rsidRPr="003630D4">
        <w:t>The submission proposes registration of the follow</w:t>
      </w:r>
      <w:r w:rsidR="00831D04">
        <w:t>ing dosage forms and strengths:</w:t>
      </w:r>
    </w:p>
    <w:p w:rsidR="003630D4" w:rsidRPr="003630D4" w:rsidRDefault="003630D4" w:rsidP="003630D4">
      <w:pPr>
        <w:ind w:firstLine="720"/>
      </w:pPr>
      <w:r w:rsidRPr="003630D4">
        <w:lastRenderedPageBreak/>
        <w:t xml:space="preserve">Nasal spray solution - </w:t>
      </w:r>
      <w:proofErr w:type="spellStart"/>
      <w:r>
        <w:t>fentanyl</w:t>
      </w:r>
      <w:proofErr w:type="spellEnd"/>
      <w:r>
        <w:t xml:space="preserve"> citrate:</w:t>
      </w:r>
      <w:r w:rsidRPr="003630D4">
        <w:t xml:space="preserve"> 50 </w:t>
      </w:r>
      <w:proofErr w:type="spellStart"/>
      <w:r w:rsidRPr="003630D4">
        <w:t>μg</w:t>
      </w:r>
      <w:proofErr w:type="spellEnd"/>
      <w:r w:rsidRPr="003630D4">
        <w:t xml:space="preserve">, 100 </w:t>
      </w:r>
      <w:proofErr w:type="spellStart"/>
      <w:r w:rsidRPr="003630D4">
        <w:t>μg</w:t>
      </w:r>
      <w:proofErr w:type="spellEnd"/>
      <w:r w:rsidRPr="003630D4">
        <w:t xml:space="preserve"> and 200 </w:t>
      </w:r>
      <w:proofErr w:type="spellStart"/>
      <w:r w:rsidRPr="003630D4">
        <w:t>μg</w:t>
      </w:r>
      <w:proofErr w:type="spellEnd"/>
    </w:p>
    <w:p w:rsidR="003630D4" w:rsidRDefault="00CE5C94" w:rsidP="00CE5C94">
      <w:r w:rsidRPr="00CE5C94">
        <w:t>The proposed indication is:</w:t>
      </w:r>
    </w:p>
    <w:p w:rsidR="00CE5C94" w:rsidRPr="003630D4" w:rsidRDefault="00CE5C94" w:rsidP="003630D4">
      <w:pPr>
        <w:ind w:left="720"/>
        <w:rPr>
          <w:i/>
        </w:rPr>
      </w:pPr>
      <w:r w:rsidRPr="003630D4">
        <w:rPr>
          <w:i/>
        </w:rPr>
        <w:t>“</w:t>
      </w:r>
      <w:proofErr w:type="gramStart"/>
      <w:r w:rsidRPr="003630D4">
        <w:rPr>
          <w:i/>
        </w:rPr>
        <w:t>for</w:t>
      </w:r>
      <w:proofErr w:type="gramEnd"/>
      <w:r w:rsidRPr="003630D4">
        <w:rPr>
          <w:i/>
        </w:rPr>
        <w:t xml:space="preserve"> the management of breakthrough pain in patients already receiving maintenance </w:t>
      </w:r>
      <w:proofErr w:type="spellStart"/>
      <w:r w:rsidRPr="003630D4">
        <w:rPr>
          <w:i/>
        </w:rPr>
        <w:t>opioid</w:t>
      </w:r>
      <w:proofErr w:type="spellEnd"/>
      <w:r w:rsidRPr="003630D4">
        <w:rPr>
          <w:i/>
        </w:rPr>
        <w:t xml:space="preserve"> therapy for chronic cancer pain.”</w:t>
      </w:r>
    </w:p>
    <w:p w:rsidR="00CE5C94" w:rsidRDefault="003630D4" w:rsidP="0079686D">
      <w:r>
        <w:t>T</w:t>
      </w:r>
      <w:r w:rsidR="00CE5C94">
        <w:t>he submission</w:t>
      </w:r>
      <w:r w:rsidR="00F16547">
        <w:t xml:space="preserve"> consisted of both </w:t>
      </w:r>
      <w:r w:rsidR="00CE5C94" w:rsidRPr="00CE5C94">
        <w:t xml:space="preserve">clinical study reports and </w:t>
      </w:r>
      <w:r w:rsidR="00F16547">
        <w:t xml:space="preserve">published </w:t>
      </w:r>
      <w:r w:rsidR="00CE5C94" w:rsidRPr="00CE5C94">
        <w:t xml:space="preserve">literature </w:t>
      </w:r>
      <w:r w:rsidR="00F16547">
        <w:t>references</w:t>
      </w:r>
      <w:r w:rsidR="00CE5C94">
        <w:t>.</w:t>
      </w:r>
      <w:r w:rsidR="003F4D4F" w:rsidRPr="003F4D4F">
        <w:t xml:space="preserve"> </w:t>
      </w:r>
      <w:r w:rsidR="003F4D4F">
        <w:t>The literature provided in the submission is supportive only; therefore, compliance with the TGA literature based submission guideline</w:t>
      </w:r>
      <w:r w:rsidR="00172C90">
        <w:t>s</w:t>
      </w:r>
      <w:r w:rsidR="00831D04">
        <w:t xml:space="preserve"> is not required.</w:t>
      </w:r>
    </w:p>
    <w:p w:rsidR="00A17F49" w:rsidRDefault="00A17F49" w:rsidP="0079686D">
      <w:pPr>
        <w:rPr>
          <w:rFonts w:cs="Calibri"/>
          <w:bCs/>
        </w:rPr>
      </w:pPr>
      <w:proofErr w:type="spellStart"/>
      <w:r>
        <w:t>Instanyl</w:t>
      </w:r>
      <w:proofErr w:type="spellEnd"/>
      <w:r w:rsidRPr="00014F34">
        <w:rPr>
          <w:rFonts w:cs="Calibri"/>
        </w:rPr>
        <w:t xml:space="preserve"> is intended for patients whose background persistent pain is controlled and who experience no more than 4 </w:t>
      </w:r>
      <w:r w:rsidR="00067DB9" w:rsidRPr="0093713B">
        <w:t>breakthrough cancer pain</w:t>
      </w:r>
      <w:r w:rsidR="00067DB9">
        <w:t xml:space="preserve"> (BTP)</w:t>
      </w:r>
      <w:r w:rsidR="00670B8E">
        <w:rPr>
          <w:rFonts w:cs="Calibri"/>
        </w:rPr>
        <w:t xml:space="preserve"> episodes of pain per day. </w:t>
      </w:r>
      <w:r w:rsidRPr="00014F34">
        <w:rPr>
          <w:rFonts w:cs="Calibri"/>
        </w:rPr>
        <w:t xml:space="preserve">Patients are to be titrated from an initial intranasal dose of 50 µg </w:t>
      </w:r>
      <w:proofErr w:type="spellStart"/>
      <w:r w:rsidRPr="00014F34">
        <w:rPr>
          <w:rFonts w:cs="Calibri"/>
        </w:rPr>
        <w:t>fentanyl</w:t>
      </w:r>
      <w:proofErr w:type="spellEnd"/>
      <w:r w:rsidR="00670B8E">
        <w:rPr>
          <w:rFonts w:cs="Calibri"/>
        </w:rPr>
        <w:t xml:space="preserve">. </w:t>
      </w:r>
      <w:r w:rsidRPr="00014F34">
        <w:rPr>
          <w:rFonts w:cs="Calibri"/>
        </w:rPr>
        <w:t xml:space="preserve">The maximum daily dose is intended for treatment of up to four </w:t>
      </w:r>
      <w:r w:rsidR="00067DB9">
        <w:rPr>
          <w:rFonts w:cs="Calibri"/>
        </w:rPr>
        <w:t>BTP</w:t>
      </w:r>
      <w:r w:rsidRPr="00014F34">
        <w:rPr>
          <w:rFonts w:cs="Calibri"/>
        </w:rPr>
        <w:t xml:space="preserve"> episodes, each with no more than two doses separated by at least 10 minutes. The pat</w:t>
      </w:r>
      <w:r w:rsidR="00DE44A7">
        <w:rPr>
          <w:rFonts w:cs="Calibri"/>
        </w:rPr>
        <w:t>ient should wait at least 4 h</w:t>
      </w:r>
      <w:r w:rsidRPr="00014F34">
        <w:rPr>
          <w:rFonts w:cs="Calibri"/>
        </w:rPr>
        <w:t xml:space="preserve"> before treating another </w:t>
      </w:r>
      <w:r w:rsidR="00067DB9">
        <w:rPr>
          <w:rFonts w:cs="Calibri"/>
        </w:rPr>
        <w:t>BTP</w:t>
      </w:r>
      <w:r w:rsidRPr="00014F34">
        <w:rPr>
          <w:rFonts w:cs="Calibri"/>
        </w:rPr>
        <w:t xml:space="preserve"> episode with </w:t>
      </w:r>
      <w:proofErr w:type="spellStart"/>
      <w:r>
        <w:t>Instanyl</w:t>
      </w:r>
      <w:proofErr w:type="spellEnd"/>
      <w:r w:rsidRPr="00014F34">
        <w:rPr>
          <w:rFonts w:cs="Calibri"/>
        </w:rPr>
        <w:t xml:space="preserve"> during both titration and maintenance therapy.</w:t>
      </w:r>
      <w:r w:rsidRPr="000114A4">
        <w:rPr>
          <w:rFonts w:cs="Calibri"/>
        </w:rPr>
        <w:t xml:space="preserve"> </w:t>
      </w:r>
      <w:r w:rsidRPr="00014F34">
        <w:rPr>
          <w:rFonts w:cs="Calibri"/>
        </w:rPr>
        <w:t xml:space="preserve">The maximum </w:t>
      </w:r>
      <w:r>
        <w:rPr>
          <w:rFonts w:cs="Calibri"/>
        </w:rPr>
        <w:t>recommended</w:t>
      </w:r>
      <w:r w:rsidRPr="00014F34">
        <w:rPr>
          <w:rFonts w:cs="Calibri"/>
        </w:rPr>
        <w:t xml:space="preserve"> dose is 2 actuations of th</w:t>
      </w:r>
      <w:r w:rsidR="00670B8E">
        <w:rPr>
          <w:rFonts w:cs="Calibri"/>
        </w:rPr>
        <w:t xml:space="preserve">e highest strength product, that is, </w:t>
      </w:r>
      <w:r w:rsidRPr="00014F34">
        <w:rPr>
          <w:rFonts w:cs="Calibri"/>
        </w:rPr>
        <w:t xml:space="preserve">400 </w:t>
      </w:r>
      <w:proofErr w:type="spellStart"/>
      <w:r w:rsidRPr="00014F34">
        <w:rPr>
          <w:rFonts w:cs="Calibri"/>
          <w:bCs/>
        </w:rPr>
        <w:t>μg</w:t>
      </w:r>
      <w:proofErr w:type="spellEnd"/>
      <w:r w:rsidRPr="00014F34">
        <w:rPr>
          <w:rFonts w:cs="Calibri"/>
          <w:bCs/>
        </w:rPr>
        <w:t xml:space="preserve"> up t</w:t>
      </w:r>
      <w:r w:rsidR="00DE44A7">
        <w:rPr>
          <w:rFonts w:cs="Calibri"/>
          <w:bCs/>
        </w:rPr>
        <w:t>o 4 times in a 24 h</w:t>
      </w:r>
      <w:r w:rsidR="00670B8E">
        <w:rPr>
          <w:rFonts w:cs="Calibri"/>
          <w:bCs/>
        </w:rPr>
        <w:t xml:space="preserve"> period. </w:t>
      </w:r>
      <w:r w:rsidRPr="00014F34">
        <w:rPr>
          <w:rFonts w:cs="Calibri"/>
          <w:bCs/>
        </w:rPr>
        <w:t>If higher doses are required</w:t>
      </w:r>
      <w:r w:rsidR="00670B8E">
        <w:rPr>
          <w:rFonts w:cs="Calibri"/>
          <w:bCs/>
        </w:rPr>
        <w:t>,</w:t>
      </w:r>
      <w:r w:rsidRPr="00014F34">
        <w:rPr>
          <w:rFonts w:cs="Calibri"/>
          <w:bCs/>
        </w:rPr>
        <w:t xml:space="preserve"> the dose of background </w:t>
      </w:r>
      <w:proofErr w:type="spellStart"/>
      <w:r w:rsidRPr="00014F34">
        <w:rPr>
          <w:rFonts w:cs="Calibri"/>
          <w:bCs/>
        </w:rPr>
        <w:t>opioid</w:t>
      </w:r>
      <w:proofErr w:type="spellEnd"/>
      <w:r w:rsidRPr="00014F34">
        <w:rPr>
          <w:rFonts w:cs="Calibri"/>
          <w:bCs/>
        </w:rPr>
        <w:t xml:space="preserve"> may require adjustment</w:t>
      </w:r>
      <w:r>
        <w:rPr>
          <w:rFonts w:cs="Calibri"/>
          <w:bCs/>
        </w:rPr>
        <w:t>.</w:t>
      </w:r>
    </w:p>
    <w:p w:rsidR="008E7846" w:rsidRPr="003F31A2" w:rsidRDefault="00386150" w:rsidP="008E7846">
      <w:pPr>
        <w:pStyle w:val="Heading3"/>
      </w:pPr>
      <w:bookmarkStart w:id="10" w:name="_Toc314842485"/>
      <w:bookmarkStart w:id="11" w:name="_Toc366842947"/>
      <w:bookmarkStart w:id="12" w:name="_Toc247691504"/>
      <w:r>
        <w:t>Regulatory s</w:t>
      </w:r>
      <w:r w:rsidR="008E7846">
        <w:t>tatus</w:t>
      </w:r>
      <w:bookmarkEnd w:id="10"/>
      <w:bookmarkEnd w:id="11"/>
      <w:bookmarkEnd w:id="12"/>
    </w:p>
    <w:p w:rsidR="00A17F49" w:rsidRDefault="00A17F49" w:rsidP="00A17F49">
      <w:pPr>
        <w:spacing w:after="0"/>
        <w:rPr>
          <w:rFonts w:cs="Calibri"/>
        </w:rPr>
      </w:pPr>
      <w:bookmarkStart w:id="13" w:name="_Toc247691505"/>
      <w:bookmarkStart w:id="14" w:name="_Toc314842486"/>
      <w:proofErr w:type="spellStart"/>
      <w:r>
        <w:t>Instanyl</w:t>
      </w:r>
      <w:proofErr w:type="spellEnd"/>
      <w:r w:rsidRPr="00014F34">
        <w:rPr>
          <w:rFonts w:cs="Calibri"/>
        </w:rPr>
        <w:t xml:space="preserve"> was approved in the </w:t>
      </w:r>
      <w:r w:rsidR="00F16547">
        <w:rPr>
          <w:rFonts w:cs="Calibri"/>
        </w:rPr>
        <w:t>European Union (</w:t>
      </w:r>
      <w:r w:rsidRPr="00014F34">
        <w:rPr>
          <w:rFonts w:cs="Calibri"/>
        </w:rPr>
        <w:t>EU</w:t>
      </w:r>
      <w:r w:rsidR="00F16547">
        <w:rPr>
          <w:rFonts w:cs="Calibri"/>
        </w:rPr>
        <w:t>)</w:t>
      </w:r>
      <w:r w:rsidRPr="00014F34">
        <w:rPr>
          <w:rFonts w:cs="Calibri"/>
        </w:rPr>
        <w:t xml:space="preserve"> </w:t>
      </w:r>
      <w:r>
        <w:rPr>
          <w:rFonts w:cs="Calibri"/>
        </w:rPr>
        <w:t>via the centralised procedure</w:t>
      </w:r>
      <w:r w:rsidR="00012EB4">
        <w:rPr>
          <w:rFonts w:cs="Calibri"/>
        </w:rPr>
        <w:t xml:space="preserve"> (Table 1)</w:t>
      </w:r>
      <w:r>
        <w:rPr>
          <w:rFonts w:cs="Calibri"/>
        </w:rPr>
        <w:t xml:space="preserve">. </w:t>
      </w:r>
      <w:r w:rsidRPr="00014F34">
        <w:rPr>
          <w:rFonts w:cs="Calibri"/>
        </w:rPr>
        <w:t>A submission in</w:t>
      </w:r>
      <w:r>
        <w:rPr>
          <w:rFonts w:cs="Calibri"/>
        </w:rPr>
        <w:t xml:space="preserve"> </w:t>
      </w:r>
      <w:r w:rsidRPr="00014F34">
        <w:rPr>
          <w:rFonts w:cs="Calibri"/>
        </w:rPr>
        <w:t xml:space="preserve">Switzerland was </w:t>
      </w:r>
      <w:r>
        <w:rPr>
          <w:rFonts w:cs="Calibri"/>
        </w:rPr>
        <w:t>w</w:t>
      </w:r>
      <w:r w:rsidRPr="00014F34">
        <w:rPr>
          <w:rFonts w:cs="Calibri"/>
        </w:rPr>
        <w:t>ithdrawn</w:t>
      </w:r>
      <w:r>
        <w:rPr>
          <w:rFonts w:cs="Calibri"/>
        </w:rPr>
        <w:t xml:space="preserve"> </w:t>
      </w:r>
      <w:r w:rsidRPr="00014F34">
        <w:rPr>
          <w:rFonts w:cs="Calibri"/>
        </w:rPr>
        <w:t>in 2010 following request for data on nasal tolerability.</w:t>
      </w:r>
      <w:r w:rsidR="00B050E6">
        <w:rPr>
          <w:rFonts w:cs="Calibri"/>
        </w:rPr>
        <w:t xml:space="preserve"> </w:t>
      </w:r>
      <w:r w:rsidRPr="00014F34">
        <w:rPr>
          <w:rFonts w:cs="Calibri"/>
        </w:rPr>
        <w:t>A</w:t>
      </w:r>
      <w:r>
        <w:rPr>
          <w:rFonts w:cs="Calibri"/>
        </w:rPr>
        <w:t>t</w:t>
      </w:r>
      <w:r w:rsidRPr="00A17F49">
        <w:rPr>
          <w:rFonts w:cs="Calibri"/>
        </w:rPr>
        <w:t xml:space="preserve"> </w:t>
      </w:r>
      <w:r>
        <w:rPr>
          <w:rFonts w:cs="Calibri"/>
        </w:rPr>
        <w:t xml:space="preserve">the time of </w:t>
      </w:r>
      <w:r w:rsidR="00D1315C">
        <w:rPr>
          <w:rFonts w:cs="Calibri"/>
        </w:rPr>
        <w:t xml:space="preserve">the </w:t>
      </w:r>
      <w:r>
        <w:rPr>
          <w:rFonts w:cs="Calibri"/>
        </w:rPr>
        <w:t xml:space="preserve">Australian submission, a </w:t>
      </w:r>
      <w:r w:rsidRPr="00014F34">
        <w:rPr>
          <w:rFonts w:cs="Calibri"/>
        </w:rPr>
        <w:t>submission in Canada in 2011</w:t>
      </w:r>
      <w:r>
        <w:rPr>
          <w:rFonts w:cs="Calibri"/>
        </w:rPr>
        <w:t xml:space="preserve"> was </w:t>
      </w:r>
      <w:r w:rsidRPr="00014F34">
        <w:rPr>
          <w:rFonts w:cs="Calibri"/>
        </w:rPr>
        <w:t>under evaluation</w:t>
      </w:r>
      <w:r>
        <w:rPr>
          <w:rFonts w:cs="Calibri"/>
        </w:rPr>
        <w:t xml:space="preserve">, </w:t>
      </w:r>
      <w:r w:rsidR="009B7D23">
        <w:rPr>
          <w:rFonts w:cs="Calibri"/>
        </w:rPr>
        <w:t>while</w:t>
      </w:r>
      <w:r>
        <w:rPr>
          <w:rFonts w:cs="Calibri"/>
        </w:rPr>
        <w:t xml:space="preserve"> no </w:t>
      </w:r>
      <w:r w:rsidRPr="00014F34">
        <w:rPr>
          <w:rFonts w:cs="Calibri"/>
        </w:rPr>
        <w:t>submission ha</w:t>
      </w:r>
      <w:r>
        <w:rPr>
          <w:rFonts w:cs="Calibri"/>
        </w:rPr>
        <w:t>d</w:t>
      </w:r>
      <w:r w:rsidRPr="00014F34">
        <w:rPr>
          <w:rFonts w:cs="Calibri"/>
        </w:rPr>
        <w:t xml:space="preserve"> </w:t>
      </w:r>
      <w:r w:rsidR="009B7D23">
        <w:rPr>
          <w:rFonts w:cs="Calibri"/>
        </w:rPr>
        <w:t xml:space="preserve">yet </w:t>
      </w:r>
      <w:r w:rsidRPr="00014F34">
        <w:rPr>
          <w:rFonts w:cs="Calibri"/>
        </w:rPr>
        <w:t>been made in</w:t>
      </w:r>
      <w:r>
        <w:rPr>
          <w:rFonts w:cs="Calibri"/>
        </w:rPr>
        <w:t xml:space="preserve"> the US</w:t>
      </w:r>
      <w:r w:rsidRPr="00014F34">
        <w:rPr>
          <w:rFonts w:cs="Calibri"/>
        </w:rPr>
        <w:t xml:space="preserve"> or New Zealand</w:t>
      </w:r>
      <w:r>
        <w:rPr>
          <w:rFonts w:cs="Calibri"/>
        </w:rPr>
        <w:t>.</w:t>
      </w:r>
    </w:p>
    <w:p w:rsidR="00A17F49" w:rsidRDefault="00A17F49" w:rsidP="00831D04">
      <w:pPr>
        <w:pStyle w:val="TableTitle"/>
        <w:rPr>
          <w:lang w:val="en-GB"/>
        </w:rPr>
      </w:pPr>
      <w:proofErr w:type="gramStart"/>
      <w:r>
        <w:lastRenderedPageBreak/>
        <w:t>Table 1:</w:t>
      </w:r>
      <w:r w:rsidRPr="004C5C28">
        <w:t xml:space="preserve"> </w:t>
      </w:r>
      <w:proofErr w:type="spellStart"/>
      <w:r>
        <w:t>Instanyl</w:t>
      </w:r>
      <w:proofErr w:type="spellEnd"/>
      <w:r>
        <w:t xml:space="preserve"> approvals with indications in other countries.</w:t>
      </w:r>
      <w:proofErr w:type="gramEnd"/>
      <w:r w:rsidR="00172C90">
        <w:rPr>
          <w:rStyle w:val="FootnoteReference"/>
        </w:rPr>
        <w:footnoteReference w:id="1"/>
      </w:r>
    </w:p>
    <w:p w:rsidR="00A17F49" w:rsidRDefault="00C54995" w:rsidP="00442805">
      <w:r>
        <w:rPr>
          <w:noProof/>
          <w:lang w:eastAsia="en-AU"/>
        </w:rPr>
        <w:drawing>
          <wp:inline distT="0" distB="0" distL="0" distR="0">
            <wp:extent cx="4276725" cy="5381625"/>
            <wp:effectExtent l="19050" t="0" r="9525" b="0"/>
            <wp:docPr id="22" name="Picture 1" descr="Table 1: Instanyl approvals with indications in other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Instanyl approvals with indications in other countries. "/>
                    <pic:cNvPicPr>
                      <a:picLocks noChangeAspect="1" noChangeArrowheads="1"/>
                    </pic:cNvPicPr>
                  </pic:nvPicPr>
                  <pic:blipFill>
                    <a:blip r:embed="rId13" cstate="print"/>
                    <a:srcRect/>
                    <a:stretch>
                      <a:fillRect/>
                    </a:stretch>
                  </pic:blipFill>
                  <pic:spPr bwMode="auto">
                    <a:xfrm>
                      <a:off x="0" y="0"/>
                      <a:ext cx="4276725" cy="5381625"/>
                    </a:xfrm>
                    <a:prstGeom prst="rect">
                      <a:avLst/>
                    </a:prstGeom>
                    <a:noFill/>
                    <a:ln w="9525">
                      <a:noFill/>
                      <a:miter lim="800000"/>
                      <a:headEnd/>
                      <a:tailEnd/>
                    </a:ln>
                  </pic:spPr>
                </pic:pic>
              </a:graphicData>
            </a:graphic>
          </wp:inline>
        </w:drawing>
      </w:r>
    </w:p>
    <w:p w:rsidR="008E7846" w:rsidRDefault="008E7846" w:rsidP="008E7846">
      <w:pPr>
        <w:pStyle w:val="Heading3"/>
      </w:pPr>
      <w:bookmarkStart w:id="15" w:name="_Toc366842948"/>
      <w:r>
        <w:t>Product Information</w:t>
      </w:r>
      <w:bookmarkEnd w:id="13"/>
      <w:bookmarkEnd w:id="14"/>
      <w:bookmarkEnd w:id="15"/>
    </w:p>
    <w:p w:rsidR="008E7846" w:rsidRDefault="008E7846" w:rsidP="008E7846">
      <w:r>
        <w:t>The ap</w:t>
      </w:r>
      <w:r w:rsidR="00894E0A">
        <w:t xml:space="preserve">proved Product Information </w:t>
      </w:r>
      <w:r>
        <w:t xml:space="preserve">current at the time this </w:t>
      </w:r>
      <w:proofErr w:type="spellStart"/>
      <w:r>
        <w:t>AusPAR</w:t>
      </w:r>
      <w:proofErr w:type="spellEnd"/>
      <w:r>
        <w:t xml:space="preserve"> was prepared can be found as Attachment 1.</w:t>
      </w:r>
      <w:bookmarkStart w:id="16" w:name="_Toc247691506"/>
      <w:bookmarkStart w:id="17" w:name="_Toc314842487"/>
    </w:p>
    <w:p w:rsidR="008E7846" w:rsidRPr="003602A9" w:rsidRDefault="008E7846" w:rsidP="008E7846">
      <w:pPr>
        <w:pStyle w:val="Heading2"/>
        <w:ind w:left="-11"/>
      </w:pPr>
      <w:bookmarkStart w:id="18" w:name="_Toc366842949"/>
      <w:r>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66842950"/>
      <w:r w:rsidRPr="008751DC">
        <w:t xml:space="preserve">Drug </w:t>
      </w:r>
      <w:r>
        <w:t>s</w:t>
      </w:r>
      <w:r w:rsidRPr="008751DC">
        <w:t>ubstance</w:t>
      </w:r>
      <w:r>
        <w:t xml:space="preserve"> (active ingredient)</w:t>
      </w:r>
      <w:bookmarkEnd w:id="19"/>
      <w:bookmarkEnd w:id="20"/>
      <w:bookmarkEnd w:id="21"/>
    </w:p>
    <w:p w:rsidR="0070721F" w:rsidRPr="0070721F" w:rsidRDefault="009D5335" w:rsidP="0070721F">
      <w:proofErr w:type="spellStart"/>
      <w:r w:rsidRPr="0070721F">
        <w:t>Fentanyl</w:t>
      </w:r>
      <w:proofErr w:type="spellEnd"/>
      <w:r w:rsidRPr="0070721F">
        <w:t xml:space="preserve"> citrate is a white or almost white powder, which is soluble in water. </w:t>
      </w:r>
      <w:r w:rsidR="00C22DBC" w:rsidRPr="0070721F">
        <w:t xml:space="preserve">There are European Pharmacopoeia and US Pharmacopoeia </w:t>
      </w:r>
      <w:r w:rsidRPr="0070721F">
        <w:t xml:space="preserve">monographs for </w:t>
      </w:r>
      <w:proofErr w:type="spellStart"/>
      <w:r w:rsidRPr="0070721F">
        <w:t>fentanyl</w:t>
      </w:r>
      <w:proofErr w:type="spellEnd"/>
      <w:r w:rsidRPr="0070721F">
        <w:t xml:space="preserve"> and </w:t>
      </w:r>
      <w:proofErr w:type="spellStart"/>
      <w:r w:rsidRPr="0070721F">
        <w:t>fentanyl</w:t>
      </w:r>
      <w:proofErr w:type="spellEnd"/>
      <w:r w:rsidRPr="0070721F">
        <w:t xml:space="preserve"> citrate. The </w:t>
      </w:r>
      <w:r w:rsidR="00CF473B">
        <w:t xml:space="preserve">chemical </w:t>
      </w:r>
      <w:r w:rsidRPr="0070721F">
        <w:t xml:space="preserve">structure of </w:t>
      </w:r>
      <w:proofErr w:type="spellStart"/>
      <w:r w:rsidRPr="0070721F">
        <w:t>fentanyl</w:t>
      </w:r>
      <w:proofErr w:type="spellEnd"/>
      <w:r w:rsidRPr="0070721F">
        <w:t xml:space="preserve"> citrate is shown </w:t>
      </w:r>
      <w:r w:rsidR="002D0176" w:rsidRPr="0070721F">
        <w:t>in Figure 1</w:t>
      </w:r>
      <w:r w:rsidRPr="0070721F">
        <w:t>.</w:t>
      </w:r>
      <w:r w:rsidR="0070721F" w:rsidRPr="0070721F">
        <w:t xml:space="preserve"> The molecular formula is C</w:t>
      </w:r>
      <w:r w:rsidR="0070721F" w:rsidRPr="00DF5AC2">
        <w:rPr>
          <w:vertAlign w:val="subscript"/>
        </w:rPr>
        <w:t>22</w:t>
      </w:r>
      <w:r w:rsidR="0070721F" w:rsidRPr="0070721F">
        <w:t>H</w:t>
      </w:r>
      <w:r w:rsidR="0070721F" w:rsidRPr="00DF5AC2">
        <w:rPr>
          <w:vertAlign w:val="subscript"/>
        </w:rPr>
        <w:t>28</w:t>
      </w:r>
      <w:r w:rsidR="0070721F" w:rsidRPr="0070721F">
        <w:t>N</w:t>
      </w:r>
      <w:r w:rsidR="0070721F" w:rsidRPr="00DF5AC2">
        <w:rPr>
          <w:vertAlign w:val="subscript"/>
        </w:rPr>
        <w:t>2</w:t>
      </w:r>
      <w:r w:rsidR="0070721F" w:rsidRPr="0070721F">
        <w:t>O•C</w:t>
      </w:r>
      <w:r w:rsidR="0070721F" w:rsidRPr="00DF5AC2">
        <w:rPr>
          <w:vertAlign w:val="subscript"/>
        </w:rPr>
        <w:t>6</w:t>
      </w:r>
      <w:r w:rsidR="0070721F" w:rsidRPr="0070721F">
        <w:t>H</w:t>
      </w:r>
      <w:r w:rsidR="0070721F" w:rsidRPr="00DF5AC2">
        <w:rPr>
          <w:vertAlign w:val="subscript"/>
        </w:rPr>
        <w:t>8</w:t>
      </w:r>
      <w:r w:rsidR="0070721F" w:rsidRPr="0070721F">
        <w:t>O</w:t>
      </w:r>
      <w:r w:rsidR="0070721F" w:rsidRPr="00DF5AC2">
        <w:rPr>
          <w:vertAlign w:val="subscript"/>
        </w:rPr>
        <w:t>7</w:t>
      </w:r>
      <w:r w:rsidR="0070721F" w:rsidRPr="0070721F">
        <w:t xml:space="preserve"> and the molecular weight</w:t>
      </w:r>
      <w:r w:rsidR="00A17952">
        <w:t xml:space="preserve"> is</w:t>
      </w:r>
      <w:r w:rsidR="0070721F" w:rsidRPr="0070721F">
        <w:t xml:space="preserve"> </w:t>
      </w:r>
      <w:r w:rsidR="005D2F8A">
        <w:t xml:space="preserve">528.6 (336.5 </w:t>
      </w:r>
      <w:r w:rsidR="0070721F" w:rsidRPr="0070721F">
        <w:t>for the free base).</w:t>
      </w:r>
    </w:p>
    <w:p w:rsidR="002D0176" w:rsidRDefault="002D0176" w:rsidP="002D0176">
      <w:pPr>
        <w:pStyle w:val="FigureTitle"/>
        <w:rPr>
          <w:lang w:val="en-GB"/>
        </w:rPr>
      </w:pPr>
      <w:r>
        <w:lastRenderedPageBreak/>
        <w:t>Figure 1:</w:t>
      </w:r>
      <w:r w:rsidRPr="004C5C28">
        <w:t xml:space="preserve"> </w:t>
      </w:r>
      <w:r>
        <w:t xml:space="preserve">Chemical structure of </w:t>
      </w:r>
      <w:proofErr w:type="spellStart"/>
      <w:r>
        <w:t>fentanyl</w:t>
      </w:r>
      <w:proofErr w:type="spellEnd"/>
      <w:r>
        <w:t xml:space="preserve"> citrate.</w:t>
      </w:r>
    </w:p>
    <w:p w:rsidR="008E7846" w:rsidRDefault="00C54995" w:rsidP="00D97661">
      <w:r>
        <w:rPr>
          <w:noProof/>
          <w:lang w:eastAsia="en-AU"/>
        </w:rPr>
        <w:drawing>
          <wp:inline distT="0" distB="0" distL="0" distR="0">
            <wp:extent cx="2676525" cy="1390650"/>
            <wp:effectExtent l="19050" t="0" r="9525" b="0"/>
            <wp:docPr id="2" name="Picture 2" descr="Figure 1: Chemical structure of fentanyl ci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Chemical structure of fentanyl citrate."/>
                    <pic:cNvPicPr>
                      <a:picLocks noChangeAspect="1" noChangeArrowheads="1"/>
                    </pic:cNvPicPr>
                  </pic:nvPicPr>
                  <pic:blipFill>
                    <a:blip r:embed="rId14" cstate="print"/>
                    <a:srcRect/>
                    <a:stretch>
                      <a:fillRect/>
                    </a:stretch>
                  </pic:blipFill>
                  <pic:spPr bwMode="auto">
                    <a:xfrm>
                      <a:off x="0" y="0"/>
                      <a:ext cx="2676525" cy="1390650"/>
                    </a:xfrm>
                    <a:prstGeom prst="rect">
                      <a:avLst/>
                    </a:prstGeom>
                    <a:noFill/>
                    <a:ln w="9525">
                      <a:noFill/>
                      <a:miter lim="800000"/>
                      <a:headEnd/>
                      <a:tailEnd/>
                    </a:ln>
                  </pic:spPr>
                </pic:pic>
              </a:graphicData>
            </a:graphic>
          </wp:inline>
        </w:drawing>
      </w:r>
    </w:p>
    <w:p w:rsidR="008E7846" w:rsidRDefault="008E7846" w:rsidP="008E7846">
      <w:pPr>
        <w:pStyle w:val="Heading3"/>
      </w:pPr>
      <w:bookmarkStart w:id="22" w:name="_Toc247691508"/>
      <w:bookmarkStart w:id="23" w:name="_Toc314842490"/>
      <w:bookmarkStart w:id="24" w:name="_Toc366842951"/>
      <w:r w:rsidRPr="008751DC">
        <w:t xml:space="preserve">Drug </w:t>
      </w:r>
      <w:r>
        <w:t>p</w:t>
      </w:r>
      <w:r w:rsidRPr="008751DC">
        <w:t>roduct</w:t>
      </w:r>
      <w:bookmarkEnd w:id="22"/>
      <w:bookmarkEnd w:id="23"/>
      <w:bookmarkEnd w:id="24"/>
    </w:p>
    <w:p w:rsidR="00AF1636" w:rsidRPr="00AF1636" w:rsidRDefault="00AF1636" w:rsidP="00AF1636">
      <w:r w:rsidRPr="00AF1636">
        <w:t xml:space="preserve">The drug product is an aqueous solution of </w:t>
      </w:r>
      <w:proofErr w:type="spellStart"/>
      <w:r w:rsidRPr="00AF1636">
        <w:t>fentanyl</w:t>
      </w:r>
      <w:proofErr w:type="spellEnd"/>
      <w:r w:rsidRPr="00AF1636">
        <w:t xml:space="preserve"> citrate, buffered to pH 6.6 with phosphate buffer. It is available in three strengths: 0.5, 1.0 </w:t>
      </w:r>
      <w:r w:rsidR="00B5565B">
        <w:t>and</w:t>
      </w:r>
      <w:r w:rsidRPr="00AF1636">
        <w:t xml:space="preserve"> 2.0 mg/</w:t>
      </w:r>
      <w:proofErr w:type="spellStart"/>
      <w:r w:rsidRPr="00AF1636">
        <w:t>mL.</w:t>
      </w:r>
      <w:proofErr w:type="spellEnd"/>
      <w:r w:rsidRPr="00AF1636">
        <w:t xml:space="preserve"> </w:t>
      </w:r>
      <w:proofErr w:type="gramStart"/>
      <w:r w:rsidRPr="00AF1636">
        <w:t>Each strength</w:t>
      </w:r>
      <w:proofErr w:type="gramEnd"/>
      <w:r w:rsidR="00D05884">
        <w:t xml:space="preserve"> </w:t>
      </w:r>
      <w:r w:rsidRPr="00AF1636">
        <w:t xml:space="preserve">is proposed for registration as a single dose spray or as a multi-dose spray. Each product is a </w:t>
      </w:r>
      <w:proofErr w:type="gramStart"/>
      <w:r w:rsidRPr="00AF1636">
        <w:t>non</w:t>
      </w:r>
      <w:proofErr w:type="gramEnd"/>
      <w:r w:rsidR="0065224C">
        <w:t xml:space="preserve"> </w:t>
      </w:r>
      <w:r w:rsidRPr="00AF1636">
        <w:t>pressurised, pump</w:t>
      </w:r>
      <w:r w:rsidR="0065224C">
        <w:t xml:space="preserve"> </w:t>
      </w:r>
      <w:r w:rsidRPr="00AF1636">
        <w:t xml:space="preserve">actuated, metered dose nasal spray that delivers 100 </w:t>
      </w:r>
      <w:proofErr w:type="spellStart"/>
      <w:r w:rsidRPr="00AF1636">
        <w:t>μL</w:t>
      </w:r>
      <w:proofErr w:type="spellEnd"/>
      <w:r w:rsidRPr="00AF1636">
        <w:t xml:space="preserve"> of solution per actuation as a fine spray. The 0.5 mg/</w:t>
      </w:r>
      <w:proofErr w:type="spellStart"/>
      <w:r w:rsidRPr="00AF1636">
        <w:t>mL</w:t>
      </w:r>
      <w:proofErr w:type="spellEnd"/>
      <w:r w:rsidRPr="00AF1636">
        <w:t xml:space="preserve"> and 1.0 mg/</w:t>
      </w:r>
      <w:proofErr w:type="spellStart"/>
      <w:r w:rsidRPr="00AF1636">
        <w:t>mL</w:t>
      </w:r>
      <w:proofErr w:type="spellEnd"/>
      <w:r w:rsidRPr="00AF1636">
        <w:t xml:space="preserve"> multi-dose products are available in bottles that deliver 10, 20 or 40 doses. The 2.0 mg/</w:t>
      </w:r>
      <w:proofErr w:type="spellStart"/>
      <w:r w:rsidRPr="00AF1636">
        <w:t>mL</w:t>
      </w:r>
      <w:proofErr w:type="spellEnd"/>
      <w:r w:rsidRPr="00AF1636">
        <w:t xml:space="preserve"> product is avai</w:t>
      </w:r>
      <w:r w:rsidR="00D97661">
        <w:t>lable in 10 or 20 dose bottles.</w:t>
      </w:r>
    </w:p>
    <w:p w:rsidR="00AF1636" w:rsidRPr="00AF1636" w:rsidRDefault="00AF1636" w:rsidP="00AF1636">
      <w:r w:rsidRPr="00AF1636">
        <w:t>The single dose product consists of a glass vial enclosed within a polypropylene sleeve, closed with a rubber stopper and fitted with a polypropylene actuator. Each single dose nasal spray is enclosed in a child</w:t>
      </w:r>
      <w:r w:rsidR="00830BD4">
        <w:t xml:space="preserve"> </w:t>
      </w:r>
      <w:r w:rsidRPr="00AF1636">
        <w:t xml:space="preserve">resistant blister pack and packed in </w:t>
      </w:r>
      <w:r w:rsidR="00D97661">
        <w:t>cartons of 2, 6, 8 or 10 units.</w:t>
      </w:r>
    </w:p>
    <w:p w:rsidR="00521A7C" w:rsidRPr="00AF1636" w:rsidRDefault="00521A7C" w:rsidP="00521A7C">
      <w:r w:rsidRPr="00AF1636">
        <w:t xml:space="preserve">The multi-dose product consists of a 10 </w:t>
      </w:r>
      <w:proofErr w:type="spellStart"/>
      <w:r w:rsidRPr="00AF1636">
        <w:t>mL</w:t>
      </w:r>
      <w:proofErr w:type="spellEnd"/>
      <w:r w:rsidRPr="00AF1636">
        <w:t xml:space="preserve"> amber glass bottle with metering pump and dust cap, packed in a re</w:t>
      </w:r>
      <w:r>
        <w:t>-</w:t>
      </w:r>
      <w:r w:rsidRPr="00AF1636">
        <w:t>closable, child</w:t>
      </w:r>
      <w:r>
        <w:t xml:space="preserve"> </w:t>
      </w:r>
      <w:r w:rsidRPr="00AF1636">
        <w:t>resistant outer plastic box. The evaluator considered that the child</w:t>
      </w:r>
      <w:r>
        <w:t xml:space="preserve"> </w:t>
      </w:r>
      <w:r w:rsidRPr="00AF1636">
        <w:t>resistant box is far too difficult to open, requiring significant dexterity and strength. However</w:t>
      </w:r>
      <w:r w:rsidRPr="006E3E99">
        <w:t xml:space="preserve">, it is identical to that which is currently marketed in the EU for </w:t>
      </w:r>
      <w:proofErr w:type="spellStart"/>
      <w:r w:rsidRPr="006E3E99">
        <w:t>Instanyl</w:t>
      </w:r>
      <w:proofErr w:type="spellEnd"/>
      <w:r w:rsidRPr="006E3E99">
        <w:t xml:space="preserve"> and i</w:t>
      </w:r>
      <w:r w:rsidRPr="00A10646">
        <w:t>t complie</w:t>
      </w:r>
      <w:r w:rsidRPr="00AF1636">
        <w:t xml:space="preserve">s with </w:t>
      </w:r>
      <w:r w:rsidRPr="00464261">
        <w:t>International Organi</w:t>
      </w:r>
      <w:r>
        <w:t>s</w:t>
      </w:r>
      <w:r w:rsidRPr="00464261">
        <w:t>ation for Standard</w:t>
      </w:r>
      <w:r>
        <w:t>is</w:t>
      </w:r>
      <w:r w:rsidRPr="00464261">
        <w:t xml:space="preserve">ation </w:t>
      </w:r>
      <w:r>
        <w:t xml:space="preserve">(ISO) and Food and Drug Administration (FDA) standards for child </w:t>
      </w:r>
      <w:r w:rsidRPr="00AF1636">
        <w:t>resistant containers, which include tests for ease of opening by adults aged 50-70 years.</w:t>
      </w:r>
    </w:p>
    <w:p w:rsidR="00521A7C" w:rsidRPr="00AF1636" w:rsidRDefault="00521A7C" w:rsidP="00521A7C">
      <w:r w:rsidRPr="00AF1636">
        <w:t>The single</w:t>
      </w:r>
      <w:r>
        <w:t>-</w:t>
      </w:r>
      <w:r w:rsidRPr="00AF1636">
        <w:t>dose pr</w:t>
      </w:r>
      <w:r>
        <w:t>oduct is manufactured in the US</w:t>
      </w:r>
      <w:r w:rsidRPr="00AF1636">
        <w:t xml:space="preserve">. The multi-dose product is manufactured in Norway. </w:t>
      </w:r>
      <w:r>
        <w:t>The</w:t>
      </w:r>
      <w:r w:rsidRPr="00AF1636">
        <w:t xml:space="preserve"> processes </w:t>
      </w:r>
      <w:r>
        <w:t xml:space="preserve">at both sites </w:t>
      </w:r>
      <w:r w:rsidR="00D97661">
        <w:t>have been adequately validated.</w:t>
      </w:r>
    </w:p>
    <w:p w:rsidR="00AF1636" w:rsidRPr="00AF1636" w:rsidRDefault="00521A7C" w:rsidP="00521A7C">
      <w:r w:rsidRPr="00AF1636">
        <w:t xml:space="preserve">The droplet size of the spray is controlled so that the majority of droplets (at least 94% for the single dose and at least 95% for the multi-dose) are larger than 10 </w:t>
      </w:r>
      <w:proofErr w:type="spellStart"/>
      <w:r w:rsidRPr="00AF1636">
        <w:t>μm</w:t>
      </w:r>
      <w:proofErr w:type="spellEnd"/>
      <w:r w:rsidRPr="00AF1636">
        <w:t>, ensuring deposition in the nasal cavity rather than inhalation into the lungs. The median droplet size is also controlled.</w:t>
      </w:r>
    </w:p>
    <w:p w:rsidR="00AF1636" w:rsidRPr="00AF1636" w:rsidRDefault="00AF1636" w:rsidP="00AF1636">
      <w:r w:rsidRPr="00AF1636">
        <w:t xml:space="preserve">The mean delivered dose of </w:t>
      </w:r>
      <w:proofErr w:type="spellStart"/>
      <w:r w:rsidRPr="00AF1636">
        <w:t>fentanyl</w:t>
      </w:r>
      <w:proofErr w:type="spellEnd"/>
      <w:r w:rsidRPr="00AF1636">
        <w:t xml:space="preserve"> decreases significantly during storage of both the single dose and the multi-dose products. In order to ensure that the</w:t>
      </w:r>
      <w:r w:rsidR="006B477B">
        <w:t xml:space="preserve"> </w:t>
      </w:r>
      <w:proofErr w:type="spellStart"/>
      <w:r w:rsidR="006B477B">
        <w:t>pharmacopoeial</w:t>
      </w:r>
      <w:proofErr w:type="spellEnd"/>
      <w:r w:rsidR="006B477B">
        <w:t xml:space="preserve"> requirement of ± </w:t>
      </w:r>
      <w:r w:rsidRPr="00AF1636">
        <w:t xml:space="preserve">15% of the labelled dose is met throughout the approved shelf life, the company has agreed to apply a tighter release limit of </w:t>
      </w:r>
      <w:r w:rsidR="006B477B">
        <w:t xml:space="preserve">± </w:t>
      </w:r>
      <w:r w:rsidRPr="00AF1636">
        <w:t>10%. The company has also agreed to tighten the shelf lives and storage conditions as recommended by the evaluator</w:t>
      </w:r>
      <w:r w:rsidR="00D97661">
        <w:t>. The approved shelf lives are:</w:t>
      </w:r>
    </w:p>
    <w:p w:rsidR="00AF1636" w:rsidRPr="00D97661" w:rsidRDefault="00E933E8" w:rsidP="00D97661">
      <w:pPr>
        <w:pStyle w:val="ListBullet"/>
      </w:pPr>
      <w:r w:rsidRPr="00D97661">
        <w:t>single-</w:t>
      </w:r>
      <w:r w:rsidR="00AF1636" w:rsidRPr="00D97661">
        <w:t>dose 0.5</w:t>
      </w:r>
      <w:r w:rsidR="00130735" w:rsidRPr="00D97661">
        <w:t xml:space="preserve"> mg/</w:t>
      </w:r>
      <w:proofErr w:type="spellStart"/>
      <w:r w:rsidR="00130735" w:rsidRPr="00D97661">
        <w:t>mL</w:t>
      </w:r>
      <w:proofErr w:type="spellEnd"/>
      <w:r w:rsidR="00130735" w:rsidRPr="00D97661">
        <w:t xml:space="preserve">: </w:t>
      </w:r>
      <w:r w:rsidR="00AF1636" w:rsidRPr="00D97661">
        <w:t>24 months below 25°C</w:t>
      </w:r>
    </w:p>
    <w:p w:rsidR="00AF1636" w:rsidRPr="00D97661" w:rsidRDefault="00E933E8" w:rsidP="00D97661">
      <w:pPr>
        <w:pStyle w:val="ListBullet"/>
      </w:pPr>
      <w:r w:rsidRPr="00D97661">
        <w:t>single-</w:t>
      </w:r>
      <w:r w:rsidR="00AF1636" w:rsidRPr="00D97661">
        <w:t xml:space="preserve">dose </w:t>
      </w:r>
      <w:r w:rsidR="00130735" w:rsidRPr="00D97661">
        <w:t>1.0 mg/</w:t>
      </w:r>
      <w:proofErr w:type="spellStart"/>
      <w:r w:rsidR="00130735" w:rsidRPr="00D97661">
        <w:t>mL</w:t>
      </w:r>
      <w:proofErr w:type="spellEnd"/>
      <w:r w:rsidR="00130735" w:rsidRPr="00D97661">
        <w:t xml:space="preserve"> </w:t>
      </w:r>
      <w:r w:rsidR="00F16547" w:rsidRPr="00D97661">
        <w:t>and</w:t>
      </w:r>
      <w:r w:rsidR="00130735" w:rsidRPr="00D97661">
        <w:t xml:space="preserve"> 2.0 mg/</w:t>
      </w:r>
      <w:proofErr w:type="spellStart"/>
      <w:r w:rsidR="00130735" w:rsidRPr="00D97661">
        <w:t>mL</w:t>
      </w:r>
      <w:proofErr w:type="spellEnd"/>
      <w:r w:rsidR="00130735" w:rsidRPr="00D97661">
        <w:t xml:space="preserve">: </w:t>
      </w:r>
      <w:r w:rsidR="00442805">
        <w:t>30 months below 25ºC</w:t>
      </w:r>
    </w:p>
    <w:p w:rsidR="00AF1636" w:rsidRPr="00D97661" w:rsidRDefault="00130735" w:rsidP="00D97661">
      <w:pPr>
        <w:pStyle w:val="ListBullet"/>
      </w:pPr>
      <w:r w:rsidRPr="00D97661">
        <w:t>multi-dose 0.5 mg/</w:t>
      </w:r>
      <w:proofErr w:type="spellStart"/>
      <w:r w:rsidRPr="00D97661">
        <w:t>mL</w:t>
      </w:r>
      <w:proofErr w:type="spellEnd"/>
      <w:r w:rsidRPr="00D97661">
        <w:t xml:space="preserve">: </w:t>
      </w:r>
      <w:r w:rsidR="00AF1636" w:rsidRPr="00D97661">
        <w:t>30 months below 25°C (store upright, do not freeze)</w:t>
      </w:r>
    </w:p>
    <w:p w:rsidR="00AF1636" w:rsidRPr="00D97661" w:rsidRDefault="00AF1636" w:rsidP="00D97661">
      <w:pPr>
        <w:pStyle w:val="ListBullet"/>
      </w:pPr>
      <w:r w:rsidRPr="00D97661">
        <w:t>mul</w:t>
      </w:r>
      <w:r w:rsidR="00130735" w:rsidRPr="00D97661">
        <w:t>ti-dose 1.0 mg/</w:t>
      </w:r>
      <w:proofErr w:type="spellStart"/>
      <w:r w:rsidR="00130735" w:rsidRPr="00D97661">
        <w:t>mL</w:t>
      </w:r>
      <w:proofErr w:type="spellEnd"/>
      <w:r w:rsidR="00130735" w:rsidRPr="00D97661">
        <w:t xml:space="preserve"> </w:t>
      </w:r>
      <w:r w:rsidR="00F16547" w:rsidRPr="00D97661">
        <w:t>and</w:t>
      </w:r>
      <w:r w:rsidR="00130735" w:rsidRPr="00D97661">
        <w:t xml:space="preserve"> 2.0 mg/</w:t>
      </w:r>
      <w:proofErr w:type="spellStart"/>
      <w:r w:rsidR="00130735" w:rsidRPr="00D97661">
        <w:t>mL</w:t>
      </w:r>
      <w:proofErr w:type="spellEnd"/>
      <w:r w:rsidR="00130735" w:rsidRPr="00D97661">
        <w:t xml:space="preserve">: </w:t>
      </w:r>
      <w:r w:rsidRPr="00D97661">
        <w:t>36 months below 30°C (store upright, do not freeze)</w:t>
      </w:r>
    </w:p>
    <w:p w:rsidR="00AF1636" w:rsidRPr="00AF1636" w:rsidRDefault="00AF1636" w:rsidP="00AF1636">
      <w:r w:rsidRPr="00AF1636">
        <w:lastRenderedPageBreak/>
        <w:t xml:space="preserve">Stability studies have shown that significant adsorption of </w:t>
      </w:r>
      <w:proofErr w:type="spellStart"/>
      <w:r w:rsidRPr="00AF1636">
        <w:t>fentanyl</w:t>
      </w:r>
      <w:proofErr w:type="spellEnd"/>
      <w:r w:rsidRPr="00AF1636">
        <w:t xml:space="preserve"> to packaging components occurs when the multi-dose bottles are stored inverted. Therefore, they must be stored upright. This means that the child</w:t>
      </w:r>
      <w:r w:rsidR="00842B95">
        <w:t xml:space="preserve"> </w:t>
      </w:r>
      <w:r w:rsidRPr="00AF1636">
        <w:t xml:space="preserve">resistant plastic box has to be stood on end. That would not always be easy or practical </w:t>
      </w:r>
      <w:r w:rsidR="00842B95">
        <w:t xml:space="preserve">for the patient to achieve (for example, </w:t>
      </w:r>
      <w:r w:rsidRPr="00AF1636">
        <w:t xml:space="preserve">if the </w:t>
      </w:r>
      <w:r w:rsidR="00D97661">
        <w:t>box were carried in a handbag).</w:t>
      </w:r>
    </w:p>
    <w:p w:rsidR="00AF1636" w:rsidRPr="00AF1636" w:rsidRDefault="00AF1636" w:rsidP="00AF1636">
      <w:r w:rsidRPr="00AF1636">
        <w:t>It is not practical to store the single dose vials upright because of their small size and the surface tension of the liquid within the vial. The shelf lives recommended above are based on stability data of product stor</w:t>
      </w:r>
      <w:r w:rsidR="00D97661">
        <w:t>ed in the inverted orientation.</w:t>
      </w:r>
    </w:p>
    <w:p w:rsidR="00AF1636" w:rsidRPr="00AF1636" w:rsidRDefault="00AF1636" w:rsidP="00AF1636">
      <w:r w:rsidRPr="00AF1636">
        <w:t>All products contain an excess of solution in order to ensure that the stated number of doses can be</w:t>
      </w:r>
      <w:r w:rsidR="007774E2">
        <w:t xml:space="preserve"> delivered.</w:t>
      </w:r>
    </w:p>
    <w:p w:rsidR="008E7846" w:rsidRDefault="008E7846" w:rsidP="008E7846">
      <w:pPr>
        <w:pStyle w:val="Heading3"/>
      </w:pPr>
      <w:bookmarkStart w:id="25" w:name="_Toc314842491"/>
      <w:bookmarkStart w:id="26" w:name="_Toc366842952"/>
      <w:proofErr w:type="spellStart"/>
      <w:r>
        <w:t>Biopharmaceutics</w:t>
      </w:r>
      <w:bookmarkEnd w:id="25"/>
      <w:bookmarkEnd w:id="26"/>
      <w:proofErr w:type="spellEnd"/>
    </w:p>
    <w:p w:rsidR="00A21127" w:rsidRPr="00A21127" w:rsidRDefault="00994F51" w:rsidP="00A21127">
      <w:r>
        <w:t>Four studies were evaluated:</w:t>
      </w:r>
    </w:p>
    <w:p w:rsidR="00A21127" w:rsidRPr="00A21127" w:rsidRDefault="00A21127" w:rsidP="00994F51">
      <w:pPr>
        <w:pStyle w:val="ListBullet"/>
      </w:pPr>
      <w:r w:rsidRPr="00A21127">
        <w:t xml:space="preserve">Study FT-001-1N showed that the absolute bioavailability of </w:t>
      </w:r>
      <w:proofErr w:type="spellStart"/>
      <w:r w:rsidRPr="00A21127">
        <w:t>fentanyl</w:t>
      </w:r>
      <w:proofErr w:type="spellEnd"/>
      <w:r w:rsidRPr="00A21127">
        <w:t xml:space="preserve"> by the nasal route (using a nasal spray formulation that is not identical to that proposed for registration) is about 100%. The </w:t>
      </w:r>
      <w:r w:rsidR="0091635E">
        <w:t>Product Information</w:t>
      </w:r>
      <w:r w:rsidRPr="00A21127">
        <w:t xml:space="preserve"> includes a statement that the absolute bioavailability of </w:t>
      </w:r>
      <w:proofErr w:type="spellStart"/>
      <w:r w:rsidRPr="00A21127">
        <w:t>Instanyl</w:t>
      </w:r>
      <w:proofErr w:type="spellEnd"/>
      <w:r w:rsidRPr="00A21127">
        <w:t xml:space="preserve"> is about 89%. The</w:t>
      </w:r>
      <w:r w:rsidR="00803857">
        <w:t xml:space="preserve"> latter figure was based on two </w:t>
      </w:r>
      <w:r w:rsidRPr="00A21127">
        <w:t>compartment modelling of the study results. Generally, the</w:t>
      </w:r>
      <w:r w:rsidR="00803857">
        <w:t xml:space="preserve"> figure of 100% obtained by non </w:t>
      </w:r>
      <w:r w:rsidRPr="00A21127">
        <w:t xml:space="preserve">compartmental analysis would </w:t>
      </w:r>
      <w:r w:rsidR="007774E2">
        <w:t>be considered more appropriate.</w:t>
      </w:r>
      <w:r w:rsidR="007774E2">
        <w:rPr>
          <w:rStyle w:val="FootnoteReference"/>
        </w:rPr>
        <w:footnoteReference w:id="2"/>
      </w:r>
    </w:p>
    <w:p w:rsidR="00A21127" w:rsidRPr="00A21127" w:rsidRDefault="00A21127" w:rsidP="00994F51">
      <w:pPr>
        <w:pStyle w:val="ListBullet"/>
      </w:pPr>
      <w:r w:rsidRPr="00A21127">
        <w:t xml:space="preserve">Study FT-021-1M showed that the bioavailability of </w:t>
      </w:r>
      <w:proofErr w:type="spellStart"/>
      <w:r w:rsidRPr="00A21127">
        <w:t>Instanyl</w:t>
      </w:r>
      <w:proofErr w:type="spellEnd"/>
      <w:r w:rsidRPr="00A21127">
        <w:t xml:space="preserve"> nasal spray is several</w:t>
      </w:r>
      <w:r w:rsidR="00E3585E">
        <w:t xml:space="preserve"> </w:t>
      </w:r>
      <w:r w:rsidRPr="00A21127">
        <w:t xml:space="preserve">fold greater than that of the </w:t>
      </w:r>
      <w:proofErr w:type="spellStart"/>
      <w:r w:rsidRPr="00A21127">
        <w:t>Actiq</w:t>
      </w:r>
      <w:proofErr w:type="spellEnd"/>
      <w:r w:rsidRPr="00A21127">
        <w:t xml:space="preserve"> oral </w:t>
      </w:r>
      <w:proofErr w:type="spellStart"/>
      <w:r w:rsidRPr="00A21127">
        <w:t>transmucosal</w:t>
      </w:r>
      <w:proofErr w:type="spellEnd"/>
      <w:r w:rsidRPr="00A21127">
        <w:t xml:space="preserve"> product. The </w:t>
      </w:r>
      <w:r w:rsidR="0091635E">
        <w:t>Product Information</w:t>
      </w:r>
      <w:r w:rsidRPr="00A21127">
        <w:t xml:space="preserve"> includes warnings not to substitute </w:t>
      </w:r>
      <w:proofErr w:type="spellStart"/>
      <w:r w:rsidRPr="00A21127">
        <w:t>Instanyl</w:t>
      </w:r>
      <w:proofErr w:type="spellEnd"/>
      <w:r w:rsidRPr="00A21127">
        <w:t xml:space="preserve"> for other </w:t>
      </w:r>
      <w:proofErr w:type="spellStart"/>
      <w:r w:rsidRPr="00A21127">
        <w:t>fentanyl</w:t>
      </w:r>
      <w:proofErr w:type="spellEnd"/>
      <w:r w:rsidRPr="00A21127">
        <w:t xml:space="preserve"> products.</w:t>
      </w:r>
    </w:p>
    <w:p w:rsidR="00A21127" w:rsidRPr="00A21127" w:rsidRDefault="00A21127" w:rsidP="00994F51">
      <w:pPr>
        <w:pStyle w:val="ListBullet"/>
      </w:pPr>
      <w:r w:rsidRPr="00A21127">
        <w:t xml:space="preserve">Study FT-1305-028-SP showed that the bioavailability of </w:t>
      </w:r>
      <w:proofErr w:type="spellStart"/>
      <w:r w:rsidRPr="00A21127">
        <w:t>fentanyl</w:t>
      </w:r>
      <w:proofErr w:type="spellEnd"/>
      <w:r w:rsidRPr="00A21127">
        <w:t xml:space="preserve"> from two sprays (one in each nostril) of the 50 µg multi-dose </w:t>
      </w:r>
      <w:proofErr w:type="spellStart"/>
      <w:r w:rsidRPr="00A21127">
        <w:t>Instanyl</w:t>
      </w:r>
      <w:proofErr w:type="spellEnd"/>
      <w:r w:rsidRPr="00A21127">
        <w:t xml:space="preserve"> product is significantly lower than that of a single spray of the 100 µg multi-dose </w:t>
      </w:r>
      <w:proofErr w:type="spellStart"/>
      <w:r w:rsidRPr="00A21127">
        <w:t>Instanyl</w:t>
      </w:r>
      <w:proofErr w:type="spellEnd"/>
      <w:r w:rsidRPr="00A21127">
        <w:t xml:space="preserve"> product (AUC </w:t>
      </w:r>
      <w:r w:rsidR="00B86250">
        <w:t>[</w:t>
      </w:r>
      <w:r w:rsidR="00D83789">
        <w:t>a</w:t>
      </w:r>
      <w:r w:rsidR="00D83789" w:rsidRPr="00D83789">
        <w:t>rea under the plasma concentration-time curve</w:t>
      </w:r>
      <w:r w:rsidR="00B86250">
        <w:t xml:space="preserve">] </w:t>
      </w:r>
      <w:r w:rsidRPr="00A21127">
        <w:t xml:space="preserve">27% lower, </w:t>
      </w:r>
      <w:proofErr w:type="spellStart"/>
      <w:r w:rsidRPr="00A21127">
        <w:t>Cmax</w:t>
      </w:r>
      <w:proofErr w:type="spellEnd"/>
      <w:r w:rsidRPr="00A21127">
        <w:t xml:space="preserve"> </w:t>
      </w:r>
      <w:r w:rsidR="001D3803">
        <w:t>[</w:t>
      </w:r>
      <w:r w:rsidR="00D2270C">
        <w:t>m</w:t>
      </w:r>
      <w:r w:rsidR="00D2270C" w:rsidRPr="00D2270C">
        <w:t>aximum plasma drug concentration</w:t>
      </w:r>
      <w:r w:rsidR="001D3803">
        <w:t xml:space="preserve">] </w:t>
      </w:r>
      <w:r w:rsidRPr="00A21127">
        <w:t xml:space="preserve">32% lower). The sponsor claimed that this result was probably due to the high degree of variability observed in the study. The sponsor further claimed that another study, Study FT-022-1M, showed dose proportionality of </w:t>
      </w:r>
      <w:proofErr w:type="spellStart"/>
      <w:r w:rsidRPr="00A21127">
        <w:t>Instanyl</w:t>
      </w:r>
      <w:proofErr w:type="spellEnd"/>
      <w:r w:rsidRPr="00A21127">
        <w:t xml:space="preserve"> nasal spray from 50 </w:t>
      </w:r>
      <w:proofErr w:type="spellStart"/>
      <w:r w:rsidRPr="00A21127">
        <w:t>μg</w:t>
      </w:r>
      <w:proofErr w:type="spellEnd"/>
      <w:r w:rsidRPr="00A21127">
        <w:t xml:space="preserve">/100 </w:t>
      </w:r>
      <w:proofErr w:type="spellStart"/>
      <w:r w:rsidRPr="00A21127">
        <w:t>μL</w:t>
      </w:r>
      <w:proofErr w:type="spellEnd"/>
      <w:r w:rsidRPr="00A21127">
        <w:t xml:space="preserve"> to 200 </w:t>
      </w:r>
      <w:proofErr w:type="spellStart"/>
      <w:r w:rsidRPr="00A21127">
        <w:t>μg</w:t>
      </w:r>
      <w:proofErr w:type="spellEnd"/>
      <w:r w:rsidRPr="00A21127">
        <w:t xml:space="preserve">/100 </w:t>
      </w:r>
      <w:proofErr w:type="spellStart"/>
      <w:r w:rsidRPr="00A21127">
        <w:t>μL</w:t>
      </w:r>
      <w:proofErr w:type="spellEnd"/>
      <w:r w:rsidRPr="00A21127">
        <w:t>, but this study was not evaluated by the Pharmaceutical Chemistry Section. This matter has been referred to the Dele</w:t>
      </w:r>
      <w:r w:rsidR="00D97661">
        <w:t>gate for further consideration.</w:t>
      </w:r>
    </w:p>
    <w:p w:rsidR="00A21127" w:rsidRPr="00A21127" w:rsidRDefault="00A21127" w:rsidP="00994F51">
      <w:pPr>
        <w:pStyle w:val="ListBullet"/>
      </w:pPr>
      <w:r w:rsidRPr="00A21127">
        <w:t>Study FT-1301-035-SP showed that the 200 µg single dose and multi-dose pr</w:t>
      </w:r>
      <w:r w:rsidR="00D97661">
        <w:t>oducts are bioequivalent.</w:t>
      </w:r>
    </w:p>
    <w:p w:rsidR="008E7846" w:rsidRPr="008751DC" w:rsidRDefault="008E7846" w:rsidP="008E7846">
      <w:pPr>
        <w:pStyle w:val="Heading3"/>
      </w:pPr>
      <w:bookmarkStart w:id="27" w:name="_Toc247691509"/>
      <w:bookmarkStart w:id="28" w:name="_Toc314842493"/>
      <w:bookmarkStart w:id="29" w:name="_Toc366842953"/>
      <w:r>
        <w:t>Quality s</w:t>
      </w:r>
      <w:r w:rsidRPr="008751DC">
        <w:t>ummary</w:t>
      </w:r>
      <w:r>
        <w:t xml:space="preserve"> and conclusions</w:t>
      </w:r>
      <w:bookmarkEnd w:id="27"/>
      <w:bookmarkEnd w:id="28"/>
      <w:bookmarkEnd w:id="29"/>
    </w:p>
    <w:p w:rsidR="00237EFF" w:rsidRPr="00237EFF" w:rsidRDefault="00237EFF" w:rsidP="00237EFF">
      <w:r w:rsidRPr="00237EFF">
        <w:t xml:space="preserve">This submission was considered at the 149th meeting of the Pharmaceutical Subcommittee of the </w:t>
      </w:r>
      <w:r w:rsidR="006D5119">
        <w:rPr>
          <w:bCs/>
        </w:rPr>
        <w:t>Advisory Committee on Prescription Medicines (ACPM)</w:t>
      </w:r>
      <w:r w:rsidR="00D97661">
        <w:t>.</w:t>
      </w:r>
    </w:p>
    <w:p w:rsidR="00237EFF" w:rsidRPr="00237EFF" w:rsidRDefault="00237EFF" w:rsidP="00237EFF">
      <w:proofErr w:type="gramStart"/>
      <w:r w:rsidRPr="00237EFF">
        <w:t xml:space="preserve">Although a number of issues were </w:t>
      </w:r>
      <w:r w:rsidR="00593F6D" w:rsidRPr="00237EFF">
        <w:t xml:space="preserve">initially </w:t>
      </w:r>
      <w:r w:rsidRPr="00237EFF">
        <w:t>identified that precluded registration of the proposed product the company has since satisfactorily addressed th</w:t>
      </w:r>
      <w:r w:rsidR="009C17B7">
        <w:t>e</w:t>
      </w:r>
      <w:r w:rsidRPr="00237EFF">
        <w:t>se issues.</w:t>
      </w:r>
      <w:proofErr w:type="gramEnd"/>
      <w:r w:rsidRPr="00237EFF">
        <w:t xml:space="preserve"> This includes adequate data to demonstrate that the design of the non</w:t>
      </w:r>
      <w:r w:rsidR="009C17B7">
        <w:t xml:space="preserve"> </w:t>
      </w:r>
      <w:r w:rsidRPr="00237EFF">
        <w:t>vented multi-dose container effectively prevents microbial ingress. Accordingly, the Microbiology Section has recommended that the product be exempted from compliance with the preservative efficacy requirements of TGO 77.</w:t>
      </w:r>
    </w:p>
    <w:p w:rsidR="00237EFF" w:rsidRPr="00237EFF" w:rsidRDefault="00237EFF" w:rsidP="00237EFF">
      <w:r w:rsidRPr="00237EFF">
        <w:lastRenderedPageBreak/>
        <w:t>There are now no objections in respect of Chemistry, Manufacturing and Controls to registration of the</w:t>
      </w:r>
      <w:r w:rsidR="00D97661">
        <w:t xml:space="preserve"> proposed </w:t>
      </w:r>
      <w:proofErr w:type="spellStart"/>
      <w:r w:rsidR="00D97661">
        <w:t>Instanyl</w:t>
      </w:r>
      <w:proofErr w:type="spellEnd"/>
      <w:r w:rsidR="00D97661">
        <w:t xml:space="preserve"> products.</w:t>
      </w:r>
    </w:p>
    <w:p w:rsidR="008E7846" w:rsidRDefault="008E7846" w:rsidP="008E7846">
      <w:pPr>
        <w:pStyle w:val="Heading2"/>
      </w:pPr>
      <w:bookmarkStart w:id="30" w:name="_Toc196046439"/>
      <w:bookmarkStart w:id="31" w:name="_Toc247691510"/>
      <w:bookmarkStart w:id="32" w:name="_Toc314842494"/>
      <w:bookmarkStart w:id="33" w:name="_Toc366842954"/>
      <w:r>
        <w:t>III. Nonclinical</w:t>
      </w:r>
      <w:bookmarkEnd w:id="30"/>
      <w:r>
        <w:t xml:space="preserve"> findings</w:t>
      </w:r>
      <w:bookmarkEnd w:id="31"/>
      <w:bookmarkEnd w:id="32"/>
      <w:bookmarkEnd w:id="33"/>
    </w:p>
    <w:p w:rsidR="008E7846" w:rsidRDefault="008E7846" w:rsidP="008E7846">
      <w:pPr>
        <w:pStyle w:val="Heading3"/>
      </w:pPr>
      <w:bookmarkStart w:id="34" w:name="_Toc247691511"/>
      <w:bookmarkStart w:id="35" w:name="_Toc314842495"/>
      <w:bookmarkStart w:id="36" w:name="_Toc366842955"/>
      <w:r>
        <w:t>Introduction</w:t>
      </w:r>
      <w:bookmarkEnd w:id="34"/>
      <w:bookmarkEnd w:id="35"/>
      <w:bookmarkEnd w:id="36"/>
    </w:p>
    <w:p w:rsidR="003129F8" w:rsidRPr="003129F8" w:rsidRDefault="00360635" w:rsidP="003129F8">
      <w:r>
        <w:t>The nonclinical submission</w:t>
      </w:r>
      <w:r w:rsidR="003129F8" w:rsidRPr="003129F8">
        <w:t xml:space="preserve"> included three </w:t>
      </w:r>
      <w:r w:rsidR="00D078CA">
        <w:t xml:space="preserve">new Good Laboratory Practice (GLP) </w:t>
      </w:r>
      <w:r w:rsidR="003129F8" w:rsidRPr="003129F8">
        <w:t xml:space="preserve">compliant local tolerance studies as well as published studies supporting claims regarding the safety and efficacy of </w:t>
      </w:r>
      <w:proofErr w:type="spellStart"/>
      <w:r w:rsidR="003129F8" w:rsidRPr="003129F8">
        <w:t>Instanyl</w:t>
      </w:r>
      <w:proofErr w:type="spellEnd"/>
      <w:r w:rsidR="003129F8" w:rsidRPr="003129F8">
        <w:t>. Only the three new local tolerance studies were evaluated but, where relevant, results from the submitted publications are also discussed. One aspect of the submission that hampered assessment was the lack of clarity of some scanned publ</w:t>
      </w:r>
      <w:r w:rsidR="00D97661">
        <w:t>ished literature reports.</w:t>
      </w:r>
    </w:p>
    <w:p w:rsidR="003129F8" w:rsidRPr="003129F8" w:rsidRDefault="003129F8" w:rsidP="003129F8">
      <w:r w:rsidRPr="003129F8">
        <w:t xml:space="preserve">Two published </w:t>
      </w:r>
      <w:r w:rsidR="00590BAF">
        <w:t xml:space="preserve">non </w:t>
      </w:r>
      <w:r w:rsidRPr="003129F8">
        <w:t xml:space="preserve">GLP compliant literature reports of cardiovascular safety studies </w:t>
      </w:r>
      <w:r w:rsidR="00F16547">
        <w:t xml:space="preserve">came from </w:t>
      </w:r>
      <w:r w:rsidRPr="003129F8">
        <w:t xml:space="preserve">academic institutions, and it has been assumed that they were conducted to local standards, although the quality with respect to data recording and facilities, environment and investigators cannot be assessed. This is also the case for a publication of an </w:t>
      </w:r>
      <w:proofErr w:type="spellStart"/>
      <w:r w:rsidRPr="003129F8">
        <w:t>immunotoxicity</w:t>
      </w:r>
      <w:proofErr w:type="spellEnd"/>
      <w:r w:rsidRPr="003129F8">
        <w:t xml:space="preserve"> study. As such, the submitted literature reports were not GLP</w:t>
      </w:r>
      <w:r w:rsidR="003B440C">
        <w:t xml:space="preserve"> </w:t>
      </w:r>
      <w:r w:rsidRPr="003129F8">
        <w:t>compliant, although they address the EU and local guidance</w:t>
      </w:r>
      <w:r w:rsidR="00D97661">
        <w:t xml:space="preserve"> requirements.</w:t>
      </w:r>
    </w:p>
    <w:p w:rsidR="008E7846" w:rsidRDefault="008E7846" w:rsidP="008E7846">
      <w:pPr>
        <w:pStyle w:val="Heading3"/>
      </w:pPr>
      <w:bookmarkStart w:id="37" w:name="_Toc247691512"/>
      <w:bookmarkStart w:id="38" w:name="_Toc314842496"/>
      <w:bookmarkStart w:id="39" w:name="_Toc366842956"/>
      <w:r w:rsidRPr="00020030">
        <w:t>Pharmacology</w:t>
      </w:r>
      <w:bookmarkEnd w:id="37"/>
      <w:bookmarkEnd w:id="38"/>
      <w:bookmarkEnd w:id="39"/>
    </w:p>
    <w:p w:rsidR="0093713B" w:rsidRPr="0093713B" w:rsidRDefault="0093713B" w:rsidP="00240DF0">
      <w:pPr>
        <w:pStyle w:val="Heading4"/>
      </w:pPr>
      <w:r w:rsidRPr="0093713B">
        <w:t xml:space="preserve">Primary pharmacology, secondary </w:t>
      </w:r>
      <w:proofErr w:type="spellStart"/>
      <w:r w:rsidRPr="0093713B">
        <w:t>pharmacod</w:t>
      </w:r>
      <w:r w:rsidR="00D97661">
        <w:t>ynamics</w:t>
      </w:r>
      <w:proofErr w:type="spellEnd"/>
      <w:r w:rsidR="00D97661">
        <w:t xml:space="preserve"> and safety pharmacology</w:t>
      </w:r>
    </w:p>
    <w:p w:rsidR="0093713B" w:rsidRPr="0093713B" w:rsidRDefault="0093713B" w:rsidP="0093713B">
      <w:proofErr w:type="spellStart"/>
      <w:r w:rsidRPr="0093713B">
        <w:t>Fentanyl</w:t>
      </w:r>
      <w:proofErr w:type="spellEnd"/>
      <w:r w:rsidRPr="0093713B">
        <w:t xml:space="preserve"> is a potent, short</w:t>
      </w:r>
      <w:r w:rsidR="00E51794">
        <w:t xml:space="preserve"> </w:t>
      </w:r>
      <w:r w:rsidRPr="0093713B">
        <w:t xml:space="preserve">acting, synthetic, pure </w:t>
      </w:r>
      <w:r w:rsidR="00F84596">
        <w:t>µ</w:t>
      </w:r>
      <w:r w:rsidRPr="0093713B">
        <w:t>-</w:t>
      </w:r>
      <w:proofErr w:type="spellStart"/>
      <w:r w:rsidRPr="0093713B">
        <w:t>opioid</w:t>
      </w:r>
      <w:proofErr w:type="spellEnd"/>
      <w:r w:rsidRPr="0093713B">
        <w:t xml:space="preserve"> receptor agonist with an established clinical history as an analgesic. Supporting published literature reports were noted as submitted but most were not evaluated.</w:t>
      </w:r>
    </w:p>
    <w:p w:rsidR="0093713B" w:rsidRPr="0093713B" w:rsidRDefault="0093713B" w:rsidP="00240DF0">
      <w:pPr>
        <w:pStyle w:val="Heading4"/>
      </w:pPr>
      <w:r w:rsidRPr="0093713B">
        <w:t>Safety pharmacology</w:t>
      </w:r>
    </w:p>
    <w:p w:rsidR="0093713B" w:rsidRPr="0093713B" w:rsidRDefault="0093713B" w:rsidP="00240DF0">
      <w:pPr>
        <w:pStyle w:val="Heading5"/>
      </w:pPr>
      <w:r w:rsidRPr="0093713B">
        <w:t>Cardiovascular studies</w:t>
      </w:r>
    </w:p>
    <w:p w:rsidR="0093713B" w:rsidRDefault="0093713B" w:rsidP="00240DF0">
      <w:pPr>
        <w:pStyle w:val="Heading6"/>
      </w:pPr>
      <w:r w:rsidRPr="0093713B">
        <w:t>In vivo studies</w:t>
      </w:r>
    </w:p>
    <w:p w:rsidR="0093713B" w:rsidRPr="0093713B" w:rsidRDefault="0093713B" w:rsidP="0093713B">
      <w:r w:rsidRPr="0093713B">
        <w:t xml:space="preserve">In a published literature report, continuous infusion of </w:t>
      </w:r>
      <w:proofErr w:type="spellStart"/>
      <w:r w:rsidRPr="0093713B">
        <w:t>fentanyl</w:t>
      </w:r>
      <w:proofErr w:type="spellEnd"/>
      <w:r w:rsidRPr="0093713B">
        <w:t xml:space="preserve"> for 24 h had no effect on blood pressure, heart rate, cardiac output and left ventricular function in conscious rats at a dose of 20 µg/kg/h </w:t>
      </w:r>
      <w:r w:rsidR="007B2E84">
        <w:t>intravenous (</w:t>
      </w:r>
      <w:r w:rsidRPr="0093713B">
        <w:t>IV</w:t>
      </w:r>
      <w:r w:rsidR="007B2E84">
        <w:t>)</w:t>
      </w:r>
      <w:r w:rsidR="00826E1F">
        <w:t>.</w:t>
      </w:r>
      <w:r w:rsidR="00826E1F">
        <w:rPr>
          <w:rStyle w:val="FootnoteReference"/>
        </w:rPr>
        <w:footnoteReference w:id="3"/>
      </w:r>
      <w:r w:rsidR="00717F05">
        <w:t xml:space="preserve"> </w:t>
      </w:r>
      <w:r w:rsidRPr="0093713B">
        <w:t xml:space="preserve">In subsequent experiments carried out after animal sacrifice, there was no notable difference between </w:t>
      </w:r>
      <w:proofErr w:type="spellStart"/>
      <w:r w:rsidRPr="0093713B">
        <w:t>fent</w:t>
      </w:r>
      <w:r w:rsidR="006A7D55">
        <w:t>anyl</w:t>
      </w:r>
      <w:proofErr w:type="spellEnd"/>
      <w:r w:rsidR="006A7D55">
        <w:t xml:space="preserve"> compared with </w:t>
      </w:r>
      <w:r w:rsidRPr="0093713B">
        <w:t>controls in responses of endothelium</w:t>
      </w:r>
      <w:r w:rsidR="006A7D55">
        <w:t xml:space="preserve"> </w:t>
      </w:r>
      <w:r w:rsidRPr="0093713B">
        <w:t xml:space="preserve">intact aortic rings to </w:t>
      </w:r>
      <w:proofErr w:type="spellStart"/>
      <w:r w:rsidRPr="0093713B">
        <w:t>noradrenaline</w:t>
      </w:r>
      <w:proofErr w:type="spellEnd"/>
      <w:r w:rsidR="006A7D55">
        <w:t xml:space="preserve"> </w:t>
      </w:r>
      <w:r w:rsidRPr="0093713B">
        <w:t>induced vasoconstriction or acetylcholine</w:t>
      </w:r>
      <w:r w:rsidR="006A7D55">
        <w:t xml:space="preserve"> </w:t>
      </w:r>
      <w:r w:rsidR="00D97661">
        <w:t>induced vasodilatation.</w:t>
      </w:r>
    </w:p>
    <w:p w:rsidR="0093713B" w:rsidRDefault="0093713B" w:rsidP="0093713B">
      <w:r w:rsidRPr="0093713B">
        <w:t xml:space="preserve">The reason that the </w:t>
      </w:r>
      <w:proofErr w:type="spellStart"/>
      <w:r w:rsidRPr="0093713B">
        <w:t>haemodynamic</w:t>
      </w:r>
      <w:proofErr w:type="spellEnd"/>
      <w:r w:rsidRPr="0093713B">
        <w:t xml:space="preserve"> parameters were not adversely affected by the continuous infusion of </w:t>
      </w:r>
      <w:proofErr w:type="spellStart"/>
      <w:r w:rsidRPr="0093713B">
        <w:t>fentanyl</w:t>
      </w:r>
      <w:proofErr w:type="spellEnd"/>
      <w:r w:rsidRPr="0093713B">
        <w:t xml:space="preserve"> for 24 h could reflect the development of tolerance. Another possibility is that there may have been a compensatory activation of the </w:t>
      </w:r>
      <w:proofErr w:type="spellStart"/>
      <w:r w:rsidRPr="0093713B">
        <w:t>sympatho</w:t>
      </w:r>
      <w:proofErr w:type="spellEnd"/>
      <w:r w:rsidR="003C46BB">
        <w:t>-</w:t>
      </w:r>
      <w:r w:rsidRPr="0093713B">
        <w:t xml:space="preserve">adrenergic system (due to findings of higher </w:t>
      </w:r>
      <w:proofErr w:type="spellStart"/>
      <w:r w:rsidRPr="0093713B">
        <w:t>noradrenaline</w:t>
      </w:r>
      <w:proofErr w:type="spellEnd"/>
      <w:r w:rsidRPr="0093713B">
        <w:t xml:space="preserve"> plasma levels in the </w:t>
      </w:r>
      <w:proofErr w:type="spellStart"/>
      <w:r w:rsidRPr="0093713B">
        <w:t>fentanyl</w:t>
      </w:r>
      <w:proofErr w:type="spellEnd"/>
      <w:r w:rsidRPr="0093713B">
        <w:t xml:space="preserve"> treated rats compared with controls). Moreover, the significant IV fluid loading given during the course of the experiments may have been protective against possible </w:t>
      </w:r>
      <w:proofErr w:type="spellStart"/>
      <w:r w:rsidRPr="0093713B">
        <w:t>haemodynamic</w:t>
      </w:r>
      <w:proofErr w:type="spellEnd"/>
      <w:r w:rsidRPr="0093713B">
        <w:t xml:space="preserve"> alterations.</w:t>
      </w:r>
    </w:p>
    <w:p w:rsidR="0093713B" w:rsidRPr="0093713B" w:rsidRDefault="0093713B" w:rsidP="00240DF0">
      <w:pPr>
        <w:pStyle w:val="Heading6"/>
      </w:pPr>
      <w:r w:rsidRPr="0093713B">
        <w:lastRenderedPageBreak/>
        <w:t>In vitro studies</w:t>
      </w:r>
    </w:p>
    <w:p w:rsidR="0093713B" w:rsidRPr="0093713B" w:rsidRDefault="0093713B" w:rsidP="0093713B">
      <w:r w:rsidRPr="0093713B">
        <w:t xml:space="preserve">In dog cardiac Purkinje fibres, </w:t>
      </w:r>
      <w:proofErr w:type="spellStart"/>
      <w:r w:rsidRPr="0093713B">
        <w:t>fentanyl</w:t>
      </w:r>
      <w:proofErr w:type="spellEnd"/>
      <w:r w:rsidRPr="0093713B">
        <w:t xml:space="preserve"> prolonged the action potential duration a</w:t>
      </w:r>
      <w:r w:rsidR="00826E1F">
        <w:t xml:space="preserve">t ≥ 95 </w:t>
      </w:r>
      <w:proofErr w:type="spellStart"/>
      <w:r w:rsidR="00826E1F">
        <w:t>nM</w:t>
      </w:r>
      <w:proofErr w:type="spellEnd"/>
      <w:r w:rsidR="00717F05">
        <w:rPr>
          <w:rStyle w:val="FootnoteReference"/>
        </w:rPr>
        <w:footnoteReference w:id="4"/>
      </w:r>
      <w:r w:rsidR="00717F05">
        <w:t xml:space="preserve"> </w:t>
      </w:r>
      <w:r w:rsidRPr="0093713B">
        <w:t xml:space="preserve">consistent with its effect on </w:t>
      </w:r>
      <w:proofErr w:type="spellStart"/>
      <w:r w:rsidRPr="0093713B">
        <w:t>hERG</w:t>
      </w:r>
      <w:proofErr w:type="spellEnd"/>
      <w:r w:rsidRPr="0093713B">
        <w:t xml:space="preserve"> channels. Effects of </w:t>
      </w:r>
      <w:proofErr w:type="spellStart"/>
      <w:r w:rsidRPr="0093713B">
        <w:t>fentanyl</w:t>
      </w:r>
      <w:proofErr w:type="spellEnd"/>
      <w:r w:rsidRPr="0093713B">
        <w:t xml:space="preserve"> have been reported on </w:t>
      </w:r>
      <w:proofErr w:type="spellStart"/>
      <w:r w:rsidRPr="0093713B">
        <w:t>hERG</w:t>
      </w:r>
      <w:proofErr w:type="spellEnd"/>
      <w:r w:rsidRPr="0093713B">
        <w:t xml:space="preserve"> channel currents recorded in HEK-293 cells. </w:t>
      </w:r>
      <w:proofErr w:type="spellStart"/>
      <w:r w:rsidRPr="0093713B">
        <w:t>Fentanyl</w:t>
      </w:r>
      <w:proofErr w:type="spellEnd"/>
      <w:r w:rsidRPr="0093713B">
        <w:t xml:space="preserve"> blocked </w:t>
      </w:r>
      <w:proofErr w:type="spellStart"/>
      <w:r w:rsidRPr="0093713B">
        <w:t>hERG</w:t>
      </w:r>
      <w:proofErr w:type="spellEnd"/>
      <w:r w:rsidRPr="0093713B">
        <w:t xml:space="preserve"> channels with an IC50 o</w:t>
      </w:r>
      <w:r w:rsidR="00411639">
        <w:t xml:space="preserve">f 1.8 </w:t>
      </w:r>
      <w:proofErr w:type="spellStart"/>
      <w:r w:rsidR="00411639">
        <w:t>μM</w:t>
      </w:r>
      <w:proofErr w:type="spellEnd"/>
      <w:r w:rsidR="00411639">
        <w:t>.</w:t>
      </w:r>
      <w:r w:rsidR="00411639">
        <w:rPr>
          <w:rStyle w:val="FootnoteReference"/>
        </w:rPr>
        <w:footnoteReference w:id="5"/>
      </w:r>
    </w:p>
    <w:p w:rsidR="0093713B" w:rsidRPr="0093713B" w:rsidRDefault="0093713B" w:rsidP="00240DF0">
      <w:pPr>
        <w:pStyle w:val="Heading6"/>
      </w:pPr>
      <w:r w:rsidRPr="0093713B">
        <w:t>Overall conclusion from cardiovascular safety studies</w:t>
      </w:r>
    </w:p>
    <w:p w:rsidR="0093713B" w:rsidRPr="0093713B" w:rsidRDefault="0093713B" w:rsidP="0093713B">
      <w:r w:rsidRPr="0093713B">
        <w:t xml:space="preserve">Clinical doses of </w:t>
      </w:r>
      <w:proofErr w:type="spellStart"/>
      <w:r w:rsidRPr="0093713B">
        <w:t>fentanyl</w:t>
      </w:r>
      <w:proofErr w:type="spellEnd"/>
      <w:r w:rsidRPr="0093713B">
        <w:t xml:space="preserve"> will range from 50-200 µg/dose (titrated for each patient starting with the lowest dose). Dosing includes up to two nasal administrations of </w:t>
      </w:r>
      <w:proofErr w:type="spellStart"/>
      <w:r w:rsidRPr="0093713B">
        <w:t>fentanyl</w:t>
      </w:r>
      <w:proofErr w:type="spellEnd"/>
      <w:r w:rsidRPr="0093713B">
        <w:t xml:space="preserve">, only within 10 min of each other. Pharmacokinetic data from studies in cancer patients with </w:t>
      </w:r>
      <w:r w:rsidR="00067DB9">
        <w:t>BTP</w:t>
      </w:r>
      <w:r w:rsidRPr="0093713B">
        <w:t xml:space="preserve"> reveals peak plasma levels (</w:t>
      </w:r>
      <w:proofErr w:type="spellStart"/>
      <w:r w:rsidRPr="0093713B">
        <w:t>Cmax</w:t>
      </w:r>
      <w:proofErr w:type="spellEnd"/>
      <w:r w:rsidRPr="0093713B">
        <w:t>) following the maxim</w:t>
      </w:r>
      <w:r w:rsidR="008D12E5">
        <w:t xml:space="preserve">um dose of 200 µg </w:t>
      </w:r>
      <w:proofErr w:type="gramStart"/>
      <w:r w:rsidR="008D12E5">
        <w:t xml:space="preserve">of 1.2 </w:t>
      </w:r>
      <w:proofErr w:type="spellStart"/>
      <w:r w:rsidR="008D12E5">
        <w:t>ng</w:t>
      </w:r>
      <w:proofErr w:type="spellEnd"/>
      <w:r w:rsidR="008D12E5">
        <w:t>/</w:t>
      </w:r>
      <w:proofErr w:type="spellStart"/>
      <w:r w:rsidR="008D12E5">
        <w:t>mL</w:t>
      </w:r>
      <w:proofErr w:type="spellEnd"/>
      <w:r w:rsidR="008D12E5">
        <w:t xml:space="preserve"> (Study FT-016-IM)</w:t>
      </w:r>
      <w:proofErr w:type="gramEnd"/>
      <w:r w:rsidRPr="0093713B">
        <w:t xml:space="preserve">, equivalent to around 3.5 </w:t>
      </w:r>
      <w:proofErr w:type="spellStart"/>
      <w:r w:rsidRPr="0093713B">
        <w:t>nM</w:t>
      </w:r>
      <w:proofErr w:type="spellEnd"/>
      <w:r w:rsidRPr="0093713B">
        <w:t xml:space="preserve"> of </w:t>
      </w:r>
      <w:proofErr w:type="spellStart"/>
      <w:r w:rsidRPr="0093713B">
        <w:t>fentanyl</w:t>
      </w:r>
      <w:proofErr w:type="spellEnd"/>
      <w:r w:rsidRPr="0093713B">
        <w:t xml:space="preserve">. Where 2 doses are taken within 10 min of each other, plasma peak plasma levels could be up to </w:t>
      </w:r>
      <w:proofErr w:type="gramStart"/>
      <w:r w:rsidRPr="0093713B">
        <w:t xml:space="preserve">2.4 </w:t>
      </w:r>
      <w:proofErr w:type="spellStart"/>
      <w:r w:rsidRPr="0093713B">
        <w:t>ng</w:t>
      </w:r>
      <w:proofErr w:type="spellEnd"/>
      <w:r w:rsidRPr="0093713B">
        <w:t>/</w:t>
      </w:r>
      <w:proofErr w:type="spellStart"/>
      <w:r w:rsidRPr="0093713B">
        <w:t>mL</w:t>
      </w:r>
      <w:proofErr w:type="spellEnd"/>
      <w:proofErr w:type="gramEnd"/>
      <w:r w:rsidRPr="0093713B">
        <w:t xml:space="preserve"> or 7 </w:t>
      </w:r>
      <w:proofErr w:type="spellStart"/>
      <w:r w:rsidRPr="0093713B">
        <w:t>nM</w:t>
      </w:r>
      <w:proofErr w:type="spellEnd"/>
      <w:r w:rsidRPr="0093713B">
        <w:t xml:space="preserve"> (data not provided). Moreover, the </w:t>
      </w:r>
      <w:r w:rsidRPr="00AC5F91">
        <w:rPr>
          <w:i/>
        </w:rPr>
        <w:t>in vitro</w:t>
      </w:r>
      <w:r w:rsidRPr="0093713B">
        <w:t xml:space="preserve"> studies have been performed in the absence of plasma proteins. Since plasma protein binding is about 78% in dogs and 84% in humans,</w:t>
      </w:r>
      <w:r w:rsidR="0032604D">
        <w:rPr>
          <w:rStyle w:val="FootnoteReference"/>
        </w:rPr>
        <w:footnoteReference w:id="6"/>
      </w:r>
      <w:r w:rsidRPr="0093713B">
        <w:t xml:space="preserve"> it is expected that only about 20% of the levels of </w:t>
      </w:r>
      <w:proofErr w:type="spellStart"/>
      <w:r w:rsidRPr="0093713B">
        <w:t>fentanyl</w:t>
      </w:r>
      <w:proofErr w:type="spellEnd"/>
      <w:r w:rsidRPr="0093713B">
        <w:t xml:space="preserve"> in plasma would be available</w:t>
      </w:r>
      <w:r w:rsidR="00D97661">
        <w:t xml:space="preserve"> to interact with ion channels.</w:t>
      </w:r>
    </w:p>
    <w:p w:rsidR="0093713B" w:rsidRDefault="0093713B" w:rsidP="0093713B">
      <w:r w:rsidRPr="0093713B">
        <w:t xml:space="preserve">At doses in the therapeutic range, there is no particular risk in patients regarding </w:t>
      </w:r>
      <w:proofErr w:type="spellStart"/>
      <w:r w:rsidRPr="0093713B">
        <w:t>fentanyl</w:t>
      </w:r>
      <w:proofErr w:type="spellEnd"/>
      <w:r w:rsidRPr="0093713B">
        <w:t xml:space="preserve"> blocking </w:t>
      </w:r>
      <w:proofErr w:type="spellStart"/>
      <w:r w:rsidRPr="0093713B">
        <w:t>hERG</w:t>
      </w:r>
      <w:proofErr w:type="spellEnd"/>
      <w:r w:rsidRPr="0093713B">
        <w:t xml:space="preserve"> K+ currents (and thus prolonging the QT interval). The effects of </w:t>
      </w:r>
      <w:proofErr w:type="spellStart"/>
      <w:r w:rsidRPr="0093713B">
        <w:t>fentanyl</w:t>
      </w:r>
      <w:proofErr w:type="spellEnd"/>
      <w:r w:rsidRPr="0093713B">
        <w:t xml:space="preserve"> administration (infusion) in conscious rats did not reveal any adverse findings on </w:t>
      </w:r>
      <w:proofErr w:type="spellStart"/>
      <w:r w:rsidRPr="0093713B">
        <w:t>haemodynamic</w:t>
      </w:r>
      <w:proofErr w:type="spellEnd"/>
      <w:r w:rsidRPr="0093713B">
        <w:t xml:space="preserve"> parameters. Overall, there are no specific concerns raised from these</w:t>
      </w:r>
      <w:r>
        <w:t xml:space="preserve"> studies.</w:t>
      </w:r>
    </w:p>
    <w:p w:rsidR="0093713B" w:rsidRPr="0093713B" w:rsidRDefault="0093713B" w:rsidP="0093713B">
      <w:r w:rsidRPr="0093713B">
        <w:t xml:space="preserve">In particular, </w:t>
      </w:r>
      <w:proofErr w:type="spellStart"/>
      <w:r w:rsidRPr="0093713B">
        <w:t>Instanyl</w:t>
      </w:r>
      <w:proofErr w:type="spellEnd"/>
      <w:r w:rsidRPr="0093713B">
        <w:t xml:space="preserve"> is not considered to represent a </w:t>
      </w:r>
      <w:proofErr w:type="spellStart"/>
      <w:r w:rsidRPr="0093713B">
        <w:t>torsadogenic</w:t>
      </w:r>
      <w:proofErr w:type="spellEnd"/>
      <w:r w:rsidRPr="0093713B">
        <w:t xml:space="preserve"> risk.</w:t>
      </w:r>
    </w:p>
    <w:p w:rsidR="008E7846" w:rsidRDefault="008E7846" w:rsidP="008E7846">
      <w:pPr>
        <w:pStyle w:val="Heading3"/>
      </w:pPr>
      <w:bookmarkStart w:id="40" w:name="_Toc247691513"/>
      <w:bookmarkStart w:id="41" w:name="_Toc314842497"/>
      <w:bookmarkStart w:id="42" w:name="_Toc366842957"/>
      <w:r>
        <w:t>Pharmacokinetics</w:t>
      </w:r>
      <w:bookmarkEnd w:id="40"/>
      <w:bookmarkEnd w:id="41"/>
      <w:bookmarkEnd w:id="42"/>
    </w:p>
    <w:p w:rsidR="00002F7A" w:rsidRPr="00002F7A" w:rsidRDefault="00002F7A" w:rsidP="00002F7A">
      <w:r w:rsidRPr="00002F7A">
        <w:t>Some supporting published literature reports were noted as submitted but were not evaluated.</w:t>
      </w:r>
    </w:p>
    <w:p w:rsidR="00002F7A" w:rsidRPr="00002F7A" w:rsidRDefault="00002F7A" w:rsidP="00002F7A">
      <w:r w:rsidRPr="00002F7A">
        <w:t xml:space="preserve">Some of the publications were reviewed. These studies do not involve intranasal administration of </w:t>
      </w:r>
      <w:proofErr w:type="spellStart"/>
      <w:r w:rsidRPr="00002F7A">
        <w:t>fentanyl</w:t>
      </w:r>
      <w:proofErr w:type="spellEnd"/>
      <w:r w:rsidRPr="00002F7A">
        <w:t xml:space="preserve">, but are considered to be relevant to compiling the kinetics of </w:t>
      </w:r>
      <w:proofErr w:type="spellStart"/>
      <w:r w:rsidRPr="00002F7A">
        <w:t>fentanyl</w:t>
      </w:r>
      <w:proofErr w:type="spellEnd"/>
      <w:r w:rsidRPr="00002F7A">
        <w:t xml:space="preserve"> a</w:t>
      </w:r>
      <w:r w:rsidR="00D97661">
        <w:t>nd are briefly discussed below.</w:t>
      </w:r>
    </w:p>
    <w:p w:rsidR="00C647AB" w:rsidRDefault="00002F7A" w:rsidP="00C647AB">
      <w:pPr>
        <w:pStyle w:val="Heading5"/>
      </w:pPr>
      <w:r w:rsidRPr="00002F7A">
        <w:t>Absorption</w:t>
      </w:r>
    </w:p>
    <w:p w:rsidR="00D97661" w:rsidRDefault="00002F7A" w:rsidP="00002F7A">
      <w:r w:rsidRPr="00002F7A">
        <w:t xml:space="preserve">Some kinetic data following IV and </w:t>
      </w:r>
      <w:r w:rsidR="008D12E5">
        <w:t>subcutaneous (</w:t>
      </w:r>
      <w:r w:rsidRPr="00002F7A">
        <w:t>SC</w:t>
      </w:r>
      <w:r w:rsidR="008D12E5">
        <w:t>)</w:t>
      </w:r>
      <w:r w:rsidRPr="00002F7A">
        <w:t xml:space="preserve"> dosing in rats and dogs were reviewed</w:t>
      </w:r>
      <w:r w:rsidR="00D97661">
        <w:t>.</w:t>
      </w:r>
    </w:p>
    <w:p w:rsidR="00C647AB" w:rsidRPr="00D97661" w:rsidRDefault="00C647AB" w:rsidP="00D97661">
      <w:pPr>
        <w:pStyle w:val="Heading5"/>
        <w:rPr>
          <w:rFonts w:eastAsia="Cambria"/>
        </w:rPr>
      </w:pPr>
      <w:r w:rsidRPr="00D97661">
        <w:rPr>
          <w:rFonts w:eastAsia="Cambria"/>
        </w:rPr>
        <w:t>Distribution</w:t>
      </w:r>
    </w:p>
    <w:p w:rsidR="00002F7A" w:rsidRPr="00002F7A" w:rsidRDefault="00002F7A" w:rsidP="00002F7A">
      <w:r w:rsidRPr="00002F7A">
        <w:t>A single SC dose of 0.2 mg/kg [</w:t>
      </w:r>
      <w:r w:rsidRPr="00AC5F91">
        <w:rPr>
          <w:vertAlign w:val="superscript"/>
        </w:rPr>
        <w:t>3</w:t>
      </w:r>
      <w:r w:rsidRPr="00002F7A">
        <w:t>H]-</w:t>
      </w:r>
      <w:proofErr w:type="spellStart"/>
      <w:r w:rsidRPr="00002F7A">
        <w:t>fentanyl</w:t>
      </w:r>
      <w:proofErr w:type="spellEnd"/>
      <w:r w:rsidRPr="00002F7A">
        <w:t xml:space="preserve"> to rats revealed levels in the brain and lung were greatest at 1 h and fell rapidly, consistent with previous </w:t>
      </w:r>
      <w:proofErr w:type="spellStart"/>
      <w:r w:rsidRPr="00002F7A">
        <w:t>fentanyl</w:t>
      </w:r>
      <w:proofErr w:type="spellEnd"/>
      <w:r w:rsidRPr="00002F7A">
        <w:t xml:space="preserve"> studies</w:t>
      </w:r>
      <w:r>
        <w:t xml:space="preserve"> in rats and rabbits</w:t>
      </w:r>
      <w:r w:rsidRPr="00002F7A">
        <w:t>. There were persistent tissue levels in fat, muscle, liver and kidney. The high affinity for fat indicates the possibility of accumulation w</w:t>
      </w:r>
      <w:r w:rsidR="00D97661">
        <w:t>ith repeat dose administration.</w:t>
      </w:r>
    </w:p>
    <w:p w:rsidR="00002F7A" w:rsidRPr="00002F7A" w:rsidRDefault="00002F7A" w:rsidP="00002F7A">
      <w:r w:rsidRPr="00002F7A">
        <w:t xml:space="preserve">Plasma protein binding by </w:t>
      </w:r>
      <w:proofErr w:type="spellStart"/>
      <w:r w:rsidRPr="00002F7A">
        <w:t>fentanyl</w:t>
      </w:r>
      <w:proofErr w:type="spellEnd"/>
      <w:r w:rsidRPr="00002F7A">
        <w:t xml:space="preserve"> was high in humans and similar in laboratory animal spe</w:t>
      </w:r>
      <w:r w:rsidR="00015A2B">
        <w:t>cies with some transfer into red blood cells (RBC)</w:t>
      </w:r>
      <w:r w:rsidRPr="00002F7A">
        <w:t xml:space="preserve">. </w:t>
      </w:r>
      <w:proofErr w:type="spellStart"/>
      <w:r w:rsidRPr="00002F7A">
        <w:t>Fentanyl</w:t>
      </w:r>
      <w:proofErr w:type="spellEnd"/>
      <w:r w:rsidRPr="00002F7A">
        <w:t xml:space="preserve"> is about 80% protein bound in humans, rats and dogs. A literature report from the early 1980s suggests there are unlikely to be changes in </w:t>
      </w:r>
      <w:proofErr w:type="spellStart"/>
      <w:r w:rsidRPr="00002F7A">
        <w:t>fentanyl</w:t>
      </w:r>
      <w:proofErr w:type="spellEnd"/>
      <w:r w:rsidRPr="00002F7A">
        <w:t xml:space="preserve"> plasma levels which could potentially cause adverse </w:t>
      </w:r>
      <w:r w:rsidRPr="00002F7A">
        <w:lastRenderedPageBreak/>
        <w:t xml:space="preserve">effects during clinical use as a result of changes in protein binding and the free, active fraction in plasma. The factors investigated in the study which could potentially affect </w:t>
      </w:r>
      <w:proofErr w:type="spellStart"/>
      <w:r w:rsidRPr="00002F7A">
        <w:t>fentanyl</w:t>
      </w:r>
      <w:proofErr w:type="spellEnd"/>
      <w:r w:rsidRPr="00002F7A">
        <w:t xml:space="preserve"> protein binding included: 1) variation in binding between individuals; 2) different doses of </w:t>
      </w:r>
      <w:proofErr w:type="spellStart"/>
      <w:r w:rsidRPr="00002F7A">
        <w:t>fentanyl</w:t>
      </w:r>
      <w:proofErr w:type="spellEnd"/>
      <w:r w:rsidRPr="00002F7A">
        <w:t xml:space="preserve">; and 3) other drugs or endogenous </w:t>
      </w:r>
      <w:proofErr w:type="spellStart"/>
      <w:r w:rsidRPr="00002F7A">
        <w:t>ligands</w:t>
      </w:r>
      <w:proofErr w:type="spellEnd"/>
      <w:r w:rsidRPr="00002F7A">
        <w:t xml:space="preserve">. Slight displacement was found with only a few clinically used agents at high concentrations, but this effect is likely to be negligible at therapeutic plasma levels. Caution was advised in the case of </w:t>
      </w:r>
      <w:proofErr w:type="spellStart"/>
      <w:r w:rsidRPr="00002F7A">
        <w:t>polypharmacy</w:t>
      </w:r>
      <w:proofErr w:type="spellEnd"/>
      <w:r w:rsidRPr="00002F7A">
        <w:t xml:space="preserve"> as there may be an additive </w:t>
      </w:r>
      <w:r w:rsidR="00D97661">
        <w:t>overall effect on displacement.</w:t>
      </w:r>
    </w:p>
    <w:p w:rsidR="00C647AB" w:rsidRDefault="00C647AB" w:rsidP="00C647AB">
      <w:pPr>
        <w:pStyle w:val="Heading5"/>
      </w:pPr>
      <w:r>
        <w:t>Metabolism</w:t>
      </w:r>
    </w:p>
    <w:p w:rsidR="00002F7A" w:rsidRPr="00002F7A" w:rsidRDefault="00002F7A" w:rsidP="00002F7A">
      <w:r w:rsidRPr="00002F7A">
        <w:t xml:space="preserve">It is well known that </w:t>
      </w:r>
      <w:proofErr w:type="spellStart"/>
      <w:r w:rsidRPr="00002F7A">
        <w:t>fentanyl</w:t>
      </w:r>
      <w:proofErr w:type="spellEnd"/>
      <w:r w:rsidRPr="00002F7A">
        <w:t xml:space="preserve"> is metabolised mainly in the liver of humans and other mammals by CYP3A4 to </w:t>
      </w:r>
      <w:proofErr w:type="spellStart"/>
      <w:r w:rsidRPr="00002F7A">
        <w:t>norfentanyl</w:t>
      </w:r>
      <w:proofErr w:type="spellEnd"/>
      <w:r w:rsidRPr="00002F7A">
        <w:t xml:space="preserve"> (by oxidative N-</w:t>
      </w:r>
      <w:proofErr w:type="spellStart"/>
      <w:r w:rsidRPr="00002F7A">
        <w:t>dealkylation</w:t>
      </w:r>
      <w:proofErr w:type="spellEnd"/>
      <w:r w:rsidRPr="00002F7A">
        <w:t xml:space="preserve">) and other minor metabolites. Similar findings were reported in </w:t>
      </w:r>
      <w:r w:rsidR="004B1441">
        <w:t>two</w:t>
      </w:r>
      <w:r w:rsidRPr="00002F7A">
        <w:t xml:space="preserve"> reviewed publications in rats and dogs (IV/IV</w:t>
      </w:r>
      <w:r w:rsidR="00A62715">
        <w:t xml:space="preserve"> and </w:t>
      </w:r>
      <w:r w:rsidRPr="00002F7A">
        <w:t xml:space="preserve">SC dosing, respectively). For </w:t>
      </w:r>
      <w:proofErr w:type="spellStart"/>
      <w:r w:rsidRPr="00002F7A">
        <w:t>Instanyl</w:t>
      </w:r>
      <w:proofErr w:type="spellEnd"/>
      <w:r w:rsidRPr="00002F7A">
        <w:t xml:space="preserve">, there is potential for interaction with other drugs metabolised by this enzyme, as with other </w:t>
      </w:r>
      <w:proofErr w:type="spellStart"/>
      <w:r w:rsidRPr="00002F7A">
        <w:t>fentanyl</w:t>
      </w:r>
      <w:proofErr w:type="spellEnd"/>
      <w:r w:rsidRPr="00002F7A">
        <w:t xml:space="preserve"> formulations.</w:t>
      </w:r>
    </w:p>
    <w:p w:rsidR="00CF38D6" w:rsidRDefault="00CF38D6" w:rsidP="00CF38D6">
      <w:pPr>
        <w:pStyle w:val="Heading5"/>
      </w:pPr>
      <w:r>
        <w:t>Excretion</w:t>
      </w:r>
    </w:p>
    <w:p w:rsidR="00002F7A" w:rsidRPr="00002F7A" w:rsidRDefault="00002F7A" w:rsidP="00002F7A">
      <w:r w:rsidRPr="00002F7A">
        <w:t xml:space="preserve">It is well established in humans and animal species that once </w:t>
      </w:r>
      <w:proofErr w:type="spellStart"/>
      <w:r w:rsidRPr="00002F7A">
        <w:t>fentanyl</w:t>
      </w:r>
      <w:proofErr w:type="spellEnd"/>
      <w:r w:rsidRPr="00002F7A">
        <w:t xml:space="preserve"> is metabolised, it is primarily excreted in the urine. In dogs, the excretion of </w:t>
      </w:r>
      <w:proofErr w:type="spellStart"/>
      <w:r w:rsidRPr="00002F7A">
        <w:t>fentanyl</w:t>
      </w:r>
      <w:proofErr w:type="spellEnd"/>
      <w:r w:rsidRPr="00002F7A">
        <w:t xml:space="preserve"> was slightly greater in faeces than urine. High levels of radioactivity were recovered from bile in rats, with significant </w:t>
      </w:r>
      <w:proofErr w:type="spellStart"/>
      <w:r w:rsidRPr="00002F7A">
        <w:t>biliary</w:t>
      </w:r>
      <w:proofErr w:type="spellEnd"/>
      <w:r w:rsidRPr="00002F7A">
        <w:t xml:space="preserve"> recirculation also demonstrated following intra</w:t>
      </w:r>
      <w:r w:rsidR="00AC797C">
        <w:t xml:space="preserve"> </w:t>
      </w:r>
      <w:r w:rsidRPr="00002F7A">
        <w:t xml:space="preserve">duodenal administration of </w:t>
      </w:r>
      <w:proofErr w:type="spellStart"/>
      <w:r w:rsidRPr="00002F7A">
        <w:t>fentanyl</w:t>
      </w:r>
      <w:proofErr w:type="spellEnd"/>
      <w:r w:rsidRPr="00002F7A">
        <w:t>.</w:t>
      </w:r>
    </w:p>
    <w:p w:rsidR="00002F7A" w:rsidRPr="00002F7A" w:rsidRDefault="00002F7A" w:rsidP="00C647AB">
      <w:pPr>
        <w:pStyle w:val="Heading4"/>
      </w:pPr>
      <w:bookmarkStart w:id="43" w:name="_Toc294861725"/>
      <w:r w:rsidRPr="00002F7A">
        <w:t>Pharmacokinetic drug interactions</w:t>
      </w:r>
      <w:bookmarkEnd w:id="43"/>
    </w:p>
    <w:p w:rsidR="00002F7A" w:rsidRPr="00002F7A" w:rsidRDefault="00002F7A" w:rsidP="00002F7A">
      <w:r w:rsidRPr="00002F7A">
        <w:t xml:space="preserve">No </w:t>
      </w:r>
      <w:r w:rsidR="00F16547">
        <w:t xml:space="preserve">new </w:t>
      </w:r>
      <w:r w:rsidRPr="00002F7A">
        <w:t>data were submitted.</w:t>
      </w:r>
    </w:p>
    <w:p w:rsidR="008E7846" w:rsidRDefault="008E7846" w:rsidP="008E7846">
      <w:pPr>
        <w:pStyle w:val="Heading3"/>
      </w:pPr>
      <w:bookmarkStart w:id="44" w:name="_Toc247691514"/>
      <w:bookmarkStart w:id="45" w:name="_Toc314842498"/>
      <w:bookmarkStart w:id="46" w:name="_Toc366842958"/>
      <w:r>
        <w:t>Toxicology</w:t>
      </w:r>
      <w:bookmarkEnd w:id="44"/>
      <w:bookmarkEnd w:id="45"/>
      <w:bookmarkEnd w:id="46"/>
    </w:p>
    <w:p w:rsidR="00774930" w:rsidRPr="00774930" w:rsidRDefault="00774930" w:rsidP="00774930">
      <w:pPr>
        <w:pStyle w:val="Heading4"/>
      </w:pPr>
      <w:bookmarkStart w:id="47" w:name="_Toc294861727"/>
      <w:r w:rsidRPr="00774930">
        <w:t>Acute toxicity</w:t>
      </w:r>
      <w:bookmarkEnd w:id="47"/>
      <w:r w:rsidRPr="00774930">
        <w:t xml:space="preserve">, </w:t>
      </w:r>
      <w:bookmarkStart w:id="48" w:name="_Toc294861728"/>
      <w:r w:rsidRPr="00774930">
        <w:t>r</w:t>
      </w:r>
      <w:r>
        <w:t xml:space="preserve">epeat </w:t>
      </w:r>
      <w:r w:rsidRPr="00774930">
        <w:t>dose toxicity</w:t>
      </w:r>
      <w:bookmarkEnd w:id="48"/>
    </w:p>
    <w:p w:rsidR="00774930" w:rsidRPr="00774930" w:rsidRDefault="00774930" w:rsidP="00774930">
      <w:r w:rsidRPr="00774930">
        <w:t xml:space="preserve">No </w:t>
      </w:r>
      <w:r w:rsidR="00F16547">
        <w:t xml:space="preserve">new </w:t>
      </w:r>
      <w:r w:rsidRPr="00774930">
        <w:t xml:space="preserve">data were submitted. The systemic toxicity of </w:t>
      </w:r>
      <w:proofErr w:type="spellStart"/>
      <w:r w:rsidRPr="00774930">
        <w:t>fentanyl</w:t>
      </w:r>
      <w:proofErr w:type="spellEnd"/>
      <w:r w:rsidRPr="00774930">
        <w:t xml:space="preserve"> is well established, and the focus of the current submission is the local tolerance of the product.</w:t>
      </w:r>
    </w:p>
    <w:p w:rsidR="00774930" w:rsidRPr="00774930" w:rsidRDefault="00774930" w:rsidP="00774930">
      <w:pPr>
        <w:pStyle w:val="Heading4"/>
      </w:pPr>
      <w:r w:rsidRPr="00774930">
        <w:t>Clinical exposure at the Maximum Recommended Human Dose (MRHD)</w:t>
      </w:r>
    </w:p>
    <w:p w:rsidR="002969F0" w:rsidRDefault="00774930" w:rsidP="00774930">
      <w:r w:rsidRPr="00774930">
        <w:t xml:space="preserve">With regard to systemic exposure to </w:t>
      </w:r>
      <w:proofErr w:type="spellStart"/>
      <w:r w:rsidRPr="00774930">
        <w:t>fentanyl</w:t>
      </w:r>
      <w:proofErr w:type="spellEnd"/>
      <w:r w:rsidRPr="00774930">
        <w:t xml:space="preserve"> from the use of </w:t>
      </w:r>
      <w:proofErr w:type="spellStart"/>
      <w:r w:rsidRPr="00774930">
        <w:t>Instanyl</w:t>
      </w:r>
      <w:proofErr w:type="spellEnd"/>
      <w:r w:rsidRPr="00774930">
        <w:t xml:space="preserve">, it is appropriate to compare the clinical exposure to the </w:t>
      </w:r>
      <w:proofErr w:type="spellStart"/>
      <w:r w:rsidRPr="00774930">
        <w:t>opioid</w:t>
      </w:r>
      <w:proofErr w:type="spellEnd"/>
      <w:r w:rsidRPr="00774930">
        <w:t xml:space="preserve"> at the recommended dose of </w:t>
      </w:r>
      <w:proofErr w:type="spellStart"/>
      <w:r w:rsidRPr="00774930">
        <w:t>Instanyl</w:t>
      </w:r>
      <w:proofErr w:type="spellEnd"/>
      <w:r w:rsidRPr="00774930">
        <w:t xml:space="preserve"> to the clinical exposure to </w:t>
      </w:r>
      <w:proofErr w:type="spellStart"/>
      <w:r w:rsidRPr="00774930">
        <w:t>fentanyl</w:t>
      </w:r>
      <w:proofErr w:type="spellEnd"/>
      <w:r w:rsidRPr="00774930">
        <w:t xml:space="preserve"> at the recommended doses of other </w:t>
      </w:r>
      <w:proofErr w:type="spellStart"/>
      <w:r w:rsidRPr="00774930">
        <w:t>fentanyl</w:t>
      </w:r>
      <w:proofErr w:type="spellEnd"/>
      <w:r w:rsidRPr="00774930">
        <w:t xml:space="preserve"> products, as potential exposure to </w:t>
      </w:r>
      <w:proofErr w:type="spellStart"/>
      <w:r w:rsidRPr="00774930">
        <w:t>fentanyl</w:t>
      </w:r>
      <w:proofErr w:type="spellEnd"/>
      <w:r w:rsidRPr="00774930">
        <w:t xml:space="preserve"> (from the use of </w:t>
      </w:r>
      <w:proofErr w:type="spellStart"/>
      <w:r w:rsidRPr="00774930">
        <w:t>Instanyl</w:t>
      </w:r>
      <w:proofErr w:type="spellEnd"/>
      <w:r w:rsidRPr="00774930">
        <w:t xml:space="preserve">) greater than exposures previously determined to be acceptable with other </w:t>
      </w:r>
      <w:proofErr w:type="spellStart"/>
      <w:r w:rsidRPr="00774930">
        <w:t>fentanyl</w:t>
      </w:r>
      <w:proofErr w:type="spellEnd"/>
      <w:r w:rsidRPr="00774930">
        <w:t xml:space="preserve"> products could have implications for risk assessment.</w:t>
      </w:r>
    </w:p>
    <w:p w:rsidR="002969F0" w:rsidRDefault="002969F0">
      <w:pPr>
        <w:spacing w:before="0" w:after="0" w:line="240" w:lineRule="auto"/>
      </w:pPr>
      <w:r>
        <w:br w:type="page"/>
      </w:r>
    </w:p>
    <w:p w:rsidR="005671FB" w:rsidRDefault="005671FB" w:rsidP="00D97661">
      <w:pPr>
        <w:pStyle w:val="TableTitle"/>
      </w:pPr>
      <w:proofErr w:type="gramStart"/>
      <w:r>
        <w:lastRenderedPageBreak/>
        <w:t>Table 2:</w:t>
      </w:r>
      <w:r w:rsidRPr="004C5C28">
        <w:t xml:space="preserve"> </w:t>
      </w:r>
      <w:proofErr w:type="spellStart"/>
      <w:r w:rsidRPr="005671FB">
        <w:t>Fentanyl</w:t>
      </w:r>
      <w:proofErr w:type="spellEnd"/>
      <w:r w:rsidRPr="005671FB">
        <w:t xml:space="preserve"> clinical exposure with various </w:t>
      </w:r>
      <w:proofErr w:type="spellStart"/>
      <w:r w:rsidRPr="005671FB">
        <w:t>fentanyl</w:t>
      </w:r>
      <w:proofErr w:type="spellEnd"/>
      <w:r w:rsidRPr="005671FB">
        <w:t xml:space="preserve"> products</w:t>
      </w:r>
      <w:r>
        <w:t>.</w:t>
      </w:r>
      <w:proofErr w:type="gramEnd"/>
    </w:p>
    <w:p w:rsidR="005D087A" w:rsidRDefault="005D087A" w:rsidP="00D97661">
      <w:pPr>
        <w:pStyle w:val="TableTitle"/>
      </w:pPr>
      <w:proofErr w:type="spellStart"/>
      <w:r w:rsidRPr="005D087A">
        <w:t>Fentanyl</w:t>
      </w:r>
      <w:proofErr w:type="spellEnd"/>
      <w:r w:rsidRPr="005D087A">
        <w:t xml:space="preserve"> clinical exposure with various </w:t>
      </w:r>
      <w:proofErr w:type="spellStart"/>
      <w:r w:rsidRPr="005D087A">
        <w:t>fentanyl</w:t>
      </w:r>
      <w:proofErr w:type="spellEnd"/>
      <w:r w:rsidRPr="005D087A">
        <w:t xml:space="preserve"> products</w:t>
      </w:r>
    </w:p>
    <w:tbl>
      <w:tblPr>
        <w:tblStyle w:val="TableTGAblue"/>
        <w:tblW w:w="0" w:type="auto"/>
        <w:tblLook w:val="04A0"/>
      </w:tblPr>
      <w:tblGrid>
        <w:gridCol w:w="3227"/>
        <w:gridCol w:w="2551"/>
        <w:gridCol w:w="2848"/>
      </w:tblGrid>
      <w:tr w:rsidR="00442805" w:rsidTr="00BB070C">
        <w:trPr>
          <w:cnfStyle w:val="100000000000"/>
          <w:tblHeader/>
        </w:trPr>
        <w:tc>
          <w:tcPr>
            <w:tcW w:w="3227" w:type="dxa"/>
          </w:tcPr>
          <w:p w:rsidR="00442805" w:rsidRDefault="00442805" w:rsidP="00442805">
            <w:proofErr w:type="spellStart"/>
            <w:r>
              <w:t>Fentanyl</w:t>
            </w:r>
            <w:proofErr w:type="spellEnd"/>
            <w:r>
              <w:t xml:space="preserve"> product</w:t>
            </w:r>
          </w:p>
        </w:tc>
        <w:tc>
          <w:tcPr>
            <w:tcW w:w="2551" w:type="dxa"/>
          </w:tcPr>
          <w:p w:rsidR="00442805" w:rsidRDefault="00BB070C" w:rsidP="00442805">
            <w:proofErr w:type="spellStart"/>
            <w:r>
              <w:t>C</w:t>
            </w:r>
            <w:r w:rsidRPr="00BB070C">
              <w:rPr>
                <w:vertAlign w:val="subscript"/>
              </w:rPr>
              <w:t>max</w:t>
            </w:r>
            <w:proofErr w:type="spellEnd"/>
            <w:r w:rsidRPr="00BB070C">
              <w:rPr>
                <w:vertAlign w:val="subscript"/>
              </w:rPr>
              <w:t xml:space="preserve"> </w:t>
            </w:r>
            <w:r>
              <w:t>(</w:t>
            </w:r>
            <w:proofErr w:type="spellStart"/>
            <w:r>
              <w:t>ng</w:t>
            </w:r>
            <w:proofErr w:type="spellEnd"/>
            <w:r>
              <w:t>/</w:t>
            </w:r>
            <w:proofErr w:type="spellStart"/>
            <w:r>
              <w:t>mL</w:t>
            </w:r>
            <w:proofErr w:type="spellEnd"/>
            <w:r>
              <w:t>)</w:t>
            </w:r>
          </w:p>
        </w:tc>
        <w:tc>
          <w:tcPr>
            <w:tcW w:w="2848" w:type="dxa"/>
          </w:tcPr>
          <w:p w:rsidR="00442805" w:rsidRDefault="00BB070C" w:rsidP="00442805">
            <w:r>
              <w:t>AUC (</w:t>
            </w:r>
            <w:proofErr w:type="spellStart"/>
            <w:r>
              <w:t>ng.h</w:t>
            </w:r>
            <w:proofErr w:type="spellEnd"/>
            <w:r>
              <w:t>/</w:t>
            </w:r>
            <w:proofErr w:type="spellStart"/>
            <w:r>
              <w:t>mL</w:t>
            </w:r>
            <w:proofErr w:type="spellEnd"/>
            <w:r>
              <w:t>)</w:t>
            </w:r>
          </w:p>
        </w:tc>
      </w:tr>
      <w:tr w:rsidR="00442805" w:rsidTr="00BB070C">
        <w:tc>
          <w:tcPr>
            <w:tcW w:w="3227" w:type="dxa"/>
          </w:tcPr>
          <w:p w:rsidR="00442805" w:rsidRDefault="00BB070C" w:rsidP="00442805">
            <w:proofErr w:type="spellStart"/>
            <w:r>
              <w:t>PecFent</w:t>
            </w:r>
            <w:proofErr w:type="spellEnd"/>
            <w:r>
              <w:sym w:font="Symbol" w:char="F0D2"/>
            </w:r>
            <w:r>
              <w:t xml:space="preserve"> nasal spray</w:t>
            </w:r>
          </w:p>
          <w:p w:rsidR="00BB070C" w:rsidRDefault="00BB070C" w:rsidP="00442805">
            <w:r>
              <w:t xml:space="preserve">[MRHD 3200 </w:t>
            </w:r>
            <w:proofErr w:type="spellStart"/>
            <w:r>
              <w:t>μg</w:t>
            </w:r>
            <w:proofErr w:type="spellEnd"/>
            <w:r>
              <w:t>/day]</w:t>
            </w:r>
          </w:p>
        </w:tc>
        <w:tc>
          <w:tcPr>
            <w:tcW w:w="2551" w:type="dxa"/>
          </w:tcPr>
          <w:p w:rsidR="00442805" w:rsidRDefault="00BB070C" w:rsidP="00442805">
            <w:r>
              <w:t xml:space="preserve">0.35 – 2.8 (100 – 800 </w:t>
            </w:r>
            <w:proofErr w:type="spellStart"/>
            <w:r>
              <w:t>μg</w:t>
            </w:r>
            <w:proofErr w:type="spellEnd"/>
            <w:r>
              <w:t xml:space="preserve"> dose)</w:t>
            </w:r>
            <w:r w:rsidRPr="00BB070C">
              <w:rPr>
                <w:vertAlign w:val="superscript"/>
              </w:rPr>
              <w:sym w:font="Symbol" w:char="F0D9"/>
            </w:r>
          </w:p>
        </w:tc>
        <w:tc>
          <w:tcPr>
            <w:tcW w:w="2848" w:type="dxa"/>
          </w:tcPr>
          <w:p w:rsidR="00442805" w:rsidRDefault="00BB070C" w:rsidP="00442805">
            <w:r>
              <w:t xml:space="preserve">2.5 -17 (100 – 800 </w:t>
            </w:r>
            <w:proofErr w:type="spellStart"/>
            <w:r>
              <w:t>μg</w:t>
            </w:r>
            <w:proofErr w:type="spellEnd"/>
            <w:r>
              <w:t xml:space="preserve"> dose)</w:t>
            </w:r>
          </w:p>
        </w:tc>
      </w:tr>
      <w:tr w:rsidR="00442805" w:rsidTr="00BB070C">
        <w:tc>
          <w:tcPr>
            <w:tcW w:w="3227" w:type="dxa"/>
          </w:tcPr>
          <w:p w:rsidR="00442805" w:rsidRDefault="00BB070C" w:rsidP="00442805">
            <w:proofErr w:type="spellStart"/>
            <w:r>
              <w:t>Actiq</w:t>
            </w:r>
            <w:proofErr w:type="spellEnd"/>
            <w:r>
              <w:sym w:font="Symbol" w:char="F0D2"/>
            </w:r>
            <w:r>
              <w:t xml:space="preserve"> lozenge</w:t>
            </w:r>
          </w:p>
          <w:p w:rsidR="00BB070C" w:rsidRDefault="00BB070C" w:rsidP="00BB070C">
            <w:r>
              <w:t xml:space="preserve">[MRHD 6400 </w:t>
            </w:r>
            <w:proofErr w:type="spellStart"/>
            <w:r>
              <w:t>μg</w:t>
            </w:r>
            <w:proofErr w:type="spellEnd"/>
            <w:r>
              <w:t>/day]</w:t>
            </w:r>
          </w:p>
        </w:tc>
        <w:tc>
          <w:tcPr>
            <w:tcW w:w="2551" w:type="dxa"/>
          </w:tcPr>
          <w:p w:rsidR="00442805" w:rsidRDefault="00BB070C" w:rsidP="00442805">
            <w:r>
              <w:t xml:space="preserve">0.4 – 2.5 (200 – 1600 </w:t>
            </w:r>
            <w:proofErr w:type="spellStart"/>
            <w:r>
              <w:t>μg</w:t>
            </w:r>
            <w:proofErr w:type="spellEnd"/>
            <w:r>
              <w:t xml:space="preserve"> dose)</w:t>
            </w:r>
          </w:p>
        </w:tc>
        <w:tc>
          <w:tcPr>
            <w:tcW w:w="2848" w:type="dxa"/>
          </w:tcPr>
          <w:p w:rsidR="00442805" w:rsidRDefault="00BB070C" w:rsidP="00442805">
            <w:r>
              <w:t>-</w:t>
            </w:r>
          </w:p>
        </w:tc>
      </w:tr>
      <w:tr w:rsidR="00442805" w:rsidTr="00BB070C">
        <w:tc>
          <w:tcPr>
            <w:tcW w:w="3227" w:type="dxa"/>
          </w:tcPr>
          <w:p w:rsidR="00442805" w:rsidRDefault="00BB070C" w:rsidP="00442805">
            <w:proofErr w:type="spellStart"/>
            <w:r>
              <w:t>Durogesic</w:t>
            </w:r>
            <w:proofErr w:type="spellEnd"/>
            <w:r>
              <w:sym w:font="Symbol" w:char="F0D2"/>
            </w:r>
            <w:r>
              <w:t xml:space="preserve"> </w:t>
            </w:r>
            <w:proofErr w:type="spellStart"/>
            <w:r>
              <w:t>ransdermal</w:t>
            </w:r>
            <w:proofErr w:type="spellEnd"/>
            <w:r>
              <w:t xml:space="preserve"> patch</w:t>
            </w:r>
          </w:p>
          <w:p w:rsidR="00BB070C" w:rsidRDefault="00BB070C" w:rsidP="00442805">
            <w:r>
              <w:t xml:space="preserve">[MRHD 300 </w:t>
            </w:r>
            <w:proofErr w:type="spellStart"/>
            <w:r>
              <w:t>μg</w:t>
            </w:r>
            <w:proofErr w:type="spellEnd"/>
            <w:r>
              <w:t>/h]</w:t>
            </w:r>
          </w:p>
        </w:tc>
        <w:tc>
          <w:tcPr>
            <w:tcW w:w="2551" w:type="dxa"/>
          </w:tcPr>
          <w:p w:rsidR="00442805" w:rsidRDefault="00BB070C" w:rsidP="00442805">
            <w:r>
              <w:t xml:space="preserve">1.9 -3.8 (100 </w:t>
            </w:r>
            <w:proofErr w:type="spellStart"/>
            <w:r>
              <w:t>μg</w:t>
            </w:r>
            <w:proofErr w:type="spellEnd"/>
            <w:r>
              <w:t>/h)</w:t>
            </w:r>
          </w:p>
        </w:tc>
        <w:tc>
          <w:tcPr>
            <w:tcW w:w="2848" w:type="dxa"/>
          </w:tcPr>
          <w:p w:rsidR="00442805" w:rsidRDefault="00BB070C" w:rsidP="00442805">
            <w:r>
              <w:t>-</w:t>
            </w:r>
          </w:p>
        </w:tc>
      </w:tr>
      <w:tr w:rsidR="00BB070C" w:rsidTr="00BB070C">
        <w:tc>
          <w:tcPr>
            <w:tcW w:w="3227" w:type="dxa"/>
          </w:tcPr>
          <w:p w:rsidR="00BB070C" w:rsidRDefault="00BB070C" w:rsidP="00442805">
            <w:proofErr w:type="spellStart"/>
            <w:r>
              <w:t>Instanyl</w:t>
            </w:r>
            <w:proofErr w:type="spellEnd"/>
            <w:r>
              <w:sym w:font="Symbol" w:char="F0D2"/>
            </w:r>
            <w:r>
              <w:t xml:space="preserve"> nasal spray</w:t>
            </w:r>
            <w:r w:rsidRPr="00BB070C">
              <w:rPr>
                <w:vertAlign w:val="superscript"/>
              </w:rPr>
              <w:sym w:font="Symbol" w:char="F0D9"/>
            </w:r>
            <w:r w:rsidRPr="00BB070C">
              <w:rPr>
                <w:vertAlign w:val="superscript"/>
              </w:rPr>
              <w:sym w:font="Symbol" w:char="F0D9"/>
            </w:r>
          </w:p>
          <w:p w:rsidR="00BB070C" w:rsidRDefault="00BB070C" w:rsidP="00442805">
            <w:r>
              <w:t xml:space="preserve">[MRHD 1600 </w:t>
            </w:r>
            <w:proofErr w:type="spellStart"/>
            <w:r>
              <w:t>μg</w:t>
            </w:r>
            <w:proofErr w:type="spellEnd"/>
            <w:r>
              <w:t>/day]</w:t>
            </w:r>
          </w:p>
        </w:tc>
        <w:tc>
          <w:tcPr>
            <w:tcW w:w="2551" w:type="dxa"/>
          </w:tcPr>
          <w:p w:rsidR="00BB070C" w:rsidRDefault="00BB070C" w:rsidP="00442805">
            <w:r>
              <w:t xml:space="preserve">0.35 – 1.2 (50 – 200 </w:t>
            </w:r>
            <w:proofErr w:type="spellStart"/>
            <w:r>
              <w:t>μg</w:t>
            </w:r>
            <w:proofErr w:type="spellEnd"/>
            <w:r>
              <w:t xml:space="preserve"> dose)</w:t>
            </w:r>
            <w:r w:rsidRPr="00BB070C">
              <w:rPr>
                <w:vertAlign w:val="superscript"/>
              </w:rPr>
              <w:t>s</w:t>
            </w:r>
          </w:p>
        </w:tc>
        <w:tc>
          <w:tcPr>
            <w:tcW w:w="2848" w:type="dxa"/>
          </w:tcPr>
          <w:p w:rsidR="00BB070C" w:rsidRDefault="00BB070C" w:rsidP="00442805">
            <w:r>
              <w:t xml:space="preserve">0.926 – 2.354 (50 – 200 </w:t>
            </w:r>
            <w:proofErr w:type="spellStart"/>
            <w:r>
              <w:t>μg</w:t>
            </w:r>
            <w:proofErr w:type="spellEnd"/>
            <w:r>
              <w:t xml:space="preserve"> dose)</w:t>
            </w:r>
            <w:r w:rsidRPr="00BB070C">
              <w:rPr>
                <w:vertAlign w:val="superscript"/>
              </w:rPr>
              <w:t>&amp;</w:t>
            </w:r>
          </w:p>
        </w:tc>
      </w:tr>
    </w:tbl>
    <w:p w:rsidR="005D087A" w:rsidRPr="00580229" w:rsidRDefault="005D087A" w:rsidP="00BB070C">
      <w:pPr>
        <w:pStyle w:val="TableDescription"/>
      </w:pPr>
      <w:proofErr w:type="gramStart"/>
      <w:r w:rsidRPr="00580229">
        <w:t xml:space="preserve">^ 0.35 </w:t>
      </w:r>
      <w:proofErr w:type="spellStart"/>
      <w:r w:rsidRPr="00580229">
        <w:t>ng</w:t>
      </w:r>
      <w:proofErr w:type="spellEnd"/>
      <w:r w:rsidRPr="00580229">
        <w:t>/</w:t>
      </w:r>
      <w:proofErr w:type="spellStart"/>
      <w:r w:rsidRPr="00580229">
        <w:t>mL</w:t>
      </w:r>
      <w:proofErr w:type="spellEnd"/>
      <w:r w:rsidRPr="00580229">
        <w:t xml:space="preserve"> (100 µg dose); 0.78 </w:t>
      </w:r>
      <w:proofErr w:type="spellStart"/>
      <w:r w:rsidRPr="00580229">
        <w:t>ng</w:t>
      </w:r>
      <w:proofErr w:type="spellEnd"/>
      <w:r w:rsidRPr="00580229">
        <w:t>/</w:t>
      </w:r>
      <w:proofErr w:type="spellStart"/>
      <w:r w:rsidRPr="00580229">
        <w:t>mL</w:t>
      </w:r>
      <w:proofErr w:type="spellEnd"/>
      <w:r w:rsidRPr="00580229">
        <w:t xml:space="preserve"> (200 µg); 1.55 </w:t>
      </w:r>
      <w:proofErr w:type="spellStart"/>
      <w:r w:rsidRPr="00580229">
        <w:t>ng</w:t>
      </w:r>
      <w:proofErr w:type="spellEnd"/>
      <w:r w:rsidRPr="00580229">
        <w:t>/</w:t>
      </w:r>
      <w:proofErr w:type="spellStart"/>
      <w:r w:rsidRPr="00580229">
        <w:t>mL</w:t>
      </w:r>
      <w:proofErr w:type="spellEnd"/>
      <w:r w:rsidRPr="00580229">
        <w:t xml:space="preserve"> (400 µg); 2.84 </w:t>
      </w:r>
      <w:proofErr w:type="spellStart"/>
      <w:r w:rsidRPr="00580229">
        <w:t>ng</w:t>
      </w:r>
      <w:proofErr w:type="spellEnd"/>
      <w:r w:rsidRPr="00580229">
        <w:t>/</w:t>
      </w:r>
      <w:proofErr w:type="spellStart"/>
      <w:r w:rsidRPr="00580229">
        <w:t>mL</w:t>
      </w:r>
      <w:proofErr w:type="spellEnd"/>
      <w:r w:rsidRPr="00580229">
        <w:t xml:space="preserve"> (800 µg) [Study CP042/05]</w:t>
      </w:r>
      <w:r w:rsidR="00580229">
        <w:t>.</w:t>
      </w:r>
      <w:proofErr w:type="gramEnd"/>
      <w:r w:rsidR="00580229">
        <w:t xml:space="preserve"> </w:t>
      </w:r>
      <w:r w:rsidRPr="00580229">
        <w:t xml:space="preserve">^^ From Clinical Overview, see Table 3 (Study FT-016-IM; patients with cancer administered nasal </w:t>
      </w:r>
      <w:proofErr w:type="spellStart"/>
      <w:r w:rsidRPr="00580229">
        <w:t>fentanyl</w:t>
      </w:r>
      <w:proofErr w:type="spellEnd"/>
      <w:r w:rsidRPr="00580229">
        <w:t xml:space="preserve"> for BTP). </w:t>
      </w:r>
      <w:proofErr w:type="gramStart"/>
      <w:r w:rsidRPr="00580229">
        <w:t>Data for the single doses of 50, 100 and 200 µg taken directly from clinical study report FT-016-IM.</w:t>
      </w:r>
      <w:proofErr w:type="gramEnd"/>
      <w:r w:rsidRPr="00580229">
        <w:t xml:space="preserve"> </w:t>
      </w:r>
      <w:r w:rsidRPr="00580229">
        <w:rPr>
          <w:vertAlign w:val="superscript"/>
        </w:rPr>
        <w:t>$</w:t>
      </w:r>
      <w:r w:rsidRPr="00580229">
        <w:t xml:space="preserve"> Peak concentration will be greater following administration of a second dose 10 min later.</w:t>
      </w:r>
      <w:r w:rsidR="00580229">
        <w:t xml:space="preserve"> </w:t>
      </w:r>
      <w:r w:rsidRPr="00580229">
        <w:rPr>
          <w:vertAlign w:val="superscript"/>
        </w:rPr>
        <w:t>&amp;</w:t>
      </w:r>
      <w:r w:rsidRPr="00580229">
        <w:t xml:space="preserve"> Total daily exposure will be greater following repeated dosing within a 24 h period.</w:t>
      </w:r>
    </w:p>
    <w:p w:rsidR="00387517" w:rsidRPr="00387517" w:rsidRDefault="00387517" w:rsidP="00BB070C">
      <w:r w:rsidRPr="00387517">
        <w:t>The tabulated systemic exposure (</w:t>
      </w:r>
      <w:proofErr w:type="spellStart"/>
      <w:r w:rsidRPr="00387517">
        <w:t>C</w:t>
      </w:r>
      <w:r w:rsidRPr="00580229">
        <w:rPr>
          <w:vertAlign w:val="subscript"/>
        </w:rPr>
        <w:t>max</w:t>
      </w:r>
      <w:proofErr w:type="spellEnd"/>
      <w:r w:rsidRPr="00387517">
        <w:t xml:space="preserve">, AUC) data indicate that </w:t>
      </w:r>
      <w:proofErr w:type="spellStart"/>
      <w:r w:rsidRPr="00387517">
        <w:t>fentanyl</w:t>
      </w:r>
      <w:proofErr w:type="spellEnd"/>
      <w:r w:rsidRPr="00387517">
        <w:t xml:space="preserve"> exposure from the MRHD of </w:t>
      </w:r>
      <w:proofErr w:type="spellStart"/>
      <w:r w:rsidRPr="00387517">
        <w:t>Instanyl</w:t>
      </w:r>
      <w:proofErr w:type="spellEnd"/>
      <w:r w:rsidRPr="00387517">
        <w:t xml:space="preserve"> is less than (or in the same range as) that resulting from clinical doses of other registered </w:t>
      </w:r>
      <w:proofErr w:type="spellStart"/>
      <w:r w:rsidRPr="00387517">
        <w:t>fentanyl</w:t>
      </w:r>
      <w:proofErr w:type="spellEnd"/>
      <w:r w:rsidRPr="00387517">
        <w:t xml:space="preserve"> products. It is also noted that:</w:t>
      </w:r>
    </w:p>
    <w:p w:rsidR="00387517" w:rsidRPr="00387517" w:rsidRDefault="00387517" w:rsidP="00BB070C">
      <w:pPr>
        <w:pStyle w:val="ListBullet"/>
      </w:pPr>
      <w:r w:rsidRPr="00387517">
        <w:t>Many patients will be adequately controlled on doses lower than the MRHD;</w:t>
      </w:r>
    </w:p>
    <w:p w:rsidR="00387517" w:rsidRPr="00387517" w:rsidRDefault="00387517" w:rsidP="00B40A36">
      <w:pPr>
        <w:pStyle w:val="ListBullet"/>
      </w:pPr>
      <w:r w:rsidRPr="00387517">
        <w:t xml:space="preserve">Many of the patients requiring the higher doses will have developed some </w:t>
      </w:r>
      <w:proofErr w:type="spellStart"/>
      <w:r w:rsidRPr="00387517">
        <w:t>opioid</w:t>
      </w:r>
      <w:proofErr w:type="spellEnd"/>
      <w:r w:rsidRPr="00387517">
        <w:t xml:space="preserve"> tolerance, limiting the pharmacological effects of the </w:t>
      </w:r>
      <w:proofErr w:type="spellStart"/>
      <w:r w:rsidRPr="00387517">
        <w:t>fentanyl</w:t>
      </w:r>
      <w:proofErr w:type="spellEnd"/>
      <w:r w:rsidRPr="00387517">
        <w:t>.</w:t>
      </w:r>
    </w:p>
    <w:p w:rsidR="00387517" w:rsidRPr="00387517" w:rsidRDefault="00387517" w:rsidP="00B40A36">
      <w:pPr>
        <w:pStyle w:val="Heading4"/>
      </w:pPr>
      <w:bookmarkStart w:id="49" w:name="_Toc294861729"/>
      <w:proofErr w:type="spellStart"/>
      <w:r w:rsidRPr="00387517">
        <w:t>Genotoxicity</w:t>
      </w:r>
      <w:bookmarkEnd w:id="49"/>
      <w:proofErr w:type="spellEnd"/>
    </w:p>
    <w:p w:rsidR="00387517" w:rsidRPr="00387517" w:rsidRDefault="00387517" w:rsidP="00387517">
      <w:r w:rsidRPr="00387517">
        <w:t xml:space="preserve">Supporting published literature reports were also noted as submitted but not evaluated. In particular, a </w:t>
      </w:r>
      <w:r w:rsidR="004E1548">
        <w:t xml:space="preserve">(sponsor) </w:t>
      </w:r>
      <w:r w:rsidR="002D453C">
        <w:t>Non</w:t>
      </w:r>
      <w:r w:rsidRPr="00387517">
        <w:t xml:space="preserve">clinical Expert Statement on the </w:t>
      </w:r>
      <w:proofErr w:type="spellStart"/>
      <w:r w:rsidRPr="00387517">
        <w:t>Genotoxicity</w:t>
      </w:r>
      <w:proofErr w:type="spellEnd"/>
      <w:r w:rsidRPr="00387517">
        <w:t xml:space="preserve"> of </w:t>
      </w:r>
      <w:proofErr w:type="spellStart"/>
      <w:r w:rsidRPr="00387517">
        <w:t>Fentanyl</w:t>
      </w:r>
      <w:proofErr w:type="spellEnd"/>
      <w:r w:rsidRPr="00387517">
        <w:t xml:space="preserve"> was made which confirmed that the literature ref</w:t>
      </w:r>
      <w:r w:rsidR="002939FA">
        <w:t xml:space="preserve">erences from published </w:t>
      </w:r>
      <w:proofErr w:type="spellStart"/>
      <w:r w:rsidR="002939FA">
        <w:t>pharmaco</w:t>
      </w:r>
      <w:r w:rsidRPr="00387517">
        <w:t>toxicological</w:t>
      </w:r>
      <w:proofErr w:type="spellEnd"/>
      <w:r w:rsidRPr="00387517">
        <w:t xml:space="preserve"> information</w:t>
      </w:r>
      <w:r>
        <w:t xml:space="preserve"> </w:t>
      </w:r>
      <w:r w:rsidRPr="00387517">
        <w:t xml:space="preserve">are appropriate for the </w:t>
      </w:r>
      <w:proofErr w:type="spellStart"/>
      <w:r w:rsidRPr="00387517">
        <w:t>genotoxicity</w:t>
      </w:r>
      <w:proofErr w:type="spellEnd"/>
      <w:r w:rsidR="00801138">
        <w:t xml:space="preserve"> safety assessment of </w:t>
      </w:r>
      <w:proofErr w:type="spellStart"/>
      <w:r w:rsidR="00801138">
        <w:t>fentanyl</w:t>
      </w:r>
      <w:proofErr w:type="spellEnd"/>
      <w:r w:rsidR="00801138">
        <w:t>.</w:t>
      </w:r>
    </w:p>
    <w:p w:rsidR="00387517" w:rsidRPr="00387517" w:rsidRDefault="00387517" w:rsidP="00387517">
      <w:r w:rsidRPr="00387517">
        <w:t>The following is extracted from the Toxicology Written Summary</w:t>
      </w:r>
      <w:r w:rsidR="00104C6D">
        <w:t>:</w:t>
      </w:r>
      <w:r w:rsidR="00B050E6">
        <w:t xml:space="preserve"> </w:t>
      </w:r>
    </w:p>
    <w:p w:rsidR="00387517" w:rsidRPr="00663322" w:rsidRDefault="00387517" w:rsidP="00663322">
      <w:pPr>
        <w:ind w:left="720"/>
        <w:rPr>
          <w:i/>
        </w:rPr>
      </w:pPr>
      <w:r w:rsidRPr="00663322">
        <w:rPr>
          <w:i/>
        </w:rPr>
        <w:t xml:space="preserve">“The assessment of the </w:t>
      </w:r>
      <w:proofErr w:type="spellStart"/>
      <w:r w:rsidRPr="00663322">
        <w:rPr>
          <w:i/>
        </w:rPr>
        <w:t>genotoxic</w:t>
      </w:r>
      <w:proofErr w:type="spellEnd"/>
      <w:r w:rsidRPr="00663322">
        <w:rPr>
          <w:i/>
        </w:rPr>
        <w:t xml:space="preserve"> potential is summarised in a r</w:t>
      </w:r>
      <w:r w:rsidR="00F40F0B">
        <w:rPr>
          <w:i/>
        </w:rPr>
        <w:t>espective expert statement (non</w:t>
      </w:r>
      <w:r w:rsidRPr="00663322">
        <w:rPr>
          <w:i/>
        </w:rPr>
        <w:t xml:space="preserve">clinical expert statement on the </w:t>
      </w:r>
      <w:proofErr w:type="spellStart"/>
      <w:r w:rsidRPr="00663322">
        <w:rPr>
          <w:i/>
        </w:rPr>
        <w:t>Genotoxicity</w:t>
      </w:r>
      <w:proofErr w:type="spellEnd"/>
      <w:r w:rsidRPr="00663322">
        <w:rPr>
          <w:i/>
        </w:rPr>
        <w:t xml:space="preserve"> of </w:t>
      </w:r>
      <w:proofErr w:type="spellStart"/>
      <w:r w:rsidRPr="00663322">
        <w:rPr>
          <w:i/>
        </w:rPr>
        <w:t>Fentanyl</w:t>
      </w:r>
      <w:proofErr w:type="spellEnd"/>
      <w:r w:rsidRPr="00663322">
        <w:rPr>
          <w:i/>
        </w:rPr>
        <w:t xml:space="preserve">). The results and conclusions are shown below. </w:t>
      </w:r>
      <w:proofErr w:type="spellStart"/>
      <w:r w:rsidRPr="00663322">
        <w:rPr>
          <w:i/>
        </w:rPr>
        <w:t>Remifentanil</w:t>
      </w:r>
      <w:proofErr w:type="spellEnd"/>
      <w:r w:rsidRPr="00663322">
        <w:rPr>
          <w:i/>
        </w:rPr>
        <w:t xml:space="preserve">, a </w:t>
      </w:r>
      <w:proofErr w:type="spellStart"/>
      <w:r w:rsidRPr="00663322">
        <w:rPr>
          <w:i/>
        </w:rPr>
        <w:t>fentanyl</w:t>
      </w:r>
      <w:proofErr w:type="spellEnd"/>
      <w:r w:rsidRPr="00663322">
        <w:rPr>
          <w:i/>
        </w:rPr>
        <w:t xml:space="preserve"> opiate analogue, was tested in a standard battery of </w:t>
      </w:r>
      <w:proofErr w:type="spellStart"/>
      <w:r w:rsidRPr="00663322">
        <w:rPr>
          <w:i/>
        </w:rPr>
        <w:t>genotoxicity</w:t>
      </w:r>
      <w:proofErr w:type="spellEnd"/>
      <w:r w:rsidRPr="00663322">
        <w:rPr>
          <w:i/>
        </w:rPr>
        <w:t xml:space="preserve"> assays. It was shown not to induce gene mutations in bacteria and chromosomal aberrations in CHO cells in vitro. Both in vivo </w:t>
      </w:r>
      <w:proofErr w:type="spellStart"/>
      <w:r w:rsidRPr="00663322">
        <w:rPr>
          <w:i/>
        </w:rPr>
        <w:t>genotoxicity</w:t>
      </w:r>
      <w:proofErr w:type="spellEnd"/>
      <w:r w:rsidRPr="00663322">
        <w:rPr>
          <w:i/>
        </w:rPr>
        <w:t xml:space="preserve"> assays performed were also negative, including the mouse micronucleus test and an in vitro/in vivo UDS assay in male rats</w:t>
      </w:r>
      <w:r w:rsidR="00F3617A">
        <w:rPr>
          <w:i/>
        </w:rPr>
        <w:t>.</w:t>
      </w:r>
      <w:r w:rsidR="00F3617A">
        <w:rPr>
          <w:rStyle w:val="FootnoteReference"/>
          <w:i/>
        </w:rPr>
        <w:footnoteReference w:id="7"/>
      </w:r>
      <w:r w:rsidR="00115A98">
        <w:rPr>
          <w:i/>
        </w:rPr>
        <w:t xml:space="preserve"> </w:t>
      </w:r>
      <w:r w:rsidRPr="00663322">
        <w:rPr>
          <w:i/>
        </w:rPr>
        <w:t xml:space="preserve">The mouse lymphoma assay with </w:t>
      </w:r>
      <w:proofErr w:type="spellStart"/>
      <w:r w:rsidRPr="00663322">
        <w:rPr>
          <w:i/>
        </w:rPr>
        <w:t>remifentanil</w:t>
      </w:r>
      <w:proofErr w:type="spellEnd"/>
      <w:r w:rsidRPr="00663322">
        <w:rPr>
          <w:i/>
        </w:rPr>
        <w:t xml:space="preserve"> was positive in the presence of metabolic </w:t>
      </w:r>
      <w:r w:rsidRPr="00663322">
        <w:rPr>
          <w:i/>
        </w:rPr>
        <w:lastRenderedPageBreak/>
        <w:t>activation at a concentration range between 421 and 852 µg/</w:t>
      </w:r>
      <w:proofErr w:type="spellStart"/>
      <w:r w:rsidRPr="00663322">
        <w:rPr>
          <w:i/>
        </w:rPr>
        <w:t>mL.</w:t>
      </w:r>
      <w:proofErr w:type="spellEnd"/>
      <w:r w:rsidRPr="00663322">
        <w:rPr>
          <w:i/>
        </w:rPr>
        <w:t xml:space="preserve"> </w:t>
      </w:r>
      <w:proofErr w:type="spellStart"/>
      <w:r w:rsidRPr="00663322">
        <w:rPr>
          <w:i/>
        </w:rPr>
        <w:t>Remifentanil</w:t>
      </w:r>
      <w:proofErr w:type="spellEnd"/>
      <w:r w:rsidRPr="00663322">
        <w:rPr>
          <w:i/>
        </w:rPr>
        <w:t xml:space="preserve"> was strongly </w:t>
      </w:r>
      <w:proofErr w:type="spellStart"/>
      <w:r w:rsidRPr="00663322">
        <w:rPr>
          <w:i/>
        </w:rPr>
        <w:t>cytotoxic</w:t>
      </w:r>
      <w:proofErr w:type="spellEnd"/>
      <w:r w:rsidRPr="00663322">
        <w:rPr>
          <w:i/>
        </w:rPr>
        <w:t xml:space="preserve"> starting </w:t>
      </w:r>
      <w:proofErr w:type="gramStart"/>
      <w:r w:rsidRPr="00663322">
        <w:rPr>
          <w:i/>
        </w:rPr>
        <w:t>at 602 µg/</w:t>
      </w:r>
      <w:proofErr w:type="spellStart"/>
      <w:r w:rsidRPr="00663322">
        <w:rPr>
          <w:i/>
        </w:rPr>
        <w:t>mL</w:t>
      </w:r>
      <w:proofErr w:type="spellEnd"/>
      <w:r w:rsidRPr="00663322">
        <w:rPr>
          <w:i/>
        </w:rPr>
        <w:t xml:space="preserve"> in one experiment</w:t>
      </w:r>
      <w:proofErr w:type="gramEnd"/>
      <w:r w:rsidRPr="00663322">
        <w:rPr>
          <w:i/>
        </w:rPr>
        <w:t xml:space="preserve"> and at 910 µg/</w:t>
      </w:r>
      <w:proofErr w:type="spellStart"/>
      <w:r w:rsidRPr="00663322">
        <w:rPr>
          <w:i/>
        </w:rPr>
        <w:t>mL</w:t>
      </w:r>
      <w:proofErr w:type="spellEnd"/>
      <w:r w:rsidRPr="00663322">
        <w:rPr>
          <w:i/>
        </w:rPr>
        <w:t xml:space="preserve"> in the repeat experiment, as evidenced by the fact that the relative suspension growths were lower than 10%. The observed mutations were primarily due to small colonies, which were an indication of chromosomal mutations. Because the mutation frequency after treatment with </w:t>
      </w:r>
      <w:proofErr w:type="spellStart"/>
      <w:r w:rsidRPr="00663322">
        <w:rPr>
          <w:i/>
        </w:rPr>
        <w:t>remifentanil</w:t>
      </w:r>
      <w:proofErr w:type="spellEnd"/>
      <w:r w:rsidRPr="00663322">
        <w:rPr>
          <w:i/>
        </w:rPr>
        <w:t xml:space="preserve"> was only slightly increased (mutation factors compared to the concurrent controls we</w:t>
      </w:r>
      <w:r w:rsidR="00F0140F">
        <w:rPr>
          <w:i/>
        </w:rPr>
        <w:t xml:space="preserve">re 2.0 to 3.3) and was not dose </w:t>
      </w:r>
      <w:r w:rsidRPr="00663322">
        <w:rPr>
          <w:i/>
        </w:rPr>
        <w:t xml:space="preserve">dependent, it is considered that the effect is not biologically relevant. </w:t>
      </w:r>
      <w:r w:rsidR="00F0140F">
        <w:rPr>
          <w:b/>
          <w:i/>
        </w:rPr>
        <w:t xml:space="preserve">It is well </w:t>
      </w:r>
      <w:r w:rsidRPr="00FA190F">
        <w:rPr>
          <w:b/>
          <w:i/>
        </w:rPr>
        <w:t>known from the literature that false positive results in mouse lymphoma mutation assays are quite common</w:t>
      </w:r>
      <w:r w:rsidRPr="00663322">
        <w:rPr>
          <w:i/>
        </w:rPr>
        <w:t>.</w:t>
      </w:r>
      <w:r w:rsidR="003D2327">
        <w:rPr>
          <w:rStyle w:val="FootnoteReference"/>
          <w:i/>
        </w:rPr>
        <w:footnoteReference w:id="8"/>
      </w:r>
      <w:r w:rsidRPr="00663322">
        <w:rPr>
          <w:i/>
        </w:rPr>
        <w:t>”</w:t>
      </w:r>
    </w:p>
    <w:p w:rsidR="00387517" w:rsidRPr="00387517" w:rsidRDefault="00387517" w:rsidP="00387517">
      <w:r w:rsidRPr="00387517">
        <w:t>The cited published literature reference was reviewed briefly, and the following excerpt is taken from the abstract:</w:t>
      </w:r>
    </w:p>
    <w:p w:rsidR="00387517" w:rsidRPr="00387517" w:rsidRDefault="00FA190F" w:rsidP="00FA190F">
      <w:pPr>
        <w:ind w:left="720"/>
      </w:pPr>
      <w:r>
        <w:t>…</w:t>
      </w:r>
      <w:r w:rsidR="00387517" w:rsidRPr="00387517">
        <w:t xml:space="preserve">experience shows that out of the </w:t>
      </w:r>
      <w:proofErr w:type="spellStart"/>
      <w:r w:rsidR="00387517" w:rsidRPr="00387517">
        <w:t>genotoxicity</w:t>
      </w:r>
      <w:proofErr w:type="spellEnd"/>
      <w:r w:rsidR="00387517" w:rsidRPr="00387517">
        <w:t xml:space="preserve"> test systems which are required according to existing guidelines in the European Union (EU), the in vitro tests for chromosomal aberrations (CA) and the mouse lymphoma </w:t>
      </w:r>
      <w:proofErr w:type="spellStart"/>
      <w:r w:rsidR="00387517" w:rsidRPr="00387517">
        <w:t>tk</w:t>
      </w:r>
      <w:proofErr w:type="spellEnd"/>
      <w:r w:rsidR="00387517" w:rsidRPr="00387517">
        <w:t xml:space="preserve"> assays (MLA) yield a rate of positives that is about four</w:t>
      </w:r>
      <w:r w:rsidR="00510253">
        <w:t xml:space="preserve"> </w:t>
      </w:r>
      <w:r w:rsidR="00387517" w:rsidRPr="00387517">
        <w:t xml:space="preserve">fold higher than that of other </w:t>
      </w:r>
      <w:proofErr w:type="spellStart"/>
      <w:r w:rsidR="00387517" w:rsidRPr="00387517">
        <w:t>genotoxicity</w:t>
      </w:r>
      <w:proofErr w:type="spellEnd"/>
      <w:r w:rsidR="00387517" w:rsidRPr="00387517">
        <w:t xml:space="preserve"> tests.</w:t>
      </w:r>
    </w:p>
    <w:p w:rsidR="00387517" w:rsidRPr="00387517" w:rsidRDefault="00FA190F" w:rsidP="00FA190F">
      <w:pPr>
        <w:ind w:left="720"/>
      </w:pPr>
      <w:r>
        <w:t>…</w:t>
      </w:r>
      <w:r w:rsidR="00387517" w:rsidRPr="00387517">
        <w:t xml:space="preserve">Hence, for new pharmaceuticals it is practice to provide in addition to in vitro results that may be </w:t>
      </w:r>
      <w:proofErr w:type="spellStart"/>
      <w:r w:rsidR="00387517" w:rsidRPr="00387517">
        <w:t>thresholded</w:t>
      </w:r>
      <w:proofErr w:type="spellEnd"/>
      <w:r w:rsidR="00387517" w:rsidRPr="00387517">
        <w:t xml:space="preserve">’ a wealth of information from </w:t>
      </w:r>
      <w:r w:rsidR="00387517" w:rsidRPr="004B223C">
        <w:rPr>
          <w:i/>
        </w:rPr>
        <w:t>in vivo</w:t>
      </w:r>
      <w:r w:rsidR="00387517" w:rsidRPr="00387517">
        <w:t xml:space="preserve"> studies on </w:t>
      </w:r>
      <w:proofErr w:type="spellStart"/>
      <w:r w:rsidR="00387517" w:rsidRPr="00387517">
        <w:t>genotoxicity</w:t>
      </w:r>
      <w:proofErr w:type="spellEnd"/>
      <w:r w:rsidR="00387517" w:rsidRPr="00387517">
        <w:t>, carcinogenicity, me</w:t>
      </w:r>
      <w:r w:rsidR="004B223C">
        <w:t>tabolism, pharmacokinetics, etcetera</w:t>
      </w:r>
      <w:r w:rsidR="00387517" w:rsidRPr="00387517">
        <w:t xml:space="preserve">, the results of which help in assessing the biological relevance of </w:t>
      </w:r>
      <w:r w:rsidR="00387517" w:rsidRPr="00555B4B">
        <w:rPr>
          <w:i/>
        </w:rPr>
        <w:t xml:space="preserve">in vitro </w:t>
      </w:r>
      <w:r w:rsidR="00387517" w:rsidRPr="00387517">
        <w:t xml:space="preserve">positives. </w:t>
      </w:r>
    </w:p>
    <w:p w:rsidR="00387517" w:rsidRPr="00387517" w:rsidRDefault="00387517" w:rsidP="00387517">
      <w:r w:rsidRPr="00387517">
        <w:t xml:space="preserve">The </w:t>
      </w:r>
      <w:proofErr w:type="spellStart"/>
      <w:r w:rsidRPr="00387517">
        <w:t>genotoxicity</w:t>
      </w:r>
      <w:proofErr w:type="spellEnd"/>
      <w:r w:rsidRPr="00387517">
        <w:t xml:space="preserve"> profile of </w:t>
      </w:r>
      <w:proofErr w:type="spellStart"/>
      <w:r w:rsidRPr="00387517">
        <w:t>fentanyl</w:t>
      </w:r>
      <w:proofErr w:type="spellEnd"/>
      <w:r w:rsidRPr="00387517">
        <w:t xml:space="preserve"> is well established from numerous previous studies.</w:t>
      </w:r>
    </w:p>
    <w:p w:rsidR="00387517" w:rsidRPr="00387517" w:rsidRDefault="00387517" w:rsidP="002C0832">
      <w:pPr>
        <w:pStyle w:val="Heading4"/>
      </w:pPr>
      <w:bookmarkStart w:id="50" w:name="_Toc294861730"/>
      <w:r w:rsidRPr="00387517">
        <w:t>Carcinogenicity</w:t>
      </w:r>
      <w:bookmarkEnd w:id="50"/>
    </w:p>
    <w:p w:rsidR="00387517" w:rsidRPr="00387517" w:rsidRDefault="00387517" w:rsidP="00387517">
      <w:r w:rsidRPr="00387517">
        <w:t>No data were submitted.</w:t>
      </w:r>
    </w:p>
    <w:p w:rsidR="00387517" w:rsidRPr="00387517" w:rsidRDefault="00387517" w:rsidP="002C0832">
      <w:pPr>
        <w:pStyle w:val="Heading4"/>
      </w:pPr>
      <w:r w:rsidRPr="00387517">
        <w:t>Reproductive toxicity</w:t>
      </w:r>
    </w:p>
    <w:p w:rsidR="00387517" w:rsidRPr="00387517" w:rsidRDefault="00387517" w:rsidP="00387517">
      <w:r w:rsidRPr="00387517">
        <w:t xml:space="preserve">Some supporting published literature reports were noted as submitted but not evaluated. A submitted published literature report was reviewed and the findings are briefly presented below. These studies do not involve intranasal administration of </w:t>
      </w:r>
      <w:proofErr w:type="spellStart"/>
      <w:r w:rsidRPr="00387517">
        <w:t>fentanyl</w:t>
      </w:r>
      <w:proofErr w:type="spellEnd"/>
      <w:r w:rsidRPr="00387517">
        <w:t xml:space="preserve">, but are considered relevant to compiling information on the potential toxicity of </w:t>
      </w:r>
      <w:proofErr w:type="spellStart"/>
      <w:r w:rsidRPr="00387517">
        <w:t>fentanyl</w:t>
      </w:r>
      <w:proofErr w:type="spellEnd"/>
      <w:r w:rsidRPr="00387517">
        <w:t>. Tissue radioactivity in pregnant rats or f</w:t>
      </w:r>
      <w:r w:rsidR="007828EF">
        <w:t>o</w:t>
      </w:r>
      <w:r w:rsidRPr="00387517">
        <w:t>etal tissue was determined after SC dosing of [</w:t>
      </w:r>
      <w:r w:rsidRPr="00042111">
        <w:rPr>
          <w:vertAlign w:val="superscript"/>
        </w:rPr>
        <w:t>3</w:t>
      </w:r>
      <w:r w:rsidRPr="00387517">
        <w:t>H]-</w:t>
      </w:r>
      <w:proofErr w:type="spellStart"/>
      <w:r w:rsidRPr="00387517">
        <w:t>Instanyl</w:t>
      </w:r>
      <w:proofErr w:type="spellEnd"/>
      <w:r w:rsidRPr="00387517">
        <w:t xml:space="preserve"> to dams on </w:t>
      </w:r>
      <w:r w:rsidR="00C15054">
        <w:t>Gestation D</w:t>
      </w:r>
      <w:r w:rsidRPr="00387517">
        <w:t xml:space="preserve">ay </w:t>
      </w:r>
      <w:r w:rsidR="00C15054">
        <w:t xml:space="preserve">(GD) </w:t>
      </w:r>
      <w:r w:rsidRPr="00387517">
        <w:t>12 and 19. Levels of radioactivity in the f</w:t>
      </w:r>
      <w:r w:rsidR="00521F9D">
        <w:t>o</w:t>
      </w:r>
      <w:r w:rsidRPr="00387517">
        <w:t>etus were about 1.75</w:t>
      </w:r>
      <w:r w:rsidR="004E1548">
        <w:t xml:space="preserve"> times</w:t>
      </w:r>
      <w:r w:rsidRPr="00387517">
        <w:t xml:space="preserve"> that in the maternal plasma at the early time point, but disappeared rapidly in parallel to the changes in maternal plasma concentrations. Some transfer of </w:t>
      </w:r>
      <w:proofErr w:type="spellStart"/>
      <w:r w:rsidRPr="00387517">
        <w:t>fentanyl</w:t>
      </w:r>
      <w:proofErr w:type="spellEnd"/>
      <w:r w:rsidRPr="00387517">
        <w:t xml:space="preserve"> and/or its metabolites into milk of lactating rats was observed, with levels up to 4</w:t>
      </w:r>
      <w:r w:rsidR="004E1548">
        <w:t xml:space="preserve"> times</w:t>
      </w:r>
      <w:r w:rsidRPr="00387517">
        <w:t xml:space="preserve"> that of maternal plasma 1 h following dosing.</w:t>
      </w:r>
    </w:p>
    <w:p w:rsidR="00387517" w:rsidRPr="00387517" w:rsidRDefault="00387517" w:rsidP="002C0832">
      <w:pPr>
        <w:pStyle w:val="Heading4"/>
      </w:pPr>
      <w:r w:rsidRPr="00387517">
        <w:t>Local tolerance</w:t>
      </w:r>
    </w:p>
    <w:p w:rsidR="00387517" w:rsidRPr="00387517" w:rsidRDefault="00387517" w:rsidP="00387517">
      <w:r w:rsidRPr="00387517">
        <w:t xml:space="preserve">Three new </w:t>
      </w:r>
      <w:r>
        <w:t xml:space="preserve">GLP </w:t>
      </w:r>
      <w:r w:rsidRPr="00387517">
        <w:t>compliant local tolerance studies were performed according to the relevant guideline</w:t>
      </w:r>
      <w:r>
        <w:t>.</w:t>
      </w:r>
      <w:r>
        <w:rPr>
          <w:rStyle w:val="FootnoteReference"/>
        </w:rPr>
        <w:footnoteReference w:id="9"/>
      </w:r>
      <w:r w:rsidRPr="00387517">
        <w:t xml:space="preserve"> In all these studies, </w:t>
      </w:r>
      <w:proofErr w:type="spellStart"/>
      <w:r w:rsidRPr="00387517">
        <w:t>Instanyl</w:t>
      </w:r>
      <w:proofErr w:type="spellEnd"/>
      <w:r w:rsidRPr="00387517">
        <w:t xml:space="preserve"> was administered in the clinical formulation proposed for registration as an intranasal spray using the actuator device proposed for use in humans. In the first main study (</w:t>
      </w:r>
      <w:r w:rsidR="00090710">
        <w:t>S</w:t>
      </w:r>
      <w:r w:rsidRPr="00387517">
        <w:t xml:space="preserve">tudy PC-002-FNA), nasal administration of 400 </w:t>
      </w:r>
      <w:proofErr w:type="spellStart"/>
      <w:r w:rsidRPr="00387517">
        <w:t>μg</w:t>
      </w:r>
      <w:proofErr w:type="spellEnd"/>
      <w:r w:rsidRPr="00387517">
        <w:t xml:space="preserve"> </w:t>
      </w:r>
      <w:proofErr w:type="spellStart"/>
      <w:r w:rsidRPr="00387517">
        <w:t>fentanyl</w:t>
      </w:r>
      <w:proofErr w:type="spellEnd"/>
      <w:r w:rsidRPr="00387517">
        <w:t xml:space="preserve"> five times daily</w:t>
      </w:r>
      <w:r w:rsidR="00042111">
        <w:t xml:space="preserve"> </w:t>
      </w:r>
      <w:r w:rsidRPr="00387517">
        <w:t>to mini</w:t>
      </w:r>
      <w:r w:rsidR="007A6865">
        <w:t xml:space="preserve"> </w:t>
      </w:r>
      <w:r w:rsidRPr="00387517">
        <w:t xml:space="preserve">pigs for a period of four weeks </w:t>
      </w:r>
      <w:r w:rsidRPr="00387517">
        <w:lastRenderedPageBreak/>
        <w:t xml:space="preserve">caused no signs of local or systemic toxic effects and </w:t>
      </w:r>
      <w:r w:rsidR="007A6865">
        <w:t xml:space="preserve">no macroscopic and no treatment </w:t>
      </w:r>
      <w:r w:rsidRPr="00387517">
        <w:t xml:space="preserve">related microscopic changes in the nasal cavity. A </w:t>
      </w:r>
      <w:r w:rsidR="00CC45A0" w:rsidRPr="00CC45A0">
        <w:t xml:space="preserve">no observed adverse effect level </w:t>
      </w:r>
      <w:r w:rsidR="00CC45A0">
        <w:t>(</w:t>
      </w:r>
      <w:r w:rsidRPr="00387517">
        <w:t>NOAEL</w:t>
      </w:r>
      <w:r w:rsidR="00CC45A0">
        <w:t>)</w:t>
      </w:r>
      <w:r w:rsidRPr="00387517">
        <w:t xml:space="preserve"> was not established (&gt;5 x 400 </w:t>
      </w:r>
      <w:proofErr w:type="spellStart"/>
      <w:r w:rsidRPr="00387517">
        <w:t>μg</w:t>
      </w:r>
      <w:proofErr w:type="spellEnd"/>
      <w:r w:rsidRPr="00387517">
        <w:t xml:space="preserve"> </w:t>
      </w:r>
      <w:proofErr w:type="spellStart"/>
      <w:r w:rsidRPr="00387517">
        <w:t>fentanyl</w:t>
      </w:r>
      <w:proofErr w:type="spellEnd"/>
      <w:r w:rsidRPr="00387517">
        <w:t xml:space="preserve"> doses per day). No </w:t>
      </w:r>
      <w:proofErr w:type="spellStart"/>
      <w:r w:rsidRPr="00387517">
        <w:t>toxicokinetics</w:t>
      </w:r>
      <w:proofErr w:type="spellEnd"/>
      <w:r w:rsidRPr="00387517">
        <w:t xml:space="preserve"> were performed. However, a dose comparison was made by the sponsor on the basis of </w:t>
      </w:r>
      <w:r w:rsidR="00CE4D60">
        <w:t>published guidelines.</w:t>
      </w:r>
      <w:r w:rsidR="00CE4D60">
        <w:rPr>
          <w:rStyle w:val="FootnoteReference"/>
        </w:rPr>
        <w:footnoteReference w:id="10"/>
      </w:r>
      <w:r w:rsidR="00CE4D60">
        <w:t xml:space="preserve"> </w:t>
      </w:r>
      <w:r w:rsidRPr="00387517">
        <w:t xml:space="preserve">It was determined that the dose administered in this study of 5x 400 µg </w:t>
      </w:r>
      <w:proofErr w:type="spellStart"/>
      <w:r w:rsidRPr="00387517">
        <w:t>fentanyl</w:t>
      </w:r>
      <w:proofErr w:type="spellEnd"/>
      <w:r w:rsidRPr="00387517">
        <w:t xml:space="preserve"> doses per day (2000 µg in total), would correspond to 1.25x the intended maximum clinical dose per day </w:t>
      </w:r>
      <w:r w:rsidR="00F7516E">
        <w:t>[2x 200 µg (</w:t>
      </w:r>
      <w:r w:rsidRPr="00387517">
        <w:t xml:space="preserve">400 µg) </w:t>
      </w:r>
      <w:proofErr w:type="spellStart"/>
      <w:r w:rsidRPr="00387517">
        <w:t>fentanyl</w:t>
      </w:r>
      <w:proofErr w:type="spellEnd"/>
      <w:r w:rsidRPr="00387517">
        <w:t xml:space="preserve"> four times per day; 1600 µg in total]. Thus, in order to generate a safety margin, the sponsor proposed the mini</w:t>
      </w:r>
      <w:r w:rsidR="00B3618C">
        <w:t xml:space="preserve"> </w:t>
      </w:r>
      <w:r w:rsidRPr="00387517">
        <w:t xml:space="preserve">pigs were administered one more </w:t>
      </w:r>
      <w:r w:rsidRPr="00042111">
        <w:rPr>
          <w:i/>
        </w:rPr>
        <w:t>‘400 µg dose per day’</w:t>
      </w:r>
      <w:r w:rsidRPr="00387517">
        <w:t xml:space="preserve"> than the maximum daily n</w:t>
      </w:r>
      <w:r w:rsidR="00092859">
        <w:t xml:space="preserve">umber of doses for humans, that is, </w:t>
      </w:r>
      <w:r w:rsidRPr="00387517">
        <w:t xml:space="preserve">five 400 µg doses daily for the mini-pig </w:t>
      </w:r>
      <w:r w:rsidR="008F5AC7">
        <w:t>versus</w:t>
      </w:r>
      <w:r w:rsidRPr="00387517">
        <w:t xml:space="preserve"> </w:t>
      </w:r>
      <w:r w:rsidR="00B3618C">
        <w:t>four daily doses of 400 µg (</w:t>
      </w:r>
      <w:r w:rsidRPr="00387517">
        <w:t>2x 200 µg doses) in humans, generating a dose multiple of 1.25 based on the amount of drug (µg) at the application site.</w:t>
      </w:r>
    </w:p>
    <w:p w:rsidR="00387517" w:rsidRPr="00387517" w:rsidRDefault="00387517" w:rsidP="00387517">
      <w:r w:rsidRPr="00387517">
        <w:t>This is appropriate since, according to the abovementioned FDA Guidance,</w:t>
      </w:r>
      <w:r w:rsidR="00F96FB9">
        <w:rPr>
          <w:rStyle w:val="FootnoteReference"/>
        </w:rPr>
        <w:footnoteReference w:id="11"/>
      </w:r>
      <w:r w:rsidRPr="00387517">
        <w:t xml:space="preserve"> for therapeutics adminis</w:t>
      </w:r>
      <w:r w:rsidR="00922B10">
        <w:t>tered by any alternative route [</w:t>
      </w:r>
      <w:r w:rsidR="00092859">
        <w:t xml:space="preserve">for example, </w:t>
      </w:r>
      <w:r w:rsidRPr="00387517">
        <w:t>intranasal, SC, IM</w:t>
      </w:r>
      <w:r w:rsidR="0023527C">
        <w:t xml:space="preserve"> </w:t>
      </w:r>
      <w:r w:rsidR="00922B10">
        <w:t>(</w:t>
      </w:r>
      <w:r w:rsidR="003C6EF1">
        <w:t>i</w:t>
      </w:r>
      <w:r w:rsidR="003C6EF1" w:rsidRPr="003C6EF1">
        <w:t>ntramuscular</w:t>
      </w:r>
      <w:r w:rsidR="00922B10">
        <w:t>)</w:t>
      </w:r>
      <w:r w:rsidRPr="00387517">
        <w:t>, for which the dose is limited by local toxicities</w:t>
      </w:r>
      <w:r w:rsidR="00922B10">
        <w:t>]</w:t>
      </w:r>
      <w:r w:rsidRPr="00387517">
        <w:t>, scaling between species based on mg/m</w:t>
      </w:r>
      <w:r w:rsidRPr="00764844">
        <w:rPr>
          <w:vertAlign w:val="superscript"/>
        </w:rPr>
        <w:t>2</w:t>
      </w:r>
      <w:r w:rsidRPr="00387517">
        <w:t xml:space="preserve"> is not recommended. Instead, </w:t>
      </w:r>
      <w:proofErr w:type="gramStart"/>
      <w:r w:rsidRPr="00387517">
        <w:t>these</w:t>
      </w:r>
      <w:proofErr w:type="gramEnd"/>
      <w:r w:rsidRPr="00387517">
        <w:t xml:space="preserve"> therapeutics should be </w:t>
      </w:r>
      <w:r w:rsidR="00764844">
        <w:t>normalised to concentration (for example,</w:t>
      </w:r>
      <w:r w:rsidRPr="00387517">
        <w:t xml:space="preserve"> mg/area of application) or amount of drug (</w:t>
      </w:r>
      <w:r w:rsidR="00092859">
        <w:t>for example, milligrams</w:t>
      </w:r>
      <w:r w:rsidR="00801138">
        <w:t>) at the application site.</w:t>
      </w:r>
    </w:p>
    <w:p w:rsidR="00387517" w:rsidRPr="00387517" w:rsidRDefault="00387517" w:rsidP="00387517">
      <w:r w:rsidRPr="00387517">
        <w:t>Although a similar dose was a</w:t>
      </w:r>
      <w:r w:rsidR="00416DE5">
        <w:t xml:space="preserve">dministered to mini pigs compared with </w:t>
      </w:r>
      <w:r w:rsidRPr="00387517">
        <w:t>humans, it should be noted that there are quantitative differences in the surface area of absorption.</w:t>
      </w:r>
    </w:p>
    <w:p w:rsidR="00387517" w:rsidRPr="00387517" w:rsidRDefault="00387517" w:rsidP="00387517">
      <w:r w:rsidRPr="00387517">
        <w:t xml:space="preserve">One other local toxicity and </w:t>
      </w:r>
      <w:proofErr w:type="spellStart"/>
      <w:r w:rsidRPr="00387517">
        <w:t>toxicokinetic</w:t>
      </w:r>
      <w:proofErr w:type="spellEnd"/>
      <w:r w:rsidRPr="00387517">
        <w:t xml:space="preserve"> study in mini</w:t>
      </w:r>
      <w:r w:rsidR="00416DE5">
        <w:t xml:space="preserve"> </w:t>
      </w:r>
      <w:r w:rsidRPr="00387517">
        <w:t>pigs (</w:t>
      </w:r>
      <w:r w:rsidR="00B10F98">
        <w:t>S</w:t>
      </w:r>
      <w:r w:rsidRPr="00387517">
        <w:t xml:space="preserve">tudy 70900) was recently finalised, and submitted </w:t>
      </w:r>
      <w:r w:rsidR="003E0213">
        <w:t>following a</w:t>
      </w:r>
      <w:r w:rsidRPr="00387517">
        <w:t xml:space="preserve"> </w:t>
      </w:r>
      <w:r w:rsidR="004E1548">
        <w:t>TGA</w:t>
      </w:r>
      <w:r w:rsidRPr="00387517">
        <w:t xml:space="preserve"> request. Six mini</w:t>
      </w:r>
      <w:r w:rsidR="008131E9">
        <w:t xml:space="preserve"> </w:t>
      </w:r>
      <w:r w:rsidRPr="00387517">
        <w:t xml:space="preserve">pigs were administered </w:t>
      </w:r>
      <w:proofErr w:type="spellStart"/>
      <w:r w:rsidRPr="00387517">
        <w:t>Instanyl</w:t>
      </w:r>
      <w:proofErr w:type="spellEnd"/>
      <w:r w:rsidRPr="00387517">
        <w:t xml:space="preserve"> with 2 doses of 400 </w:t>
      </w:r>
      <w:proofErr w:type="spellStart"/>
      <w:r w:rsidRPr="00387517">
        <w:t>μg</w:t>
      </w:r>
      <w:proofErr w:type="spellEnd"/>
      <w:r w:rsidRPr="00387517">
        <w:t xml:space="preserve"> (800 </w:t>
      </w:r>
      <w:proofErr w:type="spellStart"/>
      <w:r w:rsidRPr="00387517">
        <w:t>μg</w:t>
      </w:r>
      <w:proofErr w:type="spellEnd"/>
      <w:r w:rsidRPr="00387517">
        <w:t xml:space="preserve">), 5 times daily for 28 days (4000 </w:t>
      </w:r>
      <w:proofErr w:type="spellStart"/>
      <w:r w:rsidRPr="00387517">
        <w:t>μg</w:t>
      </w:r>
      <w:proofErr w:type="spellEnd"/>
      <w:r w:rsidRPr="00387517">
        <w:t xml:space="preserve">/day for 28 days). Macroscopic and microscopic evaluation of the nasal cavity after 4 weeks did not reveal any evidence of intolerability. The NOAEL for local toxicity in the nasal cavity was therefore &gt;5x 800 </w:t>
      </w:r>
      <w:proofErr w:type="spellStart"/>
      <w:r w:rsidRPr="00387517">
        <w:t>μg</w:t>
      </w:r>
      <w:proofErr w:type="spellEnd"/>
      <w:r w:rsidRPr="00387517">
        <w:t xml:space="preserve"> </w:t>
      </w:r>
      <w:proofErr w:type="spellStart"/>
      <w:r w:rsidRPr="00387517">
        <w:t>fentanyl</w:t>
      </w:r>
      <w:proofErr w:type="spellEnd"/>
      <w:r w:rsidRPr="00387517">
        <w:t xml:space="preserve"> citrate doses per day, with a dose multiple of 2.5x based on the amount of drug (µg) at the application site. </w:t>
      </w:r>
    </w:p>
    <w:p w:rsidR="00387517" w:rsidRPr="00387517" w:rsidRDefault="00387517" w:rsidP="00387517">
      <w:r w:rsidRPr="00387517">
        <w:t>These local tolerance studies were of sufficient duration to ensure that any local intolerance should have been detectable under the treatment conditions employed. However, it is acknowledged that such studies may not be fully predictive of clinical local tolerance, and therefore the clinical data will also be assessed on this parameter.</w:t>
      </w:r>
    </w:p>
    <w:p w:rsidR="00387517" w:rsidRPr="00387517" w:rsidRDefault="00387517" w:rsidP="002C0832">
      <w:pPr>
        <w:pStyle w:val="Heading4"/>
      </w:pPr>
      <w:proofErr w:type="spellStart"/>
      <w:r w:rsidRPr="00387517">
        <w:t>Immunotoxicity</w:t>
      </w:r>
      <w:proofErr w:type="spellEnd"/>
    </w:p>
    <w:p w:rsidR="00387517" w:rsidRDefault="00387517" w:rsidP="00387517">
      <w:r w:rsidRPr="00387517">
        <w:t xml:space="preserve">No data were submitted. The objective of this </w:t>
      </w:r>
      <w:r w:rsidR="002B7694">
        <w:t>literature publication</w:t>
      </w:r>
      <w:r w:rsidR="002B7694">
        <w:rPr>
          <w:rStyle w:val="FootnoteReference"/>
        </w:rPr>
        <w:footnoteReference w:id="12"/>
      </w:r>
      <w:r w:rsidR="002B7694">
        <w:t xml:space="preserve"> </w:t>
      </w:r>
      <w:r w:rsidRPr="00387517">
        <w:t xml:space="preserve">was to investigate whether </w:t>
      </w:r>
      <w:proofErr w:type="spellStart"/>
      <w:r w:rsidRPr="00387517">
        <w:t>opioids</w:t>
      </w:r>
      <w:proofErr w:type="spellEnd"/>
      <w:r w:rsidRPr="00387517">
        <w:t xml:space="preserve"> may suppress immune function, especially natural killer (NK) cell </w:t>
      </w:r>
      <w:proofErr w:type="spellStart"/>
      <w:r w:rsidRPr="00387517">
        <w:t>cytotoxicity</w:t>
      </w:r>
      <w:proofErr w:type="spellEnd"/>
      <w:r w:rsidRPr="00387517">
        <w:t xml:space="preserve">. In particular, the study examined the effect of different doses of </w:t>
      </w:r>
      <w:proofErr w:type="spellStart"/>
      <w:r w:rsidRPr="00387517">
        <w:t>fentanyl</w:t>
      </w:r>
      <w:proofErr w:type="spellEnd"/>
      <w:r w:rsidRPr="00387517">
        <w:t xml:space="preserve"> administered at different time points relative to tumour inoculation on: </w:t>
      </w:r>
      <w:proofErr w:type="spellStart"/>
      <w:r w:rsidRPr="00387517">
        <w:t>i</w:t>
      </w:r>
      <w:proofErr w:type="spellEnd"/>
      <w:r w:rsidRPr="00387517">
        <w:t>) experimental tumour metastasis in rats and ii) NK</w:t>
      </w:r>
      <w:r w:rsidR="00B050E6">
        <w:t xml:space="preserve"> </w:t>
      </w:r>
      <w:r w:rsidRPr="00387517">
        <w:t xml:space="preserve">cell </w:t>
      </w:r>
      <w:proofErr w:type="spellStart"/>
      <w:r w:rsidRPr="00387517">
        <w:t>cytotoxicity</w:t>
      </w:r>
      <w:proofErr w:type="spellEnd"/>
      <w:r w:rsidRPr="00387517">
        <w:t xml:space="preserve">. The results show </w:t>
      </w:r>
      <w:proofErr w:type="spellStart"/>
      <w:r w:rsidRPr="00387517">
        <w:t>fentanyl</w:t>
      </w:r>
      <w:proofErr w:type="spellEnd"/>
      <w:r w:rsidRPr="00387517">
        <w:t xml:space="preserve"> </w:t>
      </w:r>
      <w:proofErr w:type="gramStart"/>
      <w:r w:rsidRPr="00387517">
        <w:t>(150 µg/kg given SC to F344 rats)</w:t>
      </w:r>
      <w:proofErr w:type="gramEnd"/>
      <w:r w:rsidRPr="00387517">
        <w:t xml:space="preserve"> may suppress NK cell </w:t>
      </w:r>
      <w:proofErr w:type="spellStart"/>
      <w:r w:rsidRPr="00387517">
        <w:t>cytotoxicity</w:t>
      </w:r>
      <w:proofErr w:type="spellEnd"/>
      <w:r w:rsidRPr="00387517">
        <w:t xml:space="preserve"> and increase the risk of tumour metastasis. The findings indicate that a moderate dose of </w:t>
      </w:r>
      <w:proofErr w:type="spellStart"/>
      <w:r w:rsidRPr="00387517">
        <w:t>fentanyl</w:t>
      </w:r>
      <w:proofErr w:type="spellEnd"/>
      <w:r w:rsidRPr="00387517">
        <w:t xml:space="preserve"> suppresses NK cell </w:t>
      </w:r>
      <w:proofErr w:type="spellStart"/>
      <w:r w:rsidRPr="00387517">
        <w:t>cytotoxicity</w:t>
      </w:r>
      <w:proofErr w:type="spellEnd"/>
      <w:r w:rsidRPr="00387517">
        <w:t xml:space="preserve"> and may increase the risk of tumour metastasis 2 h (but not 6 h) after administration, suggesting that acute </w:t>
      </w:r>
      <w:proofErr w:type="spellStart"/>
      <w:r w:rsidRPr="00387517">
        <w:t>opioid</w:t>
      </w:r>
      <w:proofErr w:type="spellEnd"/>
      <w:r w:rsidRPr="00387517">
        <w:t xml:space="preserve"> administration and suppression of NK cells prior to surgery may induce tumour dissemination, a critical step in the spread of </w:t>
      </w:r>
      <w:r w:rsidRPr="00387517">
        <w:lastRenderedPageBreak/>
        <w:t>metastases. The authors suggest caution in administration of high doses of opiates during surgery in cancer patients.</w:t>
      </w:r>
    </w:p>
    <w:p w:rsidR="00F0359D" w:rsidRDefault="00F0359D" w:rsidP="002C0832">
      <w:pPr>
        <w:pStyle w:val="Heading4"/>
      </w:pPr>
      <w:r>
        <w:t>Impurities</w:t>
      </w:r>
    </w:p>
    <w:p w:rsidR="00F0359D" w:rsidRPr="00F60C94" w:rsidRDefault="00F60C94" w:rsidP="00F60C94">
      <w:r w:rsidRPr="00F60C94">
        <w:t>The proposed specifications for impurities/</w:t>
      </w:r>
      <w:proofErr w:type="spellStart"/>
      <w:r w:rsidRPr="00F60C94">
        <w:t>degradants</w:t>
      </w:r>
      <w:proofErr w:type="spellEnd"/>
      <w:r w:rsidRPr="00F60C94">
        <w:t xml:space="preserve"> in the drug substance/product are below the </w:t>
      </w:r>
      <w:r w:rsidR="004A677B" w:rsidRPr="004A677B">
        <w:t>International Conference on Harmoni</w:t>
      </w:r>
      <w:r w:rsidR="004A677B">
        <w:t>s</w:t>
      </w:r>
      <w:r w:rsidR="004A677B" w:rsidRPr="004A677B">
        <w:t>ation</w:t>
      </w:r>
      <w:r w:rsidR="004A677B">
        <w:t xml:space="preserve"> (ICH)</w:t>
      </w:r>
      <w:r w:rsidRPr="00F60C94">
        <w:t xml:space="preserve"> qualification thresholds and have been adequately qualified.</w:t>
      </w:r>
    </w:p>
    <w:p w:rsidR="00B10966" w:rsidRPr="00B10966" w:rsidRDefault="00B10966" w:rsidP="00B10966">
      <w:pPr>
        <w:pStyle w:val="Heading4"/>
      </w:pPr>
      <w:r w:rsidRPr="00B10966">
        <w:t>Paediatric use</w:t>
      </w:r>
    </w:p>
    <w:p w:rsidR="00B10966" w:rsidRPr="00B10966" w:rsidRDefault="00B10966" w:rsidP="00B10966">
      <w:proofErr w:type="spellStart"/>
      <w:r w:rsidRPr="00B10966">
        <w:t>Instanyl</w:t>
      </w:r>
      <w:proofErr w:type="spellEnd"/>
      <w:r w:rsidRPr="00B10966">
        <w:t xml:space="preserve"> </w:t>
      </w:r>
      <w:proofErr w:type="spellStart"/>
      <w:r w:rsidRPr="00B10966">
        <w:t>fentanyl</w:t>
      </w:r>
      <w:proofErr w:type="spellEnd"/>
      <w:r w:rsidRPr="00B10966">
        <w:t xml:space="preserve"> nasal spray</w:t>
      </w:r>
      <w:r w:rsidR="002D2354">
        <w:t xml:space="preserve"> (FNS)</w:t>
      </w:r>
      <w:r w:rsidRPr="00B10966">
        <w:t xml:space="preserve"> is not proposed for paediatric use and no specific studies in juvenile animals were submitted.</w:t>
      </w:r>
    </w:p>
    <w:p w:rsidR="00B10966" w:rsidRPr="00B10966" w:rsidRDefault="00B10966" w:rsidP="00B10966">
      <w:pPr>
        <w:pStyle w:val="Heading4"/>
      </w:pPr>
      <w:proofErr w:type="spellStart"/>
      <w:r w:rsidRPr="00B10966">
        <w:t>Excipients</w:t>
      </w:r>
      <w:proofErr w:type="spellEnd"/>
    </w:p>
    <w:p w:rsidR="00B10966" w:rsidRPr="00B10966" w:rsidRDefault="00B10966" w:rsidP="00B10966">
      <w:r w:rsidRPr="00B10966">
        <w:t xml:space="preserve">The two </w:t>
      </w:r>
      <w:proofErr w:type="spellStart"/>
      <w:r w:rsidRPr="00B10966">
        <w:t>excipients</w:t>
      </w:r>
      <w:proofErr w:type="spellEnd"/>
      <w:r w:rsidRPr="00B10966">
        <w:t xml:space="preserve"> in this formulation (sodium </w:t>
      </w:r>
      <w:proofErr w:type="spellStart"/>
      <w:r w:rsidRPr="00B10966">
        <w:t>dihydrogen</w:t>
      </w:r>
      <w:proofErr w:type="spellEnd"/>
      <w:r w:rsidRPr="00B10966">
        <w:t xml:space="preserve"> phosphate dehydrate and disodium phosphate </w:t>
      </w:r>
      <w:proofErr w:type="spellStart"/>
      <w:r w:rsidRPr="00B10966">
        <w:t>dihydrate</w:t>
      </w:r>
      <w:proofErr w:type="spellEnd"/>
      <w:r w:rsidRPr="00B10966">
        <w:t xml:space="preserve">) are standard pharmaceutical </w:t>
      </w:r>
      <w:proofErr w:type="spellStart"/>
      <w:r w:rsidRPr="00B10966">
        <w:t>excipients</w:t>
      </w:r>
      <w:proofErr w:type="spellEnd"/>
      <w:r w:rsidRPr="00B10966">
        <w:t xml:space="preserve"> and common phosphate buffering agents. They are widely used and are present in many registered products. They have not specifically been determined to be present in other intranasal registered products, but it seems unlikely that these </w:t>
      </w:r>
      <w:proofErr w:type="spellStart"/>
      <w:r w:rsidRPr="00B10966">
        <w:t>excipients</w:t>
      </w:r>
      <w:proofErr w:type="spellEnd"/>
      <w:r w:rsidRPr="00B10966">
        <w:t xml:space="preserve"> would be of toxicological concern by intranasal administration.</w:t>
      </w:r>
    </w:p>
    <w:p w:rsidR="008E7846" w:rsidRDefault="008E7846" w:rsidP="008E7846">
      <w:pPr>
        <w:pStyle w:val="Heading3"/>
      </w:pPr>
      <w:bookmarkStart w:id="51" w:name="_Toc247691515"/>
      <w:bookmarkStart w:id="52" w:name="_Toc314842499"/>
      <w:bookmarkStart w:id="53" w:name="_Toc366842959"/>
      <w:r>
        <w:t>Nonclinical summary and conclusions</w:t>
      </w:r>
      <w:bookmarkEnd w:id="51"/>
      <w:bookmarkEnd w:id="52"/>
      <w:bookmarkEnd w:id="53"/>
    </w:p>
    <w:p w:rsidR="008E7846" w:rsidRDefault="00103454" w:rsidP="00BD0E72">
      <w:pPr>
        <w:pStyle w:val="Heading4"/>
      </w:pPr>
      <w:r>
        <w:t>Summary</w:t>
      </w:r>
    </w:p>
    <w:p w:rsidR="00F41AD2" w:rsidRPr="00F41AD2" w:rsidRDefault="00F41AD2" w:rsidP="00F41AD2">
      <w:pPr>
        <w:pStyle w:val="ListBullet"/>
      </w:pPr>
      <w:r w:rsidRPr="00F41AD2">
        <w:t xml:space="preserve">The MRHD is 8 doses (4 </w:t>
      </w:r>
      <w:r w:rsidR="00067DB9">
        <w:t>BTP</w:t>
      </w:r>
      <w:r w:rsidR="00801138">
        <w:t xml:space="preserve"> episodes) per day (1600 </w:t>
      </w:r>
      <w:proofErr w:type="spellStart"/>
      <w:r w:rsidR="00801138">
        <w:t>μg</w:t>
      </w:r>
      <w:proofErr w:type="spellEnd"/>
      <w:r w:rsidR="00801138">
        <w:t>).</w:t>
      </w:r>
    </w:p>
    <w:p w:rsidR="00F41AD2" w:rsidRPr="00F41AD2" w:rsidRDefault="00F41AD2" w:rsidP="00F41AD2">
      <w:pPr>
        <w:pStyle w:val="ListBullet"/>
      </w:pPr>
      <w:r w:rsidRPr="00F41AD2">
        <w:t xml:space="preserve">The pharmacology and toxicology of </w:t>
      </w:r>
      <w:proofErr w:type="spellStart"/>
      <w:r w:rsidRPr="00F41AD2">
        <w:t>fentanyl</w:t>
      </w:r>
      <w:proofErr w:type="spellEnd"/>
      <w:r w:rsidRPr="00F41AD2">
        <w:t xml:space="preserve"> (a µ-</w:t>
      </w:r>
      <w:proofErr w:type="spellStart"/>
      <w:r w:rsidRPr="00F41AD2">
        <w:t>opioid</w:t>
      </w:r>
      <w:proofErr w:type="spellEnd"/>
      <w:r w:rsidRPr="00F41AD2">
        <w:t xml:space="preserve"> receptor agonist) has been well established in extensive previous no</w:t>
      </w:r>
      <w:r w:rsidR="00801138">
        <w:t>nclinical and clinical studies.</w:t>
      </w:r>
    </w:p>
    <w:p w:rsidR="00F41AD2" w:rsidRPr="00F41AD2" w:rsidRDefault="00F41AD2" w:rsidP="00F41AD2">
      <w:pPr>
        <w:pStyle w:val="ListBullet"/>
      </w:pPr>
      <w:r w:rsidRPr="00F41AD2">
        <w:t xml:space="preserve">The submission contained no new data on the safety and efficacy of </w:t>
      </w:r>
      <w:proofErr w:type="spellStart"/>
      <w:r w:rsidRPr="00F41AD2">
        <w:t>fentanyl</w:t>
      </w:r>
      <w:proofErr w:type="spellEnd"/>
      <w:r w:rsidRPr="00F41AD2">
        <w:t xml:space="preserve"> and for these areas the submission relies on published studies. The information in these literature reports is well known and was not evaluated but noted as submitted supporting information.</w:t>
      </w:r>
    </w:p>
    <w:p w:rsidR="00F41AD2" w:rsidRPr="00F41AD2" w:rsidRDefault="00F41AD2" w:rsidP="00F41AD2">
      <w:pPr>
        <w:pStyle w:val="ListBullet"/>
      </w:pPr>
      <w:r w:rsidRPr="00F41AD2">
        <w:t>Three GLP</w:t>
      </w:r>
      <w:r w:rsidR="004D0B47">
        <w:t xml:space="preserve"> </w:t>
      </w:r>
      <w:r w:rsidRPr="00F41AD2">
        <w:t>compliant local tolerance studies in m</w:t>
      </w:r>
      <w:r w:rsidR="00124ADD">
        <w:t xml:space="preserve">ini pigs were submitted (a dose </w:t>
      </w:r>
      <w:r w:rsidRPr="00F41AD2">
        <w:t>ranging study and two 4 week repeat dose studies)</w:t>
      </w:r>
      <w:proofErr w:type="gramStart"/>
      <w:r w:rsidRPr="00F41AD2">
        <w:t>,</w:t>
      </w:r>
      <w:proofErr w:type="gramEnd"/>
      <w:r w:rsidRPr="00F41AD2">
        <w:t xml:space="preserve"> in which </w:t>
      </w:r>
      <w:proofErr w:type="spellStart"/>
      <w:r w:rsidRPr="00F41AD2">
        <w:t>fentanyl</w:t>
      </w:r>
      <w:proofErr w:type="spellEnd"/>
      <w:r w:rsidRPr="00F41AD2">
        <w:t xml:space="preserve"> was administered as an intranasal spray using the formulation proposed for registration. No notable</w:t>
      </w:r>
      <w:r w:rsidR="00801138">
        <w:t xml:space="preserve"> local effects were identified.</w:t>
      </w:r>
    </w:p>
    <w:p w:rsidR="00BD0E72" w:rsidRDefault="00BD0E72" w:rsidP="00BD0E72">
      <w:pPr>
        <w:pStyle w:val="Heading4"/>
      </w:pPr>
      <w:r>
        <w:t>Conclusions and recommendation</w:t>
      </w:r>
    </w:p>
    <w:p w:rsidR="00D94145" w:rsidRPr="00D94145" w:rsidRDefault="00D94145" w:rsidP="00D94145">
      <w:pPr>
        <w:pStyle w:val="ListBullet"/>
      </w:pPr>
      <w:r w:rsidRPr="00D94145">
        <w:t xml:space="preserve">There are no nonclinical objections to the proposed new dosage form and route of </w:t>
      </w:r>
      <w:proofErr w:type="spellStart"/>
      <w:r w:rsidRPr="00D94145">
        <w:t>fentanyl</w:t>
      </w:r>
      <w:proofErr w:type="spellEnd"/>
      <w:r w:rsidRPr="00D94145">
        <w:t>.</w:t>
      </w:r>
    </w:p>
    <w:p w:rsidR="00D94145" w:rsidRPr="00D94145" w:rsidRDefault="00D94145" w:rsidP="00D94145">
      <w:pPr>
        <w:pStyle w:val="ListBullet"/>
      </w:pPr>
      <w:r w:rsidRPr="00D94145">
        <w:t xml:space="preserve">The pharmacology and toxicology of </w:t>
      </w:r>
      <w:proofErr w:type="spellStart"/>
      <w:r w:rsidRPr="00D94145">
        <w:t>fentanyl</w:t>
      </w:r>
      <w:proofErr w:type="spellEnd"/>
      <w:r w:rsidRPr="00D94145">
        <w:t xml:space="preserve"> are well established and there is extensive clinical history with the use of this </w:t>
      </w:r>
      <w:proofErr w:type="spellStart"/>
      <w:r w:rsidRPr="00D94145">
        <w:t>opioid</w:t>
      </w:r>
      <w:proofErr w:type="spellEnd"/>
      <w:r w:rsidRPr="00D94145">
        <w:t xml:space="preserve"> in various formulations. The present nonclinical dossier has focussed on the nonclinical assessmen</w:t>
      </w:r>
      <w:r w:rsidR="00801138">
        <w:t>t of an intranasal formulation.</w:t>
      </w:r>
    </w:p>
    <w:p w:rsidR="00D94145" w:rsidRPr="00D94145" w:rsidRDefault="00D94145" w:rsidP="00D94145">
      <w:pPr>
        <w:pStyle w:val="ListBullet"/>
      </w:pPr>
      <w:r w:rsidRPr="00D94145">
        <w:t xml:space="preserve">It is also noted that human systemic exposure to </w:t>
      </w:r>
      <w:proofErr w:type="spellStart"/>
      <w:r w:rsidRPr="00D94145">
        <w:t>fentanyl</w:t>
      </w:r>
      <w:proofErr w:type="spellEnd"/>
      <w:r w:rsidRPr="00D94145">
        <w:t xml:space="preserve"> from </w:t>
      </w:r>
      <w:proofErr w:type="spellStart"/>
      <w:r w:rsidRPr="00D94145">
        <w:t>Instanyl</w:t>
      </w:r>
      <w:proofErr w:type="spellEnd"/>
      <w:r w:rsidRPr="00D94145">
        <w:t xml:space="preserve"> administration is not dissimilar to that resulting from clinical doses of other registered </w:t>
      </w:r>
      <w:proofErr w:type="spellStart"/>
      <w:r w:rsidRPr="00D94145">
        <w:t>fentanyl</w:t>
      </w:r>
      <w:proofErr w:type="spellEnd"/>
      <w:r w:rsidRPr="00D94145">
        <w:t xml:space="preserve"> product</w:t>
      </w:r>
      <w:r w:rsidR="00801138">
        <w:t>s used for similar indications.</w:t>
      </w:r>
    </w:p>
    <w:p w:rsidR="00D94145" w:rsidRPr="00D94145" w:rsidRDefault="00D94145" w:rsidP="00D94145">
      <w:pPr>
        <w:pStyle w:val="ListBullet"/>
      </w:pPr>
      <w:proofErr w:type="spellStart"/>
      <w:r w:rsidRPr="00D94145">
        <w:lastRenderedPageBreak/>
        <w:t>Instanyl</w:t>
      </w:r>
      <w:proofErr w:type="spellEnd"/>
      <w:r w:rsidRPr="00D94145">
        <w:t xml:space="preserve"> does not indicate a particular risk for local toxicity with clinical use on the basis of the nonclinical studies, in which </w:t>
      </w:r>
      <w:proofErr w:type="spellStart"/>
      <w:r w:rsidRPr="00D94145">
        <w:t>Instanyl</w:t>
      </w:r>
      <w:proofErr w:type="spellEnd"/>
      <w:r w:rsidRPr="00D94145">
        <w:t xml:space="preserve"> was administered to animals by the intended clinical route using the actuator device used in humans. Acceptable local tolerance with clinical/long term use will still require confirmation from assessment of the clinical studies.</w:t>
      </w:r>
    </w:p>
    <w:p w:rsidR="00D94145" w:rsidRPr="00D94145" w:rsidRDefault="00D94145" w:rsidP="00D94145">
      <w:pPr>
        <w:pStyle w:val="ListBullet"/>
      </w:pPr>
      <w:r w:rsidRPr="00D94145">
        <w:t xml:space="preserve">The established use of </w:t>
      </w:r>
      <w:proofErr w:type="spellStart"/>
      <w:r w:rsidRPr="00D94145">
        <w:t>fentanyl</w:t>
      </w:r>
      <w:proofErr w:type="spellEnd"/>
      <w:r w:rsidRPr="00D94145">
        <w:t xml:space="preserve"> citrate in clinical practice by various methods of delivery provides assurance on the expected clin</w:t>
      </w:r>
      <w:r w:rsidR="00F5581F">
        <w:t xml:space="preserve">ical outcomes of using </w:t>
      </w:r>
      <w:proofErr w:type="spellStart"/>
      <w:r w:rsidR="00F5581F">
        <w:t>Instanyl</w:t>
      </w:r>
      <w:proofErr w:type="spellEnd"/>
      <w:r w:rsidRPr="00D94145">
        <w:t>.</w:t>
      </w:r>
    </w:p>
    <w:p w:rsidR="008E7846" w:rsidRPr="00254787" w:rsidRDefault="008E7846" w:rsidP="008E7846">
      <w:pPr>
        <w:pStyle w:val="Heading2"/>
      </w:pPr>
      <w:bookmarkStart w:id="54" w:name="_Toc196046462"/>
      <w:bookmarkStart w:id="55" w:name="_Toc247691516"/>
      <w:bookmarkStart w:id="56" w:name="_Toc314842500"/>
      <w:bookmarkStart w:id="57" w:name="_Toc366842960"/>
      <w:bookmarkStart w:id="58" w:name="_Toc163441353"/>
      <w:bookmarkStart w:id="59" w:name="_Toc163441348"/>
      <w:r>
        <w:t xml:space="preserve">IV. </w:t>
      </w:r>
      <w:r w:rsidRPr="00254787">
        <w:t>Clinical</w:t>
      </w:r>
      <w:bookmarkEnd w:id="54"/>
      <w:r>
        <w:t xml:space="preserve"> </w:t>
      </w:r>
      <w:r w:rsidR="003A7F6C">
        <w:t>f</w:t>
      </w:r>
      <w:r>
        <w:t>indings</w:t>
      </w:r>
      <w:bookmarkEnd w:id="55"/>
      <w:bookmarkEnd w:id="56"/>
      <w:bookmarkEnd w:id="57"/>
    </w:p>
    <w:p w:rsidR="00C80137" w:rsidRPr="00D05884" w:rsidRDefault="00C80137" w:rsidP="008E7846">
      <w:bookmarkStart w:id="60" w:name="_Toc196046463"/>
      <w:r w:rsidRPr="00D05884">
        <w:t>A summary of the clinical findings is presented in this section. Further details of these clinical findings can be found in Attachment 2.</w:t>
      </w:r>
    </w:p>
    <w:p w:rsidR="008E7846" w:rsidRDefault="008E7846" w:rsidP="008E7846">
      <w:pPr>
        <w:pStyle w:val="Heading3"/>
      </w:pPr>
      <w:bookmarkStart w:id="61" w:name="_Toc247691517"/>
      <w:bookmarkStart w:id="62" w:name="_Toc314842501"/>
      <w:bookmarkStart w:id="63" w:name="_Toc366842961"/>
      <w:r w:rsidRPr="00254787">
        <w:t>Introduction</w:t>
      </w:r>
      <w:bookmarkEnd w:id="60"/>
      <w:bookmarkEnd w:id="61"/>
      <w:bookmarkEnd w:id="62"/>
      <w:bookmarkEnd w:id="63"/>
    </w:p>
    <w:p w:rsidR="00F3101C" w:rsidRDefault="00F3101C" w:rsidP="00F3101C">
      <w:r>
        <w:t>The clinical dossier documented a full clinical development program of pharmacology, efficacy and safety studies. In addition a number of publications are included.</w:t>
      </w:r>
    </w:p>
    <w:p w:rsidR="00F3101C" w:rsidRDefault="00F3101C" w:rsidP="00F3101C">
      <w:pPr>
        <w:jc w:val="both"/>
      </w:pPr>
      <w:r>
        <w:t>The submission contained the following clinical information:</w:t>
      </w:r>
    </w:p>
    <w:p w:rsidR="00F3101C" w:rsidRDefault="00F3101C" w:rsidP="00F3101C">
      <w:pPr>
        <w:pStyle w:val="ListBullet"/>
      </w:pPr>
      <w:r>
        <w:t>10 clinical pharmacology studies, including 10 that provided pharmacokinetic data and 0 tha</w:t>
      </w:r>
      <w:r w:rsidR="004132A1">
        <w:t xml:space="preserve">t provided </w:t>
      </w:r>
      <w:proofErr w:type="spellStart"/>
      <w:r w:rsidR="004132A1">
        <w:t>pharmacodynamic</w:t>
      </w:r>
      <w:proofErr w:type="spellEnd"/>
      <w:r w:rsidR="004132A1">
        <w:t xml:space="preserve"> data</w:t>
      </w:r>
      <w:r w:rsidR="004440F7">
        <w:t>;</w:t>
      </w:r>
    </w:p>
    <w:p w:rsidR="00F3101C" w:rsidRDefault="00F3101C" w:rsidP="00F3101C">
      <w:pPr>
        <w:pStyle w:val="ListBullet"/>
      </w:pPr>
      <w:r>
        <w:t>2 p</w:t>
      </w:r>
      <w:r w:rsidR="004132A1">
        <w:t>ivotal efficacy/safety studies</w:t>
      </w:r>
      <w:r w:rsidR="004440F7">
        <w:t>;</w:t>
      </w:r>
    </w:p>
    <w:p w:rsidR="00F3101C" w:rsidRPr="006A08A1" w:rsidRDefault="00F3101C" w:rsidP="00F3101C">
      <w:pPr>
        <w:pStyle w:val="ListBullet"/>
      </w:pPr>
      <w:r>
        <w:t xml:space="preserve">2 other </w:t>
      </w:r>
      <w:r w:rsidR="004132A1">
        <w:t>efficacy/safety studies</w:t>
      </w:r>
      <w:r w:rsidR="004440F7">
        <w:t>;</w:t>
      </w:r>
    </w:p>
    <w:p w:rsidR="00F3101C" w:rsidRDefault="00F3101C" w:rsidP="00F3101C">
      <w:pPr>
        <w:pStyle w:val="ListBullet"/>
      </w:pPr>
      <w:r>
        <w:t>5</w:t>
      </w:r>
      <w:r w:rsidRPr="006A08A1">
        <w:t xml:space="preserve"> </w:t>
      </w:r>
      <w:r w:rsidR="0017034A" w:rsidRPr="0017034A">
        <w:t xml:space="preserve">Periodic Safety Update Reports </w:t>
      </w:r>
      <w:r w:rsidR="0017034A">
        <w:t>(</w:t>
      </w:r>
      <w:r w:rsidRPr="006A08A1">
        <w:t>PSURs</w:t>
      </w:r>
      <w:r w:rsidR="0017034A">
        <w:t>)</w:t>
      </w:r>
      <w:r>
        <w:t xml:space="preserve"> covering the period April 2009 to October 2011</w:t>
      </w:r>
      <w:r w:rsidR="004440F7">
        <w:t>;</w:t>
      </w:r>
    </w:p>
    <w:p w:rsidR="00F3101C" w:rsidRDefault="00F3101C" w:rsidP="00F3101C">
      <w:pPr>
        <w:pStyle w:val="ListBullet"/>
      </w:pPr>
      <w:r>
        <w:t xml:space="preserve">33 publications supporting </w:t>
      </w:r>
      <w:r w:rsidR="00FB6B4F">
        <w:t>pharmacokinetic</w:t>
      </w:r>
      <w:r>
        <w:t xml:space="preserve"> data of </w:t>
      </w:r>
      <w:proofErr w:type="spellStart"/>
      <w:r w:rsidR="004440F7">
        <w:t>Fentanyl</w:t>
      </w:r>
      <w:proofErr w:type="spellEnd"/>
      <w:r w:rsidR="004440F7">
        <w:t>;</w:t>
      </w:r>
    </w:p>
    <w:p w:rsidR="00F3101C" w:rsidRDefault="00F3101C" w:rsidP="00F3101C">
      <w:pPr>
        <w:pStyle w:val="ListBullet"/>
      </w:pPr>
      <w:r>
        <w:t>4 publications supporting intra</w:t>
      </w:r>
      <w:r w:rsidR="002D2354">
        <w:t>nasal FNS</w:t>
      </w:r>
      <w:r>
        <w:t xml:space="preserve"> for </w:t>
      </w:r>
      <w:r w:rsidR="00067DB9">
        <w:t>BTP</w:t>
      </w:r>
      <w:r>
        <w:t xml:space="preserve"> (but using different formulations)</w:t>
      </w:r>
      <w:r w:rsidR="004440F7">
        <w:t>;</w:t>
      </w:r>
    </w:p>
    <w:p w:rsidR="00F3101C" w:rsidRDefault="00F3101C" w:rsidP="00F3101C">
      <w:pPr>
        <w:pStyle w:val="ListBullet"/>
      </w:pPr>
      <w:r>
        <w:t xml:space="preserve">18 publications supporting intranasal </w:t>
      </w:r>
      <w:r w:rsidR="002D2354">
        <w:t>FNS</w:t>
      </w:r>
      <w:r>
        <w:t xml:space="preserve"> for other indications (post operative pain: 9; burns: 3; acute pain: 5, prostate surgery:1)</w:t>
      </w:r>
      <w:r w:rsidR="004440F7">
        <w:t>;</w:t>
      </w:r>
    </w:p>
    <w:p w:rsidR="00F3101C" w:rsidRDefault="00F3101C" w:rsidP="00F3101C">
      <w:pPr>
        <w:pStyle w:val="ListBullet"/>
      </w:pPr>
      <w:r>
        <w:t xml:space="preserve">17 publications supporting the use of </w:t>
      </w:r>
      <w:r w:rsidR="004071C4">
        <w:t>o</w:t>
      </w:r>
      <w:r w:rsidR="003F36E4" w:rsidRPr="003F36E4">
        <w:t xml:space="preserve">ral </w:t>
      </w:r>
      <w:proofErr w:type="spellStart"/>
      <w:r w:rsidR="003F36E4" w:rsidRPr="003F36E4">
        <w:t>transmucosal</w:t>
      </w:r>
      <w:proofErr w:type="spellEnd"/>
      <w:r w:rsidR="003F36E4" w:rsidRPr="003F36E4">
        <w:t xml:space="preserve"> </w:t>
      </w:r>
      <w:proofErr w:type="spellStart"/>
      <w:r w:rsidR="003F36E4" w:rsidRPr="003F36E4">
        <w:t>fentanyl</w:t>
      </w:r>
      <w:proofErr w:type="spellEnd"/>
      <w:r w:rsidR="003F36E4" w:rsidRPr="003F36E4">
        <w:t xml:space="preserve"> citrate</w:t>
      </w:r>
      <w:r>
        <w:t xml:space="preserve"> in </w:t>
      </w:r>
      <w:r w:rsidR="00067DB9">
        <w:t>BTP</w:t>
      </w:r>
      <w:r>
        <w:t>, post</w:t>
      </w:r>
      <w:r w:rsidR="007C643C">
        <w:t xml:space="preserve"> </w:t>
      </w:r>
      <w:r>
        <w:t>operative pain, burns and other acute pain</w:t>
      </w:r>
      <w:r w:rsidR="004440F7">
        <w:t>;</w:t>
      </w:r>
    </w:p>
    <w:p w:rsidR="00F3101C" w:rsidRPr="006A08A1" w:rsidRDefault="00F3101C" w:rsidP="00F3101C">
      <w:pPr>
        <w:pStyle w:val="ListBullet"/>
      </w:pPr>
      <w:r>
        <w:t xml:space="preserve">6 publications supporting the use of </w:t>
      </w:r>
      <w:proofErr w:type="spellStart"/>
      <w:r>
        <w:t>fentanyl</w:t>
      </w:r>
      <w:proofErr w:type="spellEnd"/>
      <w:r>
        <w:t xml:space="preserve"> via other routes for other indications.</w:t>
      </w:r>
    </w:p>
    <w:p w:rsidR="008E7846" w:rsidRPr="00254787" w:rsidRDefault="008E7846" w:rsidP="008E7846">
      <w:pPr>
        <w:pStyle w:val="Heading3"/>
      </w:pPr>
      <w:bookmarkStart w:id="64" w:name="_Toc196046464"/>
      <w:bookmarkStart w:id="65" w:name="_Toc247691518"/>
      <w:bookmarkStart w:id="66" w:name="_Toc314842502"/>
      <w:bookmarkStart w:id="67" w:name="_Toc366842962"/>
      <w:r w:rsidRPr="00254787">
        <w:t>Pharmacokinetics</w:t>
      </w:r>
      <w:bookmarkEnd w:id="58"/>
      <w:bookmarkEnd w:id="64"/>
      <w:bookmarkEnd w:id="65"/>
      <w:bookmarkEnd w:id="66"/>
      <w:bookmarkEnd w:id="67"/>
    </w:p>
    <w:p w:rsidR="00F3101C" w:rsidRDefault="00F3101C" w:rsidP="00F3101C">
      <w:pPr>
        <w:pStyle w:val="Heading4"/>
      </w:pPr>
      <w:bookmarkStart w:id="68" w:name="_Toc241374296"/>
      <w:bookmarkStart w:id="69" w:name="_Ref269982040"/>
      <w:bookmarkStart w:id="70" w:name="_Ref271018704"/>
      <w:bookmarkStart w:id="71" w:name="_Ref271018755"/>
      <w:bookmarkStart w:id="72" w:name="_Toc272414635"/>
      <w:bookmarkStart w:id="73" w:name="_Toc290846258"/>
      <w:bookmarkStart w:id="74" w:name="_Toc343436919"/>
      <w:r>
        <w:t>Evaluator’s overall conclusions on pharmacokinetics</w:t>
      </w:r>
      <w:bookmarkEnd w:id="68"/>
      <w:bookmarkEnd w:id="69"/>
      <w:bookmarkEnd w:id="70"/>
      <w:bookmarkEnd w:id="71"/>
      <w:bookmarkEnd w:id="72"/>
      <w:bookmarkEnd w:id="73"/>
      <w:bookmarkEnd w:id="74"/>
    </w:p>
    <w:p w:rsidR="00F3101C" w:rsidRPr="00F3101C" w:rsidRDefault="004132A1" w:rsidP="00F3101C">
      <w:r>
        <w:t>Most (7/9) of the pharmacokinetic</w:t>
      </w:r>
      <w:r w:rsidR="00F3101C" w:rsidRPr="00F3101C">
        <w:t xml:space="preserve"> studies were conducted at the same site by the same investigator and were open label. All studies by this investigator estimated sample size on the basis of “clinical judgement” rather than formal statistical calculation. In several cases this led to less than adequate numbers and comments that caution must be used due to low numbers. This is less than satisfactory especially given the large number of studies conducted.</w:t>
      </w:r>
    </w:p>
    <w:p w:rsidR="00F3101C" w:rsidRPr="00F3101C" w:rsidRDefault="00F3101C" w:rsidP="00F3101C">
      <w:r w:rsidRPr="00F3101C">
        <w:t xml:space="preserve">With this reservation aside the pharmacokinetics are consistent among the trials and demonstrate that both the plasma AUC and the </w:t>
      </w:r>
      <w:proofErr w:type="spellStart"/>
      <w:r w:rsidRPr="00F3101C">
        <w:t>C</w:t>
      </w:r>
      <w:r w:rsidRPr="004E1548">
        <w:rPr>
          <w:vertAlign w:val="subscript"/>
        </w:rPr>
        <w:t>max</w:t>
      </w:r>
      <w:proofErr w:type="spellEnd"/>
      <w:r w:rsidRPr="00F3101C">
        <w:t xml:space="preserve"> of </w:t>
      </w:r>
      <w:r w:rsidR="002D2354">
        <w:t>FNS</w:t>
      </w:r>
      <w:r w:rsidRPr="00F3101C">
        <w:t xml:space="preserve"> increase linearly, or very close to, with dosage. Comparable results for AUC</w:t>
      </w:r>
      <w:r w:rsidRPr="00A53D3B">
        <w:rPr>
          <w:vertAlign w:val="subscript"/>
        </w:rPr>
        <w:t>0-</w:t>
      </w:r>
      <w:r w:rsidR="00A53D3B">
        <w:rPr>
          <w:vertAlign w:val="subscript"/>
        </w:rPr>
        <w:t>∞</w:t>
      </w:r>
      <w:r w:rsidRPr="00F3101C">
        <w:t xml:space="preserve"> </w:t>
      </w:r>
      <w:r w:rsidR="00C45851">
        <w:t>(</w:t>
      </w:r>
      <w:r w:rsidR="0009725C">
        <w:t>a</w:t>
      </w:r>
      <w:r w:rsidR="0009725C" w:rsidRPr="0009725C">
        <w:t>rea under the plasma concentration-time curve from</w:t>
      </w:r>
      <w:r w:rsidR="0009725C">
        <w:t xml:space="preserve"> </w:t>
      </w:r>
      <w:r w:rsidR="0009725C" w:rsidRPr="0009725C">
        <w:t>time zero to infinity</w:t>
      </w:r>
      <w:r w:rsidR="00C45851">
        <w:t xml:space="preserve">) </w:t>
      </w:r>
      <w:r w:rsidRPr="00F3101C">
        <w:t xml:space="preserve">and </w:t>
      </w:r>
      <w:proofErr w:type="spellStart"/>
      <w:r w:rsidRPr="00F3101C">
        <w:t>C</w:t>
      </w:r>
      <w:r w:rsidRPr="004E1548">
        <w:rPr>
          <w:vertAlign w:val="subscript"/>
        </w:rPr>
        <w:t>max</w:t>
      </w:r>
      <w:proofErr w:type="spellEnd"/>
      <w:r w:rsidRPr="00F3101C">
        <w:t xml:space="preserve"> were observed between the single dose and </w:t>
      </w:r>
      <w:r w:rsidRPr="00F3101C">
        <w:lastRenderedPageBreak/>
        <w:t xml:space="preserve">multi dose delivery systems and the </w:t>
      </w:r>
      <w:r w:rsidR="004071C4">
        <w:t>pharmacokinetic</w:t>
      </w:r>
      <w:r w:rsidRPr="00F3101C">
        <w:t xml:space="preserve"> parameters did not differ substantially in </w:t>
      </w:r>
      <w:proofErr w:type="spellStart"/>
      <w:r w:rsidRPr="00F3101C">
        <w:t>opioid</w:t>
      </w:r>
      <w:proofErr w:type="spellEnd"/>
      <w:r w:rsidRPr="00F3101C">
        <w:t xml:space="preserve"> naive patients and in cancer patients with </w:t>
      </w:r>
      <w:r w:rsidR="00067DB9">
        <w:t>BTP</w:t>
      </w:r>
      <w:r w:rsidRPr="00F3101C">
        <w:t xml:space="preserve"> or in patients with the common cold or with allergic rhinitis.</w:t>
      </w:r>
    </w:p>
    <w:p w:rsidR="008E7846" w:rsidRDefault="008E7846" w:rsidP="008E7846">
      <w:pPr>
        <w:pStyle w:val="Heading3"/>
      </w:pPr>
      <w:bookmarkStart w:id="75" w:name="_Toc196046481"/>
      <w:bookmarkStart w:id="76" w:name="_Toc247691520"/>
      <w:bookmarkStart w:id="77" w:name="_Toc314842503"/>
      <w:bookmarkStart w:id="78" w:name="_Toc366842963"/>
      <w:proofErr w:type="spellStart"/>
      <w:r w:rsidRPr="00254787">
        <w:t>Pharmacodynamics</w:t>
      </w:r>
      <w:bookmarkEnd w:id="59"/>
      <w:bookmarkEnd w:id="75"/>
      <w:bookmarkEnd w:id="76"/>
      <w:bookmarkEnd w:id="77"/>
      <w:bookmarkEnd w:id="78"/>
      <w:proofErr w:type="spellEnd"/>
    </w:p>
    <w:p w:rsidR="00975440" w:rsidRDefault="00975440" w:rsidP="00975440">
      <w:r>
        <w:t xml:space="preserve">No new information was provided in the submission. The intended use of the product is well within the known </w:t>
      </w:r>
      <w:proofErr w:type="spellStart"/>
      <w:r>
        <w:t>pharmacodynamics</w:t>
      </w:r>
      <w:proofErr w:type="spellEnd"/>
      <w:r>
        <w:t xml:space="preserve"> of </w:t>
      </w:r>
      <w:proofErr w:type="spellStart"/>
      <w:r>
        <w:t>fentanyl</w:t>
      </w:r>
      <w:proofErr w:type="spellEnd"/>
      <w:r>
        <w:t>.</w:t>
      </w:r>
    </w:p>
    <w:p w:rsidR="008E7846" w:rsidRPr="00254787" w:rsidRDefault="008E7846" w:rsidP="008E7846">
      <w:pPr>
        <w:pStyle w:val="Heading3"/>
      </w:pPr>
      <w:bookmarkStart w:id="79" w:name="_Toc163441372"/>
      <w:bookmarkStart w:id="80" w:name="_Toc196046485"/>
      <w:bookmarkStart w:id="81" w:name="_Toc247691521"/>
      <w:bookmarkStart w:id="82" w:name="_Toc314842504"/>
      <w:bookmarkStart w:id="83" w:name="_Toc366842964"/>
      <w:r w:rsidRPr="00254787">
        <w:t>Efficacy</w:t>
      </w:r>
      <w:bookmarkEnd w:id="79"/>
      <w:bookmarkEnd w:id="80"/>
      <w:bookmarkEnd w:id="81"/>
      <w:bookmarkEnd w:id="82"/>
      <w:bookmarkEnd w:id="83"/>
    </w:p>
    <w:p w:rsidR="00E02B81" w:rsidRPr="00E02B81" w:rsidRDefault="00E02B81" w:rsidP="00E02B81">
      <w:pPr>
        <w:pStyle w:val="Heading4"/>
      </w:pPr>
      <w:bookmarkStart w:id="84" w:name="_Ref271126605"/>
      <w:bookmarkStart w:id="85" w:name="_Toc272414657"/>
      <w:bookmarkStart w:id="86" w:name="_Toc290846282"/>
      <w:bookmarkStart w:id="87" w:name="_Toc343436938"/>
      <w:bookmarkStart w:id="88" w:name="_Toc184439992"/>
      <w:bookmarkStart w:id="89" w:name="_Toc184440279"/>
      <w:bookmarkStart w:id="90" w:name="_Toc184444657"/>
      <w:bookmarkStart w:id="91" w:name="_Toc196046487"/>
      <w:r w:rsidRPr="00E02B81">
        <w:t xml:space="preserve">Evaluator’s conclusions on clinical efficacy for </w:t>
      </w:r>
      <w:bookmarkEnd w:id="84"/>
      <w:bookmarkEnd w:id="85"/>
      <w:bookmarkEnd w:id="86"/>
      <w:bookmarkEnd w:id="87"/>
      <w:r w:rsidR="00067DB9">
        <w:t>BTP</w:t>
      </w:r>
    </w:p>
    <w:p w:rsidR="00E02B81" w:rsidRPr="00E02B81" w:rsidRDefault="00E02B81" w:rsidP="00E02B81">
      <w:r w:rsidRPr="00E02B81">
        <w:t>The main problem with the clinical data is the concern over the conduct of the stu</w:t>
      </w:r>
      <w:r w:rsidR="004C0005">
        <w:t>dies and the compliance with Good Clinical Practice (GCP)</w:t>
      </w:r>
      <w:r w:rsidRPr="00E02B81">
        <w:t xml:space="preserve">. </w:t>
      </w:r>
      <w:r w:rsidR="00EB6915">
        <w:t>The</w:t>
      </w:r>
      <w:r w:rsidRPr="00E02B81">
        <w:t xml:space="preserve"> issues raised by the </w:t>
      </w:r>
      <w:r w:rsidR="004E1548">
        <w:t>European Medicines Agency (</w:t>
      </w:r>
      <w:r w:rsidRPr="00E02B81">
        <w:t>EMA</w:t>
      </w:r>
      <w:r w:rsidR="004E1548">
        <w:t>)</w:t>
      </w:r>
      <w:r w:rsidRPr="00E02B81">
        <w:t xml:space="preserve"> inspection team are critical and raise serious doubt about the acceptance of the data.</w:t>
      </w:r>
      <w:r w:rsidR="00166D7D">
        <w:rPr>
          <w:rStyle w:val="FootnoteReference"/>
        </w:rPr>
        <w:footnoteReference w:id="13"/>
      </w:r>
    </w:p>
    <w:p w:rsidR="00E02B81" w:rsidRPr="00E02B81" w:rsidRDefault="00E02B81" w:rsidP="00E02B81">
      <w:r w:rsidRPr="00E640DF">
        <w:t xml:space="preserve">Even if the issues of GCP </w:t>
      </w:r>
      <w:r w:rsidR="00B74362" w:rsidRPr="00E640DF">
        <w:t>were to be put aside</w:t>
      </w:r>
      <w:r w:rsidRPr="00E640DF">
        <w:t xml:space="preserve"> (as was done in Europe)</w:t>
      </w:r>
      <w:r w:rsidR="002E0B5D" w:rsidRPr="00E640DF">
        <w:t>,</w:t>
      </w:r>
      <w:r w:rsidRPr="00E02B81">
        <w:t xml:space="preserve"> there are major concerns about the quality of the clinical studies. The company stated th</w:t>
      </w:r>
      <w:r w:rsidR="00500411">
        <w:t>at the clinical data comprised two pivotal studies and two</w:t>
      </w:r>
      <w:r w:rsidRPr="00E02B81">
        <w:t xml:space="preserve"> supportive studies. The two pivotal studies are not independent studies</w:t>
      </w:r>
      <w:r w:rsidR="00B742EF">
        <w:t>. The independence of a study</w:t>
      </w:r>
      <w:r w:rsidRPr="00E02B81">
        <w:t xml:space="preserve"> is generally regarded as one of the criteria for being classified as pivotal. </w:t>
      </w:r>
      <w:r w:rsidR="00E3403A">
        <w:t>However, t</w:t>
      </w:r>
      <w:r w:rsidRPr="00E02B81">
        <w:t xml:space="preserve">he second </w:t>
      </w:r>
      <w:r w:rsidR="002E0B5D">
        <w:t>S</w:t>
      </w:r>
      <w:r w:rsidRPr="00E02B81">
        <w:t xml:space="preserve">tudy FT-018-IM is not independent of the first pivotal </w:t>
      </w:r>
      <w:r w:rsidR="007B287A">
        <w:t>S</w:t>
      </w:r>
      <w:r w:rsidRPr="00E02B81">
        <w:t>tudy FT-017-IM. The same centres and investigators have been used and the entry criteria for Study FT-018-IM included that patients had participated in either Study FT-016-IM (PK study) or FT-017-IM. Study FT 018-IM is simply a replicate of Study FT-017-IM with the same patients.</w:t>
      </w:r>
      <w:r w:rsidR="006114B9">
        <w:rPr>
          <w:rStyle w:val="FootnoteReference"/>
        </w:rPr>
        <w:footnoteReference w:id="14"/>
      </w:r>
      <w:r w:rsidRPr="00E02B81">
        <w:t xml:space="preserve"> Study FT-017-IM could be considered </w:t>
      </w:r>
      <w:r w:rsidR="00784E4F">
        <w:t>a</w:t>
      </w:r>
      <w:r w:rsidR="003A567F">
        <w:t xml:space="preserve"> dose-</w:t>
      </w:r>
      <w:r w:rsidR="00784E4F">
        <w:t>response</w:t>
      </w:r>
      <w:r w:rsidRPr="00E02B81">
        <w:t xml:space="preserve"> study which was then used in Study FT-018-IM to test against placebo. Given the alternative therapies available</w:t>
      </w:r>
      <w:r w:rsidR="00D7106A">
        <w:t>,</w:t>
      </w:r>
      <w:r w:rsidRPr="00E02B81">
        <w:t xml:space="preserve"> a pivotal study rather than a supportive study against an active comparator was possible.</w:t>
      </w:r>
    </w:p>
    <w:p w:rsidR="00E02B81" w:rsidRDefault="00E02B81" w:rsidP="00E02B81">
      <w:r w:rsidRPr="00E02B81">
        <w:t xml:space="preserve">The company therefore has only one pivotal study. TGA have adopted the </w:t>
      </w:r>
      <w:r w:rsidR="00D7106A">
        <w:t>relevant guideline published by the EMA;</w:t>
      </w:r>
      <w:r w:rsidR="0081509C">
        <w:rPr>
          <w:rStyle w:val="FootnoteReference"/>
        </w:rPr>
        <w:footnoteReference w:id="15"/>
      </w:r>
      <w:r w:rsidR="00D7106A">
        <w:t xml:space="preserve"> t</w:t>
      </w:r>
      <w:r>
        <w:t>o quote from this guideline:</w:t>
      </w:r>
    </w:p>
    <w:p w:rsidR="00E02B81" w:rsidRPr="00E02B81" w:rsidRDefault="00E02B81" w:rsidP="00E02B81">
      <w:pPr>
        <w:ind w:left="720"/>
        <w:rPr>
          <w:i/>
        </w:rPr>
      </w:pPr>
      <w:r w:rsidRPr="00E02B81">
        <w:rPr>
          <w:i/>
        </w:rPr>
        <w:t>“the fundamental requirement of the Phase III documentation is that it consists of adequate and well-controlled data of good quality from a sufficient number of patients, with a sufficient variety of symptoms and disease conditions, collected by a sufficient number of investigators, demonstrating a positive benefit/risk in the intended population at the intende</w:t>
      </w:r>
      <w:r>
        <w:rPr>
          <w:i/>
        </w:rPr>
        <w:t>d dose and manner of use ...</w:t>
      </w:r>
      <w:r w:rsidRPr="00E02B81">
        <w:rPr>
          <w:i/>
        </w:rPr>
        <w:t xml:space="preserve"> The minimum requirement is generally one controlled study with statistically compelling and clinically relevant results.”</w:t>
      </w:r>
    </w:p>
    <w:p w:rsidR="00801138" w:rsidRDefault="00E02B81" w:rsidP="00801138">
      <w:r w:rsidRPr="00E02B81">
        <w:t>This data package does not meet this standard. The</w:t>
      </w:r>
      <w:r w:rsidR="00D05884">
        <w:t xml:space="preserve">re are concerns about the quality of the data </w:t>
      </w:r>
      <w:r w:rsidR="00D05884" w:rsidRPr="00E02B81">
        <w:t>(this was not submitted in Europe)</w:t>
      </w:r>
      <w:r w:rsidR="00D05884">
        <w:t xml:space="preserve"> in the </w:t>
      </w:r>
      <w:r w:rsidRPr="00E02B81">
        <w:t xml:space="preserve">supporting </w:t>
      </w:r>
      <w:r>
        <w:t>S</w:t>
      </w:r>
      <w:r w:rsidRPr="00E02B81">
        <w:t xml:space="preserve">tudy FT-019-IM and the other supporting </w:t>
      </w:r>
      <w:r>
        <w:t>S</w:t>
      </w:r>
      <w:r w:rsidRPr="00E02B81">
        <w:t>tudy FT-003-IN/FT-011-IN does not contain sufficient patients to provide any real evidence of efficacy.</w:t>
      </w:r>
      <w:r w:rsidR="00801138">
        <w:br w:type="page"/>
      </w:r>
    </w:p>
    <w:p w:rsidR="00E02B81" w:rsidRPr="00E02B81" w:rsidRDefault="00E02B81" w:rsidP="00E02B81">
      <w:r w:rsidRPr="00E02B81">
        <w:lastRenderedPageBreak/>
        <w:t>Therefore</w:t>
      </w:r>
      <w:r w:rsidR="003A567F">
        <w:t>,</w:t>
      </w:r>
      <w:r w:rsidRPr="00E02B81">
        <w:t xml:space="preserve"> the c</w:t>
      </w:r>
      <w:r w:rsidR="00801138">
        <w:t>oncerns about the efficacy are:</w:t>
      </w:r>
    </w:p>
    <w:p w:rsidR="00E02B81" w:rsidRPr="00E02B81" w:rsidRDefault="00252684" w:rsidP="00E32E94">
      <w:pPr>
        <w:pStyle w:val="ListBullet"/>
      </w:pPr>
      <w:r>
        <w:t>concerns over GCP:</w:t>
      </w:r>
      <w:r w:rsidR="00E02B81" w:rsidRPr="00E02B81">
        <w:t xml:space="preserve"> the main studies submitted were found to be unreliable on GCP inspection</w:t>
      </w:r>
      <w:r w:rsidR="004440F7">
        <w:t>;</w:t>
      </w:r>
    </w:p>
    <w:p w:rsidR="00E02B81" w:rsidRPr="00E02B81" w:rsidRDefault="00E02B81" w:rsidP="00E32E94">
      <w:pPr>
        <w:pStyle w:val="ListBullet"/>
      </w:pPr>
      <w:r w:rsidRPr="00E02B81">
        <w:t>Failure to comply with the relevant adopted guidelines:</w:t>
      </w:r>
    </w:p>
    <w:p w:rsidR="00E02B81" w:rsidRPr="00E02B81" w:rsidRDefault="00E02B81" w:rsidP="00E32E94">
      <w:pPr>
        <w:pStyle w:val="ListBullet2"/>
      </w:pPr>
      <w:r w:rsidRPr="00E02B81">
        <w:t>GCP</w:t>
      </w:r>
    </w:p>
    <w:p w:rsidR="00E02B81" w:rsidRPr="00E02B81" w:rsidRDefault="00E02B81" w:rsidP="00F0011A">
      <w:pPr>
        <w:pStyle w:val="ListBullet"/>
        <w:keepNext/>
      </w:pPr>
      <w:r w:rsidRPr="00F21788">
        <w:t>Small number of patients in the submission compared to other submissions for similar products</w:t>
      </w:r>
      <w:proofErr w:type="gramStart"/>
      <w:r w:rsidR="004440F7" w:rsidRPr="00F21788">
        <w:t>;</w:t>
      </w:r>
      <w:proofErr w:type="gramEnd"/>
      <w:r w:rsidR="003C629E" w:rsidRPr="00F21788" w:rsidDel="003C629E">
        <w:rPr>
          <w:rStyle w:val="FootnoteReference"/>
        </w:rPr>
        <w:t xml:space="preserve"> </w:t>
      </w:r>
      <w:r w:rsidRPr="00F21788">
        <w:t xml:space="preserve">The decision to remove site X but not site Y from the analysis is not explained in light of the </w:t>
      </w:r>
      <w:r w:rsidR="0033620C" w:rsidRPr="00F21788">
        <w:t>Committee for Medicinal Products for Human Use (</w:t>
      </w:r>
      <w:r w:rsidRPr="00F21788">
        <w:t>CHMP</w:t>
      </w:r>
      <w:r w:rsidR="0033620C" w:rsidRPr="00F21788">
        <w:t>)</w:t>
      </w:r>
      <w:r w:rsidRPr="00F21788">
        <w:t xml:space="preserve"> conclusions. It appears it may h</w:t>
      </w:r>
      <w:r w:rsidRPr="00E02B81">
        <w:t>ave related more to the statistics of the studies. Site Y enrolled the largest number of patients and exclusion of this site may have invalidated the results</w:t>
      </w:r>
      <w:r w:rsidR="004440F7">
        <w:t>;</w:t>
      </w:r>
      <w:r w:rsidR="00A24C3E">
        <w:rPr>
          <w:rStyle w:val="FootnoteReference"/>
        </w:rPr>
        <w:footnoteReference w:id="16"/>
      </w:r>
    </w:p>
    <w:p w:rsidR="00E02B81" w:rsidRPr="00E02B81" w:rsidRDefault="00E02B81" w:rsidP="00E32E94">
      <w:pPr>
        <w:pStyle w:val="ListBullet"/>
      </w:pPr>
      <w:r w:rsidRPr="00E02B81">
        <w:t>Use of same investigators in the two pivotal studies and ability of investigators to influence efficacy and safety outcomes by assisting patients in completion of efficacy and safety outcomes in the patient diary</w:t>
      </w:r>
      <w:r w:rsidR="004440F7">
        <w:t>;</w:t>
      </w:r>
    </w:p>
    <w:p w:rsidR="00E02B81" w:rsidRPr="00E02B81" w:rsidRDefault="00E02B81" w:rsidP="00E32E94">
      <w:pPr>
        <w:pStyle w:val="ListBullet"/>
      </w:pPr>
      <w:r w:rsidRPr="00E02B81">
        <w:t>The study design of Study FT-017-IM of testing different doses in each patient rather than titrating to a successful dose and then testing that dose against an accepted therapy rather than placebo would have been a more acceptable design for a pivotal study</w:t>
      </w:r>
      <w:r w:rsidR="004440F7">
        <w:t>;</w:t>
      </w:r>
    </w:p>
    <w:p w:rsidR="00E02B81" w:rsidRPr="00E02B81" w:rsidRDefault="00E02B81" w:rsidP="00E32E94">
      <w:pPr>
        <w:pStyle w:val="ListBullet"/>
      </w:pPr>
      <w:r w:rsidRPr="00E02B81">
        <w:t xml:space="preserve">Patients in the trials were able to take up to 2 doses </w:t>
      </w:r>
      <w:proofErr w:type="gramStart"/>
      <w:r w:rsidRPr="00E02B81">
        <w:t>of each dose strength</w:t>
      </w:r>
      <w:proofErr w:type="gramEnd"/>
      <w:r w:rsidRPr="00E02B81">
        <w:t xml:space="preserve">. This does not seem to have been reflected in the results when presented by dose. </w:t>
      </w:r>
      <w:r w:rsidR="00045F3F">
        <w:t>Thus some patients in the 200 µ</w:t>
      </w:r>
      <w:r w:rsidRPr="00E02B81">
        <w:t xml:space="preserve">g dose </w:t>
      </w:r>
      <w:r w:rsidR="004E1548">
        <w:t xml:space="preserve">group </w:t>
      </w:r>
      <w:r w:rsidRPr="00E02B81">
        <w:t xml:space="preserve">took 200 </w:t>
      </w:r>
      <w:proofErr w:type="spellStart"/>
      <w:r w:rsidRPr="00E02B81">
        <w:t>μg</w:t>
      </w:r>
      <w:proofErr w:type="spellEnd"/>
      <w:r w:rsidRPr="00E02B81">
        <w:t xml:space="preserve"> and some presumably took 400 </w:t>
      </w:r>
      <w:proofErr w:type="spellStart"/>
      <w:r w:rsidRPr="00E02B81">
        <w:t>μg</w:t>
      </w:r>
      <w:proofErr w:type="spellEnd"/>
      <w:r w:rsidRPr="00E02B81">
        <w:t>. It is not clear how many took what dose and how this affected the results</w:t>
      </w:r>
      <w:r w:rsidR="00703E12">
        <w:t>.</w:t>
      </w:r>
    </w:p>
    <w:p w:rsidR="008E7846" w:rsidRPr="002E238E" w:rsidRDefault="008E7846" w:rsidP="008E7846">
      <w:pPr>
        <w:pStyle w:val="Heading3"/>
      </w:pPr>
      <w:bookmarkStart w:id="92" w:name="_Toc163441378"/>
      <w:bookmarkStart w:id="93" w:name="_Toc196046495"/>
      <w:bookmarkStart w:id="94" w:name="_Toc247691522"/>
      <w:bookmarkStart w:id="95" w:name="_Toc314842505"/>
      <w:bookmarkStart w:id="96" w:name="_Toc366842965"/>
      <w:bookmarkEnd w:id="88"/>
      <w:bookmarkEnd w:id="89"/>
      <w:bookmarkEnd w:id="90"/>
      <w:bookmarkEnd w:id="91"/>
      <w:r w:rsidRPr="002E238E">
        <w:t>Safety</w:t>
      </w:r>
      <w:bookmarkEnd w:id="92"/>
      <w:bookmarkEnd w:id="93"/>
      <w:bookmarkEnd w:id="94"/>
      <w:bookmarkEnd w:id="95"/>
      <w:bookmarkEnd w:id="96"/>
    </w:p>
    <w:p w:rsidR="00B71025" w:rsidRDefault="00B71025" w:rsidP="00B71025">
      <w:pPr>
        <w:pStyle w:val="Heading4"/>
      </w:pPr>
      <w:bookmarkStart w:id="97" w:name="_Toc241374328"/>
      <w:bookmarkStart w:id="98" w:name="_Toc272414691"/>
      <w:bookmarkStart w:id="99" w:name="_Toc290846329"/>
      <w:bookmarkStart w:id="100" w:name="_Toc343436974"/>
      <w:r>
        <w:t>Evaluator’s overall conclusions on clinical safety</w:t>
      </w:r>
      <w:bookmarkEnd w:id="97"/>
      <w:bookmarkEnd w:id="98"/>
      <w:bookmarkEnd w:id="99"/>
      <w:bookmarkEnd w:id="100"/>
    </w:p>
    <w:p w:rsidR="00B71025" w:rsidRPr="00B71025" w:rsidRDefault="00B71025" w:rsidP="00B71025">
      <w:r w:rsidRPr="00B71025">
        <w:t>No routine clinical laboratory evaluations were performed as safety monitoring during the pivotal trials. Safety is therefore totally reliant on adverse event reporting and this has been shown to be less than adequat</w:t>
      </w:r>
      <w:r w:rsidR="00003F8B">
        <w:t xml:space="preserve">e in the European inspection. Adverse </w:t>
      </w:r>
      <w:r w:rsidR="00CB2C72">
        <w:t>E</w:t>
      </w:r>
      <w:r w:rsidR="00003F8B">
        <w:t>vent</w:t>
      </w:r>
      <w:r w:rsidR="001862D8">
        <w:t xml:space="preserve"> (AE)</w:t>
      </w:r>
      <w:r w:rsidRPr="00B71025">
        <w:t xml:space="preserve"> reporting was considered seriously compromised by the GCP inspection team due to:</w:t>
      </w:r>
    </w:p>
    <w:p w:rsidR="00B71025" w:rsidRPr="00B71025" w:rsidRDefault="00B71025" w:rsidP="00B71025">
      <w:pPr>
        <w:pStyle w:val="ListBullet"/>
      </w:pPr>
      <w:r w:rsidRPr="00B71025">
        <w:t>Systemic failure in the pivotal trials (FT-017-IM and FT-018-IM) due to the complete absence of space in the diary cards allocated to AE entry</w:t>
      </w:r>
      <w:r w:rsidR="00F02649">
        <w:t>;</w:t>
      </w:r>
    </w:p>
    <w:p w:rsidR="00B71025" w:rsidRPr="00B71025" w:rsidRDefault="00B71025" w:rsidP="00B71025">
      <w:pPr>
        <w:pStyle w:val="ListBullet"/>
      </w:pPr>
      <w:r w:rsidRPr="00B71025">
        <w:t>Failure of both investigators at inspected sites who were unaware of the protocol amendment requirement to report progression of the underlying disease as an adverse event</w:t>
      </w:r>
      <w:r w:rsidR="00F02649">
        <w:t>;</w:t>
      </w:r>
    </w:p>
    <w:p w:rsidR="00B71025" w:rsidRPr="00B71025" w:rsidRDefault="00B71025" w:rsidP="00B71025">
      <w:pPr>
        <w:pStyle w:val="ListBullet"/>
      </w:pPr>
      <w:r w:rsidRPr="00B71025">
        <w:t>Failure of the investigator at site Y (the highest patient recruitment) to report AEs based on the AE definition according to ICH-GCP rather than the investigator’s subjective judgement.</w:t>
      </w:r>
    </w:p>
    <w:p w:rsidR="00B71025" w:rsidRPr="00B71025" w:rsidRDefault="00B71025" w:rsidP="00B71025">
      <w:r w:rsidRPr="00B71025">
        <w:t xml:space="preserve">Re-monitoring of the sites yielded 49 additional unreported AE in Study FT-017-IM (increase by 70%) and 238 additional AEs in Study FT-018-IM (increase by 100%, doubled). These high numbers of unreported AEs raised the concern that the underreporting of AEs was not limited to the two inspected investigational sites and so the inspection team considered that even with the re-monitoring carried out by the company </w:t>
      </w:r>
      <w:r w:rsidRPr="00B71025">
        <w:lastRenderedPageBreak/>
        <w:t>on all sites the safety of the investigational product was inadequately documented and the studies could not be relied on to provide an accurate safety profile of the product.</w:t>
      </w:r>
    </w:p>
    <w:p w:rsidR="00B71025" w:rsidRPr="00B71025" w:rsidRDefault="00B71025" w:rsidP="00B71025">
      <w:r w:rsidRPr="00B71025">
        <w:t xml:space="preserve">It is unusual to rely only on </w:t>
      </w:r>
      <w:r w:rsidR="002C0D34">
        <w:t>AE</w:t>
      </w:r>
      <w:r w:rsidRPr="00B71025">
        <w:t xml:space="preserve"> monitoring for the safety profile of a product, even one using a well established substance like </w:t>
      </w:r>
      <w:proofErr w:type="spellStart"/>
      <w:r w:rsidRPr="00B71025">
        <w:t>fentanyl</w:t>
      </w:r>
      <w:proofErr w:type="spellEnd"/>
      <w:r w:rsidRPr="00B71025">
        <w:t>. The absence of any laboratory testing in the pivotal clinical studies is not considered acceptable.</w:t>
      </w:r>
    </w:p>
    <w:p w:rsidR="00B71025" w:rsidRPr="00B71025" w:rsidRDefault="00B71025" w:rsidP="00B71025">
      <w:r w:rsidRPr="00B71025">
        <w:t xml:space="preserve">While </w:t>
      </w:r>
      <w:proofErr w:type="spellStart"/>
      <w:r w:rsidRPr="00B71025">
        <w:t>fentanyl</w:t>
      </w:r>
      <w:proofErr w:type="spellEnd"/>
      <w:r w:rsidRPr="00B71025">
        <w:t xml:space="preserve"> is a well established product</w:t>
      </w:r>
      <w:r w:rsidR="00CC6E1D">
        <w:t>,</w:t>
      </w:r>
      <w:r w:rsidRPr="00B71025">
        <w:t xml:space="preserve"> overall safety of this formulation has not been proven.</w:t>
      </w:r>
    </w:p>
    <w:p w:rsidR="008E7846" w:rsidRDefault="008E7846" w:rsidP="008E7846">
      <w:pPr>
        <w:pStyle w:val="Heading3"/>
      </w:pPr>
      <w:bookmarkStart w:id="101" w:name="_Toc255919423"/>
      <w:bookmarkStart w:id="102" w:name="_Toc241374329"/>
      <w:bookmarkStart w:id="103" w:name="_Toc270320087"/>
      <w:bookmarkStart w:id="104" w:name="_Toc314842506"/>
      <w:bookmarkStart w:id="105" w:name="_Toc366842966"/>
      <w:bookmarkStart w:id="106" w:name="_Toc163441387"/>
      <w:r>
        <w:t>List of questions</w:t>
      </w:r>
      <w:bookmarkEnd w:id="101"/>
      <w:bookmarkEnd w:id="102"/>
      <w:bookmarkEnd w:id="103"/>
      <w:bookmarkEnd w:id="104"/>
      <w:bookmarkEnd w:id="105"/>
    </w:p>
    <w:p w:rsidR="004A2133" w:rsidRPr="00C11028" w:rsidRDefault="004A2133" w:rsidP="004A2133">
      <w:pPr>
        <w:pStyle w:val="Heading4"/>
      </w:pPr>
      <w:bookmarkStart w:id="107" w:name="_Ref272312341"/>
      <w:bookmarkStart w:id="108" w:name="_Toc272414700"/>
      <w:bookmarkStart w:id="109" w:name="_Toc290846340"/>
      <w:bookmarkStart w:id="110" w:name="_Toc343436985"/>
      <w:r w:rsidRPr="00C11028">
        <w:t>Additional expert input</w:t>
      </w:r>
      <w:bookmarkEnd w:id="107"/>
      <w:bookmarkEnd w:id="108"/>
      <w:bookmarkEnd w:id="109"/>
      <w:bookmarkEnd w:id="110"/>
    </w:p>
    <w:p w:rsidR="004A2133" w:rsidRPr="004A2133" w:rsidRDefault="004A2133" w:rsidP="004A2133">
      <w:r w:rsidRPr="004A2133">
        <w:t>A copy of the EMA GCP inspection report should be obtained.</w:t>
      </w:r>
    </w:p>
    <w:p w:rsidR="004A2133" w:rsidRPr="00C11028" w:rsidRDefault="004A2133" w:rsidP="004A2133">
      <w:pPr>
        <w:pStyle w:val="Heading4"/>
      </w:pPr>
      <w:bookmarkStart w:id="111" w:name="_Ref269908779"/>
      <w:bookmarkStart w:id="112" w:name="_Toc272414701"/>
      <w:bookmarkStart w:id="113" w:name="_Toc290846341"/>
      <w:bookmarkStart w:id="114" w:name="_Toc343436986"/>
      <w:r w:rsidRPr="00C11028">
        <w:t>Clinical questions</w:t>
      </w:r>
      <w:bookmarkEnd w:id="111"/>
      <w:bookmarkEnd w:id="112"/>
      <w:bookmarkEnd w:id="113"/>
      <w:bookmarkEnd w:id="114"/>
    </w:p>
    <w:p w:rsidR="004A2133" w:rsidRDefault="004A2133" w:rsidP="004A2133">
      <w:r>
        <w:t>No questions.</w:t>
      </w:r>
    </w:p>
    <w:p w:rsidR="008E7846" w:rsidRPr="006E137C" w:rsidRDefault="008E7846" w:rsidP="008E7846">
      <w:pPr>
        <w:pStyle w:val="Heading3"/>
      </w:pPr>
      <w:bookmarkStart w:id="115" w:name="_Toc247691523"/>
      <w:bookmarkStart w:id="116" w:name="_Toc314842507"/>
      <w:bookmarkStart w:id="117" w:name="_Toc366842967"/>
      <w:bookmarkStart w:id="118" w:name="_Toc184440295"/>
      <w:bookmarkStart w:id="119" w:name="_Toc184444673"/>
      <w:bookmarkStart w:id="120" w:name="_Toc196046503"/>
      <w:bookmarkEnd w:id="106"/>
      <w:r>
        <w:t>Clinical summary and conclusions</w:t>
      </w:r>
      <w:bookmarkEnd w:id="115"/>
      <w:bookmarkEnd w:id="116"/>
      <w:bookmarkEnd w:id="117"/>
    </w:p>
    <w:p w:rsidR="00BD58D3" w:rsidRDefault="00BD58D3" w:rsidP="00BD58D3">
      <w:pPr>
        <w:pStyle w:val="Heading4"/>
      </w:pPr>
      <w:bookmarkStart w:id="121" w:name="_Toc196046504"/>
      <w:bookmarkStart w:id="122" w:name="_Toc163441390"/>
      <w:bookmarkEnd w:id="118"/>
      <w:bookmarkEnd w:id="119"/>
      <w:bookmarkEnd w:id="120"/>
      <w:r>
        <w:t>First round benefit-risk assessment</w:t>
      </w:r>
    </w:p>
    <w:p w:rsidR="007A7DFE" w:rsidRDefault="007A7DFE" w:rsidP="007A7DFE">
      <w:pPr>
        <w:pStyle w:val="Heading5"/>
      </w:pPr>
      <w:bookmarkStart w:id="123" w:name="_Toc236802592"/>
      <w:bookmarkStart w:id="124" w:name="_Toc241374331"/>
      <w:bookmarkStart w:id="125" w:name="_Ref272160836"/>
      <w:bookmarkStart w:id="126" w:name="_Toc272414693"/>
      <w:bookmarkStart w:id="127" w:name="_Toc290846331"/>
      <w:bookmarkStart w:id="128" w:name="_Toc343436976"/>
      <w:r>
        <w:t>First round assessment of benefits</w:t>
      </w:r>
      <w:bookmarkEnd w:id="123"/>
      <w:bookmarkEnd w:id="124"/>
      <w:bookmarkEnd w:id="125"/>
      <w:bookmarkEnd w:id="126"/>
      <w:bookmarkEnd w:id="127"/>
      <w:bookmarkEnd w:id="128"/>
    </w:p>
    <w:p w:rsidR="007A7DFE" w:rsidRDefault="007A7DFE" w:rsidP="007A7DFE">
      <w:pPr>
        <w:jc w:val="both"/>
      </w:pPr>
      <w:r>
        <w:t xml:space="preserve">The benefits of </w:t>
      </w:r>
      <w:proofErr w:type="spellStart"/>
      <w:r>
        <w:t>Instanyl</w:t>
      </w:r>
      <w:proofErr w:type="spellEnd"/>
      <w:r>
        <w:t xml:space="preserve"> in the proposed usage are:</w:t>
      </w:r>
    </w:p>
    <w:p w:rsidR="007A7DFE" w:rsidRDefault="004C2E60" w:rsidP="007A7DFE">
      <w:pPr>
        <w:pStyle w:val="ListBullet"/>
      </w:pPr>
      <w:r>
        <w:t>Pharmacokinetics</w:t>
      </w:r>
      <w:r w:rsidR="007A7DFE">
        <w:t xml:space="preserve"> have been adequately demonstrated</w:t>
      </w:r>
      <w:r w:rsidR="000320B5">
        <w:t>;</w:t>
      </w:r>
    </w:p>
    <w:p w:rsidR="007A7DFE" w:rsidRDefault="007A7DFE" w:rsidP="007A7DFE">
      <w:pPr>
        <w:pStyle w:val="ListBullet"/>
      </w:pPr>
      <w:r>
        <w:t>Safety in healthy volunteers has been adequately demonstrated</w:t>
      </w:r>
      <w:r w:rsidR="000320B5">
        <w:t>;</w:t>
      </w:r>
    </w:p>
    <w:p w:rsidR="007A7DFE" w:rsidRDefault="004C2E60" w:rsidP="007A7DFE">
      <w:pPr>
        <w:pStyle w:val="ListBullet"/>
      </w:pPr>
      <w:r>
        <w:t>Pharmacokinetics</w:t>
      </w:r>
      <w:r w:rsidR="007A7DFE">
        <w:t xml:space="preserve"> in patients with </w:t>
      </w:r>
      <w:r w:rsidR="00067DB9">
        <w:t>BTP</w:t>
      </w:r>
      <w:r w:rsidR="007A7DFE">
        <w:t xml:space="preserve"> </w:t>
      </w:r>
      <w:proofErr w:type="gramStart"/>
      <w:r w:rsidR="007A7DFE">
        <w:t>are</w:t>
      </w:r>
      <w:proofErr w:type="gramEnd"/>
      <w:r w:rsidR="007A7DFE">
        <w:t xml:space="preserve"> similar to those in healthy volunteers</w:t>
      </w:r>
      <w:r w:rsidR="000320B5">
        <w:t>.</w:t>
      </w:r>
    </w:p>
    <w:p w:rsidR="007A7DFE" w:rsidRDefault="007A7DFE" w:rsidP="007A7DFE">
      <w:pPr>
        <w:pStyle w:val="Heading5"/>
      </w:pPr>
      <w:bookmarkStart w:id="129" w:name="_Toc236802596"/>
      <w:bookmarkStart w:id="130" w:name="_Toc241374334"/>
      <w:bookmarkStart w:id="131" w:name="_Ref272160964"/>
      <w:bookmarkStart w:id="132" w:name="_Toc272414694"/>
      <w:bookmarkStart w:id="133" w:name="_Toc290846332"/>
      <w:bookmarkStart w:id="134" w:name="_Toc343436977"/>
      <w:r>
        <w:t>First round assessment of risks</w:t>
      </w:r>
      <w:bookmarkEnd w:id="129"/>
      <w:bookmarkEnd w:id="130"/>
      <w:bookmarkEnd w:id="131"/>
      <w:bookmarkEnd w:id="132"/>
      <w:bookmarkEnd w:id="133"/>
      <w:bookmarkEnd w:id="134"/>
    </w:p>
    <w:p w:rsidR="007A7DFE" w:rsidRDefault="007A7DFE" w:rsidP="007A7DFE">
      <w:pPr>
        <w:jc w:val="both"/>
      </w:pPr>
      <w:r>
        <w:t xml:space="preserve">The risks of </w:t>
      </w:r>
      <w:proofErr w:type="spellStart"/>
      <w:r>
        <w:t>Instanyl</w:t>
      </w:r>
      <w:proofErr w:type="spellEnd"/>
      <w:r>
        <w:t xml:space="preserve"> in the proposed usage are:</w:t>
      </w:r>
    </w:p>
    <w:p w:rsidR="007A7DFE" w:rsidRDefault="007A7DFE" w:rsidP="007A7DFE">
      <w:pPr>
        <w:pStyle w:val="ListBullet"/>
      </w:pPr>
      <w:r>
        <w:t>Efficacy has not been proven in well designed and conducted clinical trials</w:t>
      </w:r>
      <w:r w:rsidR="000320B5">
        <w:t>;</w:t>
      </w:r>
    </w:p>
    <w:p w:rsidR="007A7DFE" w:rsidRDefault="007A7DFE" w:rsidP="007A7DFE">
      <w:pPr>
        <w:pStyle w:val="ListBullet"/>
      </w:pPr>
      <w:r>
        <w:t>Safety has not been proven in well designed and conducted clinical trials.</w:t>
      </w:r>
    </w:p>
    <w:p w:rsidR="007A7DFE" w:rsidRDefault="007A7DFE" w:rsidP="007A7DFE">
      <w:pPr>
        <w:pStyle w:val="Heading5"/>
      </w:pPr>
      <w:bookmarkStart w:id="135" w:name="_Toc236802597"/>
      <w:bookmarkStart w:id="136" w:name="_Toc241374335"/>
      <w:bookmarkStart w:id="137" w:name="_Toc272414695"/>
      <w:bookmarkStart w:id="138" w:name="_Toc290846333"/>
      <w:bookmarkStart w:id="139" w:name="_Toc343436978"/>
      <w:r>
        <w:t>First round assessment of benefit-risk balance</w:t>
      </w:r>
      <w:bookmarkEnd w:id="135"/>
      <w:bookmarkEnd w:id="136"/>
      <w:bookmarkEnd w:id="137"/>
      <w:bookmarkEnd w:id="138"/>
      <w:bookmarkEnd w:id="139"/>
    </w:p>
    <w:p w:rsidR="007A7DFE" w:rsidRPr="007A7DFE" w:rsidRDefault="007A7DFE" w:rsidP="007A7DFE">
      <w:r w:rsidRPr="007A7DFE">
        <w:t xml:space="preserve">The benefit-risk balance of </w:t>
      </w:r>
      <w:proofErr w:type="spellStart"/>
      <w:r w:rsidRPr="007A7DFE">
        <w:t>Instanyl</w:t>
      </w:r>
      <w:proofErr w:type="spellEnd"/>
      <w:r w:rsidRPr="007A7DFE">
        <w:t xml:space="preserve">, given the proposed usage, </w:t>
      </w:r>
      <w:r w:rsidR="004E1548">
        <w:t>was</w:t>
      </w:r>
      <w:r w:rsidRPr="007A7DFE">
        <w:t xml:space="preserve"> unfavourable.</w:t>
      </w:r>
    </w:p>
    <w:p w:rsidR="007A7DFE" w:rsidRDefault="007A7DFE" w:rsidP="007A7DFE">
      <w:pPr>
        <w:pStyle w:val="Heading4"/>
      </w:pPr>
      <w:r>
        <w:t>First round recommendation regarding authorisation</w:t>
      </w:r>
    </w:p>
    <w:p w:rsidR="00894330" w:rsidRPr="00894330" w:rsidRDefault="00894330" w:rsidP="00894330">
      <w:r w:rsidRPr="00894330">
        <w:t xml:space="preserve">Based on the clinical data presented in the </w:t>
      </w:r>
      <w:r w:rsidR="00D139B7">
        <w:t>submission</w:t>
      </w:r>
      <w:r w:rsidR="000320B5">
        <w:t>,</w:t>
      </w:r>
      <w:r w:rsidRPr="00894330">
        <w:t xml:space="preserve"> it </w:t>
      </w:r>
      <w:r w:rsidR="004E1548">
        <w:t>wa</w:t>
      </w:r>
      <w:r w:rsidRPr="00894330">
        <w:t>s recommended that the application be rejected.</w:t>
      </w:r>
    </w:p>
    <w:p w:rsidR="00894330" w:rsidRPr="00894330" w:rsidRDefault="00894330" w:rsidP="00894330">
      <w:r w:rsidRPr="00894330">
        <w:t xml:space="preserve">The reasons for </w:t>
      </w:r>
      <w:r w:rsidR="004E1548">
        <w:t xml:space="preserve">proposing </w:t>
      </w:r>
      <w:r w:rsidRPr="00894330">
        <w:t xml:space="preserve">rejection </w:t>
      </w:r>
      <w:r w:rsidR="004E1548">
        <w:t>were</w:t>
      </w:r>
      <w:r w:rsidRPr="00894330">
        <w:t>:</w:t>
      </w:r>
    </w:p>
    <w:p w:rsidR="00894330" w:rsidRPr="00894330" w:rsidRDefault="00894330" w:rsidP="00894330">
      <w:pPr>
        <w:pStyle w:val="ListBullet"/>
      </w:pPr>
      <w:r w:rsidRPr="00894330">
        <w:t>Lack of efficacy in adequately designed and conducted clinical studies</w:t>
      </w:r>
      <w:r w:rsidR="000320B5">
        <w:t>;</w:t>
      </w:r>
    </w:p>
    <w:p w:rsidR="00894330" w:rsidRPr="00894330" w:rsidRDefault="00894330" w:rsidP="00894330">
      <w:pPr>
        <w:pStyle w:val="ListBullet"/>
      </w:pPr>
      <w:r w:rsidRPr="00894330">
        <w:t>Lack of safety in adequately designed and conducted clinical studies</w:t>
      </w:r>
      <w:r w:rsidR="000320B5">
        <w:t>.</w:t>
      </w:r>
    </w:p>
    <w:p w:rsidR="003A6BAB" w:rsidRDefault="003A6BAB" w:rsidP="003A6BAB">
      <w:pPr>
        <w:pStyle w:val="Heading4"/>
      </w:pPr>
      <w:r>
        <w:lastRenderedPageBreak/>
        <w:t>Second round evaluation of clinical data submitted in response to questions</w:t>
      </w:r>
    </w:p>
    <w:p w:rsidR="00890BFD" w:rsidRPr="00C82A5F" w:rsidRDefault="00890BFD" w:rsidP="00C82A5F">
      <w:pPr>
        <w:ind w:left="720"/>
        <w:rPr>
          <w:i/>
        </w:rPr>
      </w:pPr>
      <w:r w:rsidRPr="00C82A5F">
        <w:rPr>
          <w:i/>
        </w:rPr>
        <w:t>Q1</w:t>
      </w:r>
      <w:r w:rsidR="00157E23" w:rsidRPr="00C82A5F">
        <w:rPr>
          <w:i/>
        </w:rPr>
        <w:t xml:space="preserve">. </w:t>
      </w:r>
      <w:r w:rsidRPr="00C82A5F">
        <w:rPr>
          <w:i/>
        </w:rPr>
        <w:t xml:space="preserve">Please provide a full copy of the Good Clinical Practice (GCP) inspection report requested by the CHMP (May-June 2008) to verify whether </w:t>
      </w:r>
      <w:r w:rsidR="0066693B">
        <w:rPr>
          <w:i/>
        </w:rPr>
        <w:t>Studies</w:t>
      </w:r>
      <w:r w:rsidRPr="00C82A5F">
        <w:rPr>
          <w:i/>
        </w:rPr>
        <w:t xml:space="preserve"> FT-017-IM and FT-018-IM were conducted in compliance with GCP and applicable regulations.</w:t>
      </w:r>
    </w:p>
    <w:p w:rsidR="00890BFD" w:rsidRPr="00157E23" w:rsidRDefault="00890BFD" w:rsidP="00157E23">
      <w:r w:rsidRPr="00157E23">
        <w:t xml:space="preserve">The sponsor provided the inspection report. The reports provides full details of the inspection teams visits to the two clinical sites (site X and Y) and the </w:t>
      </w:r>
      <w:r w:rsidR="00230813">
        <w:t>contract</w:t>
      </w:r>
      <w:r w:rsidRPr="00157E23">
        <w:t xml:space="preserve"> research organisation (CRO) responsible for monitoring the site. The findings are consistent with </w:t>
      </w:r>
      <w:r w:rsidR="00B9622F">
        <w:t>the summary provided in the European Public Assessment Report (EPAR)</w:t>
      </w:r>
      <w:r w:rsidRPr="00157E23">
        <w:t>.</w:t>
      </w:r>
    </w:p>
    <w:p w:rsidR="00890BFD" w:rsidRPr="00157E23" w:rsidRDefault="00890BFD" w:rsidP="00157E23">
      <w:r w:rsidRPr="00157E23">
        <w:t>The full report of the inspection team provides comprehensive documentation of the failure to understand GCP principles and to follow the GCP requirements at both site X and site Y and serious deficiencies at the CRO and by implication the sponsor. It is noted that the CRO failed to find the issues identified by the inspection team.</w:t>
      </w:r>
    </w:p>
    <w:p w:rsidR="00890BFD" w:rsidRPr="00157E23" w:rsidRDefault="00890BFD" w:rsidP="00157E23">
      <w:r w:rsidRPr="00157E23">
        <w:t>The inspection team found that at site X there were 11 critical and 6 major findings and at site Y there were 2 critical and 5 major findings.</w:t>
      </w:r>
    </w:p>
    <w:p w:rsidR="00890BFD" w:rsidRPr="00157E23" w:rsidRDefault="00890BFD" w:rsidP="00157E23">
      <w:r w:rsidRPr="00157E23">
        <w:t>At site X, the relevant source data (letters confirming the cancer diagnosis of the patients) were not authentic but manipulated for trial purposes. Some of the source data were intentionally kept back by the investigator and those that were provided were not sufficiently kept. They were incomplete, partly inconsistent and not up to date. The patient files were limited to trial related aspects and several text passages were illegible. For several patients dosages of concomitant medication and rescue medication were missing. Therefore the eligibility of patients for trial enrolment could not be verified.</w:t>
      </w:r>
    </w:p>
    <w:p w:rsidR="00890BFD" w:rsidRPr="00157E23" w:rsidRDefault="00890BFD" w:rsidP="00157E23">
      <w:r w:rsidRPr="00157E23">
        <w:t>The conclusion of the inspection team was:</w:t>
      </w:r>
    </w:p>
    <w:p w:rsidR="00890BFD" w:rsidRPr="0076305E" w:rsidRDefault="00890BFD" w:rsidP="0076305E">
      <w:pPr>
        <w:ind w:left="720"/>
        <w:rPr>
          <w:i/>
        </w:rPr>
      </w:pPr>
      <w:r w:rsidRPr="0076305E">
        <w:rPr>
          <w:i/>
        </w:rPr>
        <w:t>“In summary, the inspection revealed several serious deficiencies including misconduct and fraud, which give reason to severe concerns about the quality and validity of the data generated for the clinical trials FT-017-IM and FT-018-IM by the inspected investigational site. During the inspection it was confirmed that there was significant non</w:t>
      </w:r>
      <w:r w:rsidR="000203BA">
        <w:rPr>
          <w:i/>
        </w:rPr>
        <w:t xml:space="preserve"> </w:t>
      </w:r>
      <w:r w:rsidRPr="0076305E">
        <w:rPr>
          <w:i/>
        </w:rPr>
        <w:t>compliance with GCP and therefore the data was not considered to be credible.”</w:t>
      </w:r>
    </w:p>
    <w:p w:rsidR="00890BFD" w:rsidRPr="00157E23" w:rsidRDefault="00890BFD" w:rsidP="00157E23">
      <w:r w:rsidRPr="00157E23">
        <w:t>The inspection of site Y indicated similar problems with understanding and compliance to GCP but no evidence of misconduct or fraud. The conclusion of the team was:</w:t>
      </w:r>
    </w:p>
    <w:p w:rsidR="00890BFD" w:rsidRPr="009E1AE7" w:rsidRDefault="00890BFD" w:rsidP="009E1AE7">
      <w:pPr>
        <w:ind w:left="720"/>
        <w:rPr>
          <w:i/>
        </w:rPr>
      </w:pPr>
      <w:r w:rsidRPr="009E1AE7">
        <w:rPr>
          <w:i/>
        </w:rPr>
        <w:t>“Based on these findings, it cannot be concluded that the study was conducted in full compliance with GCP. Additional, it is the inspectors’ opinion that the safety data received from this site is not reliable.”</w:t>
      </w:r>
    </w:p>
    <w:p w:rsidR="00890BFD" w:rsidRPr="00157E23" w:rsidRDefault="00890BFD" w:rsidP="00157E23">
      <w:r w:rsidRPr="00157E23">
        <w:t>The sponsor seems to indicate that only these two sites were a problem and by omitting the data from site X (which is fully justified) and re-monitoring the other sites to collect additional AEs, then the remaining data are acceptable, However, the inspection team noted in the summary that the inspections of sites are also done “to evaluate the quality management of the sponsor/CRO and the possible effects on the quality of the data of the other investigational sites.” The degree of non</w:t>
      </w:r>
      <w:r w:rsidR="0025792D">
        <w:t xml:space="preserve"> </w:t>
      </w:r>
      <w:r w:rsidRPr="00157E23">
        <w:t xml:space="preserve">compliance and the issues </w:t>
      </w:r>
      <w:proofErr w:type="gramStart"/>
      <w:r w:rsidRPr="00157E23">
        <w:t>raised</w:t>
      </w:r>
      <w:proofErr w:type="gramEnd"/>
      <w:r w:rsidRPr="00157E23">
        <w:t xml:space="preserve"> over protocol design, use of staff to complete study diaries and the non investigation of compliance and abuse raised concerns over all trial sites and led to the conclusion of insufficient quality measures taken by the sponsor and CRO.</w:t>
      </w:r>
    </w:p>
    <w:p w:rsidR="00890BFD" w:rsidRPr="00157E23" w:rsidRDefault="00890BFD" w:rsidP="00157E23">
      <w:r w:rsidRPr="00157E23">
        <w:t>Review of the full inspection report confirms the initial opinion that these trials should not be considered acceptable for assessment of efficacy or safety.</w:t>
      </w:r>
    </w:p>
    <w:p w:rsidR="00890BFD" w:rsidRPr="00D60C77" w:rsidRDefault="00157E23" w:rsidP="00D60C77">
      <w:pPr>
        <w:ind w:left="720"/>
        <w:rPr>
          <w:i/>
        </w:rPr>
      </w:pPr>
      <w:r w:rsidRPr="00D60C77">
        <w:rPr>
          <w:i/>
        </w:rPr>
        <w:t xml:space="preserve">Q2. </w:t>
      </w:r>
      <w:r w:rsidR="00890BFD" w:rsidRPr="00D60C77">
        <w:rPr>
          <w:i/>
        </w:rPr>
        <w:t xml:space="preserve">Please provide an un-redacted copy of the report of the analysis and discussions from the EMA/CHMP that formed the basis of the conclusions that ‘the quality system of the sponsor are unlikely to invalidate the quality of the efficacy and safety data’ and that ‘the exclusion of site X does not make substantial changes to the efficacy of </w:t>
      </w:r>
      <w:r w:rsidR="00890BFD" w:rsidRPr="00D60C77">
        <w:rPr>
          <w:i/>
        </w:rPr>
        <w:lastRenderedPageBreak/>
        <w:t>safety results as compared to the results of all patients presented in the initial application’ (</w:t>
      </w:r>
      <w:r w:rsidR="00D74590">
        <w:rPr>
          <w:i/>
        </w:rPr>
        <w:t xml:space="preserve">refer to </w:t>
      </w:r>
      <w:proofErr w:type="spellStart"/>
      <w:r w:rsidR="00D74590">
        <w:rPr>
          <w:i/>
        </w:rPr>
        <w:t>I</w:t>
      </w:r>
      <w:r w:rsidR="00890BFD" w:rsidRPr="00D60C77">
        <w:rPr>
          <w:i/>
        </w:rPr>
        <w:t>nstanyl</w:t>
      </w:r>
      <w:proofErr w:type="spellEnd"/>
      <w:r w:rsidR="00D74590">
        <w:rPr>
          <w:i/>
        </w:rPr>
        <w:t xml:space="preserve"> EPAR</w:t>
      </w:r>
      <w:r w:rsidR="00890BFD" w:rsidRPr="00D60C77">
        <w:rPr>
          <w:i/>
        </w:rPr>
        <w:t>).</w:t>
      </w:r>
    </w:p>
    <w:p w:rsidR="00890BFD" w:rsidRPr="00157E23" w:rsidRDefault="00890BFD" w:rsidP="00157E23">
      <w:r w:rsidRPr="00157E23">
        <w:t>The sponsor responded that there is n</w:t>
      </w:r>
      <w:r w:rsidR="00A06E0A">
        <w:t>o un-redacted report available;</w:t>
      </w:r>
      <w:r w:rsidRPr="00157E23">
        <w:t xml:space="preserve"> the only report is the EPAR. However to provide more information they provided the Joint Assessment report after the </w:t>
      </w:r>
      <w:r w:rsidR="006E2EBD">
        <w:t>Second</w:t>
      </w:r>
      <w:r w:rsidRPr="00157E23">
        <w:t xml:space="preserve"> List of Outstanding Issues which was prepared right before the CHMP meeting.</w:t>
      </w:r>
    </w:p>
    <w:p w:rsidR="00890BFD" w:rsidRPr="00157E23" w:rsidRDefault="00890BFD" w:rsidP="00157E23">
      <w:r w:rsidRPr="00157E23">
        <w:t>This report contains the following relevant statements:</w:t>
      </w:r>
    </w:p>
    <w:p w:rsidR="00890BFD" w:rsidRPr="009E3113" w:rsidRDefault="00890BFD" w:rsidP="009E3113">
      <w:pPr>
        <w:ind w:left="720"/>
        <w:rPr>
          <w:i/>
        </w:rPr>
      </w:pPr>
      <w:r w:rsidRPr="009E3113">
        <w:rPr>
          <w:i/>
        </w:rPr>
        <w:t>[</w:t>
      </w:r>
      <w:proofErr w:type="gramStart"/>
      <w:r w:rsidRPr="009E3113">
        <w:rPr>
          <w:i/>
        </w:rPr>
        <w:t>following</w:t>
      </w:r>
      <w:proofErr w:type="gramEnd"/>
      <w:r w:rsidRPr="009E3113">
        <w:rPr>
          <w:i/>
        </w:rPr>
        <w:t xml:space="preserve"> re-monitoring of the sites in the study] “the data on the re-assessment of the two pivotal studies show that newly reported AEs identified for both studies did not alter the safety profile previously reported for </w:t>
      </w:r>
      <w:r w:rsidR="002D2354">
        <w:rPr>
          <w:i/>
        </w:rPr>
        <w:t>FNS</w:t>
      </w:r>
      <w:r w:rsidRPr="009E3113">
        <w:rPr>
          <w:i/>
        </w:rPr>
        <w:t xml:space="preserve"> at doses of 50 to 200 </w:t>
      </w:r>
      <w:proofErr w:type="spellStart"/>
      <w:r w:rsidRPr="009E3113">
        <w:rPr>
          <w:i/>
        </w:rPr>
        <w:t>μg</w:t>
      </w:r>
      <w:proofErr w:type="spellEnd"/>
      <w:r w:rsidRPr="009E3113">
        <w:rPr>
          <w:i/>
        </w:rPr>
        <w:t xml:space="preserve"> administered as one puff or two puffs 10 minutes apart.”</w:t>
      </w:r>
    </w:p>
    <w:p w:rsidR="00890BFD" w:rsidRPr="00157E23" w:rsidRDefault="00890BFD" w:rsidP="00157E23">
      <w:r w:rsidRPr="00157E23">
        <w:t>The conclusion of the inspectors that the responses of the applicant did not change the GCP inspectors’ major concerns about the quality and reliability of the safety and efficacy data of the trials was noted in the Joint Assessment report.</w:t>
      </w:r>
    </w:p>
    <w:p w:rsidR="00890BFD" w:rsidRPr="00157E23" w:rsidRDefault="00890BFD" w:rsidP="00157E23">
      <w:r w:rsidRPr="00157E23">
        <w:t>The conclusion of the</w:t>
      </w:r>
      <w:r w:rsidR="003C629E">
        <w:t xml:space="preserve"> Joint Assessment report</w:t>
      </w:r>
      <w:r w:rsidRPr="00157E23">
        <w:t xml:space="preserve"> was:</w:t>
      </w:r>
    </w:p>
    <w:p w:rsidR="00890BFD" w:rsidRPr="002010AA" w:rsidRDefault="00890BFD" w:rsidP="002010AA">
      <w:pPr>
        <w:ind w:left="720"/>
        <w:rPr>
          <w:i/>
        </w:rPr>
      </w:pPr>
      <w:r w:rsidRPr="002010AA">
        <w:rPr>
          <w:i/>
        </w:rPr>
        <w:t xml:space="preserve">“In view of the overall data volume as either provided in the </w:t>
      </w:r>
      <w:proofErr w:type="spellStart"/>
      <w:r w:rsidRPr="002010AA">
        <w:rPr>
          <w:i/>
        </w:rPr>
        <w:t>Instanyl</w:t>
      </w:r>
      <w:proofErr w:type="spellEnd"/>
      <w:r w:rsidRPr="002010AA">
        <w:rPr>
          <w:i/>
        </w:rPr>
        <w:t xml:space="preserve"> clinical dossier or as gathered from long-standing clinical experience with </w:t>
      </w:r>
      <w:proofErr w:type="spellStart"/>
      <w:r w:rsidRPr="002010AA">
        <w:rPr>
          <w:i/>
        </w:rPr>
        <w:t>fentanyl</w:t>
      </w:r>
      <w:proofErr w:type="spellEnd"/>
      <w:r w:rsidRPr="002010AA">
        <w:rPr>
          <w:i/>
        </w:rPr>
        <w:t xml:space="preserve"> and considering the responses provided by the applicant, the clinical major issues were solved. The efficacy of </w:t>
      </w:r>
      <w:proofErr w:type="spellStart"/>
      <w:r w:rsidRPr="002010AA">
        <w:rPr>
          <w:i/>
        </w:rPr>
        <w:t>Instanyl</w:t>
      </w:r>
      <w:proofErr w:type="spellEnd"/>
      <w:r w:rsidRPr="002010AA">
        <w:rPr>
          <w:i/>
        </w:rPr>
        <w:t xml:space="preserve"> in the treatment of BTP has been shown, with a fast onset of efficacy, together with a safety profile that seems comparable to the other </w:t>
      </w:r>
      <w:proofErr w:type="spellStart"/>
      <w:r w:rsidRPr="002010AA">
        <w:rPr>
          <w:i/>
        </w:rPr>
        <w:t>fentanyl</w:t>
      </w:r>
      <w:proofErr w:type="spellEnd"/>
      <w:r w:rsidRPr="002010AA">
        <w:rPr>
          <w:i/>
        </w:rPr>
        <w:t xml:space="preserve"> containing products intended to treat BTP. However, potential risk of overdose and danger for children and family circle still remains (until a new device is available).”</w:t>
      </w:r>
    </w:p>
    <w:p w:rsidR="00890BFD" w:rsidRPr="00157E23" w:rsidRDefault="00890BFD" w:rsidP="00157E23">
      <w:r w:rsidRPr="00157E23">
        <w:t>This report provides further information to better understand the decision of the CHMP. It appears they have concluded that because no new safety issues were raised with the re-monitoring and the profile of the drug is similar to that seen for similar products already approved then the trials can be accepted.</w:t>
      </w:r>
    </w:p>
    <w:p w:rsidR="00890BFD" w:rsidRPr="00157E23" w:rsidRDefault="00890BFD" w:rsidP="00157E23">
      <w:r w:rsidRPr="00157E23">
        <w:t>This decision is at odds with the requirement that all submissions stand alone and are required to document the safety and efficacy of the product to the standard of GCP as adopted international.</w:t>
      </w:r>
    </w:p>
    <w:p w:rsidR="00890BFD" w:rsidRPr="00157E23" w:rsidRDefault="00890BFD" w:rsidP="00157E23">
      <w:r w:rsidRPr="00157E23">
        <w:t>It is not considered acceptable to bypass the very significant GCP issues and accept the data because it is consistent with that know for other similar products.</w:t>
      </w:r>
    </w:p>
    <w:p w:rsidR="0080716E" w:rsidRDefault="0080716E" w:rsidP="0080716E">
      <w:pPr>
        <w:pStyle w:val="Heading4"/>
      </w:pPr>
      <w:r>
        <w:t>Second round benefit-risk assessment</w:t>
      </w:r>
    </w:p>
    <w:p w:rsidR="0080716E" w:rsidRDefault="002915BB" w:rsidP="0080716E">
      <w:pPr>
        <w:pStyle w:val="Heading5"/>
      </w:pPr>
      <w:r>
        <w:t>Second</w:t>
      </w:r>
      <w:r w:rsidR="0080716E">
        <w:t xml:space="preserve"> round assessment of benefits</w:t>
      </w:r>
    </w:p>
    <w:p w:rsidR="0080716E" w:rsidRDefault="0080716E" w:rsidP="0080716E">
      <w:pPr>
        <w:autoSpaceDE w:val="0"/>
        <w:autoSpaceDN w:val="0"/>
        <w:adjustRightInd w:val="0"/>
        <w:jc w:val="both"/>
      </w:pPr>
      <w:r>
        <w:t xml:space="preserve">After consideration of the responses to the clinical questions, the benefits of </w:t>
      </w:r>
      <w:proofErr w:type="spellStart"/>
      <w:r>
        <w:t>Instanyl</w:t>
      </w:r>
      <w:proofErr w:type="spellEnd"/>
      <w:r>
        <w:t xml:space="preserve"> in the proposed usage are unchanged from those identified in the first round.</w:t>
      </w:r>
    </w:p>
    <w:p w:rsidR="0080716E" w:rsidRDefault="002915BB" w:rsidP="0080716E">
      <w:pPr>
        <w:pStyle w:val="Heading5"/>
      </w:pPr>
      <w:r>
        <w:t xml:space="preserve">Second </w:t>
      </w:r>
      <w:r w:rsidR="0080716E">
        <w:t>round assessment of risks</w:t>
      </w:r>
    </w:p>
    <w:p w:rsidR="00F8310E" w:rsidRDefault="00F8310E" w:rsidP="00F8310E">
      <w:pPr>
        <w:autoSpaceDE w:val="0"/>
        <w:autoSpaceDN w:val="0"/>
        <w:adjustRightInd w:val="0"/>
        <w:jc w:val="both"/>
      </w:pPr>
      <w:r>
        <w:t xml:space="preserve">After consideration of the responses to the clinical questions, the risks of </w:t>
      </w:r>
      <w:proofErr w:type="spellStart"/>
      <w:r>
        <w:t>Instanyl</w:t>
      </w:r>
      <w:proofErr w:type="spellEnd"/>
      <w:r>
        <w:t xml:space="preserve"> in the proposed usage are unchanged from those identified in the first round.</w:t>
      </w:r>
    </w:p>
    <w:p w:rsidR="0080716E" w:rsidRDefault="002915BB" w:rsidP="0080716E">
      <w:pPr>
        <w:pStyle w:val="Heading5"/>
      </w:pPr>
      <w:r>
        <w:t xml:space="preserve">Second </w:t>
      </w:r>
      <w:r w:rsidR="0080716E">
        <w:t>round assessment of benefit-risk balance</w:t>
      </w:r>
    </w:p>
    <w:p w:rsidR="00BF45EE" w:rsidRDefault="00BF45EE" w:rsidP="00BF45EE">
      <w:r>
        <w:t xml:space="preserve">The benefit-risk balance of </w:t>
      </w:r>
      <w:proofErr w:type="spellStart"/>
      <w:r>
        <w:t>Insta</w:t>
      </w:r>
      <w:r w:rsidR="006E2EBD">
        <w:t>nyl</w:t>
      </w:r>
      <w:proofErr w:type="spellEnd"/>
      <w:r w:rsidR="006E2EBD">
        <w:t>, given the proposed usage, wa</w:t>
      </w:r>
      <w:r>
        <w:t xml:space="preserve">s </w:t>
      </w:r>
      <w:r w:rsidR="006E2EBD">
        <w:t xml:space="preserve">considered to be </w:t>
      </w:r>
      <w:r>
        <w:t>unfavourable.</w:t>
      </w:r>
    </w:p>
    <w:p w:rsidR="0080716E" w:rsidRDefault="002915BB" w:rsidP="0080716E">
      <w:pPr>
        <w:pStyle w:val="Heading4"/>
      </w:pPr>
      <w:r>
        <w:lastRenderedPageBreak/>
        <w:t xml:space="preserve">Second </w:t>
      </w:r>
      <w:r w:rsidR="0080716E">
        <w:t>round recommendation regarding authorisation</w:t>
      </w:r>
    </w:p>
    <w:p w:rsidR="00D57D26" w:rsidRPr="00D57D26" w:rsidRDefault="00D57D26" w:rsidP="00D57D26">
      <w:r w:rsidRPr="00D57D26">
        <w:t>After consideration of the responses to the clinical questions, the recommen</w:t>
      </w:r>
      <w:r w:rsidR="006E2EBD">
        <w:t>dation regarding authorisation wa</w:t>
      </w:r>
      <w:r w:rsidRPr="00D57D26">
        <w:t xml:space="preserve">s unchanged from </w:t>
      </w:r>
      <w:r w:rsidR="001D2D8D">
        <w:t>the first round</w:t>
      </w:r>
      <w:r w:rsidR="006E2EBD">
        <w:t>. It wa</w:t>
      </w:r>
      <w:r w:rsidRPr="00D57D26">
        <w:t>s recommended that the application be rejected for the following reasons:</w:t>
      </w:r>
    </w:p>
    <w:p w:rsidR="00D57D26" w:rsidRPr="00D57D26" w:rsidRDefault="00D57D26" w:rsidP="00D57D26">
      <w:pPr>
        <w:pStyle w:val="ListBullet"/>
      </w:pPr>
      <w:r w:rsidRPr="00D57D26">
        <w:t>Lack of efficacy in adequately designed and conducted clinical studies</w:t>
      </w:r>
      <w:r w:rsidR="001805E7">
        <w:t>;</w:t>
      </w:r>
    </w:p>
    <w:p w:rsidR="00D57D26" w:rsidRPr="00D57D26" w:rsidRDefault="00D57D26" w:rsidP="00D57D26">
      <w:pPr>
        <w:pStyle w:val="ListBullet"/>
      </w:pPr>
      <w:r w:rsidRPr="00D57D26">
        <w:t>Lack of safety in adequately designed and conducted clinical studies</w:t>
      </w:r>
      <w:r w:rsidR="001805E7">
        <w:t>.</w:t>
      </w:r>
    </w:p>
    <w:p w:rsidR="008E7846" w:rsidRPr="00E41208" w:rsidRDefault="008E7846" w:rsidP="008E7846">
      <w:pPr>
        <w:pStyle w:val="Heading2"/>
      </w:pPr>
      <w:bookmarkStart w:id="140" w:name="_Toc247691524"/>
      <w:bookmarkStart w:id="141" w:name="_Toc314842508"/>
      <w:bookmarkStart w:id="142" w:name="_Toc366842968"/>
      <w:r w:rsidRPr="00E41208">
        <w:t xml:space="preserve">V. </w:t>
      </w:r>
      <w:proofErr w:type="spellStart"/>
      <w:r w:rsidRPr="00E41208">
        <w:t>Pharmacovigilance</w:t>
      </w:r>
      <w:proofErr w:type="spellEnd"/>
      <w:r w:rsidRPr="00E41208">
        <w:t xml:space="preserve"> </w:t>
      </w:r>
      <w:r>
        <w:t>f</w:t>
      </w:r>
      <w:r w:rsidRPr="00E41208">
        <w:t>indings</w:t>
      </w:r>
      <w:bookmarkEnd w:id="140"/>
      <w:bookmarkEnd w:id="141"/>
      <w:bookmarkEnd w:id="142"/>
    </w:p>
    <w:p w:rsidR="008E7846" w:rsidRDefault="00386150" w:rsidP="008E7846">
      <w:pPr>
        <w:pStyle w:val="Heading3"/>
        <w:rPr>
          <w:lang w:eastAsia="en-AU"/>
        </w:rPr>
      </w:pPr>
      <w:bookmarkStart w:id="143" w:name="_Toc247691526"/>
      <w:bookmarkStart w:id="144" w:name="_Toc314842509"/>
      <w:bookmarkStart w:id="145" w:name="_Toc366842969"/>
      <w:r>
        <w:rPr>
          <w:lang w:eastAsia="en-AU"/>
        </w:rPr>
        <w:t>Risk m</w:t>
      </w:r>
      <w:r w:rsidR="008E7846">
        <w:rPr>
          <w:lang w:eastAsia="en-AU"/>
        </w:rPr>
        <w:t xml:space="preserve">anagement </w:t>
      </w:r>
      <w:r>
        <w:rPr>
          <w:lang w:eastAsia="en-AU"/>
        </w:rPr>
        <w:t>p</w:t>
      </w:r>
      <w:r w:rsidR="008E7846">
        <w:rPr>
          <w:lang w:eastAsia="en-AU"/>
        </w:rPr>
        <w:t>lan</w:t>
      </w:r>
      <w:bookmarkEnd w:id="143"/>
      <w:bookmarkEnd w:id="144"/>
      <w:bookmarkEnd w:id="145"/>
    </w:p>
    <w:p w:rsidR="009F299A" w:rsidRDefault="008E7846" w:rsidP="008E7846">
      <w:pPr>
        <w:rPr>
          <w:lang w:eastAsia="en-AU"/>
        </w:rPr>
      </w:pPr>
      <w:r>
        <w:rPr>
          <w:lang w:eastAsia="en-AU"/>
        </w:rPr>
        <w:t xml:space="preserve">The sponsor submitted a </w:t>
      </w:r>
      <w:r w:rsidR="00581285">
        <w:rPr>
          <w:lang w:eastAsia="en-AU"/>
        </w:rPr>
        <w:t>RMP</w:t>
      </w:r>
      <w:r>
        <w:rPr>
          <w:lang w:eastAsia="en-AU"/>
        </w:rPr>
        <w:t xml:space="preserve"> which was reviewed by the TGA’s Office of Product Review (OPR)</w:t>
      </w:r>
      <w:r w:rsidR="009F299A">
        <w:rPr>
          <w:lang w:eastAsia="en-AU"/>
        </w:rPr>
        <w:t xml:space="preserve"> and </w:t>
      </w:r>
      <w:r w:rsidR="009F299A">
        <w:rPr>
          <w:rFonts w:cs="Calibri"/>
        </w:rPr>
        <w:t>the Advisory Committee on the Safety of Medicines (</w:t>
      </w:r>
      <w:r w:rsidR="009F299A" w:rsidRPr="008578D2">
        <w:rPr>
          <w:rFonts w:cs="Calibri"/>
        </w:rPr>
        <w:t>ACSOM</w:t>
      </w:r>
      <w:r w:rsidR="009F299A">
        <w:rPr>
          <w:rFonts w:cs="Calibri"/>
        </w:rPr>
        <w:t>).</w:t>
      </w:r>
    </w:p>
    <w:p w:rsidR="006E2EBD" w:rsidRDefault="00581285" w:rsidP="008E7846">
      <w:pPr>
        <w:rPr>
          <w:lang w:eastAsia="en-AU"/>
        </w:rPr>
        <w:sectPr w:rsidR="006E2EBD" w:rsidSect="00B452CE">
          <w:headerReference w:type="even" r:id="rId15"/>
          <w:headerReference w:type="default" r:id="rId16"/>
          <w:footerReference w:type="default" r:id="rId17"/>
          <w:headerReference w:type="first" r:id="rId18"/>
          <w:footerReference w:type="first" r:id="rId19"/>
          <w:pgSz w:w="11906" w:h="16838" w:code="9"/>
          <w:pgMar w:top="834" w:right="1701" w:bottom="1191" w:left="1701" w:header="907" w:footer="216" w:gutter="0"/>
          <w:cols w:space="708"/>
          <w:docGrid w:linePitch="360"/>
        </w:sectPr>
      </w:pPr>
      <w:r>
        <w:rPr>
          <w:lang w:eastAsia="en-AU"/>
        </w:rPr>
        <w:t xml:space="preserve">Table </w:t>
      </w:r>
      <w:r w:rsidR="00753170">
        <w:rPr>
          <w:lang w:eastAsia="en-AU"/>
        </w:rPr>
        <w:t>3</w:t>
      </w:r>
      <w:r>
        <w:rPr>
          <w:lang w:eastAsia="en-AU"/>
        </w:rPr>
        <w:t xml:space="preserve"> summarises the TGA’s evaluation of the RMP and the sponsor’s responses to the issues raised by the OPR.</w:t>
      </w:r>
    </w:p>
    <w:p w:rsidR="002E0260" w:rsidRDefault="002E0260" w:rsidP="00801138">
      <w:pPr>
        <w:pStyle w:val="TableTitle"/>
        <w:rPr>
          <w:lang w:val="en-GB"/>
        </w:rPr>
      </w:pPr>
      <w:proofErr w:type="gramStart"/>
      <w:r>
        <w:lastRenderedPageBreak/>
        <w:t>Table 3:</w:t>
      </w:r>
      <w:r w:rsidRPr="004C5C28">
        <w:t xml:space="preserve"> </w:t>
      </w:r>
      <w:r>
        <w:t>Reconciliation of issues outlined in the RMP report.</w:t>
      </w:r>
      <w:proofErr w:type="gramEnd"/>
    </w:p>
    <w:p w:rsidR="008E0646" w:rsidRDefault="00C54995" w:rsidP="00801138">
      <w:r>
        <w:rPr>
          <w:noProof/>
          <w:lang w:eastAsia="en-AU"/>
        </w:rPr>
        <w:drawing>
          <wp:inline distT="0" distB="0" distL="0" distR="0">
            <wp:extent cx="5391150" cy="2676525"/>
            <wp:effectExtent l="19050" t="0" r="0" b="0"/>
            <wp:docPr id="4" name="Picture 4" descr="Table 3: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Reconciliation of issues outlined in the RMP report."/>
                    <pic:cNvPicPr>
                      <a:picLocks noChangeAspect="1" noChangeArrowheads="1"/>
                    </pic:cNvPicPr>
                  </pic:nvPicPr>
                  <pic:blipFill>
                    <a:blip r:embed="rId20" cstate="print"/>
                    <a:srcRect/>
                    <a:stretch>
                      <a:fillRect/>
                    </a:stretch>
                  </pic:blipFill>
                  <pic:spPr bwMode="auto">
                    <a:xfrm>
                      <a:off x="0" y="0"/>
                      <a:ext cx="5391150" cy="2676525"/>
                    </a:xfrm>
                    <a:prstGeom prst="rect">
                      <a:avLst/>
                    </a:prstGeom>
                    <a:noFill/>
                    <a:ln w="9525">
                      <a:noFill/>
                      <a:miter lim="800000"/>
                      <a:headEnd/>
                      <a:tailEnd/>
                    </a:ln>
                  </pic:spPr>
                </pic:pic>
              </a:graphicData>
            </a:graphic>
          </wp:inline>
        </w:drawing>
      </w:r>
      <w:r>
        <w:rPr>
          <w:noProof/>
          <w:lang w:eastAsia="en-AU"/>
        </w:rPr>
        <w:drawing>
          <wp:inline distT="0" distB="0" distL="0" distR="0">
            <wp:extent cx="5400675" cy="1819275"/>
            <wp:effectExtent l="19050" t="0" r="9525" b="0"/>
            <wp:docPr id="5" name="Picture 5" descr="Table 3: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 Reconciliation of issues outlined in the RMP report."/>
                    <pic:cNvPicPr>
                      <a:picLocks noChangeAspect="1" noChangeArrowheads="1"/>
                    </pic:cNvPicPr>
                  </pic:nvPicPr>
                  <pic:blipFill>
                    <a:blip r:embed="rId21" cstate="print"/>
                    <a:srcRect t="10593" b="34659"/>
                    <a:stretch>
                      <a:fillRect/>
                    </a:stretch>
                  </pic:blipFill>
                  <pic:spPr bwMode="auto">
                    <a:xfrm>
                      <a:off x="0" y="0"/>
                      <a:ext cx="5400675" cy="1819275"/>
                    </a:xfrm>
                    <a:prstGeom prst="rect">
                      <a:avLst/>
                    </a:prstGeom>
                    <a:noFill/>
                    <a:ln w="9525">
                      <a:noFill/>
                      <a:miter lim="800000"/>
                      <a:headEnd/>
                      <a:tailEnd/>
                    </a:ln>
                  </pic:spPr>
                </pic:pic>
              </a:graphicData>
            </a:graphic>
          </wp:inline>
        </w:drawing>
      </w:r>
    </w:p>
    <w:p w:rsidR="008E0646" w:rsidRDefault="008E0646" w:rsidP="00801138">
      <w:pPr>
        <w:pStyle w:val="TableTitle"/>
        <w:rPr>
          <w:lang w:val="en-GB"/>
        </w:rPr>
      </w:pPr>
      <w:r>
        <w:lastRenderedPageBreak/>
        <w:t>Table 3 (continued):</w:t>
      </w:r>
      <w:r w:rsidRPr="004C5C28">
        <w:t xml:space="preserve"> </w:t>
      </w:r>
      <w:r>
        <w:t>Reconciliation of issues outlined in the RMP report.</w:t>
      </w:r>
    </w:p>
    <w:p w:rsidR="006B0A93" w:rsidRDefault="00C54995" w:rsidP="00801138">
      <w:pPr>
        <w:rPr>
          <w:lang w:eastAsia="en-AU"/>
        </w:rPr>
      </w:pPr>
      <w:r>
        <w:rPr>
          <w:noProof/>
          <w:lang w:eastAsia="en-AU"/>
        </w:rPr>
        <w:drawing>
          <wp:inline distT="0" distB="0" distL="0" distR="0">
            <wp:extent cx="5400675" cy="1190625"/>
            <wp:effectExtent l="19050" t="0" r="9525" b="0"/>
            <wp:docPr id="6" name="Picture 6" descr="Table 3: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3: Reconciliation of issues outlined in the RMP report."/>
                    <pic:cNvPicPr>
                      <a:picLocks noChangeAspect="1" noChangeArrowheads="1"/>
                    </pic:cNvPicPr>
                  </pic:nvPicPr>
                  <pic:blipFill>
                    <a:blip r:embed="rId21" cstate="print"/>
                    <a:srcRect t="64175"/>
                    <a:stretch>
                      <a:fillRect/>
                    </a:stretch>
                  </pic:blipFill>
                  <pic:spPr bwMode="auto">
                    <a:xfrm>
                      <a:off x="0" y="0"/>
                      <a:ext cx="5400675" cy="1190625"/>
                    </a:xfrm>
                    <a:prstGeom prst="rect">
                      <a:avLst/>
                    </a:prstGeom>
                    <a:noFill/>
                    <a:ln w="9525">
                      <a:noFill/>
                      <a:miter lim="800000"/>
                      <a:headEnd/>
                      <a:tailEnd/>
                    </a:ln>
                  </pic:spPr>
                </pic:pic>
              </a:graphicData>
            </a:graphic>
          </wp:inline>
        </w:drawing>
      </w:r>
      <w:r>
        <w:rPr>
          <w:noProof/>
          <w:lang w:eastAsia="en-AU"/>
        </w:rPr>
        <w:drawing>
          <wp:inline distT="0" distB="0" distL="0" distR="0">
            <wp:extent cx="5391150" cy="3000375"/>
            <wp:effectExtent l="19050" t="0" r="0" b="0"/>
            <wp:docPr id="7" name="Picture 7" descr="Table 3: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3: Reconciliation of issues outlined in the RMP report."/>
                    <pic:cNvPicPr>
                      <a:picLocks noChangeAspect="1" noChangeArrowheads="1"/>
                    </pic:cNvPicPr>
                  </pic:nvPicPr>
                  <pic:blipFill>
                    <a:blip r:embed="rId22" cstate="print"/>
                    <a:srcRect t="10771"/>
                    <a:stretch>
                      <a:fillRect/>
                    </a:stretch>
                  </pic:blipFill>
                  <pic:spPr bwMode="auto">
                    <a:xfrm>
                      <a:off x="0" y="0"/>
                      <a:ext cx="5391150" cy="3000375"/>
                    </a:xfrm>
                    <a:prstGeom prst="rect">
                      <a:avLst/>
                    </a:prstGeom>
                    <a:noFill/>
                    <a:ln w="9525">
                      <a:noFill/>
                      <a:miter lim="800000"/>
                      <a:headEnd/>
                      <a:tailEnd/>
                    </a:ln>
                  </pic:spPr>
                </pic:pic>
              </a:graphicData>
            </a:graphic>
          </wp:inline>
        </w:drawing>
      </w:r>
      <w:r>
        <w:rPr>
          <w:noProof/>
          <w:lang w:eastAsia="en-AU"/>
        </w:rPr>
        <w:drawing>
          <wp:inline distT="0" distB="0" distL="0" distR="0">
            <wp:extent cx="5391150" cy="2981325"/>
            <wp:effectExtent l="19050" t="0" r="0" b="0"/>
            <wp:docPr id="8" name="Picture 8" descr="Table 3: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3: Reconciliation of issues outlined in the RMP report."/>
                    <pic:cNvPicPr>
                      <a:picLocks noChangeAspect="1" noChangeArrowheads="1"/>
                    </pic:cNvPicPr>
                  </pic:nvPicPr>
                  <pic:blipFill>
                    <a:blip r:embed="rId23" cstate="print"/>
                    <a:srcRect t="10806"/>
                    <a:stretch>
                      <a:fillRect/>
                    </a:stretch>
                  </pic:blipFill>
                  <pic:spPr bwMode="auto">
                    <a:xfrm>
                      <a:off x="0" y="0"/>
                      <a:ext cx="5391150" cy="2981325"/>
                    </a:xfrm>
                    <a:prstGeom prst="rect">
                      <a:avLst/>
                    </a:prstGeom>
                    <a:noFill/>
                    <a:ln w="9525">
                      <a:noFill/>
                      <a:miter lim="800000"/>
                      <a:headEnd/>
                      <a:tailEnd/>
                    </a:ln>
                  </pic:spPr>
                </pic:pic>
              </a:graphicData>
            </a:graphic>
          </wp:inline>
        </w:drawing>
      </w:r>
    </w:p>
    <w:p w:rsidR="00C77FCF" w:rsidRDefault="00C77FCF" w:rsidP="00801138">
      <w:pPr>
        <w:pStyle w:val="TableTitle"/>
        <w:rPr>
          <w:lang w:val="en-GB"/>
        </w:rPr>
      </w:pPr>
      <w:r>
        <w:br w:type="page"/>
      </w:r>
      <w:r>
        <w:lastRenderedPageBreak/>
        <w:t>Table 3 (continued):</w:t>
      </w:r>
      <w:r w:rsidRPr="004C5C28">
        <w:t xml:space="preserve"> </w:t>
      </w:r>
      <w:r>
        <w:t>Reconciliation of issues outlined in the RMP report.</w:t>
      </w:r>
    </w:p>
    <w:p w:rsidR="006B0A93" w:rsidRDefault="00C54995" w:rsidP="008E7846">
      <w:pPr>
        <w:rPr>
          <w:lang w:eastAsia="en-AU"/>
        </w:rPr>
      </w:pPr>
      <w:r>
        <w:rPr>
          <w:noProof/>
          <w:lang w:eastAsia="en-AU"/>
        </w:rPr>
        <w:drawing>
          <wp:inline distT="0" distB="0" distL="0" distR="0">
            <wp:extent cx="5400675" cy="2705100"/>
            <wp:effectExtent l="19050" t="0" r="9525" b="0"/>
            <wp:docPr id="9" name="Picture 9" descr="Table 3: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3: Reconciliation of issues outlined in the RMP report."/>
                    <pic:cNvPicPr>
                      <a:picLocks noChangeAspect="1" noChangeArrowheads="1"/>
                    </pic:cNvPicPr>
                  </pic:nvPicPr>
                  <pic:blipFill>
                    <a:blip r:embed="rId24" cstate="print"/>
                    <a:srcRect/>
                    <a:stretch>
                      <a:fillRect/>
                    </a:stretch>
                  </pic:blipFill>
                  <pic:spPr bwMode="auto">
                    <a:xfrm>
                      <a:off x="0" y="0"/>
                      <a:ext cx="5400675" cy="2705100"/>
                    </a:xfrm>
                    <a:prstGeom prst="rect">
                      <a:avLst/>
                    </a:prstGeom>
                    <a:noFill/>
                    <a:ln w="9525">
                      <a:noFill/>
                      <a:miter lim="800000"/>
                      <a:headEnd/>
                      <a:tailEnd/>
                    </a:ln>
                  </pic:spPr>
                </pic:pic>
              </a:graphicData>
            </a:graphic>
          </wp:inline>
        </w:drawing>
      </w:r>
    </w:p>
    <w:p w:rsidR="002E09AD" w:rsidRDefault="002E09AD" w:rsidP="00801138">
      <w:r>
        <w:t xml:space="preserve">Table 4 </w:t>
      </w:r>
      <w:r w:rsidR="004127AE">
        <w:t>contains an abbreviated s</w:t>
      </w:r>
      <w:r w:rsidR="0037402B">
        <w:t xml:space="preserve">ummary of the </w:t>
      </w:r>
      <w:r w:rsidR="0037402B" w:rsidRPr="00262E0D">
        <w:t>Risk Management Plan</w:t>
      </w:r>
      <w:r w:rsidR="0037402B">
        <w:t xml:space="preserve"> </w:t>
      </w:r>
      <w:r w:rsidR="0037402B" w:rsidRPr="00262E0D">
        <w:t xml:space="preserve">from the Australian Specific Annex RMP dated </w:t>
      </w:r>
      <w:r w:rsidR="0037402B">
        <w:t xml:space="preserve">November </w:t>
      </w:r>
      <w:r w:rsidR="0037402B" w:rsidRPr="00262E0D">
        <w:t>2012</w:t>
      </w:r>
      <w:r w:rsidR="0037402B">
        <w:t>.</w:t>
      </w:r>
    </w:p>
    <w:p w:rsidR="003254A4" w:rsidRDefault="00E824F1" w:rsidP="00801138">
      <w:pPr>
        <w:pStyle w:val="TableTitle"/>
        <w:rPr>
          <w:lang w:val="en-GB"/>
        </w:rPr>
      </w:pPr>
      <w:r>
        <w:br w:type="page"/>
      </w:r>
      <w:r w:rsidR="003254A4">
        <w:lastRenderedPageBreak/>
        <w:t>Table 4:</w:t>
      </w:r>
      <w:r w:rsidR="003254A4" w:rsidRPr="004C5C28">
        <w:t xml:space="preserve"> </w:t>
      </w:r>
      <w:r w:rsidR="003254A4" w:rsidRPr="003254A4">
        <w:t xml:space="preserve">From Australian Specific Annex (dated </w:t>
      </w:r>
      <w:r w:rsidR="003254A4">
        <w:t xml:space="preserve">November 2012): </w:t>
      </w:r>
      <w:r w:rsidR="004127AE">
        <w:t>Abbreviated s</w:t>
      </w:r>
      <w:r w:rsidR="003254A4" w:rsidRPr="003254A4">
        <w:t>ummary of Risk Managemen</w:t>
      </w:r>
      <w:r w:rsidR="003254A4">
        <w:t>t Plan.</w:t>
      </w:r>
    </w:p>
    <w:p w:rsidR="004C7D6A" w:rsidRDefault="00C54995" w:rsidP="009D4F2C">
      <w:pPr>
        <w:jc w:val="center"/>
      </w:pPr>
      <w:r>
        <w:rPr>
          <w:noProof/>
          <w:lang w:eastAsia="en-AU"/>
        </w:rPr>
        <w:drawing>
          <wp:inline distT="0" distB="0" distL="0" distR="0">
            <wp:extent cx="5400675" cy="1009650"/>
            <wp:effectExtent l="19050" t="0" r="9525" b="0"/>
            <wp:docPr id="10" name="Picture 10" descr="Table 4: From Australian Specific Annex (dated November 2012): Abbreviated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4: From Australian Specific Annex (dated November 2012): Abbreviated summary of Risk Management Plan."/>
                    <pic:cNvPicPr>
                      <a:picLocks noChangeAspect="1" noChangeArrowheads="1"/>
                    </pic:cNvPicPr>
                  </pic:nvPicPr>
                  <pic:blipFill>
                    <a:blip r:embed="rId25" cstate="print"/>
                    <a:srcRect/>
                    <a:stretch>
                      <a:fillRect/>
                    </a:stretch>
                  </pic:blipFill>
                  <pic:spPr bwMode="auto">
                    <a:xfrm>
                      <a:off x="0" y="0"/>
                      <a:ext cx="5400675" cy="1009650"/>
                    </a:xfrm>
                    <a:prstGeom prst="rect">
                      <a:avLst/>
                    </a:prstGeom>
                    <a:noFill/>
                    <a:ln w="9525">
                      <a:noFill/>
                      <a:miter lim="800000"/>
                      <a:headEnd/>
                      <a:tailEnd/>
                    </a:ln>
                  </pic:spPr>
                </pic:pic>
              </a:graphicData>
            </a:graphic>
          </wp:inline>
        </w:drawing>
      </w:r>
      <w:r>
        <w:rPr>
          <w:noProof/>
          <w:lang w:eastAsia="en-AU"/>
        </w:rPr>
        <w:drawing>
          <wp:inline distT="0" distB="0" distL="0" distR="0">
            <wp:extent cx="5400675" cy="5295900"/>
            <wp:effectExtent l="19050" t="19050" r="28575" b="19050"/>
            <wp:docPr id="11" name="Picture 11" descr="Table 4: From Australian Specific Annex (dated November 2012): Abbreviated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4: From Australian Specific Annex (dated November 2012): Abbreviated summary of Risk Management Plan."/>
                    <pic:cNvPicPr>
                      <a:picLocks noChangeAspect="1" noChangeArrowheads="1"/>
                    </pic:cNvPicPr>
                  </pic:nvPicPr>
                  <pic:blipFill>
                    <a:blip r:embed="rId26" cstate="print"/>
                    <a:srcRect/>
                    <a:stretch>
                      <a:fillRect/>
                    </a:stretch>
                  </pic:blipFill>
                  <pic:spPr bwMode="auto">
                    <a:xfrm>
                      <a:off x="0" y="0"/>
                      <a:ext cx="5400675" cy="5295900"/>
                    </a:xfrm>
                    <a:prstGeom prst="rect">
                      <a:avLst/>
                    </a:prstGeom>
                    <a:noFill/>
                    <a:ln w="6350" cmpd="sng">
                      <a:solidFill>
                        <a:srgbClr val="000000"/>
                      </a:solidFill>
                      <a:miter lim="800000"/>
                      <a:headEnd/>
                      <a:tailEnd/>
                    </a:ln>
                    <a:effectLst/>
                  </pic:spPr>
                </pic:pic>
              </a:graphicData>
            </a:graphic>
          </wp:inline>
        </w:drawing>
      </w:r>
    </w:p>
    <w:p w:rsidR="00E824F1" w:rsidRDefault="00E824F1" w:rsidP="00801138">
      <w:pPr>
        <w:pStyle w:val="TableTitle"/>
      </w:pPr>
      <w:r>
        <w:br w:type="page"/>
      </w:r>
      <w:r>
        <w:lastRenderedPageBreak/>
        <w:t>Table 4 (continued):</w:t>
      </w:r>
      <w:r w:rsidRPr="004C5C28">
        <w:t xml:space="preserve"> </w:t>
      </w:r>
      <w:r w:rsidRPr="003254A4">
        <w:t xml:space="preserve">From Australian Specific Annex (dated </w:t>
      </w:r>
      <w:r w:rsidR="00801138">
        <w:t>November 2012):</w:t>
      </w:r>
    </w:p>
    <w:p w:rsidR="004C7D6A" w:rsidRDefault="00C54995" w:rsidP="00801138">
      <w:r>
        <w:rPr>
          <w:noProof/>
          <w:lang w:eastAsia="en-AU"/>
        </w:rPr>
        <w:drawing>
          <wp:inline distT="0" distB="0" distL="0" distR="0">
            <wp:extent cx="5400675" cy="1009650"/>
            <wp:effectExtent l="19050" t="0" r="9525" b="0"/>
            <wp:docPr id="12" name="Picture 12" descr="Table 4: From Australian Specific Annex (dated November 2012): Abbreviated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4: From Australian Specific Annex (dated November 2012): Abbreviated summary of Risk Management Plan."/>
                    <pic:cNvPicPr>
                      <a:picLocks noChangeAspect="1" noChangeArrowheads="1"/>
                    </pic:cNvPicPr>
                  </pic:nvPicPr>
                  <pic:blipFill>
                    <a:blip r:embed="rId25" cstate="print"/>
                    <a:srcRect/>
                    <a:stretch>
                      <a:fillRect/>
                    </a:stretch>
                  </pic:blipFill>
                  <pic:spPr bwMode="auto">
                    <a:xfrm>
                      <a:off x="0" y="0"/>
                      <a:ext cx="5400675" cy="1009650"/>
                    </a:xfrm>
                    <a:prstGeom prst="rect">
                      <a:avLst/>
                    </a:prstGeom>
                    <a:noFill/>
                    <a:ln w="9525">
                      <a:noFill/>
                      <a:miter lim="800000"/>
                      <a:headEnd/>
                      <a:tailEnd/>
                    </a:ln>
                  </pic:spPr>
                </pic:pic>
              </a:graphicData>
            </a:graphic>
          </wp:inline>
        </w:drawing>
      </w:r>
      <w:r>
        <w:rPr>
          <w:noProof/>
          <w:lang w:eastAsia="en-AU"/>
        </w:rPr>
        <w:drawing>
          <wp:inline distT="0" distB="0" distL="0" distR="0">
            <wp:extent cx="5391150" cy="2333625"/>
            <wp:effectExtent l="19050" t="0" r="0" b="0"/>
            <wp:docPr id="13" name="Picture 13" descr="Table 4: From Australian Specific Annex (dated November 2012): Abbreviated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4: From Australian Specific Annex (dated November 2012): Abbreviated summary of Risk Management Plan."/>
                    <pic:cNvPicPr>
                      <a:picLocks noChangeAspect="1" noChangeArrowheads="1"/>
                    </pic:cNvPicPr>
                  </pic:nvPicPr>
                  <pic:blipFill>
                    <a:blip r:embed="rId27" cstate="print"/>
                    <a:srcRect/>
                    <a:stretch>
                      <a:fillRect/>
                    </a:stretch>
                  </pic:blipFill>
                  <pic:spPr bwMode="auto">
                    <a:xfrm>
                      <a:off x="0" y="0"/>
                      <a:ext cx="5391150" cy="2333625"/>
                    </a:xfrm>
                    <a:prstGeom prst="rect">
                      <a:avLst/>
                    </a:prstGeom>
                    <a:noFill/>
                    <a:ln w="9525">
                      <a:noFill/>
                      <a:miter lim="800000"/>
                      <a:headEnd/>
                      <a:tailEnd/>
                    </a:ln>
                  </pic:spPr>
                </pic:pic>
              </a:graphicData>
            </a:graphic>
          </wp:inline>
        </w:drawing>
      </w:r>
      <w:r>
        <w:rPr>
          <w:noProof/>
          <w:lang w:eastAsia="en-AU"/>
        </w:rPr>
        <w:drawing>
          <wp:inline distT="0" distB="0" distL="0" distR="0">
            <wp:extent cx="5334000" cy="3886200"/>
            <wp:effectExtent l="19050" t="0" r="0" b="0"/>
            <wp:docPr id="14" name="Picture 14" descr="Table 4: From Australian Specific Annex (dated November 2012): Abbreviated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4: From Australian Specific Annex (dated November 2012): Abbreviated summary of Risk Management Plan."/>
                    <pic:cNvPicPr>
                      <a:picLocks noChangeAspect="1" noChangeArrowheads="1"/>
                    </pic:cNvPicPr>
                  </pic:nvPicPr>
                  <pic:blipFill>
                    <a:blip r:embed="rId28" cstate="print"/>
                    <a:srcRect/>
                    <a:stretch>
                      <a:fillRect/>
                    </a:stretch>
                  </pic:blipFill>
                  <pic:spPr bwMode="auto">
                    <a:xfrm>
                      <a:off x="0" y="0"/>
                      <a:ext cx="5334000" cy="3886200"/>
                    </a:xfrm>
                    <a:prstGeom prst="rect">
                      <a:avLst/>
                    </a:prstGeom>
                    <a:noFill/>
                    <a:ln w="9525">
                      <a:noFill/>
                      <a:miter lim="800000"/>
                      <a:headEnd/>
                      <a:tailEnd/>
                    </a:ln>
                  </pic:spPr>
                </pic:pic>
              </a:graphicData>
            </a:graphic>
          </wp:inline>
        </w:drawing>
      </w:r>
    </w:p>
    <w:p w:rsidR="00E824F1" w:rsidRPr="00E824F1" w:rsidRDefault="00E824F1" w:rsidP="00801138"/>
    <w:p w:rsidR="00E824F1" w:rsidRDefault="00E824F1" w:rsidP="00801138">
      <w:pPr>
        <w:pStyle w:val="TableTitle"/>
        <w:rPr>
          <w:lang w:val="en-GB"/>
        </w:rPr>
      </w:pPr>
      <w:r>
        <w:lastRenderedPageBreak/>
        <w:t>Table 4 (continued):</w:t>
      </w:r>
      <w:r w:rsidRPr="004C5C28">
        <w:t xml:space="preserve"> </w:t>
      </w:r>
      <w:r w:rsidRPr="003254A4">
        <w:t xml:space="preserve">From Australian Specific Annex (dated </w:t>
      </w:r>
      <w:r w:rsidR="00801138">
        <w:t>November 2012):</w:t>
      </w:r>
    </w:p>
    <w:p w:rsidR="006E36C1" w:rsidRDefault="00C54995" w:rsidP="00801138">
      <w:pPr>
        <w:keepNext/>
        <w:jc w:val="center"/>
      </w:pPr>
      <w:r>
        <w:rPr>
          <w:noProof/>
          <w:lang w:eastAsia="en-AU"/>
        </w:rPr>
        <w:drawing>
          <wp:inline distT="0" distB="0" distL="0" distR="0">
            <wp:extent cx="5400675" cy="1009650"/>
            <wp:effectExtent l="19050" t="0" r="9525" b="0"/>
            <wp:docPr id="15" name="Picture 15" descr="Table 4: From Australian Specific Annex (dated November 2012): Abbreviated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4: From Australian Specific Annex (dated November 2012): Abbreviated summary of Risk Management Plan."/>
                    <pic:cNvPicPr>
                      <a:picLocks noChangeAspect="1" noChangeArrowheads="1"/>
                    </pic:cNvPicPr>
                  </pic:nvPicPr>
                  <pic:blipFill>
                    <a:blip r:embed="rId25" cstate="print"/>
                    <a:srcRect/>
                    <a:stretch>
                      <a:fillRect/>
                    </a:stretch>
                  </pic:blipFill>
                  <pic:spPr bwMode="auto">
                    <a:xfrm>
                      <a:off x="0" y="0"/>
                      <a:ext cx="5400675" cy="1009650"/>
                    </a:xfrm>
                    <a:prstGeom prst="rect">
                      <a:avLst/>
                    </a:prstGeom>
                    <a:noFill/>
                    <a:ln w="9525">
                      <a:noFill/>
                      <a:miter lim="800000"/>
                      <a:headEnd/>
                      <a:tailEnd/>
                    </a:ln>
                  </pic:spPr>
                </pic:pic>
              </a:graphicData>
            </a:graphic>
          </wp:inline>
        </w:drawing>
      </w:r>
      <w:r>
        <w:rPr>
          <w:noProof/>
          <w:lang w:eastAsia="en-AU"/>
        </w:rPr>
        <w:drawing>
          <wp:inline distT="0" distB="0" distL="0" distR="0">
            <wp:extent cx="5381625" cy="3933825"/>
            <wp:effectExtent l="19050" t="0" r="9525" b="0"/>
            <wp:docPr id="16" name="Picture 16" descr="Table 4: From Australian Specific Annex (dated November 2012): Abbreviated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4: From Australian Specific Annex (dated November 2012): Abbreviated summary of Risk Management Plan."/>
                    <pic:cNvPicPr>
                      <a:picLocks noChangeAspect="1" noChangeArrowheads="1"/>
                    </pic:cNvPicPr>
                  </pic:nvPicPr>
                  <pic:blipFill>
                    <a:blip r:embed="rId29" cstate="print"/>
                    <a:srcRect/>
                    <a:stretch>
                      <a:fillRect/>
                    </a:stretch>
                  </pic:blipFill>
                  <pic:spPr bwMode="auto">
                    <a:xfrm>
                      <a:off x="0" y="0"/>
                      <a:ext cx="5381625" cy="3933825"/>
                    </a:xfrm>
                    <a:prstGeom prst="rect">
                      <a:avLst/>
                    </a:prstGeom>
                    <a:noFill/>
                    <a:ln w="9525">
                      <a:noFill/>
                      <a:miter lim="800000"/>
                      <a:headEnd/>
                      <a:tailEnd/>
                    </a:ln>
                  </pic:spPr>
                </pic:pic>
              </a:graphicData>
            </a:graphic>
          </wp:inline>
        </w:drawing>
      </w:r>
    </w:p>
    <w:p w:rsidR="006E36C1" w:rsidRDefault="006E36C1" w:rsidP="00801138"/>
    <w:p w:rsidR="006E36C1" w:rsidRDefault="006E36C1" w:rsidP="00801138">
      <w:pPr>
        <w:pStyle w:val="TableTitle"/>
        <w:rPr>
          <w:lang w:val="en-GB"/>
        </w:rPr>
      </w:pPr>
      <w:r>
        <w:lastRenderedPageBreak/>
        <w:t>Table 4 (continued):</w:t>
      </w:r>
      <w:r w:rsidRPr="004C5C28">
        <w:t xml:space="preserve"> </w:t>
      </w:r>
      <w:r w:rsidRPr="003254A4">
        <w:t xml:space="preserve">From Australian Specific Annex (dated </w:t>
      </w:r>
      <w:r w:rsidR="00801138">
        <w:t>November 2012):</w:t>
      </w:r>
    </w:p>
    <w:p w:rsidR="00E824F1" w:rsidRPr="00E824F1" w:rsidRDefault="00C54995" w:rsidP="00801138">
      <w:pPr>
        <w:keepNext/>
        <w:jc w:val="center"/>
      </w:pPr>
      <w:r>
        <w:rPr>
          <w:noProof/>
          <w:lang w:eastAsia="en-AU"/>
        </w:rPr>
        <w:drawing>
          <wp:inline distT="0" distB="0" distL="0" distR="0">
            <wp:extent cx="5400675" cy="1009650"/>
            <wp:effectExtent l="19050" t="0" r="9525" b="0"/>
            <wp:docPr id="17" name="Picture 17" descr="Table 4: From Australian Specific Annex (dated November 2012): Abbreviated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4: From Australian Specific Annex (dated November 2012): Abbreviated summary of Risk Management Plan."/>
                    <pic:cNvPicPr>
                      <a:picLocks noChangeAspect="1" noChangeArrowheads="1"/>
                    </pic:cNvPicPr>
                  </pic:nvPicPr>
                  <pic:blipFill>
                    <a:blip r:embed="rId25" cstate="print"/>
                    <a:srcRect/>
                    <a:stretch>
                      <a:fillRect/>
                    </a:stretch>
                  </pic:blipFill>
                  <pic:spPr bwMode="auto">
                    <a:xfrm>
                      <a:off x="0" y="0"/>
                      <a:ext cx="5400675" cy="1009650"/>
                    </a:xfrm>
                    <a:prstGeom prst="rect">
                      <a:avLst/>
                    </a:prstGeom>
                    <a:noFill/>
                    <a:ln w="9525">
                      <a:noFill/>
                      <a:miter lim="800000"/>
                      <a:headEnd/>
                      <a:tailEnd/>
                    </a:ln>
                  </pic:spPr>
                </pic:pic>
              </a:graphicData>
            </a:graphic>
          </wp:inline>
        </w:drawing>
      </w:r>
      <w:r>
        <w:rPr>
          <w:noProof/>
          <w:lang w:eastAsia="en-AU"/>
        </w:rPr>
        <w:drawing>
          <wp:inline distT="0" distB="0" distL="0" distR="0">
            <wp:extent cx="5391150" cy="4457700"/>
            <wp:effectExtent l="19050" t="0" r="0" b="0"/>
            <wp:docPr id="18" name="Picture 18" descr="Table 4: From Australian Specific Annex (dated November 2012): Abbreviated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4: From Australian Specific Annex (dated November 2012): Abbreviated summary of Risk Management Plan."/>
                    <pic:cNvPicPr>
                      <a:picLocks noChangeAspect="1" noChangeArrowheads="1"/>
                    </pic:cNvPicPr>
                  </pic:nvPicPr>
                  <pic:blipFill>
                    <a:blip r:embed="rId30" cstate="print"/>
                    <a:srcRect/>
                    <a:stretch>
                      <a:fillRect/>
                    </a:stretch>
                  </pic:blipFill>
                  <pic:spPr bwMode="auto">
                    <a:xfrm>
                      <a:off x="0" y="0"/>
                      <a:ext cx="5391150" cy="4457700"/>
                    </a:xfrm>
                    <a:prstGeom prst="rect">
                      <a:avLst/>
                    </a:prstGeom>
                    <a:noFill/>
                    <a:ln w="9525">
                      <a:noFill/>
                      <a:miter lim="800000"/>
                      <a:headEnd/>
                      <a:tailEnd/>
                    </a:ln>
                  </pic:spPr>
                </pic:pic>
              </a:graphicData>
            </a:graphic>
          </wp:inline>
        </w:drawing>
      </w:r>
      <w:r>
        <w:rPr>
          <w:noProof/>
          <w:lang w:eastAsia="en-AU"/>
        </w:rPr>
        <w:drawing>
          <wp:inline distT="0" distB="0" distL="0" distR="0">
            <wp:extent cx="5400675" cy="1228725"/>
            <wp:effectExtent l="19050" t="0" r="9525" b="0"/>
            <wp:docPr id="19" name="Picture 19" descr="Table 4: From Australian Specific Annex (dated November 2012): Abbreviated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4: From Australian Specific Annex (dated November 2012): Abbreviated summary of Risk Management Plan."/>
                    <pic:cNvPicPr>
                      <a:picLocks noChangeAspect="1" noChangeArrowheads="1"/>
                    </pic:cNvPicPr>
                  </pic:nvPicPr>
                  <pic:blipFill>
                    <a:blip r:embed="rId31" cstate="print"/>
                    <a:srcRect/>
                    <a:stretch>
                      <a:fillRect/>
                    </a:stretch>
                  </pic:blipFill>
                  <pic:spPr bwMode="auto">
                    <a:xfrm>
                      <a:off x="0" y="0"/>
                      <a:ext cx="5400675" cy="1228725"/>
                    </a:xfrm>
                    <a:prstGeom prst="rect">
                      <a:avLst/>
                    </a:prstGeom>
                    <a:noFill/>
                    <a:ln w="9525">
                      <a:noFill/>
                      <a:miter lim="800000"/>
                      <a:headEnd/>
                      <a:tailEnd/>
                    </a:ln>
                  </pic:spPr>
                </pic:pic>
              </a:graphicData>
            </a:graphic>
          </wp:inline>
        </w:drawing>
      </w:r>
    </w:p>
    <w:p w:rsidR="00F71390" w:rsidRPr="00F71390" w:rsidRDefault="00F71390" w:rsidP="00801138">
      <w:pPr>
        <w:pStyle w:val="Heading4"/>
      </w:pPr>
      <w:r w:rsidRPr="00F71390">
        <w:t>Summary of outstanding issues</w:t>
      </w:r>
    </w:p>
    <w:p w:rsidR="00F71390" w:rsidRPr="00F71390" w:rsidRDefault="00F71390" w:rsidP="00460377">
      <w:pPr>
        <w:pStyle w:val="ListBullet"/>
      </w:pPr>
      <w:r w:rsidRPr="00F71390">
        <w:t>ACSOM has requested the sponsor detail how they will ensure that prescriptions for any deceased patients are not being dispensed.</w:t>
      </w:r>
    </w:p>
    <w:p w:rsidR="00F71390" w:rsidRPr="00F71390" w:rsidRDefault="00F71390" w:rsidP="00460377">
      <w:pPr>
        <w:pStyle w:val="ListBullet"/>
      </w:pPr>
      <w:r w:rsidRPr="00F71390">
        <w:t>The supply of the multi-dose device can only be recommended once the lock out mechanism and the dose counter are available in the device.</w:t>
      </w:r>
    </w:p>
    <w:p w:rsidR="00F71390" w:rsidRPr="00F71390" w:rsidRDefault="00F71390" w:rsidP="00460377">
      <w:pPr>
        <w:pStyle w:val="ListBullet"/>
      </w:pPr>
      <w:r w:rsidRPr="00F71390">
        <w:t>In regard to the child resistant container, ACSOM advised that further risk minimisation activities are required to prevent children from being able to access the product when it is not in the container.</w:t>
      </w:r>
    </w:p>
    <w:p w:rsidR="00F71390" w:rsidRPr="00F71390" w:rsidRDefault="00F71390" w:rsidP="00F71390">
      <w:pPr>
        <w:pStyle w:val="Heading4"/>
      </w:pPr>
      <w:r w:rsidRPr="00F71390">
        <w:lastRenderedPageBreak/>
        <w:t>Suggested wording for conditions of registration</w:t>
      </w:r>
    </w:p>
    <w:p w:rsidR="00F71390" w:rsidRPr="00F71390" w:rsidRDefault="00F71390" w:rsidP="00F71390">
      <w:pPr>
        <w:pStyle w:val="Heading5"/>
      </w:pPr>
      <w:r w:rsidRPr="00F71390">
        <w:t>RMP</w:t>
      </w:r>
    </w:p>
    <w:p w:rsidR="00F71390" w:rsidRPr="00F71390" w:rsidRDefault="00F71390" w:rsidP="00F71390">
      <w:pPr>
        <w:pStyle w:val="ListBullet"/>
      </w:pPr>
      <w:r w:rsidRPr="00F71390">
        <w:t>Implement EU-RMP Version 2 (dated 08/12/2011, DLP 30/06/2010), Australian Specific Annex to EU-RMP (Version 2.0, dated November 2012), and any future updates as a condition of registration.</w:t>
      </w:r>
    </w:p>
    <w:p w:rsidR="00F71390" w:rsidRPr="00F71390" w:rsidRDefault="00F71390" w:rsidP="00F71390">
      <w:pPr>
        <w:pStyle w:val="Heading5"/>
      </w:pPr>
      <w:r w:rsidRPr="00F71390">
        <w:t>PSUR</w:t>
      </w:r>
    </w:p>
    <w:p w:rsidR="00F71390" w:rsidRDefault="008D03DA" w:rsidP="00F71390">
      <w:pPr>
        <w:pStyle w:val="ListBullet"/>
      </w:pPr>
      <w:r>
        <w:t xml:space="preserve">Post marketing </w:t>
      </w:r>
      <w:r w:rsidR="00CB33B2">
        <w:t>reports are to be provided annually until the period covered by such reports is not less than th</w:t>
      </w:r>
      <w:r w:rsidR="005C3303">
        <w:t xml:space="preserve">ree years from the date of any approval letter. No fewer than three annual reports are required. The reports are to meet the requirements for Periodic Safety Update Reports (PSURs) as described in the </w:t>
      </w:r>
      <w:proofErr w:type="spellStart"/>
      <w:r w:rsidR="005C3303">
        <w:t>Eudralex</w:t>
      </w:r>
      <w:proofErr w:type="spellEnd"/>
      <w:r w:rsidR="005C3303">
        <w:t xml:space="preserve"> Volume 9 relating to PSURs. Unless agreed separately between the </w:t>
      </w:r>
      <w:proofErr w:type="gramStart"/>
      <w:r w:rsidR="005C3303">
        <w:t>supplier</w:t>
      </w:r>
      <w:proofErr w:type="gramEnd"/>
      <w:r w:rsidR="00FA6E8B">
        <w:t>, who is the recipient of any</w:t>
      </w:r>
      <w:r w:rsidR="005C3303">
        <w:t xml:space="preserve"> approval of the TGA, </w:t>
      </w:r>
      <w:r w:rsidR="00FA6E8B">
        <w:t xml:space="preserve">the first report must be submitted to the TGA no later than 15 calendar months after the date of any approval letter. </w:t>
      </w:r>
      <w:r w:rsidR="003E6707">
        <w:t xml:space="preserve">The subsequent reports must be submitted no less frequently than annually from the date of the first submitted report. The annual submission may </w:t>
      </w:r>
      <w:r w:rsidR="00955D4D">
        <w:t xml:space="preserve">be made up of two PSURs each covering six months. If the sponsor wishes, the six monthly reports may be submitted separately as they become available. Submission of the report must be within the sixty days of the data lock point for the report (or, where applicable, the second of the two six monthly reports), as required by the </w:t>
      </w:r>
      <w:proofErr w:type="spellStart"/>
      <w:r w:rsidR="00955D4D">
        <w:t>Eudralex</w:t>
      </w:r>
      <w:proofErr w:type="spellEnd"/>
      <w:r w:rsidR="00955D4D">
        <w:t xml:space="preserve"> Volume 9.</w:t>
      </w:r>
    </w:p>
    <w:p w:rsidR="00F71390" w:rsidRPr="00F71390" w:rsidRDefault="00F71390" w:rsidP="00F71390">
      <w:pPr>
        <w:pStyle w:val="Heading4"/>
      </w:pPr>
      <w:r w:rsidRPr="00F71390">
        <w:t>ACSOM advice</w:t>
      </w:r>
    </w:p>
    <w:p w:rsidR="00F71390" w:rsidRPr="00F71390" w:rsidRDefault="00F71390" w:rsidP="00F71390">
      <w:r w:rsidRPr="00F71390">
        <w:t>The advice received from ACSOM is summarised below:</w:t>
      </w:r>
    </w:p>
    <w:p w:rsidR="00F71390" w:rsidRPr="00F71390" w:rsidRDefault="00F71390" w:rsidP="00F71390">
      <w:pPr>
        <w:pStyle w:val="ListBullet"/>
      </w:pPr>
      <w:r w:rsidRPr="00F71390">
        <w:t>The educational activities conducted overseas should be extended to the Australian market.</w:t>
      </w:r>
    </w:p>
    <w:p w:rsidR="00F71390" w:rsidRPr="00F71390" w:rsidRDefault="00F71390" w:rsidP="00F71390">
      <w:pPr>
        <w:pStyle w:val="ListBullet"/>
      </w:pPr>
      <w:r w:rsidRPr="00F71390">
        <w:t>The sponsor should detail how they will ensure that prescriptions for any deceased patients are not being dispensed.</w:t>
      </w:r>
    </w:p>
    <w:p w:rsidR="00F71390" w:rsidRPr="00F71390" w:rsidRDefault="00F71390" w:rsidP="00F71390">
      <w:pPr>
        <w:pStyle w:val="ListBullet"/>
      </w:pPr>
      <w:r w:rsidRPr="00F71390">
        <w:t xml:space="preserve">In regard to the child proof case, it appeared from the information provided that if the product was not placed back in the box after </w:t>
      </w:r>
      <w:r w:rsidR="000C0A05">
        <w:t xml:space="preserve">use then it was no longer child </w:t>
      </w:r>
      <w:r w:rsidRPr="00F71390">
        <w:t>proof. If this is the case, ACSOM advised that further risk minimisation activities are required to prevent children from being able to access the product when it is not in the box.</w:t>
      </w:r>
    </w:p>
    <w:p w:rsidR="00F71390" w:rsidRPr="00F71390" w:rsidRDefault="00F71390" w:rsidP="00F71390">
      <w:pPr>
        <w:pStyle w:val="ListBullet"/>
      </w:pPr>
      <w:r w:rsidRPr="00F71390">
        <w:t>A dose counter and a lock out mechanism are crucial risk minimisation tools and should be included.</w:t>
      </w:r>
    </w:p>
    <w:p w:rsidR="00F71390" w:rsidRPr="00F71390" w:rsidRDefault="00F71390" w:rsidP="00F71390">
      <w:pPr>
        <w:pStyle w:val="Heading4"/>
      </w:pPr>
      <w:r w:rsidRPr="00F71390">
        <w:t>Key changes of the RMP update</w:t>
      </w:r>
    </w:p>
    <w:p w:rsidR="00F71390" w:rsidRPr="00F71390" w:rsidRDefault="00F71390" w:rsidP="00F71390">
      <w:r w:rsidRPr="00F71390">
        <w:t xml:space="preserve">The EU-RMP remains unchanged. The sponsor has supplied an updated Australian Specific Annex (Version 2.0, November 2012). The main difference to the previous version is that </w:t>
      </w:r>
      <w:r>
        <w:t>the sponsor</w:t>
      </w:r>
      <w:r w:rsidRPr="00F71390">
        <w:t xml:space="preserve"> now agrees to conduct educational activities for the Australian market</w:t>
      </w:r>
      <w:r>
        <w:t>.</w:t>
      </w:r>
    </w:p>
    <w:p w:rsidR="008E7846" w:rsidRPr="00792A32" w:rsidRDefault="008E7846" w:rsidP="008E7846">
      <w:pPr>
        <w:pStyle w:val="Heading2"/>
      </w:pPr>
      <w:bookmarkStart w:id="146" w:name="_Toc247691527"/>
      <w:bookmarkStart w:id="147" w:name="_Toc314842510"/>
      <w:bookmarkStart w:id="148" w:name="_Toc36684297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1"/>
      <w:bookmarkEnd w:id="146"/>
      <w:bookmarkEnd w:id="147"/>
      <w:bookmarkEnd w:id="148"/>
    </w:p>
    <w:p w:rsidR="008E7846" w:rsidRDefault="008E7846" w:rsidP="008E7846">
      <w:bookmarkStart w:id="149"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50" w:name="_Toc314842511"/>
      <w:bookmarkStart w:id="151" w:name="_Toc366842971"/>
      <w:r>
        <w:t>Quality</w:t>
      </w:r>
      <w:bookmarkEnd w:id="149"/>
      <w:bookmarkEnd w:id="150"/>
      <w:bookmarkEnd w:id="151"/>
    </w:p>
    <w:p w:rsidR="00B233A7" w:rsidRPr="00EE4E06" w:rsidRDefault="00B233A7" w:rsidP="00B233A7">
      <w:pPr>
        <w:spacing w:after="0"/>
        <w:rPr>
          <w:rFonts w:cs="Calibri"/>
        </w:rPr>
      </w:pPr>
      <w:r>
        <w:rPr>
          <w:rFonts w:cs="Calibri"/>
        </w:rPr>
        <w:t>This submission was discussed at the 149th meeting of the Pharmaceutical Subcommittee of the ACPM.</w:t>
      </w:r>
      <w:r w:rsidR="00B050E6">
        <w:rPr>
          <w:rFonts w:cs="Calibri"/>
        </w:rPr>
        <w:t xml:space="preserve"> </w:t>
      </w:r>
      <w:r>
        <w:rPr>
          <w:rFonts w:cs="Calibri"/>
        </w:rPr>
        <w:t xml:space="preserve">Following that meeting there were additional rounds of pharmaceutical </w:t>
      </w:r>
      <w:r>
        <w:rPr>
          <w:rFonts w:cs="Calibri"/>
        </w:rPr>
        <w:lastRenderedPageBreak/>
        <w:t>chemistry evaluation.</w:t>
      </w:r>
      <w:r w:rsidR="00B050E6">
        <w:rPr>
          <w:rFonts w:cs="Calibri"/>
        </w:rPr>
        <w:t xml:space="preserve"> </w:t>
      </w:r>
      <w:r>
        <w:rPr>
          <w:rFonts w:cs="Calibri"/>
        </w:rPr>
        <w:t>Although a number of issues were identified that initially precluded registration of the proposed product</w:t>
      </w:r>
      <w:r w:rsidR="00E66E23">
        <w:rPr>
          <w:rFonts w:cs="Calibri"/>
        </w:rPr>
        <w:t>,</w:t>
      </w:r>
      <w:r>
        <w:rPr>
          <w:rFonts w:cs="Calibri"/>
        </w:rPr>
        <w:t xml:space="preserve"> the sponsor has now satisfactorily addressed those issues and there are now no objections in respect of chemistry, manufacturing and controls to registration.</w:t>
      </w:r>
    </w:p>
    <w:p w:rsidR="00B233A7" w:rsidRDefault="00B233A7" w:rsidP="00B233A7">
      <w:pPr>
        <w:spacing w:after="0"/>
        <w:rPr>
          <w:rFonts w:cs="Calibri"/>
        </w:rPr>
      </w:pPr>
      <w:r>
        <w:rPr>
          <w:rFonts w:cs="Calibri"/>
        </w:rPr>
        <w:t xml:space="preserve">The pharmaceutical chemistry evaluator has noted that stability studies have shown that significant adsorption of </w:t>
      </w:r>
      <w:proofErr w:type="spellStart"/>
      <w:r>
        <w:rPr>
          <w:rFonts w:cs="Calibri"/>
        </w:rPr>
        <w:t>fentanyl</w:t>
      </w:r>
      <w:proofErr w:type="spellEnd"/>
      <w:r>
        <w:rPr>
          <w:rFonts w:cs="Calibri"/>
        </w:rPr>
        <w:t xml:space="preserve"> to packaging components occurs when the multi-dose bottles are stored inverted.</w:t>
      </w:r>
      <w:r w:rsidR="00B050E6">
        <w:rPr>
          <w:rFonts w:cs="Calibri"/>
        </w:rPr>
        <w:t xml:space="preserve"> </w:t>
      </w:r>
      <w:r>
        <w:rPr>
          <w:rFonts w:cs="Calibri"/>
        </w:rPr>
        <w:t>Therefore they must be stored upright.</w:t>
      </w:r>
      <w:r w:rsidR="00B050E6">
        <w:rPr>
          <w:rFonts w:cs="Calibri"/>
        </w:rPr>
        <w:t xml:space="preserve"> </w:t>
      </w:r>
      <w:r>
        <w:rPr>
          <w:rFonts w:cs="Calibri"/>
        </w:rPr>
        <w:t>This means that the child</w:t>
      </w:r>
      <w:r w:rsidR="00E66E23">
        <w:rPr>
          <w:rFonts w:cs="Calibri"/>
        </w:rPr>
        <w:t xml:space="preserve"> </w:t>
      </w:r>
      <w:r>
        <w:rPr>
          <w:rFonts w:cs="Calibri"/>
        </w:rPr>
        <w:t>resistant plastic box has to be stood on end.</w:t>
      </w:r>
      <w:r w:rsidR="00B050E6">
        <w:rPr>
          <w:rFonts w:cs="Calibri"/>
        </w:rPr>
        <w:t xml:space="preserve"> </w:t>
      </w:r>
      <w:r>
        <w:rPr>
          <w:rFonts w:cs="Calibri"/>
        </w:rPr>
        <w:t>That will not always be easy o</w:t>
      </w:r>
      <w:r w:rsidR="00E66E23">
        <w:rPr>
          <w:rFonts w:cs="Calibri"/>
        </w:rPr>
        <w:t>r practical for the patient, for example,</w:t>
      </w:r>
      <w:r>
        <w:rPr>
          <w:rFonts w:cs="Calibri"/>
        </w:rPr>
        <w:t xml:space="preserve"> if the product is carried in a handbag.</w:t>
      </w:r>
    </w:p>
    <w:p w:rsidR="00B233A7" w:rsidRDefault="00B233A7" w:rsidP="00B233A7">
      <w:pPr>
        <w:spacing w:after="0"/>
        <w:rPr>
          <w:rFonts w:cs="Calibri"/>
        </w:rPr>
      </w:pPr>
      <w:r>
        <w:rPr>
          <w:rFonts w:cs="Calibri"/>
        </w:rPr>
        <w:t>The microbiology evaluator has noted that the design of the non</w:t>
      </w:r>
      <w:r w:rsidR="00EE4F58">
        <w:rPr>
          <w:rFonts w:cs="Calibri"/>
        </w:rPr>
        <w:t xml:space="preserve"> </w:t>
      </w:r>
      <w:r>
        <w:rPr>
          <w:rFonts w:cs="Calibri"/>
        </w:rPr>
        <w:t xml:space="preserve">vented multi-dose container effectively prevents microbial ingress and has recommended that the product be exempted from compliance with the preservative efficacy requirements of </w:t>
      </w:r>
      <w:r w:rsidR="006E2EBD">
        <w:rPr>
          <w:rFonts w:cs="Calibri"/>
        </w:rPr>
        <w:t>Therapeutics Goods Order Number 77 (</w:t>
      </w:r>
      <w:r>
        <w:rPr>
          <w:rFonts w:cs="Calibri"/>
        </w:rPr>
        <w:t>TGO 77</w:t>
      </w:r>
      <w:r w:rsidR="006E2EBD">
        <w:rPr>
          <w:rFonts w:cs="Calibri"/>
        </w:rPr>
        <w:t>)</w:t>
      </w:r>
      <w:r>
        <w:rPr>
          <w:rFonts w:cs="Calibri"/>
        </w:rPr>
        <w:t>.</w:t>
      </w:r>
    </w:p>
    <w:p w:rsidR="00B233A7" w:rsidRPr="00EE4E06" w:rsidRDefault="00B233A7" w:rsidP="00AC0C79">
      <w:r>
        <w:t>The following issues were referred by the pharmaceutical chemistry evaluator to the Delegate:</w:t>
      </w:r>
    </w:p>
    <w:p w:rsidR="00B233A7" w:rsidRPr="00EE4E06" w:rsidRDefault="00B233A7" w:rsidP="005970DC">
      <w:pPr>
        <w:pStyle w:val="ListBullet"/>
      </w:pPr>
      <w:r w:rsidRPr="00EE4E06">
        <w:t xml:space="preserve">Study FT-021-1M showed that the bioavailability of </w:t>
      </w:r>
      <w:proofErr w:type="spellStart"/>
      <w:r w:rsidR="001D723B">
        <w:t>Instanyl</w:t>
      </w:r>
      <w:proofErr w:type="spellEnd"/>
      <w:r w:rsidR="00FB6D43">
        <w:t xml:space="preserve"> nasal spray is several </w:t>
      </w:r>
      <w:r w:rsidRPr="00EE4E06">
        <w:t xml:space="preserve">fold greater than that of an oral </w:t>
      </w:r>
      <w:proofErr w:type="spellStart"/>
      <w:r w:rsidRPr="00EE4E06">
        <w:t>transmucosal</w:t>
      </w:r>
      <w:proofErr w:type="spellEnd"/>
      <w:r w:rsidRPr="00EE4E06">
        <w:t xml:space="preserve"> product. The Delegate </w:t>
      </w:r>
      <w:r w:rsidR="001643A8">
        <w:t>was asked to</w:t>
      </w:r>
      <w:r w:rsidRPr="00EE4E06">
        <w:t xml:space="preserve"> consider whether this should be highlighted in the </w:t>
      </w:r>
      <w:r w:rsidR="0091635E">
        <w:t>Product Information</w:t>
      </w:r>
      <w:r w:rsidRPr="00EE4E06">
        <w:t xml:space="preserve"> as there would be a serious risk of overdose if a patient switched from an oral </w:t>
      </w:r>
      <w:proofErr w:type="spellStart"/>
      <w:r w:rsidRPr="00EE4E06">
        <w:t>transmucosal</w:t>
      </w:r>
      <w:proofErr w:type="spellEnd"/>
      <w:r w:rsidRPr="00EE4E06">
        <w:t xml:space="preserve"> product to </w:t>
      </w:r>
      <w:proofErr w:type="spellStart"/>
      <w:r>
        <w:t>I</w:t>
      </w:r>
      <w:r w:rsidR="00CB399E">
        <w:t>nstanyl</w:t>
      </w:r>
      <w:proofErr w:type="spellEnd"/>
      <w:r w:rsidRPr="00EE4E06">
        <w:t xml:space="preserve"> at the same dose.</w:t>
      </w:r>
    </w:p>
    <w:p w:rsidR="00B233A7" w:rsidRDefault="00B233A7" w:rsidP="005970DC">
      <w:pPr>
        <w:pStyle w:val="ListBullet"/>
      </w:pPr>
      <w:r>
        <w:t>T</w:t>
      </w:r>
      <w:r w:rsidRPr="00EE4E06">
        <w:t>he design of the multi-dose product vial and child</w:t>
      </w:r>
      <w:r w:rsidR="00CB3EBE">
        <w:t xml:space="preserve"> </w:t>
      </w:r>
      <w:r w:rsidRPr="00EE4E06">
        <w:t>resistant container (</w:t>
      </w:r>
      <w:r>
        <w:t>a sample container will be provided to the committee</w:t>
      </w:r>
      <w:r w:rsidR="00AC0C79">
        <w:t>).</w:t>
      </w:r>
    </w:p>
    <w:p w:rsidR="00B233A7" w:rsidRPr="00EE4E06" w:rsidRDefault="00B233A7" w:rsidP="005970DC">
      <w:pPr>
        <w:pStyle w:val="ListBullet"/>
      </w:pPr>
      <w:r w:rsidRPr="00EE4E06">
        <w:t>All products contain an excess of solution in order to ensure that the stated nu</w:t>
      </w:r>
      <w:r w:rsidR="00144FBA">
        <w:t>mber of doses can be delivered.</w:t>
      </w:r>
    </w:p>
    <w:p w:rsidR="008E7846" w:rsidRDefault="008E7846" w:rsidP="008E7846">
      <w:pPr>
        <w:pStyle w:val="Heading3"/>
      </w:pPr>
      <w:bookmarkStart w:id="152" w:name="_Toc314842512"/>
      <w:bookmarkStart w:id="153" w:name="_Toc366842972"/>
      <w:r>
        <w:t>Nonclinical</w:t>
      </w:r>
      <w:bookmarkEnd w:id="152"/>
      <w:bookmarkEnd w:id="153"/>
    </w:p>
    <w:p w:rsidR="00F2238C" w:rsidRPr="00167337" w:rsidRDefault="00F2238C" w:rsidP="00F2238C">
      <w:pPr>
        <w:spacing w:after="0"/>
        <w:rPr>
          <w:rFonts w:cs="Calibri"/>
        </w:rPr>
      </w:pPr>
      <w:r w:rsidRPr="00167337">
        <w:rPr>
          <w:rFonts w:cs="Calibri"/>
        </w:rPr>
        <w:t xml:space="preserve">There </w:t>
      </w:r>
      <w:r w:rsidR="001643A8">
        <w:rPr>
          <w:rFonts w:cs="Calibri"/>
        </w:rPr>
        <w:t>were</w:t>
      </w:r>
      <w:r w:rsidRPr="00167337">
        <w:rPr>
          <w:rFonts w:cs="Calibri"/>
        </w:rPr>
        <w:t xml:space="preserve"> no nonclinical objections to the proposed new dosage form and route of </w:t>
      </w:r>
      <w:proofErr w:type="spellStart"/>
      <w:r w:rsidRPr="00167337">
        <w:rPr>
          <w:rFonts w:cs="Calibri"/>
        </w:rPr>
        <w:t>fentanyl</w:t>
      </w:r>
      <w:proofErr w:type="spellEnd"/>
      <w:r w:rsidRPr="00167337">
        <w:rPr>
          <w:rFonts w:cs="Calibri"/>
        </w:rPr>
        <w:t>.</w:t>
      </w:r>
    </w:p>
    <w:p w:rsidR="00F2238C" w:rsidRPr="00167337" w:rsidRDefault="00F2238C" w:rsidP="00F2238C">
      <w:pPr>
        <w:spacing w:after="0"/>
        <w:rPr>
          <w:rFonts w:cs="Calibri"/>
        </w:rPr>
      </w:pPr>
      <w:r>
        <w:rPr>
          <w:rFonts w:cs="Calibri"/>
        </w:rPr>
        <w:t>The nonclinical evaluator noted that t</w:t>
      </w:r>
      <w:r w:rsidRPr="00167337">
        <w:rPr>
          <w:rFonts w:cs="Calibri"/>
        </w:rPr>
        <w:t xml:space="preserve">he pharmacology and toxicology of </w:t>
      </w:r>
      <w:proofErr w:type="spellStart"/>
      <w:r w:rsidRPr="00167337">
        <w:rPr>
          <w:rFonts w:cs="Calibri"/>
        </w:rPr>
        <w:t>fentanyl</w:t>
      </w:r>
      <w:proofErr w:type="spellEnd"/>
      <w:r w:rsidRPr="00167337">
        <w:rPr>
          <w:rFonts w:cs="Calibri"/>
        </w:rPr>
        <w:t xml:space="preserve"> has been well established in extensive previous nonclinical and clinical studies. The submission contained no new data on the safety and efficacy of </w:t>
      </w:r>
      <w:proofErr w:type="spellStart"/>
      <w:r w:rsidRPr="00167337">
        <w:rPr>
          <w:rFonts w:cs="Calibri"/>
        </w:rPr>
        <w:t>fentanyl</w:t>
      </w:r>
      <w:proofErr w:type="spellEnd"/>
      <w:r w:rsidRPr="00167337">
        <w:rPr>
          <w:rFonts w:cs="Calibri"/>
        </w:rPr>
        <w:t xml:space="preserve"> and for these areas the submission relie</w:t>
      </w:r>
      <w:r>
        <w:rPr>
          <w:rFonts w:cs="Calibri"/>
        </w:rPr>
        <w:t>d</w:t>
      </w:r>
      <w:r w:rsidRPr="00167337">
        <w:rPr>
          <w:rFonts w:cs="Calibri"/>
        </w:rPr>
        <w:t xml:space="preserve"> on published studies. The information in th</w:t>
      </w:r>
      <w:r>
        <w:rPr>
          <w:rFonts w:cs="Calibri"/>
        </w:rPr>
        <w:t>o</w:t>
      </w:r>
      <w:r w:rsidRPr="00167337">
        <w:rPr>
          <w:rFonts w:cs="Calibri"/>
        </w:rPr>
        <w:t>se literature reports is well known and was not evaluated, but noted as submitted supporting information.</w:t>
      </w:r>
    </w:p>
    <w:p w:rsidR="00F2238C" w:rsidRPr="00167337" w:rsidRDefault="00F2238C" w:rsidP="00F2238C">
      <w:pPr>
        <w:spacing w:after="0"/>
        <w:rPr>
          <w:rFonts w:cs="Calibri"/>
        </w:rPr>
      </w:pPr>
      <w:r w:rsidRPr="00167337">
        <w:rPr>
          <w:rFonts w:cs="Calibri"/>
        </w:rPr>
        <w:t>Three GLP</w:t>
      </w:r>
      <w:r w:rsidR="008D3887">
        <w:rPr>
          <w:rFonts w:cs="Calibri"/>
        </w:rPr>
        <w:t xml:space="preserve"> </w:t>
      </w:r>
      <w:r w:rsidRPr="00167337">
        <w:rPr>
          <w:rFonts w:cs="Calibri"/>
        </w:rPr>
        <w:t>compliant local tolerance studies in mini</w:t>
      </w:r>
      <w:r w:rsidR="00FB6D43">
        <w:rPr>
          <w:rFonts w:cs="Calibri"/>
        </w:rPr>
        <w:t xml:space="preserve"> </w:t>
      </w:r>
      <w:r w:rsidRPr="00167337">
        <w:rPr>
          <w:rFonts w:cs="Calibri"/>
        </w:rPr>
        <w:t>pigs were submitted</w:t>
      </w:r>
      <w:r>
        <w:rPr>
          <w:rFonts w:cs="Calibri"/>
        </w:rPr>
        <w:t>.</w:t>
      </w:r>
      <w:r w:rsidR="00B050E6">
        <w:rPr>
          <w:rFonts w:cs="Calibri"/>
        </w:rPr>
        <w:t xml:space="preserve"> </w:t>
      </w:r>
      <w:r>
        <w:rPr>
          <w:rFonts w:cs="Calibri"/>
        </w:rPr>
        <w:t xml:space="preserve">These were </w:t>
      </w:r>
      <w:r w:rsidRPr="00167337">
        <w:rPr>
          <w:rFonts w:cs="Calibri"/>
        </w:rPr>
        <w:t>a dose</w:t>
      </w:r>
      <w:r w:rsidR="008D3887">
        <w:rPr>
          <w:rFonts w:cs="Calibri"/>
        </w:rPr>
        <w:t xml:space="preserve"> </w:t>
      </w:r>
      <w:r w:rsidRPr="00167337">
        <w:rPr>
          <w:rFonts w:cs="Calibri"/>
        </w:rPr>
        <w:t xml:space="preserve">ranging study and two 4 week repeat dose studies, in which </w:t>
      </w:r>
      <w:proofErr w:type="spellStart"/>
      <w:r w:rsidRPr="00167337">
        <w:rPr>
          <w:rFonts w:cs="Calibri"/>
        </w:rPr>
        <w:t>fentanyl</w:t>
      </w:r>
      <w:proofErr w:type="spellEnd"/>
      <w:r w:rsidRPr="00167337">
        <w:rPr>
          <w:rFonts w:cs="Calibri"/>
        </w:rPr>
        <w:t xml:space="preserve"> was administered as an intranasal spray using the formulation proposed for registration. No notable</w:t>
      </w:r>
      <w:r w:rsidR="00AC0C79">
        <w:rPr>
          <w:rFonts w:cs="Calibri"/>
        </w:rPr>
        <w:t xml:space="preserve"> local effects were identified.</w:t>
      </w:r>
    </w:p>
    <w:p w:rsidR="008E7846" w:rsidRDefault="008E7846" w:rsidP="008E7846">
      <w:pPr>
        <w:pStyle w:val="Heading3"/>
      </w:pPr>
      <w:bookmarkStart w:id="154" w:name="_Toc247691530"/>
      <w:bookmarkStart w:id="155" w:name="_Toc314842513"/>
      <w:bookmarkStart w:id="156" w:name="_Toc366842973"/>
      <w:r>
        <w:t>Clinical</w:t>
      </w:r>
      <w:bookmarkEnd w:id="154"/>
      <w:bookmarkEnd w:id="155"/>
      <w:bookmarkEnd w:id="156"/>
    </w:p>
    <w:p w:rsidR="00DB1773" w:rsidRPr="00014F34" w:rsidRDefault="00DB1773" w:rsidP="00CB4249">
      <w:pPr>
        <w:pStyle w:val="Heading4"/>
      </w:pPr>
      <w:r w:rsidRPr="00014F34">
        <w:t>Pharmacology</w:t>
      </w:r>
    </w:p>
    <w:p w:rsidR="00DB1773" w:rsidRDefault="00DB1773" w:rsidP="00DB1773">
      <w:pPr>
        <w:spacing w:after="0"/>
        <w:rPr>
          <w:rFonts w:cs="Calibri"/>
        </w:rPr>
      </w:pPr>
      <w:r w:rsidRPr="00014F34">
        <w:rPr>
          <w:rFonts w:cs="Calibri"/>
        </w:rPr>
        <w:t>The bioavailability of the intranasal formulation was estimated to be 100% according to a one compartment model analysis, 89% according to a two compartment model (preferred model) and 80% with a three compartment model.</w:t>
      </w:r>
      <w:r w:rsidR="00B050E6">
        <w:rPr>
          <w:rFonts w:cs="Calibri"/>
        </w:rPr>
        <w:t xml:space="preserve"> </w:t>
      </w:r>
      <w:r>
        <w:rPr>
          <w:rFonts w:cs="Calibri"/>
        </w:rPr>
        <w:t>F</w:t>
      </w:r>
      <w:r w:rsidRPr="00E817A6">
        <w:rPr>
          <w:rFonts w:cs="Calibri"/>
        </w:rPr>
        <w:t>or the four doses pooled</w:t>
      </w:r>
      <w:r w:rsidR="00D44CE8">
        <w:rPr>
          <w:rFonts w:cs="Calibri"/>
        </w:rPr>
        <w:t>,</w:t>
      </w:r>
      <w:r w:rsidRPr="00E817A6">
        <w:rPr>
          <w:rFonts w:cs="Calibri"/>
        </w:rPr>
        <w:t xml:space="preserve"> the mean AUC was higher following intranasal administration than it was following intravenous administration, though the difference was not statistically significant.</w:t>
      </w:r>
      <w:r>
        <w:rPr>
          <w:rFonts w:cs="Calibri"/>
        </w:rPr>
        <w:t xml:space="preserve"> The sponsor has proposed bioavailability be stated as 100% in the </w:t>
      </w:r>
      <w:r w:rsidR="0091635E">
        <w:rPr>
          <w:rFonts w:cs="Calibri"/>
        </w:rPr>
        <w:t>Product Information</w:t>
      </w:r>
      <w:r>
        <w:rPr>
          <w:rFonts w:cs="Calibri"/>
        </w:rPr>
        <w:t>.</w:t>
      </w:r>
      <w:r w:rsidR="00B050E6">
        <w:rPr>
          <w:rFonts w:cs="Calibri"/>
        </w:rPr>
        <w:t xml:space="preserve"> </w:t>
      </w:r>
      <w:r>
        <w:rPr>
          <w:rFonts w:cs="Calibri"/>
        </w:rPr>
        <w:t>In Study FT-022-</w:t>
      </w:r>
      <w:r>
        <w:rPr>
          <w:rFonts w:cs="Calibri"/>
        </w:rPr>
        <w:lastRenderedPageBreak/>
        <w:t>IM</w:t>
      </w:r>
      <w:r w:rsidR="00231949">
        <w:rPr>
          <w:rFonts w:cs="Calibri"/>
        </w:rPr>
        <w:t>,</w:t>
      </w:r>
      <w:r>
        <w:rPr>
          <w:rFonts w:cs="Calibri"/>
        </w:rPr>
        <w:t xml:space="preserve"> t</w:t>
      </w:r>
      <w:r w:rsidR="00115A5B">
        <w:rPr>
          <w:rFonts w:cs="Calibri"/>
        </w:rPr>
        <w:t xml:space="preserve">he mean </w:t>
      </w:r>
      <w:proofErr w:type="spellStart"/>
      <w:r w:rsidR="00115A5B">
        <w:rPr>
          <w:rFonts w:cs="Calibri"/>
        </w:rPr>
        <w:t>C</w:t>
      </w:r>
      <w:r w:rsidR="00115A5B" w:rsidRPr="001643A8">
        <w:rPr>
          <w:rFonts w:cs="Calibri"/>
          <w:vertAlign w:val="subscript"/>
        </w:rPr>
        <w:t>max</w:t>
      </w:r>
      <w:proofErr w:type="spellEnd"/>
      <w:r w:rsidRPr="00014F34">
        <w:rPr>
          <w:rFonts w:cs="Calibri"/>
        </w:rPr>
        <w:t xml:space="preserve"> results obtained for </w:t>
      </w:r>
      <w:proofErr w:type="spellStart"/>
      <w:r w:rsidR="001D723B">
        <w:rPr>
          <w:rFonts w:cs="Calibri"/>
        </w:rPr>
        <w:t>Instanyl</w:t>
      </w:r>
      <w:proofErr w:type="spellEnd"/>
      <w:r>
        <w:rPr>
          <w:rFonts w:cs="Calibri"/>
        </w:rPr>
        <w:t xml:space="preserve"> </w:t>
      </w:r>
      <w:r w:rsidRPr="00014F34">
        <w:rPr>
          <w:rFonts w:cs="Calibri"/>
        </w:rPr>
        <w:t xml:space="preserve">doses </w:t>
      </w:r>
      <w:r>
        <w:rPr>
          <w:rFonts w:cs="Calibri"/>
        </w:rPr>
        <w:t xml:space="preserve">of </w:t>
      </w:r>
      <w:r w:rsidRPr="00014F34">
        <w:rPr>
          <w:rFonts w:cs="Calibri"/>
        </w:rPr>
        <w:t xml:space="preserve">75, 100, 150 and 200 </w:t>
      </w:r>
      <w:proofErr w:type="spellStart"/>
      <w:r w:rsidRPr="00014F34">
        <w:rPr>
          <w:rFonts w:cs="Calibri"/>
        </w:rPr>
        <w:t>μg</w:t>
      </w:r>
      <w:proofErr w:type="spellEnd"/>
      <w:r w:rsidRPr="00014F34">
        <w:rPr>
          <w:rFonts w:cs="Calibri"/>
        </w:rPr>
        <w:t xml:space="preserve"> were 0.7, 1.0, 1.4 and </w:t>
      </w:r>
      <w:proofErr w:type="gramStart"/>
      <w:r w:rsidRPr="00014F34">
        <w:rPr>
          <w:rFonts w:cs="Calibri"/>
        </w:rPr>
        <w:t xml:space="preserve">1.7 </w:t>
      </w:r>
      <w:proofErr w:type="spellStart"/>
      <w:r w:rsidRPr="00014F34">
        <w:rPr>
          <w:rFonts w:cs="Calibri"/>
        </w:rPr>
        <w:t>ng</w:t>
      </w:r>
      <w:proofErr w:type="spellEnd"/>
      <w:r w:rsidRPr="00014F34">
        <w:rPr>
          <w:rFonts w:cs="Calibri"/>
        </w:rPr>
        <w:t>/</w:t>
      </w:r>
      <w:proofErr w:type="spellStart"/>
      <w:r w:rsidRPr="00014F34">
        <w:rPr>
          <w:rFonts w:cs="Calibri"/>
        </w:rPr>
        <w:t>mL</w:t>
      </w:r>
      <w:proofErr w:type="spellEnd"/>
      <w:r w:rsidRPr="00014F34">
        <w:rPr>
          <w:rFonts w:cs="Calibri"/>
        </w:rPr>
        <w:t xml:space="preserve"> respectively</w:t>
      </w:r>
      <w:proofErr w:type="gramEnd"/>
      <w:r w:rsidRPr="00014F34">
        <w:rPr>
          <w:rFonts w:cs="Calibri"/>
        </w:rPr>
        <w:t xml:space="preserve">. </w:t>
      </w:r>
      <w:r>
        <w:rPr>
          <w:rFonts w:cs="Calibri"/>
        </w:rPr>
        <w:t>Pharmacokinetics</w:t>
      </w:r>
      <w:r w:rsidRPr="00014F34">
        <w:rPr>
          <w:rFonts w:cs="Calibri"/>
        </w:rPr>
        <w:t xml:space="preserve"> w</w:t>
      </w:r>
      <w:r>
        <w:rPr>
          <w:rFonts w:cs="Calibri"/>
        </w:rPr>
        <w:t>as</w:t>
      </w:r>
      <w:r w:rsidRPr="00014F34">
        <w:rPr>
          <w:rFonts w:cs="Calibri"/>
        </w:rPr>
        <w:t xml:space="preserve"> linear within the dose range </w:t>
      </w:r>
      <w:r w:rsidRPr="00014F34">
        <w:rPr>
          <w:rFonts w:cs="Calibri"/>
          <w:bCs/>
        </w:rPr>
        <w:t xml:space="preserve">50 </w:t>
      </w:r>
      <w:proofErr w:type="spellStart"/>
      <w:r w:rsidRPr="00014F34">
        <w:rPr>
          <w:rFonts w:cs="Calibri"/>
          <w:bCs/>
        </w:rPr>
        <w:t>μg</w:t>
      </w:r>
      <w:proofErr w:type="spellEnd"/>
      <w:r w:rsidRPr="00014F34">
        <w:rPr>
          <w:rFonts w:cs="Calibri"/>
          <w:bCs/>
        </w:rPr>
        <w:t xml:space="preserve"> to 200 </w:t>
      </w:r>
      <w:proofErr w:type="spellStart"/>
      <w:r w:rsidRPr="00014F34">
        <w:rPr>
          <w:rFonts w:cs="Calibri"/>
          <w:bCs/>
        </w:rPr>
        <w:t>μg</w:t>
      </w:r>
      <w:proofErr w:type="spellEnd"/>
      <w:r>
        <w:rPr>
          <w:rFonts w:cs="Calibri"/>
          <w:bCs/>
        </w:rPr>
        <w:t>.</w:t>
      </w:r>
      <w:r w:rsidR="00B050E6">
        <w:rPr>
          <w:rFonts w:cs="Calibri"/>
          <w:bCs/>
        </w:rPr>
        <w:t xml:space="preserve"> </w:t>
      </w:r>
      <w:r w:rsidRPr="00014F34">
        <w:rPr>
          <w:rFonts w:cs="Calibri"/>
        </w:rPr>
        <w:t xml:space="preserve">Mean </w:t>
      </w:r>
      <w:proofErr w:type="spellStart"/>
      <w:r w:rsidR="00115A5B">
        <w:rPr>
          <w:rFonts w:cs="Calibri"/>
        </w:rPr>
        <w:t>T</w:t>
      </w:r>
      <w:r w:rsidR="00115A5B" w:rsidRPr="001643A8">
        <w:rPr>
          <w:rFonts w:cs="Calibri"/>
          <w:vertAlign w:val="subscript"/>
        </w:rPr>
        <w:t>max</w:t>
      </w:r>
      <w:proofErr w:type="spellEnd"/>
      <w:r w:rsidRPr="001643A8">
        <w:rPr>
          <w:rFonts w:cs="Calibri"/>
          <w:vertAlign w:val="subscript"/>
        </w:rPr>
        <w:t xml:space="preserve"> </w:t>
      </w:r>
      <w:r w:rsidR="00115A5B">
        <w:rPr>
          <w:rFonts w:cs="Calibri"/>
        </w:rPr>
        <w:t>(</w:t>
      </w:r>
      <w:r w:rsidR="00391461">
        <w:rPr>
          <w:rFonts w:cs="Calibri"/>
        </w:rPr>
        <w:t>time to reach maximum</w:t>
      </w:r>
      <w:r w:rsidR="00391461" w:rsidRPr="00391461">
        <w:rPr>
          <w:rFonts w:cs="Calibri"/>
        </w:rPr>
        <w:t xml:space="preserve"> plasma concentration</w:t>
      </w:r>
      <w:r w:rsidR="00115A5B">
        <w:rPr>
          <w:rFonts w:cs="Calibri"/>
        </w:rPr>
        <w:t xml:space="preserve">) </w:t>
      </w:r>
      <w:r w:rsidRPr="00014F34">
        <w:rPr>
          <w:rFonts w:cs="Calibri"/>
        </w:rPr>
        <w:t>was 13 minutes for intranasal administration</w:t>
      </w:r>
      <w:r>
        <w:rPr>
          <w:rFonts w:cs="Calibri"/>
        </w:rPr>
        <w:t xml:space="preserve"> in one study and from 30 to 38 minutes in another study where up to 4 actuations (400 µL total volume) of </w:t>
      </w:r>
      <w:proofErr w:type="spellStart"/>
      <w:r>
        <w:rPr>
          <w:rFonts w:cs="Calibri"/>
        </w:rPr>
        <w:t>fentanyl</w:t>
      </w:r>
      <w:proofErr w:type="spellEnd"/>
      <w:r>
        <w:rPr>
          <w:rFonts w:cs="Calibri"/>
        </w:rPr>
        <w:t xml:space="preserve"> were delivered into one nostril.</w:t>
      </w:r>
      <w:r w:rsidR="00B050E6">
        <w:rPr>
          <w:rFonts w:cs="Calibri"/>
        </w:rPr>
        <w:t xml:space="preserve"> </w:t>
      </w:r>
      <w:r>
        <w:rPr>
          <w:rFonts w:cs="Calibri"/>
        </w:rPr>
        <w:t>Dose proportionality within the dose range 50 to 200 µg was adequately demonstrated in that study.</w:t>
      </w:r>
    </w:p>
    <w:p w:rsidR="00DB1773" w:rsidRDefault="00DB1773" w:rsidP="00DB1773">
      <w:pPr>
        <w:spacing w:after="0"/>
        <w:rPr>
          <w:rFonts w:cs="Calibri"/>
        </w:rPr>
      </w:pPr>
      <w:r>
        <w:rPr>
          <w:rFonts w:cs="Calibri"/>
        </w:rPr>
        <w:t>Study FT-1305-028-SP did not demonstrate bioequivalence of 2 x 50 µg doses with a single 100 µg dose.</w:t>
      </w:r>
      <w:r w:rsidR="00B050E6">
        <w:rPr>
          <w:rFonts w:cs="Calibri"/>
        </w:rPr>
        <w:t xml:space="preserve"> </w:t>
      </w:r>
      <w:r>
        <w:rPr>
          <w:rFonts w:cs="Calibri"/>
        </w:rPr>
        <w:t xml:space="preserve">That study </w:t>
      </w:r>
      <w:r w:rsidRPr="00F94A4B">
        <w:rPr>
          <w:rFonts w:cs="Calibri"/>
          <w:bCs/>
        </w:rPr>
        <w:t>was a randomised, open</w:t>
      </w:r>
      <w:r w:rsidR="00231949">
        <w:rPr>
          <w:rFonts w:cs="Calibri"/>
          <w:bCs/>
        </w:rPr>
        <w:t xml:space="preserve"> </w:t>
      </w:r>
      <w:r w:rsidRPr="00F94A4B">
        <w:rPr>
          <w:rFonts w:cs="Calibri"/>
          <w:bCs/>
        </w:rPr>
        <w:t>label, two way, c</w:t>
      </w:r>
      <w:r w:rsidR="00971C3D">
        <w:rPr>
          <w:rFonts w:cs="Calibri"/>
          <w:bCs/>
        </w:rPr>
        <w:t>ross over study to assess the pharmacokinetics</w:t>
      </w:r>
      <w:r w:rsidRPr="00F94A4B">
        <w:rPr>
          <w:rFonts w:cs="Calibri"/>
          <w:bCs/>
        </w:rPr>
        <w:t xml:space="preserve"> of one or two doses in 16 non</w:t>
      </w:r>
      <w:r w:rsidR="003F5202">
        <w:rPr>
          <w:rFonts w:cs="Calibri"/>
          <w:bCs/>
        </w:rPr>
        <w:t xml:space="preserve"> </w:t>
      </w:r>
      <w:r w:rsidRPr="00F94A4B">
        <w:rPr>
          <w:rFonts w:cs="Calibri"/>
          <w:bCs/>
        </w:rPr>
        <w:t xml:space="preserve">elderly (&gt;18 and </w:t>
      </w:r>
      <w:r w:rsidRPr="00F94A4B">
        <w:rPr>
          <w:rFonts w:cs="Calibri"/>
        </w:rPr>
        <w:t>≤</w:t>
      </w:r>
      <w:r w:rsidRPr="00F94A4B">
        <w:rPr>
          <w:rFonts w:cs="Calibri"/>
          <w:bCs/>
        </w:rPr>
        <w:t xml:space="preserve"> 45 years) and 7 elderly healthy subjects (</w:t>
      </w:r>
      <w:r w:rsidRPr="00F94A4B">
        <w:rPr>
          <w:rFonts w:cs="Calibri"/>
        </w:rPr>
        <w:t>≥</w:t>
      </w:r>
      <w:r w:rsidR="001643A8">
        <w:rPr>
          <w:rFonts w:cs="Calibri"/>
        </w:rPr>
        <w:t xml:space="preserve"> </w:t>
      </w:r>
      <w:r w:rsidRPr="00F94A4B">
        <w:rPr>
          <w:rFonts w:cs="Calibri"/>
          <w:bCs/>
        </w:rPr>
        <w:t xml:space="preserve">65 years). Results indicated moderately lower bioavailability and peak plasma </w:t>
      </w:r>
      <w:proofErr w:type="spellStart"/>
      <w:r w:rsidRPr="00F94A4B">
        <w:rPr>
          <w:rFonts w:cs="Calibri"/>
          <w:bCs/>
        </w:rPr>
        <w:t>fentanyl</w:t>
      </w:r>
      <w:proofErr w:type="spellEnd"/>
      <w:r w:rsidRPr="00F94A4B">
        <w:rPr>
          <w:rFonts w:cs="Calibri"/>
          <w:bCs/>
        </w:rPr>
        <w:t xml:space="preserve"> concentrations following administration of </w:t>
      </w:r>
      <w:r>
        <w:rPr>
          <w:rFonts w:cs="Calibri"/>
          <w:bCs/>
        </w:rPr>
        <w:t>2x</w:t>
      </w:r>
      <w:r w:rsidRPr="00F94A4B">
        <w:rPr>
          <w:rFonts w:cs="Calibri"/>
          <w:bCs/>
        </w:rPr>
        <w:t xml:space="preserve"> 50 </w:t>
      </w:r>
      <w:proofErr w:type="spellStart"/>
      <w:r w:rsidRPr="00F94A4B">
        <w:rPr>
          <w:rFonts w:cs="Calibri"/>
        </w:rPr>
        <w:t>μg</w:t>
      </w:r>
      <w:proofErr w:type="spellEnd"/>
      <w:r w:rsidRPr="00F94A4B">
        <w:rPr>
          <w:rFonts w:cs="Calibri"/>
        </w:rPr>
        <w:t xml:space="preserve"> </w:t>
      </w:r>
      <w:r>
        <w:rPr>
          <w:rFonts w:cs="Calibri"/>
        </w:rPr>
        <w:t>doses</w:t>
      </w:r>
      <w:r w:rsidRPr="00F94A4B">
        <w:rPr>
          <w:rFonts w:cs="Calibri"/>
        </w:rPr>
        <w:t xml:space="preserve"> compared to </w:t>
      </w:r>
      <w:r>
        <w:rPr>
          <w:rFonts w:cs="Calibri"/>
        </w:rPr>
        <w:t xml:space="preserve">a single </w:t>
      </w:r>
      <w:r w:rsidRPr="00F94A4B">
        <w:rPr>
          <w:rFonts w:cs="Calibri"/>
        </w:rPr>
        <w:t xml:space="preserve">100 </w:t>
      </w:r>
      <w:proofErr w:type="spellStart"/>
      <w:r w:rsidRPr="00F94A4B">
        <w:rPr>
          <w:rFonts w:cs="Calibri"/>
        </w:rPr>
        <w:t>μg</w:t>
      </w:r>
      <w:proofErr w:type="spellEnd"/>
      <w:r w:rsidRPr="00F94A4B">
        <w:rPr>
          <w:rFonts w:cs="Calibri"/>
        </w:rPr>
        <w:t xml:space="preserve"> dose. </w:t>
      </w:r>
      <w:r>
        <w:rPr>
          <w:rFonts w:cs="Calibri"/>
          <w:bCs/>
        </w:rPr>
        <w:t>In older adults the</w:t>
      </w:r>
      <w:r w:rsidRPr="00014F34">
        <w:rPr>
          <w:rFonts w:cs="Calibri"/>
          <w:bCs/>
        </w:rPr>
        <w:t xml:space="preserve"> AUC, half life, clearance and volume of distribution was found</w:t>
      </w:r>
      <w:r>
        <w:rPr>
          <w:rFonts w:cs="Calibri"/>
          <w:bCs/>
        </w:rPr>
        <w:t xml:space="preserve"> to be comparable with young adults</w:t>
      </w:r>
      <w:r w:rsidRPr="00014F34">
        <w:rPr>
          <w:rFonts w:cs="Calibri"/>
          <w:bCs/>
        </w:rPr>
        <w:t xml:space="preserve">. </w:t>
      </w:r>
      <w:r>
        <w:rPr>
          <w:rFonts w:cs="Calibri"/>
          <w:bCs/>
        </w:rPr>
        <w:t>T</w:t>
      </w:r>
      <w:r w:rsidRPr="00014F34">
        <w:rPr>
          <w:rFonts w:cs="Calibri"/>
          <w:bCs/>
        </w:rPr>
        <w:t xml:space="preserve">hese results were not consistent with published references </w:t>
      </w:r>
      <w:r>
        <w:rPr>
          <w:rFonts w:cs="Calibri"/>
          <w:bCs/>
        </w:rPr>
        <w:t>for</w:t>
      </w:r>
      <w:r w:rsidRPr="00014F34">
        <w:rPr>
          <w:rFonts w:cs="Calibri"/>
          <w:bCs/>
        </w:rPr>
        <w:t xml:space="preserve"> other intranasal </w:t>
      </w:r>
      <w:proofErr w:type="spellStart"/>
      <w:r w:rsidRPr="00014F34">
        <w:rPr>
          <w:rFonts w:cs="Calibri"/>
          <w:bCs/>
        </w:rPr>
        <w:t>fe</w:t>
      </w:r>
      <w:r w:rsidR="00115A5B">
        <w:rPr>
          <w:rFonts w:cs="Calibri"/>
          <w:bCs/>
        </w:rPr>
        <w:t>ntanyl</w:t>
      </w:r>
      <w:proofErr w:type="spellEnd"/>
      <w:r w:rsidR="00115A5B">
        <w:rPr>
          <w:rFonts w:cs="Calibri"/>
          <w:bCs/>
        </w:rPr>
        <w:t xml:space="preserve"> products where a higher </w:t>
      </w:r>
      <w:proofErr w:type="spellStart"/>
      <w:r w:rsidR="00115A5B">
        <w:rPr>
          <w:rFonts w:cs="Calibri"/>
          <w:bCs/>
        </w:rPr>
        <w:t>C</w:t>
      </w:r>
      <w:r w:rsidR="00115A5B" w:rsidRPr="001643A8">
        <w:rPr>
          <w:rFonts w:cs="Calibri"/>
          <w:bCs/>
          <w:vertAlign w:val="subscript"/>
        </w:rPr>
        <w:t>max</w:t>
      </w:r>
      <w:proofErr w:type="spellEnd"/>
      <w:r w:rsidRPr="00014F34">
        <w:rPr>
          <w:rFonts w:cs="Calibri"/>
          <w:bCs/>
        </w:rPr>
        <w:t xml:space="preserve"> and significantly longer elimination half life was seen in individuals &gt;60 years. This </w:t>
      </w:r>
      <w:r>
        <w:rPr>
          <w:rFonts w:cs="Calibri"/>
          <w:bCs/>
        </w:rPr>
        <w:t>has been</w:t>
      </w:r>
      <w:r w:rsidRPr="00014F34">
        <w:rPr>
          <w:rFonts w:cs="Calibri"/>
          <w:bCs/>
        </w:rPr>
        <w:t xml:space="preserve"> thought to result from reduced drug clearance.</w:t>
      </w:r>
      <w:r w:rsidR="00B050E6">
        <w:rPr>
          <w:rFonts w:cs="Calibri"/>
          <w:bCs/>
        </w:rPr>
        <w:t xml:space="preserve"> </w:t>
      </w:r>
      <w:r w:rsidR="00F27BEB">
        <w:rPr>
          <w:rFonts w:cs="Calibri"/>
          <w:bCs/>
        </w:rPr>
        <w:t xml:space="preserve">Study </w:t>
      </w:r>
      <w:r>
        <w:rPr>
          <w:rFonts w:cs="Calibri"/>
        </w:rPr>
        <w:t xml:space="preserve">FT-1305-028-SP </w:t>
      </w:r>
      <w:r>
        <w:rPr>
          <w:rFonts w:cs="Calibri"/>
          <w:bCs/>
        </w:rPr>
        <w:t>was a small study and t</w:t>
      </w:r>
      <w:r>
        <w:rPr>
          <w:rFonts w:cs="Calibri"/>
        </w:rPr>
        <w:t xml:space="preserve">he intra and inter subject CV% for </w:t>
      </w:r>
      <w:proofErr w:type="spellStart"/>
      <w:r>
        <w:rPr>
          <w:rFonts w:cs="Calibri"/>
        </w:rPr>
        <w:t>C</w:t>
      </w:r>
      <w:r w:rsidRPr="001643A8">
        <w:rPr>
          <w:rFonts w:cs="Calibri"/>
          <w:vertAlign w:val="subscript"/>
        </w:rPr>
        <w:t>max</w:t>
      </w:r>
      <w:proofErr w:type="spellEnd"/>
      <w:r>
        <w:rPr>
          <w:rFonts w:cs="Calibri"/>
        </w:rPr>
        <w:t xml:space="preserve"> and A</w:t>
      </w:r>
      <w:r w:rsidR="00622FA8">
        <w:rPr>
          <w:rFonts w:cs="Calibri"/>
        </w:rPr>
        <w:t xml:space="preserve">UC were quite large, </w:t>
      </w:r>
      <w:r>
        <w:rPr>
          <w:rFonts w:cs="Calibri"/>
        </w:rPr>
        <w:t>which may account for the discordant results of that study.</w:t>
      </w:r>
    </w:p>
    <w:p w:rsidR="00DB1773" w:rsidRPr="00014F34" w:rsidRDefault="001D723B" w:rsidP="00DB1773">
      <w:pPr>
        <w:spacing w:after="0"/>
        <w:rPr>
          <w:rFonts w:cs="Calibri"/>
        </w:rPr>
      </w:pPr>
      <w:proofErr w:type="spellStart"/>
      <w:r>
        <w:rPr>
          <w:rFonts w:cs="Calibri"/>
        </w:rPr>
        <w:t>Instanyl</w:t>
      </w:r>
      <w:proofErr w:type="spellEnd"/>
      <w:r w:rsidR="00DB1773" w:rsidRPr="00014F34">
        <w:rPr>
          <w:rFonts w:cs="Calibri"/>
        </w:rPr>
        <w:t xml:space="preserve"> is not interchangeable with </w:t>
      </w:r>
      <w:proofErr w:type="spellStart"/>
      <w:r w:rsidR="00226B96">
        <w:rPr>
          <w:rFonts w:cs="Calibri"/>
        </w:rPr>
        <w:t>Actiq</w:t>
      </w:r>
      <w:proofErr w:type="spellEnd"/>
      <w:r w:rsidR="00EA3802">
        <w:rPr>
          <w:rFonts w:cs="Calibri"/>
        </w:rPr>
        <w:t xml:space="preserve"> (as marketed in the US</w:t>
      </w:r>
      <w:r w:rsidR="00DB1773" w:rsidRPr="00014F34">
        <w:rPr>
          <w:rFonts w:cs="Calibri"/>
        </w:rPr>
        <w:t>) as it has a higher bioavailability</w:t>
      </w:r>
      <w:r w:rsidR="00DB1773">
        <w:rPr>
          <w:rFonts w:cs="Calibri"/>
        </w:rPr>
        <w:t xml:space="preserve">, higher </w:t>
      </w:r>
      <w:proofErr w:type="spellStart"/>
      <w:r w:rsidR="00DB1773">
        <w:rPr>
          <w:rFonts w:cs="Calibri"/>
        </w:rPr>
        <w:t>C</w:t>
      </w:r>
      <w:r w:rsidR="00DB1773" w:rsidRPr="001643A8">
        <w:rPr>
          <w:rFonts w:cs="Calibri"/>
          <w:vertAlign w:val="subscript"/>
        </w:rPr>
        <w:t>max</w:t>
      </w:r>
      <w:proofErr w:type="spellEnd"/>
      <w:r w:rsidR="00DB1773">
        <w:rPr>
          <w:rFonts w:cs="Calibri"/>
        </w:rPr>
        <w:t xml:space="preserve"> and shorter </w:t>
      </w:r>
      <w:proofErr w:type="spellStart"/>
      <w:r w:rsidR="00DB1773">
        <w:rPr>
          <w:rFonts w:cs="Calibri"/>
        </w:rPr>
        <w:t>T</w:t>
      </w:r>
      <w:r w:rsidR="00DB1773" w:rsidRPr="001643A8">
        <w:rPr>
          <w:rFonts w:cs="Calibri"/>
          <w:vertAlign w:val="subscript"/>
        </w:rPr>
        <w:t>max</w:t>
      </w:r>
      <w:proofErr w:type="spellEnd"/>
      <w:r w:rsidR="00DB1773" w:rsidRPr="001643A8">
        <w:rPr>
          <w:rFonts w:cs="Calibri"/>
          <w:vertAlign w:val="subscript"/>
        </w:rPr>
        <w:t xml:space="preserve"> </w:t>
      </w:r>
      <w:r w:rsidR="00DB1773">
        <w:rPr>
          <w:rFonts w:cs="Calibri"/>
        </w:rPr>
        <w:t xml:space="preserve">for the same </w:t>
      </w:r>
      <w:proofErr w:type="spellStart"/>
      <w:r w:rsidR="00DB1773">
        <w:rPr>
          <w:rFonts w:cs="Calibri"/>
        </w:rPr>
        <w:t>fentanyl</w:t>
      </w:r>
      <w:proofErr w:type="spellEnd"/>
      <w:r w:rsidR="00DB1773">
        <w:rPr>
          <w:rFonts w:cs="Calibri"/>
        </w:rPr>
        <w:t xml:space="preserve"> dose</w:t>
      </w:r>
      <w:r w:rsidR="00DB1773" w:rsidRPr="00014F34">
        <w:rPr>
          <w:rFonts w:cs="Calibri"/>
        </w:rPr>
        <w:t>.</w:t>
      </w:r>
      <w:r w:rsidR="00B050E6">
        <w:rPr>
          <w:rFonts w:cs="Calibri"/>
        </w:rPr>
        <w:t xml:space="preserve"> </w:t>
      </w:r>
      <w:r w:rsidR="00DB1773" w:rsidRPr="00014F34">
        <w:rPr>
          <w:rFonts w:cs="Calibri"/>
        </w:rPr>
        <w:t xml:space="preserve">The half life for </w:t>
      </w:r>
      <w:proofErr w:type="spellStart"/>
      <w:r w:rsidR="00DB1773" w:rsidRPr="00014F34">
        <w:rPr>
          <w:rFonts w:cs="Calibri"/>
        </w:rPr>
        <w:t>fentanyl</w:t>
      </w:r>
      <w:proofErr w:type="spellEnd"/>
      <w:r w:rsidR="00DB1773" w:rsidRPr="00014F34">
        <w:rPr>
          <w:rFonts w:cs="Calibri"/>
        </w:rPr>
        <w:t xml:space="preserve"> when administered as </w:t>
      </w:r>
      <w:proofErr w:type="spellStart"/>
      <w:r>
        <w:rPr>
          <w:rFonts w:cs="Calibri"/>
        </w:rPr>
        <w:t>Instanyl</w:t>
      </w:r>
      <w:proofErr w:type="spellEnd"/>
      <w:r w:rsidR="002915EA">
        <w:rPr>
          <w:rFonts w:cs="Calibri"/>
        </w:rPr>
        <w:t xml:space="preserve"> is approximately 3-4 h</w:t>
      </w:r>
      <w:r w:rsidR="00DB1773" w:rsidRPr="00014F34">
        <w:rPr>
          <w:rFonts w:cs="Calibri"/>
        </w:rPr>
        <w:t xml:space="preserve"> in </w:t>
      </w:r>
      <w:r w:rsidR="00DB1773">
        <w:rPr>
          <w:rFonts w:cs="Calibri"/>
        </w:rPr>
        <w:t xml:space="preserve">patients with </w:t>
      </w:r>
      <w:r w:rsidR="00DB1773" w:rsidRPr="00014F34">
        <w:rPr>
          <w:rFonts w:cs="Calibri"/>
        </w:rPr>
        <w:t xml:space="preserve">cancer </w:t>
      </w:r>
      <w:r w:rsidR="00DB1773">
        <w:rPr>
          <w:rFonts w:cs="Calibri"/>
        </w:rPr>
        <w:t xml:space="preserve">and </w:t>
      </w:r>
      <w:r w:rsidR="00067DB9">
        <w:rPr>
          <w:rFonts w:cs="Calibri"/>
        </w:rPr>
        <w:t>BTP</w:t>
      </w:r>
      <w:r w:rsidR="00DB1773" w:rsidRPr="00014F34">
        <w:rPr>
          <w:rFonts w:cs="Calibri"/>
        </w:rPr>
        <w:t xml:space="preserve">. The elimination of </w:t>
      </w:r>
      <w:proofErr w:type="spellStart"/>
      <w:r w:rsidR="00DB1773" w:rsidRPr="00014F34">
        <w:rPr>
          <w:rFonts w:cs="Calibri"/>
        </w:rPr>
        <w:t>fentanyl</w:t>
      </w:r>
      <w:proofErr w:type="spellEnd"/>
      <w:r w:rsidR="00DB1773" w:rsidRPr="00014F34">
        <w:rPr>
          <w:rFonts w:cs="Calibri"/>
        </w:rPr>
        <w:t xml:space="preserve"> is biphasic and the terminal phase starts around 6 h following administration. The mean terminal eliminat</w:t>
      </w:r>
      <w:r w:rsidR="007F2223">
        <w:rPr>
          <w:rFonts w:cs="Calibri"/>
        </w:rPr>
        <w:t>ion half life was up to 15 h</w:t>
      </w:r>
      <w:r w:rsidR="00DB1773" w:rsidRPr="00014F34">
        <w:rPr>
          <w:rFonts w:cs="Calibri"/>
        </w:rPr>
        <w:t xml:space="preserve"> after a single administration of 200 </w:t>
      </w:r>
      <w:proofErr w:type="spellStart"/>
      <w:r w:rsidR="00DB1773" w:rsidRPr="00014F34">
        <w:rPr>
          <w:rFonts w:cs="Calibri"/>
        </w:rPr>
        <w:t>μg</w:t>
      </w:r>
      <w:proofErr w:type="spellEnd"/>
      <w:r w:rsidR="00DB1773" w:rsidRPr="00014F34">
        <w:rPr>
          <w:rFonts w:cs="Calibri"/>
        </w:rPr>
        <w:t xml:space="preserve"> in healthy subjects.</w:t>
      </w:r>
    </w:p>
    <w:p w:rsidR="00DB1773" w:rsidRPr="00014F34" w:rsidRDefault="00DB1773" w:rsidP="00DB1773">
      <w:pPr>
        <w:spacing w:after="0"/>
        <w:rPr>
          <w:rFonts w:cs="Calibri"/>
        </w:rPr>
      </w:pPr>
      <w:r w:rsidRPr="00014F34">
        <w:rPr>
          <w:rFonts w:cs="Calibri"/>
        </w:rPr>
        <w:t>There was a high degree of inter</w:t>
      </w:r>
      <w:r>
        <w:rPr>
          <w:rFonts w:cs="Calibri"/>
        </w:rPr>
        <w:t xml:space="preserve"> and intra</w:t>
      </w:r>
      <w:r w:rsidR="007F2223">
        <w:rPr>
          <w:rFonts w:cs="Calibri"/>
        </w:rPr>
        <w:t xml:space="preserve"> subject variability in pharmacokinetic</w:t>
      </w:r>
      <w:r w:rsidRPr="00014F34">
        <w:rPr>
          <w:rFonts w:cs="Calibri"/>
        </w:rPr>
        <w:t xml:space="preserve"> parameters.</w:t>
      </w:r>
      <w:r w:rsidR="00B050E6">
        <w:rPr>
          <w:rFonts w:cs="Calibri"/>
        </w:rPr>
        <w:t xml:space="preserve"> </w:t>
      </w:r>
      <w:r w:rsidRPr="00014F34">
        <w:rPr>
          <w:rFonts w:cs="Calibri"/>
        </w:rPr>
        <w:t>No studies were performed in subjects with impaired hepatic or renal function.</w:t>
      </w:r>
      <w:r w:rsidR="00B050E6">
        <w:rPr>
          <w:rFonts w:cs="Calibri"/>
        </w:rPr>
        <w:t xml:space="preserve"> </w:t>
      </w:r>
      <w:r w:rsidRPr="00014F34">
        <w:rPr>
          <w:rFonts w:cs="Calibri"/>
        </w:rPr>
        <w:t xml:space="preserve">The </w:t>
      </w:r>
      <w:r w:rsidR="007F2223">
        <w:rPr>
          <w:rFonts w:cs="Calibri"/>
        </w:rPr>
        <w:t>pharmacokinetic</w:t>
      </w:r>
      <w:r w:rsidRPr="00014F34">
        <w:rPr>
          <w:rFonts w:cs="Calibri"/>
        </w:rPr>
        <w:t xml:space="preserve"> profile for </w:t>
      </w:r>
      <w:proofErr w:type="spellStart"/>
      <w:r w:rsidRPr="00014F34">
        <w:rPr>
          <w:rFonts w:cs="Calibri"/>
        </w:rPr>
        <w:t>fenta</w:t>
      </w:r>
      <w:r>
        <w:rPr>
          <w:rFonts w:cs="Calibri"/>
        </w:rPr>
        <w:t>n</w:t>
      </w:r>
      <w:r w:rsidRPr="00014F34">
        <w:rPr>
          <w:rFonts w:cs="Calibri"/>
        </w:rPr>
        <w:t>yl</w:t>
      </w:r>
      <w:proofErr w:type="spellEnd"/>
      <w:r w:rsidRPr="00014F34">
        <w:rPr>
          <w:rFonts w:cs="Calibri"/>
        </w:rPr>
        <w:t xml:space="preserve"> after administration of </w:t>
      </w:r>
      <w:proofErr w:type="spellStart"/>
      <w:r w:rsidR="001D723B">
        <w:rPr>
          <w:rFonts w:cs="Calibri"/>
        </w:rPr>
        <w:t>Instanyl</w:t>
      </w:r>
      <w:proofErr w:type="spellEnd"/>
      <w:r w:rsidRPr="00014F34">
        <w:rPr>
          <w:rFonts w:cs="Calibri"/>
        </w:rPr>
        <w:t xml:space="preserve"> in subjects with nasal congestion, and in subjects using a topically applied nasal decongestant was similar to that of healthy control subjects.</w:t>
      </w:r>
    </w:p>
    <w:p w:rsidR="00DB1773" w:rsidRPr="00014F34" w:rsidRDefault="00DB1773" w:rsidP="00DB1773">
      <w:pPr>
        <w:spacing w:after="0"/>
        <w:rPr>
          <w:rFonts w:cs="Calibri"/>
        </w:rPr>
      </w:pPr>
      <w:r w:rsidRPr="00014F34">
        <w:rPr>
          <w:rFonts w:cs="Calibri"/>
        </w:rPr>
        <w:t xml:space="preserve">Additional information on the </w:t>
      </w:r>
      <w:r w:rsidR="00820A58">
        <w:rPr>
          <w:rFonts w:cs="Calibri"/>
        </w:rPr>
        <w:t>pharmacokinetic</w:t>
      </w:r>
      <w:r w:rsidRPr="00014F34">
        <w:rPr>
          <w:rFonts w:cs="Calibri"/>
        </w:rPr>
        <w:t xml:space="preserve"> of </w:t>
      </w:r>
      <w:proofErr w:type="spellStart"/>
      <w:r w:rsidRPr="00014F34">
        <w:rPr>
          <w:rFonts w:cs="Calibri"/>
        </w:rPr>
        <w:t>fentanyl</w:t>
      </w:r>
      <w:proofErr w:type="spellEnd"/>
      <w:r w:rsidRPr="00014F34">
        <w:rPr>
          <w:rFonts w:cs="Calibri"/>
        </w:rPr>
        <w:t xml:space="preserve"> is not specific to this product and was obtained from published literature.</w:t>
      </w:r>
      <w:r w:rsidR="00B050E6">
        <w:rPr>
          <w:rFonts w:cs="Calibri"/>
        </w:rPr>
        <w:t xml:space="preserve"> </w:t>
      </w:r>
      <w:r w:rsidRPr="00014F34">
        <w:rPr>
          <w:rFonts w:cs="Calibri"/>
        </w:rPr>
        <w:t xml:space="preserve">No </w:t>
      </w:r>
      <w:proofErr w:type="spellStart"/>
      <w:r w:rsidR="00820A58">
        <w:rPr>
          <w:rFonts w:cs="Calibri"/>
        </w:rPr>
        <w:t>pharmacodynamics</w:t>
      </w:r>
      <w:proofErr w:type="spellEnd"/>
      <w:r w:rsidRPr="00014F34">
        <w:rPr>
          <w:rFonts w:cs="Calibri"/>
        </w:rPr>
        <w:t xml:space="preserve"> studies were submitted.</w:t>
      </w:r>
    </w:p>
    <w:p w:rsidR="00DB1773" w:rsidRPr="00014F34" w:rsidRDefault="00DB1773" w:rsidP="00041EC7">
      <w:pPr>
        <w:pStyle w:val="Heading4"/>
      </w:pPr>
      <w:r w:rsidRPr="00014F34">
        <w:t>Efficacy</w:t>
      </w:r>
    </w:p>
    <w:p w:rsidR="00DB1773" w:rsidRDefault="00DB1773" w:rsidP="00DB1773">
      <w:pPr>
        <w:spacing w:after="0"/>
        <w:rPr>
          <w:rFonts w:cs="Calibri"/>
        </w:rPr>
      </w:pPr>
      <w:r>
        <w:rPr>
          <w:rFonts w:cs="Calibri"/>
        </w:rPr>
        <w:t xml:space="preserve">Efficacy data were obtained from </w:t>
      </w:r>
      <w:r w:rsidR="009034D6">
        <w:rPr>
          <w:rFonts w:cs="Calibri"/>
        </w:rPr>
        <w:t>two</w:t>
      </w:r>
      <w:r w:rsidRPr="0011215C">
        <w:rPr>
          <w:rFonts w:cs="Calibri"/>
        </w:rPr>
        <w:t xml:space="preserve"> pivotal efficacy and safety studies </w:t>
      </w:r>
      <w:r>
        <w:rPr>
          <w:rFonts w:cs="Calibri"/>
        </w:rPr>
        <w:t>(</w:t>
      </w:r>
      <w:r w:rsidRPr="0011215C">
        <w:rPr>
          <w:rFonts w:cs="Calibri"/>
        </w:rPr>
        <w:t>FT-017-IM and FT-018-IM</w:t>
      </w:r>
      <w:r>
        <w:rPr>
          <w:rFonts w:cs="Calibri"/>
        </w:rPr>
        <w:t>)</w:t>
      </w:r>
      <w:r w:rsidRPr="0011215C">
        <w:rPr>
          <w:rFonts w:cs="Calibri"/>
        </w:rPr>
        <w:t xml:space="preserve"> and </w:t>
      </w:r>
      <w:r w:rsidR="00272CEF">
        <w:rPr>
          <w:rFonts w:cs="Calibri"/>
        </w:rPr>
        <w:t>two</w:t>
      </w:r>
      <w:r>
        <w:rPr>
          <w:rFonts w:cs="Calibri"/>
        </w:rPr>
        <w:t xml:space="preserve"> </w:t>
      </w:r>
      <w:r w:rsidRPr="0011215C">
        <w:rPr>
          <w:rFonts w:cs="Calibri"/>
        </w:rPr>
        <w:t>supportive studies (FT-019-IM and FT-033-IN/FT-011-IN).</w:t>
      </w:r>
      <w:r w:rsidR="00B050E6">
        <w:rPr>
          <w:rFonts w:cs="Calibri"/>
        </w:rPr>
        <w:t xml:space="preserve"> </w:t>
      </w:r>
      <w:r>
        <w:rPr>
          <w:rFonts w:cs="Calibri"/>
        </w:rPr>
        <w:t>The clinical evaluator considered d</w:t>
      </w:r>
      <w:r w:rsidRPr="00014F34">
        <w:rPr>
          <w:rFonts w:cs="Calibri"/>
        </w:rPr>
        <w:t xml:space="preserve">ata from Studies FT-017-IM, FT-018-IM and FT-019-IM </w:t>
      </w:r>
      <w:r>
        <w:rPr>
          <w:rFonts w:cs="Calibri"/>
        </w:rPr>
        <w:t>were</w:t>
      </w:r>
      <w:r w:rsidRPr="00014F34">
        <w:rPr>
          <w:rFonts w:cs="Calibri"/>
        </w:rPr>
        <w:t xml:space="preserve"> unreliable and should not be used to support the efficacy </w:t>
      </w:r>
      <w:r>
        <w:rPr>
          <w:rFonts w:cs="Calibri"/>
        </w:rPr>
        <w:t>or</w:t>
      </w:r>
      <w:r w:rsidRPr="00014F34">
        <w:rPr>
          <w:rFonts w:cs="Calibri"/>
        </w:rPr>
        <w:t xml:space="preserve"> safety of the product.</w:t>
      </w:r>
      <w:r w:rsidR="00B050E6">
        <w:rPr>
          <w:rFonts w:cs="Calibri"/>
        </w:rPr>
        <w:t xml:space="preserve"> </w:t>
      </w:r>
      <w:r>
        <w:rPr>
          <w:rFonts w:cs="Calibri"/>
        </w:rPr>
        <w:t xml:space="preserve">The clinical evaluator has recommended that </w:t>
      </w:r>
      <w:proofErr w:type="spellStart"/>
      <w:r w:rsidR="001D723B">
        <w:rPr>
          <w:rFonts w:cs="Calibri"/>
        </w:rPr>
        <w:t>Instanyl</w:t>
      </w:r>
      <w:proofErr w:type="spellEnd"/>
      <w:r>
        <w:rPr>
          <w:rFonts w:cs="Calibri"/>
        </w:rPr>
        <w:t xml:space="preserve"> not be approved for registration.</w:t>
      </w:r>
    </w:p>
    <w:p w:rsidR="00144FBA" w:rsidRDefault="00144FBA" w:rsidP="00144FBA">
      <w:pPr>
        <w:spacing w:after="0"/>
        <w:rPr>
          <w:rFonts w:cs="Calibri"/>
        </w:rPr>
      </w:pPr>
      <w:r w:rsidRPr="003D5854">
        <w:rPr>
          <w:rFonts w:cs="Calibri"/>
        </w:rPr>
        <w:t xml:space="preserve">Following a suspicion of misconduct at one study site in </w:t>
      </w:r>
      <w:r>
        <w:rPr>
          <w:rFonts w:cs="Calibri"/>
        </w:rPr>
        <w:t xml:space="preserve">Study </w:t>
      </w:r>
      <w:r w:rsidRPr="003D5854">
        <w:rPr>
          <w:rFonts w:cs="Calibri"/>
        </w:rPr>
        <w:t>FT-019-IM</w:t>
      </w:r>
      <w:r>
        <w:rPr>
          <w:rFonts w:cs="Calibri"/>
        </w:rPr>
        <w:t>,</w:t>
      </w:r>
      <w:r w:rsidRPr="003D5854">
        <w:rPr>
          <w:rFonts w:cs="Calibri"/>
        </w:rPr>
        <w:t xml:space="preserve"> an inspection was conducted at the request of</w:t>
      </w:r>
      <w:r>
        <w:rPr>
          <w:rFonts w:cs="Calibri"/>
        </w:rPr>
        <w:t xml:space="preserve"> the</w:t>
      </w:r>
      <w:r w:rsidRPr="003D5854">
        <w:rPr>
          <w:rFonts w:cs="Calibri"/>
        </w:rPr>
        <w:t xml:space="preserve"> CHMP</w:t>
      </w:r>
      <w:r>
        <w:rPr>
          <w:rFonts w:cs="Calibri"/>
        </w:rPr>
        <w:t xml:space="preserve"> </w:t>
      </w:r>
      <w:r w:rsidRPr="003D5854">
        <w:rPr>
          <w:rFonts w:cs="Calibri"/>
        </w:rPr>
        <w:t xml:space="preserve">to verify whether </w:t>
      </w:r>
      <w:r>
        <w:rPr>
          <w:rFonts w:cs="Calibri"/>
        </w:rPr>
        <w:t>Studies</w:t>
      </w:r>
      <w:r w:rsidRPr="003D5854">
        <w:rPr>
          <w:rFonts w:cs="Calibri"/>
        </w:rPr>
        <w:t xml:space="preserve"> FT-017-IM and FT-018-IM were conducted in compliance with GCP and applicable regulations, in particular where it had impact on the validity of the data or the ethical conduct of the trials. The inspection was of two study sites and the CRO.</w:t>
      </w:r>
      <w:r>
        <w:rPr>
          <w:rFonts w:cs="Calibri"/>
        </w:rPr>
        <w:t xml:space="preserve"> The two study sites (sites X and Y) enrolled subjects in both pivotal clinical </w:t>
      </w:r>
      <w:r w:rsidRPr="00014F34">
        <w:rPr>
          <w:rFonts w:cs="Calibri"/>
        </w:rPr>
        <w:t>safety and efficacy studies.</w:t>
      </w:r>
      <w:r>
        <w:rPr>
          <w:rFonts w:cs="Calibri"/>
        </w:rPr>
        <w:t xml:space="preserve"> As a result of the CHMP instigated inspection, data from site X were excluded from the final analysis of the above studies. That data have also been excluded from the results included in the clinical evaluation report and the discussion below. Data from site Y were retained. Site Y enrolled </w:t>
      </w:r>
      <w:r w:rsidRPr="00192127">
        <w:rPr>
          <w:rFonts w:cs="Calibri"/>
        </w:rPr>
        <w:t xml:space="preserve">24.5% (46 patients) of the patients in </w:t>
      </w:r>
      <w:r>
        <w:rPr>
          <w:rFonts w:cs="Calibri"/>
        </w:rPr>
        <w:t xml:space="preserve">Study </w:t>
      </w:r>
      <w:r w:rsidRPr="00192127">
        <w:rPr>
          <w:rFonts w:cs="Calibri"/>
        </w:rPr>
        <w:t xml:space="preserve">FT-017-IM and 29.6% (40 patients) of the patients in </w:t>
      </w:r>
      <w:r>
        <w:rPr>
          <w:rFonts w:cs="Calibri"/>
        </w:rPr>
        <w:t xml:space="preserve">Study </w:t>
      </w:r>
      <w:r w:rsidRPr="00192127">
        <w:rPr>
          <w:rFonts w:cs="Calibri"/>
        </w:rPr>
        <w:t>FT-018-IM</w:t>
      </w:r>
      <w:r w:rsidR="00AC0C79">
        <w:rPr>
          <w:rFonts w:cs="Calibri"/>
        </w:rPr>
        <w:t>.</w:t>
      </w:r>
    </w:p>
    <w:p w:rsidR="00144FBA" w:rsidRDefault="00144FBA" w:rsidP="00144FBA">
      <w:pPr>
        <w:spacing w:after="0"/>
        <w:rPr>
          <w:rFonts w:cs="Calibri"/>
        </w:rPr>
      </w:pPr>
      <w:r>
        <w:rPr>
          <w:rFonts w:cs="Calibri"/>
        </w:rPr>
        <w:lastRenderedPageBreak/>
        <w:t xml:space="preserve">The inspectors reported </w:t>
      </w:r>
      <w:r w:rsidRPr="00192127">
        <w:rPr>
          <w:rFonts w:cs="Calibri"/>
        </w:rPr>
        <w:t xml:space="preserve">11 critical and 6 major findings </w:t>
      </w:r>
      <w:r>
        <w:rPr>
          <w:rFonts w:cs="Calibri"/>
        </w:rPr>
        <w:t xml:space="preserve">at site X and </w:t>
      </w:r>
      <w:r w:rsidRPr="00192127">
        <w:rPr>
          <w:rFonts w:cs="Calibri"/>
        </w:rPr>
        <w:t xml:space="preserve">2 critical and 5 major findings </w:t>
      </w:r>
      <w:r>
        <w:rPr>
          <w:rFonts w:cs="Calibri"/>
        </w:rPr>
        <w:t>at site Y</w:t>
      </w:r>
      <w:r w:rsidRPr="00192127">
        <w:rPr>
          <w:rFonts w:cs="Calibri"/>
        </w:rPr>
        <w:t xml:space="preserve">. </w:t>
      </w:r>
      <w:r>
        <w:rPr>
          <w:rFonts w:cs="Calibri"/>
        </w:rPr>
        <w:t>These findings included but are not limited to ethical, trial documentation, site management and data quality deficiencies. The inspection report defined critical findings as:</w:t>
      </w:r>
    </w:p>
    <w:p w:rsidR="00144FBA" w:rsidRPr="00C6748D" w:rsidRDefault="00144FBA" w:rsidP="00144FBA">
      <w:pPr>
        <w:spacing w:after="0"/>
        <w:ind w:left="720"/>
        <w:rPr>
          <w:rFonts w:cs="Calibri"/>
          <w:i/>
        </w:rPr>
      </w:pPr>
      <w:proofErr w:type="gramStart"/>
      <w:r w:rsidRPr="00C6748D">
        <w:rPr>
          <w:rFonts w:cs="Calibri"/>
          <w:i/>
        </w:rPr>
        <w:t>Conditions, practices or processes that adversely affect the rights, safety or well being of the subjects and/or the quality and integrity of data.</w:t>
      </w:r>
      <w:proofErr w:type="gramEnd"/>
      <w:r>
        <w:rPr>
          <w:rFonts w:cs="Calibri"/>
          <w:i/>
        </w:rPr>
        <w:t xml:space="preserve"> </w:t>
      </w:r>
      <w:r w:rsidRPr="00C6748D">
        <w:rPr>
          <w:rFonts w:cs="Calibri"/>
          <w:i/>
        </w:rPr>
        <w:t>Critical observations are considered totally unacceptable.</w:t>
      </w:r>
      <w:r>
        <w:rPr>
          <w:rFonts w:cs="Calibri"/>
          <w:i/>
        </w:rPr>
        <w:t xml:space="preserve"> </w:t>
      </w:r>
      <w:r w:rsidRPr="00C6748D">
        <w:rPr>
          <w:rFonts w:cs="Calibri"/>
          <w:i/>
        </w:rPr>
        <w:t>Rejection of data and/or legal action required.</w:t>
      </w:r>
    </w:p>
    <w:p w:rsidR="00144FBA" w:rsidRDefault="00144FBA" w:rsidP="00144FBA">
      <w:pPr>
        <w:spacing w:after="0"/>
        <w:rPr>
          <w:rFonts w:cs="Calibri"/>
        </w:rPr>
      </w:pPr>
      <w:r>
        <w:rPr>
          <w:rFonts w:cs="Calibri"/>
        </w:rPr>
        <w:t>The critical findings for site Y were:</w:t>
      </w:r>
    </w:p>
    <w:p w:rsidR="00144FBA" w:rsidRPr="00C6748D" w:rsidRDefault="00144FBA" w:rsidP="00144FBA">
      <w:pPr>
        <w:pStyle w:val="ListBullet"/>
        <w:numPr>
          <w:ilvl w:val="0"/>
          <w:numId w:val="3"/>
        </w:numPr>
      </w:pPr>
      <w:r w:rsidRPr="00C6748D">
        <w:t>Reporting requ</w:t>
      </w:r>
      <w:r>
        <w:t>i</w:t>
      </w:r>
      <w:r w:rsidRPr="00C6748D">
        <w:t xml:space="preserve">rements </w:t>
      </w:r>
      <w:r>
        <w:t>f</w:t>
      </w:r>
      <w:r w:rsidRPr="00C6748D">
        <w:t>or</w:t>
      </w:r>
      <w:r>
        <w:t xml:space="preserve"> </w:t>
      </w:r>
      <w:r w:rsidRPr="00C6748D">
        <w:t>AE</w:t>
      </w:r>
      <w:r>
        <w:t>/</w:t>
      </w:r>
      <w:r w:rsidRPr="00C6748D">
        <w:t>SAE were not fo</w:t>
      </w:r>
      <w:r>
        <w:t>llo</w:t>
      </w:r>
      <w:r w:rsidRPr="00C6748D">
        <w:t>wed by the investigator. Neither was documentation available wh</w:t>
      </w:r>
      <w:r>
        <w:t>i</w:t>
      </w:r>
      <w:r w:rsidRPr="00C6748D">
        <w:t>ch shows that the mon</w:t>
      </w:r>
      <w:r>
        <w:t>i</w:t>
      </w:r>
      <w:r w:rsidRPr="00C6748D">
        <w:t>tor addressed the failures du</w:t>
      </w:r>
      <w:r>
        <w:t>ri</w:t>
      </w:r>
      <w:r w:rsidRPr="00C6748D">
        <w:t>ng monitor</w:t>
      </w:r>
      <w:r>
        <w:t>i</w:t>
      </w:r>
      <w:r w:rsidRPr="00C6748D">
        <w:t>ng nor</w:t>
      </w:r>
      <w:r>
        <w:t xml:space="preserve"> </w:t>
      </w:r>
      <w:r w:rsidRPr="00C6748D">
        <w:t>was corrective ac</w:t>
      </w:r>
      <w:r>
        <w:t>ti</w:t>
      </w:r>
      <w:r w:rsidRPr="00C6748D">
        <w:t>ons taken</w:t>
      </w:r>
      <w:r>
        <w:t>.</w:t>
      </w:r>
    </w:p>
    <w:p w:rsidR="00144FBA" w:rsidRPr="009D52E4" w:rsidRDefault="00144FBA" w:rsidP="00144FBA">
      <w:pPr>
        <w:pStyle w:val="ListBullet"/>
        <w:numPr>
          <w:ilvl w:val="0"/>
          <w:numId w:val="3"/>
        </w:numPr>
      </w:pPr>
      <w:r w:rsidRPr="009D52E4">
        <w:t>The deficiencies observed show that the qua</w:t>
      </w:r>
      <w:r>
        <w:t>l</w:t>
      </w:r>
      <w:r w:rsidRPr="009D52E4">
        <w:t xml:space="preserve">ity control measures </w:t>
      </w:r>
      <w:r>
        <w:t>(</w:t>
      </w:r>
      <w:r w:rsidRPr="009D52E4">
        <w:t>m</w:t>
      </w:r>
      <w:r>
        <w:t>onitoring</w:t>
      </w:r>
      <w:r w:rsidRPr="009D52E4">
        <w:t xml:space="preserve"> and auditing) which</w:t>
      </w:r>
      <w:r>
        <w:t xml:space="preserve"> </w:t>
      </w:r>
      <w:r w:rsidRPr="009D52E4">
        <w:t>were performed by the sponsor were insufficient</w:t>
      </w:r>
      <w:r>
        <w:t>.</w:t>
      </w:r>
    </w:p>
    <w:p w:rsidR="00144FBA" w:rsidRDefault="00144FBA" w:rsidP="00144FBA">
      <w:pPr>
        <w:spacing w:after="0"/>
        <w:rPr>
          <w:rFonts w:cs="Calibri"/>
        </w:rPr>
      </w:pPr>
      <w:r>
        <w:rPr>
          <w:rFonts w:cs="Calibri"/>
        </w:rPr>
        <w:t>The inspection report concluded the following concerning site Y:</w:t>
      </w:r>
    </w:p>
    <w:p w:rsidR="00144FBA" w:rsidRPr="009D52E4" w:rsidRDefault="00144FBA" w:rsidP="00144FBA">
      <w:pPr>
        <w:spacing w:after="0"/>
        <w:ind w:left="720"/>
        <w:rPr>
          <w:rFonts w:cs="Calibri"/>
          <w:i/>
        </w:rPr>
      </w:pPr>
      <w:r w:rsidRPr="009D52E4">
        <w:rPr>
          <w:rFonts w:cs="Calibri"/>
          <w:i/>
        </w:rPr>
        <w:t>Based on these findings</w:t>
      </w:r>
      <w:r>
        <w:rPr>
          <w:rFonts w:cs="Calibri"/>
          <w:i/>
        </w:rPr>
        <w:t>,</w:t>
      </w:r>
      <w:r w:rsidRPr="009D52E4">
        <w:rPr>
          <w:rFonts w:cs="Calibri"/>
          <w:i/>
        </w:rPr>
        <w:t xml:space="preserve"> </w:t>
      </w:r>
      <w:r>
        <w:rPr>
          <w:rFonts w:cs="Calibri"/>
          <w:i/>
        </w:rPr>
        <w:t>i</w:t>
      </w:r>
      <w:r w:rsidRPr="009D52E4">
        <w:rPr>
          <w:rFonts w:cs="Calibri"/>
          <w:i/>
        </w:rPr>
        <w:t>t cannot be concluded that the stud</w:t>
      </w:r>
      <w:r>
        <w:rPr>
          <w:rFonts w:cs="Calibri"/>
          <w:i/>
        </w:rPr>
        <w:t>y</w:t>
      </w:r>
      <w:r w:rsidRPr="009D52E4">
        <w:rPr>
          <w:rFonts w:cs="Calibri"/>
          <w:i/>
        </w:rPr>
        <w:t xml:space="preserve"> was conducted in full compliance with</w:t>
      </w:r>
      <w:r>
        <w:rPr>
          <w:rFonts w:cs="Calibri"/>
          <w:i/>
        </w:rPr>
        <w:t xml:space="preserve"> </w:t>
      </w:r>
      <w:r w:rsidRPr="009D52E4">
        <w:rPr>
          <w:rFonts w:cs="Calibri"/>
          <w:i/>
        </w:rPr>
        <w:t>GCP.</w:t>
      </w:r>
      <w:r>
        <w:rPr>
          <w:rFonts w:cs="Calibri"/>
          <w:i/>
        </w:rPr>
        <w:t xml:space="preserve"> </w:t>
      </w:r>
      <w:r w:rsidRPr="009D52E4">
        <w:rPr>
          <w:rFonts w:cs="Calibri"/>
          <w:i/>
        </w:rPr>
        <w:t>Addit</w:t>
      </w:r>
      <w:r>
        <w:rPr>
          <w:rFonts w:cs="Calibri"/>
          <w:i/>
        </w:rPr>
        <w:t>i</w:t>
      </w:r>
      <w:r w:rsidRPr="009D52E4">
        <w:rPr>
          <w:rFonts w:cs="Calibri"/>
          <w:i/>
        </w:rPr>
        <w:t>onal</w:t>
      </w:r>
      <w:r>
        <w:rPr>
          <w:rFonts w:cs="Calibri"/>
          <w:i/>
        </w:rPr>
        <w:t>l</w:t>
      </w:r>
      <w:r w:rsidRPr="009D52E4">
        <w:rPr>
          <w:rFonts w:cs="Calibri"/>
          <w:i/>
        </w:rPr>
        <w:t>y</w:t>
      </w:r>
      <w:r>
        <w:rPr>
          <w:rFonts w:cs="Calibri"/>
          <w:i/>
        </w:rPr>
        <w:t>,</w:t>
      </w:r>
      <w:r w:rsidRPr="009D52E4">
        <w:rPr>
          <w:rFonts w:cs="Calibri"/>
          <w:i/>
        </w:rPr>
        <w:t xml:space="preserve"> it</w:t>
      </w:r>
      <w:r>
        <w:rPr>
          <w:rFonts w:cs="Calibri"/>
          <w:i/>
        </w:rPr>
        <w:t xml:space="preserve"> is </w:t>
      </w:r>
      <w:r w:rsidRPr="009D52E4">
        <w:rPr>
          <w:rFonts w:cs="Calibri"/>
          <w:i/>
        </w:rPr>
        <w:t>the</w:t>
      </w:r>
      <w:r>
        <w:rPr>
          <w:rFonts w:cs="Calibri"/>
          <w:i/>
        </w:rPr>
        <w:t xml:space="preserve"> i</w:t>
      </w:r>
      <w:r w:rsidRPr="009D52E4">
        <w:rPr>
          <w:rFonts w:cs="Calibri"/>
          <w:i/>
        </w:rPr>
        <w:t>nspectors</w:t>
      </w:r>
      <w:r>
        <w:rPr>
          <w:rFonts w:cs="Calibri"/>
          <w:i/>
        </w:rPr>
        <w:t>’</w:t>
      </w:r>
      <w:r w:rsidRPr="009D52E4">
        <w:rPr>
          <w:rFonts w:cs="Calibri"/>
          <w:i/>
        </w:rPr>
        <w:t xml:space="preserve"> opinion</w:t>
      </w:r>
      <w:r>
        <w:rPr>
          <w:rFonts w:cs="Calibri"/>
          <w:i/>
        </w:rPr>
        <w:t xml:space="preserve"> </w:t>
      </w:r>
      <w:r w:rsidRPr="009D52E4">
        <w:rPr>
          <w:rFonts w:cs="Calibri"/>
          <w:i/>
        </w:rPr>
        <w:t>that</w:t>
      </w:r>
      <w:r>
        <w:rPr>
          <w:rFonts w:cs="Calibri"/>
          <w:i/>
        </w:rPr>
        <w:t xml:space="preserve"> </w:t>
      </w:r>
      <w:r w:rsidRPr="009D52E4">
        <w:rPr>
          <w:rFonts w:cs="Calibri"/>
          <w:i/>
        </w:rPr>
        <w:t>the</w:t>
      </w:r>
      <w:r>
        <w:rPr>
          <w:rFonts w:cs="Calibri"/>
          <w:i/>
        </w:rPr>
        <w:t xml:space="preserve"> </w:t>
      </w:r>
      <w:r w:rsidRPr="009D52E4">
        <w:rPr>
          <w:rFonts w:cs="Calibri"/>
          <w:i/>
        </w:rPr>
        <w:t>safety data</w:t>
      </w:r>
      <w:r>
        <w:rPr>
          <w:rFonts w:cs="Calibri"/>
          <w:i/>
        </w:rPr>
        <w:t xml:space="preserve"> </w:t>
      </w:r>
      <w:r w:rsidRPr="009D52E4">
        <w:rPr>
          <w:rFonts w:cs="Calibri"/>
          <w:i/>
        </w:rPr>
        <w:t>rece</w:t>
      </w:r>
      <w:r>
        <w:rPr>
          <w:rFonts w:cs="Calibri"/>
          <w:i/>
        </w:rPr>
        <w:t xml:space="preserve">ived from this site is </w:t>
      </w:r>
      <w:r w:rsidRPr="009D52E4">
        <w:rPr>
          <w:rFonts w:cs="Calibri"/>
          <w:i/>
        </w:rPr>
        <w:t>not</w:t>
      </w:r>
      <w:r>
        <w:rPr>
          <w:rFonts w:cs="Calibri"/>
          <w:i/>
        </w:rPr>
        <w:t xml:space="preserve"> </w:t>
      </w:r>
      <w:r w:rsidRPr="009D52E4">
        <w:rPr>
          <w:rFonts w:cs="Calibri"/>
          <w:i/>
        </w:rPr>
        <w:t>reliable.</w:t>
      </w:r>
    </w:p>
    <w:p w:rsidR="00144FBA" w:rsidRPr="009D52E4" w:rsidRDefault="00144FBA" w:rsidP="00144FBA">
      <w:pPr>
        <w:spacing w:after="0"/>
        <w:ind w:left="720"/>
        <w:rPr>
          <w:rFonts w:cs="Calibri"/>
          <w:i/>
        </w:rPr>
      </w:pPr>
      <w:r w:rsidRPr="009D52E4">
        <w:rPr>
          <w:rFonts w:cs="Calibri"/>
          <w:i/>
        </w:rPr>
        <w:t>However, desp</w:t>
      </w:r>
      <w:r>
        <w:rPr>
          <w:rFonts w:cs="Calibri"/>
          <w:i/>
        </w:rPr>
        <w:t>i</w:t>
      </w:r>
      <w:r w:rsidRPr="009D52E4">
        <w:rPr>
          <w:rFonts w:cs="Calibri"/>
          <w:i/>
        </w:rPr>
        <w:t>te</w:t>
      </w:r>
      <w:r>
        <w:rPr>
          <w:rFonts w:cs="Calibri"/>
          <w:i/>
        </w:rPr>
        <w:t xml:space="preserve"> </w:t>
      </w:r>
      <w:r w:rsidRPr="009D52E4">
        <w:rPr>
          <w:rFonts w:cs="Calibri"/>
          <w:i/>
        </w:rPr>
        <w:t xml:space="preserve">of the findings described </w:t>
      </w:r>
      <w:r w:rsidRPr="009D52E4">
        <w:rPr>
          <w:rFonts w:cs="Calibri"/>
          <w:i/>
          <w:iCs/>
        </w:rPr>
        <w:t xml:space="preserve">above </w:t>
      </w:r>
      <w:r w:rsidRPr="009D52E4">
        <w:rPr>
          <w:rFonts w:cs="Calibri"/>
          <w:i/>
        </w:rPr>
        <w:t xml:space="preserve">it is </w:t>
      </w:r>
      <w:r w:rsidRPr="009D52E4">
        <w:rPr>
          <w:rFonts w:cs="Calibri"/>
          <w:i/>
          <w:iCs/>
        </w:rPr>
        <w:t xml:space="preserve">the </w:t>
      </w:r>
      <w:r>
        <w:rPr>
          <w:rFonts w:cs="Calibri"/>
          <w:i/>
          <w:iCs/>
        </w:rPr>
        <w:t>i</w:t>
      </w:r>
      <w:r w:rsidRPr="009D52E4">
        <w:rPr>
          <w:rFonts w:cs="Calibri"/>
          <w:i/>
        </w:rPr>
        <w:t>mpres</w:t>
      </w:r>
      <w:r>
        <w:rPr>
          <w:rFonts w:cs="Calibri"/>
          <w:i/>
        </w:rPr>
        <w:t>s</w:t>
      </w:r>
      <w:r w:rsidRPr="009D52E4">
        <w:rPr>
          <w:rFonts w:cs="Calibri"/>
          <w:i/>
        </w:rPr>
        <w:t>ion of the inspection team that the patients</w:t>
      </w:r>
      <w:r>
        <w:rPr>
          <w:rFonts w:cs="Calibri"/>
          <w:i/>
        </w:rPr>
        <w:t xml:space="preserve"> in this study </w:t>
      </w:r>
      <w:r w:rsidRPr="009D52E4">
        <w:rPr>
          <w:rFonts w:cs="Calibri"/>
          <w:i/>
        </w:rPr>
        <w:t>have</w:t>
      </w:r>
      <w:r>
        <w:rPr>
          <w:rFonts w:cs="Calibri"/>
          <w:i/>
        </w:rPr>
        <w:t xml:space="preserve"> </w:t>
      </w:r>
      <w:r w:rsidRPr="009D52E4">
        <w:rPr>
          <w:rFonts w:cs="Calibri"/>
          <w:i/>
        </w:rPr>
        <w:t>received req</w:t>
      </w:r>
      <w:r>
        <w:rPr>
          <w:rFonts w:cs="Calibri"/>
          <w:i/>
        </w:rPr>
        <w:t>u</w:t>
      </w:r>
      <w:r w:rsidRPr="009D52E4">
        <w:rPr>
          <w:rFonts w:cs="Calibri"/>
          <w:i/>
        </w:rPr>
        <w:t>ired</w:t>
      </w:r>
      <w:r>
        <w:rPr>
          <w:rFonts w:cs="Calibri"/>
          <w:i/>
        </w:rPr>
        <w:t xml:space="preserve"> </w:t>
      </w:r>
      <w:r w:rsidRPr="009D52E4">
        <w:rPr>
          <w:rFonts w:cs="Calibri"/>
          <w:i/>
        </w:rPr>
        <w:t>and necessary</w:t>
      </w:r>
      <w:r>
        <w:rPr>
          <w:rFonts w:cs="Calibri"/>
          <w:i/>
        </w:rPr>
        <w:t xml:space="preserve"> </w:t>
      </w:r>
      <w:r w:rsidRPr="009D52E4">
        <w:rPr>
          <w:rFonts w:cs="Calibri"/>
          <w:i/>
        </w:rPr>
        <w:t>information about</w:t>
      </w:r>
      <w:r>
        <w:rPr>
          <w:rFonts w:cs="Calibri"/>
          <w:i/>
        </w:rPr>
        <w:t xml:space="preserve"> </w:t>
      </w:r>
      <w:r w:rsidRPr="009D52E4">
        <w:rPr>
          <w:rFonts w:cs="Calibri"/>
          <w:i/>
        </w:rPr>
        <w:t>the</w:t>
      </w:r>
      <w:r>
        <w:rPr>
          <w:rFonts w:cs="Calibri"/>
          <w:i/>
        </w:rPr>
        <w:t xml:space="preserve"> </w:t>
      </w:r>
      <w:r w:rsidRPr="009D52E4">
        <w:rPr>
          <w:rFonts w:cs="Calibri"/>
          <w:i/>
        </w:rPr>
        <w:t>conduct</w:t>
      </w:r>
      <w:r>
        <w:rPr>
          <w:rFonts w:cs="Calibri"/>
          <w:i/>
        </w:rPr>
        <w:t xml:space="preserve"> </w:t>
      </w:r>
      <w:r w:rsidRPr="009D52E4">
        <w:rPr>
          <w:rFonts w:cs="Calibri"/>
          <w:i/>
          <w:iCs/>
        </w:rPr>
        <w:t xml:space="preserve">of </w:t>
      </w:r>
      <w:r w:rsidRPr="009D52E4">
        <w:rPr>
          <w:rFonts w:cs="Calibri"/>
          <w:i/>
        </w:rPr>
        <w:t>the study and that they have been very well taken care of by principal inves</w:t>
      </w:r>
      <w:r>
        <w:rPr>
          <w:rFonts w:cs="Calibri"/>
          <w:i/>
        </w:rPr>
        <w:t>ti</w:t>
      </w:r>
      <w:r w:rsidRPr="009D52E4">
        <w:rPr>
          <w:rFonts w:cs="Calibri"/>
          <w:i/>
        </w:rPr>
        <w:t>gator.</w:t>
      </w:r>
    </w:p>
    <w:p w:rsidR="00144FBA" w:rsidRPr="00CB5EAB" w:rsidRDefault="00144FBA" w:rsidP="00144FBA">
      <w:pPr>
        <w:spacing w:after="0"/>
        <w:rPr>
          <w:rFonts w:cs="Calibri"/>
        </w:rPr>
      </w:pPr>
      <w:r w:rsidRPr="00CB5EAB">
        <w:rPr>
          <w:rFonts w:cs="Calibri"/>
        </w:rPr>
        <w:t xml:space="preserve">The response from the investigator was considered </w:t>
      </w:r>
      <w:r>
        <w:rPr>
          <w:rFonts w:cs="Calibri"/>
        </w:rPr>
        <w:t>by the inspection team and the two</w:t>
      </w:r>
      <w:r w:rsidRPr="00CB5EAB">
        <w:rPr>
          <w:rFonts w:cs="Calibri"/>
        </w:rPr>
        <w:t xml:space="preserve"> critical findings remained unchanged.</w:t>
      </w:r>
      <w:r>
        <w:rPr>
          <w:rFonts w:cs="Calibri"/>
        </w:rPr>
        <w:t xml:space="preserve"> </w:t>
      </w:r>
      <w:r w:rsidRPr="00CB5EAB">
        <w:rPr>
          <w:rFonts w:cs="Calibri"/>
        </w:rPr>
        <w:t>The inspection report also stated the following</w:t>
      </w:r>
      <w:r>
        <w:rPr>
          <w:rFonts w:cs="Calibri"/>
        </w:rPr>
        <w:t xml:space="preserve"> with respect to efficacy data from site Y</w:t>
      </w:r>
      <w:r w:rsidRPr="00CB5EAB">
        <w:rPr>
          <w:rFonts w:cs="Calibri"/>
        </w:rPr>
        <w:t>:</w:t>
      </w:r>
    </w:p>
    <w:p w:rsidR="00144FBA" w:rsidRPr="00EA74B7" w:rsidRDefault="00144FBA" w:rsidP="00144FBA">
      <w:pPr>
        <w:spacing w:after="0"/>
        <w:ind w:left="720"/>
        <w:rPr>
          <w:rFonts w:cs="Calibri"/>
          <w:i/>
        </w:rPr>
      </w:pPr>
      <w:r w:rsidRPr="00EA74B7">
        <w:rPr>
          <w:rFonts w:cs="Calibri"/>
          <w:i/>
        </w:rPr>
        <w:t xml:space="preserve">Although it was apparent that the investigator at site </w:t>
      </w:r>
      <w:r>
        <w:rPr>
          <w:rFonts w:cs="Calibri"/>
          <w:i/>
        </w:rPr>
        <w:t>Y</w:t>
      </w:r>
      <w:r w:rsidRPr="00EA74B7">
        <w:rPr>
          <w:rFonts w:cs="Calibri"/>
          <w:i/>
        </w:rPr>
        <w:t xml:space="preserve"> gave his patients the necessary</w:t>
      </w:r>
      <w:r>
        <w:rPr>
          <w:rFonts w:cs="Calibri"/>
          <w:i/>
        </w:rPr>
        <w:t xml:space="preserve"> </w:t>
      </w:r>
      <w:r w:rsidRPr="00EA74B7">
        <w:rPr>
          <w:rFonts w:cs="Calibri"/>
          <w:i/>
        </w:rPr>
        <w:t>information about the trials and provided thorough medical care, GCP compliance could not be fully confirmed for this site, because several protocol deviations were observed and the source data was not sufficiently kept. However</w:t>
      </w:r>
      <w:r>
        <w:rPr>
          <w:rFonts w:cs="Calibri"/>
          <w:i/>
        </w:rPr>
        <w:t>,</w:t>
      </w:r>
      <w:r w:rsidRPr="00EA74B7">
        <w:rPr>
          <w:rFonts w:cs="Calibri"/>
          <w:i/>
        </w:rPr>
        <w:t xml:space="preserve"> these deficiencies are not considered to obscure the efficacy data reported by this investigational site. In contrast to this, it must be stated that the safety data reported by the site are not considered complete. This is b</w:t>
      </w:r>
      <w:r>
        <w:rPr>
          <w:rFonts w:cs="Calibri"/>
          <w:i/>
        </w:rPr>
        <w:t>ecause the reporting of AEs</w:t>
      </w:r>
      <w:r w:rsidRPr="00EA74B7">
        <w:rPr>
          <w:rFonts w:cs="Calibri"/>
          <w:i/>
        </w:rPr>
        <w:t xml:space="preserve"> was based on the investigator's subjective judgment but not on the AE definition according to ICH-GCP. This applies especially to the symptoms of "progression of cancer", which occurred frequently and were in general not reported, since the investigator assessed them not to be </w:t>
      </w:r>
      <w:r>
        <w:rPr>
          <w:rFonts w:cs="Calibri"/>
          <w:i/>
        </w:rPr>
        <w:t>AEs</w:t>
      </w:r>
      <w:r w:rsidRPr="00EA74B7">
        <w:rPr>
          <w:rFonts w:cs="Calibri"/>
          <w:i/>
        </w:rPr>
        <w:t>.</w:t>
      </w:r>
    </w:p>
    <w:p w:rsidR="00144FBA" w:rsidRDefault="00144FBA" w:rsidP="00144FBA">
      <w:pPr>
        <w:pStyle w:val="Heading5"/>
      </w:pPr>
      <w:r w:rsidRPr="003D5854">
        <w:t>Study descriptions</w:t>
      </w:r>
    </w:p>
    <w:p w:rsidR="00DB1773" w:rsidRPr="00F775F1" w:rsidRDefault="00144FBA" w:rsidP="00144FBA">
      <w:pPr>
        <w:spacing w:after="0"/>
        <w:rPr>
          <w:rFonts w:cs="Calibri"/>
        </w:rPr>
      </w:pPr>
      <w:r w:rsidRPr="00F775F1">
        <w:rPr>
          <w:rFonts w:cs="Calibri"/>
        </w:rPr>
        <w:t>Studies FT-017-IM, FT-018-IM and FT-019-IM</w:t>
      </w:r>
      <w:r>
        <w:rPr>
          <w:rFonts w:cs="Calibri"/>
        </w:rPr>
        <w:t xml:space="preserve"> </w:t>
      </w:r>
      <w:r w:rsidRPr="00F775F1">
        <w:rPr>
          <w:rFonts w:cs="Calibri"/>
        </w:rPr>
        <w:t xml:space="preserve">assessed efficacy based on patient evaluations of </w:t>
      </w:r>
      <w:r>
        <w:rPr>
          <w:rFonts w:cs="Calibri"/>
        </w:rPr>
        <w:t>P</w:t>
      </w:r>
      <w:r w:rsidRPr="00F775F1">
        <w:rPr>
          <w:rFonts w:cs="Calibri"/>
        </w:rPr>
        <w:t xml:space="preserve">ain </w:t>
      </w:r>
      <w:r>
        <w:rPr>
          <w:rFonts w:cs="Calibri"/>
        </w:rPr>
        <w:t>I</w:t>
      </w:r>
      <w:r w:rsidRPr="00F775F1">
        <w:rPr>
          <w:rFonts w:cs="Calibri"/>
        </w:rPr>
        <w:t>ntensity using an 11</w:t>
      </w:r>
      <w:r>
        <w:rPr>
          <w:rFonts w:cs="Calibri"/>
        </w:rPr>
        <w:t xml:space="preserve"> </w:t>
      </w:r>
      <w:r w:rsidRPr="00F775F1">
        <w:rPr>
          <w:rFonts w:cs="Calibri"/>
        </w:rPr>
        <w:t xml:space="preserve">point numerical rating scale (NRS), </w:t>
      </w:r>
      <w:r>
        <w:rPr>
          <w:rFonts w:cs="Calibri"/>
        </w:rPr>
        <w:t>Pain Intensity Difference (PID) at 10 minutes after dosing with the first study drug (</w:t>
      </w:r>
      <w:r w:rsidRPr="002934A5">
        <w:rPr>
          <w:rFonts w:cs="Calibri"/>
        </w:rPr>
        <w:t>PID</w:t>
      </w:r>
      <w:r w:rsidRPr="002934A5">
        <w:rPr>
          <w:rFonts w:cs="Calibri"/>
          <w:vertAlign w:val="subscript"/>
        </w:rPr>
        <w:t>10</w:t>
      </w:r>
      <w:r>
        <w:rPr>
          <w:rFonts w:cs="Calibri"/>
        </w:rPr>
        <w:t xml:space="preserve">) </w:t>
      </w:r>
      <w:r w:rsidRPr="00F775F1">
        <w:rPr>
          <w:rFonts w:cs="Calibri"/>
        </w:rPr>
        <w:t>and the sum of pain intensity differences during 60 minutes (SPID</w:t>
      </w:r>
      <w:r w:rsidRPr="0052464D">
        <w:rPr>
          <w:rFonts w:cs="Calibri"/>
          <w:vertAlign w:val="subscript"/>
        </w:rPr>
        <w:t>0-60</w:t>
      </w:r>
      <w:r w:rsidRPr="00F775F1">
        <w:rPr>
          <w:rFonts w:cs="Calibri"/>
        </w:rPr>
        <w:t xml:space="preserve">). </w:t>
      </w:r>
      <w:r w:rsidRPr="0091444E">
        <w:rPr>
          <w:rFonts w:cs="Calibri"/>
        </w:rPr>
        <w:t>The PID</w:t>
      </w:r>
      <w:r w:rsidRPr="0091444E">
        <w:rPr>
          <w:rFonts w:cs="Calibri"/>
          <w:vertAlign w:val="subscript"/>
        </w:rPr>
        <w:t>10</w:t>
      </w:r>
      <w:r w:rsidRPr="0091444E">
        <w:rPr>
          <w:rFonts w:cs="Calibri"/>
        </w:rPr>
        <w:t xml:space="preserve"> was calculated by subtracting the </w:t>
      </w:r>
      <w:r w:rsidR="001643A8">
        <w:rPr>
          <w:rFonts w:cs="Calibri"/>
        </w:rPr>
        <w:t>P</w:t>
      </w:r>
      <w:r w:rsidR="001643A8" w:rsidRPr="00F775F1">
        <w:rPr>
          <w:rFonts w:cs="Calibri"/>
        </w:rPr>
        <w:t xml:space="preserve">ain </w:t>
      </w:r>
      <w:r w:rsidR="001643A8">
        <w:rPr>
          <w:rFonts w:cs="Calibri"/>
        </w:rPr>
        <w:t>I</w:t>
      </w:r>
      <w:r w:rsidR="001643A8" w:rsidRPr="00F775F1">
        <w:rPr>
          <w:rFonts w:cs="Calibri"/>
        </w:rPr>
        <w:t>ntensity</w:t>
      </w:r>
      <w:r w:rsidRPr="0091444E">
        <w:rPr>
          <w:rFonts w:cs="Calibri"/>
        </w:rPr>
        <w:t xml:space="preserve"> at 10 minutes from the </w:t>
      </w:r>
      <w:r w:rsidR="001643A8">
        <w:rPr>
          <w:rFonts w:cs="Calibri"/>
        </w:rPr>
        <w:t>P</w:t>
      </w:r>
      <w:r w:rsidR="001643A8" w:rsidRPr="00F775F1">
        <w:rPr>
          <w:rFonts w:cs="Calibri"/>
        </w:rPr>
        <w:t xml:space="preserve">ain </w:t>
      </w:r>
      <w:r w:rsidR="001643A8">
        <w:rPr>
          <w:rFonts w:cs="Calibri"/>
        </w:rPr>
        <w:t>I</w:t>
      </w:r>
      <w:r w:rsidR="001643A8" w:rsidRPr="00F775F1">
        <w:rPr>
          <w:rFonts w:cs="Calibri"/>
        </w:rPr>
        <w:t>ntensity</w:t>
      </w:r>
      <w:r w:rsidRPr="0091444E">
        <w:rPr>
          <w:rFonts w:cs="Calibri"/>
        </w:rPr>
        <w:t xml:space="preserve"> recorded immediately before treatment</w:t>
      </w:r>
      <w:r>
        <w:rPr>
          <w:rFonts w:cs="Calibri"/>
        </w:rPr>
        <w:t xml:space="preserve">. The </w:t>
      </w:r>
      <w:r w:rsidRPr="0091444E">
        <w:rPr>
          <w:rFonts w:cs="Calibri"/>
        </w:rPr>
        <w:t>SPID</w:t>
      </w:r>
      <w:r w:rsidRPr="0091444E">
        <w:rPr>
          <w:rFonts w:cs="Calibri"/>
          <w:vertAlign w:val="subscript"/>
        </w:rPr>
        <w:t>0-60</w:t>
      </w:r>
      <w:r>
        <w:rPr>
          <w:rFonts w:cs="Calibri"/>
        </w:rPr>
        <w:t xml:space="preserve"> </w:t>
      </w:r>
      <w:r w:rsidRPr="0052464D">
        <w:rPr>
          <w:rFonts w:cs="Calibri"/>
        </w:rPr>
        <w:t xml:space="preserve">was derived from the </w:t>
      </w:r>
      <w:r>
        <w:rPr>
          <w:rFonts w:cs="Calibri"/>
        </w:rPr>
        <w:t>AUC</w:t>
      </w:r>
      <w:r w:rsidRPr="0052464D">
        <w:rPr>
          <w:rFonts w:cs="Calibri"/>
        </w:rPr>
        <w:t xml:space="preserve"> for PID over the 0-60 minutes interval divided by the length of the interval (60 minutes). </w:t>
      </w:r>
      <w:r w:rsidRPr="00692D47">
        <w:rPr>
          <w:rFonts w:cs="Calibri"/>
        </w:rPr>
        <w:t>Patients were</w:t>
      </w:r>
      <w:r>
        <w:rPr>
          <w:rFonts w:cs="Calibri"/>
        </w:rPr>
        <w:t xml:space="preserve"> </w:t>
      </w:r>
      <w:r w:rsidRPr="00692D47">
        <w:rPr>
          <w:rFonts w:cs="Calibri"/>
        </w:rPr>
        <w:t>considered ‘responders’ if PID</w:t>
      </w:r>
      <w:r w:rsidRPr="001D4ABD">
        <w:rPr>
          <w:rFonts w:cs="Calibri"/>
          <w:vertAlign w:val="subscript"/>
        </w:rPr>
        <w:t>10</w:t>
      </w:r>
      <w:r w:rsidRPr="00692D47">
        <w:rPr>
          <w:rFonts w:cs="Calibri"/>
        </w:rPr>
        <w:t xml:space="preserve"> was &gt;2 on the NRS for a given BTP episode.</w:t>
      </w:r>
      <w:r>
        <w:rPr>
          <w:rFonts w:cs="Calibri"/>
        </w:rPr>
        <w:t xml:space="preserve"> </w:t>
      </w:r>
      <w:r w:rsidRPr="00F775F1">
        <w:rPr>
          <w:rFonts w:cs="Calibri"/>
        </w:rPr>
        <w:t xml:space="preserve">The patient’s </w:t>
      </w:r>
      <w:r>
        <w:rPr>
          <w:rFonts w:cs="Calibri"/>
        </w:rPr>
        <w:t>G</w:t>
      </w:r>
      <w:r w:rsidRPr="00F775F1">
        <w:rPr>
          <w:rFonts w:cs="Calibri"/>
        </w:rPr>
        <w:t xml:space="preserve">eneral </w:t>
      </w:r>
      <w:r>
        <w:rPr>
          <w:rFonts w:cs="Calibri"/>
        </w:rPr>
        <w:t>I</w:t>
      </w:r>
      <w:r w:rsidRPr="00F775F1">
        <w:rPr>
          <w:rFonts w:cs="Calibri"/>
        </w:rPr>
        <w:t>mpression (GI) of the treatment using a 5-point categorical verbal rating scale (VRS), where 0=poor, 1=fair, 2=good, 3=very good, 4=excellent was a secondary efficacy endpoint.</w:t>
      </w:r>
    </w:p>
    <w:p w:rsidR="00DB1773" w:rsidRDefault="00DB1773" w:rsidP="007A03B6">
      <w:pPr>
        <w:rPr>
          <w:i/>
        </w:rPr>
      </w:pPr>
      <w:r>
        <w:t xml:space="preserve">The sites and investigators from Study </w:t>
      </w:r>
      <w:r w:rsidRPr="0011215C">
        <w:t xml:space="preserve">FT-017-IM </w:t>
      </w:r>
      <w:r>
        <w:t xml:space="preserve">also participated in Study </w:t>
      </w:r>
      <w:r w:rsidRPr="0011215C">
        <w:t>FT-018-IM</w:t>
      </w:r>
      <w:r>
        <w:t>.</w:t>
      </w:r>
      <w:r w:rsidR="00B050E6">
        <w:t xml:space="preserve"> </w:t>
      </w:r>
      <w:r w:rsidR="00187177">
        <w:t>An additional eight</w:t>
      </w:r>
      <w:r>
        <w:t xml:space="preserve"> sites that were not involved in </w:t>
      </w:r>
      <w:r w:rsidR="0016792C">
        <w:t xml:space="preserve">Study </w:t>
      </w:r>
      <w:r>
        <w:t xml:space="preserve">FT-017-IM participated in Study </w:t>
      </w:r>
      <w:r>
        <w:lastRenderedPageBreak/>
        <w:t>FT-018-IM.</w:t>
      </w:r>
      <w:r w:rsidR="00B050E6">
        <w:t xml:space="preserve"> </w:t>
      </w:r>
      <w:r>
        <w:t xml:space="preserve">Patients previously enrolled in </w:t>
      </w:r>
      <w:r w:rsidR="00F846EA">
        <w:t xml:space="preserve">Studies </w:t>
      </w:r>
      <w:r w:rsidR="005E5244">
        <w:t>FT-017-IM or FT-016-IM (a pharmacokinetic</w:t>
      </w:r>
      <w:r>
        <w:t xml:space="preserve"> study) </w:t>
      </w:r>
      <w:proofErr w:type="gramStart"/>
      <w:r>
        <w:t>w</w:t>
      </w:r>
      <w:r w:rsidR="00CB19BB">
        <w:t>ere</w:t>
      </w:r>
      <w:proofErr w:type="gramEnd"/>
      <w:r w:rsidR="00CB19BB">
        <w:t xml:space="preserve"> also enrolled in Study FT-01</w:t>
      </w:r>
      <w:r>
        <w:t>8-IM.</w:t>
      </w:r>
    </w:p>
    <w:p w:rsidR="00DB1773" w:rsidRDefault="00041EC7" w:rsidP="00DB1773">
      <w:pPr>
        <w:spacing w:after="0"/>
        <w:rPr>
          <w:rFonts w:cs="Calibri"/>
        </w:rPr>
      </w:pPr>
      <w:r w:rsidRPr="00041EC7">
        <w:rPr>
          <w:rFonts w:cs="Calibri"/>
        </w:rPr>
        <w:t xml:space="preserve">Study </w:t>
      </w:r>
      <w:r w:rsidR="00DB1773" w:rsidRPr="00041EC7">
        <w:rPr>
          <w:rFonts w:cs="Calibri"/>
        </w:rPr>
        <w:t>FT-017-IM</w:t>
      </w:r>
      <w:r w:rsidR="00DB1773" w:rsidRPr="00692D47">
        <w:rPr>
          <w:rFonts w:cs="Calibri"/>
        </w:rPr>
        <w:t xml:space="preserve"> </w:t>
      </w:r>
      <w:r w:rsidR="00DB1773">
        <w:rPr>
          <w:rFonts w:cs="Calibri"/>
        </w:rPr>
        <w:t>was a</w:t>
      </w:r>
      <w:r w:rsidR="00DB1773" w:rsidRPr="00EE1848">
        <w:rPr>
          <w:rFonts w:cs="Calibri"/>
        </w:rPr>
        <w:t xml:space="preserve"> </w:t>
      </w:r>
      <w:r w:rsidR="00DB1773">
        <w:rPr>
          <w:rFonts w:cs="Calibri"/>
        </w:rPr>
        <w:t>r</w:t>
      </w:r>
      <w:r w:rsidR="00DB1773" w:rsidRPr="00EE1848">
        <w:rPr>
          <w:rFonts w:cs="Calibri"/>
        </w:rPr>
        <w:t xml:space="preserve">andomised, </w:t>
      </w:r>
      <w:r w:rsidR="00DB1773">
        <w:rPr>
          <w:rFonts w:cs="Calibri"/>
        </w:rPr>
        <w:t>d</w:t>
      </w:r>
      <w:r w:rsidR="00DB1773" w:rsidRPr="00EE1848">
        <w:rPr>
          <w:rFonts w:cs="Calibri"/>
        </w:rPr>
        <w:t>ouble</w:t>
      </w:r>
      <w:r w:rsidR="008679AF">
        <w:rPr>
          <w:rFonts w:cs="Calibri"/>
        </w:rPr>
        <w:t xml:space="preserve"> </w:t>
      </w:r>
      <w:r w:rsidR="00DB1773">
        <w:rPr>
          <w:rFonts w:cs="Calibri"/>
        </w:rPr>
        <w:t>b</w:t>
      </w:r>
      <w:r w:rsidR="00DB1773" w:rsidRPr="00EE1848">
        <w:rPr>
          <w:rFonts w:cs="Calibri"/>
        </w:rPr>
        <w:t xml:space="preserve">lind, </w:t>
      </w:r>
      <w:r w:rsidR="00DB1773">
        <w:rPr>
          <w:rFonts w:cs="Calibri"/>
        </w:rPr>
        <w:t>p</w:t>
      </w:r>
      <w:r w:rsidR="00DB1773" w:rsidRPr="00EE1848">
        <w:rPr>
          <w:rFonts w:cs="Calibri"/>
        </w:rPr>
        <w:t>lacebo</w:t>
      </w:r>
      <w:r w:rsidR="008679AF">
        <w:rPr>
          <w:rFonts w:cs="Calibri"/>
        </w:rPr>
        <w:t xml:space="preserve"> </w:t>
      </w:r>
      <w:proofErr w:type="gramStart"/>
      <w:r w:rsidR="00DB1773">
        <w:rPr>
          <w:rFonts w:cs="Calibri"/>
        </w:rPr>
        <w:t>c</w:t>
      </w:r>
      <w:r w:rsidR="00DB1773" w:rsidRPr="00EE1848">
        <w:rPr>
          <w:rFonts w:cs="Calibri"/>
        </w:rPr>
        <w:t>ontrolled,</w:t>
      </w:r>
      <w:proofErr w:type="gramEnd"/>
      <w:r w:rsidR="00DB1773" w:rsidRPr="00EE1848">
        <w:rPr>
          <w:rFonts w:cs="Calibri"/>
        </w:rPr>
        <w:t xml:space="preserve"> </w:t>
      </w:r>
      <w:r w:rsidR="00DB1773">
        <w:rPr>
          <w:rFonts w:cs="Calibri"/>
        </w:rPr>
        <w:t>c</w:t>
      </w:r>
      <w:r w:rsidR="00DB1773" w:rsidRPr="00EE1848">
        <w:rPr>
          <w:rFonts w:cs="Calibri"/>
        </w:rPr>
        <w:t>ross</w:t>
      </w:r>
      <w:r w:rsidR="00DB1773">
        <w:rPr>
          <w:rFonts w:cs="Calibri"/>
        </w:rPr>
        <w:t>o</w:t>
      </w:r>
      <w:r w:rsidR="00DB1773" w:rsidRPr="00EE1848">
        <w:rPr>
          <w:rFonts w:cs="Calibri"/>
        </w:rPr>
        <w:t xml:space="preserve">ver </w:t>
      </w:r>
      <w:r w:rsidR="00DB1773">
        <w:rPr>
          <w:rFonts w:cs="Calibri"/>
        </w:rPr>
        <w:t>study examining</w:t>
      </w:r>
      <w:r w:rsidR="00DB1773" w:rsidRPr="00EE1848">
        <w:rPr>
          <w:rFonts w:cs="Calibri"/>
        </w:rPr>
        <w:t xml:space="preserve"> </w:t>
      </w:r>
      <w:r w:rsidR="00DB1773">
        <w:rPr>
          <w:rFonts w:cs="Calibri"/>
        </w:rPr>
        <w:t>d</w:t>
      </w:r>
      <w:r w:rsidR="00DB1773" w:rsidRPr="00EE1848">
        <w:rPr>
          <w:rFonts w:cs="Calibri"/>
        </w:rPr>
        <w:t xml:space="preserve">oses </w:t>
      </w:r>
      <w:r w:rsidR="00DB1773">
        <w:rPr>
          <w:rFonts w:cs="Calibri"/>
        </w:rPr>
        <w:t xml:space="preserve">of </w:t>
      </w:r>
      <w:r w:rsidR="00DB1773" w:rsidRPr="00EE1848">
        <w:rPr>
          <w:rFonts w:cs="Calibri"/>
        </w:rPr>
        <w:t>50</w:t>
      </w:r>
      <w:r w:rsidR="00DB1773" w:rsidRPr="0063103B">
        <w:rPr>
          <w:rFonts w:cs="Calibri"/>
        </w:rPr>
        <w:t xml:space="preserve"> </w:t>
      </w:r>
      <w:proofErr w:type="spellStart"/>
      <w:r w:rsidR="00DB1773" w:rsidRPr="00EE1848">
        <w:rPr>
          <w:rFonts w:cs="Calibri"/>
        </w:rPr>
        <w:t>μg</w:t>
      </w:r>
      <w:proofErr w:type="spellEnd"/>
      <w:r w:rsidR="00DB1773" w:rsidRPr="00EE1848">
        <w:rPr>
          <w:rFonts w:cs="Calibri"/>
        </w:rPr>
        <w:t>, 100</w:t>
      </w:r>
      <w:r w:rsidR="00DB1773" w:rsidRPr="0063103B">
        <w:rPr>
          <w:rFonts w:cs="Calibri"/>
        </w:rPr>
        <w:t xml:space="preserve"> </w:t>
      </w:r>
      <w:proofErr w:type="spellStart"/>
      <w:r w:rsidR="00DB1773" w:rsidRPr="00EE1848">
        <w:rPr>
          <w:rFonts w:cs="Calibri"/>
        </w:rPr>
        <w:t>μg</w:t>
      </w:r>
      <w:proofErr w:type="spellEnd"/>
      <w:r w:rsidR="00DB1773" w:rsidRPr="00EE1848">
        <w:rPr>
          <w:rFonts w:cs="Calibri"/>
        </w:rPr>
        <w:t xml:space="preserve">, and 200 </w:t>
      </w:r>
      <w:proofErr w:type="spellStart"/>
      <w:r w:rsidR="00DB1773" w:rsidRPr="00EE1848">
        <w:rPr>
          <w:rFonts w:cs="Calibri"/>
        </w:rPr>
        <w:t>μg</w:t>
      </w:r>
      <w:proofErr w:type="spellEnd"/>
      <w:r w:rsidR="00DB1773" w:rsidRPr="00EE1848">
        <w:rPr>
          <w:rFonts w:cs="Calibri"/>
        </w:rPr>
        <w:t xml:space="preserve"> </w:t>
      </w:r>
      <w:r w:rsidR="002D2354">
        <w:rPr>
          <w:rFonts w:cs="Calibri"/>
        </w:rPr>
        <w:t>FNS</w:t>
      </w:r>
      <w:r w:rsidR="00DB1773">
        <w:rPr>
          <w:rFonts w:cs="Calibri"/>
        </w:rPr>
        <w:t xml:space="preserve"> </w:t>
      </w:r>
      <w:r w:rsidR="00DB1773" w:rsidRPr="00EE1848">
        <w:rPr>
          <w:rFonts w:cs="Calibri"/>
        </w:rPr>
        <w:t xml:space="preserve">and </w:t>
      </w:r>
      <w:r w:rsidR="00DB1773">
        <w:rPr>
          <w:rFonts w:cs="Calibri"/>
        </w:rPr>
        <w:t>p</w:t>
      </w:r>
      <w:r w:rsidR="00DB1773" w:rsidRPr="00EE1848">
        <w:rPr>
          <w:rFonts w:cs="Calibri"/>
        </w:rPr>
        <w:t xml:space="preserve">lacebo in </w:t>
      </w:r>
      <w:r w:rsidR="00DB1773">
        <w:rPr>
          <w:rFonts w:cs="Calibri"/>
        </w:rPr>
        <w:t>8</w:t>
      </w:r>
      <w:r w:rsidR="00DB1773" w:rsidRPr="00EE1848">
        <w:rPr>
          <w:rFonts w:cs="Calibri"/>
        </w:rPr>
        <w:t xml:space="preserve"> </w:t>
      </w:r>
      <w:r w:rsidR="00067DB9">
        <w:rPr>
          <w:rFonts w:cs="Calibri"/>
        </w:rPr>
        <w:t>BTP</w:t>
      </w:r>
      <w:r w:rsidR="00DB1773" w:rsidRPr="00EE1848">
        <w:rPr>
          <w:rFonts w:cs="Calibri"/>
        </w:rPr>
        <w:t xml:space="preserve"> </w:t>
      </w:r>
      <w:r w:rsidR="00DB1773">
        <w:rPr>
          <w:rFonts w:cs="Calibri"/>
        </w:rPr>
        <w:t>e</w:t>
      </w:r>
      <w:r w:rsidR="00DB1773" w:rsidRPr="00EE1848">
        <w:rPr>
          <w:rFonts w:cs="Calibri"/>
        </w:rPr>
        <w:t>pisodes.</w:t>
      </w:r>
      <w:r w:rsidR="00DB1773">
        <w:rPr>
          <w:rFonts w:cs="Calibri"/>
        </w:rPr>
        <w:t xml:space="preserve"> It was conducted in 27 centres in Europe</w:t>
      </w:r>
      <w:r w:rsidR="00DB1773" w:rsidRPr="00EE1848">
        <w:rPr>
          <w:rFonts w:cs="Calibri"/>
        </w:rPr>
        <w:t xml:space="preserve"> between May 2006 and May 2007.</w:t>
      </w:r>
      <w:r w:rsidR="00B050E6">
        <w:rPr>
          <w:rFonts w:cs="Calibri"/>
        </w:rPr>
        <w:t xml:space="preserve"> </w:t>
      </w:r>
      <w:r w:rsidR="00DB1773" w:rsidRPr="00692D47">
        <w:rPr>
          <w:rFonts w:cs="Calibri"/>
        </w:rPr>
        <w:t xml:space="preserve">The primary objective was to demonstrate the efficacy of FNS in the treatment of </w:t>
      </w:r>
      <w:r w:rsidR="00067DB9">
        <w:rPr>
          <w:rFonts w:cs="Calibri"/>
        </w:rPr>
        <w:t>BTP</w:t>
      </w:r>
      <w:r w:rsidR="00DB1773" w:rsidRPr="00692D47">
        <w:rPr>
          <w:rFonts w:cs="Calibri"/>
        </w:rPr>
        <w:t xml:space="preserve"> in </w:t>
      </w:r>
      <w:r w:rsidR="00DB1773">
        <w:rPr>
          <w:rFonts w:cs="Calibri"/>
        </w:rPr>
        <w:t xml:space="preserve">patients with </w:t>
      </w:r>
      <w:r w:rsidR="00DB1773" w:rsidRPr="00692D47">
        <w:rPr>
          <w:rFonts w:cs="Calibri"/>
        </w:rPr>
        <w:t xml:space="preserve">cancer. The primary efficacy </w:t>
      </w:r>
      <w:r w:rsidR="00DB1773">
        <w:rPr>
          <w:rFonts w:cs="Calibri"/>
        </w:rPr>
        <w:t>outcome measure</w:t>
      </w:r>
      <w:r w:rsidR="00DB1773" w:rsidRPr="002934A5">
        <w:rPr>
          <w:rFonts w:cs="Calibri"/>
        </w:rPr>
        <w:t xml:space="preserve"> was PID</w:t>
      </w:r>
      <w:r w:rsidR="00DB1773" w:rsidRPr="002934A5">
        <w:rPr>
          <w:rFonts w:cs="Calibri"/>
          <w:vertAlign w:val="subscript"/>
        </w:rPr>
        <w:t>10</w:t>
      </w:r>
      <w:r w:rsidR="00DB1773">
        <w:rPr>
          <w:rFonts w:cs="Calibri"/>
        </w:rPr>
        <w:t>.</w:t>
      </w:r>
    </w:p>
    <w:p w:rsidR="00DB1773" w:rsidRPr="00692D47" w:rsidRDefault="00DB1773" w:rsidP="00DB1773">
      <w:pPr>
        <w:spacing w:after="0"/>
        <w:rPr>
          <w:rFonts w:cs="Calibri"/>
        </w:rPr>
      </w:pPr>
      <w:r w:rsidRPr="00C36A25">
        <w:rPr>
          <w:rFonts w:cs="Calibri"/>
        </w:rPr>
        <w:t>Initially all patients received a</w:t>
      </w:r>
      <w:r>
        <w:rPr>
          <w:rFonts w:cs="Calibri"/>
        </w:rPr>
        <w:t xml:space="preserve"> </w:t>
      </w:r>
      <w:r w:rsidRPr="00C36A25">
        <w:rPr>
          <w:rFonts w:cs="Calibri"/>
        </w:rPr>
        <w:t xml:space="preserve">test dose of 200 </w:t>
      </w:r>
      <w:r>
        <w:rPr>
          <w:rFonts w:cs="Calibri"/>
        </w:rPr>
        <w:t>µ</w:t>
      </w:r>
      <w:r w:rsidRPr="00C36A25">
        <w:rPr>
          <w:rFonts w:cs="Calibri"/>
        </w:rPr>
        <w:t xml:space="preserve">g </w:t>
      </w:r>
      <w:r>
        <w:rPr>
          <w:rFonts w:cs="Calibri"/>
        </w:rPr>
        <w:t>FNS</w:t>
      </w:r>
      <w:r w:rsidRPr="00C36A25">
        <w:rPr>
          <w:rFonts w:cs="Calibri"/>
        </w:rPr>
        <w:t xml:space="preserve"> to assess tolerability. Patients who tolerated the test dose</w:t>
      </w:r>
      <w:r>
        <w:rPr>
          <w:rFonts w:cs="Calibri"/>
        </w:rPr>
        <w:t xml:space="preserve"> </w:t>
      </w:r>
      <w:r w:rsidRPr="00C36A25">
        <w:rPr>
          <w:rFonts w:cs="Calibri"/>
        </w:rPr>
        <w:t>then received a single dose (placebo or 50</w:t>
      </w:r>
      <w:r w:rsidRPr="0063103B">
        <w:rPr>
          <w:rFonts w:cs="Calibri"/>
        </w:rPr>
        <w:t xml:space="preserve"> </w:t>
      </w:r>
      <w:proofErr w:type="spellStart"/>
      <w:r w:rsidRPr="00EE1848">
        <w:rPr>
          <w:rFonts w:cs="Calibri"/>
        </w:rPr>
        <w:t>μg</w:t>
      </w:r>
      <w:proofErr w:type="spellEnd"/>
      <w:r w:rsidRPr="00C36A25">
        <w:rPr>
          <w:rFonts w:cs="Calibri"/>
        </w:rPr>
        <w:t>, 100</w:t>
      </w:r>
      <w:r w:rsidRPr="0063103B">
        <w:rPr>
          <w:rFonts w:cs="Calibri"/>
        </w:rPr>
        <w:t xml:space="preserve"> </w:t>
      </w:r>
      <w:proofErr w:type="spellStart"/>
      <w:r w:rsidRPr="00EE1848">
        <w:rPr>
          <w:rFonts w:cs="Calibri"/>
        </w:rPr>
        <w:t>μg</w:t>
      </w:r>
      <w:proofErr w:type="spellEnd"/>
      <w:r w:rsidRPr="00C36A25">
        <w:rPr>
          <w:rFonts w:cs="Calibri"/>
        </w:rPr>
        <w:t xml:space="preserve"> or 200 </w:t>
      </w:r>
      <w:r>
        <w:rPr>
          <w:rFonts w:cs="Calibri"/>
        </w:rPr>
        <w:t>µ</w:t>
      </w:r>
      <w:r w:rsidRPr="00C36A25">
        <w:rPr>
          <w:rFonts w:cs="Calibri"/>
        </w:rPr>
        <w:t xml:space="preserve">g </w:t>
      </w:r>
      <w:r>
        <w:rPr>
          <w:rFonts w:cs="Calibri"/>
        </w:rPr>
        <w:t>FNS</w:t>
      </w:r>
      <w:r w:rsidRPr="00C36A25">
        <w:rPr>
          <w:rFonts w:cs="Calibri"/>
        </w:rPr>
        <w:t xml:space="preserve">) at </w:t>
      </w:r>
      <w:r>
        <w:rPr>
          <w:rFonts w:cs="Calibri"/>
        </w:rPr>
        <w:t xml:space="preserve">the </w:t>
      </w:r>
      <w:r w:rsidRPr="00C36A25">
        <w:rPr>
          <w:rFonts w:cs="Calibri"/>
        </w:rPr>
        <w:t>onset of each episode of</w:t>
      </w:r>
      <w:r>
        <w:rPr>
          <w:rFonts w:cs="Calibri"/>
        </w:rPr>
        <w:t xml:space="preserve"> </w:t>
      </w:r>
      <w:r w:rsidRPr="00C36A25">
        <w:rPr>
          <w:rFonts w:cs="Calibri"/>
        </w:rPr>
        <w:t>BTP, with a second dose allowed if the first dose provided inadequate pain relief. Patients</w:t>
      </w:r>
      <w:r>
        <w:rPr>
          <w:rFonts w:cs="Calibri"/>
        </w:rPr>
        <w:t xml:space="preserve"> </w:t>
      </w:r>
      <w:r w:rsidRPr="00C36A25">
        <w:rPr>
          <w:rFonts w:cs="Calibri"/>
        </w:rPr>
        <w:t>self</w:t>
      </w:r>
      <w:r w:rsidR="00E16C1E">
        <w:rPr>
          <w:rFonts w:cs="Calibri"/>
        </w:rPr>
        <w:t xml:space="preserve"> </w:t>
      </w:r>
      <w:r w:rsidRPr="00C36A25">
        <w:rPr>
          <w:rFonts w:cs="Calibri"/>
        </w:rPr>
        <w:t xml:space="preserve">treated </w:t>
      </w:r>
      <w:r>
        <w:rPr>
          <w:rFonts w:cs="Calibri"/>
        </w:rPr>
        <w:t>8</w:t>
      </w:r>
      <w:r w:rsidRPr="00C36A25">
        <w:rPr>
          <w:rFonts w:cs="Calibri"/>
        </w:rPr>
        <w:t xml:space="preserve"> episodes of BTP (</w:t>
      </w:r>
      <w:r>
        <w:rPr>
          <w:rFonts w:cs="Calibri"/>
        </w:rPr>
        <w:t>6</w:t>
      </w:r>
      <w:r w:rsidRPr="00C36A25">
        <w:rPr>
          <w:rFonts w:cs="Calibri"/>
        </w:rPr>
        <w:t xml:space="preserve"> with </w:t>
      </w:r>
      <w:r>
        <w:rPr>
          <w:rFonts w:cs="Calibri"/>
        </w:rPr>
        <w:t>FNS,</w:t>
      </w:r>
      <w:r w:rsidRPr="00C36A25">
        <w:rPr>
          <w:rFonts w:cs="Calibri"/>
        </w:rPr>
        <w:t xml:space="preserve"> </w:t>
      </w:r>
      <w:r>
        <w:rPr>
          <w:rFonts w:cs="Calibri"/>
        </w:rPr>
        <w:t>2</w:t>
      </w:r>
      <w:r w:rsidRPr="00C36A25">
        <w:rPr>
          <w:rFonts w:cs="Calibri"/>
        </w:rPr>
        <w:t xml:space="preserve"> at each dose level and </w:t>
      </w:r>
      <w:r>
        <w:rPr>
          <w:rFonts w:cs="Calibri"/>
        </w:rPr>
        <w:t>2</w:t>
      </w:r>
      <w:r w:rsidRPr="00C36A25">
        <w:rPr>
          <w:rFonts w:cs="Calibri"/>
        </w:rPr>
        <w:t xml:space="preserve"> with</w:t>
      </w:r>
      <w:r>
        <w:rPr>
          <w:rFonts w:cs="Calibri"/>
        </w:rPr>
        <w:t xml:space="preserve"> </w:t>
      </w:r>
      <w:r w:rsidRPr="00C36A25">
        <w:rPr>
          <w:rFonts w:cs="Calibri"/>
        </w:rPr>
        <w:t>placebo</w:t>
      </w:r>
      <w:r>
        <w:rPr>
          <w:rFonts w:cs="Calibri"/>
        </w:rPr>
        <w:t>,</w:t>
      </w:r>
      <w:r w:rsidRPr="00C36A25">
        <w:rPr>
          <w:rFonts w:cs="Calibri"/>
        </w:rPr>
        <w:t xml:space="preserve"> over a period of appr</w:t>
      </w:r>
      <w:r w:rsidR="00E16C1E">
        <w:rPr>
          <w:rFonts w:cs="Calibri"/>
        </w:rPr>
        <w:t>oximately 3 weeks [</w:t>
      </w:r>
      <w:r w:rsidRPr="00C36A25">
        <w:rPr>
          <w:rFonts w:cs="Calibri"/>
        </w:rPr>
        <w:t>maximum one BTP episode per day</w:t>
      </w:r>
      <w:r w:rsidR="00E16C1E">
        <w:rPr>
          <w:rFonts w:cs="Calibri"/>
        </w:rPr>
        <w:t>]</w:t>
      </w:r>
      <w:r w:rsidRPr="00C36A25">
        <w:rPr>
          <w:rFonts w:cs="Calibri"/>
        </w:rPr>
        <w:t>).</w:t>
      </w:r>
      <w:r>
        <w:rPr>
          <w:rFonts w:cs="Calibri"/>
        </w:rPr>
        <w:t xml:space="preserve"> P</w:t>
      </w:r>
      <w:r w:rsidRPr="0091444E">
        <w:rPr>
          <w:rFonts w:cs="Calibri"/>
        </w:rPr>
        <w:t>atients received their stable fixed</w:t>
      </w:r>
      <w:r w:rsidR="00FB721C">
        <w:rPr>
          <w:rFonts w:cs="Calibri"/>
        </w:rPr>
        <w:t xml:space="preserve"> </w:t>
      </w:r>
      <w:r w:rsidRPr="0091444E">
        <w:rPr>
          <w:rFonts w:cs="Calibri"/>
        </w:rPr>
        <w:t xml:space="preserve">schedule background pain </w:t>
      </w:r>
      <w:proofErr w:type="spellStart"/>
      <w:r w:rsidRPr="0091444E">
        <w:rPr>
          <w:rFonts w:cs="Calibri"/>
        </w:rPr>
        <w:t>opioids</w:t>
      </w:r>
      <w:proofErr w:type="spellEnd"/>
      <w:r w:rsidRPr="0091444E">
        <w:rPr>
          <w:rFonts w:cs="Calibri"/>
        </w:rPr>
        <w:t xml:space="preserve"> and were allowed to take their usual analgesic for any type of pain.</w:t>
      </w:r>
    </w:p>
    <w:p w:rsidR="00DB1773" w:rsidRPr="00692D47" w:rsidRDefault="00DB1773" w:rsidP="00DB1773">
      <w:pPr>
        <w:spacing w:after="0"/>
        <w:rPr>
          <w:rFonts w:cs="Calibri"/>
        </w:rPr>
      </w:pPr>
      <w:r>
        <w:rPr>
          <w:rFonts w:cs="Calibri"/>
        </w:rPr>
        <w:t xml:space="preserve">A total of </w:t>
      </w:r>
      <w:r w:rsidRPr="00692D47">
        <w:rPr>
          <w:rFonts w:cs="Calibri"/>
        </w:rPr>
        <w:t xml:space="preserve">199 patients were screened and 152 </w:t>
      </w:r>
      <w:r>
        <w:rPr>
          <w:rFonts w:cs="Calibri"/>
        </w:rPr>
        <w:t>randomised to treatment</w:t>
      </w:r>
      <w:r w:rsidRPr="00692D47">
        <w:rPr>
          <w:rFonts w:cs="Calibri"/>
        </w:rPr>
        <w:t>.</w:t>
      </w:r>
      <w:r w:rsidR="00B050E6">
        <w:rPr>
          <w:rFonts w:cs="Calibri"/>
        </w:rPr>
        <w:t xml:space="preserve"> </w:t>
      </w:r>
      <w:r w:rsidRPr="00EF5709">
        <w:rPr>
          <w:rFonts w:cs="Calibri"/>
        </w:rPr>
        <w:t>Not all patients completed all doses</w:t>
      </w:r>
      <w:r>
        <w:rPr>
          <w:rFonts w:cs="Calibri"/>
        </w:rPr>
        <w:t>, with from 145 to 148 patients receiving at least one dose of each of the study treatments</w:t>
      </w:r>
      <w:r w:rsidRPr="00EF5709">
        <w:rPr>
          <w:rFonts w:cs="Calibri"/>
        </w:rPr>
        <w:t>.</w:t>
      </w:r>
      <w:r w:rsidR="00B050E6">
        <w:rPr>
          <w:rFonts w:cs="Calibri"/>
        </w:rPr>
        <w:t xml:space="preserve"> </w:t>
      </w:r>
      <w:r w:rsidRPr="00692D47">
        <w:rPr>
          <w:rFonts w:cs="Calibri"/>
        </w:rPr>
        <w:t xml:space="preserve">All </w:t>
      </w:r>
      <w:r>
        <w:rPr>
          <w:rFonts w:cs="Calibri"/>
        </w:rPr>
        <w:t>FNS</w:t>
      </w:r>
      <w:r w:rsidRPr="00692D47">
        <w:rPr>
          <w:rFonts w:cs="Calibri"/>
        </w:rPr>
        <w:t xml:space="preserve"> doses (50</w:t>
      </w:r>
      <w:r w:rsidRPr="0063103B">
        <w:rPr>
          <w:rFonts w:cs="Calibri"/>
        </w:rPr>
        <w:t xml:space="preserve"> </w:t>
      </w:r>
      <w:r w:rsidRPr="00692D47">
        <w:rPr>
          <w:rFonts w:cs="Calibri"/>
        </w:rPr>
        <w:t>µg, 100</w:t>
      </w:r>
      <w:r w:rsidRPr="0063103B">
        <w:rPr>
          <w:rFonts w:cs="Calibri"/>
        </w:rPr>
        <w:t xml:space="preserve"> </w:t>
      </w:r>
      <w:r w:rsidRPr="00692D47">
        <w:rPr>
          <w:rFonts w:cs="Calibri"/>
        </w:rPr>
        <w:t xml:space="preserve">µg, </w:t>
      </w:r>
      <w:r>
        <w:rPr>
          <w:rFonts w:cs="Calibri"/>
        </w:rPr>
        <w:t xml:space="preserve">and </w:t>
      </w:r>
      <w:r w:rsidRPr="00692D47">
        <w:rPr>
          <w:rFonts w:cs="Calibri"/>
        </w:rPr>
        <w:t>200 µg) provided statistically significantly (p&lt;0.001) higher mean PID</w:t>
      </w:r>
      <w:r w:rsidRPr="001D4ABD">
        <w:rPr>
          <w:rFonts w:cs="Calibri"/>
          <w:vertAlign w:val="subscript"/>
        </w:rPr>
        <w:t>10</w:t>
      </w:r>
      <w:r w:rsidRPr="00692D47">
        <w:rPr>
          <w:rFonts w:cs="Calibri"/>
        </w:rPr>
        <w:t xml:space="preserve"> scores (ranging from 1.82 to 2.65) compared with placebo (1.41). The reduction </w:t>
      </w:r>
      <w:r>
        <w:rPr>
          <w:rFonts w:cs="Calibri"/>
        </w:rPr>
        <w:t xml:space="preserve">from baseline </w:t>
      </w:r>
      <w:r w:rsidRPr="00692D47">
        <w:rPr>
          <w:rFonts w:cs="Calibri"/>
        </w:rPr>
        <w:t xml:space="preserve">in </w:t>
      </w:r>
      <w:r>
        <w:rPr>
          <w:rFonts w:cs="Calibri"/>
        </w:rPr>
        <w:t>pain intensity</w:t>
      </w:r>
      <w:r w:rsidRPr="00692D47">
        <w:rPr>
          <w:rFonts w:cs="Calibri"/>
        </w:rPr>
        <w:t xml:space="preserve"> showed a clear dose response</w:t>
      </w:r>
      <w:r>
        <w:rPr>
          <w:rFonts w:cs="Calibri"/>
        </w:rPr>
        <w:t xml:space="preserve"> at each </w:t>
      </w:r>
      <w:proofErr w:type="spellStart"/>
      <w:r>
        <w:rPr>
          <w:rFonts w:cs="Calibri"/>
        </w:rPr>
        <w:t>timepoint</w:t>
      </w:r>
      <w:proofErr w:type="spellEnd"/>
      <w:r>
        <w:rPr>
          <w:rFonts w:cs="Calibri"/>
        </w:rPr>
        <w:t xml:space="preserve"> and overall</w:t>
      </w:r>
      <w:r w:rsidRPr="00692D47">
        <w:rPr>
          <w:rFonts w:cs="Calibri"/>
        </w:rPr>
        <w:t>.</w:t>
      </w:r>
      <w:r w:rsidR="00B050E6">
        <w:rPr>
          <w:rFonts w:cs="Calibri"/>
        </w:rPr>
        <w:t xml:space="preserve"> </w:t>
      </w:r>
      <w:r w:rsidRPr="00692D47">
        <w:rPr>
          <w:rFonts w:cs="Calibri"/>
        </w:rPr>
        <w:t>The mean responder rate at 10 minutes for a given BTP episode</w:t>
      </w:r>
      <w:r>
        <w:rPr>
          <w:rFonts w:cs="Calibri"/>
        </w:rPr>
        <w:t xml:space="preserve"> was </w:t>
      </w:r>
      <w:r w:rsidRPr="00692D47">
        <w:rPr>
          <w:rFonts w:cs="Calibri"/>
        </w:rPr>
        <w:t>29.1%, 41.6%, and 49.7% for the 50</w:t>
      </w:r>
      <w:r w:rsidRPr="0063103B">
        <w:rPr>
          <w:rFonts w:cs="Calibri"/>
        </w:rPr>
        <w:t xml:space="preserve"> </w:t>
      </w:r>
      <w:r w:rsidRPr="00692D47">
        <w:rPr>
          <w:rFonts w:cs="Calibri"/>
        </w:rPr>
        <w:t>µg, 100</w:t>
      </w:r>
      <w:r w:rsidRPr="0063103B">
        <w:rPr>
          <w:rFonts w:cs="Calibri"/>
        </w:rPr>
        <w:t xml:space="preserve"> </w:t>
      </w:r>
      <w:r w:rsidRPr="00692D47">
        <w:rPr>
          <w:rFonts w:cs="Calibri"/>
        </w:rPr>
        <w:t>µg and</w:t>
      </w:r>
      <w:r>
        <w:rPr>
          <w:rFonts w:cs="Calibri"/>
        </w:rPr>
        <w:t xml:space="preserve"> </w:t>
      </w:r>
      <w:r w:rsidRPr="00692D47">
        <w:rPr>
          <w:rFonts w:cs="Calibri"/>
        </w:rPr>
        <w:t xml:space="preserve">200 µg </w:t>
      </w:r>
      <w:r>
        <w:rPr>
          <w:rFonts w:cs="Calibri"/>
        </w:rPr>
        <w:t>FNS</w:t>
      </w:r>
      <w:r w:rsidRPr="00692D47">
        <w:rPr>
          <w:rFonts w:cs="Calibri"/>
        </w:rPr>
        <w:t xml:space="preserve"> dose groups</w:t>
      </w:r>
      <w:r w:rsidR="00AB174A">
        <w:rPr>
          <w:rFonts w:cs="Calibri"/>
        </w:rPr>
        <w:t>,</w:t>
      </w:r>
      <w:r w:rsidRPr="00692D47">
        <w:rPr>
          <w:rFonts w:cs="Calibri"/>
        </w:rPr>
        <w:t xml:space="preserve"> respectively</w:t>
      </w:r>
      <w:r w:rsidR="00AB174A">
        <w:rPr>
          <w:rFonts w:cs="Calibri"/>
        </w:rPr>
        <w:t>,</w:t>
      </w:r>
      <w:r w:rsidRPr="00692D47">
        <w:rPr>
          <w:rFonts w:cs="Calibri"/>
        </w:rPr>
        <w:t xml:space="preserve"> compared with 22.1% for placebo. The </w:t>
      </w:r>
      <w:r>
        <w:rPr>
          <w:rFonts w:cs="Calibri"/>
        </w:rPr>
        <w:t>m</w:t>
      </w:r>
      <w:r w:rsidRPr="00692D47">
        <w:rPr>
          <w:rFonts w:cs="Calibri"/>
        </w:rPr>
        <w:t>ean SPID</w:t>
      </w:r>
      <w:r w:rsidRPr="001D4ABD">
        <w:rPr>
          <w:rFonts w:cs="Calibri"/>
          <w:vertAlign w:val="subscript"/>
        </w:rPr>
        <w:t>0-60</w:t>
      </w:r>
      <w:r w:rsidRPr="00692D47">
        <w:rPr>
          <w:rFonts w:cs="Calibri"/>
        </w:rPr>
        <w:t xml:space="preserve"> scores for each dose were also statistically significantly higher for each dose of FNS compared with placebo (p&lt;0.001 for all </w:t>
      </w:r>
      <w:r>
        <w:rPr>
          <w:rFonts w:cs="Calibri"/>
        </w:rPr>
        <w:t>FNS</w:t>
      </w:r>
      <w:r w:rsidRPr="00692D47">
        <w:rPr>
          <w:rFonts w:cs="Calibri"/>
        </w:rPr>
        <w:t xml:space="preserve"> do</w:t>
      </w:r>
      <w:r w:rsidR="007A03B6">
        <w:rPr>
          <w:rFonts w:cs="Calibri"/>
        </w:rPr>
        <w:t>se groups compared to placebo).</w:t>
      </w:r>
    </w:p>
    <w:p w:rsidR="00DB1773" w:rsidRPr="00A732C9" w:rsidRDefault="00041EC7" w:rsidP="00DB1773">
      <w:pPr>
        <w:spacing w:after="0"/>
        <w:rPr>
          <w:rFonts w:cs="Calibri"/>
        </w:rPr>
      </w:pPr>
      <w:r>
        <w:rPr>
          <w:rFonts w:cs="Calibri"/>
        </w:rPr>
        <w:t xml:space="preserve">Study </w:t>
      </w:r>
      <w:r w:rsidR="00DB1773" w:rsidRPr="00041EC7">
        <w:rPr>
          <w:rFonts w:cs="Calibri"/>
        </w:rPr>
        <w:t>FT-018-IM</w:t>
      </w:r>
      <w:r w:rsidR="00DB1773">
        <w:rPr>
          <w:rFonts w:cs="Calibri"/>
          <w:b/>
        </w:rPr>
        <w:t xml:space="preserve"> </w:t>
      </w:r>
      <w:r w:rsidR="00DB1773" w:rsidRPr="00A732C9">
        <w:rPr>
          <w:rFonts w:cs="Calibri"/>
        </w:rPr>
        <w:t>was a double</w:t>
      </w:r>
      <w:r w:rsidR="00AB174A">
        <w:rPr>
          <w:rFonts w:cs="Calibri"/>
        </w:rPr>
        <w:t xml:space="preserve"> </w:t>
      </w:r>
      <w:r w:rsidR="00DB1773" w:rsidRPr="00A732C9">
        <w:rPr>
          <w:rFonts w:cs="Calibri"/>
        </w:rPr>
        <w:t>blind, randomised, placebo</w:t>
      </w:r>
      <w:r w:rsidR="00AB174A">
        <w:rPr>
          <w:rFonts w:cs="Calibri"/>
        </w:rPr>
        <w:t xml:space="preserve"> </w:t>
      </w:r>
      <w:r w:rsidR="00DB1773" w:rsidRPr="00A732C9">
        <w:rPr>
          <w:rFonts w:cs="Calibri"/>
        </w:rPr>
        <w:t>controlled</w:t>
      </w:r>
      <w:r w:rsidR="00DB1773">
        <w:rPr>
          <w:rFonts w:cs="Calibri"/>
        </w:rPr>
        <w:t>, crossover</w:t>
      </w:r>
      <w:r w:rsidR="00DB1773" w:rsidRPr="00A732C9">
        <w:rPr>
          <w:rFonts w:cs="Calibri"/>
        </w:rPr>
        <w:t xml:space="preserve"> study </w:t>
      </w:r>
      <w:r w:rsidR="00DB1773">
        <w:rPr>
          <w:rFonts w:cs="Calibri"/>
        </w:rPr>
        <w:t xml:space="preserve">to </w:t>
      </w:r>
      <w:r w:rsidR="00DB1773" w:rsidRPr="00A732C9">
        <w:rPr>
          <w:rFonts w:cs="Calibri"/>
        </w:rPr>
        <w:t xml:space="preserve">confirm the efficacy of FNS </w:t>
      </w:r>
      <w:r w:rsidR="00DB1773">
        <w:rPr>
          <w:rFonts w:cs="Calibri"/>
        </w:rPr>
        <w:t>t</w:t>
      </w:r>
      <w:r w:rsidR="00DB1773" w:rsidRPr="00A732C9">
        <w:rPr>
          <w:rFonts w:cs="Calibri"/>
        </w:rPr>
        <w:t>itrated to 50</w:t>
      </w:r>
      <w:r w:rsidR="00DB1773" w:rsidRPr="0063103B">
        <w:rPr>
          <w:rFonts w:cs="Calibri"/>
        </w:rPr>
        <w:t xml:space="preserve"> </w:t>
      </w:r>
      <w:r w:rsidR="00DB1773" w:rsidRPr="00692D47">
        <w:rPr>
          <w:rFonts w:cs="Calibri"/>
        </w:rPr>
        <w:t>µg</w:t>
      </w:r>
      <w:r w:rsidR="00DB1773" w:rsidRPr="00A732C9">
        <w:rPr>
          <w:rFonts w:cs="Calibri"/>
        </w:rPr>
        <w:t>, 100</w:t>
      </w:r>
      <w:r w:rsidR="00DB1773" w:rsidRPr="0063103B">
        <w:rPr>
          <w:rFonts w:cs="Calibri"/>
        </w:rPr>
        <w:t xml:space="preserve"> </w:t>
      </w:r>
      <w:r w:rsidR="00DB1773" w:rsidRPr="00692D47">
        <w:rPr>
          <w:rFonts w:cs="Calibri"/>
        </w:rPr>
        <w:t>µg</w:t>
      </w:r>
      <w:r w:rsidR="00DB1773" w:rsidRPr="00A732C9">
        <w:rPr>
          <w:rFonts w:cs="Calibri"/>
        </w:rPr>
        <w:t xml:space="preserve">, or 200 </w:t>
      </w:r>
      <w:proofErr w:type="spellStart"/>
      <w:r w:rsidR="00DB1773" w:rsidRPr="00A732C9">
        <w:rPr>
          <w:rFonts w:cs="Calibri"/>
        </w:rPr>
        <w:t>μg</w:t>
      </w:r>
      <w:proofErr w:type="spellEnd"/>
      <w:r w:rsidR="00DB1773" w:rsidRPr="00A732C9">
        <w:rPr>
          <w:rFonts w:cs="Calibri"/>
        </w:rPr>
        <w:t xml:space="preserve"> with an open</w:t>
      </w:r>
      <w:r w:rsidR="00DB1773">
        <w:rPr>
          <w:rFonts w:cs="Calibri"/>
        </w:rPr>
        <w:t>,</w:t>
      </w:r>
      <w:r w:rsidR="00DB1773" w:rsidRPr="00A732C9">
        <w:rPr>
          <w:rFonts w:cs="Calibri"/>
        </w:rPr>
        <w:t xml:space="preserve"> long</w:t>
      </w:r>
      <w:r w:rsidR="00817EFE">
        <w:rPr>
          <w:rFonts w:cs="Calibri"/>
        </w:rPr>
        <w:t xml:space="preserve"> </w:t>
      </w:r>
      <w:r w:rsidR="00DB1773" w:rsidRPr="00A732C9">
        <w:rPr>
          <w:rFonts w:cs="Calibri"/>
        </w:rPr>
        <w:t>term safety follow</w:t>
      </w:r>
      <w:r w:rsidR="00817EFE">
        <w:rPr>
          <w:rFonts w:cs="Calibri"/>
        </w:rPr>
        <w:t xml:space="preserve"> </w:t>
      </w:r>
      <w:r w:rsidR="00DB1773">
        <w:rPr>
          <w:rFonts w:cs="Calibri"/>
        </w:rPr>
        <w:t>u</w:t>
      </w:r>
      <w:r w:rsidR="00DB1773" w:rsidRPr="00A732C9">
        <w:rPr>
          <w:rFonts w:cs="Calibri"/>
        </w:rPr>
        <w:t xml:space="preserve">p in cancer patients with </w:t>
      </w:r>
      <w:r w:rsidR="00067DB9">
        <w:rPr>
          <w:rFonts w:cs="Calibri"/>
        </w:rPr>
        <w:t>BTP</w:t>
      </w:r>
      <w:r w:rsidR="00DB1773" w:rsidRPr="00A732C9">
        <w:rPr>
          <w:rFonts w:cs="Calibri"/>
        </w:rPr>
        <w:t>.</w:t>
      </w:r>
      <w:r w:rsidR="00DB1773">
        <w:rPr>
          <w:rFonts w:cs="Calibri"/>
        </w:rPr>
        <w:t xml:space="preserve"> </w:t>
      </w:r>
      <w:r w:rsidR="00DB1773" w:rsidRPr="00A732C9">
        <w:rPr>
          <w:rFonts w:cs="Calibri"/>
        </w:rPr>
        <w:t>In Phase 1</w:t>
      </w:r>
      <w:r w:rsidR="00A64AD3">
        <w:rPr>
          <w:rFonts w:cs="Calibri"/>
        </w:rPr>
        <w:t>,</w:t>
      </w:r>
      <w:r w:rsidR="00DB1773" w:rsidRPr="00A732C9">
        <w:rPr>
          <w:rFonts w:cs="Calibri"/>
        </w:rPr>
        <w:t xml:space="preserve"> patients were titrated to an effective FNS dose via open label titration. </w:t>
      </w:r>
      <w:r w:rsidR="00DB1773">
        <w:rPr>
          <w:rFonts w:cs="Calibri"/>
        </w:rPr>
        <w:t>The i</w:t>
      </w:r>
      <w:r w:rsidR="00DB1773" w:rsidRPr="00A732C9">
        <w:rPr>
          <w:rFonts w:cs="Calibri"/>
        </w:rPr>
        <w:t xml:space="preserve">nitial dose was 50 </w:t>
      </w:r>
      <w:proofErr w:type="spellStart"/>
      <w:r w:rsidR="00DB1773" w:rsidRPr="00A732C9">
        <w:rPr>
          <w:rFonts w:cs="Calibri"/>
        </w:rPr>
        <w:t>μg</w:t>
      </w:r>
      <w:proofErr w:type="spellEnd"/>
      <w:r w:rsidR="00DB1773" w:rsidRPr="00A732C9">
        <w:rPr>
          <w:rFonts w:cs="Calibri"/>
        </w:rPr>
        <w:t xml:space="preserve"> FNS and if needed</w:t>
      </w:r>
      <w:r w:rsidR="00DB1773">
        <w:rPr>
          <w:rFonts w:cs="Calibri"/>
        </w:rPr>
        <w:t>,</w:t>
      </w:r>
      <w:r w:rsidR="00DB1773" w:rsidRPr="00A732C9">
        <w:rPr>
          <w:rFonts w:cs="Calibri"/>
        </w:rPr>
        <w:t xml:space="preserve"> dependent on efficacy and adverse reactions</w:t>
      </w:r>
      <w:r w:rsidR="00DB1773">
        <w:rPr>
          <w:rFonts w:cs="Calibri"/>
        </w:rPr>
        <w:t>,</w:t>
      </w:r>
      <w:r w:rsidR="00DB1773" w:rsidRPr="00A732C9">
        <w:rPr>
          <w:rFonts w:cs="Calibri"/>
        </w:rPr>
        <w:t xml:space="preserve"> the patient could continue by stepwise titration to either 100 </w:t>
      </w:r>
      <w:proofErr w:type="spellStart"/>
      <w:r w:rsidR="00DB1773" w:rsidRPr="00A732C9">
        <w:rPr>
          <w:rFonts w:cs="Calibri"/>
        </w:rPr>
        <w:t>μg</w:t>
      </w:r>
      <w:proofErr w:type="spellEnd"/>
      <w:r w:rsidR="00DB1773" w:rsidRPr="00A732C9">
        <w:rPr>
          <w:rFonts w:cs="Calibri"/>
        </w:rPr>
        <w:t xml:space="preserve">/dose or 200 </w:t>
      </w:r>
      <w:proofErr w:type="spellStart"/>
      <w:r w:rsidR="00DB1773" w:rsidRPr="00A732C9">
        <w:rPr>
          <w:rFonts w:cs="Calibri"/>
        </w:rPr>
        <w:t>μg</w:t>
      </w:r>
      <w:proofErr w:type="spellEnd"/>
      <w:r w:rsidR="00DB1773" w:rsidRPr="00A732C9">
        <w:rPr>
          <w:rFonts w:cs="Calibri"/>
        </w:rPr>
        <w:t xml:space="preserve">/dose. An effective dose was reached when three of four BTP episodes had been treated successfully with one or two doses of FNS. Patients who completed a successful titration then entered a double blind efficacy phase (Phase 2) in which they received the effective FNS dose reached in Phase 1 </w:t>
      </w:r>
      <w:r w:rsidR="00DB1773">
        <w:rPr>
          <w:rFonts w:cs="Calibri"/>
        </w:rPr>
        <w:t>or</w:t>
      </w:r>
      <w:r w:rsidR="00DB1773" w:rsidRPr="00A732C9">
        <w:rPr>
          <w:rFonts w:cs="Calibri"/>
        </w:rPr>
        <w:t xml:space="preserve"> placebo for treatment of eight BTP episodes (</w:t>
      </w:r>
      <w:r w:rsidR="00A64AD3">
        <w:rPr>
          <w:rFonts w:cs="Calibri"/>
        </w:rPr>
        <w:t>6</w:t>
      </w:r>
      <w:r w:rsidR="00DB1773" w:rsidRPr="00A732C9">
        <w:rPr>
          <w:rFonts w:cs="Calibri"/>
        </w:rPr>
        <w:t xml:space="preserve"> FNS and 2 placebos in randomised order). Patients continued in a</w:t>
      </w:r>
      <w:r w:rsidR="00DB1773">
        <w:rPr>
          <w:rFonts w:cs="Calibri"/>
        </w:rPr>
        <w:t>n open</w:t>
      </w:r>
      <w:r w:rsidR="00DB1773" w:rsidRPr="00A732C9">
        <w:rPr>
          <w:rFonts w:cs="Calibri"/>
        </w:rPr>
        <w:t xml:space="preserve"> safety follow up Phase 3 in which they were treated on a named patient basis or in countries where named patient use was not acceptable FNS was offered in a safety extension phase.</w:t>
      </w:r>
    </w:p>
    <w:p w:rsidR="00DB1773" w:rsidRPr="00A732C9" w:rsidRDefault="00DB1773" w:rsidP="00DB1773">
      <w:pPr>
        <w:spacing w:after="0"/>
        <w:rPr>
          <w:rFonts w:cs="Calibri"/>
        </w:rPr>
      </w:pPr>
      <w:r w:rsidRPr="00A732C9">
        <w:rPr>
          <w:rFonts w:cs="Calibri"/>
        </w:rPr>
        <w:t>The titration and efficacy phases were expected to last up to three weeks each, followed by a safety follow up for ten months after the last patient was included.</w:t>
      </w:r>
      <w:r>
        <w:rPr>
          <w:rFonts w:cs="Calibri"/>
        </w:rPr>
        <w:t xml:space="preserve"> </w:t>
      </w:r>
      <w:r w:rsidRPr="00A732C9">
        <w:rPr>
          <w:rFonts w:cs="Calibri"/>
        </w:rPr>
        <w:t>FNS and placebo were administered as one dose in one nostril. If the first dose brought insufficient pain relief, a second dose was allowed 10 minutes after the first dose. The maxim</w:t>
      </w:r>
      <w:r w:rsidR="00E53815">
        <w:rPr>
          <w:rFonts w:cs="Calibri"/>
        </w:rPr>
        <w:t>al total dose was 2</w:t>
      </w:r>
      <w:r w:rsidR="001643A8">
        <w:rPr>
          <w:rFonts w:cs="Calibri"/>
        </w:rPr>
        <w:t xml:space="preserve"> times</w:t>
      </w:r>
      <w:r w:rsidRPr="00A732C9">
        <w:rPr>
          <w:rFonts w:cs="Calibri"/>
        </w:rPr>
        <w:t xml:space="preserve"> 200 </w:t>
      </w:r>
      <w:proofErr w:type="spellStart"/>
      <w:r w:rsidRPr="00A732C9">
        <w:rPr>
          <w:rFonts w:cs="Calibri"/>
        </w:rPr>
        <w:t>μg</w:t>
      </w:r>
      <w:proofErr w:type="spellEnd"/>
      <w:r w:rsidRPr="00A732C9">
        <w:rPr>
          <w:rFonts w:cs="Calibri"/>
        </w:rPr>
        <w:t xml:space="preserve"> FNS taken 10 minutes apart.</w:t>
      </w:r>
      <w:r>
        <w:rPr>
          <w:rFonts w:cs="Calibri"/>
        </w:rPr>
        <w:t xml:space="preserve"> </w:t>
      </w:r>
      <w:r w:rsidRPr="00A732C9">
        <w:rPr>
          <w:rFonts w:cs="Calibri"/>
        </w:rPr>
        <w:t>Patients were allowed to take rescue medication for pain if needed</w:t>
      </w:r>
      <w:r>
        <w:rPr>
          <w:rFonts w:cs="Calibri"/>
        </w:rPr>
        <w:t xml:space="preserve"> from</w:t>
      </w:r>
      <w:r w:rsidRPr="00A732C9">
        <w:rPr>
          <w:rFonts w:cs="Calibri"/>
        </w:rPr>
        <w:t xml:space="preserve"> 20 minutes after the first administration of </w:t>
      </w:r>
      <w:r>
        <w:rPr>
          <w:rFonts w:cs="Calibri"/>
        </w:rPr>
        <w:t>study product</w:t>
      </w:r>
      <w:r w:rsidRPr="00A732C9">
        <w:rPr>
          <w:rFonts w:cs="Calibri"/>
        </w:rPr>
        <w:t>. Any analgesics</w:t>
      </w:r>
      <w:r>
        <w:rPr>
          <w:rFonts w:cs="Calibri"/>
        </w:rPr>
        <w:t xml:space="preserve">, </w:t>
      </w:r>
      <w:r w:rsidRPr="00A732C9">
        <w:rPr>
          <w:rFonts w:cs="Calibri"/>
        </w:rPr>
        <w:t>with the exception of FNS</w:t>
      </w:r>
      <w:r>
        <w:rPr>
          <w:rFonts w:cs="Calibri"/>
        </w:rPr>
        <w:t>,</w:t>
      </w:r>
      <w:r w:rsidRPr="00A732C9">
        <w:rPr>
          <w:rFonts w:cs="Calibri"/>
        </w:rPr>
        <w:t xml:space="preserve"> taken within 60 minutes of the first dose of </w:t>
      </w:r>
      <w:r>
        <w:rPr>
          <w:rFonts w:cs="Calibri"/>
        </w:rPr>
        <w:t>study product</w:t>
      </w:r>
      <w:r w:rsidRPr="00A732C9">
        <w:rPr>
          <w:rFonts w:cs="Calibri"/>
        </w:rPr>
        <w:t xml:space="preserve"> were classified as rescue medication.</w:t>
      </w:r>
      <w:r>
        <w:rPr>
          <w:rFonts w:cs="Calibri"/>
        </w:rPr>
        <w:t xml:space="preserve"> </w:t>
      </w:r>
      <w:r w:rsidRPr="00A732C9">
        <w:rPr>
          <w:rFonts w:cs="Calibri"/>
        </w:rPr>
        <w:t xml:space="preserve">The primary efficacy outcome </w:t>
      </w:r>
      <w:r>
        <w:rPr>
          <w:rFonts w:cs="Calibri"/>
        </w:rPr>
        <w:t xml:space="preserve">was </w:t>
      </w:r>
      <w:r w:rsidRPr="00A732C9">
        <w:rPr>
          <w:rFonts w:cs="Calibri"/>
        </w:rPr>
        <w:t>PID</w:t>
      </w:r>
      <w:r w:rsidRPr="00A732C9">
        <w:rPr>
          <w:rFonts w:cs="Calibri"/>
          <w:vertAlign w:val="subscript"/>
        </w:rPr>
        <w:t>10</w:t>
      </w:r>
      <w:r w:rsidRPr="00A732C9">
        <w:rPr>
          <w:rFonts w:cs="Calibri"/>
        </w:rPr>
        <w:t xml:space="preserve"> after administration of first dose of </w:t>
      </w:r>
      <w:r>
        <w:rPr>
          <w:rFonts w:cs="Calibri"/>
        </w:rPr>
        <w:t>study product</w:t>
      </w:r>
      <w:r w:rsidR="00E53815">
        <w:rPr>
          <w:rFonts w:cs="Calibri"/>
        </w:rPr>
        <w:t xml:space="preserve"> (that is, </w:t>
      </w:r>
      <w:r w:rsidRPr="00A732C9">
        <w:rPr>
          <w:rFonts w:cs="Calibri"/>
        </w:rPr>
        <w:t>FNS or placebo).</w:t>
      </w:r>
      <w:r>
        <w:rPr>
          <w:rFonts w:cs="Calibri"/>
        </w:rPr>
        <w:t xml:space="preserve"> The responder rate, SPID</w:t>
      </w:r>
      <w:r>
        <w:rPr>
          <w:rFonts w:cs="Calibri"/>
          <w:vertAlign w:val="subscript"/>
        </w:rPr>
        <w:t>0-60</w:t>
      </w:r>
      <w:r>
        <w:rPr>
          <w:rFonts w:cs="Calibri"/>
        </w:rPr>
        <w:t xml:space="preserve"> and pa</w:t>
      </w:r>
      <w:r w:rsidR="00081564">
        <w:rPr>
          <w:rFonts w:cs="Calibri"/>
        </w:rPr>
        <w:t xml:space="preserve">tient’s GI </w:t>
      </w:r>
      <w:r>
        <w:rPr>
          <w:rFonts w:cs="Calibri"/>
        </w:rPr>
        <w:t>were also recorded.</w:t>
      </w:r>
    </w:p>
    <w:p w:rsidR="00DB1773" w:rsidRPr="005A1657" w:rsidRDefault="00DB1773" w:rsidP="00DB1773">
      <w:pPr>
        <w:spacing w:after="0"/>
        <w:rPr>
          <w:rFonts w:cs="Calibri"/>
        </w:rPr>
      </w:pPr>
      <w:r>
        <w:rPr>
          <w:rFonts w:cs="Calibri"/>
        </w:rPr>
        <w:t xml:space="preserve">This study included patients who had also enrolled in </w:t>
      </w:r>
      <w:r w:rsidR="00081564">
        <w:rPr>
          <w:rFonts w:cs="Calibri"/>
        </w:rPr>
        <w:t xml:space="preserve">Studies </w:t>
      </w:r>
      <w:r w:rsidRPr="00A732C9">
        <w:rPr>
          <w:rFonts w:cs="Calibri"/>
        </w:rPr>
        <w:t xml:space="preserve">FT-016-IM </w:t>
      </w:r>
      <w:r>
        <w:rPr>
          <w:rFonts w:cs="Calibri"/>
        </w:rPr>
        <w:t>or</w:t>
      </w:r>
      <w:r w:rsidRPr="00A732C9">
        <w:rPr>
          <w:rFonts w:cs="Calibri"/>
        </w:rPr>
        <w:t xml:space="preserve"> FT-017-IM</w:t>
      </w:r>
      <w:r>
        <w:rPr>
          <w:rFonts w:cs="Calibri"/>
        </w:rPr>
        <w:t>.</w:t>
      </w:r>
      <w:r w:rsidR="00B050E6">
        <w:rPr>
          <w:rFonts w:cs="Calibri"/>
        </w:rPr>
        <w:t xml:space="preserve"> </w:t>
      </w:r>
      <w:r w:rsidRPr="0063103B">
        <w:rPr>
          <w:rFonts w:cs="Calibri"/>
        </w:rPr>
        <w:t>A total of 120 patients were enrolled</w:t>
      </w:r>
      <w:r>
        <w:rPr>
          <w:rFonts w:cs="Calibri"/>
        </w:rPr>
        <w:t>, 7</w:t>
      </w:r>
      <w:r w:rsidRPr="0063103B">
        <w:rPr>
          <w:rFonts w:cs="Calibri"/>
        </w:rPr>
        <w:t xml:space="preserve"> withdrew during the titration phase</w:t>
      </w:r>
      <w:r>
        <w:rPr>
          <w:rFonts w:cs="Calibri"/>
        </w:rPr>
        <w:t xml:space="preserve">, </w:t>
      </w:r>
      <w:r w:rsidRPr="0063103B">
        <w:rPr>
          <w:rFonts w:cs="Calibri"/>
        </w:rPr>
        <w:t>113 were randomised</w:t>
      </w:r>
      <w:r>
        <w:rPr>
          <w:rFonts w:cs="Calibri"/>
        </w:rPr>
        <w:t xml:space="preserve"> and 111 received </w:t>
      </w:r>
      <w:r w:rsidRPr="0063103B">
        <w:rPr>
          <w:rFonts w:cs="Calibri"/>
        </w:rPr>
        <w:t>double</w:t>
      </w:r>
      <w:r w:rsidR="008C3422">
        <w:rPr>
          <w:rFonts w:cs="Calibri"/>
        </w:rPr>
        <w:t xml:space="preserve"> </w:t>
      </w:r>
      <w:r w:rsidRPr="0063103B">
        <w:rPr>
          <w:rFonts w:cs="Calibri"/>
        </w:rPr>
        <w:t xml:space="preserve">blind </w:t>
      </w:r>
      <w:r>
        <w:rPr>
          <w:rFonts w:cs="Calibri"/>
        </w:rPr>
        <w:t>study</w:t>
      </w:r>
      <w:r w:rsidRPr="0063103B">
        <w:rPr>
          <w:rFonts w:cs="Calibri"/>
        </w:rPr>
        <w:t xml:space="preserve"> drug.</w:t>
      </w:r>
      <w:r w:rsidR="00B050E6">
        <w:rPr>
          <w:rFonts w:cs="Calibri"/>
        </w:rPr>
        <w:t xml:space="preserve"> </w:t>
      </w:r>
      <w:r>
        <w:rPr>
          <w:rFonts w:cs="Calibri"/>
        </w:rPr>
        <w:t>T</w:t>
      </w:r>
      <w:r w:rsidRPr="007F59AB">
        <w:rPr>
          <w:rFonts w:cs="Calibri"/>
        </w:rPr>
        <w:t xml:space="preserve">he mean standardised morphine equivalent dose of background </w:t>
      </w:r>
      <w:proofErr w:type="spellStart"/>
      <w:r w:rsidRPr="007F59AB">
        <w:rPr>
          <w:rFonts w:cs="Calibri"/>
        </w:rPr>
        <w:t>opioid</w:t>
      </w:r>
      <w:proofErr w:type="spellEnd"/>
      <w:r w:rsidRPr="007F59AB">
        <w:rPr>
          <w:rFonts w:cs="Calibri"/>
        </w:rPr>
        <w:t xml:space="preserve"> pain</w:t>
      </w:r>
      <w:r>
        <w:rPr>
          <w:rFonts w:cs="Calibri"/>
        </w:rPr>
        <w:t xml:space="preserve"> </w:t>
      </w:r>
      <w:r w:rsidRPr="007F59AB">
        <w:rPr>
          <w:rFonts w:cs="Calibri"/>
        </w:rPr>
        <w:t xml:space="preserve">medication was 190.0 mg/day (range 60-560 </w:t>
      </w:r>
      <w:r w:rsidRPr="007F59AB">
        <w:rPr>
          <w:rFonts w:cs="Calibri"/>
        </w:rPr>
        <w:lastRenderedPageBreak/>
        <w:t>mg/day) with 67.6% of patients receiving</w:t>
      </w:r>
      <w:r w:rsidR="00041EC7">
        <w:rPr>
          <w:rFonts w:cs="Calibri"/>
        </w:rPr>
        <w:t xml:space="preserve"> </w:t>
      </w:r>
      <w:r w:rsidR="00511B89">
        <w:rPr>
          <w:rFonts w:cs="Calibri"/>
        </w:rPr>
        <w:t>≤</w:t>
      </w:r>
      <w:r w:rsidRPr="007F59AB">
        <w:rPr>
          <w:rFonts w:cs="Calibri"/>
        </w:rPr>
        <w:t>180 mg/day.</w:t>
      </w:r>
      <w:r w:rsidRPr="00614F6E">
        <w:rPr>
          <w:rFonts w:ascii="Arial" w:hAnsi="Arial" w:cs="Arial"/>
        </w:rPr>
        <w:t xml:space="preserve"> </w:t>
      </w:r>
      <w:r w:rsidRPr="00614F6E">
        <w:rPr>
          <w:rFonts w:cs="Calibri"/>
        </w:rPr>
        <w:t>At the end of the</w:t>
      </w:r>
      <w:r>
        <w:rPr>
          <w:rFonts w:cs="Calibri"/>
        </w:rPr>
        <w:t xml:space="preserve"> </w:t>
      </w:r>
      <w:r w:rsidRPr="00614F6E">
        <w:rPr>
          <w:rFonts w:cs="Calibri"/>
        </w:rPr>
        <w:t>titration phase</w:t>
      </w:r>
      <w:r w:rsidR="00551852">
        <w:rPr>
          <w:rFonts w:cs="Calibri"/>
        </w:rPr>
        <w:t>,</w:t>
      </w:r>
      <w:r w:rsidRPr="00614F6E">
        <w:rPr>
          <w:rFonts w:cs="Calibri"/>
        </w:rPr>
        <w:t xml:space="preserve"> the effective dose </w:t>
      </w:r>
      <w:r>
        <w:rPr>
          <w:rFonts w:cs="Calibri"/>
        </w:rPr>
        <w:t xml:space="preserve">for </w:t>
      </w:r>
      <w:r w:rsidR="00067DB9">
        <w:rPr>
          <w:rFonts w:cs="Calibri"/>
        </w:rPr>
        <w:t>BTP</w:t>
      </w:r>
      <w:r>
        <w:rPr>
          <w:rFonts w:cs="Calibri"/>
        </w:rPr>
        <w:t xml:space="preserve"> episodes </w:t>
      </w:r>
      <w:r w:rsidRPr="00614F6E">
        <w:rPr>
          <w:rFonts w:cs="Calibri"/>
        </w:rPr>
        <w:t xml:space="preserve">was 50 </w:t>
      </w:r>
      <w:r>
        <w:rPr>
          <w:rFonts w:cs="Calibri"/>
        </w:rPr>
        <w:t>µ</w:t>
      </w:r>
      <w:r w:rsidRPr="00614F6E">
        <w:rPr>
          <w:rFonts w:cs="Calibri"/>
        </w:rPr>
        <w:t xml:space="preserve">g for 17 patients (15.2%), 100 </w:t>
      </w:r>
      <w:r>
        <w:rPr>
          <w:rFonts w:cs="Calibri"/>
        </w:rPr>
        <w:t>µ</w:t>
      </w:r>
      <w:r w:rsidRPr="00614F6E">
        <w:rPr>
          <w:rFonts w:cs="Calibri"/>
        </w:rPr>
        <w:t>g for 51 patients</w:t>
      </w:r>
      <w:r>
        <w:rPr>
          <w:rFonts w:cs="Calibri"/>
        </w:rPr>
        <w:t xml:space="preserve"> </w:t>
      </w:r>
      <w:r w:rsidRPr="00614F6E">
        <w:rPr>
          <w:rFonts w:cs="Calibri"/>
        </w:rPr>
        <w:t xml:space="preserve">(45.5%) and 200 </w:t>
      </w:r>
      <w:r>
        <w:rPr>
          <w:rFonts w:cs="Calibri"/>
        </w:rPr>
        <w:t>µ</w:t>
      </w:r>
      <w:r w:rsidRPr="00614F6E">
        <w:rPr>
          <w:rFonts w:cs="Calibri"/>
        </w:rPr>
        <w:t>g for 44 patients (39.3%)</w:t>
      </w:r>
      <w:r>
        <w:rPr>
          <w:rFonts w:cs="Calibri"/>
        </w:rPr>
        <w:t>, for one dose.</w:t>
      </w:r>
      <w:r w:rsidR="00B050E6">
        <w:rPr>
          <w:rFonts w:cs="Calibri"/>
        </w:rPr>
        <w:t xml:space="preserve"> </w:t>
      </w:r>
      <w:r>
        <w:rPr>
          <w:rFonts w:cs="Calibri"/>
        </w:rPr>
        <w:t>Six</w:t>
      </w:r>
      <w:r w:rsidRPr="005A1657">
        <w:rPr>
          <w:rFonts w:cs="Calibri"/>
        </w:rPr>
        <w:t xml:space="preserve"> patients changed dose levels between the titration and efficacy phases.</w:t>
      </w:r>
    </w:p>
    <w:p w:rsidR="00DB1773" w:rsidRDefault="00DB1773" w:rsidP="00DB1773">
      <w:pPr>
        <w:spacing w:after="0"/>
        <w:rPr>
          <w:rFonts w:cs="Calibri"/>
        </w:rPr>
      </w:pPr>
      <w:r>
        <w:rPr>
          <w:rFonts w:cs="Calibri"/>
        </w:rPr>
        <w:t xml:space="preserve">The </w:t>
      </w:r>
      <w:r w:rsidR="00A2576C">
        <w:rPr>
          <w:rFonts w:cs="Calibri"/>
        </w:rPr>
        <w:t>least squares (</w:t>
      </w:r>
      <w:r>
        <w:rPr>
          <w:rFonts w:cs="Calibri"/>
        </w:rPr>
        <w:t>LS</w:t>
      </w:r>
      <w:r w:rsidR="00A2576C">
        <w:rPr>
          <w:rFonts w:cs="Calibri"/>
        </w:rPr>
        <w:t>)</w:t>
      </w:r>
      <w:r>
        <w:rPr>
          <w:rFonts w:cs="Calibri"/>
        </w:rPr>
        <w:t xml:space="preserve"> mean PID</w:t>
      </w:r>
      <w:r>
        <w:rPr>
          <w:rFonts w:cs="Calibri"/>
          <w:vertAlign w:val="subscript"/>
        </w:rPr>
        <w:t>10</w:t>
      </w:r>
      <w:r>
        <w:rPr>
          <w:rFonts w:cs="Calibri"/>
        </w:rPr>
        <w:t xml:space="preserve"> was 2.36 for all doses of FNS combined and 1.10 for </w:t>
      </w:r>
      <w:r w:rsidR="00551852">
        <w:rPr>
          <w:rFonts w:cs="Calibri"/>
        </w:rPr>
        <w:t>placebo (p&lt;0.001 for the FNS versus</w:t>
      </w:r>
      <w:r>
        <w:rPr>
          <w:rFonts w:cs="Calibri"/>
        </w:rPr>
        <w:t xml:space="preserve"> placebo </w:t>
      </w:r>
      <w:r w:rsidR="007A03B6">
        <w:rPr>
          <w:rFonts w:cs="Calibri"/>
        </w:rPr>
        <w:t>difference).</w:t>
      </w:r>
    </w:p>
    <w:p w:rsidR="00DB1773" w:rsidRPr="007C1505" w:rsidRDefault="00DB1773" w:rsidP="00DB1773">
      <w:pPr>
        <w:spacing w:after="0"/>
        <w:rPr>
          <w:rFonts w:cs="Calibri"/>
        </w:rPr>
      </w:pPr>
      <w:r>
        <w:rPr>
          <w:rFonts w:cs="Calibri"/>
        </w:rPr>
        <w:t xml:space="preserve">Maximum PID was achieved at approximately 30 minutes then </w:t>
      </w:r>
      <w:proofErr w:type="spellStart"/>
      <w:r>
        <w:rPr>
          <w:rFonts w:cs="Calibri"/>
        </w:rPr>
        <w:t>plateaued</w:t>
      </w:r>
      <w:proofErr w:type="spellEnd"/>
      <w:r>
        <w:rPr>
          <w:rFonts w:cs="Calibri"/>
        </w:rPr>
        <w:t xml:space="preserve"> for both FNS and placebo.</w:t>
      </w:r>
      <w:r w:rsidR="00B050E6">
        <w:rPr>
          <w:rFonts w:cs="Calibri"/>
        </w:rPr>
        <w:t xml:space="preserve"> </w:t>
      </w:r>
      <w:r w:rsidRPr="006A1D98">
        <w:rPr>
          <w:rFonts w:cs="Calibri"/>
        </w:rPr>
        <w:t xml:space="preserve">For all </w:t>
      </w:r>
      <w:r>
        <w:rPr>
          <w:rFonts w:cs="Calibri"/>
        </w:rPr>
        <w:t>FNS</w:t>
      </w:r>
      <w:r w:rsidRPr="006A1D98">
        <w:rPr>
          <w:rFonts w:cs="Calibri"/>
        </w:rPr>
        <w:t xml:space="preserve"> dose groups combined, mean GI and mean SPID</w:t>
      </w:r>
      <w:r w:rsidRPr="006A1D98">
        <w:rPr>
          <w:rFonts w:cs="Calibri"/>
          <w:vertAlign w:val="subscript"/>
        </w:rPr>
        <w:t>0-60</w:t>
      </w:r>
      <w:r w:rsidRPr="006A1D98">
        <w:rPr>
          <w:rFonts w:cs="Calibri"/>
        </w:rPr>
        <w:t xml:space="preserve"> were significantly higher</w:t>
      </w:r>
      <w:r>
        <w:rPr>
          <w:rFonts w:cs="Calibri"/>
        </w:rPr>
        <w:t xml:space="preserve"> </w:t>
      </w:r>
      <w:r w:rsidRPr="006A1D98">
        <w:rPr>
          <w:rFonts w:cs="Calibri"/>
        </w:rPr>
        <w:t>than placebo</w:t>
      </w:r>
      <w:r>
        <w:rPr>
          <w:rFonts w:cs="Calibri"/>
        </w:rPr>
        <w:t>.</w:t>
      </w:r>
    </w:p>
    <w:p w:rsidR="00DB1773" w:rsidRPr="00F775F1" w:rsidRDefault="00041EC7" w:rsidP="00DB1773">
      <w:pPr>
        <w:spacing w:after="0"/>
        <w:rPr>
          <w:rFonts w:cs="Calibri"/>
        </w:rPr>
      </w:pPr>
      <w:r w:rsidRPr="00041EC7">
        <w:rPr>
          <w:rFonts w:cs="Calibri"/>
        </w:rPr>
        <w:t xml:space="preserve">Study </w:t>
      </w:r>
      <w:r w:rsidR="00DB1773" w:rsidRPr="00041EC7">
        <w:rPr>
          <w:rFonts w:cs="Calibri"/>
        </w:rPr>
        <w:t xml:space="preserve">FT-019-IM </w:t>
      </w:r>
      <w:r w:rsidR="00DB1773" w:rsidRPr="00F775F1">
        <w:rPr>
          <w:rFonts w:cs="Calibri"/>
        </w:rPr>
        <w:t xml:space="preserve">was an open label, randomised, balanced crossover study comparing </w:t>
      </w:r>
      <w:r w:rsidR="00551852">
        <w:rPr>
          <w:rFonts w:cs="Calibri"/>
        </w:rPr>
        <w:t>FNS</w:t>
      </w:r>
      <w:r w:rsidR="00DB1773" w:rsidRPr="00F775F1">
        <w:rPr>
          <w:rFonts w:cs="Calibri"/>
        </w:rPr>
        <w:t xml:space="preserve"> and oral </w:t>
      </w:r>
      <w:proofErr w:type="spellStart"/>
      <w:r w:rsidR="00DB1773" w:rsidRPr="00F775F1">
        <w:rPr>
          <w:rFonts w:cs="Calibri"/>
        </w:rPr>
        <w:t>transmucosal</w:t>
      </w:r>
      <w:proofErr w:type="spellEnd"/>
      <w:r w:rsidR="00DB1773" w:rsidRPr="00F775F1">
        <w:rPr>
          <w:rFonts w:cs="Calibri"/>
        </w:rPr>
        <w:t xml:space="preserve"> </w:t>
      </w:r>
      <w:proofErr w:type="spellStart"/>
      <w:r w:rsidR="00DB1773" w:rsidRPr="00F775F1">
        <w:rPr>
          <w:rFonts w:cs="Calibri"/>
        </w:rPr>
        <w:t>fentanyl</w:t>
      </w:r>
      <w:proofErr w:type="spellEnd"/>
      <w:r w:rsidR="00DB1773" w:rsidRPr="00F775F1">
        <w:rPr>
          <w:rFonts w:cs="Calibri"/>
        </w:rPr>
        <w:t xml:space="preserve"> (</w:t>
      </w:r>
      <w:proofErr w:type="spellStart"/>
      <w:r w:rsidR="00226B96">
        <w:rPr>
          <w:rFonts w:cs="Calibri"/>
        </w:rPr>
        <w:t>Actiq</w:t>
      </w:r>
      <w:proofErr w:type="spellEnd"/>
      <w:r w:rsidR="00DB1773" w:rsidRPr="00F775F1">
        <w:rPr>
          <w:rFonts w:cs="Calibri"/>
        </w:rPr>
        <w:t xml:space="preserve">) in </w:t>
      </w:r>
      <w:r w:rsidR="00067DB9">
        <w:rPr>
          <w:rFonts w:cs="Calibri"/>
        </w:rPr>
        <w:t>BTP</w:t>
      </w:r>
      <w:r w:rsidR="00DB1773" w:rsidRPr="00F775F1">
        <w:rPr>
          <w:rFonts w:cs="Calibri"/>
        </w:rPr>
        <w:t xml:space="preserve"> in patients with cancer.</w:t>
      </w:r>
      <w:r w:rsidR="00DB1773">
        <w:rPr>
          <w:rFonts w:cs="Calibri"/>
        </w:rPr>
        <w:t xml:space="preserve"> It was nominated as a pivotal study by the sponsor.</w:t>
      </w:r>
    </w:p>
    <w:p w:rsidR="00DB1773" w:rsidRDefault="00DB1773" w:rsidP="00DB1773">
      <w:pPr>
        <w:spacing w:after="0"/>
        <w:rPr>
          <w:rFonts w:cs="Calibri"/>
        </w:rPr>
      </w:pPr>
      <w:r w:rsidRPr="00F775F1">
        <w:rPr>
          <w:rFonts w:cs="Calibri"/>
        </w:rPr>
        <w:t xml:space="preserve">Patients were randomised to receive FNS and </w:t>
      </w:r>
      <w:proofErr w:type="spellStart"/>
      <w:r w:rsidR="00226B96">
        <w:rPr>
          <w:rFonts w:cs="Calibri"/>
        </w:rPr>
        <w:t>Actiq</w:t>
      </w:r>
      <w:proofErr w:type="spellEnd"/>
      <w:r w:rsidRPr="00F775F1">
        <w:rPr>
          <w:rFonts w:cs="Calibri"/>
        </w:rPr>
        <w:t xml:space="preserve"> in a sequential order (either FNS/</w:t>
      </w:r>
      <w:proofErr w:type="spellStart"/>
      <w:r w:rsidR="00226B96">
        <w:rPr>
          <w:rFonts w:cs="Calibri"/>
        </w:rPr>
        <w:t>Actiq</w:t>
      </w:r>
      <w:proofErr w:type="spellEnd"/>
      <w:r w:rsidRPr="00F775F1">
        <w:rPr>
          <w:rFonts w:cs="Calibri"/>
        </w:rPr>
        <w:t xml:space="preserve"> or </w:t>
      </w:r>
      <w:proofErr w:type="spellStart"/>
      <w:r w:rsidR="00226B96">
        <w:rPr>
          <w:rFonts w:cs="Calibri"/>
        </w:rPr>
        <w:t>Actiq</w:t>
      </w:r>
      <w:proofErr w:type="spellEnd"/>
      <w:r w:rsidRPr="00F775F1">
        <w:rPr>
          <w:rFonts w:cs="Calibri"/>
        </w:rPr>
        <w:t>/FNS). For each product</w:t>
      </w:r>
      <w:r w:rsidR="00551852">
        <w:rPr>
          <w:rFonts w:cs="Calibri"/>
        </w:rPr>
        <w:t>,</w:t>
      </w:r>
      <w:r w:rsidRPr="00F775F1">
        <w:rPr>
          <w:rFonts w:cs="Calibri"/>
        </w:rPr>
        <w:t xml:space="preserve"> an effective dose for each treatment of BTP episodes was identified in a titration phase. This dose was reached when 3 of 4 BTP episodes had been treated successfully with one or two doses/lozenges of test product. This dose was then used to treat 6 </w:t>
      </w:r>
      <w:r>
        <w:rPr>
          <w:rFonts w:cs="Calibri"/>
        </w:rPr>
        <w:t xml:space="preserve">subsequent </w:t>
      </w:r>
      <w:r w:rsidRPr="00F775F1">
        <w:rPr>
          <w:rFonts w:cs="Calibri"/>
        </w:rPr>
        <w:t xml:space="preserve">BTP episodes </w:t>
      </w:r>
      <w:r>
        <w:rPr>
          <w:rFonts w:cs="Calibri"/>
        </w:rPr>
        <w:t>over a period of approximately 2 weeks during</w:t>
      </w:r>
      <w:r w:rsidRPr="00F775F1">
        <w:rPr>
          <w:rFonts w:cs="Calibri"/>
        </w:rPr>
        <w:t xml:space="preserve"> the efficacy phase. </w:t>
      </w:r>
      <w:r w:rsidRPr="00233D8A">
        <w:rPr>
          <w:rFonts w:cs="Calibri"/>
        </w:rPr>
        <w:t xml:space="preserve">At </w:t>
      </w:r>
      <w:r>
        <w:rPr>
          <w:rFonts w:cs="Calibri"/>
        </w:rPr>
        <w:t xml:space="preserve">the </w:t>
      </w:r>
      <w:r w:rsidRPr="00233D8A">
        <w:rPr>
          <w:rFonts w:cs="Calibri"/>
        </w:rPr>
        <w:t>onset of each</w:t>
      </w:r>
      <w:r>
        <w:rPr>
          <w:rFonts w:cs="Calibri"/>
        </w:rPr>
        <w:t xml:space="preserve"> </w:t>
      </w:r>
      <w:r w:rsidRPr="00233D8A">
        <w:rPr>
          <w:rFonts w:cs="Calibri"/>
        </w:rPr>
        <w:t xml:space="preserve">episode of BTP (up to </w:t>
      </w:r>
      <w:r w:rsidR="00551852">
        <w:rPr>
          <w:rFonts w:cs="Calibri"/>
        </w:rPr>
        <w:t>4</w:t>
      </w:r>
      <w:r w:rsidRPr="00233D8A">
        <w:rPr>
          <w:rFonts w:cs="Calibri"/>
        </w:rPr>
        <w:t xml:space="preserve"> per day), patients took a single dose of </w:t>
      </w:r>
      <w:r>
        <w:rPr>
          <w:rFonts w:cs="Calibri"/>
        </w:rPr>
        <w:t>study</w:t>
      </w:r>
      <w:r w:rsidRPr="00233D8A">
        <w:rPr>
          <w:rFonts w:cs="Calibri"/>
        </w:rPr>
        <w:t xml:space="preserve"> drug, with a second</w:t>
      </w:r>
      <w:r>
        <w:rPr>
          <w:rFonts w:cs="Calibri"/>
        </w:rPr>
        <w:t xml:space="preserve"> </w:t>
      </w:r>
      <w:r w:rsidRPr="00233D8A">
        <w:rPr>
          <w:rFonts w:cs="Calibri"/>
        </w:rPr>
        <w:t xml:space="preserve">dose allowed after 10 minutes (for </w:t>
      </w:r>
      <w:r>
        <w:rPr>
          <w:rFonts w:cs="Calibri"/>
        </w:rPr>
        <w:t>FNS</w:t>
      </w:r>
      <w:r w:rsidRPr="00233D8A">
        <w:rPr>
          <w:rFonts w:cs="Calibri"/>
        </w:rPr>
        <w:t xml:space="preserve">) or 30 minutes (for </w:t>
      </w:r>
      <w:proofErr w:type="spellStart"/>
      <w:r w:rsidR="00226B96">
        <w:rPr>
          <w:rFonts w:cs="Calibri"/>
        </w:rPr>
        <w:t>Actiq</w:t>
      </w:r>
      <w:proofErr w:type="spellEnd"/>
      <w:r w:rsidRPr="00233D8A">
        <w:rPr>
          <w:rFonts w:cs="Calibri"/>
        </w:rPr>
        <w:t>) if the first dose provided</w:t>
      </w:r>
      <w:r>
        <w:rPr>
          <w:rFonts w:cs="Calibri"/>
        </w:rPr>
        <w:t xml:space="preserve"> </w:t>
      </w:r>
      <w:r w:rsidRPr="00233D8A">
        <w:rPr>
          <w:rFonts w:cs="Calibri"/>
        </w:rPr>
        <w:t>inadequate pain relief.</w:t>
      </w:r>
      <w:r>
        <w:rPr>
          <w:rFonts w:cs="Calibri"/>
        </w:rPr>
        <w:t xml:space="preserve"> The process was then repeated for the alternative study drug.</w:t>
      </w:r>
      <w:r w:rsidR="00B050E6">
        <w:rPr>
          <w:rFonts w:cs="Calibri"/>
        </w:rPr>
        <w:t xml:space="preserve"> </w:t>
      </w:r>
    </w:p>
    <w:p w:rsidR="00DB1773" w:rsidRPr="00F775F1" w:rsidRDefault="00DB1773" w:rsidP="00DB1773">
      <w:pPr>
        <w:spacing w:after="0"/>
        <w:rPr>
          <w:rFonts w:cs="Calibri"/>
        </w:rPr>
      </w:pPr>
      <w:r w:rsidRPr="00F775F1">
        <w:rPr>
          <w:rFonts w:cs="Calibri"/>
        </w:rPr>
        <w:t xml:space="preserve">The study enrolled adults patients </w:t>
      </w:r>
      <w:r>
        <w:rPr>
          <w:rFonts w:cs="Calibri"/>
        </w:rPr>
        <w:t xml:space="preserve">with cancer who were receiving </w:t>
      </w:r>
      <w:r w:rsidRPr="00F775F1">
        <w:rPr>
          <w:rFonts w:cs="Calibri"/>
        </w:rPr>
        <w:t xml:space="preserve">stable </w:t>
      </w:r>
      <w:proofErr w:type="spellStart"/>
      <w:r w:rsidRPr="00F775F1">
        <w:rPr>
          <w:rFonts w:cs="Calibri"/>
        </w:rPr>
        <w:t>opioid</w:t>
      </w:r>
      <w:proofErr w:type="spellEnd"/>
      <w:r w:rsidRPr="00F775F1">
        <w:rPr>
          <w:rFonts w:cs="Calibri"/>
        </w:rPr>
        <w:t xml:space="preserve"> treatment for background pain, who had a minimum of three BTP episodes per week and a maximum of four per day, a life expectancy of at least </w:t>
      </w:r>
      <w:r>
        <w:rPr>
          <w:rFonts w:cs="Calibri"/>
        </w:rPr>
        <w:t>3</w:t>
      </w:r>
      <w:r w:rsidRPr="00F775F1">
        <w:rPr>
          <w:rFonts w:cs="Calibri"/>
        </w:rPr>
        <w:t xml:space="preserve"> months and who were able to use nasal drugs. The FNS titration dose regimen </w:t>
      </w:r>
      <w:r>
        <w:rPr>
          <w:rFonts w:cs="Calibri"/>
        </w:rPr>
        <w:t>wa</w:t>
      </w:r>
      <w:r w:rsidRPr="00F775F1">
        <w:rPr>
          <w:rFonts w:cs="Calibri"/>
        </w:rPr>
        <w:t xml:space="preserve">s the same as </w:t>
      </w:r>
      <w:r>
        <w:rPr>
          <w:rFonts w:cs="Calibri"/>
        </w:rPr>
        <w:t>has been</w:t>
      </w:r>
      <w:r w:rsidRPr="00F775F1">
        <w:rPr>
          <w:rFonts w:cs="Calibri"/>
        </w:rPr>
        <w:t xml:space="preserve"> proposed for registration.</w:t>
      </w:r>
      <w:r w:rsidR="00B050E6">
        <w:rPr>
          <w:rFonts w:cs="Calibri"/>
        </w:rPr>
        <w:t xml:space="preserve"> </w:t>
      </w:r>
      <w:r w:rsidRPr="00F775F1">
        <w:rPr>
          <w:rFonts w:cs="Calibri"/>
        </w:rPr>
        <w:t xml:space="preserve">The </w:t>
      </w:r>
      <w:proofErr w:type="spellStart"/>
      <w:r w:rsidR="00226B96">
        <w:rPr>
          <w:rFonts w:cs="Calibri"/>
        </w:rPr>
        <w:t>Actiq</w:t>
      </w:r>
      <w:proofErr w:type="spellEnd"/>
      <w:r w:rsidRPr="00F775F1">
        <w:rPr>
          <w:rFonts w:cs="Calibri"/>
        </w:rPr>
        <w:t xml:space="preserve"> regimen was the same as the approved dose recommendation</w:t>
      </w:r>
      <w:r>
        <w:rPr>
          <w:rFonts w:cs="Calibri"/>
        </w:rPr>
        <w:t>s for that product</w:t>
      </w:r>
      <w:r w:rsidRPr="00F775F1">
        <w:rPr>
          <w:rFonts w:cs="Calibri"/>
        </w:rPr>
        <w:t>.</w:t>
      </w:r>
    </w:p>
    <w:p w:rsidR="00DB1773" w:rsidRDefault="00DB1773" w:rsidP="00DB1773">
      <w:pPr>
        <w:spacing w:after="0"/>
        <w:rPr>
          <w:rFonts w:cs="Calibri"/>
        </w:rPr>
      </w:pPr>
      <w:r>
        <w:rPr>
          <w:rFonts w:cs="Calibri"/>
        </w:rPr>
        <w:t>T</w:t>
      </w:r>
      <w:r w:rsidRPr="00F775F1">
        <w:rPr>
          <w:rFonts w:cs="Calibri"/>
        </w:rPr>
        <w:t xml:space="preserve">he primary efficacy measure was time to onset of meaningful pain relief, defined as the time at which the patient experienced meaningful pain relief. It was recorded by the patient, using a stopwatch which was started at the time of the first FNS dose or the start of the </w:t>
      </w:r>
      <w:proofErr w:type="spellStart"/>
      <w:r w:rsidR="00226B96">
        <w:rPr>
          <w:rFonts w:cs="Calibri"/>
        </w:rPr>
        <w:t>Actiq</w:t>
      </w:r>
      <w:proofErr w:type="spellEnd"/>
      <w:r>
        <w:rPr>
          <w:rFonts w:cs="Calibri"/>
        </w:rPr>
        <w:t xml:space="preserve"> </w:t>
      </w:r>
      <w:r w:rsidRPr="00F775F1">
        <w:rPr>
          <w:rFonts w:cs="Calibri"/>
        </w:rPr>
        <w:t>administration.</w:t>
      </w:r>
      <w:r w:rsidR="00B050E6">
        <w:rPr>
          <w:rFonts w:cs="Calibri"/>
        </w:rPr>
        <w:t xml:space="preserve"> </w:t>
      </w:r>
      <w:r w:rsidRPr="00F775F1">
        <w:rPr>
          <w:rFonts w:cs="Calibri"/>
        </w:rPr>
        <w:t>PID and SPID</w:t>
      </w:r>
      <w:r w:rsidRPr="0052464D">
        <w:rPr>
          <w:rFonts w:cs="Calibri"/>
          <w:vertAlign w:val="subscript"/>
        </w:rPr>
        <w:t>0-60</w:t>
      </w:r>
      <w:r w:rsidRPr="00F775F1">
        <w:rPr>
          <w:rFonts w:cs="Calibri"/>
        </w:rPr>
        <w:t xml:space="preserve"> were </w:t>
      </w:r>
      <w:r>
        <w:rPr>
          <w:rFonts w:cs="Calibri"/>
        </w:rPr>
        <w:t xml:space="preserve">also </w:t>
      </w:r>
      <w:r w:rsidRPr="00F775F1">
        <w:rPr>
          <w:rFonts w:cs="Calibri"/>
        </w:rPr>
        <w:t>obtained</w:t>
      </w:r>
      <w:r>
        <w:rPr>
          <w:rFonts w:cs="Calibri"/>
        </w:rPr>
        <w:t>.</w:t>
      </w:r>
      <w:r w:rsidR="00B050E6">
        <w:rPr>
          <w:rFonts w:cs="Calibri"/>
        </w:rPr>
        <w:t xml:space="preserve"> </w:t>
      </w:r>
      <w:r>
        <w:rPr>
          <w:rFonts w:cs="Calibri"/>
        </w:rPr>
        <w:t xml:space="preserve">A total of </w:t>
      </w:r>
      <w:r w:rsidRPr="00571670">
        <w:rPr>
          <w:rFonts w:cs="Calibri"/>
        </w:rPr>
        <w:t xml:space="preserve">196 </w:t>
      </w:r>
      <w:r>
        <w:rPr>
          <w:rFonts w:cs="Calibri"/>
        </w:rPr>
        <w:t xml:space="preserve">patients </w:t>
      </w:r>
      <w:r w:rsidRPr="00571670">
        <w:rPr>
          <w:rFonts w:cs="Calibri"/>
        </w:rPr>
        <w:t>were screened and 139 were randomised</w:t>
      </w:r>
      <w:r>
        <w:rPr>
          <w:rFonts w:cs="Calibri"/>
        </w:rPr>
        <w:t>.</w:t>
      </w:r>
      <w:r w:rsidR="00B050E6">
        <w:rPr>
          <w:rFonts w:cs="Calibri"/>
        </w:rPr>
        <w:t xml:space="preserve"> </w:t>
      </w:r>
      <w:r w:rsidRPr="003900C0">
        <w:rPr>
          <w:rFonts w:cs="Calibri"/>
        </w:rPr>
        <w:t xml:space="preserve">The overall median </w:t>
      </w:r>
      <w:r>
        <w:rPr>
          <w:rFonts w:cs="Calibri"/>
        </w:rPr>
        <w:t xml:space="preserve">time </w:t>
      </w:r>
      <w:r w:rsidRPr="003900C0">
        <w:rPr>
          <w:rFonts w:cs="Calibri"/>
        </w:rPr>
        <w:t xml:space="preserve">for </w:t>
      </w:r>
      <w:r>
        <w:rPr>
          <w:rFonts w:cs="Calibri"/>
        </w:rPr>
        <w:t xml:space="preserve">onset of meaningful pain relief was </w:t>
      </w:r>
      <w:r w:rsidRPr="003900C0">
        <w:rPr>
          <w:rFonts w:cs="Calibri"/>
        </w:rPr>
        <w:t>10.6 minutes</w:t>
      </w:r>
      <w:r>
        <w:rPr>
          <w:rFonts w:cs="Calibri"/>
        </w:rPr>
        <w:t xml:space="preserve"> for FNS and 15.7 minutes </w:t>
      </w:r>
      <w:r w:rsidRPr="003900C0">
        <w:rPr>
          <w:rFonts w:cs="Calibri"/>
        </w:rPr>
        <w:t xml:space="preserve">for </w:t>
      </w:r>
      <w:proofErr w:type="spellStart"/>
      <w:r w:rsidR="00226B96">
        <w:rPr>
          <w:rFonts w:cs="Calibri"/>
        </w:rPr>
        <w:t>Actiq</w:t>
      </w:r>
      <w:proofErr w:type="spellEnd"/>
      <w:r>
        <w:rPr>
          <w:rFonts w:cs="Calibri"/>
        </w:rPr>
        <w:t xml:space="preserve"> (ITT analysis).</w:t>
      </w:r>
      <w:r w:rsidR="00B050E6">
        <w:rPr>
          <w:rFonts w:cs="Calibri"/>
        </w:rPr>
        <w:t xml:space="preserve"> </w:t>
      </w:r>
      <w:r w:rsidRPr="003900C0">
        <w:rPr>
          <w:rFonts w:cs="Calibri"/>
        </w:rPr>
        <w:t>Overall</w:t>
      </w:r>
      <w:r w:rsidR="00551852">
        <w:rPr>
          <w:rFonts w:cs="Calibri"/>
        </w:rPr>
        <w:t>,</w:t>
      </w:r>
      <w:r>
        <w:rPr>
          <w:rFonts w:cs="Calibri"/>
        </w:rPr>
        <w:t xml:space="preserve"> </w:t>
      </w:r>
      <w:r w:rsidRPr="003900C0">
        <w:rPr>
          <w:rFonts w:cs="Calibri"/>
        </w:rPr>
        <w:t xml:space="preserve">65.7% of patients reported fastest </w:t>
      </w:r>
      <w:r>
        <w:rPr>
          <w:rFonts w:cs="Calibri"/>
        </w:rPr>
        <w:t xml:space="preserve">pain </w:t>
      </w:r>
      <w:r w:rsidRPr="003900C0">
        <w:rPr>
          <w:rFonts w:cs="Calibri"/>
        </w:rPr>
        <w:t>relief using FNS.</w:t>
      </w:r>
      <w:r>
        <w:rPr>
          <w:rFonts w:cs="Calibri"/>
        </w:rPr>
        <w:t xml:space="preserve"> Mean PID at 10 minutes and SPID</w:t>
      </w:r>
      <w:r w:rsidRPr="00233D8A">
        <w:rPr>
          <w:rFonts w:cs="Calibri"/>
          <w:vertAlign w:val="subscript"/>
        </w:rPr>
        <w:t>0-60</w:t>
      </w:r>
      <w:r>
        <w:rPr>
          <w:rFonts w:cs="Calibri"/>
        </w:rPr>
        <w:t xml:space="preserve"> were greater for FNS than for </w:t>
      </w:r>
      <w:proofErr w:type="spellStart"/>
      <w:r w:rsidR="00226B96">
        <w:rPr>
          <w:rFonts w:cs="Calibri"/>
        </w:rPr>
        <w:t>Actiq</w:t>
      </w:r>
      <w:proofErr w:type="spellEnd"/>
      <w:r>
        <w:rPr>
          <w:rFonts w:cs="Calibri"/>
        </w:rPr>
        <w:t>.</w:t>
      </w:r>
    </w:p>
    <w:p w:rsidR="00DB1773" w:rsidRPr="00685814" w:rsidRDefault="00DB1773" w:rsidP="00DB1773">
      <w:pPr>
        <w:spacing w:after="0"/>
        <w:rPr>
          <w:rFonts w:cs="Calibri"/>
        </w:rPr>
      </w:pPr>
      <w:r w:rsidRPr="00685814">
        <w:rPr>
          <w:rFonts w:cs="Calibri"/>
        </w:rPr>
        <w:t xml:space="preserve">The clinical evaluator’s concerns </w:t>
      </w:r>
      <w:r>
        <w:rPr>
          <w:rFonts w:cs="Calibri"/>
        </w:rPr>
        <w:t xml:space="preserve">regarding the </w:t>
      </w:r>
      <w:r w:rsidR="007A03B6">
        <w:rPr>
          <w:rFonts w:cs="Calibri"/>
        </w:rPr>
        <w:t>efficacy are:</w:t>
      </w:r>
    </w:p>
    <w:p w:rsidR="00DB1773" w:rsidRPr="00041EC7" w:rsidRDefault="00551852" w:rsidP="00041EC7">
      <w:pPr>
        <w:pStyle w:val="ListBullet"/>
      </w:pPr>
      <w:r>
        <w:t>GCP:</w:t>
      </w:r>
      <w:r w:rsidR="00DB1773" w:rsidRPr="00041EC7">
        <w:t xml:space="preserve"> the main studies submitted were found to be unreliable on GCP inspection</w:t>
      </w:r>
      <w:r w:rsidR="007A03B6">
        <w:t>.</w:t>
      </w:r>
    </w:p>
    <w:p w:rsidR="00DB1773" w:rsidRPr="00041EC7" w:rsidRDefault="00DB1773" w:rsidP="00041EC7">
      <w:pPr>
        <w:pStyle w:val="ListBullet"/>
      </w:pPr>
      <w:r w:rsidRPr="00041EC7">
        <w:t>The small number of patients in the submission compared to other submissions for similar products.</w:t>
      </w:r>
    </w:p>
    <w:p w:rsidR="00DB1773" w:rsidRPr="00041EC7" w:rsidRDefault="00647B28" w:rsidP="00041EC7">
      <w:pPr>
        <w:pStyle w:val="ListBullet"/>
      </w:pPr>
      <w:r w:rsidRPr="00041EC7">
        <w:t xml:space="preserve">The decision to remove </w:t>
      </w:r>
      <w:r w:rsidRPr="00985C11">
        <w:t>site X but not</w:t>
      </w:r>
      <w:r w:rsidRPr="00041EC7">
        <w:t xml:space="preserve"> site </w:t>
      </w:r>
      <w:r w:rsidRPr="00985C11">
        <w:t>Y from</w:t>
      </w:r>
      <w:r w:rsidRPr="00041EC7">
        <w:t xml:space="preserve"> the analysis was not explained in light of the CHMP conclusions. It appears it may have related more to the statistics of the studies. Site Y enrolled the largest number of patients and exclusion of this site may have invalidated the results</w:t>
      </w:r>
      <w:r w:rsidR="00DB1773" w:rsidRPr="00041EC7">
        <w:t>.</w:t>
      </w:r>
    </w:p>
    <w:p w:rsidR="00DB1773" w:rsidRPr="00041EC7" w:rsidRDefault="00DB1773" w:rsidP="00041EC7">
      <w:pPr>
        <w:pStyle w:val="ListBullet"/>
      </w:pPr>
      <w:r w:rsidRPr="00041EC7">
        <w:t>Use of the same investigators in the two pivotal studies and ability of investigators to influence efficacy and safety outcomes by assisting patients in completion of efficacy and safety outcomes in the patient diary.</w:t>
      </w:r>
    </w:p>
    <w:p w:rsidR="00DB1773" w:rsidRPr="00041EC7" w:rsidRDefault="00DB1773" w:rsidP="00041EC7">
      <w:pPr>
        <w:pStyle w:val="ListBullet"/>
      </w:pPr>
      <w:r w:rsidRPr="00041EC7">
        <w:t>The design of Study FT-017-IM included testing different doses in each patient.</w:t>
      </w:r>
      <w:r w:rsidR="00B050E6">
        <w:t xml:space="preserve"> </w:t>
      </w:r>
      <w:r w:rsidRPr="00041EC7">
        <w:t xml:space="preserve">The clinical evaluator considered that titrating to a successful dose and then testing that </w:t>
      </w:r>
      <w:r w:rsidRPr="00041EC7">
        <w:lastRenderedPageBreak/>
        <w:t>dose against an accepted therapy rather than placebo would have been a more acceptable design for a pivotal study.</w:t>
      </w:r>
    </w:p>
    <w:p w:rsidR="00DB1773" w:rsidRPr="00041EC7" w:rsidRDefault="00DB1773" w:rsidP="00041EC7">
      <w:pPr>
        <w:pStyle w:val="ListBullet"/>
      </w:pPr>
      <w:r w:rsidRPr="00041EC7">
        <w:t xml:space="preserve">Patients in the trials were able to take up to 2 doses </w:t>
      </w:r>
      <w:proofErr w:type="gramStart"/>
      <w:r w:rsidRPr="00041EC7">
        <w:t>of each dose strength</w:t>
      </w:r>
      <w:proofErr w:type="gramEnd"/>
      <w:r w:rsidRPr="00041EC7">
        <w:t xml:space="preserve">. This does not seem to have been reflected in the results when presented by dose. Thus some patients in the 200 µg dose took 200 </w:t>
      </w:r>
      <w:proofErr w:type="spellStart"/>
      <w:r w:rsidRPr="00041EC7">
        <w:t>μg</w:t>
      </w:r>
      <w:proofErr w:type="spellEnd"/>
      <w:r w:rsidRPr="00041EC7">
        <w:t xml:space="preserve"> and some presumably took 400 </w:t>
      </w:r>
      <w:proofErr w:type="spellStart"/>
      <w:r w:rsidRPr="00041EC7">
        <w:t>μg</w:t>
      </w:r>
      <w:proofErr w:type="spellEnd"/>
      <w:r w:rsidRPr="00041EC7">
        <w:t>. It is not clear how many took what dose and how this affected the results. This last issue was subsequently clarified by the sponsor.</w:t>
      </w:r>
    </w:p>
    <w:p w:rsidR="00DB1773" w:rsidRDefault="00DB1773" w:rsidP="00041EC7">
      <w:pPr>
        <w:pStyle w:val="Heading4"/>
      </w:pPr>
      <w:r w:rsidRPr="00014F34">
        <w:t>Safety</w:t>
      </w:r>
    </w:p>
    <w:p w:rsidR="00DB1773" w:rsidRPr="005D0462" w:rsidRDefault="00DB1773" w:rsidP="00DB1773">
      <w:pPr>
        <w:spacing w:after="0"/>
        <w:rPr>
          <w:rFonts w:cs="Calibri"/>
        </w:rPr>
      </w:pPr>
      <w:r>
        <w:rPr>
          <w:rFonts w:cs="Calibri"/>
        </w:rPr>
        <w:t xml:space="preserve">Safety data were available from the clinical studies and from </w:t>
      </w:r>
      <w:r w:rsidRPr="0011215C">
        <w:rPr>
          <w:rFonts w:cs="Calibri"/>
        </w:rPr>
        <w:t>a number of publications of clinical trials with FNS</w:t>
      </w:r>
      <w:r>
        <w:rPr>
          <w:rFonts w:cs="Calibri"/>
        </w:rPr>
        <w:t xml:space="preserve"> for a variety of indications and including other formulations of FNS. The clinical evaluator has noted that </w:t>
      </w:r>
      <w:r w:rsidRPr="005D0462">
        <w:rPr>
          <w:rFonts w:cs="Calibri"/>
        </w:rPr>
        <w:t xml:space="preserve">routine clinical laboratory evaluations were </w:t>
      </w:r>
      <w:r>
        <w:rPr>
          <w:rFonts w:cs="Calibri"/>
        </w:rPr>
        <w:t xml:space="preserve">not </w:t>
      </w:r>
      <w:r w:rsidRPr="005D0462">
        <w:rPr>
          <w:rFonts w:cs="Calibri"/>
        </w:rPr>
        <w:t xml:space="preserve">performed during the pivotal trials. </w:t>
      </w:r>
      <w:r>
        <w:rPr>
          <w:rFonts w:cs="Calibri"/>
        </w:rPr>
        <w:t>The s</w:t>
      </w:r>
      <w:r w:rsidRPr="005D0462">
        <w:rPr>
          <w:rFonts w:cs="Calibri"/>
        </w:rPr>
        <w:t xml:space="preserve">afety </w:t>
      </w:r>
      <w:r>
        <w:rPr>
          <w:rFonts w:cs="Calibri"/>
        </w:rPr>
        <w:t xml:space="preserve">assessment </w:t>
      </w:r>
      <w:r w:rsidRPr="005D0462">
        <w:rPr>
          <w:rFonts w:cs="Calibri"/>
        </w:rPr>
        <w:t xml:space="preserve">is therefore totally reliant on adverse event reporting and this </w:t>
      </w:r>
      <w:r>
        <w:rPr>
          <w:rFonts w:cs="Calibri"/>
        </w:rPr>
        <w:t>was</w:t>
      </w:r>
      <w:r w:rsidRPr="005D0462">
        <w:rPr>
          <w:rFonts w:cs="Calibri"/>
        </w:rPr>
        <w:t xml:space="preserve"> shown to be less than adequate </w:t>
      </w:r>
      <w:r>
        <w:rPr>
          <w:rFonts w:cs="Calibri"/>
        </w:rPr>
        <w:t>by</w:t>
      </w:r>
      <w:r w:rsidRPr="005D0462">
        <w:rPr>
          <w:rFonts w:cs="Calibri"/>
        </w:rPr>
        <w:t xml:space="preserve"> the European inspection. </w:t>
      </w:r>
      <w:r>
        <w:rPr>
          <w:rFonts w:cs="Calibri"/>
        </w:rPr>
        <w:t xml:space="preserve">The clinical evaluator stated that </w:t>
      </w:r>
      <w:r w:rsidRPr="005D0462">
        <w:rPr>
          <w:rFonts w:cs="Calibri"/>
        </w:rPr>
        <w:t>AE reporting was considered seriously compromised by the GCP inspection team due to:</w:t>
      </w:r>
    </w:p>
    <w:p w:rsidR="00DB1773" w:rsidRPr="00041EC7" w:rsidRDefault="00DB1773" w:rsidP="00041EC7">
      <w:pPr>
        <w:pStyle w:val="ListBullet"/>
      </w:pPr>
      <w:r w:rsidRPr="00041EC7">
        <w:t>Systemic failure in the pivotal trials (</w:t>
      </w:r>
      <w:r w:rsidR="00551852">
        <w:t xml:space="preserve">Studies </w:t>
      </w:r>
      <w:r w:rsidRPr="00041EC7">
        <w:t>FT-017-IM and FT-018-IM) due to the complete absence of space in the diary cards allocated to AE entry.</w:t>
      </w:r>
    </w:p>
    <w:p w:rsidR="00DB1773" w:rsidRPr="00041EC7" w:rsidRDefault="00DB1773" w:rsidP="00041EC7">
      <w:pPr>
        <w:pStyle w:val="ListBullet"/>
      </w:pPr>
      <w:r w:rsidRPr="00041EC7">
        <w:t>Both investigators at inspected sites were unaware of the protocol amendment requirement to report progression of the underlying disease as an adverse event.</w:t>
      </w:r>
    </w:p>
    <w:p w:rsidR="00DB1773" w:rsidRPr="00041EC7" w:rsidRDefault="00DB1773" w:rsidP="00041EC7">
      <w:pPr>
        <w:pStyle w:val="ListBullet"/>
      </w:pPr>
      <w:r w:rsidRPr="00041EC7">
        <w:t xml:space="preserve">Failure of the investigator at site </w:t>
      </w:r>
      <w:r w:rsidR="005A2957">
        <w:t xml:space="preserve">Y, </w:t>
      </w:r>
      <w:r w:rsidRPr="00041EC7">
        <w:t>which had the highest patient recruitment, to report AEs based on the AE definition according to ICH-GCP rather than the investigator’s subjective judgement.</w:t>
      </w:r>
    </w:p>
    <w:p w:rsidR="00DB1773" w:rsidRPr="005D0462" w:rsidRDefault="00DB1773" w:rsidP="00DB1773">
      <w:pPr>
        <w:spacing w:after="0"/>
        <w:rPr>
          <w:rFonts w:cs="Calibri"/>
        </w:rPr>
      </w:pPr>
      <w:r w:rsidRPr="005D0462">
        <w:rPr>
          <w:rFonts w:cs="Calibri"/>
        </w:rPr>
        <w:t>Re-monitoring of the sites yielded 49 additional unreported AE</w:t>
      </w:r>
      <w:r>
        <w:rPr>
          <w:rFonts w:cs="Calibri"/>
        </w:rPr>
        <w:t>s</w:t>
      </w:r>
      <w:r w:rsidRPr="005D0462">
        <w:rPr>
          <w:rFonts w:cs="Calibri"/>
        </w:rPr>
        <w:t xml:space="preserve"> in Study FT-017-IM (increase</w:t>
      </w:r>
      <w:r>
        <w:rPr>
          <w:rFonts w:cs="Calibri"/>
        </w:rPr>
        <w:t>d</w:t>
      </w:r>
      <w:r w:rsidRPr="005D0462">
        <w:rPr>
          <w:rFonts w:cs="Calibri"/>
        </w:rPr>
        <w:t xml:space="preserve"> by 70%) and 238 additional AEs in Study FT-018-IM (increase</w:t>
      </w:r>
      <w:r>
        <w:rPr>
          <w:rFonts w:cs="Calibri"/>
        </w:rPr>
        <w:t>d</w:t>
      </w:r>
      <w:r w:rsidRPr="005D0462">
        <w:rPr>
          <w:rFonts w:cs="Calibri"/>
        </w:rPr>
        <w:t xml:space="preserve"> by 100%). These high numbers of unreported AEs raised the concern that the underreporting of AEs was not limited to the two inspected investigational sites and so the inspection team considered that even with the re-monitoring carried out by the company on all sites the safety of the investigational product was inadequately documented and the studies could not be relied on to provide an accurate safety profile of the product.</w:t>
      </w:r>
    </w:p>
    <w:p w:rsidR="00DB1773" w:rsidRDefault="00DB1773" w:rsidP="00DB1773">
      <w:pPr>
        <w:spacing w:after="0"/>
        <w:rPr>
          <w:rFonts w:cs="Calibri"/>
        </w:rPr>
      </w:pPr>
      <w:r>
        <w:rPr>
          <w:rFonts w:cs="Calibri"/>
        </w:rPr>
        <w:t>P</w:t>
      </w:r>
      <w:r w:rsidRPr="00D851D6">
        <w:rPr>
          <w:rFonts w:cs="Calibri"/>
        </w:rPr>
        <w:t xml:space="preserve">atients in </w:t>
      </w:r>
      <w:r w:rsidR="00551852">
        <w:rPr>
          <w:rFonts w:cs="Calibri"/>
        </w:rPr>
        <w:t>S</w:t>
      </w:r>
      <w:r w:rsidRPr="00D851D6">
        <w:rPr>
          <w:rFonts w:cs="Calibri"/>
        </w:rPr>
        <w:t xml:space="preserve">tudy FT-018-IM were previously enrolled in </w:t>
      </w:r>
      <w:r w:rsidR="00AD79CE">
        <w:rPr>
          <w:rFonts w:cs="Calibri"/>
        </w:rPr>
        <w:t>S</w:t>
      </w:r>
      <w:r w:rsidRPr="00D851D6">
        <w:rPr>
          <w:rFonts w:cs="Calibri"/>
        </w:rPr>
        <w:t>tudies FT-016-IM and FT-017-IM and therefore are duplicates of the patients in the previous studies.</w:t>
      </w:r>
      <w:r w:rsidR="00B050E6">
        <w:rPr>
          <w:rFonts w:cs="Calibri"/>
        </w:rPr>
        <w:t xml:space="preserve"> </w:t>
      </w:r>
      <w:r w:rsidR="00BB16A0">
        <w:rPr>
          <w:rFonts w:cs="Calibri"/>
        </w:rPr>
        <w:t xml:space="preserve">A total of </w:t>
      </w:r>
      <w:r>
        <w:rPr>
          <w:rFonts w:cs="Calibri"/>
        </w:rPr>
        <w:t xml:space="preserve">143 patients </w:t>
      </w:r>
      <w:r w:rsidR="00067DB9">
        <w:rPr>
          <w:rFonts w:cs="Calibri"/>
        </w:rPr>
        <w:t>BTP</w:t>
      </w:r>
      <w:r>
        <w:rPr>
          <w:rFonts w:cs="Calibri"/>
        </w:rPr>
        <w:t xml:space="preserve"> have been exposed to FNS in the efficacy studies with 43 receiving treatment for over 6 months. The most frequently used doses were 100</w:t>
      </w:r>
      <w:r w:rsidR="00626254">
        <w:rPr>
          <w:rFonts w:cs="Calibri"/>
        </w:rPr>
        <w:t xml:space="preserve"> </w:t>
      </w:r>
      <w:r>
        <w:rPr>
          <w:rFonts w:cs="Calibri"/>
        </w:rPr>
        <w:t>µg and 200 µg.</w:t>
      </w:r>
    </w:p>
    <w:p w:rsidR="00DB1773" w:rsidRDefault="00DB1773" w:rsidP="00DB1773">
      <w:pPr>
        <w:spacing w:after="0"/>
        <w:rPr>
          <w:rFonts w:cs="Calibri"/>
          <w:bCs/>
        </w:rPr>
      </w:pPr>
      <w:r>
        <w:rPr>
          <w:rFonts w:cs="Calibri"/>
          <w:bCs/>
        </w:rPr>
        <w:t>The pivotal studies excluded patients who were not able to tolerate FNS from continuing in the study.</w:t>
      </w:r>
      <w:r w:rsidR="00B050E6">
        <w:rPr>
          <w:rFonts w:cs="Calibri"/>
          <w:bCs/>
        </w:rPr>
        <w:t xml:space="preserve"> </w:t>
      </w:r>
      <w:r>
        <w:rPr>
          <w:rFonts w:cs="Calibri"/>
          <w:bCs/>
        </w:rPr>
        <w:t xml:space="preserve">This would have reduced the frequency and severity of reported </w:t>
      </w:r>
      <w:r w:rsidR="00626254">
        <w:rPr>
          <w:rFonts w:cs="Calibri"/>
          <w:bCs/>
        </w:rPr>
        <w:t>AEs</w:t>
      </w:r>
      <w:r>
        <w:rPr>
          <w:rFonts w:cs="Calibri"/>
          <w:bCs/>
        </w:rPr>
        <w:t>, because AE reports were obtained from a population known to be able to take FNS.</w:t>
      </w:r>
    </w:p>
    <w:p w:rsidR="00DB1773" w:rsidRDefault="00DB1773" w:rsidP="00DB1773">
      <w:pPr>
        <w:spacing w:after="0"/>
        <w:rPr>
          <w:rFonts w:cs="Calibri"/>
        </w:rPr>
      </w:pPr>
      <w:r>
        <w:rPr>
          <w:rFonts w:cs="Calibri"/>
        </w:rPr>
        <w:t xml:space="preserve">Table </w:t>
      </w:r>
      <w:r w:rsidR="00397C65">
        <w:rPr>
          <w:rFonts w:cs="Calibri"/>
        </w:rPr>
        <w:t>5</w:t>
      </w:r>
      <w:r>
        <w:rPr>
          <w:rFonts w:cs="Calibri"/>
        </w:rPr>
        <w:t xml:space="preserve"> lists the </w:t>
      </w:r>
      <w:r w:rsidR="00397C65">
        <w:rPr>
          <w:rFonts w:cs="Calibri"/>
        </w:rPr>
        <w:t>AEs</w:t>
      </w:r>
      <w:r>
        <w:rPr>
          <w:rFonts w:cs="Calibri"/>
        </w:rPr>
        <w:t xml:space="preserve"> reported in at least 1 % of study subjects in the 6 studies in patients with </w:t>
      </w:r>
      <w:r w:rsidR="00067DB9">
        <w:rPr>
          <w:rFonts w:cs="Calibri"/>
        </w:rPr>
        <w:t>BTP</w:t>
      </w:r>
      <w:r>
        <w:rPr>
          <w:rFonts w:cs="Calibri"/>
        </w:rPr>
        <w:t>.</w:t>
      </w:r>
      <w:r w:rsidR="00B050E6">
        <w:rPr>
          <w:rFonts w:cs="Calibri"/>
        </w:rPr>
        <w:t xml:space="preserve"> </w:t>
      </w:r>
      <w:r>
        <w:rPr>
          <w:rFonts w:cs="Calibri"/>
        </w:rPr>
        <w:t>The events are consistent with the patient population.</w:t>
      </w:r>
    </w:p>
    <w:p w:rsidR="00612950" w:rsidRDefault="00612950" w:rsidP="007A03B6">
      <w:pPr>
        <w:pStyle w:val="TableTitle"/>
        <w:rPr>
          <w:lang w:val="en-GB"/>
        </w:rPr>
      </w:pPr>
      <w:r>
        <w:lastRenderedPageBreak/>
        <w:t>Table 5:</w:t>
      </w:r>
      <w:r w:rsidRPr="004C5C28">
        <w:t xml:space="preserve"> </w:t>
      </w:r>
      <w:r w:rsidR="00496071" w:rsidRPr="00496071">
        <w:t>In</w:t>
      </w:r>
      <w:r w:rsidR="00F74D42">
        <w:t xml:space="preserve">cidence of Adverse Events </w:t>
      </w:r>
      <w:r w:rsidR="00397C65">
        <w:t>≥</w:t>
      </w:r>
      <w:r w:rsidR="00496071" w:rsidRPr="00496071">
        <w:t>1% reported by trial: FNS trials in BTP</w:t>
      </w:r>
      <w:r>
        <w:t>.</w:t>
      </w:r>
    </w:p>
    <w:p w:rsidR="0011126D" w:rsidRDefault="00C54995" w:rsidP="007A03B6">
      <w:r>
        <w:rPr>
          <w:noProof/>
          <w:lang w:eastAsia="en-AU"/>
        </w:rPr>
        <w:drawing>
          <wp:inline distT="0" distB="0" distL="0" distR="0">
            <wp:extent cx="4943475" cy="5734050"/>
            <wp:effectExtent l="19050" t="0" r="9525" b="0"/>
            <wp:docPr id="20" name="Picture 20" descr="Table 5: Incidence of Adverse Events ≥1% reported by trial: FNS trials in B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5: Incidence of Adverse Events ≥1% reported by trial: FNS trials in BTP."/>
                    <pic:cNvPicPr>
                      <a:picLocks noChangeAspect="1" noChangeArrowheads="1"/>
                    </pic:cNvPicPr>
                  </pic:nvPicPr>
                  <pic:blipFill>
                    <a:blip r:embed="rId32" cstate="print"/>
                    <a:srcRect/>
                    <a:stretch>
                      <a:fillRect/>
                    </a:stretch>
                  </pic:blipFill>
                  <pic:spPr bwMode="auto">
                    <a:xfrm>
                      <a:off x="0" y="0"/>
                      <a:ext cx="4943475" cy="5734050"/>
                    </a:xfrm>
                    <a:prstGeom prst="rect">
                      <a:avLst/>
                    </a:prstGeom>
                    <a:noFill/>
                    <a:ln w="9525">
                      <a:noFill/>
                      <a:miter lim="800000"/>
                      <a:headEnd/>
                      <a:tailEnd/>
                    </a:ln>
                  </pic:spPr>
                </pic:pic>
              </a:graphicData>
            </a:graphic>
          </wp:inline>
        </w:drawing>
      </w:r>
    </w:p>
    <w:p w:rsidR="00DB1773" w:rsidRDefault="00DB1773" w:rsidP="00DB1773">
      <w:pPr>
        <w:spacing w:after="0"/>
        <w:rPr>
          <w:rFonts w:cs="Calibri"/>
          <w:bCs/>
        </w:rPr>
      </w:pPr>
      <w:r w:rsidRPr="00A66DC1">
        <w:rPr>
          <w:rFonts w:cs="Calibri"/>
          <w:bCs/>
        </w:rPr>
        <w:t xml:space="preserve">Nasal biopsies were planned before inclusion and after FNS treatment in Studies FT-003-IN/FT-011-IN </w:t>
      </w:r>
      <w:r>
        <w:rPr>
          <w:rFonts w:cs="Calibri"/>
          <w:bCs/>
        </w:rPr>
        <w:t>but were</w:t>
      </w:r>
      <w:r w:rsidRPr="00A66DC1">
        <w:rPr>
          <w:rFonts w:cs="Calibri"/>
          <w:bCs/>
        </w:rPr>
        <w:t xml:space="preserve"> not </w:t>
      </w:r>
      <w:r>
        <w:rPr>
          <w:rFonts w:cs="Calibri"/>
          <w:bCs/>
        </w:rPr>
        <w:t>taken</w:t>
      </w:r>
      <w:r w:rsidRPr="00A66DC1">
        <w:rPr>
          <w:rFonts w:cs="Calibri"/>
          <w:bCs/>
        </w:rPr>
        <w:t xml:space="preserve"> as most of the patients died during the trial and th</w:t>
      </w:r>
      <w:r>
        <w:rPr>
          <w:rFonts w:cs="Calibri"/>
          <w:bCs/>
        </w:rPr>
        <w:t>ose</w:t>
      </w:r>
      <w:r w:rsidRPr="00A66DC1">
        <w:rPr>
          <w:rFonts w:cs="Calibri"/>
          <w:bCs/>
        </w:rPr>
        <w:t xml:space="preserve"> remaining refused or were so severely ill that a biopsy was not possible. In the subsequent trials patients were not specifically monitored for local tolerability and the information was collected as part of the </w:t>
      </w:r>
      <w:r w:rsidR="00476F19">
        <w:rPr>
          <w:rFonts w:cs="Calibri"/>
          <w:bCs/>
        </w:rPr>
        <w:t>AEs</w:t>
      </w:r>
      <w:r w:rsidRPr="00A66DC1">
        <w:rPr>
          <w:rFonts w:cs="Calibri"/>
          <w:bCs/>
        </w:rPr>
        <w:t>.</w:t>
      </w:r>
      <w:r>
        <w:rPr>
          <w:rFonts w:cs="Calibri"/>
          <w:bCs/>
        </w:rPr>
        <w:t xml:space="preserve"> There was one report of a severe nasal ulcer in Study FT-019-IM.</w:t>
      </w:r>
    </w:p>
    <w:p w:rsidR="00DB1773" w:rsidRDefault="00DB1773" w:rsidP="00DB1773">
      <w:pPr>
        <w:spacing w:after="0"/>
        <w:rPr>
          <w:rFonts w:cs="Calibri"/>
          <w:bCs/>
        </w:rPr>
      </w:pPr>
      <w:r>
        <w:rPr>
          <w:rFonts w:cs="Calibri"/>
          <w:bCs/>
        </w:rPr>
        <w:t xml:space="preserve">The remaining nasopharyngeal adverse events were of mild to moderate severity and included throat irritation, rhinitis, nasal dryness and </w:t>
      </w:r>
      <w:proofErr w:type="spellStart"/>
      <w:r>
        <w:rPr>
          <w:rFonts w:cs="Calibri"/>
          <w:bCs/>
        </w:rPr>
        <w:t>nasopharyngitis</w:t>
      </w:r>
      <w:proofErr w:type="spellEnd"/>
      <w:r>
        <w:rPr>
          <w:rFonts w:cs="Calibri"/>
          <w:bCs/>
        </w:rPr>
        <w:t>.</w:t>
      </w:r>
    </w:p>
    <w:p w:rsidR="00DB1773" w:rsidRPr="00A66DC1" w:rsidRDefault="00DB1773" w:rsidP="00DB1773">
      <w:pPr>
        <w:spacing w:after="0"/>
        <w:rPr>
          <w:rFonts w:cs="Calibri"/>
        </w:rPr>
      </w:pPr>
      <w:r>
        <w:rPr>
          <w:rFonts w:cs="Calibri"/>
          <w:bCs/>
        </w:rPr>
        <w:t>The post</w:t>
      </w:r>
      <w:r w:rsidR="00D17C3A">
        <w:rPr>
          <w:rFonts w:cs="Calibri"/>
          <w:bCs/>
        </w:rPr>
        <w:t xml:space="preserve"> </w:t>
      </w:r>
      <w:r>
        <w:rPr>
          <w:rFonts w:cs="Calibri"/>
          <w:bCs/>
        </w:rPr>
        <w:t>marketing reports following marketing in Europe covered approximately 12 months of use.</w:t>
      </w:r>
      <w:r w:rsidR="00B050E6">
        <w:rPr>
          <w:rFonts w:cs="Calibri"/>
          <w:bCs/>
        </w:rPr>
        <w:t xml:space="preserve"> </w:t>
      </w:r>
      <w:r>
        <w:rPr>
          <w:rFonts w:cs="Calibri"/>
          <w:bCs/>
        </w:rPr>
        <w:t>Events of note included:</w:t>
      </w:r>
    </w:p>
    <w:p w:rsidR="00DB1773" w:rsidRPr="00041EC7" w:rsidRDefault="00DB1773" w:rsidP="00041EC7">
      <w:pPr>
        <w:pStyle w:val="ListBullet"/>
      </w:pPr>
      <w:r w:rsidRPr="00041EC7">
        <w:t>7 cases of overdose, two considered seri</w:t>
      </w:r>
      <w:r w:rsidR="00A97CCD">
        <w:t>ous</w:t>
      </w:r>
      <w:r w:rsidR="00A4639E">
        <w:t>:</w:t>
      </w:r>
      <w:r w:rsidRPr="00041EC7">
        <w:t xml:space="preserve"> one patient developed respiratory depression</w:t>
      </w:r>
      <w:r w:rsidR="00B050E6">
        <w:t xml:space="preserve"> </w:t>
      </w:r>
      <w:r w:rsidRPr="00041EC7">
        <w:t>requiring admission to hospital and the other patient developed “standard symptoms of overdose” and hallucinations.</w:t>
      </w:r>
    </w:p>
    <w:p w:rsidR="00DB1773" w:rsidRPr="00041EC7" w:rsidRDefault="00DB1773" w:rsidP="00041EC7">
      <w:pPr>
        <w:pStyle w:val="ListBullet"/>
      </w:pPr>
      <w:r w:rsidRPr="00041EC7">
        <w:t>4 cases of abuse or misuse of the medication.</w:t>
      </w:r>
    </w:p>
    <w:p w:rsidR="008E7846" w:rsidRDefault="00386150" w:rsidP="008E7846">
      <w:pPr>
        <w:pStyle w:val="Heading3"/>
        <w:rPr>
          <w:lang w:eastAsia="en-AU"/>
        </w:rPr>
      </w:pPr>
      <w:bookmarkStart w:id="157" w:name="_Toc314842514"/>
      <w:bookmarkStart w:id="158" w:name="_Toc366842974"/>
      <w:r>
        <w:rPr>
          <w:lang w:eastAsia="en-AU"/>
        </w:rPr>
        <w:lastRenderedPageBreak/>
        <w:t>Risk m</w:t>
      </w:r>
      <w:r w:rsidR="008E7846">
        <w:rPr>
          <w:lang w:eastAsia="en-AU"/>
        </w:rPr>
        <w:t xml:space="preserve">anagement </w:t>
      </w:r>
      <w:r>
        <w:rPr>
          <w:lang w:eastAsia="en-AU"/>
        </w:rPr>
        <w:t>p</w:t>
      </w:r>
      <w:r w:rsidR="008E7846">
        <w:rPr>
          <w:lang w:eastAsia="en-AU"/>
        </w:rPr>
        <w:t>lan</w:t>
      </w:r>
      <w:bookmarkEnd w:id="157"/>
      <w:bookmarkEnd w:id="158"/>
    </w:p>
    <w:p w:rsidR="00B2029F" w:rsidRPr="008578D2" w:rsidRDefault="00B2029F" w:rsidP="00B2029F">
      <w:pPr>
        <w:spacing w:after="0"/>
        <w:rPr>
          <w:rFonts w:cs="Calibri"/>
        </w:rPr>
      </w:pPr>
      <w:r>
        <w:rPr>
          <w:rFonts w:cs="Calibri"/>
        </w:rPr>
        <w:t xml:space="preserve">The RMP evaluator </w:t>
      </w:r>
      <w:r w:rsidRPr="008578D2">
        <w:rPr>
          <w:rFonts w:cs="Calibri"/>
        </w:rPr>
        <w:t xml:space="preserve">recommended that </w:t>
      </w:r>
      <w:r>
        <w:rPr>
          <w:rFonts w:cs="Calibri"/>
        </w:rPr>
        <w:t xml:space="preserve">implementation of </w:t>
      </w:r>
      <w:r w:rsidRPr="008578D2">
        <w:rPr>
          <w:rFonts w:cs="Calibri"/>
        </w:rPr>
        <w:t>EU-RMP Version 8.0 (</w:t>
      </w:r>
      <w:r w:rsidR="001643A8">
        <w:rPr>
          <w:rFonts w:cs="Calibri"/>
        </w:rPr>
        <w:t>Data Lock Point (</w:t>
      </w:r>
      <w:r w:rsidRPr="008578D2">
        <w:rPr>
          <w:rFonts w:cs="Calibri"/>
        </w:rPr>
        <w:t>DLP</w:t>
      </w:r>
      <w:r w:rsidR="001643A8">
        <w:rPr>
          <w:rFonts w:cs="Calibri"/>
        </w:rPr>
        <w:t>)</w:t>
      </w:r>
      <w:r w:rsidRPr="008578D2">
        <w:rPr>
          <w:rFonts w:cs="Calibri"/>
        </w:rPr>
        <w:t xml:space="preserve"> 19</w:t>
      </w:r>
      <w:r w:rsidR="001643A8">
        <w:rPr>
          <w:rFonts w:cs="Calibri"/>
        </w:rPr>
        <w:t xml:space="preserve"> October 2</w:t>
      </w:r>
      <w:r w:rsidRPr="008578D2">
        <w:rPr>
          <w:rFonts w:cs="Calibri"/>
        </w:rPr>
        <w:t xml:space="preserve">010) and </w:t>
      </w:r>
      <w:r>
        <w:rPr>
          <w:rFonts w:cs="Calibri"/>
        </w:rPr>
        <w:t xml:space="preserve">the </w:t>
      </w:r>
      <w:r w:rsidRPr="008578D2">
        <w:rPr>
          <w:rFonts w:cs="Calibri"/>
        </w:rPr>
        <w:t xml:space="preserve">Australia specific annex v1.0 (May 2012), and any future updates </w:t>
      </w:r>
      <w:r>
        <w:rPr>
          <w:rFonts w:cs="Calibri"/>
        </w:rPr>
        <w:t xml:space="preserve">be </w:t>
      </w:r>
      <w:r w:rsidRPr="008578D2">
        <w:rPr>
          <w:rFonts w:cs="Calibri"/>
        </w:rPr>
        <w:t>a condition of registration.</w:t>
      </w:r>
      <w:r>
        <w:rPr>
          <w:rFonts w:cs="Calibri"/>
        </w:rPr>
        <w:t xml:space="preserve"> The </w:t>
      </w:r>
      <w:r w:rsidR="00F22015">
        <w:rPr>
          <w:rFonts w:cs="Calibri"/>
        </w:rPr>
        <w:t>RMP</w:t>
      </w:r>
      <w:r>
        <w:rPr>
          <w:rFonts w:cs="Calibri"/>
        </w:rPr>
        <w:t xml:space="preserve"> evaluator also recommended the following activities be performed by the sponsor if </w:t>
      </w:r>
      <w:proofErr w:type="spellStart"/>
      <w:r w:rsidR="0022108E">
        <w:t>Instanyl</w:t>
      </w:r>
      <w:proofErr w:type="spellEnd"/>
      <w:r>
        <w:rPr>
          <w:rFonts w:cs="Calibri"/>
        </w:rPr>
        <w:t xml:space="preserve"> is approved for registration:</w:t>
      </w:r>
    </w:p>
    <w:p w:rsidR="00B2029F" w:rsidRPr="00B2029F" w:rsidRDefault="00B2029F" w:rsidP="00B2029F">
      <w:pPr>
        <w:pStyle w:val="ListBullet"/>
      </w:pPr>
      <w:r w:rsidRPr="00B2029F">
        <w:t>The sponsor should extend the availability and distribution of educational material to patients, pharmacists and medical practitioners in Australia;</w:t>
      </w:r>
    </w:p>
    <w:p w:rsidR="00B2029F" w:rsidRPr="00B2029F" w:rsidRDefault="00B2029F" w:rsidP="00B2029F">
      <w:pPr>
        <w:pStyle w:val="ListBullet"/>
      </w:pPr>
      <w:r w:rsidRPr="00B2029F">
        <w:t xml:space="preserve">The sponsor should undertake an education program on </w:t>
      </w:r>
      <w:r w:rsidR="002D2354">
        <w:t>FNS</w:t>
      </w:r>
      <w:r w:rsidRPr="00B2029F">
        <w:t xml:space="preserve"> targeted at health professionals (especially medical practitioners and nurses in the fields of medical oncology and palliative care medici</w:t>
      </w:r>
      <w:r w:rsidR="00D635EA">
        <w:t xml:space="preserve">ne) without promoting </w:t>
      </w:r>
      <w:proofErr w:type="spellStart"/>
      <w:r w:rsidR="00D635EA">
        <w:t>Instanyl</w:t>
      </w:r>
      <w:proofErr w:type="spellEnd"/>
      <w:r w:rsidR="00D635EA">
        <w:t xml:space="preserve"> </w:t>
      </w:r>
      <w:r w:rsidRPr="00B2029F">
        <w:t xml:space="preserve">specifically. This education program should be conducted by an accredited </w:t>
      </w:r>
      <w:r w:rsidR="002431CF" w:rsidRPr="002431CF">
        <w:t xml:space="preserve">Continuing </w:t>
      </w:r>
      <w:r w:rsidR="002431CF">
        <w:t>M</w:t>
      </w:r>
      <w:r w:rsidR="002431CF" w:rsidRPr="002431CF">
        <w:t xml:space="preserve">edical </w:t>
      </w:r>
      <w:r w:rsidR="002431CF">
        <w:t>E</w:t>
      </w:r>
      <w:r w:rsidR="002431CF" w:rsidRPr="002431CF">
        <w:t xml:space="preserve">ducation </w:t>
      </w:r>
      <w:r w:rsidR="002431CF">
        <w:t>(</w:t>
      </w:r>
      <w:r w:rsidRPr="00B2029F">
        <w:t>CME</w:t>
      </w:r>
      <w:r w:rsidR="002431CF">
        <w:t>)</w:t>
      </w:r>
      <w:r w:rsidRPr="00B2029F">
        <w:t xml:space="preserve"> provider;</w:t>
      </w:r>
    </w:p>
    <w:p w:rsidR="00B2029F" w:rsidRPr="00B2029F" w:rsidRDefault="00B2029F" w:rsidP="00B2029F">
      <w:pPr>
        <w:pStyle w:val="ListBullet"/>
      </w:pPr>
      <w:r w:rsidRPr="00B2029F">
        <w:t>The sponsor should evaluate the abovementioned education program and distribution of educational material;</w:t>
      </w:r>
    </w:p>
    <w:p w:rsidR="00B2029F" w:rsidRPr="00B2029F" w:rsidRDefault="00B2029F" w:rsidP="00B2029F">
      <w:pPr>
        <w:pStyle w:val="ListBullet"/>
      </w:pPr>
      <w:r w:rsidRPr="00B2029F">
        <w:t>The sponsor should facilitate the development completion of a multi-dose counter and a lock</w:t>
      </w:r>
      <w:r w:rsidR="00383C28">
        <w:t xml:space="preserve"> </w:t>
      </w:r>
      <w:r w:rsidR="00DE3994">
        <w:t xml:space="preserve">out mechanism for the </w:t>
      </w:r>
      <w:proofErr w:type="spellStart"/>
      <w:r w:rsidR="00DE3994">
        <w:t>Instanyl</w:t>
      </w:r>
      <w:proofErr w:type="spellEnd"/>
      <w:r w:rsidRPr="00B2029F">
        <w:t xml:space="preserve"> multi-dose device as soon as possible but certainly within a specified time period; and</w:t>
      </w:r>
    </w:p>
    <w:p w:rsidR="00B2029F" w:rsidRPr="00B2029F" w:rsidRDefault="00B2029F" w:rsidP="00B2029F">
      <w:pPr>
        <w:pStyle w:val="ListBullet"/>
      </w:pPr>
      <w:r w:rsidRPr="00B2029F">
        <w:t>The sponsor should consider marketing the single-dose device only until the upgraded version of the multi-dose device is available.</w:t>
      </w:r>
    </w:p>
    <w:p w:rsidR="00B2029F" w:rsidRDefault="00B2029F" w:rsidP="00B2029F">
      <w:pPr>
        <w:spacing w:after="0"/>
        <w:rPr>
          <w:rFonts w:cs="Calibri"/>
        </w:rPr>
      </w:pPr>
      <w:r w:rsidRPr="008578D2">
        <w:rPr>
          <w:rFonts w:cs="Calibri"/>
        </w:rPr>
        <w:t>The sponsor agreed to the above actions except the marketing of the single dose device only until the upgraded version of the multi</w:t>
      </w:r>
      <w:r w:rsidR="005A2957">
        <w:rPr>
          <w:rFonts w:cs="Calibri"/>
        </w:rPr>
        <w:t>-</w:t>
      </w:r>
      <w:r w:rsidRPr="008578D2">
        <w:rPr>
          <w:rFonts w:cs="Calibri"/>
        </w:rPr>
        <w:t>dose device is available</w:t>
      </w:r>
      <w:r w:rsidR="005A2957">
        <w:rPr>
          <w:rFonts w:cs="Calibri"/>
        </w:rPr>
        <w:t>.</w:t>
      </w:r>
    </w:p>
    <w:p w:rsidR="00B2029F" w:rsidRPr="008578D2" w:rsidRDefault="00B2029F" w:rsidP="00B2029F">
      <w:pPr>
        <w:spacing w:after="0"/>
        <w:rPr>
          <w:rFonts w:cs="Calibri"/>
        </w:rPr>
      </w:pPr>
      <w:r>
        <w:rPr>
          <w:rFonts w:cs="Calibri"/>
        </w:rPr>
        <w:t xml:space="preserve">The RMP for this submission was considered by </w:t>
      </w:r>
      <w:r w:rsidRPr="008578D2">
        <w:rPr>
          <w:rFonts w:cs="Calibri"/>
        </w:rPr>
        <w:t>ACSOM</w:t>
      </w:r>
      <w:r>
        <w:rPr>
          <w:rFonts w:cs="Calibri"/>
        </w:rPr>
        <w:t>.</w:t>
      </w:r>
      <w:r w:rsidR="00B050E6">
        <w:rPr>
          <w:rFonts w:cs="Calibri"/>
        </w:rPr>
        <w:t xml:space="preserve"> </w:t>
      </w:r>
      <w:r w:rsidR="001643A8">
        <w:rPr>
          <w:rFonts w:cs="Calibri"/>
        </w:rPr>
        <w:t>That C</w:t>
      </w:r>
      <w:r>
        <w:rPr>
          <w:rFonts w:cs="Calibri"/>
        </w:rPr>
        <w:t>ommittee</w:t>
      </w:r>
      <w:r w:rsidRPr="008578D2">
        <w:rPr>
          <w:rFonts w:cs="Calibri"/>
        </w:rPr>
        <w:t xml:space="preserve"> requested the sponsor detail how they will ensure that prescriptions for any deceased patients are not being dispensed.</w:t>
      </w:r>
      <w:r>
        <w:rPr>
          <w:rFonts w:cs="Calibri"/>
        </w:rPr>
        <w:t xml:space="preserve"> ACSOM considered that:</w:t>
      </w:r>
    </w:p>
    <w:p w:rsidR="00B2029F" w:rsidRPr="008578D2" w:rsidRDefault="00B2029F" w:rsidP="00B2029F">
      <w:pPr>
        <w:pStyle w:val="ListBullet"/>
      </w:pPr>
      <w:r w:rsidRPr="008578D2">
        <w:t>The supply of the multi-dose device can only be recommended once the lock out mechanism and the dose counter are available in the device.</w:t>
      </w:r>
    </w:p>
    <w:p w:rsidR="00B2029F" w:rsidRPr="008578D2" w:rsidRDefault="00B2029F" w:rsidP="00B2029F">
      <w:pPr>
        <w:pStyle w:val="ListBullet"/>
      </w:pPr>
      <w:r w:rsidRPr="008578D2">
        <w:t>In regard to the child resistant container, ACSOM advised that further risk minimisation activities are required to prevent children from being able to access the product when it is not in the container.</w:t>
      </w:r>
    </w:p>
    <w:p w:rsidR="008E7846" w:rsidRDefault="00AA0ED0" w:rsidP="008E7846">
      <w:pPr>
        <w:pStyle w:val="Heading3"/>
      </w:pPr>
      <w:bookmarkStart w:id="159" w:name="_Toc247691531"/>
      <w:bookmarkStart w:id="160" w:name="_Toc314842515"/>
      <w:bookmarkStart w:id="161" w:name="_Toc366842975"/>
      <w:bookmarkStart w:id="162" w:name="_Toc196046505"/>
      <w:bookmarkStart w:id="163" w:name="_Toc196046949"/>
      <w:r>
        <w:t>Risk-benefit a</w:t>
      </w:r>
      <w:r w:rsidR="008E7846">
        <w:t>nalysis</w:t>
      </w:r>
      <w:bookmarkEnd w:id="159"/>
      <w:bookmarkEnd w:id="160"/>
      <w:bookmarkEnd w:id="161"/>
    </w:p>
    <w:p w:rsidR="008E7846" w:rsidRDefault="008E7846" w:rsidP="008E7846">
      <w:pPr>
        <w:pStyle w:val="Heading4"/>
      </w:pPr>
      <w:r>
        <w:t xml:space="preserve">Delegate </w:t>
      </w:r>
      <w:r w:rsidR="00ED3CAD">
        <w:t>c</w:t>
      </w:r>
      <w:r>
        <w:t>onsiderations</w:t>
      </w:r>
    </w:p>
    <w:p w:rsidR="00B2029F" w:rsidRDefault="00B2029F" w:rsidP="00B2029F">
      <w:pPr>
        <w:spacing w:after="0"/>
        <w:rPr>
          <w:rFonts w:cs="Calibri"/>
        </w:rPr>
      </w:pPr>
      <w:r>
        <w:rPr>
          <w:rFonts w:cs="Calibri"/>
        </w:rPr>
        <w:t xml:space="preserve">The pharmacokinetics of </w:t>
      </w:r>
      <w:proofErr w:type="spellStart"/>
      <w:r w:rsidR="001D723B">
        <w:rPr>
          <w:rFonts w:cs="Calibri"/>
        </w:rPr>
        <w:t>Instanyl</w:t>
      </w:r>
      <w:proofErr w:type="spellEnd"/>
      <w:r>
        <w:rPr>
          <w:rFonts w:cs="Calibri"/>
        </w:rPr>
        <w:t xml:space="preserve"> has been adequately assessed.</w:t>
      </w:r>
      <w:r w:rsidR="00B050E6">
        <w:rPr>
          <w:rFonts w:cs="Calibri"/>
        </w:rPr>
        <w:t xml:space="preserve"> </w:t>
      </w:r>
      <w:r>
        <w:rPr>
          <w:rFonts w:cs="Calibri"/>
        </w:rPr>
        <w:t xml:space="preserve">Information on the metabolism of </w:t>
      </w:r>
      <w:proofErr w:type="spellStart"/>
      <w:r>
        <w:rPr>
          <w:rFonts w:cs="Calibri"/>
        </w:rPr>
        <w:t>fentanyl</w:t>
      </w:r>
      <w:proofErr w:type="spellEnd"/>
      <w:r>
        <w:rPr>
          <w:rFonts w:cs="Calibri"/>
        </w:rPr>
        <w:t xml:space="preserve"> was obtained from</w:t>
      </w:r>
      <w:r w:rsidR="001643A8">
        <w:rPr>
          <w:rFonts w:cs="Calibri"/>
        </w:rPr>
        <w:t xml:space="preserve"> published literature and this wa</w:t>
      </w:r>
      <w:r>
        <w:rPr>
          <w:rFonts w:cs="Calibri"/>
        </w:rPr>
        <w:t xml:space="preserve">s </w:t>
      </w:r>
      <w:r w:rsidR="001643A8">
        <w:rPr>
          <w:rFonts w:cs="Calibri"/>
        </w:rPr>
        <w:t xml:space="preserve">considered to be </w:t>
      </w:r>
      <w:r>
        <w:rPr>
          <w:rFonts w:cs="Calibri"/>
        </w:rPr>
        <w:t>satisfactory given that the</w:t>
      </w:r>
      <w:r w:rsidR="00B050E6">
        <w:rPr>
          <w:rFonts w:cs="Calibri"/>
        </w:rPr>
        <w:t xml:space="preserve"> </w:t>
      </w:r>
      <w:r>
        <w:rPr>
          <w:rFonts w:cs="Calibri"/>
        </w:rPr>
        <w:t xml:space="preserve">distribution, metabolism and excretion of </w:t>
      </w:r>
      <w:proofErr w:type="spellStart"/>
      <w:r>
        <w:rPr>
          <w:rFonts w:cs="Calibri"/>
        </w:rPr>
        <w:t>fentanyl</w:t>
      </w:r>
      <w:proofErr w:type="spellEnd"/>
      <w:r>
        <w:rPr>
          <w:rFonts w:cs="Calibri"/>
        </w:rPr>
        <w:t xml:space="preserve"> are not product specific. There is a relatively high coeffici</w:t>
      </w:r>
      <w:r w:rsidR="0042243F">
        <w:rPr>
          <w:rFonts w:cs="Calibri"/>
        </w:rPr>
        <w:t xml:space="preserve">ent of variation for both intra and inter </w:t>
      </w:r>
      <w:r>
        <w:rPr>
          <w:rFonts w:cs="Calibri"/>
        </w:rPr>
        <w:t xml:space="preserve">patient pharmacokinetic parameters with </w:t>
      </w:r>
      <w:proofErr w:type="spellStart"/>
      <w:r w:rsidR="001D723B">
        <w:rPr>
          <w:rFonts w:cs="Calibri"/>
        </w:rPr>
        <w:t>Instanyl</w:t>
      </w:r>
      <w:proofErr w:type="spellEnd"/>
      <w:r>
        <w:rPr>
          <w:rFonts w:cs="Calibri"/>
        </w:rPr>
        <w:t>.</w:t>
      </w:r>
      <w:r w:rsidR="00B050E6">
        <w:rPr>
          <w:rFonts w:cs="Calibri"/>
        </w:rPr>
        <w:t xml:space="preserve"> </w:t>
      </w:r>
      <w:r>
        <w:rPr>
          <w:rFonts w:cs="Calibri"/>
        </w:rPr>
        <w:t>This may be contributed to by the route of administration.</w:t>
      </w:r>
      <w:r w:rsidR="00B050E6">
        <w:rPr>
          <w:rFonts w:cs="Calibri"/>
        </w:rPr>
        <w:t xml:space="preserve"> </w:t>
      </w:r>
      <w:r>
        <w:rPr>
          <w:rFonts w:cs="Calibri"/>
        </w:rPr>
        <w:t xml:space="preserve">This product is not interchangeable with any other immediate release, self-administered </w:t>
      </w:r>
      <w:proofErr w:type="spellStart"/>
      <w:r>
        <w:rPr>
          <w:rFonts w:cs="Calibri"/>
        </w:rPr>
        <w:t>transmucosal</w:t>
      </w:r>
      <w:proofErr w:type="spellEnd"/>
      <w:r>
        <w:rPr>
          <w:rFonts w:cs="Calibri"/>
        </w:rPr>
        <w:t xml:space="preserve"> product.</w:t>
      </w:r>
      <w:r w:rsidR="00B050E6">
        <w:rPr>
          <w:rFonts w:cs="Calibri"/>
        </w:rPr>
        <w:t xml:space="preserve"> </w:t>
      </w:r>
      <w:r>
        <w:rPr>
          <w:rFonts w:cs="Calibri"/>
        </w:rPr>
        <w:t xml:space="preserve">Switching from other </w:t>
      </w:r>
      <w:proofErr w:type="spellStart"/>
      <w:r>
        <w:rPr>
          <w:rFonts w:cs="Calibri"/>
        </w:rPr>
        <w:t>fentanyl</w:t>
      </w:r>
      <w:proofErr w:type="spellEnd"/>
      <w:r>
        <w:rPr>
          <w:rFonts w:cs="Calibri"/>
        </w:rPr>
        <w:t xml:space="preserve"> products without undertaking the fairly complex and time consuming dose titration procedures used in the clinical trials would risk overdose.</w:t>
      </w:r>
      <w:r w:rsidR="00B050E6">
        <w:rPr>
          <w:rFonts w:cs="Calibri"/>
        </w:rPr>
        <w:t xml:space="preserve"> </w:t>
      </w:r>
      <w:r>
        <w:rPr>
          <w:rFonts w:cs="Calibri"/>
        </w:rPr>
        <w:t>Each product has its own quite variable absorption characteristics.</w:t>
      </w:r>
    </w:p>
    <w:p w:rsidR="009311E9" w:rsidRDefault="00B2029F" w:rsidP="00B2029F">
      <w:pPr>
        <w:spacing w:after="0"/>
        <w:rPr>
          <w:rFonts w:cs="Calibri"/>
        </w:rPr>
      </w:pPr>
      <w:r>
        <w:rPr>
          <w:rFonts w:cs="Calibri"/>
        </w:rPr>
        <w:t xml:space="preserve">The Delegate notes that the GMP </w:t>
      </w:r>
      <w:r w:rsidR="007C2EC9">
        <w:rPr>
          <w:rFonts w:cs="Calibri"/>
        </w:rPr>
        <w:t xml:space="preserve">inspectors reported two </w:t>
      </w:r>
      <w:r w:rsidR="00181D97">
        <w:rPr>
          <w:rFonts w:cs="Calibri"/>
        </w:rPr>
        <w:t>critical findings for site Y</w:t>
      </w:r>
      <w:r>
        <w:rPr>
          <w:rFonts w:cs="Calibri"/>
        </w:rPr>
        <w:t xml:space="preserve"> but considered tha</w:t>
      </w:r>
      <w:r w:rsidR="009311E9">
        <w:rPr>
          <w:rFonts w:cs="Calibri"/>
        </w:rPr>
        <w:t>t those</w:t>
      </w:r>
    </w:p>
    <w:p w:rsidR="00B2029F" w:rsidRDefault="00B2029F" w:rsidP="009311E9">
      <w:pPr>
        <w:spacing w:after="0"/>
        <w:ind w:left="720"/>
        <w:rPr>
          <w:rFonts w:cs="Calibri"/>
        </w:rPr>
      </w:pPr>
      <w:r>
        <w:rPr>
          <w:rFonts w:cs="Calibri"/>
        </w:rPr>
        <w:t>“</w:t>
      </w:r>
      <w:proofErr w:type="gramStart"/>
      <w:r w:rsidRPr="00EA74B7">
        <w:rPr>
          <w:rFonts w:cs="Calibri"/>
          <w:i/>
        </w:rPr>
        <w:t>deficiencies</w:t>
      </w:r>
      <w:proofErr w:type="gramEnd"/>
      <w:r w:rsidRPr="00EA74B7">
        <w:rPr>
          <w:rFonts w:cs="Calibri"/>
          <w:i/>
        </w:rPr>
        <w:t xml:space="preserve"> are not considered to obscure the efficacy data reported by this investigational site</w:t>
      </w:r>
      <w:r>
        <w:rPr>
          <w:rFonts w:cs="Calibri"/>
          <w:i/>
        </w:rPr>
        <w:t>”</w:t>
      </w:r>
      <w:r w:rsidRPr="00EA74B7">
        <w:rPr>
          <w:rFonts w:cs="Calibri"/>
          <w:i/>
        </w:rPr>
        <w:t>.</w:t>
      </w:r>
    </w:p>
    <w:p w:rsidR="00B2029F" w:rsidRDefault="00B2029F" w:rsidP="00B2029F">
      <w:pPr>
        <w:spacing w:after="0"/>
        <w:rPr>
          <w:rFonts w:cs="Calibri"/>
        </w:rPr>
      </w:pPr>
      <w:r>
        <w:rPr>
          <w:rFonts w:cs="Calibri"/>
        </w:rPr>
        <w:lastRenderedPageBreak/>
        <w:t xml:space="preserve">Given that the inspectors considered the efficacy data from that site were acceptable </w:t>
      </w:r>
      <w:r w:rsidR="001643A8">
        <w:rPr>
          <w:rFonts w:cs="Calibri"/>
        </w:rPr>
        <w:t>the Delegate has</w:t>
      </w:r>
      <w:r>
        <w:rPr>
          <w:rFonts w:cs="Calibri"/>
        </w:rPr>
        <w:t xml:space="preserve"> accepted these data.</w:t>
      </w:r>
      <w:r w:rsidR="00B050E6">
        <w:rPr>
          <w:rFonts w:cs="Calibri"/>
        </w:rPr>
        <w:t xml:space="preserve"> </w:t>
      </w:r>
      <w:r>
        <w:rPr>
          <w:rFonts w:cs="Calibri"/>
        </w:rPr>
        <w:t>The GCP failures that were critical at that site led to the safety reporting from that site being considered unreliable.</w:t>
      </w:r>
      <w:r w:rsidR="00B050E6">
        <w:rPr>
          <w:rFonts w:cs="Calibri"/>
        </w:rPr>
        <w:t xml:space="preserve"> </w:t>
      </w:r>
      <w:r w:rsidR="00FE771C">
        <w:rPr>
          <w:rFonts w:cs="Calibri"/>
        </w:rPr>
        <w:t>The Delegate</w:t>
      </w:r>
      <w:r>
        <w:rPr>
          <w:rFonts w:cs="Calibri"/>
        </w:rPr>
        <w:t xml:space="preserve"> agree</w:t>
      </w:r>
      <w:r w:rsidR="00FE771C">
        <w:rPr>
          <w:rFonts w:cs="Calibri"/>
        </w:rPr>
        <w:t xml:space="preserve">s with that assessment and </w:t>
      </w:r>
      <w:r w:rsidR="00E2724F">
        <w:rPr>
          <w:rFonts w:cs="Calibri"/>
        </w:rPr>
        <w:t>consider</w:t>
      </w:r>
      <w:r w:rsidR="00FE771C">
        <w:rPr>
          <w:rFonts w:cs="Calibri"/>
        </w:rPr>
        <w:t>s</w:t>
      </w:r>
      <w:r w:rsidR="00E2724F">
        <w:rPr>
          <w:rFonts w:cs="Calibri"/>
        </w:rPr>
        <w:t xml:space="preserve"> that rejection of a</w:t>
      </w:r>
      <w:r>
        <w:rPr>
          <w:rFonts w:cs="Calibri"/>
        </w:rPr>
        <w:t xml:space="preserve"> submission on the basis of the unfavourable GMP assessment for safety data gathering at 2 sites that was presented is not warranted.</w:t>
      </w:r>
      <w:r w:rsidR="00B050E6">
        <w:rPr>
          <w:rFonts w:cs="Calibri"/>
        </w:rPr>
        <w:t xml:space="preserve"> </w:t>
      </w:r>
      <w:r>
        <w:rPr>
          <w:rFonts w:cs="Calibri"/>
        </w:rPr>
        <w:t>There was no suggestion that the assessment of efficacy was inadequate.</w:t>
      </w:r>
      <w:r w:rsidR="00B050E6">
        <w:rPr>
          <w:rFonts w:cs="Calibri"/>
        </w:rPr>
        <w:t xml:space="preserve"> </w:t>
      </w:r>
      <w:r>
        <w:rPr>
          <w:rFonts w:cs="Calibri"/>
        </w:rPr>
        <w:t xml:space="preserve">Inaccuracies and omissions in obtaining and recording adverse events at </w:t>
      </w:r>
      <w:r w:rsidR="007A405E">
        <w:rPr>
          <w:rFonts w:cs="Calibri"/>
        </w:rPr>
        <w:t>two</w:t>
      </w:r>
      <w:r>
        <w:rPr>
          <w:rFonts w:cs="Calibri"/>
        </w:rPr>
        <w:t xml:space="preserve"> sites (fr</w:t>
      </w:r>
      <w:r w:rsidR="0004653F">
        <w:rPr>
          <w:rFonts w:cs="Calibri"/>
        </w:rPr>
        <w:t>om among 27 sites in Study FT-01</w:t>
      </w:r>
      <w:r>
        <w:rPr>
          <w:rFonts w:cs="Calibri"/>
        </w:rPr>
        <w:t xml:space="preserve">7-IM and 35 sites in </w:t>
      </w:r>
      <w:r w:rsidR="00E2625A">
        <w:rPr>
          <w:rFonts w:cs="Calibri"/>
        </w:rPr>
        <w:t xml:space="preserve">Study </w:t>
      </w:r>
      <w:r w:rsidR="0004653F">
        <w:rPr>
          <w:rFonts w:cs="Calibri"/>
        </w:rPr>
        <w:t>FT-</w:t>
      </w:r>
      <w:r>
        <w:rPr>
          <w:rFonts w:cs="Calibri"/>
        </w:rPr>
        <w:t>0</w:t>
      </w:r>
      <w:r w:rsidR="0004653F">
        <w:rPr>
          <w:rFonts w:cs="Calibri"/>
        </w:rPr>
        <w:t>1</w:t>
      </w:r>
      <w:r>
        <w:rPr>
          <w:rFonts w:cs="Calibri"/>
        </w:rPr>
        <w:t>8-IM) should not preclude consideration of the remaining data.</w:t>
      </w:r>
      <w:r w:rsidR="00B050E6">
        <w:rPr>
          <w:rFonts w:cs="Calibri"/>
        </w:rPr>
        <w:t xml:space="preserve"> </w:t>
      </w:r>
      <w:r>
        <w:rPr>
          <w:rFonts w:cs="Calibri"/>
        </w:rPr>
        <w:t>The design deficiency in the diary cards is also considered insufficient to preclude registration.</w:t>
      </w:r>
    </w:p>
    <w:p w:rsidR="00B2029F" w:rsidRDefault="00B2029F" w:rsidP="00B2029F">
      <w:pPr>
        <w:spacing w:after="0"/>
        <w:rPr>
          <w:rFonts w:cs="Calibri"/>
        </w:rPr>
      </w:pPr>
      <w:r>
        <w:rPr>
          <w:rFonts w:cs="Calibri"/>
        </w:rPr>
        <w:t xml:space="preserve">The clinical evaluator considered the publications included with this submission did not comply with LBS guidelines however these publications provided pharmacology information and general support for the overall safety of use of </w:t>
      </w:r>
      <w:proofErr w:type="spellStart"/>
      <w:r>
        <w:rPr>
          <w:rFonts w:cs="Calibri"/>
        </w:rPr>
        <w:t>transmucosal</w:t>
      </w:r>
      <w:proofErr w:type="spellEnd"/>
      <w:r>
        <w:rPr>
          <w:rFonts w:cs="Calibri"/>
        </w:rPr>
        <w:t xml:space="preserve"> </w:t>
      </w:r>
      <w:proofErr w:type="spellStart"/>
      <w:r>
        <w:rPr>
          <w:rFonts w:cs="Calibri"/>
        </w:rPr>
        <w:t>fentanyl</w:t>
      </w:r>
      <w:proofErr w:type="spellEnd"/>
      <w:r>
        <w:rPr>
          <w:rFonts w:cs="Calibri"/>
        </w:rPr>
        <w:t>.</w:t>
      </w:r>
      <w:r w:rsidR="00B050E6">
        <w:rPr>
          <w:rFonts w:cs="Calibri"/>
        </w:rPr>
        <w:t xml:space="preserve"> </w:t>
      </w:r>
      <w:r>
        <w:rPr>
          <w:rFonts w:cs="Calibri"/>
        </w:rPr>
        <w:t>For those purposes</w:t>
      </w:r>
      <w:r w:rsidR="000750AB">
        <w:rPr>
          <w:rFonts w:cs="Calibri"/>
        </w:rPr>
        <w:t>,</w:t>
      </w:r>
      <w:r w:rsidR="001643A8">
        <w:rPr>
          <w:rFonts w:cs="Calibri"/>
        </w:rPr>
        <w:t xml:space="preserve"> a formal </w:t>
      </w:r>
      <w:proofErr w:type="gramStart"/>
      <w:r w:rsidR="001643A8">
        <w:rPr>
          <w:rFonts w:cs="Calibri"/>
        </w:rPr>
        <w:t>LBS</w:t>
      </w:r>
      <w:proofErr w:type="gramEnd"/>
      <w:r w:rsidR="001643A8">
        <w:rPr>
          <w:rFonts w:cs="Calibri"/>
        </w:rPr>
        <w:t xml:space="preserve"> wa</w:t>
      </w:r>
      <w:r>
        <w:rPr>
          <w:rFonts w:cs="Calibri"/>
        </w:rPr>
        <w:t>s not required.</w:t>
      </w:r>
    </w:p>
    <w:p w:rsidR="00B2029F" w:rsidRDefault="00B2029F" w:rsidP="00B2029F">
      <w:pPr>
        <w:spacing w:after="0"/>
        <w:rPr>
          <w:rFonts w:cs="Calibri"/>
        </w:rPr>
      </w:pPr>
      <w:r>
        <w:rPr>
          <w:rFonts w:cs="Calibri"/>
        </w:rPr>
        <w:t xml:space="preserve">The design of Study </w:t>
      </w:r>
      <w:r w:rsidRPr="0011215C">
        <w:rPr>
          <w:rFonts w:cs="Calibri"/>
        </w:rPr>
        <w:t>FT-017-IM</w:t>
      </w:r>
      <w:r>
        <w:rPr>
          <w:rFonts w:cs="Calibri"/>
        </w:rPr>
        <w:t xml:space="preserve"> was adequate to demonstrate a dose</w:t>
      </w:r>
      <w:r w:rsidR="00030B68">
        <w:rPr>
          <w:rFonts w:cs="Calibri"/>
        </w:rPr>
        <w:t xml:space="preserve"> </w:t>
      </w:r>
      <w:r>
        <w:rPr>
          <w:rFonts w:cs="Calibri"/>
        </w:rPr>
        <w:t xml:space="preserve">response for </w:t>
      </w:r>
      <w:proofErr w:type="spellStart"/>
      <w:r w:rsidR="001D723B">
        <w:rPr>
          <w:rFonts w:cs="Calibri"/>
        </w:rPr>
        <w:t>Instanyl</w:t>
      </w:r>
      <w:proofErr w:type="spellEnd"/>
      <w:r>
        <w:rPr>
          <w:rFonts w:cs="Calibri"/>
        </w:rPr>
        <w:t>.</w:t>
      </w:r>
      <w:r w:rsidR="00B050E6">
        <w:rPr>
          <w:rFonts w:cs="Calibri"/>
        </w:rPr>
        <w:t xml:space="preserve"> </w:t>
      </w:r>
      <w:r>
        <w:rPr>
          <w:rFonts w:cs="Calibri"/>
        </w:rPr>
        <w:t xml:space="preserve">The inclusion of patients who participated in that study in the subsequent study (FT-018-IM) where the product was administered as per the </w:t>
      </w:r>
      <w:r w:rsidR="001643A8">
        <w:rPr>
          <w:rFonts w:cs="Calibri"/>
        </w:rPr>
        <w:t>proposed dose recommendations was considered to be</w:t>
      </w:r>
      <w:r>
        <w:rPr>
          <w:rFonts w:cs="Calibri"/>
        </w:rPr>
        <w:t xml:space="preserve"> acceptable.</w:t>
      </w:r>
      <w:r w:rsidR="00B050E6">
        <w:rPr>
          <w:rFonts w:cs="Calibri"/>
        </w:rPr>
        <w:t xml:space="preserve"> </w:t>
      </w:r>
      <w:r>
        <w:rPr>
          <w:rFonts w:cs="Calibri"/>
        </w:rPr>
        <w:t xml:space="preserve">The study numbers are broadly consistent with those of more recent studies in patients with </w:t>
      </w:r>
      <w:r w:rsidR="00067DB9">
        <w:rPr>
          <w:rFonts w:cs="Calibri"/>
        </w:rPr>
        <w:t>BTP</w:t>
      </w:r>
      <w:r>
        <w:rPr>
          <w:rFonts w:cs="Calibri"/>
        </w:rPr>
        <w:t>.</w:t>
      </w:r>
      <w:r w:rsidR="00B050E6">
        <w:rPr>
          <w:rFonts w:cs="Calibri"/>
        </w:rPr>
        <w:t xml:space="preserve"> </w:t>
      </w:r>
      <w:r>
        <w:rPr>
          <w:rFonts w:cs="Calibri"/>
        </w:rPr>
        <w:t xml:space="preserve">The </w:t>
      </w:r>
      <w:r w:rsidR="00921C64">
        <w:rPr>
          <w:rFonts w:cs="Calibri"/>
        </w:rPr>
        <w:t>PID</w:t>
      </w:r>
      <w:r>
        <w:rPr>
          <w:rFonts w:cs="Calibri"/>
        </w:rPr>
        <w:t xml:space="preserve"> between </w:t>
      </w:r>
      <w:proofErr w:type="spellStart"/>
      <w:r>
        <w:rPr>
          <w:rFonts w:cs="Calibri"/>
        </w:rPr>
        <w:t>fentanyl</w:t>
      </w:r>
      <w:proofErr w:type="spellEnd"/>
      <w:r>
        <w:rPr>
          <w:rFonts w:cs="Calibri"/>
        </w:rPr>
        <w:t xml:space="preserve"> and placebo were quite large and readily apparent so only relatively small numbers of patients were needed to demonstrate statistically significant differences from placebo.</w:t>
      </w:r>
      <w:r w:rsidR="00B050E6">
        <w:rPr>
          <w:rFonts w:cs="Calibri"/>
        </w:rPr>
        <w:t xml:space="preserve"> </w:t>
      </w:r>
      <w:r>
        <w:rPr>
          <w:rFonts w:cs="Calibri"/>
        </w:rPr>
        <w:t>This was the case for both pivotal studies.</w:t>
      </w:r>
      <w:r w:rsidR="00B050E6">
        <w:rPr>
          <w:rFonts w:cs="Calibri"/>
        </w:rPr>
        <w:t xml:space="preserve"> </w:t>
      </w:r>
      <w:r>
        <w:rPr>
          <w:rFonts w:cs="Calibri"/>
        </w:rPr>
        <w:t xml:space="preserve">The actual number of patients given </w:t>
      </w:r>
      <w:proofErr w:type="spellStart"/>
      <w:r w:rsidR="001D723B">
        <w:rPr>
          <w:rFonts w:cs="Calibri"/>
        </w:rPr>
        <w:t>Instanyl</w:t>
      </w:r>
      <w:proofErr w:type="spellEnd"/>
      <w:r>
        <w:rPr>
          <w:rFonts w:cs="Calibri"/>
        </w:rPr>
        <w:t xml:space="preserve"> was not greatly dissimilar to that given </w:t>
      </w:r>
      <w:proofErr w:type="spellStart"/>
      <w:r>
        <w:rPr>
          <w:rFonts w:cs="Calibri"/>
        </w:rPr>
        <w:t>P</w:t>
      </w:r>
      <w:r w:rsidR="00BB0068">
        <w:rPr>
          <w:rFonts w:cs="Calibri"/>
        </w:rPr>
        <w:t>ec</w:t>
      </w:r>
      <w:r w:rsidR="00226B96">
        <w:rPr>
          <w:rFonts w:cs="Calibri"/>
        </w:rPr>
        <w:t>F</w:t>
      </w:r>
      <w:r w:rsidR="00BB0068">
        <w:rPr>
          <w:rFonts w:cs="Calibri"/>
        </w:rPr>
        <w:t>ent</w:t>
      </w:r>
      <w:proofErr w:type="spellEnd"/>
      <w:r w:rsidR="00BB0068">
        <w:rPr>
          <w:rFonts w:cs="Calibri"/>
        </w:rPr>
        <w:t xml:space="preserve"> </w:t>
      </w:r>
      <w:r>
        <w:rPr>
          <w:rFonts w:cs="Calibri"/>
        </w:rPr>
        <w:t xml:space="preserve">in the pivotal clinical trial described in the </w:t>
      </w:r>
      <w:r w:rsidR="0091635E">
        <w:rPr>
          <w:rFonts w:cs="Calibri"/>
        </w:rPr>
        <w:t>Product Information</w:t>
      </w:r>
      <w:r>
        <w:rPr>
          <w:rFonts w:cs="Calibri"/>
        </w:rPr>
        <w:t xml:space="preserve"> for </w:t>
      </w:r>
      <w:proofErr w:type="spellStart"/>
      <w:r w:rsidR="00BB0068">
        <w:rPr>
          <w:rFonts w:cs="Calibri"/>
        </w:rPr>
        <w:t>Pec</w:t>
      </w:r>
      <w:r w:rsidR="00226B96">
        <w:rPr>
          <w:rFonts w:cs="Calibri"/>
        </w:rPr>
        <w:t>F</w:t>
      </w:r>
      <w:r w:rsidR="00BB0068">
        <w:rPr>
          <w:rFonts w:cs="Calibri"/>
        </w:rPr>
        <w:t>ent</w:t>
      </w:r>
      <w:proofErr w:type="spellEnd"/>
      <w:r>
        <w:rPr>
          <w:rFonts w:cs="Calibri"/>
        </w:rPr>
        <w:t>.</w:t>
      </w:r>
    </w:p>
    <w:p w:rsidR="00B2029F" w:rsidRDefault="00B2029F" w:rsidP="00B2029F">
      <w:pPr>
        <w:spacing w:after="0"/>
        <w:rPr>
          <w:rFonts w:cs="Calibri"/>
        </w:rPr>
      </w:pPr>
      <w:r>
        <w:rPr>
          <w:rFonts w:cs="Calibri"/>
        </w:rPr>
        <w:t xml:space="preserve">Patients selected for these studies were mostly already receiving </w:t>
      </w:r>
      <w:r w:rsidR="00067DB9">
        <w:rPr>
          <w:rFonts w:cs="Calibri"/>
        </w:rPr>
        <w:t>BTP</w:t>
      </w:r>
      <w:r>
        <w:rPr>
          <w:rFonts w:cs="Calibri"/>
        </w:rPr>
        <w:t xml:space="preserve"> treatment prior to study entry and had previously responded to treatment so they were a selected group.</w:t>
      </w:r>
      <w:r w:rsidR="00B050E6">
        <w:rPr>
          <w:rFonts w:cs="Calibri"/>
        </w:rPr>
        <w:t xml:space="preserve"> </w:t>
      </w:r>
      <w:r>
        <w:rPr>
          <w:rFonts w:cs="Calibri"/>
        </w:rPr>
        <w:t xml:space="preserve">The proportion of unselected patients with </w:t>
      </w:r>
      <w:r w:rsidR="00067DB9">
        <w:rPr>
          <w:rFonts w:cs="Calibri"/>
        </w:rPr>
        <w:t>BTP</w:t>
      </w:r>
      <w:r>
        <w:rPr>
          <w:rFonts w:cs="Calibri"/>
        </w:rPr>
        <w:t xml:space="preserve"> who would tolerate and receive a clinical benefit from </w:t>
      </w:r>
      <w:proofErr w:type="spellStart"/>
      <w:r w:rsidR="001D723B">
        <w:rPr>
          <w:rFonts w:cs="Calibri"/>
        </w:rPr>
        <w:t>Instanyl</w:t>
      </w:r>
      <w:proofErr w:type="spellEnd"/>
      <w:r>
        <w:rPr>
          <w:rFonts w:cs="Calibri"/>
        </w:rPr>
        <w:t xml:space="preserve"> cannot be estimated from the studies presented.</w:t>
      </w:r>
    </w:p>
    <w:p w:rsidR="00B2029F" w:rsidRPr="00F311F0" w:rsidRDefault="00B2029F" w:rsidP="00B2029F">
      <w:pPr>
        <w:spacing w:after="0"/>
        <w:rPr>
          <w:rFonts w:cs="Calibri"/>
        </w:rPr>
      </w:pPr>
      <w:r>
        <w:rPr>
          <w:rFonts w:cs="Calibri"/>
        </w:rPr>
        <w:t xml:space="preserve">The evaluator was concerned that the number of patients and </w:t>
      </w:r>
      <w:r w:rsidR="00067DB9">
        <w:rPr>
          <w:rFonts w:cs="Calibri"/>
        </w:rPr>
        <w:t>BTP</w:t>
      </w:r>
      <w:r>
        <w:rPr>
          <w:rFonts w:cs="Calibri"/>
        </w:rPr>
        <w:t xml:space="preserve"> episodes where more than one actuation was given for a single </w:t>
      </w:r>
      <w:r w:rsidR="00067DB9">
        <w:rPr>
          <w:rFonts w:cs="Calibri"/>
        </w:rPr>
        <w:t>BTP</w:t>
      </w:r>
      <w:r>
        <w:rPr>
          <w:rFonts w:cs="Calibri"/>
        </w:rPr>
        <w:t xml:space="preserve"> episode was not presented so the reviewer could not comment on the proportion and numbers of patients requiring more than one actuation per </w:t>
      </w:r>
      <w:r w:rsidR="00067DB9">
        <w:rPr>
          <w:rFonts w:cs="Calibri"/>
        </w:rPr>
        <w:t>BTP</w:t>
      </w:r>
      <w:r>
        <w:rPr>
          <w:rFonts w:cs="Calibri"/>
        </w:rPr>
        <w:t xml:space="preserve"> episode or on the mean total doses of </w:t>
      </w:r>
      <w:proofErr w:type="spellStart"/>
      <w:r w:rsidR="001D723B">
        <w:rPr>
          <w:rFonts w:cs="Calibri"/>
        </w:rPr>
        <w:t>Instanyl</w:t>
      </w:r>
      <w:proofErr w:type="spellEnd"/>
      <w:r>
        <w:rPr>
          <w:rFonts w:cs="Calibri"/>
        </w:rPr>
        <w:t xml:space="preserve"> given for each </w:t>
      </w:r>
      <w:r w:rsidR="00067DB9">
        <w:rPr>
          <w:rFonts w:cs="Calibri"/>
        </w:rPr>
        <w:t>BTP</w:t>
      </w:r>
      <w:r>
        <w:rPr>
          <w:rFonts w:cs="Calibri"/>
        </w:rPr>
        <w:t xml:space="preserve"> episode in those studies.</w:t>
      </w:r>
      <w:r w:rsidR="00B050E6">
        <w:rPr>
          <w:rFonts w:cs="Calibri"/>
        </w:rPr>
        <w:t xml:space="preserve"> </w:t>
      </w:r>
      <w:r w:rsidRPr="00F311F0">
        <w:rPr>
          <w:rFonts w:cs="Calibri"/>
        </w:rPr>
        <w:t xml:space="preserve">The sponsor subsequently indicated that the </w:t>
      </w:r>
      <w:r>
        <w:rPr>
          <w:rFonts w:cs="Calibri"/>
        </w:rPr>
        <w:t xml:space="preserve">efficacy </w:t>
      </w:r>
      <w:r w:rsidRPr="00F311F0">
        <w:rPr>
          <w:rFonts w:cs="Calibri"/>
        </w:rPr>
        <w:t xml:space="preserve">data </w:t>
      </w:r>
      <w:r>
        <w:rPr>
          <w:rFonts w:cs="Calibri"/>
        </w:rPr>
        <w:t xml:space="preserve">in the pivotal studies </w:t>
      </w:r>
      <w:r w:rsidRPr="00F311F0">
        <w:rPr>
          <w:rFonts w:cs="Calibri"/>
        </w:rPr>
        <w:t xml:space="preserve">were for a single dose of </w:t>
      </w:r>
      <w:proofErr w:type="spellStart"/>
      <w:r w:rsidR="001D723B">
        <w:rPr>
          <w:rFonts w:cs="Calibri"/>
        </w:rPr>
        <w:t>Instanyl</w:t>
      </w:r>
      <w:proofErr w:type="spellEnd"/>
      <w:r w:rsidRPr="00F311F0">
        <w:rPr>
          <w:rFonts w:cs="Calibri"/>
        </w:rPr>
        <w:t>.</w:t>
      </w:r>
    </w:p>
    <w:p w:rsidR="00B2029F" w:rsidRDefault="00B2029F" w:rsidP="00B2029F">
      <w:pPr>
        <w:spacing w:after="0"/>
        <w:rPr>
          <w:rFonts w:cs="Calibri"/>
        </w:rPr>
      </w:pPr>
      <w:r>
        <w:rPr>
          <w:rFonts w:cs="Calibri"/>
        </w:rPr>
        <w:t>The Delegate consider</w:t>
      </w:r>
      <w:r w:rsidR="001643A8">
        <w:rPr>
          <w:rFonts w:cs="Calibri"/>
        </w:rPr>
        <w:t>ed</w:t>
      </w:r>
      <w:r>
        <w:rPr>
          <w:rFonts w:cs="Calibri"/>
        </w:rPr>
        <w:t xml:space="preserve"> </w:t>
      </w:r>
      <w:r w:rsidR="001643A8">
        <w:rPr>
          <w:rFonts w:cs="Calibri"/>
        </w:rPr>
        <w:t xml:space="preserve">that </w:t>
      </w:r>
      <w:r>
        <w:rPr>
          <w:rFonts w:cs="Calibri"/>
        </w:rPr>
        <w:t>the major safety concerns are:</w:t>
      </w:r>
    </w:p>
    <w:p w:rsidR="00B2029F" w:rsidRDefault="00B2029F" w:rsidP="00B2029F">
      <w:pPr>
        <w:pStyle w:val="ListBullet"/>
      </w:pPr>
      <w:r>
        <w:t>Potential for abuse and misuse.</w:t>
      </w:r>
      <w:r w:rsidR="00B050E6">
        <w:t xml:space="preserve"> </w:t>
      </w:r>
      <w:r w:rsidRPr="00DE7A9D">
        <w:t xml:space="preserve">The short </w:t>
      </w:r>
      <w:proofErr w:type="spellStart"/>
      <w:r w:rsidRPr="00DE7A9D">
        <w:t>T</w:t>
      </w:r>
      <w:r w:rsidRPr="001643A8">
        <w:rPr>
          <w:vertAlign w:val="subscript"/>
        </w:rPr>
        <w:t>max</w:t>
      </w:r>
      <w:proofErr w:type="spellEnd"/>
      <w:r w:rsidRPr="001643A8">
        <w:rPr>
          <w:vertAlign w:val="subscript"/>
        </w:rPr>
        <w:t xml:space="preserve"> </w:t>
      </w:r>
      <w:r w:rsidRPr="00DE7A9D">
        <w:t xml:space="preserve">and high bioavailability relative to other </w:t>
      </w:r>
      <w:proofErr w:type="spellStart"/>
      <w:r w:rsidRPr="00DE7A9D">
        <w:t>fentanyl</w:t>
      </w:r>
      <w:proofErr w:type="spellEnd"/>
      <w:r w:rsidRPr="00DE7A9D">
        <w:t xml:space="preserve"> </w:t>
      </w:r>
      <w:r>
        <w:t xml:space="preserve">products </w:t>
      </w:r>
      <w:r w:rsidRPr="00DE7A9D">
        <w:t xml:space="preserve">suggests this product would be preferred </w:t>
      </w:r>
      <w:r>
        <w:t xml:space="preserve">over other </w:t>
      </w:r>
      <w:proofErr w:type="spellStart"/>
      <w:r>
        <w:t>opioid</w:t>
      </w:r>
      <w:proofErr w:type="spellEnd"/>
      <w:r>
        <w:t xml:space="preserve"> products </w:t>
      </w:r>
      <w:r w:rsidRPr="00DE7A9D">
        <w:t xml:space="preserve">by individuals likely to abuse </w:t>
      </w:r>
      <w:proofErr w:type="spellStart"/>
      <w:r w:rsidRPr="00DE7A9D">
        <w:t>opioids</w:t>
      </w:r>
      <w:proofErr w:type="spellEnd"/>
      <w:r w:rsidRPr="00DE7A9D">
        <w:t xml:space="preserve"> yet no study to assess this was undertaken.</w:t>
      </w:r>
      <w:r w:rsidR="00B050E6">
        <w:t xml:space="preserve"> </w:t>
      </w:r>
      <w:r w:rsidRPr="00DE7A9D">
        <w:t xml:space="preserve">Instead it was asserted that by the sponsor that </w:t>
      </w:r>
      <w:r>
        <w:t xml:space="preserve">this product </w:t>
      </w:r>
      <w:r w:rsidRPr="00DE7A9D">
        <w:t xml:space="preserve">is an </w:t>
      </w:r>
      <w:proofErr w:type="spellStart"/>
      <w:r w:rsidRPr="00DE7A9D">
        <w:t>opioid</w:t>
      </w:r>
      <w:proofErr w:type="spellEnd"/>
      <w:r w:rsidRPr="00DE7A9D">
        <w:t xml:space="preserve"> agonist with an abuse and misuse liability similar to other </w:t>
      </w:r>
      <w:proofErr w:type="spellStart"/>
      <w:r w:rsidRPr="00DE7A9D">
        <w:t>opioid</w:t>
      </w:r>
      <w:proofErr w:type="spellEnd"/>
      <w:r w:rsidRPr="00DE7A9D">
        <w:t xml:space="preserve"> analgesics.</w:t>
      </w:r>
    </w:p>
    <w:p w:rsidR="00B2029F" w:rsidRDefault="00B2029F" w:rsidP="00B2029F">
      <w:pPr>
        <w:pStyle w:val="ListBullet"/>
      </w:pPr>
      <w:r>
        <w:t>Potential for accidental overdose with the multi</w:t>
      </w:r>
      <w:r w:rsidR="00940C80">
        <w:t>-</w:t>
      </w:r>
      <w:r>
        <w:t>dose dose container.</w:t>
      </w:r>
      <w:r w:rsidR="00B050E6">
        <w:t xml:space="preserve"> </w:t>
      </w:r>
      <w:r>
        <w:t xml:space="preserve">There is potential for individuals confused after taking </w:t>
      </w:r>
      <w:proofErr w:type="spellStart"/>
      <w:r w:rsidR="001D723B">
        <w:t>Instanyl</w:t>
      </w:r>
      <w:proofErr w:type="spellEnd"/>
      <w:r>
        <w:t xml:space="preserve"> to take additional doses, particularly if they are in severe pain and want rapid onset of pain relief.</w:t>
      </w:r>
      <w:r w:rsidR="00B050E6">
        <w:t xml:space="preserve"> </w:t>
      </w:r>
      <w:r>
        <w:t xml:space="preserve">Use of the </w:t>
      </w:r>
      <w:proofErr w:type="spellStart"/>
      <w:r>
        <w:t>multidose</w:t>
      </w:r>
      <w:proofErr w:type="spellEnd"/>
      <w:r>
        <w:t xml:space="preserve"> products by others could also occur and was a major concern of ACSOM.</w:t>
      </w:r>
      <w:r w:rsidR="00B050E6">
        <w:t xml:space="preserve"> </w:t>
      </w:r>
      <w:r>
        <w:t>The 12 months of PSUR data from Europe provides only limited reassurance that this is unlikely to be a frequent occurrence.</w:t>
      </w:r>
    </w:p>
    <w:p w:rsidR="00B2029F" w:rsidRPr="00DE7A9D" w:rsidRDefault="00B2029F" w:rsidP="00B2029F">
      <w:pPr>
        <w:pStyle w:val="ListBullet"/>
      </w:pPr>
      <w:r>
        <w:t xml:space="preserve"> “Off</w:t>
      </w:r>
      <w:r w:rsidR="00C83203">
        <w:t xml:space="preserve"> </w:t>
      </w:r>
      <w:r>
        <w:t xml:space="preserve">label” use of </w:t>
      </w:r>
      <w:proofErr w:type="spellStart"/>
      <w:r w:rsidR="001D723B">
        <w:t>Instanyl</w:t>
      </w:r>
      <w:proofErr w:type="spellEnd"/>
      <w:r>
        <w:t xml:space="preserve"> in patients with chronic pain who may also experience periodic acute exacerbations of pain would place those patients at higher risk of development of dependency.</w:t>
      </w:r>
      <w:r w:rsidR="00B050E6">
        <w:t xml:space="preserve"> </w:t>
      </w:r>
      <w:r>
        <w:t>The sponsor is undertaking a drug utili</w:t>
      </w:r>
      <w:r w:rsidR="00492039">
        <w:t>s</w:t>
      </w:r>
      <w:r>
        <w:t xml:space="preserve">ation study in </w:t>
      </w:r>
      <w:r w:rsidR="00492039">
        <w:t>five</w:t>
      </w:r>
      <w:r>
        <w:t xml:space="preserve"> European countries. </w:t>
      </w:r>
      <w:r w:rsidRPr="008F0621">
        <w:rPr>
          <w:b/>
        </w:rPr>
        <w:t xml:space="preserve">The sponsor should provide </w:t>
      </w:r>
      <w:r>
        <w:rPr>
          <w:b/>
        </w:rPr>
        <w:t xml:space="preserve">a summary </w:t>
      </w:r>
      <w:r w:rsidRPr="008F0621">
        <w:rPr>
          <w:b/>
        </w:rPr>
        <w:t xml:space="preserve">interim report </w:t>
      </w:r>
      <w:r>
        <w:rPr>
          <w:b/>
        </w:rPr>
        <w:lastRenderedPageBreak/>
        <w:t xml:space="preserve">for that study </w:t>
      </w:r>
      <w:r w:rsidRPr="008F0621">
        <w:rPr>
          <w:b/>
        </w:rPr>
        <w:t>that was stated to be due in the seco</w:t>
      </w:r>
      <w:r w:rsidR="00DA0590">
        <w:rPr>
          <w:b/>
        </w:rPr>
        <w:t xml:space="preserve">nd quarter of 2012 in their pre </w:t>
      </w:r>
      <w:r w:rsidRPr="008F0621">
        <w:rPr>
          <w:b/>
        </w:rPr>
        <w:t>ACPM response.</w:t>
      </w:r>
      <w:r>
        <w:t xml:space="preserve"> However, if widespread off-label use and dependency are identified there appears to be no plan to manage those events.</w:t>
      </w:r>
    </w:p>
    <w:p w:rsidR="00B2029F" w:rsidRDefault="00B2029F" w:rsidP="00B2029F">
      <w:pPr>
        <w:spacing w:after="0"/>
        <w:rPr>
          <w:rFonts w:cs="Calibri"/>
        </w:rPr>
      </w:pPr>
      <w:r>
        <w:rPr>
          <w:rFonts w:cs="Calibri"/>
        </w:rPr>
        <w:t>Based on PK data alone</w:t>
      </w:r>
      <w:r w:rsidR="00680FC6">
        <w:rPr>
          <w:rFonts w:cs="Calibri"/>
        </w:rPr>
        <w:t>,</w:t>
      </w:r>
      <w:r>
        <w:rPr>
          <w:rFonts w:cs="Calibri"/>
        </w:rPr>
        <w:t xml:space="preserve"> it was </w:t>
      </w:r>
      <w:r w:rsidR="001643A8">
        <w:rPr>
          <w:rFonts w:cs="Calibri"/>
        </w:rPr>
        <w:t xml:space="preserve">considered </w:t>
      </w:r>
      <w:r>
        <w:rPr>
          <w:rFonts w:cs="Calibri"/>
        </w:rPr>
        <w:t>quite likely that this product would have considerable efficacy for its intended use.</w:t>
      </w:r>
      <w:r w:rsidR="00B050E6">
        <w:rPr>
          <w:rFonts w:cs="Calibri"/>
        </w:rPr>
        <w:t xml:space="preserve"> </w:t>
      </w:r>
      <w:r>
        <w:rPr>
          <w:rFonts w:cs="Calibri"/>
        </w:rPr>
        <w:t>Efficacy has been adequately assessed in clinical studies though there were flaws in the design and execution of those studies.</w:t>
      </w:r>
    </w:p>
    <w:p w:rsidR="00B2029F" w:rsidRPr="007D0853" w:rsidRDefault="00B2029F" w:rsidP="00B2029F">
      <w:pPr>
        <w:spacing w:after="0"/>
        <w:rPr>
          <w:rFonts w:cs="Calibri"/>
        </w:rPr>
      </w:pPr>
      <w:r>
        <w:rPr>
          <w:rFonts w:cs="Calibri"/>
        </w:rPr>
        <w:t xml:space="preserve">There are outstanding pharmaceutical chemistry and risk management issues that require resolution prior to approval of </w:t>
      </w:r>
      <w:proofErr w:type="spellStart"/>
      <w:r w:rsidR="001D723B">
        <w:rPr>
          <w:rFonts w:cs="Calibri"/>
        </w:rPr>
        <w:t>Instanyl</w:t>
      </w:r>
      <w:proofErr w:type="spellEnd"/>
      <w:r>
        <w:rPr>
          <w:rFonts w:cs="Calibri"/>
        </w:rPr>
        <w:t>.</w:t>
      </w:r>
      <w:r w:rsidR="00B050E6">
        <w:rPr>
          <w:rFonts w:cs="Calibri"/>
        </w:rPr>
        <w:t xml:space="preserve"> </w:t>
      </w:r>
      <w:r>
        <w:rPr>
          <w:rFonts w:cs="Calibri"/>
        </w:rPr>
        <w:t>The lack of a dose counter and lock out mechanism in the multi-dose container, concern that the child</w:t>
      </w:r>
      <w:r w:rsidR="00680FC6">
        <w:rPr>
          <w:rFonts w:cs="Calibri"/>
        </w:rPr>
        <w:t xml:space="preserve"> </w:t>
      </w:r>
      <w:r>
        <w:rPr>
          <w:rFonts w:cs="Calibri"/>
        </w:rPr>
        <w:t>resistant outer packaging is insufficient to limit access by children and the need to store the multi</w:t>
      </w:r>
      <w:r w:rsidR="007659BC">
        <w:rPr>
          <w:rFonts w:cs="Calibri"/>
        </w:rPr>
        <w:t>-</w:t>
      </w:r>
      <w:r>
        <w:rPr>
          <w:rFonts w:cs="Calibri"/>
        </w:rPr>
        <w:t>dose container upright are major concerns.</w:t>
      </w:r>
      <w:r w:rsidR="00B050E6">
        <w:rPr>
          <w:rFonts w:cs="Calibri"/>
        </w:rPr>
        <w:t xml:space="preserve"> </w:t>
      </w:r>
      <w:r>
        <w:rPr>
          <w:rFonts w:cs="Calibri"/>
        </w:rPr>
        <w:t>The Delegate</w:t>
      </w:r>
      <w:r w:rsidRPr="007D0853">
        <w:rPr>
          <w:rFonts w:cs="Calibri"/>
        </w:rPr>
        <w:t xml:space="preserve"> agree</w:t>
      </w:r>
      <w:r>
        <w:rPr>
          <w:rFonts w:cs="Calibri"/>
        </w:rPr>
        <w:t>s</w:t>
      </w:r>
      <w:r w:rsidR="00433DF0">
        <w:rPr>
          <w:rFonts w:cs="Calibri"/>
        </w:rPr>
        <w:t xml:space="preserve"> with the pharmaceutical chemistry</w:t>
      </w:r>
      <w:r w:rsidRPr="007D0853">
        <w:rPr>
          <w:rFonts w:cs="Calibri"/>
        </w:rPr>
        <w:t xml:space="preserve"> evaluator that wide variability </w:t>
      </w:r>
      <w:r>
        <w:rPr>
          <w:rFonts w:cs="Calibri"/>
        </w:rPr>
        <w:t>in the bioavailability between two</w:t>
      </w:r>
      <w:r w:rsidRPr="007D0853">
        <w:rPr>
          <w:rFonts w:cs="Calibri"/>
        </w:rPr>
        <w:t xml:space="preserve"> different </w:t>
      </w:r>
      <w:proofErr w:type="spellStart"/>
      <w:r w:rsidRPr="007D0853">
        <w:rPr>
          <w:rFonts w:cs="Calibri"/>
        </w:rPr>
        <w:t>transmucosal</w:t>
      </w:r>
      <w:proofErr w:type="spellEnd"/>
      <w:r w:rsidRPr="007D0853">
        <w:rPr>
          <w:rFonts w:cs="Calibri"/>
        </w:rPr>
        <w:t xml:space="preserve"> </w:t>
      </w:r>
      <w:proofErr w:type="spellStart"/>
      <w:r w:rsidRPr="007D0853">
        <w:rPr>
          <w:rFonts w:cs="Calibri"/>
        </w:rPr>
        <w:t>fentanyl</w:t>
      </w:r>
      <w:proofErr w:type="spellEnd"/>
      <w:r w:rsidRPr="007D0853">
        <w:rPr>
          <w:rFonts w:cs="Calibri"/>
        </w:rPr>
        <w:t xml:space="preserve"> products</w:t>
      </w:r>
      <w:r>
        <w:rPr>
          <w:rFonts w:cs="Calibri"/>
        </w:rPr>
        <w:t xml:space="preserve"> was demonstrated and that this should be </w:t>
      </w:r>
      <w:r w:rsidRPr="007D0853">
        <w:rPr>
          <w:rFonts w:cs="Calibri"/>
        </w:rPr>
        <w:t xml:space="preserve">highlighted in the </w:t>
      </w:r>
      <w:r w:rsidR="0091635E">
        <w:rPr>
          <w:rFonts w:cs="Calibri"/>
        </w:rPr>
        <w:t>Product Information</w:t>
      </w:r>
      <w:r w:rsidRPr="007D0853">
        <w:rPr>
          <w:rFonts w:cs="Calibri"/>
        </w:rPr>
        <w:t>.</w:t>
      </w:r>
    </w:p>
    <w:p w:rsidR="00B2029F" w:rsidRDefault="00B2029F" w:rsidP="00B2029F">
      <w:pPr>
        <w:spacing w:after="0"/>
        <w:rPr>
          <w:rFonts w:cs="Calibri"/>
        </w:rPr>
      </w:pPr>
      <w:r>
        <w:rPr>
          <w:rFonts w:cs="Calibri"/>
        </w:rPr>
        <w:t xml:space="preserve">The </w:t>
      </w:r>
      <w:r w:rsidR="007659BC">
        <w:rPr>
          <w:rFonts w:cs="Calibri"/>
        </w:rPr>
        <w:t>pharmaceutical chemistry</w:t>
      </w:r>
      <w:r>
        <w:rPr>
          <w:rFonts w:cs="Calibri"/>
        </w:rPr>
        <w:t xml:space="preserve"> evaluator noted that a</w:t>
      </w:r>
      <w:r w:rsidRPr="00EE4E06">
        <w:rPr>
          <w:rFonts w:cs="Calibri"/>
        </w:rPr>
        <w:t xml:space="preserve">ll </w:t>
      </w:r>
      <w:proofErr w:type="spellStart"/>
      <w:r w:rsidR="001D723B">
        <w:rPr>
          <w:rFonts w:cs="Calibri"/>
        </w:rPr>
        <w:t>Instanyl</w:t>
      </w:r>
      <w:proofErr w:type="spellEnd"/>
      <w:r>
        <w:rPr>
          <w:rFonts w:cs="Calibri"/>
        </w:rPr>
        <w:t xml:space="preserve"> </w:t>
      </w:r>
      <w:r w:rsidRPr="00EE4E06">
        <w:rPr>
          <w:rFonts w:cs="Calibri"/>
        </w:rPr>
        <w:t xml:space="preserve">products contain an excess of solution in order to ensure that the stated number of doses can be delivered. </w:t>
      </w:r>
      <w:r w:rsidR="007C7DFE">
        <w:rPr>
          <w:rFonts w:cs="Calibri"/>
        </w:rPr>
        <w:t>The Delegate</w:t>
      </w:r>
      <w:r>
        <w:rPr>
          <w:rFonts w:cs="Calibri"/>
        </w:rPr>
        <w:t xml:space="preserve"> note</w:t>
      </w:r>
      <w:r w:rsidR="001643A8">
        <w:rPr>
          <w:rFonts w:cs="Calibri"/>
        </w:rPr>
        <w:t>d</w:t>
      </w:r>
      <w:r>
        <w:rPr>
          <w:rFonts w:cs="Calibri"/>
        </w:rPr>
        <w:t xml:space="preserve"> that there is no dose counter on the product and most patients will not keep a separate tally</w:t>
      </w:r>
      <w:r w:rsidR="002267F1">
        <w:rPr>
          <w:rFonts w:cs="Calibri"/>
        </w:rPr>
        <w:t xml:space="preserve"> of how many doses are used.</w:t>
      </w:r>
      <w:r w:rsidR="00B050E6">
        <w:rPr>
          <w:rFonts w:cs="Calibri"/>
        </w:rPr>
        <w:t xml:space="preserve"> </w:t>
      </w:r>
      <w:r w:rsidR="002267F1">
        <w:rPr>
          <w:rFonts w:cs="Calibri"/>
        </w:rPr>
        <w:t xml:space="preserve">The Delegate </w:t>
      </w:r>
      <w:r>
        <w:rPr>
          <w:rFonts w:cs="Calibri"/>
        </w:rPr>
        <w:t>accept</w:t>
      </w:r>
      <w:r w:rsidR="001643A8">
        <w:rPr>
          <w:rFonts w:cs="Calibri"/>
        </w:rPr>
        <w:t>ed</w:t>
      </w:r>
      <w:r>
        <w:rPr>
          <w:rFonts w:cs="Calibri"/>
        </w:rPr>
        <w:t xml:space="preserve"> that patients will continue to use a multi</w:t>
      </w:r>
      <w:r w:rsidR="00F23E67">
        <w:rPr>
          <w:rFonts w:cs="Calibri"/>
        </w:rPr>
        <w:t>-</w:t>
      </w:r>
      <w:r>
        <w:rPr>
          <w:rFonts w:cs="Calibri"/>
        </w:rPr>
        <w:t>dose product until it is apparently empty with no further nasal solution delivered on actuation.</w:t>
      </w:r>
      <w:r w:rsidR="00B050E6">
        <w:rPr>
          <w:rFonts w:cs="Calibri"/>
        </w:rPr>
        <w:t xml:space="preserve"> </w:t>
      </w:r>
      <w:r>
        <w:rPr>
          <w:rFonts w:cs="Calibri"/>
        </w:rPr>
        <w:t>It represents no additional risk to than which is inherent in the multi</w:t>
      </w:r>
      <w:r w:rsidR="00DE3994">
        <w:rPr>
          <w:rFonts w:cs="Calibri"/>
        </w:rPr>
        <w:t>-</w:t>
      </w:r>
      <w:r>
        <w:rPr>
          <w:rFonts w:cs="Calibri"/>
        </w:rPr>
        <w:t>dos</w:t>
      </w:r>
      <w:r w:rsidR="001D50D9">
        <w:rPr>
          <w:rFonts w:cs="Calibri"/>
        </w:rPr>
        <w:t>e container as a presentation.</w:t>
      </w:r>
    </w:p>
    <w:p w:rsidR="001D50D9" w:rsidRPr="001D50D9" w:rsidRDefault="001D50D9" w:rsidP="001D50D9">
      <w:pPr>
        <w:pStyle w:val="Heading4"/>
      </w:pPr>
      <w:r w:rsidRPr="001D50D9">
        <w:t>Questions for the ACPM</w:t>
      </w:r>
    </w:p>
    <w:p w:rsidR="001D50D9" w:rsidRDefault="00F23E67" w:rsidP="001D50D9">
      <w:r>
        <w:t>The general advice of the ACPM</w:t>
      </w:r>
      <w:r w:rsidR="001D50D9" w:rsidRPr="001D50D9">
        <w:t xml:space="preserve"> on the quality, safety and efficacy of </w:t>
      </w:r>
      <w:proofErr w:type="spellStart"/>
      <w:r w:rsidR="001D723B">
        <w:t>Instanyl</w:t>
      </w:r>
      <w:proofErr w:type="spellEnd"/>
      <w:r w:rsidR="001D50D9" w:rsidRPr="001D50D9">
        <w:t xml:space="preserve"> for the proposed indication of</w:t>
      </w:r>
    </w:p>
    <w:p w:rsidR="001D50D9" w:rsidRPr="001D50D9" w:rsidRDefault="001D723B" w:rsidP="001D50D9">
      <w:pPr>
        <w:ind w:left="720"/>
        <w:rPr>
          <w:i/>
        </w:rPr>
      </w:pPr>
      <w:proofErr w:type="spellStart"/>
      <w:r>
        <w:rPr>
          <w:i/>
        </w:rPr>
        <w:t>Instanyl</w:t>
      </w:r>
      <w:proofErr w:type="spellEnd"/>
      <w:r w:rsidR="001D50D9" w:rsidRPr="001D50D9">
        <w:rPr>
          <w:i/>
        </w:rPr>
        <w:t xml:space="preserve"> is indicated for the management of breakthrough pain in patients already receiving maintenance </w:t>
      </w:r>
      <w:proofErr w:type="spellStart"/>
      <w:r w:rsidR="001D50D9" w:rsidRPr="001D50D9">
        <w:rPr>
          <w:i/>
        </w:rPr>
        <w:t>opioid</w:t>
      </w:r>
      <w:proofErr w:type="spellEnd"/>
      <w:r w:rsidR="001D50D9" w:rsidRPr="001D50D9">
        <w:rPr>
          <w:i/>
        </w:rPr>
        <w:t xml:space="preserve"> therapy for chronic cancer pain is requested.</w:t>
      </w:r>
    </w:p>
    <w:p w:rsidR="001D50D9" w:rsidRPr="001D50D9" w:rsidRDefault="001D50D9" w:rsidP="001D50D9">
      <w:r w:rsidRPr="001D50D9">
        <w:t>In addition</w:t>
      </w:r>
      <w:r w:rsidR="00925CB1">
        <w:t>,</w:t>
      </w:r>
      <w:r w:rsidRPr="001D50D9">
        <w:t xml:space="preserve"> the </w:t>
      </w:r>
      <w:r w:rsidR="00925CB1">
        <w:t>ACPM</w:t>
      </w:r>
      <w:r w:rsidRPr="001D50D9">
        <w:t xml:space="preserve"> </w:t>
      </w:r>
      <w:r w:rsidR="001643A8">
        <w:t>wa</w:t>
      </w:r>
      <w:r w:rsidRPr="001D50D9">
        <w:t>s requested to provide advice on the following specific issues:</w:t>
      </w:r>
    </w:p>
    <w:p w:rsidR="001D50D9" w:rsidRPr="001D50D9" w:rsidRDefault="001D50D9" w:rsidP="001D50D9">
      <w:r>
        <w:t xml:space="preserve">1. </w:t>
      </w:r>
      <w:r w:rsidRPr="001D50D9">
        <w:t xml:space="preserve">Does the </w:t>
      </w:r>
      <w:r w:rsidR="00F038F8">
        <w:t>ACPM</w:t>
      </w:r>
      <w:r w:rsidRPr="001D50D9">
        <w:t xml:space="preserve"> consider that supply of </w:t>
      </w:r>
      <w:proofErr w:type="spellStart"/>
      <w:r w:rsidR="001D723B">
        <w:t>Instanyl</w:t>
      </w:r>
      <w:proofErr w:type="spellEnd"/>
      <w:r w:rsidRPr="001D50D9">
        <w:t xml:space="preserve"> should be restricted in a similar manner to the scheme for </w:t>
      </w:r>
      <w:proofErr w:type="spellStart"/>
      <w:r w:rsidRPr="001D50D9">
        <w:t>transmucosal</w:t>
      </w:r>
      <w:proofErr w:type="spellEnd"/>
      <w:r w:rsidRPr="001D50D9">
        <w:t xml:space="preserve"> immediate release </w:t>
      </w:r>
      <w:proofErr w:type="spellStart"/>
      <w:r w:rsidRPr="001D50D9">
        <w:t>f</w:t>
      </w:r>
      <w:r w:rsidR="00864A58">
        <w:t>entanyl</w:t>
      </w:r>
      <w:proofErr w:type="spellEnd"/>
      <w:r w:rsidR="00864A58">
        <w:t xml:space="preserve"> that operates in the US</w:t>
      </w:r>
      <w:r w:rsidRPr="001D50D9">
        <w:t xml:space="preserve"> would be warranted given the safety issues for this product?</w:t>
      </w:r>
      <w:r w:rsidR="00B050E6">
        <w:t xml:space="preserve"> </w:t>
      </w:r>
      <w:r w:rsidRPr="001D50D9">
        <w:t>Such a scheme would also be required for other immediate release self</w:t>
      </w:r>
      <w:r w:rsidR="009C17C2">
        <w:t xml:space="preserve"> </w:t>
      </w:r>
      <w:r w:rsidRPr="001D50D9">
        <w:t xml:space="preserve">administered </w:t>
      </w:r>
      <w:proofErr w:type="spellStart"/>
      <w:r w:rsidRPr="001D50D9">
        <w:t>opioids</w:t>
      </w:r>
      <w:proofErr w:type="spellEnd"/>
      <w:r w:rsidRPr="001D50D9">
        <w:t>.</w:t>
      </w:r>
    </w:p>
    <w:p w:rsidR="001D50D9" w:rsidRPr="001D50D9" w:rsidRDefault="001D50D9" w:rsidP="001D50D9">
      <w:r>
        <w:t xml:space="preserve">2. </w:t>
      </w:r>
      <w:r w:rsidRPr="001D50D9">
        <w:t xml:space="preserve">Does the </w:t>
      </w:r>
      <w:r w:rsidR="008821E6">
        <w:t>ACPM</w:t>
      </w:r>
      <w:r w:rsidRPr="001D50D9">
        <w:t xml:space="preserve"> consider that reporting of total sales (volume of product</w:t>
      </w:r>
      <w:r w:rsidR="00B050E6">
        <w:t xml:space="preserve"> </w:t>
      </w:r>
      <w:r w:rsidRPr="001D50D9">
        <w:t xml:space="preserve">of each dose strength) from both </w:t>
      </w:r>
      <w:r w:rsidR="00C93256">
        <w:t>P</w:t>
      </w:r>
      <w:r w:rsidR="00C93256" w:rsidRPr="00C93256">
        <w:t xml:space="preserve">harmaceutical </w:t>
      </w:r>
      <w:r w:rsidR="00C93256">
        <w:t>B</w:t>
      </w:r>
      <w:r w:rsidR="00C93256" w:rsidRPr="00C93256">
        <w:t xml:space="preserve">enefits </w:t>
      </w:r>
      <w:r w:rsidR="00C93256">
        <w:t>S</w:t>
      </w:r>
      <w:r w:rsidR="00C93256" w:rsidRPr="00C93256">
        <w:t>cheme</w:t>
      </w:r>
      <w:r w:rsidR="003F67DC">
        <w:t xml:space="preserve"> (PBS) </w:t>
      </w:r>
      <w:r w:rsidRPr="001D50D9">
        <w:t>and private prescriptions for at least 3 years after commencement of marketing of this product in Australia would adequately estimate the extent of off</w:t>
      </w:r>
      <w:r w:rsidR="00024DC3">
        <w:t xml:space="preserve"> </w:t>
      </w:r>
      <w:r w:rsidRPr="001D50D9">
        <w:t>label use due to dependen</w:t>
      </w:r>
      <w:r w:rsidR="00024DC3">
        <w:t xml:space="preserve">cy in patients with chronic non </w:t>
      </w:r>
      <w:r w:rsidRPr="001D50D9">
        <w:t>malignant pain and/or product diversion in Australia?</w:t>
      </w:r>
    </w:p>
    <w:p w:rsidR="001D50D9" w:rsidRPr="001D50D9" w:rsidRDefault="001D50D9" w:rsidP="001D50D9">
      <w:r>
        <w:t xml:space="preserve">3. </w:t>
      </w:r>
      <w:r w:rsidRPr="001D50D9">
        <w:t>The multi-dose packs contain up to 20 doses per bottle.</w:t>
      </w:r>
      <w:r w:rsidR="00B050E6">
        <w:t xml:space="preserve"> </w:t>
      </w:r>
      <w:r w:rsidRPr="001D50D9">
        <w:t>ACSOM has recommended this container not be approved until it is re-designed to include a lock out mechanism and dose counter.</w:t>
      </w:r>
      <w:r w:rsidR="00B050E6">
        <w:t xml:space="preserve"> </w:t>
      </w:r>
      <w:r w:rsidRPr="001D50D9">
        <w:t>In addition</w:t>
      </w:r>
      <w:r w:rsidR="009C57B9">
        <w:t>,</w:t>
      </w:r>
      <w:r w:rsidRPr="001D50D9">
        <w:t xml:space="preserve"> there are problems with opening the child</w:t>
      </w:r>
      <w:r w:rsidR="009C57B9">
        <w:t xml:space="preserve"> </w:t>
      </w:r>
      <w:r w:rsidRPr="001D50D9">
        <w:t>resistant outer packaging,</w:t>
      </w:r>
      <w:r w:rsidR="00B050E6">
        <w:t xml:space="preserve"> </w:t>
      </w:r>
      <w:r w:rsidRPr="001D50D9">
        <w:t xml:space="preserve">adsorption of </w:t>
      </w:r>
      <w:proofErr w:type="spellStart"/>
      <w:r w:rsidRPr="001D50D9">
        <w:t>fentanyl</w:t>
      </w:r>
      <w:proofErr w:type="spellEnd"/>
      <w:r w:rsidRPr="001D50D9">
        <w:t xml:space="preserve"> onto the packaging components if the container is not stored in an upright position, a likely increased risk of overdose due to number of doses in the presentation, and a likely high desirability of this presentation for diversion and misuse.</w:t>
      </w:r>
      <w:r w:rsidR="00B050E6">
        <w:t xml:space="preserve"> </w:t>
      </w:r>
      <w:r w:rsidRPr="001D50D9">
        <w:t>Does the Committee consider the proposed dose direc</w:t>
      </w:r>
      <w:r w:rsidR="006069F3">
        <w:t xml:space="preserve">tions and packaging in a “child </w:t>
      </w:r>
      <w:r w:rsidRPr="001D50D9">
        <w:t>resistant outer box” from which the product is removed sufficiently mitigate the risks from this presentation that are listed above? (A demonstration container and outer packaging will be supplied to members at the meeting</w:t>
      </w:r>
      <w:r w:rsidR="000657A0">
        <w:t>.</w:t>
      </w:r>
      <w:r w:rsidRPr="001D50D9">
        <w:t>)</w:t>
      </w:r>
    </w:p>
    <w:p w:rsidR="001D50D9" w:rsidRPr="001D50D9" w:rsidRDefault="001D50D9" w:rsidP="001D50D9">
      <w:r w:rsidRPr="001D50D9">
        <w:t>4</w:t>
      </w:r>
      <w:r>
        <w:t xml:space="preserve">. </w:t>
      </w:r>
      <w:r w:rsidRPr="001D50D9">
        <w:t xml:space="preserve">Should all </w:t>
      </w:r>
      <w:proofErr w:type="spellStart"/>
      <w:r w:rsidRPr="001D50D9">
        <w:t>transmucosal</w:t>
      </w:r>
      <w:proofErr w:type="spellEnd"/>
      <w:r w:rsidRPr="001D50D9">
        <w:t xml:space="preserve"> immediate release </w:t>
      </w:r>
      <w:proofErr w:type="spellStart"/>
      <w:r w:rsidRPr="001D50D9">
        <w:t>fent</w:t>
      </w:r>
      <w:r w:rsidR="000657A0">
        <w:t>anyl</w:t>
      </w:r>
      <w:proofErr w:type="spellEnd"/>
      <w:r w:rsidR="000657A0">
        <w:t xml:space="preserve"> products intended </w:t>
      </w:r>
      <w:r w:rsidR="008D7CC2">
        <w:t xml:space="preserve">to be </w:t>
      </w:r>
      <w:r w:rsidR="000657A0">
        <w:t xml:space="preserve">self </w:t>
      </w:r>
      <w:r w:rsidR="008D7CC2" w:rsidRPr="001D50D9">
        <w:t>administrat</w:t>
      </w:r>
      <w:r w:rsidR="008D7CC2">
        <w:t>ed</w:t>
      </w:r>
      <w:r w:rsidR="008D7CC2" w:rsidRPr="001D50D9">
        <w:t xml:space="preserve"> </w:t>
      </w:r>
      <w:r w:rsidRPr="001D50D9">
        <w:t xml:space="preserve">have black box warnings in the </w:t>
      </w:r>
      <w:r w:rsidR="0091635E">
        <w:t>Product Information</w:t>
      </w:r>
      <w:r w:rsidRPr="001D50D9">
        <w:t xml:space="preserve"> to state there is an</w:t>
      </w:r>
      <w:r w:rsidR="00B050E6">
        <w:t xml:space="preserve"> </w:t>
      </w:r>
      <w:r w:rsidRPr="001D50D9">
        <w:lastRenderedPageBreak/>
        <w:t xml:space="preserve">increased risk of dependency from these dose forms compared with other </w:t>
      </w:r>
      <w:proofErr w:type="spellStart"/>
      <w:r w:rsidRPr="001D50D9">
        <w:t>opioids</w:t>
      </w:r>
      <w:proofErr w:type="spellEnd"/>
      <w:r w:rsidRPr="001D50D9">
        <w:t>?</w:t>
      </w:r>
      <w:r w:rsidR="00B050E6">
        <w:t xml:space="preserve"> </w:t>
      </w:r>
      <w:r w:rsidRPr="001D50D9">
        <w:t>If th</w:t>
      </w:r>
      <w:r w:rsidR="000657A0">
        <w:t xml:space="preserve">is is recommended, </w:t>
      </w:r>
      <w:r w:rsidRPr="001D50D9">
        <w:t xml:space="preserve">can the </w:t>
      </w:r>
      <w:r w:rsidR="000657A0">
        <w:t>ACPM</w:t>
      </w:r>
      <w:r w:rsidRPr="001D50D9">
        <w:t xml:space="preserve"> suggest appropriate wording?</w:t>
      </w:r>
    </w:p>
    <w:p w:rsidR="001D50D9" w:rsidRPr="001D50D9" w:rsidRDefault="001D50D9" w:rsidP="001D50D9">
      <w:r w:rsidRPr="001D50D9">
        <w:t>5</w:t>
      </w:r>
      <w:r>
        <w:t xml:space="preserve">. </w:t>
      </w:r>
      <w:r w:rsidRPr="001D50D9">
        <w:t xml:space="preserve">The proposed contraindication for </w:t>
      </w:r>
      <w:proofErr w:type="spellStart"/>
      <w:r w:rsidRPr="001D50D9">
        <w:t>opioid</w:t>
      </w:r>
      <w:proofErr w:type="spellEnd"/>
      <w:r w:rsidRPr="001D50D9">
        <w:t xml:space="preserve"> naïve patients is to be amended to </w:t>
      </w:r>
      <w:r w:rsidRPr="005A022F">
        <w:rPr>
          <w:i/>
        </w:rPr>
        <w:t xml:space="preserve">patients not taking maintenance </w:t>
      </w:r>
      <w:proofErr w:type="spellStart"/>
      <w:r w:rsidRPr="005A022F">
        <w:rPr>
          <w:i/>
        </w:rPr>
        <w:t>opioid</w:t>
      </w:r>
      <w:proofErr w:type="spellEnd"/>
      <w:r w:rsidRPr="005A022F">
        <w:rPr>
          <w:i/>
        </w:rPr>
        <w:t xml:space="preserve"> therapy</w:t>
      </w:r>
      <w:r w:rsidRPr="001D50D9">
        <w:t>.</w:t>
      </w:r>
      <w:r w:rsidR="00B050E6">
        <w:t xml:space="preserve"> </w:t>
      </w:r>
      <w:proofErr w:type="spellStart"/>
      <w:r w:rsidRPr="001D50D9">
        <w:t>A</w:t>
      </w:r>
      <w:r w:rsidR="00DA51CE">
        <w:t>ctiq</w:t>
      </w:r>
      <w:proofErr w:type="spellEnd"/>
      <w:r w:rsidRPr="001D50D9">
        <w:t xml:space="preserve"> has an additional contraindication for treatment of acute pain other than </w:t>
      </w:r>
      <w:r w:rsidR="00067DB9">
        <w:t>BTP</w:t>
      </w:r>
      <w:r w:rsidR="00226B96">
        <w:t>;</w:t>
      </w:r>
      <w:r w:rsidRPr="001D50D9">
        <w:t xml:space="preserve"> </w:t>
      </w:r>
      <w:proofErr w:type="spellStart"/>
      <w:r w:rsidRPr="001D50D9">
        <w:t>P</w:t>
      </w:r>
      <w:r w:rsidR="00DA51CE">
        <w:t>ec</w:t>
      </w:r>
      <w:r w:rsidR="00226B96">
        <w:t>F</w:t>
      </w:r>
      <w:r w:rsidR="00DA51CE">
        <w:t>ent</w:t>
      </w:r>
      <w:proofErr w:type="spellEnd"/>
      <w:r w:rsidRPr="001D50D9">
        <w:t xml:space="preserve"> does not.</w:t>
      </w:r>
      <w:r w:rsidR="00B050E6">
        <w:t xml:space="preserve"> </w:t>
      </w:r>
      <w:r w:rsidR="000949F2">
        <w:t>In the US,</w:t>
      </w:r>
      <w:r w:rsidRPr="001D50D9">
        <w:t xml:space="preserve"> self</w:t>
      </w:r>
      <w:r w:rsidR="000949F2">
        <w:t xml:space="preserve"> </w:t>
      </w:r>
      <w:r w:rsidRPr="001D50D9">
        <w:t xml:space="preserve">administered immediate release forms of </w:t>
      </w:r>
      <w:proofErr w:type="spellStart"/>
      <w:r w:rsidRPr="001D50D9">
        <w:t>fentanyl</w:t>
      </w:r>
      <w:proofErr w:type="spellEnd"/>
      <w:r w:rsidRPr="001D50D9">
        <w:t xml:space="preserve"> have been contraindicated in the management of acute or postoperative pain, including headache/migraine, dental pain, or use in the emergency ro</w:t>
      </w:r>
      <w:r w:rsidR="00226B96">
        <w:t>om in the US</w:t>
      </w:r>
      <w:r w:rsidRPr="001D50D9">
        <w:t>.</w:t>
      </w:r>
      <w:r w:rsidR="00B050E6">
        <w:t xml:space="preserve"> </w:t>
      </w:r>
      <w:r w:rsidRPr="001D50D9">
        <w:t xml:space="preserve">Does the committee consider a similar additional contraindication is warranted for </w:t>
      </w:r>
      <w:proofErr w:type="spellStart"/>
      <w:r w:rsidR="001D723B">
        <w:t>Instanyl</w:t>
      </w:r>
      <w:proofErr w:type="spellEnd"/>
      <w:r w:rsidRPr="001D50D9">
        <w:t>?</w:t>
      </w:r>
      <w:r w:rsidR="00B050E6">
        <w:t xml:space="preserve"> </w:t>
      </w:r>
      <w:r w:rsidRPr="001D50D9">
        <w:t>If so</w:t>
      </w:r>
      <w:r w:rsidR="00226B96">
        <w:t>,</w:t>
      </w:r>
      <w:r w:rsidRPr="001D50D9">
        <w:t xml:space="preserve"> should this be extended </w:t>
      </w:r>
      <w:r w:rsidR="00226B96">
        <w:t xml:space="preserve">to other immediate release self </w:t>
      </w:r>
      <w:r w:rsidRPr="001D50D9">
        <w:t xml:space="preserve">administered </w:t>
      </w:r>
      <w:proofErr w:type="spellStart"/>
      <w:r w:rsidRPr="001D50D9">
        <w:t>opioids</w:t>
      </w:r>
      <w:proofErr w:type="spellEnd"/>
      <w:r w:rsidRPr="001D50D9">
        <w:t>?</w:t>
      </w:r>
    </w:p>
    <w:p w:rsidR="008E7846" w:rsidRDefault="008E7846" w:rsidP="008E7846">
      <w:pPr>
        <w:pStyle w:val="Heading4"/>
      </w:pPr>
      <w:r>
        <w:t xml:space="preserve">Response from </w:t>
      </w:r>
      <w:r w:rsidR="00212F98">
        <w:t>s</w:t>
      </w:r>
      <w:r>
        <w:t>ponsor</w:t>
      </w:r>
    </w:p>
    <w:p w:rsidR="00BE7F8B" w:rsidRPr="00985C11" w:rsidRDefault="00BE7F8B" w:rsidP="00BE7F8B">
      <w:r>
        <w:t xml:space="preserve">The sponsor </w:t>
      </w:r>
      <w:r w:rsidRPr="00042DC6">
        <w:t>addressed the following items raised during the TGA evaluation:</w:t>
      </w:r>
    </w:p>
    <w:p w:rsidR="00BE7F8B" w:rsidRDefault="00BE7F8B" w:rsidP="00BE7F8B">
      <w:pPr>
        <w:pStyle w:val="ListBullet"/>
      </w:pPr>
      <w:r w:rsidRPr="00042DC6">
        <w:t xml:space="preserve">Potential for abuse and misuse relative to other </w:t>
      </w:r>
      <w:proofErr w:type="spellStart"/>
      <w:r w:rsidRPr="00042DC6">
        <w:t>opioid</w:t>
      </w:r>
      <w:proofErr w:type="spellEnd"/>
      <w:r w:rsidRPr="00042DC6">
        <w:t xml:space="preserve"> products</w:t>
      </w:r>
    </w:p>
    <w:p w:rsidR="00BE7F8B" w:rsidRDefault="00BE7F8B" w:rsidP="00BE7F8B">
      <w:pPr>
        <w:pStyle w:val="ListBullet"/>
      </w:pPr>
      <w:r w:rsidRPr="00042DC6">
        <w:t>Specific risks associated with the multi-dose presentation only:</w:t>
      </w:r>
    </w:p>
    <w:p w:rsidR="00BE7F8B" w:rsidRDefault="00BE7F8B" w:rsidP="00BE7F8B">
      <w:pPr>
        <w:pStyle w:val="ListBullet2"/>
      </w:pPr>
      <w:r w:rsidRPr="00042DC6">
        <w:t>Between dose lock out mechanism</w:t>
      </w:r>
    </w:p>
    <w:p w:rsidR="00BE7F8B" w:rsidRDefault="00BE7F8B" w:rsidP="00BE7F8B">
      <w:pPr>
        <w:pStyle w:val="ListBullet2"/>
      </w:pPr>
      <w:r w:rsidRPr="00042DC6">
        <w:t>Accidental poisoning (for example, children)</w:t>
      </w:r>
    </w:p>
    <w:p w:rsidR="00BE7F8B" w:rsidRDefault="00BE7F8B" w:rsidP="00BE7F8B">
      <w:pPr>
        <w:pStyle w:val="ListBullet2"/>
      </w:pPr>
      <w:r w:rsidRPr="00042DC6">
        <w:t>Dose counter</w:t>
      </w:r>
    </w:p>
    <w:p w:rsidR="00BE7F8B" w:rsidRDefault="00BE7F8B" w:rsidP="00BE7F8B">
      <w:pPr>
        <w:pStyle w:val="ListBullet2"/>
      </w:pPr>
      <w:r w:rsidRPr="00042DC6">
        <w:t>Overdose potential</w:t>
      </w:r>
    </w:p>
    <w:p w:rsidR="00BE7F8B" w:rsidRDefault="00BE7F8B" w:rsidP="00BE7F8B">
      <w:pPr>
        <w:pStyle w:val="ListBullet2"/>
      </w:pPr>
      <w:r w:rsidRPr="00042DC6">
        <w:t>Storage upright</w:t>
      </w:r>
    </w:p>
    <w:p w:rsidR="00BE7F8B" w:rsidRDefault="00BE7F8B" w:rsidP="00BE7F8B">
      <w:pPr>
        <w:pStyle w:val="ListBullet"/>
      </w:pPr>
      <w:r w:rsidRPr="00042DC6">
        <w:t>Potential for off label use</w:t>
      </w:r>
    </w:p>
    <w:p w:rsidR="00BE7F8B" w:rsidRDefault="00BE7F8B" w:rsidP="00BE7F8B">
      <w:pPr>
        <w:pStyle w:val="ListBullet"/>
      </w:pPr>
      <w:r w:rsidRPr="00042DC6">
        <w:t xml:space="preserve">Risk management of </w:t>
      </w:r>
      <w:proofErr w:type="spellStart"/>
      <w:r w:rsidRPr="00042DC6">
        <w:t>transmucosal</w:t>
      </w:r>
      <w:proofErr w:type="spellEnd"/>
      <w:r w:rsidRPr="00042DC6">
        <w:t xml:space="preserve"> immediate release </w:t>
      </w:r>
      <w:proofErr w:type="spellStart"/>
      <w:r w:rsidRPr="00042DC6">
        <w:t>fentanyl</w:t>
      </w:r>
      <w:proofErr w:type="spellEnd"/>
      <w:r w:rsidRPr="00042DC6">
        <w:t xml:space="preserve"> products in Australia</w:t>
      </w:r>
    </w:p>
    <w:p w:rsidR="00BE7F8B" w:rsidRDefault="00BE7F8B" w:rsidP="00BE7F8B">
      <w:pPr>
        <w:pStyle w:val="ListBullet"/>
      </w:pPr>
      <w:r w:rsidRPr="00042DC6">
        <w:t>Miscellaneous items</w:t>
      </w:r>
    </w:p>
    <w:p w:rsidR="00BE7F8B" w:rsidRDefault="00BE7F8B" w:rsidP="00BE7F8B">
      <w:r w:rsidRPr="00985C11">
        <w:t xml:space="preserve">As part of a commitment to ensuring the safe and efficacious use of </w:t>
      </w:r>
      <w:proofErr w:type="spellStart"/>
      <w:r w:rsidRPr="00985C11">
        <w:t>Instanyl</w:t>
      </w:r>
      <w:proofErr w:type="spellEnd"/>
      <w:r w:rsidRPr="00985C11">
        <w:t xml:space="preserve"> in Australia,</w:t>
      </w:r>
      <w:r w:rsidR="00B21F63">
        <w:t xml:space="preserve"> the </w:t>
      </w:r>
      <w:r w:rsidRPr="00985C11">
        <w:t xml:space="preserve">sponsor proposed an extensive </w:t>
      </w:r>
      <w:r w:rsidR="00B21F63">
        <w:t>RMP</w:t>
      </w:r>
      <w:r w:rsidRPr="00985C11">
        <w:t xml:space="preserve"> to mitigate potential risks raised during the TGA evaluation.</w:t>
      </w:r>
    </w:p>
    <w:p w:rsidR="000766CF" w:rsidRPr="008E0646" w:rsidRDefault="000766CF" w:rsidP="000766CF">
      <w:pPr>
        <w:pStyle w:val="ListBullet"/>
        <w:numPr>
          <w:ilvl w:val="0"/>
          <w:numId w:val="0"/>
        </w:numPr>
      </w:pPr>
      <w:r w:rsidRPr="008E0646">
        <w:t xml:space="preserve">The sponsor </w:t>
      </w:r>
      <w:r w:rsidR="00575E9E" w:rsidRPr="008E0646">
        <w:t xml:space="preserve">provided </w:t>
      </w:r>
      <w:r w:rsidRPr="008E0646">
        <w:t xml:space="preserve">comments regarding </w:t>
      </w:r>
      <w:r w:rsidR="00575E9E" w:rsidRPr="008E0646">
        <w:t xml:space="preserve">issues raised in </w:t>
      </w:r>
      <w:r w:rsidRPr="008E0646">
        <w:t>the Clinical Evaluat</w:t>
      </w:r>
      <w:r w:rsidR="00575E9E" w:rsidRPr="008E0646">
        <w:t xml:space="preserve">ion Report </w:t>
      </w:r>
      <w:r w:rsidR="00CF1840" w:rsidRPr="008E0646">
        <w:t>(</w:t>
      </w:r>
      <w:r w:rsidR="00CF1840" w:rsidRPr="008E0646">
        <w:rPr>
          <w:i/>
        </w:rPr>
        <w:t>italicised</w:t>
      </w:r>
      <w:r w:rsidR="00CF1840" w:rsidRPr="008E0646">
        <w:t xml:space="preserve"> text below) </w:t>
      </w:r>
      <w:r w:rsidR="00575E9E" w:rsidRPr="008E0646">
        <w:t>as follows</w:t>
      </w:r>
      <w:r w:rsidR="00CF1840" w:rsidRPr="008E0646">
        <w:t>:</w:t>
      </w:r>
    </w:p>
    <w:p w:rsidR="000766CF" w:rsidRPr="00212F98" w:rsidRDefault="000766CF" w:rsidP="00212F98">
      <w:pPr>
        <w:pStyle w:val="Numberbullet0"/>
        <w:rPr>
          <w:b/>
          <w:i/>
        </w:rPr>
      </w:pPr>
      <w:r w:rsidRPr="00212F98">
        <w:rPr>
          <w:b/>
          <w:i/>
        </w:rPr>
        <w:t>Compliance with Good Clinical Practice (GCP)</w:t>
      </w:r>
    </w:p>
    <w:p w:rsidR="00575E9E" w:rsidRPr="008E0646" w:rsidRDefault="00575E9E" w:rsidP="00575E9E">
      <w:pPr>
        <w:pStyle w:val="ListBullet"/>
        <w:numPr>
          <w:ilvl w:val="0"/>
          <w:numId w:val="0"/>
        </w:numPr>
        <w:rPr>
          <w:b/>
          <w:i/>
        </w:rPr>
      </w:pPr>
      <w:r w:rsidRPr="008E0646">
        <w:rPr>
          <w:i/>
        </w:rPr>
        <w:t>“The main problem with the clinical data is the concern over the conduct of the studies and the compliance with Good Clinical Practice (GCP). The issues raised by the EMA inspection team are critical and raise serious doubt about the acceptance of the data.”</w:t>
      </w:r>
    </w:p>
    <w:p w:rsidR="00575E9E" w:rsidRPr="008E0646" w:rsidRDefault="00575E9E" w:rsidP="00575E9E">
      <w:pPr>
        <w:pStyle w:val="ListBullet"/>
        <w:numPr>
          <w:ilvl w:val="0"/>
          <w:numId w:val="0"/>
        </w:numPr>
        <w:rPr>
          <w:i/>
        </w:rPr>
      </w:pPr>
      <w:r w:rsidRPr="008E0646">
        <w:rPr>
          <w:i/>
        </w:rPr>
        <w:t>“Even if the issues of GCP were to be put aside (as was done in Europe), there are major concerns about the quality of the clinical studies.”</w:t>
      </w:r>
    </w:p>
    <w:p w:rsidR="00575E9E" w:rsidRPr="008E0646" w:rsidRDefault="00575E9E" w:rsidP="00575E9E">
      <w:pPr>
        <w:pStyle w:val="Heading5"/>
      </w:pPr>
      <w:r w:rsidRPr="008E0646">
        <w:t>Sponsor response:</w:t>
      </w:r>
    </w:p>
    <w:p w:rsidR="000766CF" w:rsidRPr="008E0646" w:rsidRDefault="000766CF" w:rsidP="00575E9E">
      <w:r w:rsidRPr="008E0646">
        <w:t>It is misleading to base the reliability of the efficacy and safety solely on the inspection team summary report.  The CHMP concluded that the deficiencies found in the quality system are unlikely to invalidate the quality of efficacy and safety data.</w:t>
      </w:r>
    </w:p>
    <w:p w:rsidR="000766CF" w:rsidRPr="008E0646" w:rsidRDefault="000766CF" w:rsidP="00575E9E">
      <w:r w:rsidRPr="008E0646">
        <w:t>The GCP issues were not simply put aside in Europe. Significant dialogue and consideration</w:t>
      </w:r>
      <w:r w:rsidR="00575E9E" w:rsidRPr="008E0646">
        <w:t xml:space="preserve"> was</w:t>
      </w:r>
      <w:r w:rsidRPr="008E0646">
        <w:t xml:space="preserve"> given to the matter and the outcomes of the inspection report, which culminated in re</w:t>
      </w:r>
      <w:r w:rsidR="00575E9E" w:rsidRPr="008E0646">
        <w:t>-</w:t>
      </w:r>
      <w:r w:rsidRPr="008E0646">
        <w:t>monitoring and reanalysis of the data set.</w:t>
      </w:r>
    </w:p>
    <w:p w:rsidR="000766CF" w:rsidRPr="00212F98" w:rsidRDefault="00575E9E" w:rsidP="00212F98">
      <w:pPr>
        <w:pStyle w:val="Numberbullet0"/>
        <w:keepNext/>
        <w:rPr>
          <w:b/>
          <w:i/>
        </w:rPr>
      </w:pPr>
      <w:r w:rsidRPr="00212F98">
        <w:rPr>
          <w:b/>
          <w:i/>
        </w:rPr>
        <w:lastRenderedPageBreak/>
        <w:t xml:space="preserve">Design of </w:t>
      </w:r>
      <w:r w:rsidR="000766CF" w:rsidRPr="00212F98">
        <w:rPr>
          <w:b/>
          <w:i/>
        </w:rPr>
        <w:t xml:space="preserve">Studies FT-017-IM </w:t>
      </w:r>
      <w:r w:rsidR="00CF1840" w:rsidRPr="00212F98">
        <w:rPr>
          <w:b/>
          <w:i/>
        </w:rPr>
        <w:t>and</w:t>
      </w:r>
      <w:r w:rsidR="000766CF" w:rsidRPr="00212F98">
        <w:rPr>
          <w:b/>
          <w:i/>
        </w:rPr>
        <w:t xml:space="preserve"> FT-018-IM:</w:t>
      </w:r>
    </w:p>
    <w:p w:rsidR="000766CF" w:rsidRPr="008E0646" w:rsidRDefault="000766CF" w:rsidP="00575E9E">
      <w:pPr>
        <w:keepNext/>
        <w:rPr>
          <w:i/>
        </w:rPr>
      </w:pPr>
      <w:r w:rsidRPr="008E0646">
        <w:rPr>
          <w:i/>
        </w:rPr>
        <w:t xml:space="preserve">“The two pivotal studies are </w:t>
      </w:r>
      <w:proofErr w:type="gramStart"/>
      <w:r w:rsidRPr="008E0646">
        <w:rPr>
          <w:i/>
        </w:rPr>
        <w:t>not independent studies which is</w:t>
      </w:r>
      <w:proofErr w:type="gramEnd"/>
      <w:r w:rsidRPr="008E0646">
        <w:rPr>
          <w:i/>
        </w:rPr>
        <w:t xml:space="preserve"> generally regarded as one of the criteria for being classified as pivotal. The second study FT-018-IM is not independent of the first study FT-017-IM. The same </w:t>
      </w:r>
      <w:proofErr w:type="spellStart"/>
      <w:r w:rsidRPr="008E0646">
        <w:rPr>
          <w:i/>
        </w:rPr>
        <w:t>centers</w:t>
      </w:r>
      <w:proofErr w:type="spellEnd"/>
      <w:r w:rsidRPr="008E0646">
        <w:rPr>
          <w:i/>
        </w:rPr>
        <w:t xml:space="preserve"> and investigators have been used and the entry criteria included patients that had participated in either 016 or 017.</w:t>
      </w:r>
    </w:p>
    <w:p w:rsidR="00575E9E" w:rsidRPr="008E0646" w:rsidRDefault="00575E9E" w:rsidP="00575E9E">
      <w:pPr>
        <w:rPr>
          <w:i/>
        </w:rPr>
      </w:pPr>
      <w:r w:rsidRPr="008E0646">
        <w:rPr>
          <w:i/>
        </w:rPr>
        <w:t>“The study design of Study FT-017-IM of testing different doses in each patient rather than titrating to a successful dose and then testing that dose against an accepted therapy rather than placebo would have been a more accepta</w:t>
      </w:r>
      <w:r w:rsidR="00212F98">
        <w:rPr>
          <w:i/>
        </w:rPr>
        <w:t>ble design for a pivotal study.”</w:t>
      </w:r>
    </w:p>
    <w:p w:rsidR="00575E9E" w:rsidRPr="008E0646" w:rsidRDefault="00575E9E" w:rsidP="00575E9E">
      <w:pPr>
        <w:rPr>
          <w:i/>
        </w:rPr>
      </w:pPr>
      <w:r w:rsidRPr="008E0646">
        <w:rPr>
          <w:i/>
        </w:rPr>
        <w:t xml:space="preserve">“Patients in the trials were able to take up to 2 doses </w:t>
      </w:r>
      <w:proofErr w:type="gramStart"/>
      <w:r w:rsidRPr="008E0646">
        <w:rPr>
          <w:i/>
        </w:rPr>
        <w:t>of each dose strength</w:t>
      </w:r>
      <w:proofErr w:type="gramEnd"/>
      <w:r w:rsidRPr="008E0646">
        <w:rPr>
          <w:i/>
        </w:rPr>
        <w:t xml:space="preserve">. This does not seem to have been reflected in the results when presented by dose. Thus some patients in the 200 µg dose group took 200 </w:t>
      </w:r>
      <w:proofErr w:type="spellStart"/>
      <w:r w:rsidRPr="008E0646">
        <w:rPr>
          <w:i/>
        </w:rPr>
        <w:t>μg</w:t>
      </w:r>
      <w:proofErr w:type="spellEnd"/>
      <w:r w:rsidRPr="008E0646">
        <w:rPr>
          <w:i/>
        </w:rPr>
        <w:t xml:space="preserve"> and some presumably took 400 </w:t>
      </w:r>
      <w:proofErr w:type="spellStart"/>
      <w:r w:rsidRPr="008E0646">
        <w:rPr>
          <w:i/>
        </w:rPr>
        <w:t>μg</w:t>
      </w:r>
      <w:proofErr w:type="spellEnd"/>
      <w:r w:rsidRPr="008E0646">
        <w:rPr>
          <w:i/>
        </w:rPr>
        <w:t>. It is not clear how many took what dose and how this affected the results.”</w:t>
      </w:r>
    </w:p>
    <w:p w:rsidR="000766CF" w:rsidRPr="008E0646" w:rsidRDefault="000766CF" w:rsidP="00575E9E">
      <w:pPr>
        <w:pStyle w:val="Heading5"/>
      </w:pPr>
      <w:r w:rsidRPr="008E0646">
        <w:t>Sponsor comment:</w:t>
      </w:r>
    </w:p>
    <w:p w:rsidR="000766CF" w:rsidRPr="008E0646" w:rsidRDefault="000766CF" w:rsidP="00575E9E">
      <w:r w:rsidRPr="008E0646">
        <w:t xml:space="preserve">The two clinical trials were different by design. The clinical trial FT-017-IM was a dose-response </w:t>
      </w:r>
      <w:r w:rsidR="00575E9E" w:rsidRPr="008E0646">
        <w:t xml:space="preserve">efficacy </w:t>
      </w:r>
      <w:r w:rsidRPr="008E0646">
        <w:t xml:space="preserve">trial </w:t>
      </w:r>
      <w:r w:rsidR="00575E9E" w:rsidRPr="008E0646">
        <w:t xml:space="preserve">in accordance with the European guideline for treatment of </w:t>
      </w:r>
      <w:proofErr w:type="spellStart"/>
      <w:r w:rsidR="00575E9E" w:rsidRPr="008E0646">
        <w:t>nociceptive</w:t>
      </w:r>
      <w:proofErr w:type="spellEnd"/>
      <w:r w:rsidR="00575E9E" w:rsidRPr="008E0646">
        <w:t xml:space="preserve"> pain (CPMP/EWP/612/00, 2002) </w:t>
      </w:r>
      <w:r w:rsidRPr="008E0646">
        <w:t>w</w:t>
      </w:r>
      <w:r w:rsidR="00575E9E" w:rsidRPr="008E0646">
        <w:t>h</w:t>
      </w:r>
      <w:r w:rsidRPr="008E0646">
        <w:t>ere patients were treated with a fixed dose and not titrated to an effective dose. The FT-018-IM was a two-phase trial with an open label titration phase and a double-blind, placebo-controlled efficacy phase and therefore not just a simply a replicate of Study FT-017-IM.</w:t>
      </w:r>
    </w:p>
    <w:p w:rsidR="000766CF" w:rsidRPr="008E0646" w:rsidRDefault="000766CF" w:rsidP="00575E9E">
      <w:r w:rsidRPr="008E0646">
        <w:t xml:space="preserve">The primary endpoint in the pivotal FT-017-IM and FT-018-IM trials was pain intensity difference at 10 minutes (PID10) with one single dose of </w:t>
      </w:r>
      <w:proofErr w:type="spellStart"/>
      <w:r w:rsidRPr="008E0646">
        <w:t>Instanyl</w:t>
      </w:r>
      <w:proofErr w:type="spellEnd"/>
      <w:r w:rsidRPr="008E0646">
        <w:t xml:space="preserve">. </w:t>
      </w:r>
      <w:proofErr w:type="gramStart"/>
      <w:r w:rsidRPr="008E0646">
        <w:t xml:space="preserve">The efficacy of </w:t>
      </w:r>
      <w:proofErr w:type="spellStart"/>
      <w:r w:rsidRPr="008E0646">
        <w:t>Instanyl</w:t>
      </w:r>
      <w:proofErr w:type="spellEnd"/>
      <w:r w:rsidR="00CF1840" w:rsidRPr="008E0646">
        <w:t>,</w:t>
      </w:r>
      <w:r w:rsidRPr="008E0646">
        <w:t xml:space="preserve"> and corresponding clinical benefit in ter</w:t>
      </w:r>
      <w:r w:rsidR="00575E9E" w:rsidRPr="008E0646">
        <w:t>ms of pain intensity difference</w:t>
      </w:r>
      <w:r w:rsidR="00CF1840" w:rsidRPr="008E0646">
        <w:t>,</w:t>
      </w:r>
      <w:r w:rsidRPr="008E0646">
        <w:t xml:space="preserve"> with one single</w:t>
      </w:r>
      <w:r w:rsidR="00CF1840" w:rsidRPr="008E0646">
        <w:t xml:space="preserve"> </w:t>
      </w:r>
      <w:r w:rsidRPr="008E0646">
        <w:t>dose with</w:t>
      </w:r>
      <w:r w:rsidR="00CF1840" w:rsidRPr="008E0646">
        <w:t>in</w:t>
      </w:r>
      <w:r w:rsidRPr="008E0646">
        <w:t xml:space="preserve"> the currently proposed dose range of 50 to 200 </w:t>
      </w:r>
      <w:r w:rsidR="00575E9E" w:rsidRPr="008E0646">
        <w:t>µ</w:t>
      </w:r>
      <w:r w:rsidRPr="008E0646">
        <w:t>g.</w:t>
      </w:r>
      <w:proofErr w:type="gramEnd"/>
      <w:r w:rsidRPr="008E0646">
        <w:t xml:space="preserve"> All three </w:t>
      </w:r>
      <w:proofErr w:type="spellStart"/>
      <w:r w:rsidRPr="008E0646">
        <w:t>Instanyl</w:t>
      </w:r>
      <w:proofErr w:type="spellEnd"/>
      <w:r w:rsidRPr="008E0646">
        <w:t xml:space="preserve"> doses examined were found to provide clinically meaningful pain relief (PID10) which was also statistically significantly greater than the pain relief achieved with placebo.</w:t>
      </w:r>
    </w:p>
    <w:p w:rsidR="000766CF" w:rsidRPr="00212F98" w:rsidRDefault="00575E9E" w:rsidP="00212F98">
      <w:pPr>
        <w:pStyle w:val="Numberbullet0"/>
        <w:rPr>
          <w:b/>
          <w:i/>
        </w:rPr>
      </w:pPr>
      <w:r w:rsidRPr="00212F98">
        <w:rPr>
          <w:b/>
          <w:i/>
        </w:rPr>
        <w:t>P</w:t>
      </w:r>
      <w:r w:rsidR="000766CF" w:rsidRPr="00212F98">
        <w:rPr>
          <w:b/>
          <w:i/>
        </w:rPr>
        <w:t xml:space="preserve">atient numbers in </w:t>
      </w:r>
      <w:r w:rsidRPr="00212F98">
        <w:rPr>
          <w:b/>
          <w:i/>
        </w:rPr>
        <w:t xml:space="preserve">the </w:t>
      </w:r>
      <w:r w:rsidR="000766CF" w:rsidRPr="00212F98">
        <w:rPr>
          <w:b/>
          <w:i/>
        </w:rPr>
        <w:t>clinical trials</w:t>
      </w:r>
    </w:p>
    <w:p w:rsidR="000766CF" w:rsidRPr="008E0646" w:rsidRDefault="000766CF" w:rsidP="000766CF">
      <w:pPr>
        <w:rPr>
          <w:i/>
        </w:rPr>
      </w:pPr>
      <w:r w:rsidRPr="008E0646">
        <w:rPr>
          <w:i/>
        </w:rPr>
        <w:t>“Small number of patients in the submission compared to other submissions for similar products.”</w:t>
      </w:r>
    </w:p>
    <w:p w:rsidR="000766CF" w:rsidRPr="008E0646" w:rsidRDefault="00212F98" w:rsidP="00575E9E">
      <w:pPr>
        <w:pStyle w:val="Heading5"/>
      </w:pPr>
      <w:r>
        <w:t>Sponsor’s c</w:t>
      </w:r>
      <w:r w:rsidR="000766CF" w:rsidRPr="008E0646">
        <w:t>omment:</w:t>
      </w:r>
    </w:p>
    <w:p w:rsidR="000766CF" w:rsidRPr="006B683F" w:rsidRDefault="000766CF" w:rsidP="00575E9E">
      <w:r w:rsidRPr="008E0646">
        <w:t>The number of patients included in the clinical trials and the submission is sufficient for demonstrating efficacy. From an ethical point of view the number of patients is adequate and relevant considering the target population being severe ill cancer patients.</w:t>
      </w:r>
    </w:p>
    <w:p w:rsidR="008E7846" w:rsidRDefault="00212F98" w:rsidP="008E7846">
      <w:pPr>
        <w:pStyle w:val="Heading4"/>
      </w:pPr>
      <w:r>
        <w:t>Advisory c</w:t>
      </w:r>
      <w:r w:rsidR="008E7846">
        <w:t xml:space="preserve">ommittee </w:t>
      </w:r>
      <w:r>
        <w:t>c</w:t>
      </w:r>
      <w:r w:rsidR="008E7846">
        <w:t>onsiderations</w:t>
      </w:r>
    </w:p>
    <w:p w:rsidR="00885D4B" w:rsidRPr="00885D4B" w:rsidRDefault="00885D4B" w:rsidP="00885D4B">
      <w:r w:rsidRPr="00885D4B">
        <w:t>The ACPM, taking into account the submitted evidence of efficacy, safety and quality, considered this product to h</w:t>
      </w:r>
      <w:r w:rsidR="00DE5DAB">
        <w:t>ave an overall positive benefit-</w:t>
      </w:r>
      <w:r w:rsidRPr="00885D4B">
        <w:t>risk profile for the new presentation current indications.</w:t>
      </w:r>
    </w:p>
    <w:p w:rsidR="00885D4B" w:rsidRPr="00A753A4" w:rsidRDefault="00E0310A" w:rsidP="00885D4B">
      <w:pPr>
        <w:pStyle w:val="Heading5"/>
        <w:rPr>
          <w:rFonts w:eastAsia="MS Mincho"/>
          <w:u w:val="single"/>
          <w:lang w:val="en-GB" w:eastAsia="ja-JP"/>
        </w:rPr>
      </w:pPr>
      <w:r>
        <w:rPr>
          <w:rFonts w:eastAsia="MS Mincho"/>
          <w:lang w:val="en-GB" w:eastAsia="ja-JP"/>
        </w:rPr>
        <w:t xml:space="preserve">Proposed </w:t>
      </w:r>
      <w:r w:rsidR="0091635E">
        <w:rPr>
          <w:rFonts w:eastAsia="MS Mincho"/>
          <w:lang w:val="en-GB" w:eastAsia="ja-JP"/>
        </w:rPr>
        <w:t>Product Information</w:t>
      </w:r>
      <w:r>
        <w:rPr>
          <w:rFonts w:eastAsia="MS Mincho"/>
          <w:lang w:val="en-GB" w:eastAsia="ja-JP"/>
        </w:rPr>
        <w:t>/</w:t>
      </w:r>
      <w:r w:rsidR="0091635E">
        <w:rPr>
          <w:rFonts w:eastAsia="MS Mincho"/>
          <w:lang w:val="en-GB" w:eastAsia="ja-JP"/>
        </w:rPr>
        <w:t>Consumer Medicine Information</w:t>
      </w:r>
      <w:r>
        <w:rPr>
          <w:rFonts w:eastAsia="MS Mincho"/>
          <w:lang w:val="en-GB" w:eastAsia="ja-JP"/>
        </w:rPr>
        <w:t xml:space="preserve"> amendments</w:t>
      </w:r>
    </w:p>
    <w:p w:rsidR="00885D4B" w:rsidRPr="00A753A4" w:rsidRDefault="00885D4B" w:rsidP="00885D4B">
      <w:pPr>
        <w:adjustRightInd w:val="0"/>
        <w:snapToGrid w:val="0"/>
        <w:spacing w:before="0" w:after="240"/>
        <w:rPr>
          <w:rFonts w:eastAsia="MS Mincho"/>
          <w:bCs/>
          <w:lang w:val="en-GB" w:eastAsia="ja-JP"/>
        </w:rPr>
      </w:pPr>
      <w:r w:rsidRPr="00A753A4">
        <w:rPr>
          <w:rFonts w:eastAsia="MS Mincho"/>
          <w:bCs/>
          <w:lang w:val="en-GB" w:eastAsia="ja-JP"/>
        </w:rPr>
        <w:t xml:space="preserve">The ACPM agreed with the </w:t>
      </w:r>
      <w:r w:rsidR="00DE5DAB">
        <w:rPr>
          <w:rFonts w:eastAsia="MS Mincho"/>
          <w:bCs/>
          <w:lang w:val="en-GB" w:eastAsia="ja-JP"/>
        </w:rPr>
        <w:t>D</w:t>
      </w:r>
      <w:r w:rsidRPr="00A753A4">
        <w:rPr>
          <w:rFonts w:eastAsia="MS Mincho"/>
          <w:bCs/>
          <w:lang w:val="en-GB" w:eastAsia="ja-JP"/>
        </w:rPr>
        <w:t xml:space="preserve">elegate to the proposed amendments to the </w:t>
      </w:r>
      <w:r w:rsidR="0091635E">
        <w:rPr>
          <w:rFonts w:eastAsia="MS Mincho"/>
          <w:bCs/>
          <w:lang w:val="en-GB" w:eastAsia="ja-JP"/>
        </w:rPr>
        <w:t>Product Information</w:t>
      </w:r>
      <w:r w:rsidRPr="00A753A4">
        <w:rPr>
          <w:rFonts w:eastAsia="MS Mincho"/>
          <w:bCs/>
          <w:lang w:val="en-GB" w:eastAsia="ja-JP"/>
        </w:rPr>
        <w:t xml:space="preserve"> and Consumer Medicine Info</w:t>
      </w:r>
      <w:r w:rsidR="0091635E">
        <w:rPr>
          <w:rFonts w:eastAsia="MS Mincho"/>
          <w:bCs/>
          <w:lang w:val="en-GB" w:eastAsia="ja-JP"/>
        </w:rPr>
        <w:t>rmation</w:t>
      </w:r>
      <w:r w:rsidRPr="00A753A4">
        <w:rPr>
          <w:rFonts w:eastAsia="MS Mincho"/>
          <w:bCs/>
          <w:lang w:val="en-GB" w:eastAsia="ja-JP"/>
        </w:rPr>
        <w:t xml:space="preserve"> and specifically advised on </w:t>
      </w:r>
      <w:r w:rsidR="00212F98">
        <w:rPr>
          <w:rFonts w:eastAsia="MS Mincho"/>
          <w:bCs/>
          <w:lang w:val="en-GB" w:eastAsia="ja-JP"/>
        </w:rPr>
        <w:t>the inclusion of the following:</w:t>
      </w:r>
    </w:p>
    <w:p w:rsidR="00885D4B" w:rsidRPr="00A753A4" w:rsidRDefault="00885D4B" w:rsidP="00885D4B">
      <w:pPr>
        <w:pStyle w:val="ListBullet"/>
        <w:rPr>
          <w:bCs/>
          <w:lang w:val="en-GB" w:eastAsia="ja-JP"/>
        </w:rPr>
      </w:pPr>
      <w:r w:rsidRPr="00A753A4">
        <w:rPr>
          <w:bCs/>
          <w:lang w:val="en-GB" w:eastAsia="ja-JP"/>
        </w:rPr>
        <w:t xml:space="preserve">a statement in the </w:t>
      </w:r>
      <w:r w:rsidRPr="00A753A4">
        <w:rPr>
          <w:bCs/>
          <w:i/>
          <w:lang w:val="en-GB" w:eastAsia="ja-JP"/>
        </w:rPr>
        <w:t xml:space="preserve">Dosage and Administration </w:t>
      </w:r>
      <w:r w:rsidRPr="00A753A4">
        <w:rPr>
          <w:bCs/>
          <w:lang w:val="en-GB" w:eastAsia="ja-JP"/>
        </w:rPr>
        <w:t xml:space="preserve">section of the </w:t>
      </w:r>
      <w:r w:rsidR="0091635E">
        <w:rPr>
          <w:bCs/>
          <w:lang w:val="en-GB" w:eastAsia="ja-JP"/>
        </w:rPr>
        <w:t>Product Information</w:t>
      </w:r>
      <w:r w:rsidRPr="00A753A4">
        <w:rPr>
          <w:bCs/>
          <w:lang w:val="en-GB" w:eastAsia="ja-JP"/>
        </w:rPr>
        <w:t xml:space="preserve"> (and reflected in the </w:t>
      </w:r>
      <w:r w:rsidR="0091635E">
        <w:rPr>
          <w:bCs/>
          <w:lang w:val="en-GB" w:eastAsia="ja-JP"/>
        </w:rPr>
        <w:t>Consumer Medicine Information</w:t>
      </w:r>
      <w:r w:rsidRPr="00A753A4">
        <w:rPr>
          <w:bCs/>
          <w:lang w:val="en-GB" w:eastAsia="ja-JP"/>
        </w:rPr>
        <w:t xml:space="preserve">) to ensure </w:t>
      </w:r>
      <w:r w:rsidRPr="00A753A4">
        <w:rPr>
          <w:lang w:val="en-GB" w:eastAsia="ja-JP"/>
        </w:rPr>
        <w:t xml:space="preserve">suitable emphasise that there is no direct conversion in </w:t>
      </w:r>
      <w:proofErr w:type="spellStart"/>
      <w:r w:rsidRPr="00A753A4">
        <w:rPr>
          <w:lang w:val="en-GB" w:eastAsia="ja-JP"/>
        </w:rPr>
        <w:t>fentanyl</w:t>
      </w:r>
      <w:proofErr w:type="spellEnd"/>
      <w:r w:rsidRPr="00A753A4">
        <w:rPr>
          <w:lang w:val="en-GB" w:eastAsia="ja-JP"/>
        </w:rPr>
        <w:t xml:space="preserve"> dose between presentations, particularly the nasal and oral formulations  and that dose re-titration must be performed.</w:t>
      </w:r>
    </w:p>
    <w:p w:rsidR="00885D4B" w:rsidRPr="00CB25E3" w:rsidRDefault="00885D4B" w:rsidP="00885D4B">
      <w:pPr>
        <w:pStyle w:val="ListBullet"/>
        <w:rPr>
          <w:bCs/>
          <w:lang w:val="en-GB" w:eastAsia="ja-JP"/>
        </w:rPr>
      </w:pPr>
      <w:proofErr w:type="gramStart"/>
      <w:r w:rsidRPr="00CB25E3">
        <w:rPr>
          <w:bCs/>
          <w:lang w:val="en-GB" w:eastAsia="ja-JP"/>
        </w:rPr>
        <w:lastRenderedPageBreak/>
        <w:t>a</w:t>
      </w:r>
      <w:proofErr w:type="gramEnd"/>
      <w:r w:rsidRPr="00CB25E3">
        <w:rPr>
          <w:bCs/>
          <w:lang w:val="en-GB" w:eastAsia="ja-JP"/>
        </w:rPr>
        <w:t xml:space="preserve"> statement in the </w:t>
      </w:r>
      <w:r w:rsidRPr="00CB25E3">
        <w:rPr>
          <w:bCs/>
          <w:i/>
          <w:lang w:val="en-GB" w:eastAsia="ja-JP"/>
        </w:rPr>
        <w:t>Contraindications</w:t>
      </w:r>
      <w:r w:rsidR="00E0310A">
        <w:rPr>
          <w:bCs/>
          <w:lang w:val="en-GB" w:eastAsia="ja-JP"/>
        </w:rPr>
        <w:t xml:space="preserve"> section </w:t>
      </w:r>
      <w:r w:rsidRPr="00CB25E3">
        <w:rPr>
          <w:bCs/>
          <w:lang w:val="en-GB" w:eastAsia="ja-JP"/>
        </w:rPr>
        <w:t xml:space="preserve">of the </w:t>
      </w:r>
      <w:r w:rsidR="0091635E">
        <w:rPr>
          <w:bCs/>
          <w:lang w:val="en-GB" w:eastAsia="ja-JP"/>
        </w:rPr>
        <w:t>Product Information</w:t>
      </w:r>
      <w:r w:rsidRPr="00CB25E3">
        <w:rPr>
          <w:bCs/>
          <w:lang w:val="en-GB" w:eastAsia="ja-JP"/>
        </w:rPr>
        <w:t xml:space="preserve"> to limit use </w:t>
      </w:r>
      <w:r>
        <w:rPr>
          <w:bCs/>
          <w:lang w:val="en-GB" w:eastAsia="ja-JP"/>
        </w:rPr>
        <w:t>in p</w:t>
      </w:r>
      <w:r w:rsidR="00E0310A">
        <w:rPr>
          <w:bCs/>
          <w:lang w:val="en-GB" w:eastAsia="ja-JP"/>
        </w:rPr>
        <w:t>atients who do not have cancer</w:t>
      </w:r>
      <w:r w:rsidR="0091635E">
        <w:rPr>
          <w:bCs/>
          <w:lang w:val="en-GB" w:eastAsia="ja-JP"/>
        </w:rPr>
        <w:t xml:space="preserve"> </w:t>
      </w:r>
      <w:r>
        <w:rPr>
          <w:bCs/>
          <w:lang w:val="en-GB" w:eastAsia="ja-JP"/>
        </w:rPr>
        <w:t xml:space="preserve">related pain </w:t>
      </w:r>
      <w:r w:rsidRPr="00CB25E3">
        <w:rPr>
          <w:bCs/>
          <w:lang w:val="en-GB" w:eastAsia="ja-JP"/>
        </w:rPr>
        <w:t>to</w:t>
      </w:r>
      <w:r w:rsidR="0091635E">
        <w:rPr>
          <w:bCs/>
          <w:lang w:val="en-GB" w:eastAsia="ja-JP"/>
        </w:rPr>
        <w:t xml:space="preserve"> the</w:t>
      </w:r>
      <w:r w:rsidRPr="00CB25E3">
        <w:rPr>
          <w:bCs/>
          <w:lang w:val="en-GB" w:eastAsia="ja-JP"/>
        </w:rPr>
        <w:t xml:space="preserve"> hospital</w:t>
      </w:r>
      <w:r>
        <w:rPr>
          <w:bCs/>
          <w:lang w:val="en-GB" w:eastAsia="ja-JP"/>
        </w:rPr>
        <w:t xml:space="preserve"> or clinic</w:t>
      </w:r>
      <w:r w:rsidR="00212F98">
        <w:rPr>
          <w:bCs/>
          <w:lang w:val="en-GB" w:eastAsia="ja-JP"/>
        </w:rPr>
        <w:t>.</w:t>
      </w:r>
    </w:p>
    <w:p w:rsidR="00885D4B" w:rsidRPr="00A753A4" w:rsidRDefault="00885D4B" w:rsidP="00885D4B">
      <w:pPr>
        <w:pStyle w:val="ListBullet"/>
        <w:rPr>
          <w:bCs/>
          <w:lang w:val="en-GB" w:eastAsia="ja-JP"/>
        </w:rPr>
      </w:pPr>
      <w:proofErr w:type="gramStart"/>
      <w:r w:rsidRPr="00A753A4">
        <w:rPr>
          <w:bCs/>
          <w:lang w:val="en-GB" w:eastAsia="ja-JP"/>
        </w:rPr>
        <w:t>a</w:t>
      </w:r>
      <w:proofErr w:type="gramEnd"/>
      <w:r w:rsidRPr="00A753A4">
        <w:rPr>
          <w:bCs/>
          <w:lang w:val="en-GB" w:eastAsia="ja-JP"/>
        </w:rPr>
        <w:t xml:space="preserve"> statement in the </w:t>
      </w:r>
      <w:r w:rsidRPr="00A753A4">
        <w:rPr>
          <w:bCs/>
          <w:i/>
          <w:lang w:val="en-GB" w:eastAsia="ja-JP"/>
        </w:rPr>
        <w:t xml:space="preserve">Adverse Reactions </w:t>
      </w:r>
      <w:r w:rsidRPr="00A753A4">
        <w:rPr>
          <w:bCs/>
          <w:lang w:val="en-GB" w:eastAsia="ja-JP"/>
        </w:rPr>
        <w:t xml:space="preserve">section of the </w:t>
      </w:r>
      <w:r w:rsidR="0091635E">
        <w:rPr>
          <w:bCs/>
          <w:lang w:val="en-GB" w:eastAsia="ja-JP"/>
        </w:rPr>
        <w:t>Product Information</w:t>
      </w:r>
      <w:r w:rsidRPr="00A753A4">
        <w:rPr>
          <w:bCs/>
          <w:lang w:val="en-GB" w:eastAsia="ja-JP"/>
        </w:rPr>
        <w:t xml:space="preserve"> (and reflected in the </w:t>
      </w:r>
      <w:r w:rsidR="0091635E">
        <w:rPr>
          <w:bCs/>
          <w:lang w:val="en-GB" w:eastAsia="ja-JP"/>
        </w:rPr>
        <w:t>Consumer Medicine Information</w:t>
      </w:r>
      <w:r w:rsidRPr="00A753A4">
        <w:rPr>
          <w:bCs/>
          <w:lang w:val="en-GB" w:eastAsia="ja-JP"/>
        </w:rPr>
        <w:t>) on the possible adverse event of nasal ulceration.</w:t>
      </w:r>
    </w:p>
    <w:p w:rsidR="00885D4B" w:rsidRPr="00A753A4" w:rsidRDefault="00885D4B" w:rsidP="00E0310A">
      <w:pPr>
        <w:pStyle w:val="Heading5"/>
        <w:rPr>
          <w:rFonts w:eastAsia="MS Mincho"/>
          <w:lang w:val="en-GB" w:eastAsia="ja-JP"/>
        </w:rPr>
      </w:pPr>
      <w:r w:rsidRPr="00A753A4">
        <w:rPr>
          <w:rFonts w:eastAsia="MS Mincho"/>
          <w:lang w:val="en-GB" w:eastAsia="ja-JP"/>
        </w:rPr>
        <w:t>Prop</w:t>
      </w:r>
      <w:r w:rsidR="00E0310A">
        <w:rPr>
          <w:rFonts w:eastAsia="MS Mincho"/>
          <w:lang w:val="en-GB" w:eastAsia="ja-JP"/>
        </w:rPr>
        <w:t>osed conditions of registration</w:t>
      </w:r>
    </w:p>
    <w:p w:rsidR="00885D4B" w:rsidRPr="00E0310A" w:rsidRDefault="00885D4B" w:rsidP="00E0310A">
      <w:r w:rsidRPr="00E0310A">
        <w:t>The ACPM agreed with the Delegate on the propo</w:t>
      </w:r>
      <w:r w:rsidR="00A32575">
        <w:t>sed conditions of registration.</w:t>
      </w:r>
    </w:p>
    <w:p w:rsidR="00885D4B" w:rsidRPr="00E0310A" w:rsidRDefault="00885D4B" w:rsidP="00E0310A">
      <w:r w:rsidRPr="00E0310A">
        <w:t>The ACPM advised that the implementation by the sponsor of the recommendations outlined above to the satisfaction of the TGA, in addition to the evidence of efficacy and safety provided would support the safe and effective use of this product</w:t>
      </w:r>
      <w:r w:rsidR="00E0310A">
        <w:t>.</w:t>
      </w:r>
    </w:p>
    <w:p w:rsidR="008E7846" w:rsidRPr="002E238E" w:rsidRDefault="008E7846" w:rsidP="008E7846">
      <w:pPr>
        <w:pStyle w:val="Heading3"/>
      </w:pPr>
      <w:bookmarkStart w:id="164" w:name="_Toc247691532"/>
      <w:bookmarkStart w:id="165" w:name="_Toc314842516"/>
      <w:bookmarkStart w:id="166" w:name="_Toc366842976"/>
      <w:bookmarkEnd w:id="122"/>
      <w:bookmarkEnd w:id="162"/>
      <w:bookmarkEnd w:id="163"/>
      <w:r>
        <w:t>Outcome</w:t>
      </w:r>
      <w:bookmarkEnd w:id="164"/>
      <w:bookmarkEnd w:id="165"/>
      <w:bookmarkEnd w:id="166"/>
    </w:p>
    <w:p w:rsidR="008E7846" w:rsidRDefault="008E7846" w:rsidP="00C80137">
      <w:r>
        <w:t xml:space="preserve">Based on a review of quality, safety and efficacy, TGA approved the registration of </w:t>
      </w:r>
      <w:proofErr w:type="spellStart"/>
      <w:r w:rsidR="00B971F2">
        <w:t>Instanyl</w:t>
      </w:r>
      <w:proofErr w:type="spellEnd"/>
      <w:r w:rsidR="00B971F2">
        <w:t xml:space="preserve"> </w:t>
      </w:r>
      <w:proofErr w:type="spellStart"/>
      <w:r w:rsidR="00B971F2">
        <w:t>fentanyl</w:t>
      </w:r>
      <w:proofErr w:type="spellEnd"/>
      <w:r w:rsidR="00B971F2">
        <w:t xml:space="preserve"> (as citrate) 50 µg, 100 µg and 200 µg nasal spray single-dose bottle and 50 µg, 100 µg and 200 µg nasal spray multi-dose bottle </w:t>
      </w:r>
      <w:r>
        <w:t xml:space="preserve">for </w:t>
      </w:r>
      <w:r w:rsidR="00B971F2">
        <w:t>the indication:</w:t>
      </w:r>
    </w:p>
    <w:p w:rsidR="00B971F2" w:rsidRDefault="00F0698A" w:rsidP="00F0698A">
      <w:pPr>
        <w:ind w:left="720"/>
        <w:rPr>
          <w:i/>
        </w:rPr>
      </w:pPr>
      <w:proofErr w:type="spellStart"/>
      <w:r w:rsidRPr="00F0698A">
        <w:rPr>
          <w:i/>
        </w:rPr>
        <w:t>Instanyl</w:t>
      </w:r>
      <w:proofErr w:type="spellEnd"/>
      <w:r w:rsidRPr="00F0698A">
        <w:rPr>
          <w:i/>
        </w:rPr>
        <w:t xml:space="preserve"> is indicated for the management of breakthrough pain in adults already receiving maintenance </w:t>
      </w:r>
      <w:proofErr w:type="spellStart"/>
      <w:r w:rsidRPr="00F0698A">
        <w:rPr>
          <w:i/>
        </w:rPr>
        <w:t>opioid</w:t>
      </w:r>
      <w:proofErr w:type="spellEnd"/>
      <w:r w:rsidRPr="00F0698A">
        <w:rPr>
          <w:i/>
        </w:rPr>
        <w:t xml:space="preserve"> therapy for chronic cancer pain.</w:t>
      </w:r>
    </w:p>
    <w:p w:rsidR="00D91A67" w:rsidRPr="0090249C" w:rsidRDefault="00D91A67" w:rsidP="00D91A67">
      <w:pPr>
        <w:pStyle w:val="Heading4"/>
      </w:pPr>
      <w:r w:rsidRPr="0090249C">
        <w:t>Specific conditions of registration appl</w:t>
      </w:r>
      <w:r>
        <w:t>ying to these therapeutic goods</w:t>
      </w:r>
    </w:p>
    <w:p w:rsidR="00D91A67" w:rsidRDefault="00D91A67" w:rsidP="00D91A67">
      <w:r>
        <w:t xml:space="preserve">1. </w:t>
      </w:r>
      <w:r w:rsidR="0057471F">
        <w:t xml:space="preserve">The implementation in Australia of the </w:t>
      </w:r>
      <w:proofErr w:type="spellStart"/>
      <w:r w:rsidR="0057471F">
        <w:t>Instanyl</w:t>
      </w:r>
      <w:proofErr w:type="spellEnd"/>
      <w:r w:rsidR="0057471F">
        <w:t xml:space="preserve"> (</w:t>
      </w:r>
      <w:proofErr w:type="spellStart"/>
      <w:r w:rsidR="0057471F">
        <w:t>fentanyl</w:t>
      </w:r>
      <w:proofErr w:type="spellEnd"/>
      <w:r w:rsidR="0057471F">
        <w:t xml:space="preserve"> citrate) EU-RMP Version 2 (dated 08/12/2011, DLP 30/06/2010), Australian Specific Annex to EU-RMP (Version 2.0, dated November 2012), and any future updates included with submission PM-2012-00804-3-1, as a condition of registration, as agreed with the TGA and its OPR</w:t>
      </w:r>
      <w:r>
        <w:t>.</w:t>
      </w:r>
    </w:p>
    <w:p w:rsidR="0057471F" w:rsidRPr="00D91A67" w:rsidRDefault="0057471F" w:rsidP="00D91A67">
      <w:r>
        <w:t>2. The 10 dose multi-dose presentations will not be supplied until such time as the usability of the child resistant exterior packaging component has been established to the TGA’s satisfaction.</w:t>
      </w:r>
    </w:p>
    <w:p w:rsidR="008E7846" w:rsidRDefault="004022FC" w:rsidP="008E7846">
      <w:pPr>
        <w:pStyle w:val="Heading2"/>
      </w:pPr>
      <w:bookmarkStart w:id="167" w:name="_Toc247691533"/>
      <w:bookmarkStart w:id="168" w:name="_Toc314842517"/>
      <w:bookmarkStart w:id="169" w:name="_Toc366842977"/>
      <w:proofErr w:type="gramStart"/>
      <w:r>
        <w:t>Attachment 1.</w:t>
      </w:r>
      <w:proofErr w:type="gramEnd"/>
      <w:r>
        <w:t xml:space="preserve"> </w:t>
      </w:r>
      <w:r w:rsidR="008E7846">
        <w:t xml:space="preserve">Product </w:t>
      </w:r>
      <w:r w:rsidR="00AA0ED0">
        <w:t>I</w:t>
      </w:r>
      <w:r w:rsidR="008E7846">
        <w:t>nformation</w:t>
      </w:r>
      <w:bookmarkEnd w:id="167"/>
      <w:bookmarkEnd w:id="168"/>
      <w:bookmarkEnd w:id="169"/>
    </w:p>
    <w:p w:rsidR="00C80137" w:rsidRDefault="00C80137" w:rsidP="00C80137">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3" w:history="1">
        <w:r w:rsidR="00722B57" w:rsidRPr="00625A6E">
          <w:rPr>
            <w:rStyle w:val="Hyperlink"/>
          </w:rPr>
          <w:t>http://www.tga.gov.au/hp/information-medicines-pi.htm</w:t>
        </w:r>
      </w:hyperlink>
      <w:hyperlink w:history="1"/>
      <w:r w:rsidR="008F6943">
        <w:rPr>
          <w:color w:val="000000"/>
          <w:lang w:eastAsia="en-AU"/>
        </w:rPr>
        <w:t>&gt;.</w:t>
      </w:r>
    </w:p>
    <w:p w:rsidR="00C80137" w:rsidRPr="001D043B" w:rsidRDefault="004022FC" w:rsidP="00D05884">
      <w:pPr>
        <w:pStyle w:val="Heading2"/>
        <w:sectPr w:rsidR="00C80137" w:rsidRPr="001D043B" w:rsidSect="006E2EBD">
          <w:type w:val="continuous"/>
          <w:pgSz w:w="11906" w:h="16838" w:code="9"/>
          <w:pgMar w:top="834" w:right="1701" w:bottom="1191" w:left="1701" w:header="907" w:footer="216" w:gutter="0"/>
          <w:cols w:space="708"/>
          <w:docGrid w:linePitch="360"/>
        </w:sectPr>
      </w:pPr>
      <w:bookmarkStart w:id="170" w:name="_Toc366842978"/>
      <w:proofErr w:type="gramStart"/>
      <w:r>
        <w:rPr>
          <w:lang w:eastAsia="en-AU"/>
        </w:rPr>
        <w:t>Attachment 2.</w:t>
      </w:r>
      <w:proofErr w:type="gramEnd"/>
      <w:r>
        <w:rPr>
          <w:lang w:eastAsia="en-AU"/>
        </w:rPr>
        <w:t xml:space="preserve"> </w:t>
      </w:r>
      <w:r w:rsidR="00C80137">
        <w:rPr>
          <w:lang w:eastAsia="en-AU"/>
        </w:rPr>
        <w:t>Extract from the Clinical Evaluation Report</w:t>
      </w:r>
      <w:bookmarkEnd w:id="170"/>
    </w:p>
    <w:p w:rsidR="00774E1D" w:rsidRPr="008A5E0B" w:rsidRDefault="00774E1D" w:rsidP="005A6F7F"/>
    <w:sectPr w:rsidR="00774E1D" w:rsidRPr="008A5E0B" w:rsidSect="004C239D">
      <w:headerReference w:type="even" r:id="rId34"/>
      <w:headerReference w:type="default" r:id="rId35"/>
      <w:footerReference w:type="default" r:id="rId36"/>
      <w:headerReference w:type="first" r:id="rId37"/>
      <w:footerReference w:type="first" r:id="rId3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3B6" w:rsidRDefault="007A03B6" w:rsidP="00C40A36">
      <w:pPr>
        <w:spacing w:after="0"/>
      </w:pPr>
      <w:r>
        <w:separator/>
      </w:r>
    </w:p>
  </w:endnote>
  <w:endnote w:type="continuationSeparator" w:id="0">
    <w:p w:rsidR="007A03B6" w:rsidRDefault="007A03B6"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A03B6" w:rsidRPr="00487162" w:rsidTr="0053625B">
      <w:trPr>
        <w:trHeight w:val="269"/>
      </w:trPr>
      <w:tc>
        <w:tcPr>
          <w:tcW w:w="7938" w:type="dxa"/>
          <w:tcMar>
            <w:top w:w="142" w:type="dxa"/>
            <w:bottom w:w="0" w:type="dxa"/>
          </w:tcMar>
        </w:tcPr>
        <w:p w:rsidR="007A03B6" w:rsidRPr="00487162" w:rsidRDefault="007A03B6" w:rsidP="00585E54">
          <w:pPr>
            <w:pStyle w:val="Footer"/>
          </w:pPr>
          <w:proofErr w:type="spellStart"/>
          <w:r w:rsidRPr="00487162">
            <w:t>AusPAR</w:t>
          </w:r>
          <w:proofErr w:type="spellEnd"/>
          <w:r w:rsidRPr="00487162">
            <w:t xml:space="preserve"> </w:t>
          </w:r>
          <w:proofErr w:type="spellStart"/>
          <w:r>
            <w:t>Instanyl</w:t>
          </w:r>
          <w:proofErr w:type="spellEnd"/>
          <w:r w:rsidRPr="00487162">
            <w:t xml:space="preserve"> </w:t>
          </w:r>
          <w:r>
            <w:t>Takeda Pharmaceuticals Australia Pty Ltd</w:t>
          </w:r>
          <w:r w:rsidRPr="00EC0820">
            <w:t xml:space="preserve"> PM-2012-00804-3-1</w:t>
          </w:r>
          <w:r>
            <w:br/>
            <w:t>Final 11 November 2013</w:t>
          </w:r>
        </w:p>
      </w:tc>
      <w:tc>
        <w:tcPr>
          <w:tcW w:w="923" w:type="dxa"/>
          <w:tcMar>
            <w:top w:w="142" w:type="dxa"/>
            <w:bottom w:w="0" w:type="dxa"/>
          </w:tcMar>
        </w:tcPr>
        <w:p w:rsidR="007A03B6" w:rsidRPr="00487162" w:rsidRDefault="007A03B6" w:rsidP="00D855D4">
          <w:pPr>
            <w:pStyle w:val="Footer"/>
            <w:jc w:val="right"/>
          </w:pPr>
          <w:r w:rsidRPr="00487162">
            <w:t xml:space="preserve">Page </w:t>
          </w:r>
          <w:r>
            <w:t>2</w:t>
          </w:r>
          <w:r w:rsidRPr="00487162">
            <w:t xml:space="preserve"> of </w:t>
          </w:r>
          <w:fldSimple w:instr=" NUMPAGES  \* Arabic ">
            <w:r>
              <w:rPr>
                <w:noProof/>
              </w:rPr>
              <w:t>43</w:t>
            </w:r>
          </w:fldSimple>
        </w:p>
      </w:tc>
    </w:tr>
  </w:tbl>
  <w:p w:rsidR="007A03B6" w:rsidRDefault="007A03B6"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66" w:type="dxa"/>
      <w:tblBorders>
        <w:top w:val="single" w:sz="4" w:space="0" w:color="auto"/>
      </w:tblBorders>
      <w:tblLayout w:type="fixed"/>
      <w:tblCellMar>
        <w:top w:w="170" w:type="dxa"/>
        <w:left w:w="0" w:type="dxa"/>
        <w:bottom w:w="170" w:type="dxa"/>
        <w:right w:w="0" w:type="dxa"/>
      </w:tblCellMar>
      <w:tblLook w:val="04A0"/>
    </w:tblPr>
    <w:tblGrid>
      <w:gridCol w:w="7071"/>
      <w:gridCol w:w="1595"/>
    </w:tblGrid>
    <w:tr w:rsidR="007A03B6" w:rsidRPr="00487162" w:rsidTr="006741FD">
      <w:trPr>
        <w:trHeight w:val="287"/>
      </w:trPr>
      <w:tc>
        <w:tcPr>
          <w:tcW w:w="7071" w:type="dxa"/>
          <w:tcMar>
            <w:top w:w="142" w:type="dxa"/>
            <w:bottom w:w="0" w:type="dxa"/>
          </w:tcMar>
        </w:tcPr>
        <w:p w:rsidR="007A03B6" w:rsidRPr="00487162" w:rsidRDefault="007A03B6" w:rsidP="00585E54">
          <w:pPr>
            <w:pStyle w:val="Footer"/>
          </w:pPr>
          <w:proofErr w:type="spellStart"/>
          <w:r w:rsidRPr="00487162">
            <w:t>Au</w:t>
          </w:r>
          <w:r w:rsidRPr="003B4D60">
            <w:t>sPAR</w:t>
          </w:r>
          <w:proofErr w:type="spellEnd"/>
          <w:r w:rsidRPr="003B4D60">
            <w:t xml:space="preserve"> </w:t>
          </w:r>
          <w:proofErr w:type="spellStart"/>
          <w:r>
            <w:t>Instanyl</w:t>
          </w:r>
          <w:proofErr w:type="spellEnd"/>
          <w:r w:rsidRPr="003B4D60">
            <w:t xml:space="preserve"> </w:t>
          </w:r>
          <w:r>
            <w:t>Takeda Pharmaceuticals Australia</w:t>
          </w:r>
          <w:r w:rsidRPr="00EC0820">
            <w:t xml:space="preserve"> Pty Ltd PM-2012-00804-3-1</w:t>
          </w:r>
          <w:r>
            <w:br/>
            <w:t>Final 11 November 2013</w:t>
          </w:r>
        </w:p>
      </w:tc>
      <w:tc>
        <w:tcPr>
          <w:tcW w:w="1595" w:type="dxa"/>
          <w:tcMar>
            <w:top w:w="142" w:type="dxa"/>
            <w:bottom w:w="0" w:type="dxa"/>
          </w:tcMar>
        </w:tcPr>
        <w:p w:rsidR="007A03B6" w:rsidRPr="00487162" w:rsidRDefault="007A03B6" w:rsidP="00E45619">
          <w:pPr>
            <w:pStyle w:val="Footer"/>
            <w:jc w:val="right"/>
          </w:pPr>
          <w:r w:rsidRPr="00487162">
            <w:t xml:space="preserve">Page </w:t>
          </w:r>
          <w:fldSimple w:instr="PAGE">
            <w:r w:rsidR="002028D8">
              <w:rPr>
                <w:noProof/>
              </w:rPr>
              <w:t>22</w:t>
            </w:r>
          </w:fldSimple>
          <w:r w:rsidRPr="00487162">
            <w:t xml:space="preserve"> of </w:t>
          </w:r>
          <w:fldSimple w:instr=" NUMPAGES  \* Arabic ">
            <w:r w:rsidR="002028D8">
              <w:rPr>
                <w:noProof/>
              </w:rPr>
              <w:t>43</w:t>
            </w:r>
          </w:fldSimple>
        </w:p>
      </w:tc>
    </w:tr>
  </w:tbl>
  <w:p w:rsidR="007A03B6" w:rsidRDefault="007A03B6"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A03B6" w:rsidRPr="00487162" w:rsidTr="00E45619">
      <w:trPr>
        <w:trHeight w:val="269"/>
      </w:trPr>
      <w:tc>
        <w:tcPr>
          <w:tcW w:w="4519" w:type="dxa"/>
          <w:tcBorders>
            <w:top w:val="single" w:sz="4" w:space="0" w:color="auto"/>
          </w:tcBorders>
          <w:tcMar>
            <w:top w:w="142" w:type="dxa"/>
            <w:bottom w:w="0" w:type="dxa"/>
          </w:tcMar>
        </w:tcPr>
        <w:p w:rsidR="007A03B6" w:rsidRPr="00487162" w:rsidRDefault="007A03B6" w:rsidP="00FE1DEE">
          <w:pPr>
            <w:pStyle w:val="Footer"/>
          </w:pPr>
          <w:r w:rsidRPr="00487162">
            <w:t>Document title, Part #, Section # - Section title</w:t>
          </w:r>
        </w:p>
        <w:p w:rsidR="007A03B6" w:rsidRPr="00487162" w:rsidRDefault="007A03B6" w:rsidP="00FE1DEE">
          <w:pPr>
            <w:pStyle w:val="Footer"/>
          </w:pPr>
          <w:r w:rsidRPr="00487162">
            <w:t>V1.0 October 2010</w:t>
          </w:r>
        </w:p>
      </w:tc>
      <w:tc>
        <w:tcPr>
          <w:tcW w:w="4342" w:type="dxa"/>
          <w:tcBorders>
            <w:top w:val="single" w:sz="4" w:space="0" w:color="auto"/>
          </w:tcBorders>
          <w:tcMar>
            <w:top w:w="142" w:type="dxa"/>
            <w:bottom w:w="0" w:type="dxa"/>
          </w:tcMar>
        </w:tcPr>
        <w:p w:rsidR="007A03B6" w:rsidRPr="00487162" w:rsidRDefault="007A03B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11</w:t>
            </w:r>
          </w:fldSimple>
        </w:p>
      </w:tc>
    </w:tr>
  </w:tbl>
  <w:p w:rsidR="007A03B6" w:rsidRDefault="007A03B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7A03B6" w:rsidRPr="00487162" w:rsidTr="00E45619">
      <w:trPr>
        <w:trHeight w:hRule="exact" w:val="704"/>
      </w:trPr>
      <w:tc>
        <w:tcPr>
          <w:tcW w:w="9175" w:type="dxa"/>
        </w:tcPr>
        <w:p w:rsidR="007A03B6" w:rsidRPr="00487162" w:rsidRDefault="007A03B6" w:rsidP="008E7846">
          <w:pPr>
            <w:pStyle w:val="TGASignoff"/>
          </w:pPr>
          <w:r w:rsidRPr="00487162">
            <w:t>Therapeutic Goods Administration</w:t>
          </w:r>
        </w:p>
      </w:tc>
    </w:tr>
    <w:tr w:rsidR="007A03B6" w:rsidRPr="00487162" w:rsidTr="00E45619">
      <w:trPr>
        <w:trHeight w:val="1221"/>
      </w:trPr>
      <w:tc>
        <w:tcPr>
          <w:tcW w:w="9175" w:type="dxa"/>
          <w:tcMar>
            <w:top w:w="28" w:type="dxa"/>
          </w:tcMar>
        </w:tcPr>
        <w:p w:rsidR="007A03B6" w:rsidRPr="00487162" w:rsidRDefault="007A03B6" w:rsidP="00E45619">
          <w:pPr>
            <w:pStyle w:val="Address"/>
          </w:pPr>
          <w:r w:rsidRPr="00487162">
            <w:t>PO Box 100 Woden ACT 2606 Australia</w:t>
          </w:r>
        </w:p>
        <w:p w:rsidR="007A03B6" w:rsidRPr="00487162" w:rsidRDefault="007A03B6"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7A03B6" w:rsidRPr="004C239D" w:rsidRDefault="007A03B6" w:rsidP="004C239D">
          <w:pPr>
            <w:pStyle w:val="Address"/>
            <w:spacing w:line="260" w:lineRule="atLeast"/>
            <w:rPr>
              <w:b/>
              <w:color w:val="0000FF"/>
              <w:u w:val="single"/>
            </w:rPr>
          </w:pPr>
          <w:hyperlink r:id="rId2" w:history="1">
            <w:r w:rsidRPr="00607888">
              <w:rPr>
                <w:rStyle w:val="Hyperlink"/>
                <w:b/>
              </w:rPr>
              <w:t>http://www.tga.gov.au</w:t>
            </w:r>
          </w:hyperlink>
        </w:p>
      </w:tc>
    </w:tr>
  </w:tbl>
  <w:p w:rsidR="007A03B6" w:rsidRDefault="007A03B6"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A03B6" w:rsidTr="0010601F">
      <w:trPr>
        <w:trHeight w:val="108"/>
      </w:trPr>
      <w:tc>
        <w:tcPr>
          <w:tcW w:w="8875" w:type="dxa"/>
          <w:gridSpan w:val="2"/>
          <w:tcBorders>
            <w:bottom w:val="single" w:sz="4" w:space="0" w:color="auto"/>
          </w:tcBorders>
          <w:tcMar>
            <w:right w:w="284" w:type="dxa"/>
          </w:tcMar>
        </w:tcPr>
        <w:p w:rsidR="007A03B6" w:rsidRDefault="007A03B6" w:rsidP="006E08B3">
          <w:pPr>
            <w:pStyle w:val="Heading3"/>
          </w:pPr>
          <w:r>
            <w:t>Copyright</w:t>
          </w:r>
        </w:p>
        <w:p w:rsidR="007A03B6" w:rsidRDefault="007A03B6" w:rsidP="006E08B3">
          <w:r>
            <w:rPr>
              <w:rFonts w:cs="Arial"/>
            </w:rPr>
            <w:t>©</w:t>
          </w:r>
          <w:r>
            <w:t xml:space="preserve"> Commonwealth of Australia [add year]</w:t>
          </w:r>
        </w:p>
        <w:p w:rsidR="007A03B6" w:rsidRDefault="007A03B6" w:rsidP="006E08B3"/>
        <w:p w:rsidR="007A03B6" w:rsidRDefault="007A03B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A03B6" w:rsidRDefault="007A03B6" w:rsidP="006E08B3"/>
        <w:p w:rsidR="007A03B6" w:rsidRDefault="007A03B6" w:rsidP="006E08B3">
          <w:pPr>
            <w:pStyle w:val="Heading3"/>
          </w:pPr>
          <w:r>
            <w:t>Confidentiality</w:t>
          </w:r>
        </w:p>
        <w:p w:rsidR="007A03B6" w:rsidRDefault="007A03B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A03B6" w:rsidRDefault="007A03B6" w:rsidP="006E08B3"/>
        <w:p w:rsidR="007A03B6" w:rsidRDefault="007A03B6" w:rsidP="006E08B3">
          <w:r>
            <w:t>For submission made by individuals, all personal details, other than your name, will be removed from your submission before it is published on the TGA’s Internet site.</w:t>
          </w:r>
        </w:p>
        <w:p w:rsidR="007A03B6" w:rsidRDefault="007A03B6" w:rsidP="006E08B3"/>
        <w:p w:rsidR="007A03B6" w:rsidRDefault="007A03B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A03B6" w:rsidTr="0010601F">
      <w:trPr>
        <w:trHeight w:val="417"/>
      </w:trPr>
      <w:tc>
        <w:tcPr>
          <w:tcW w:w="4519" w:type="dxa"/>
          <w:tcBorders>
            <w:top w:val="single" w:sz="4" w:space="0" w:color="auto"/>
          </w:tcBorders>
          <w:tcMar>
            <w:top w:w="142" w:type="dxa"/>
            <w:bottom w:w="0" w:type="dxa"/>
          </w:tcMar>
        </w:tcPr>
        <w:p w:rsidR="007A03B6" w:rsidRDefault="007A03B6" w:rsidP="006E08B3">
          <w:r>
            <w:t>Document title, Part #, Section # - Section title</w:t>
          </w:r>
        </w:p>
        <w:p w:rsidR="007A03B6" w:rsidRDefault="007A03B6" w:rsidP="006E08B3">
          <w:r>
            <w:t>V1.0 October 2010</w:t>
          </w:r>
        </w:p>
      </w:tc>
      <w:tc>
        <w:tcPr>
          <w:tcW w:w="4356" w:type="dxa"/>
          <w:tcBorders>
            <w:top w:val="single" w:sz="4" w:space="0" w:color="auto"/>
          </w:tcBorders>
          <w:tcMar>
            <w:top w:w="142" w:type="dxa"/>
            <w:bottom w:w="0" w:type="dxa"/>
          </w:tcMar>
        </w:tcPr>
        <w:p w:rsidR="007A03B6" w:rsidRDefault="007A03B6" w:rsidP="006E08B3">
          <w:pPr>
            <w:jc w:val="right"/>
          </w:pPr>
          <w:r>
            <w:t xml:space="preserve">Page </w:t>
          </w:r>
          <w:fldSimple w:instr=" PAGE   \* MERGEFORMAT ">
            <w:r>
              <w:rPr>
                <w:noProof/>
              </w:rPr>
              <w:t>1</w:t>
            </w:r>
          </w:fldSimple>
          <w:r>
            <w:t xml:space="preserve"> of </w:t>
          </w:r>
          <w:fldSimple w:instr=" NUMPAGES  \* Arabic ">
            <w:r>
              <w:rPr>
                <w:noProof/>
              </w:rPr>
              <w:t>11</w:t>
            </w:r>
          </w:fldSimple>
          <w:r>
            <w:t xml:space="preserve"> </w:t>
          </w:r>
        </w:p>
      </w:tc>
    </w:tr>
  </w:tbl>
  <w:p w:rsidR="007A03B6" w:rsidRDefault="007A03B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3B6" w:rsidRDefault="007A03B6" w:rsidP="00C40A36">
      <w:pPr>
        <w:spacing w:after="0"/>
      </w:pPr>
      <w:r>
        <w:separator/>
      </w:r>
    </w:p>
  </w:footnote>
  <w:footnote w:type="continuationSeparator" w:id="0">
    <w:p w:rsidR="007A03B6" w:rsidRDefault="007A03B6" w:rsidP="00C40A36">
      <w:pPr>
        <w:spacing w:after="0"/>
      </w:pPr>
      <w:r>
        <w:continuationSeparator/>
      </w:r>
    </w:p>
  </w:footnote>
  <w:footnote w:id="1">
    <w:p w:rsidR="007A03B6" w:rsidRPr="00831D04" w:rsidRDefault="007A03B6" w:rsidP="00831D04">
      <w:pPr>
        <w:pStyle w:val="FootnoteText"/>
      </w:pPr>
      <w:r>
        <w:rPr>
          <w:rStyle w:val="FootnoteReference"/>
        </w:rPr>
        <w:footnoteRef/>
      </w:r>
      <w:r>
        <w:t xml:space="preserve"> </w:t>
      </w:r>
      <w:r w:rsidRPr="00831D04">
        <w:t xml:space="preserve">Sponsor comment: “The 50 </w:t>
      </w:r>
      <w:proofErr w:type="spellStart"/>
      <w:r w:rsidRPr="00831D04">
        <w:t>μg</w:t>
      </w:r>
      <w:proofErr w:type="spellEnd"/>
      <w:r w:rsidRPr="00831D04">
        <w:t xml:space="preserve">, 100 </w:t>
      </w:r>
      <w:proofErr w:type="spellStart"/>
      <w:r w:rsidRPr="00831D04">
        <w:t>μg</w:t>
      </w:r>
      <w:proofErr w:type="spellEnd"/>
      <w:r w:rsidRPr="00831D04">
        <w:t xml:space="preserve"> and 200 </w:t>
      </w:r>
      <w:proofErr w:type="spellStart"/>
      <w:r w:rsidRPr="00831D04">
        <w:t>μg</w:t>
      </w:r>
      <w:proofErr w:type="spellEnd"/>
      <w:r w:rsidRPr="00831D04">
        <w:t xml:space="preserve"> single dose presentations were approved in Canada on 27 June 2013 (the multi-dose presentations were not submitted in Canada).”</w:t>
      </w:r>
    </w:p>
  </w:footnote>
  <w:footnote w:id="2">
    <w:p w:rsidR="007A03B6" w:rsidRDefault="007A03B6" w:rsidP="00831D04">
      <w:pPr>
        <w:pStyle w:val="FootnoteText"/>
      </w:pPr>
      <w:r>
        <w:rPr>
          <w:rStyle w:val="FootnoteReference"/>
        </w:rPr>
        <w:footnoteRef/>
      </w:r>
      <w:r>
        <w:t xml:space="preserve"> Sponsor comment: “</w:t>
      </w:r>
      <w:r w:rsidRPr="006E3E99">
        <w:t xml:space="preserve">The </w:t>
      </w:r>
      <w:r>
        <w:t xml:space="preserve">PI has since been updated and </w:t>
      </w:r>
      <w:r w:rsidRPr="006E3E99">
        <w:t>describes the absolute bioavailability as close to 100% (when described as a one</w:t>
      </w:r>
      <w:r>
        <w:t xml:space="preserve"> </w:t>
      </w:r>
      <w:r w:rsidRPr="006E3E99">
        <w:t>compartment model).</w:t>
      </w:r>
      <w:r>
        <w:t>”</w:t>
      </w:r>
    </w:p>
  </w:footnote>
  <w:footnote w:id="3">
    <w:p w:rsidR="007A03B6" w:rsidRDefault="007A03B6" w:rsidP="00831D04">
      <w:pPr>
        <w:pStyle w:val="FootnoteText"/>
      </w:pPr>
      <w:r>
        <w:rPr>
          <w:rStyle w:val="FootnoteReference"/>
        </w:rPr>
        <w:footnoteRef/>
      </w:r>
      <w:r>
        <w:t xml:space="preserve"> </w:t>
      </w:r>
      <w:proofErr w:type="spellStart"/>
      <w:r w:rsidRPr="00427C86">
        <w:t>Baechtold</w:t>
      </w:r>
      <w:proofErr w:type="spellEnd"/>
      <w:r w:rsidRPr="00427C86">
        <w:t xml:space="preserve"> F, </w:t>
      </w:r>
      <w:r>
        <w:t xml:space="preserve">et al. (2001) </w:t>
      </w:r>
      <w:r w:rsidRPr="00427C86">
        <w:t xml:space="preserve">Cardiovascular effects of </w:t>
      </w:r>
      <w:proofErr w:type="spellStart"/>
      <w:r w:rsidRPr="00427C86">
        <w:t>fentanyl</w:t>
      </w:r>
      <w:proofErr w:type="spellEnd"/>
      <w:r w:rsidRPr="00427C86">
        <w:t xml:space="preserve"> in conscious rats.</w:t>
      </w:r>
      <w:r>
        <w:t xml:space="preserve"> </w:t>
      </w:r>
      <w:proofErr w:type="spellStart"/>
      <w:r w:rsidRPr="00BB47D4">
        <w:rPr>
          <w:i/>
        </w:rPr>
        <w:t>Pflugers</w:t>
      </w:r>
      <w:proofErr w:type="spellEnd"/>
      <w:r w:rsidRPr="00BB47D4">
        <w:rPr>
          <w:i/>
        </w:rPr>
        <w:t xml:space="preserve"> Arch – Eur J Physiol.</w:t>
      </w:r>
      <w:r w:rsidRPr="00427C86">
        <w:t xml:space="preserve"> 443:</w:t>
      </w:r>
      <w:r>
        <w:t xml:space="preserve"> </w:t>
      </w:r>
      <w:r w:rsidRPr="00427C86">
        <w:t>155-</w:t>
      </w:r>
      <w:r>
        <w:t>1</w:t>
      </w:r>
      <w:r w:rsidRPr="00427C86">
        <w:t>62</w:t>
      </w:r>
      <w:r>
        <w:t>.</w:t>
      </w:r>
    </w:p>
  </w:footnote>
  <w:footnote w:id="4">
    <w:p w:rsidR="007A03B6" w:rsidRDefault="007A03B6" w:rsidP="00831D04">
      <w:pPr>
        <w:pStyle w:val="FootnoteText"/>
      </w:pPr>
      <w:r>
        <w:rPr>
          <w:rStyle w:val="FootnoteReference"/>
        </w:rPr>
        <w:footnoteRef/>
      </w:r>
      <w:r>
        <w:t xml:space="preserve"> </w:t>
      </w:r>
      <w:r w:rsidRPr="00427C86">
        <w:t>Blair JR</w:t>
      </w:r>
      <w:r>
        <w:t xml:space="preserve">, et al. (1989) </w:t>
      </w:r>
      <w:r w:rsidRPr="00427C86">
        <w:t xml:space="preserve">Cardiac </w:t>
      </w:r>
      <w:proofErr w:type="spellStart"/>
      <w:r w:rsidRPr="00427C86">
        <w:t>electrophysiologic</w:t>
      </w:r>
      <w:proofErr w:type="spellEnd"/>
      <w:r w:rsidRPr="00427C86">
        <w:t xml:space="preserve"> effects of </w:t>
      </w:r>
      <w:proofErr w:type="spellStart"/>
      <w:r w:rsidRPr="00427C86">
        <w:t>fentanyl</w:t>
      </w:r>
      <w:proofErr w:type="spellEnd"/>
      <w:r w:rsidRPr="00427C86">
        <w:t xml:space="preserve"> and </w:t>
      </w:r>
      <w:proofErr w:type="spellStart"/>
      <w:r w:rsidRPr="00427C86">
        <w:t>sufentanil</w:t>
      </w:r>
      <w:proofErr w:type="spellEnd"/>
      <w:r w:rsidRPr="00427C86">
        <w:t xml:space="preserve"> in canine cardiac Purkinje </w:t>
      </w:r>
      <w:proofErr w:type="spellStart"/>
      <w:r w:rsidRPr="00427C86">
        <w:t>fibers</w:t>
      </w:r>
      <w:proofErr w:type="spellEnd"/>
      <w:r w:rsidRPr="00427C86">
        <w:t xml:space="preserve">. </w:t>
      </w:r>
      <w:proofErr w:type="spellStart"/>
      <w:r w:rsidRPr="00717F05">
        <w:rPr>
          <w:i/>
        </w:rPr>
        <w:t>Anesthesiology</w:t>
      </w:r>
      <w:proofErr w:type="spellEnd"/>
      <w:r>
        <w:t xml:space="preserve"> </w:t>
      </w:r>
      <w:r w:rsidRPr="00427C86">
        <w:t>71:</w:t>
      </w:r>
      <w:r>
        <w:t xml:space="preserve"> </w:t>
      </w:r>
      <w:r w:rsidRPr="00427C86">
        <w:t>565-</w:t>
      </w:r>
      <w:r>
        <w:t>5</w:t>
      </w:r>
      <w:r w:rsidRPr="00427C86">
        <w:t>70</w:t>
      </w:r>
      <w:r>
        <w:t>.</w:t>
      </w:r>
    </w:p>
  </w:footnote>
  <w:footnote w:id="5">
    <w:p w:rsidR="007A03B6" w:rsidRDefault="007A03B6" w:rsidP="00831D04">
      <w:pPr>
        <w:pStyle w:val="FootnoteText"/>
      </w:pPr>
      <w:r>
        <w:rPr>
          <w:rStyle w:val="FootnoteReference"/>
        </w:rPr>
        <w:footnoteRef/>
      </w:r>
      <w:r>
        <w:t xml:space="preserve"> </w:t>
      </w:r>
      <w:proofErr w:type="spellStart"/>
      <w:r w:rsidRPr="00427C86">
        <w:t>Katchman</w:t>
      </w:r>
      <w:proofErr w:type="spellEnd"/>
      <w:r w:rsidRPr="00427C86">
        <w:t xml:space="preserve"> AN</w:t>
      </w:r>
      <w:r>
        <w:t>, et al. (2002)</w:t>
      </w:r>
      <w:r w:rsidRPr="00427C86">
        <w:t xml:space="preserve"> Influence of </w:t>
      </w:r>
      <w:proofErr w:type="spellStart"/>
      <w:r w:rsidRPr="00427C86">
        <w:t>opioid</w:t>
      </w:r>
      <w:proofErr w:type="spellEnd"/>
      <w:r w:rsidRPr="00427C86">
        <w:t xml:space="preserve"> agonists on cardiac human ether-a-go-go-related gene </w:t>
      </w:r>
      <w:proofErr w:type="gramStart"/>
      <w:r w:rsidRPr="00427C86">
        <w:t>K(</w:t>
      </w:r>
      <w:proofErr w:type="gramEnd"/>
      <w:r w:rsidRPr="00427C86">
        <w:t xml:space="preserve">+) currents. </w:t>
      </w:r>
      <w:proofErr w:type="gramStart"/>
      <w:r w:rsidRPr="00411639">
        <w:rPr>
          <w:i/>
        </w:rPr>
        <w:t xml:space="preserve">J </w:t>
      </w:r>
      <w:proofErr w:type="spellStart"/>
      <w:r w:rsidRPr="00411639">
        <w:rPr>
          <w:i/>
        </w:rPr>
        <w:t>Pharmacol</w:t>
      </w:r>
      <w:proofErr w:type="spellEnd"/>
      <w:r w:rsidRPr="00411639">
        <w:rPr>
          <w:i/>
        </w:rPr>
        <w:t xml:space="preserve"> Exp </w:t>
      </w:r>
      <w:proofErr w:type="spellStart"/>
      <w:r w:rsidRPr="00411639">
        <w:rPr>
          <w:i/>
        </w:rPr>
        <w:t>Ther</w:t>
      </w:r>
      <w:proofErr w:type="spellEnd"/>
      <w:r w:rsidRPr="00411639">
        <w:rPr>
          <w:i/>
        </w:rPr>
        <w:t>.</w:t>
      </w:r>
      <w:proofErr w:type="gramEnd"/>
      <w:r w:rsidRPr="00427C86">
        <w:t xml:space="preserve"> 303:</w:t>
      </w:r>
      <w:r>
        <w:t xml:space="preserve"> </w:t>
      </w:r>
      <w:r w:rsidRPr="00427C86">
        <w:t>688-</w:t>
      </w:r>
      <w:r>
        <w:t>6</w:t>
      </w:r>
      <w:r w:rsidRPr="00427C86">
        <w:t>94</w:t>
      </w:r>
      <w:r>
        <w:t>.</w:t>
      </w:r>
    </w:p>
  </w:footnote>
  <w:footnote w:id="6">
    <w:p w:rsidR="007A03B6" w:rsidRDefault="007A03B6" w:rsidP="00831D04">
      <w:pPr>
        <w:pStyle w:val="FootnoteText"/>
      </w:pPr>
      <w:r>
        <w:rPr>
          <w:rStyle w:val="FootnoteReference"/>
        </w:rPr>
        <w:footnoteRef/>
      </w:r>
      <w:r>
        <w:t xml:space="preserve"> </w:t>
      </w:r>
      <w:proofErr w:type="spellStart"/>
      <w:proofErr w:type="gramStart"/>
      <w:r w:rsidRPr="00427C86">
        <w:t>Meuldermans</w:t>
      </w:r>
      <w:proofErr w:type="spellEnd"/>
      <w:r w:rsidRPr="00427C86">
        <w:t xml:space="preserve"> WE</w:t>
      </w:r>
      <w:r>
        <w:t xml:space="preserve">, et al. (1982) </w:t>
      </w:r>
      <w:r w:rsidRPr="00427C86">
        <w:t xml:space="preserve">Plasma protein binding and distribution of </w:t>
      </w:r>
      <w:proofErr w:type="spellStart"/>
      <w:r w:rsidRPr="00427C86">
        <w:t>fentanyl</w:t>
      </w:r>
      <w:proofErr w:type="spellEnd"/>
      <w:r w:rsidRPr="00427C86">
        <w:t xml:space="preserve">, </w:t>
      </w:r>
      <w:proofErr w:type="spellStart"/>
      <w:r w:rsidRPr="00427C86">
        <w:t>sufentanil</w:t>
      </w:r>
      <w:proofErr w:type="spellEnd"/>
      <w:r w:rsidRPr="00427C86">
        <w:t xml:space="preserve">, </w:t>
      </w:r>
      <w:proofErr w:type="spellStart"/>
      <w:r w:rsidRPr="00427C86">
        <w:t>alfentanil</w:t>
      </w:r>
      <w:proofErr w:type="spellEnd"/>
      <w:r w:rsidRPr="00427C86">
        <w:t xml:space="preserve"> and </w:t>
      </w:r>
      <w:proofErr w:type="spellStart"/>
      <w:r w:rsidRPr="00427C86">
        <w:t>lofentanil</w:t>
      </w:r>
      <w:proofErr w:type="spellEnd"/>
      <w:r w:rsidRPr="00427C86">
        <w:t xml:space="preserve"> in blood.</w:t>
      </w:r>
      <w:proofErr w:type="gramEnd"/>
      <w:r>
        <w:t xml:space="preserve"> </w:t>
      </w:r>
      <w:r w:rsidRPr="002A3EFD">
        <w:rPr>
          <w:i/>
        </w:rPr>
        <w:t xml:space="preserve">Arch </w:t>
      </w:r>
      <w:proofErr w:type="spellStart"/>
      <w:r w:rsidRPr="002A3EFD">
        <w:rPr>
          <w:i/>
        </w:rPr>
        <w:t>Int</w:t>
      </w:r>
      <w:proofErr w:type="spellEnd"/>
      <w:r w:rsidRPr="002A3EFD">
        <w:rPr>
          <w:i/>
        </w:rPr>
        <w:t xml:space="preserve"> </w:t>
      </w:r>
      <w:proofErr w:type="spellStart"/>
      <w:r w:rsidRPr="002A3EFD">
        <w:rPr>
          <w:i/>
        </w:rPr>
        <w:t>Pharmacodyn</w:t>
      </w:r>
      <w:proofErr w:type="spellEnd"/>
      <w:r w:rsidRPr="002A3EFD">
        <w:rPr>
          <w:i/>
        </w:rPr>
        <w:t xml:space="preserve"> </w:t>
      </w:r>
      <w:proofErr w:type="spellStart"/>
      <w:r w:rsidRPr="002A3EFD">
        <w:rPr>
          <w:i/>
        </w:rPr>
        <w:t>Ther</w:t>
      </w:r>
      <w:proofErr w:type="spellEnd"/>
      <w:r w:rsidRPr="002A3EFD">
        <w:rPr>
          <w:i/>
        </w:rPr>
        <w:t>.</w:t>
      </w:r>
      <w:r>
        <w:t xml:space="preserve"> </w:t>
      </w:r>
      <w:r w:rsidRPr="00427C86">
        <w:t>257:</w:t>
      </w:r>
      <w:r>
        <w:t xml:space="preserve"> </w:t>
      </w:r>
      <w:r w:rsidRPr="00427C86">
        <w:t>4-19</w:t>
      </w:r>
      <w:r>
        <w:t>.</w:t>
      </w:r>
    </w:p>
  </w:footnote>
  <w:footnote w:id="7">
    <w:p w:rsidR="007A03B6" w:rsidRDefault="007A03B6" w:rsidP="00831D04">
      <w:pPr>
        <w:pStyle w:val="FootnoteText"/>
      </w:pPr>
      <w:r>
        <w:rPr>
          <w:rStyle w:val="FootnoteReference"/>
        </w:rPr>
        <w:footnoteRef/>
      </w:r>
      <w:r>
        <w:t xml:space="preserve"> </w:t>
      </w:r>
      <w:r w:rsidRPr="004207A7">
        <w:t xml:space="preserve">Allen JS, </w:t>
      </w:r>
      <w:r>
        <w:t xml:space="preserve">et al. (2003) </w:t>
      </w:r>
      <w:r w:rsidRPr="004207A7">
        <w:t xml:space="preserve">Genetic toxicology of </w:t>
      </w:r>
      <w:proofErr w:type="spellStart"/>
      <w:r w:rsidRPr="004207A7">
        <w:t>remifentanil</w:t>
      </w:r>
      <w:proofErr w:type="spellEnd"/>
      <w:r w:rsidRPr="004207A7">
        <w:t>, an opiate analgesic.</w:t>
      </w:r>
      <w:r>
        <w:t xml:space="preserve"> </w:t>
      </w:r>
      <w:proofErr w:type="spellStart"/>
      <w:proofErr w:type="gramStart"/>
      <w:r w:rsidRPr="00115A98">
        <w:rPr>
          <w:i/>
        </w:rPr>
        <w:t>Teratog</w:t>
      </w:r>
      <w:proofErr w:type="spellEnd"/>
      <w:r w:rsidRPr="00115A98">
        <w:rPr>
          <w:i/>
        </w:rPr>
        <w:t xml:space="preserve"> </w:t>
      </w:r>
      <w:proofErr w:type="spellStart"/>
      <w:r w:rsidRPr="00115A98">
        <w:rPr>
          <w:i/>
        </w:rPr>
        <w:t>Carcinog</w:t>
      </w:r>
      <w:proofErr w:type="spellEnd"/>
      <w:r w:rsidRPr="00115A98">
        <w:rPr>
          <w:i/>
        </w:rPr>
        <w:t xml:space="preserve"> Mutagen.</w:t>
      </w:r>
      <w:proofErr w:type="gramEnd"/>
      <w:r w:rsidRPr="004207A7">
        <w:t xml:space="preserve"> </w:t>
      </w:r>
      <w:proofErr w:type="spellStart"/>
      <w:r w:rsidRPr="004207A7">
        <w:t>Suppl</w:t>
      </w:r>
      <w:proofErr w:type="spellEnd"/>
      <w:r w:rsidRPr="004207A7">
        <w:t xml:space="preserve"> 1:</w:t>
      </w:r>
      <w:r>
        <w:t xml:space="preserve"> </w:t>
      </w:r>
      <w:r w:rsidRPr="004207A7">
        <w:t>137-</w:t>
      </w:r>
      <w:r>
        <w:t>1</w:t>
      </w:r>
      <w:r w:rsidRPr="004207A7">
        <w:t>49</w:t>
      </w:r>
      <w:r>
        <w:t>.</w:t>
      </w:r>
    </w:p>
  </w:footnote>
  <w:footnote w:id="8">
    <w:p w:rsidR="007A03B6" w:rsidRDefault="007A03B6" w:rsidP="00831D04">
      <w:pPr>
        <w:pStyle w:val="FootnoteText"/>
      </w:pPr>
      <w:r>
        <w:rPr>
          <w:rStyle w:val="FootnoteReference"/>
        </w:rPr>
        <w:footnoteRef/>
      </w:r>
      <w:r>
        <w:t xml:space="preserve"> </w:t>
      </w:r>
      <w:r w:rsidRPr="004207A7">
        <w:t>Muller L</w:t>
      </w:r>
      <w:r>
        <w:t>,</w:t>
      </w:r>
      <w:r w:rsidRPr="004207A7">
        <w:t xml:space="preserve"> Kasper P (2000) Human biological relevance and the use of threshold-arguments in regulatory </w:t>
      </w:r>
      <w:proofErr w:type="spellStart"/>
      <w:r w:rsidRPr="004207A7">
        <w:t>genotoxicity</w:t>
      </w:r>
      <w:proofErr w:type="spellEnd"/>
      <w:r w:rsidRPr="004207A7">
        <w:t xml:space="preserve"> assessment: experience with pharmaceuticals. </w:t>
      </w:r>
      <w:proofErr w:type="spellStart"/>
      <w:r w:rsidRPr="003D2327">
        <w:rPr>
          <w:i/>
        </w:rPr>
        <w:t>Mutat</w:t>
      </w:r>
      <w:proofErr w:type="spellEnd"/>
      <w:r w:rsidRPr="003D2327">
        <w:rPr>
          <w:i/>
        </w:rPr>
        <w:t xml:space="preserve"> Res.</w:t>
      </w:r>
      <w:r w:rsidRPr="004207A7">
        <w:t xml:space="preserve"> 464</w:t>
      </w:r>
      <w:r>
        <w:t xml:space="preserve">: </w:t>
      </w:r>
      <w:r w:rsidRPr="004207A7">
        <w:t>19-34</w:t>
      </w:r>
      <w:r>
        <w:t>.</w:t>
      </w:r>
    </w:p>
  </w:footnote>
  <w:footnote w:id="9">
    <w:p w:rsidR="007A03B6" w:rsidRDefault="007A03B6" w:rsidP="00831D04">
      <w:pPr>
        <w:pStyle w:val="FootnoteText"/>
      </w:pPr>
      <w:r>
        <w:rPr>
          <w:rStyle w:val="FootnoteReference"/>
        </w:rPr>
        <w:footnoteRef/>
      </w:r>
      <w:r>
        <w:t xml:space="preserve"> European Medicines Agency, “Committee for Proprietary Medicinal Products (CPMP): </w:t>
      </w:r>
      <w:r w:rsidRPr="00A83C26">
        <w:t>Note for Guidance on Non-Clinical Local Tolerance Testing of Medicinal Products</w:t>
      </w:r>
      <w:r>
        <w:t xml:space="preserve"> </w:t>
      </w:r>
      <w:r w:rsidRPr="00570472">
        <w:t>(CPMP/SWP/2145/00)</w:t>
      </w:r>
      <w:r>
        <w:t>”</w:t>
      </w:r>
      <w:r w:rsidRPr="00322BA0">
        <w:t xml:space="preserve">, </w:t>
      </w:r>
      <w:r>
        <w:t>1 March 2001</w:t>
      </w:r>
      <w:r w:rsidRPr="00322BA0">
        <w:t xml:space="preserve">, Web, accessed </w:t>
      </w:r>
      <w:r>
        <w:t>26 August 2013</w:t>
      </w:r>
      <w:r w:rsidRPr="00322BA0">
        <w:t xml:space="preserve"> &lt;</w:t>
      </w:r>
      <w:r w:rsidRPr="006D3F1E">
        <w:t>www.ema.europa.eu/docs/en_GB/document_library/</w:t>
      </w:r>
      <w:r>
        <w:t xml:space="preserve"> </w:t>
      </w:r>
      <w:proofErr w:type="spellStart"/>
      <w:r w:rsidRPr="006D3F1E">
        <w:t>Scientific_guideline</w:t>
      </w:r>
      <w:proofErr w:type="spellEnd"/>
      <w:r w:rsidRPr="006D3F1E">
        <w:t>/2009/09/WC500003315.pdf</w:t>
      </w:r>
      <w:r w:rsidRPr="00322BA0">
        <w:t>&gt;.</w:t>
      </w:r>
    </w:p>
  </w:footnote>
  <w:footnote w:id="10">
    <w:p w:rsidR="007A03B6" w:rsidRDefault="007A03B6" w:rsidP="00831D04">
      <w:pPr>
        <w:pStyle w:val="FootnoteText"/>
      </w:pPr>
      <w:r>
        <w:rPr>
          <w:rStyle w:val="FootnoteReference"/>
        </w:rPr>
        <w:footnoteRef/>
      </w:r>
      <w:r>
        <w:t xml:space="preserve"> US Food and Drug Administration, “</w:t>
      </w:r>
      <w:r w:rsidRPr="00387517">
        <w:t>Guidance for Industry: Estimating the Maximum Safe Starting Dose in Initial Clinical Trials for Therapeutics in Adult Healthy Volunteers</w:t>
      </w:r>
      <w:r>
        <w:t>”, July 2005, Web, accessed 26 August 2013 &lt;</w:t>
      </w:r>
      <w:r w:rsidRPr="00CE4D60">
        <w:t xml:space="preserve">www.fda.gov/downloads/Drugs/Guidances/UCM078932.pdf </w:t>
      </w:r>
      <w:r>
        <w:t>&gt;.</w:t>
      </w:r>
    </w:p>
  </w:footnote>
  <w:footnote w:id="11">
    <w:p w:rsidR="007A03B6" w:rsidRDefault="007A03B6" w:rsidP="00831D04">
      <w:pPr>
        <w:pStyle w:val="FootnoteText"/>
      </w:pPr>
      <w:r>
        <w:rPr>
          <w:rStyle w:val="FootnoteReference"/>
        </w:rPr>
        <w:footnoteRef/>
      </w:r>
      <w:r>
        <w:t xml:space="preserve"> US Food and Drug Administration, “</w:t>
      </w:r>
      <w:r w:rsidRPr="00387517">
        <w:t>Guidance for Industry: Estimating the Maximum Safe Starting Dose in Initial Clinical Trials for Therapeutics in Adult Healthy Volunteers</w:t>
      </w:r>
      <w:r>
        <w:t>”, July 2005, Web, accessed 26 August 2013 &lt;</w:t>
      </w:r>
      <w:r w:rsidRPr="00CE4D60">
        <w:t xml:space="preserve">www.fda.gov/downloads/Drugs/Guidances/UCM078932.pdf </w:t>
      </w:r>
      <w:r>
        <w:t>&gt;.</w:t>
      </w:r>
    </w:p>
  </w:footnote>
  <w:footnote w:id="12">
    <w:p w:rsidR="007A03B6" w:rsidRDefault="007A03B6" w:rsidP="00831D04">
      <w:pPr>
        <w:pStyle w:val="FootnoteText"/>
      </w:pPr>
      <w:r>
        <w:rPr>
          <w:rStyle w:val="FootnoteReference"/>
        </w:rPr>
        <w:footnoteRef/>
      </w:r>
      <w:r>
        <w:t xml:space="preserve"> </w:t>
      </w:r>
      <w:proofErr w:type="spellStart"/>
      <w:r w:rsidRPr="004207A7">
        <w:t>Shavit</w:t>
      </w:r>
      <w:proofErr w:type="spellEnd"/>
      <w:r w:rsidRPr="004207A7">
        <w:t xml:space="preserve"> Y</w:t>
      </w:r>
      <w:r>
        <w:t>,</w:t>
      </w:r>
      <w:r w:rsidRPr="004207A7">
        <w:t xml:space="preserve"> et al. (2004) Effects of </w:t>
      </w:r>
      <w:proofErr w:type="spellStart"/>
      <w:r w:rsidRPr="004207A7">
        <w:t>fentanyl</w:t>
      </w:r>
      <w:proofErr w:type="spellEnd"/>
      <w:r w:rsidRPr="004207A7">
        <w:t xml:space="preserve"> on natural killer cell activity and on resistance to</w:t>
      </w:r>
      <w:r>
        <w:t xml:space="preserve"> </w:t>
      </w:r>
      <w:r w:rsidRPr="004207A7">
        <w:t xml:space="preserve">tumour metastasis in rats: Dose and timing study. </w:t>
      </w:r>
      <w:proofErr w:type="spellStart"/>
      <w:r>
        <w:rPr>
          <w:i/>
        </w:rPr>
        <w:t>Neuroimmunom</w:t>
      </w:r>
      <w:r w:rsidRPr="002B7694">
        <w:rPr>
          <w:i/>
        </w:rPr>
        <w:t>odulation</w:t>
      </w:r>
      <w:proofErr w:type="spellEnd"/>
      <w:r w:rsidRPr="004207A7">
        <w:t xml:space="preserve"> 11</w:t>
      </w:r>
      <w:r>
        <w:t xml:space="preserve">: </w:t>
      </w:r>
      <w:r w:rsidRPr="004207A7">
        <w:t>255-60</w:t>
      </w:r>
      <w:r>
        <w:t>.</w:t>
      </w:r>
    </w:p>
  </w:footnote>
  <w:footnote w:id="13">
    <w:p w:rsidR="007A03B6" w:rsidRDefault="007A03B6" w:rsidP="00801138">
      <w:pPr>
        <w:pStyle w:val="FootnoteText"/>
      </w:pPr>
      <w:r>
        <w:t>See further discussions of this issue by the evaluator on pages 20-22.</w:t>
      </w:r>
    </w:p>
  </w:footnote>
  <w:footnote w:id="14">
    <w:p w:rsidR="007A03B6" w:rsidRDefault="007A03B6" w:rsidP="00831D04">
      <w:pPr>
        <w:pStyle w:val="FootnoteText"/>
      </w:pPr>
      <w:r w:rsidRPr="00E640DF">
        <w:rPr>
          <w:rStyle w:val="FootnoteReference"/>
        </w:rPr>
        <w:footnoteRef/>
      </w:r>
      <w:r w:rsidRPr="00E640DF">
        <w:t xml:space="preserve"> Sponsor comment: “FT-018 trial patients were titrated to an effective dose. FT-017 trial patients were treated with a fixed dose.”</w:t>
      </w:r>
    </w:p>
  </w:footnote>
  <w:footnote w:id="15">
    <w:p w:rsidR="007A03B6" w:rsidRDefault="007A03B6" w:rsidP="00831D04">
      <w:pPr>
        <w:pStyle w:val="FootnoteText"/>
      </w:pPr>
      <w:r>
        <w:rPr>
          <w:rStyle w:val="FootnoteReference"/>
        </w:rPr>
        <w:footnoteRef/>
      </w:r>
      <w:r>
        <w:t xml:space="preserve"> European Medicines Agency, “Committee for Proprietary Medicinal Products (CPMP): Points to Consider on Application with 1. </w:t>
      </w:r>
      <w:proofErr w:type="gramStart"/>
      <w:r>
        <w:t>Meta-Analyses; 2.</w:t>
      </w:r>
      <w:proofErr w:type="gramEnd"/>
      <w:r>
        <w:t xml:space="preserve"> </w:t>
      </w:r>
      <w:proofErr w:type="gramStart"/>
      <w:r>
        <w:t xml:space="preserve">One Pivotal Study </w:t>
      </w:r>
      <w:r w:rsidRPr="00570472">
        <w:t>(CPMP/</w:t>
      </w:r>
      <w:r>
        <w:t>E</w:t>
      </w:r>
      <w:r w:rsidRPr="00570472">
        <w:t>WP/2</w:t>
      </w:r>
      <w:r>
        <w:t>330/99</w:t>
      </w:r>
      <w:r w:rsidRPr="00570472">
        <w:t>)</w:t>
      </w:r>
      <w:r>
        <w:t>”</w:t>
      </w:r>
      <w:r w:rsidRPr="00322BA0">
        <w:t xml:space="preserve">, </w:t>
      </w:r>
      <w:r>
        <w:t>31 May 2001</w:t>
      </w:r>
      <w:r w:rsidRPr="00322BA0">
        <w:t xml:space="preserve">, Web, accessed </w:t>
      </w:r>
      <w:r>
        <w:t>26 August 2013</w:t>
      </w:r>
      <w:r w:rsidRPr="00322BA0">
        <w:t xml:space="preserve"> &lt;</w:t>
      </w:r>
      <w:r w:rsidRPr="006B49C5">
        <w:t>www.ema.europa.eu/docs/en_GB/document_library/</w:t>
      </w:r>
      <w:r>
        <w:t xml:space="preserve"> </w:t>
      </w:r>
      <w:proofErr w:type="spellStart"/>
      <w:r w:rsidRPr="006B49C5">
        <w:t>Scientific_guideline</w:t>
      </w:r>
      <w:proofErr w:type="spellEnd"/>
      <w:r w:rsidRPr="006B49C5">
        <w:t>/2009/09/WC500003657.pdf</w:t>
      </w:r>
      <w:r w:rsidRPr="00322BA0">
        <w:t>&gt;.</w:t>
      </w:r>
      <w:proofErr w:type="gramEnd"/>
    </w:p>
  </w:footnote>
  <w:footnote w:id="16">
    <w:p w:rsidR="007A03B6" w:rsidRDefault="007A03B6" w:rsidP="00801138">
      <w:pPr>
        <w:pStyle w:val="FootnoteText"/>
      </w:pPr>
      <w:r>
        <w:rPr>
          <w:rStyle w:val="FootnoteReference"/>
        </w:rPr>
        <w:footnoteRef/>
      </w:r>
      <w:r>
        <w:t xml:space="preserve"> Sponsor comment: “Site X was excluded due to fraud. It could not be confirmed that the site included any actual patients, and therefore the data needed to be excluded from the data analysis.”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B6" w:rsidRDefault="007A03B6"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B6" w:rsidRDefault="007A03B6">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19050" t="0" r="9525"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srcRect/>
                  <a:stretch>
                    <a:fillRect/>
                  </a:stretch>
                </pic:blipFill>
                <pic:spPr bwMode="auto">
                  <a:xfrm>
                    <a:off x="0" y="0"/>
                    <a:ext cx="7572375" cy="10706100"/>
                  </a:xfrm>
                  <a:prstGeom prst="rect">
                    <a:avLst/>
                  </a:prstGeom>
                  <a:noFill/>
                  <a:ln w="9525">
                    <a:noFill/>
                    <a:miter lim="800000"/>
                    <a:headEnd/>
                    <a:tailEnd/>
                  </a:ln>
                </pic:spPr>
              </pic:pic>
            </a:graphicData>
          </a:graphic>
        </wp:anchor>
      </w:drawing>
    </w:r>
  </w:p>
  <w:p w:rsidR="007A03B6" w:rsidRDefault="007A03B6" w:rsidP="00593AD1">
    <w:pPr>
      <w:pStyle w:val="HeaderNoLine"/>
    </w:pPr>
    <w:r>
      <w:rPr>
        <w:noProof/>
        <w:lang w:eastAsia="en-AU"/>
      </w:rPr>
      <w:drawing>
        <wp:inline distT="0" distB="0" distL="0" distR="0">
          <wp:extent cx="5400675" cy="7639050"/>
          <wp:effectExtent l="19050" t="0" r="9525" b="0"/>
          <wp:docPr id="21" name="Picture 2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ghtblue.jpg"/>
                  <pic:cNvPicPr>
                    <a:picLocks noChangeAspect="1" noChangeArrowheads="1"/>
                  </pic:cNvPicPr>
                </pic:nvPicPr>
                <pic:blipFill>
                  <a:blip r:embed="rId2"/>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B6" w:rsidRDefault="007A03B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B6" w:rsidRDefault="007A03B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B6" w:rsidRDefault="007A03B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B6" w:rsidRDefault="007A03B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B6" w:rsidRDefault="007A03B6"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B6" w:rsidRDefault="007A03B6" w:rsidP="006E08B3">
    <w:r>
      <w:t>Therapeutic Goods Administration</w:t>
    </w:r>
  </w:p>
  <w:p w:rsidR="007A03B6" w:rsidRDefault="007A03B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9BC2E1EE"/>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2EE21E0"/>
    <w:multiLevelType w:val="hybridMultilevel"/>
    <w:tmpl w:val="01124FA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E20542"/>
    <w:multiLevelType w:val="hybridMultilevel"/>
    <w:tmpl w:val="C722E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5EC394B"/>
    <w:multiLevelType w:val="hybridMultilevel"/>
    <w:tmpl w:val="4A2E3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1980C65"/>
    <w:multiLevelType w:val="hybridMultilevel"/>
    <w:tmpl w:val="6C6AA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BE311F"/>
    <w:multiLevelType w:val="hybridMultilevel"/>
    <w:tmpl w:val="27425C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nsid w:val="2E9F574B"/>
    <w:multiLevelType w:val="hybridMultilevel"/>
    <w:tmpl w:val="527E2D08"/>
    <w:lvl w:ilvl="0" w:tplc="C86C85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4769571F"/>
    <w:multiLevelType w:val="hybridMultilevel"/>
    <w:tmpl w:val="BEC879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51835953"/>
    <w:multiLevelType w:val="hybridMultilevel"/>
    <w:tmpl w:val="8E54A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872CDC"/>
    <w:multiLevelType w:val="hybridMultilevel"/>
    <w:tmpl w:val="6958A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57B2348"/>
    <w:multiLevelType w:val="hybridMultilevel"/>
    <w:tmpl w:val="9FB8EB74"/>
    <w:lvl w:ilvl="0" w:tplc="9C807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872643D"/>
    <w:multiLevelType w:val="hybridMultilevel"/>
    <w:tmpl w:val="68109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D401AE2"/>
    <w:multiLevelType w:val="hybridMultilevel"/>
    <w:tmpl w:val="37BA63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641D6682"/>
    <w:multiLevelType w:val="hybridMultilevel"/>
    <w:tmpl w:val="A8A65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73A7AA6"/>
    <w:multiLevelType w:val="hybridMultilevel"/>
    <w:tmpl w:val="25AEF07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nsid w:val="6AAF0C05"/>
    <w:multiLevelType w:val="hybridMultilevel"/>
    <w:tmpl w:val="1DFCD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05F31D1"/>
    <w:multiLevelType w:val="hybridMultilevel"/>
    <w:tmpl w:val="799CD01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6">
    <w:nsid w:val="75614E31"/>
    <w:multiLevelType w:val="hybridMultilevel"/>
    <w:tmpl w:val="B072A9B4"/>
    <w:lvl w:ilvl="0" w:tplc="C86C8510">
      <w:start w:val="1"/>
      <w:numFmt w:val="bullet"/>
      <w:lvlText w:val=""/>
      <w:lvlJc w:val="left"/>
      <w:pPr>
        <w:ind w:left="642" w:hanging="360"/>
      </w:pPr>
      <w:rPr>
        <w:rFonts w:ascii="Symbol" w:hAnsi="Symbol" w:hint="default"/>
      </w:rPr>
    </w:lvl>
    <w:lvl w:ilvl="1" w:tplc="0C090003" w:tentative="1">
      <w:start w:val="1"/>
      <w:numFmt w:val="bullet"/>
      <w:lvlText w:val="o"/>
      <w:lvlJc w:val="left"/>
      <w:pPr>
        <w:ind w:left="1362" w:hanging="360"/>
      </w:pPr>
      <w:rPr>
        <w:rFonts w:ascii="Courier New" w:hAnsi="Courier New" w:cs="Courier New" w:hint="default"/>
      </w:rPr>
    </w:lvl>
    <w:lvl w:ilvl="2" w:tplc="0C090005" w:tentative="1">
      <w:start w:val="1"/>
      <w:numFmt w:val="bullet"/>
      <w:lvlText w:val=""/>
      <w:lvlJc w:val="left"/>
      <w:pPr>
        <w:ind w:left="2082" w:hanging="360"/>
      </w:pPr>
      <w:rPr>
        <w:rFonts w:ascii="Wingdings" w:hAnsi="Wingdings" w:hint="default"/>
      </w:rPr>
    </w:lvl>
    <w:lvl w:ilvl="3" w:tplc="0C090001" w:tentative="1">
      <w:start w:val="1"/>
      <w:numFmt w:val="bullet"/>
      <w:lvlText w:val=""/>
      <w:lvlJc w:val="left"/>
      <w:pPr>
        <w:ind w:left="2802" w:hanging="360"/>
      </w:pPr>
      <w:rPr>
        <w:rFonts w:ascii="Symbol" w:hAnsi="Symbol" w:hint="default"/>
      </w:rPr>
    </w:lvl>
    <w:lvl w:ilvl="4" w:tplc="0C090003" w:tentative="1">
      <w:start w:val="1"/>
      <w:numFmt w:val="bullet"/>
      <w:lvlText w:val="o"/>
      <w:lvlJc w:val="left"/>
      <w:pPr>
        <w:ind w:left="3522" w:hanging="360"/>
      </w:pPr>
      <w:rPr>
        <w:rFonts w:ascii="Courier New" w:hAnsi="Courier New" w:cs="Courier New" w:hint="default"/>
      </w:rPr>
    </w:lvl>
    <w:lvl w:ilvl="5" w:tplc="0C090005" w:tentative="1">
      <w:start w:val="1"/>
      <w:numFmt w:val="bullet"/>
      <w:lvlText w:val=""/>
      <w:lvlJc w:val="left"/>
      <w:pPr>
        <w:ind w:left="4242" w:hanging="360"/>
      </w:pPr>
      <w:rPr>
        <w:rFonts w:ascii="Wingdings" w:hAnsi="Wingdings" w:hint="default"/>
      </w:rPr>
    </w:lvl>
    <w:lvl w:ilvl="6" w:tplc="0C090001" w:tentative="1">
      <w:start w:val="1"/>
      <w:numFmt w:val="bullet"/>
      <w:lvlText w:val=""/>
      <w:lvlJc w:val="left"/>
      <w:pPr>
        <w:ind w:left="4962" w:hanging="360"/>
      </w:pPr>
      <w:rPr>
        <w:rFonts w:ascii="Symbol" w:hAnsi="Symbol" w:hint="default"/>
      </w:rPr>
    </w:lvl>
    <w:lvl w:ilvl="7" w:tplc="0C090003" w:tentative="1">
      <w:start w:val="1"/>
      <w:numFmt w:val="bullet"/>
      <w:lvlText w:val="o"/>
      <w:lvlJc w:val="left"/>
      <w:pPr>
        <w:ind w:left="5682" w:hanging="360"/>
      </w:pPr>
      <w:rPr>
        <w:rFonts w:ascii="Courier New" w:hAnsi="Courier New" w:cs="Courier New" w:hint="default"/>
      </w:rPr>
    </w:lvl>
    <w:lvl w:ilvl="8" w:tplc="0C090005" w:tentative="1">
      <w:start w:val="1"/>
      <w:numFmt w:val="bullet"/>
      <w:lvlText w:val=""/>
      <w:lvlJc w:val="left"/>
      <w:pPr>
        <w:ind w:left="6402" w:hanging="360"/>
      </w:pPr>
      <w:rPr>
        <w:rFonts w:ascii="Wingdings" w:hAnsi="Wingdings" w:hint="default"/>
      </w:rPr>
    </w:lvl>
  </w:abstractNum>
  <w:abstractNum w:abstractNumId="27">
    <w:nsid w:val="7DB27383"/>
    <w:multiLevelType w:val="hybridMultilevel"/>
    <w:tmpl w:val="8CB09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5"/>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0"/>
  </w:num>
  <w:num w:numId="32">
    <w:abstractNumId w:val="23"/>
  </w:num>
  <w:num w:numId="33">
    <w:abstractNumId w:val="7"/>
  </w:num>
  <w:num w:numId="34">
    <w:abstractNumId w:val="19"/>
  </w:num>
  <w:num w:numId="35">
    <w:abstractNumId w:val="27"/>
  </w:num>
  <w:num w:numId="36">
    <w:abstractNumId w:val="22"/>
  </w:num>
  <w:num w:numId="37">
    <w:abstractNumId w:val="12"/>
  </w:num>
  <w:num w:numId="38">
    <w:abstractNumId w:val="13"/>
  </w:num>
  <w:num w:numId="39">
    <w:abstractNumId w:val="16"/>
  </w:num>
  <w:num w:numId="40">
    <w:abstractNumId w:val="26"/>
  </w:num>
  <w:num w:numId="41">
    <w:abstractNumId w:val="9"/>
  </w:num>
  <w:num w:numId="42">
    <w:abstractNumId w:val="24"/>
  </w:num>
  <w:num w:numId="43">
    <w:abstractNumId w:val="20"/>
  </w:num>
  <w:num w:numId="44">
    <w:abstractNumId w:val="17"/>
  </w:num>
  <w:num w:numId="45">
    <w:abstractNumId w:val="18"/>
  </w:num>
  <w:num w:numId="46">
    <w:abstractNumId w:val="5"/>
  </w:num>
  <w:num w:numId="47">
    <w:abstractNumId w:val="4"/>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proofState w:spelling="clean" w:grammar="clean"/>
  <w:attachedTemplate r:id="rId1"/>
  <w:stylePaneFormatFilter w:val="1001"/>
  <w:stylePaneSortMethod w:val="0000"/>
  <w:doNotTrackFormatting/>
  <w:defaultTabStop w:val="720"/>
  <w:drawingGridHorizontalSpacing w:val="110"/>
  <w:displayHorizontalDrawingGridEvery w:val="2"/>
  <w:characterSpacingControl w:val="doNotCompress"/>
  <w:hdrShapeDefaults>
    <o:shapedefaults v:ext="edit" spidmax="53249">
      <o:colormenu v:ext="edit" fillcolor="none [3206]"/>
    </o:shapedefaults>
  </w:hdrShapeDefaults>
  <w:footnotePr>
    <w:footnote w:id="-1"/>
    <w:footnote w:id="0"/>
  </w:footnotePr>
  <w:endnotePr>
    <w:endnote w:id="-1"/>
    <w:endnote w:id="0"/>
  </w:endnotePr>
  <w:compat/>
  <w:rsids>
    <w:rsidRoot w:val="000871C1"/>
    <w:rsid w:val="00002031"/>
    <w:rsid w:val="00002F7A"/>
    <w:rsid w:val="00003F8B"/>
    <w:rsid w:val="00004734"/>
    <w:rsid w:val="00006B22"/>
    <w:rsid w:val="0001276A"/>
    <w:rsid w:val="00012EB4"/>
    <w:rsid w:val="00015A2B"/>
    <w:rsid w:val="000203BA"/>
    <w:rsid w:val="00021A71"/>
    <w:rsid w:val="00022BBE"/>
    <w:rsid w:val="000246AE"/>
    <w:rsid w:val="00024DC3"/>
    <w:rsid w:val="00025C67"/>
    <w:rsid w:val="00027B14"/>
    <w:rsid w:val="00030B68"/>
    <w:rsid w:val="000320B5"/>
    <w:rsid w:val="00035654"/>
    <w:rsid w:val="00041EC7"/>
    <w:rsid w:val="00042111"/>
    <w:rsid w:val="0004315A"/>
    <w:rsid w:val="00045F3F"/>
    <w:rsid w:val="0004653F"/>
    <w:rsid w:val="0005559E"/>
    <w:rsid w:val="000657A0"/>
    <w:rsid w:val="00067DB9"/>
    <w:rsid w:val="000732A9"/>
    <w:rsid w:val="000750AB"/>
    <w:rsid w:val="000766CF"/>
    <w:rsid w:val="000773C7"/>
    <w:rsid w:val="00077775"/>
    <w:rsid w:val="00081564"/>
    <w:rsid w:val="00081F29"/>
    <w:rsid w:val="000871C1"/>
    <w:rsid w:val="00090471"/>
    <w:rsid w:val="00090710"/>
    <w:rsid w:val="00092859"/>
    <w:rsid w:val="000929FF"/>
    <w:rsid w:val="000949F2"/>
    <w:rsid w:val="00096AA7"/>
    <w:rsid w:val="0009725C"/>
    <w:rsid w:val="00097364"/>
    <w:rsid w:val="000A234F"/>
    <w:rsid w:val="000A2E6F"/>
    <w:rsid w:val="000A3A6E"/>
    <w:rsid w:val="000A3AED"/>
    <w:rsid w:val="000A7EF4"/>
    <w:rsid w:val="000B3532"/>
    <w:rsid w:val="000B3A64"/>
    <w:rsid w:val="000B3A75"/>
    <w:rsid w:val="000B4DBD"/>
    <w:rsid w:val="000B6FE1"/>
    <w:rsid w:val="000B70C0"/>
    <w:rsid w:val="000C04EF"/>
    <w:rsid w:val="000C0A05"/>
    <w:rsid w:val="000C604F"/>
    <w:rsid w:val="000C690F"/>
    <w:rsid w:val="000C72D9"/>
    <w:rsid w:val="000C762C"/>
    <w:rsid w:val="000D1295"/>
    <w:rsid w:val="000D391B"/>
    <w:rsid w:val="000D3D6D"/>
    <w:rsid w:val="000D4FC7"/>
    <w:rsid w:val="000D7CD3"/>
    <w:rsid w:val="000E3528"/>
    <w:rsid w:val="000E3C72"/>
    <w:rsid w:val="000F30A6"/>
    <w:rsid w:val="000F4869"/>
    <w:rsid w:val="000F5B42"/>
    <w:rsid w:val="000F6E6F"/>
    <w:rsid w:val="00103454"/>
    <w:rsid w:val="00104C6D"/>
    <w:rsid w:val="0010601F"/>
    <w:rsid w:val="0010788A"/>
    <w:rsid w:val="00107A31"/>
    <w:rsid w:val="00110EA5"/>
    <w:rsid w:val="0011126D"/>
    <w:rsid w:val="00112F53"/>
    <w:rsid w:val="00112F56"/>
    <w:rsid w:val="00114E13"/>
    <w:rsid w:val="001150AA"/>
    <w:rsid w:val="00115A5B"/>
    <w:rsid w:val="00115A98"/>
    <w:rsid w:val="00121725"/>
    <w:rsid w:val="00124458"/>
    <w:rsid w:val="00124ADD"/>
    <w:rsid w:val="00124BFF"/>
    <w:rsid w:val="00124C7E"/>
    <w:rsid w:val="00125318"/>
    <w:rsid w:val="001305A2"/>
    <w:rsid w:val="00130735"/>
    <w:rsid w:val="00133238"/>
    <w:rsid w:val="00136E78"/>
    <w:rsid w:val="00141700"/>
    <w:rsid w:val="0014197B"/>
    <w:rsid w:val="00142FF8"/>
    <w:rsid w:val="001447CD"/>
    <w:rsid w:val="00144FBA"/>
    <w:rsid w:val="001474DA"/>
    <w:rsid w:val="001516B1"/>
    <w:rsid w:val="00154EBB"/>
    <w:rsid w:val="00156316"/>
    <w:rsid w:val="00157E23"/>
    <w:rsid w:val="00160CCD"/>
    <w:rsid w:val="00162D14"/>
    <w:rsid w:val="001643A8"/>
    <w:rsid w:val="00165389"/>
    <w:rsid w:val="00166D7D"/>
    <w:rsid w:val="0016792C"/>
    <w:rsid w:val="0017034A"/>
    <w:rsid w:val="00171DFC"/>
    <w:rsid w:val="00172C90"/>
    <w:rsid w:val="0017693F"/>
    <w:rsid w:val="001805E7"/>
    <w:rsid w:val="00180748"/>
    <w:rsid w:val="0018110E"/>
    <w:rsid w:val="00181684"/>
    <w:rsid w:val="00181D97"/>
    <w:rsid w:val="001843C6"/>
    <w:rsid w:val="00184C0E"/>
    <w:rsid w:val="001850E0"/>
    <w:rsid w:val="00185E3B"/>
    <w:rsid w:val="001862D8"/>
    <w:rsid w:val="00187177"/>
    <w:rsid w:val="00194B42"/>
    <w:rsid w:val="001A0D01"/>
    <w:rsid w:val="001A2158"/>
    <w:rsid w:val="001A525F"/>
    <w:rsid w:val="001B09F9"/>
    <w:rsid w:val="001B1DA8"/>
    <w:rsid w:val="001B4035"/>
    <w:rsid w:val="001B6448"/>
    <w:rsid w:val="001C35BD"/>
    <w:rsid w:val="001D03AC"/>
    <w:rsid w:val="001D0849"/>
    <w:rsid w:val="001D28F6"/>
    <w:rsid w:val="001D2D8D"/>
    <w:rsid w:val="001D3803"/>
    <w:rsid w:val="001D50D9"/>
    <w:rsid w:val="001D723B"/>
    <w:rsid w:val="001E07CF"/>
    <w:rsid w:val="001E2A0B"/>
    <w:rsid w:val="001E59F1"/>
    <w:rsid w:val="001E738E"/>
    <w:rsid w:val="001F4568"/>
    <w:rsid w:val="001F49EB"/>
    <w:rsid w:val="001F6CBA"/>
    <w:rsid w:val="00200E20"/>
    <w:rsid w:val="002010AA"/>
    <w:rsid w:val="0020136D"/>
    <w:rsid w:val="002019D3"/>
    <w:rsid w:val="00201D4E"/>
    <w:rsid w:val="002028D8"/>
    <w:rsid w:val="00203923"/>
    <w:rsid w:val="002076C9"/>
    <w:rsid w:val="00212F98"/>
    <w:rsid w:val="00215978"/>
    <w:rsid w:val="00220B8A"/>
    <w:rsid w:val="0022108E"/>
    <w:rsid w:val="002257F3"/>
    <w:rsid w:val="002267F1"/>
    <w:rsid w:val="00226B96"/>
    <w:rsid w:val="00230813"/>
    <w:rsid w:val="00231949"/>
    <w:rsid w:val="00233456"/>
    <w:rsid w:val="002339A5"/>
    <w:rsid w:val="0023527C"/>
    <w:rsid w:val="002357AA"/>
    <w:rsid w:val="00237EFF"/>
    <w:rsid w:val="00240DF0"/>
    <w:rsid w:val="0024142F"/>
    <w:rsid w:val="002430A5"/>
    <w:rsid w:val="002431CF"/>
    <w:rsid w:val="002456E0"/>
    <w:rsid w:val="00252684"/>
    <w:rsid w:val="00257848"/>
    <w:rsid w:val="0025792D"/>
    <w:rsid w:val="002675D3"/>
    <w:rsid w:val="00270529"/>
    <w:rsid w:val="0027084A"/>
    <w:rsid w:val="00272CEF"/>
    <w:rsid w:val="00272F40"/>
    <w:rsid w:val="00277033"/>
    <w:rsid w:val="00280532"/>
    <w:rsid w:val="002851C3"/>
    <w:rsid w:val="00286434"/>
    <w:rsid w:val="00286C59"/>
    <w:rsid w:val="002915BB"/>
    <w:rsid w:val="002915EA"/>
    <w:rsid w:val="00291918"/>
    <w:rsid w:val="00291957"/>
    <w:rsid w:val="002939FA"/>
    <w:rsid w:val="002942D1"/>
    <w:rsid w:val="0029501A"/>
    <w:rsid w:val="002969F0"/>
    <w:rsid w:val="002A2325"/>
    <w:rsid w:val="002A2C65"/>
    <w:rsid w:val="002A3EFD"/>
    <w:rsid w:val="002B1638"/>
    <w:rsid w:val="002B1B0D"/>
    <w:rsid w:val="002B378F"/>
    <w:rsid w:val="002B7694"/>
    <w:rsid w:val="002C0832"/>
    <w:rsid w:val="002C0D34"/>
    <w:rsid w:val="002D0176"/>
    <w:rsid w:val="002D0B73"/>
    <w:rsid w:val="002D2354"/>
    <w:rsid w:val="002D3C1C"/>
    <w:rsid w:val="002D453C"/>
    <w:rsid w:val="002D623F"/>
    <w:rsid w:val="002E0260"/>
    <w:rsid w:val="002E09AD"/>
    <w:rsid w:val="002E0B5D"/>
    <w:rsid w:val="002E4B59"/>
    <w:rsid w:val="002E4C9A"/>
    <w:rsid w:val="002F11F8"/>
    <w:rsid w:val="002F3F56"/>
    <w:rsid w:val="002F44B5"/>
    <w:rsid w:val="002F47EC"/>
    <w:rsid w:val="002F7529"/>
    <w:rsid w:val="00305098"/>
    <w:rsid w:val="00311AC0"/>
    <w:rsid w:val="003129F8"/>
    <w:rsid w:val="0031496E"/>
    <w:rsid w:val="00316D2D"/>
    <w:rsid w:val="003254A4"/>
    <w:rsid w:val="0032583B"/>
    <w:rsid w:val="0032604D"/>
    <w:rsid w:val="00326E56"/>
    <w:rsid w:val="00327883"/>
    <w:rsid w:val="00327A8A"/>
    <w:rsid w:val="00335504"/>
    <w:rsid w:val="0033620C"/>
    <w:rsid w:val="003521E8"/>
    <w:rsid w:val="00353043"/>
    <w:rsid w:val="00353AC4"/>
    <w:rsid w:val="00360635"/>
    <w:rsid w:val="00360D77"/>
    <w:rsid w:val="003630D4"/>
    <w:rsid w:val="003728F3"/>
    <w:rsid w:val="0037402B"/>
    <w:rsid w:val="0037496E"/>
    <w:rsid w:val="003775FD"/>
    <w:rsid w:val="00381E10"/>
    <w:rsid w:val="003826C3"/>
    <w:rsid w:val="00383C28"/>
    <w:rsid w:val="00386150"/>
    <w:rsid w:val="003874CE"/>
    <w:rsid w:val="00387517"/>
    <w:rsid w:val="00390900"/>
    <w:rsid w:val="00391461"/>
    <w:rsid w:val="003920E9"/>
    <w:rsid w:val="00397C65"/>
    <w:rsid w:val="003A1937"/>
    <w:rsid w:val="003A33B1"/>
    <w:rsid w:val="003A567F"/>
    <w:rsid w:val="003A5A70"/>
    <w:rsid w:val="003A5C0F"/>
    <w:rsid w:val="003A6BAB"/>
    <w:rsid w:val="003A7BA9"/>
    <w:rsid w:val="003A7F6C"/>
    <w:rsid w:val="003B222E"/>
    <w:rsid w:val="003B23DF"/>
    <w:rsid w:val="003B440C"/>
    <w:rsid w:val="003B4D60"/>
    <w:rsid w:val="003B5257"/>
    <w:rsid w:val="003B7E39"/>
    <w:rsid w:val="003C1DF3"/>
    <w:rsid w:val="003C22AC"/>
    <w:rsid w:val="003C46BB"/>
    <w:rsid w:val="003C58DC"/>
    <w:rsid w:val="003C629E"/>
    <w:rsid w:val="003C6EF1"/>
    <w:rsid w:val="003D0FA4"/>
    <w:rsid w:val="003D1E62"/>
    <w:rsid w:val="003D2327"/>
    <w:rsid w:val="003D3052"/>
    <w:rsid w:val="003E0213"/>
    <w:rsid w:val="003E0EB7"/>
    <w:rsid w:val="003E2486"/>
    <w:rsid w:val="003E3208"/>
    <w:rsid w:val="003E6707"/>
    <w:rsid w:val="003E74E0"/>
    <w:rsid w:val="003F0B04"/>
    <w:rsid w:val="003F36E4"/>
    <w:rsid w:val="003F4D4F"/>
    <w:rsid w:val="003F5202"/>
    <w:rsid w:val="003F67DC"/>
    <w:rsid w:val="0040134E"/>
    <w:rsid w:val="004022FC"/>
    <w:rsid w:val="004071C4"/>
    <w:rsid w:val="00411639"/>
    <w:rsid w:val="004116C3"/>
    <w:rsid w:val="004127AE"/>
    <w:rsid w:val="004132A1"/>
    <w:rsid w:val="00413A7C"/>
    <w:rsid w:val="00416DE5"/>
    <w:rsid w:val="0042243F"/>
    <w:rsid w:val="00424120"/>
    <w:rsid w:val="0043203A"/>
    <w:rsid w:val="00433654"/>
    <w:rsid w:val="00433DF0"/>
    <w:rsid w:val="004360EC"/>
    <w:rsid w:val="00440A2D"/>
    <w:rsid w:val="00442805"/>
    <w:rsid w:val="004440F7"/>
    <w:rsid w:val="0045562A"/>
    <w:rsid w:val="004564A7"/>
    <w:rsid w:val="00460377"/>
    <w:rsid w:val="004617BF"/>
    <w:rsid w:val="0046196D"/>
    <w:rsid w:val="00463658"/>
    <w:rsid w:val="00464261"/>
    <w:rsid w:val="00464A1F"/>
    <w:rsid w:val="00465976"/>
    <w:rsid w:val="00466CD4"/>
    <w:rsid w:val="004722CC"/>
    <w:rsid w:val="00475044"/>
    <w:rsid w:val="00476847"/>
    <w:rsid w:val="00476F19"/>
    <w:rsid w:val="0048319D"/>
    <w:rsid w:val="004856DE"/>
    <w:rsid w:val="00492039"/>
    <w:rsid w:val="004925E6"/>
    <w:rsid w:val="004936E4"/>
    <w:rsid w:val="00494E60"/>
    <w:rsid w:val="00496071"/>
    <w:rsid w:val="00497487"/>
    <w:rsid w:val="004A2133"/>
    <w:rsid w:val="004A5F0C"/>
    <w:rsid w:val="004A677B"/>
    <w:rsid w:val="004B1441"/>
    <w:rsid w:val="004B223C"/>
    <w:rsid w:val="004B6BFC"/>
    <w:rsid w:val="004B7B76"/>
    <w:rsid w:val="004C0005"/>
    <w:rsid w:val="004C239D"/>
    <w:rsid w:val="004C2DCA"/>
    <w:rsid w:val="004C2E60"/>
    <w:rsid w:val="004C5F49"/>
    <w:rsid w:val="004C7479"/>
    <w:rsid w:val="004C7D6A"/>
    <w:rsid w:val="004D0B47"/>
    <w:rsid w:val="004D51CD"/>
    <w:rsid w:val="004D5E28"/>
    <w:rsid w:val="004E1548"/>
    <w:rsid w:val="004E2184"/>
    <w:rsid w:val="004E53F8"/>
    <w:rsid w:val="004F0F38"/>
    <w:rsid w:val="004F5942"/>
    <w:rsid w:val="00500411"/>
    <w:rsid w:val="00501921"/>
    <w:rsid w:val="0050574A"/>
    <w:rsid w:val="00510253"/>
    <w:rsid w:val="00511B89"/>
    <w:rsid w:val="00521A7C"/>
    <w:rsid w:val="00521F9D"/>
    <w:rsid w:val="005229CC"/>
    <w:rsid w:val="00530354"/>
    <w:rsid w:val="0053625B"/>
    <w:rsid w:val="005434C6"/>
    <w:rsid w:val="00543B39"/>
    <w:rsid w:val="00550096"/>
    <w:rsid w:val="00551852"/>
    <w:rsid w:val="00555B4B"/>
    <w:rsid w:val="00556695"/>
    <w:rsid w:val="005573AF"/>
    <w:rsid w:val="00557FF9"/>
    <w:rsid w:val="005601F2"/>
    <w:rsid w:val="005671FB"/>
    <w:rsid w:val="00570472"/>
    <w:rsid w:val="005710AF"/>
    <w:rsid w:val="005729DC"/>
    <w:rsid w:val="005734A3"/>
    <w:rsid w:val="00573E85"/>
    <w:rsid w:val="0057471F"/>
    <w:rsid w:val="00574E32"/>
    <w:rsid w:val="00575E9E"/>
    <w:rsid w:val="00576378"/>
    <w:rsid w:val="00577130"/>
    <w:rsid w:val="00577945"/>
    <w:rsid w:val="00577E38"/>
    <w:rsid w:val="00580229"/>
    <w:rsid w:val="00581285"/>
    <w:rsid w:val="00585322"/>
    <w:rsid w:val="005857C6"/>
    <w:rsid w:val="00585E54"/>
    <w:rsid w:val="00590BAF"/>
    <w:rsid w:val="00592F6E"/>
    <w:rsid w:val="00593AD1"/>
    <w:rsid w:val="00593F6D"/>
    <w:rsid w:val="005970DC"/>
    <w:rsid w:val="005A022F"/>
    <w:rsid w:val="005A2957"/>
    <w:rsid w:val="005A68B6"/>
    <w:rsid w:val="005A6F7F"/>
    <w:rsid w:val="005B6662"/>
    <w:rsid w:val="005C3303"/>
    <w:rsid w:val="005C4410"/>
    <w:rsid w:val="005C5570"/>
    <w:rsid w:val="005C6774"/>
    <w:rsid w:val="005C68E5"/>
    <w:rsid w:val="005C79A4"/>
    <w:rsid w:val="005D087A"/>
    <w:rsid w:val="005D2F8A"/>
    <w:rsid w:val="005D5442"/>
    <w:rsid w:val="005E12C1"/>
    <w:rsid w:val="005E5244"/>
    <w:rsid w:val="005F14AA"/>
    <w:rsid w:val="005F3E3E"/>
    <w:rsid w:val="005F478D"/>
    <w:rsid w:val="00603F32"/>
    <w:rsid w:val="00604BF7"/>
    <w:rsid w:val="006069F3"/>
    <w:rsid w:val="006114B9"/>
    <w:rsid w:val="00612950"/>
    <w:rsid w:val="00617AD6"/>
    <w:rsid w:val="00622FA8"/>
    <w:rsid w:val="00625A6E"/>
    <w:rsid w:val="00626254"/>
    <w:rsid w:val="00632398"/>
    <w:rsid w:val="00634E8B"/>
    <w:rsid w:val="00637C7A"/>
    <w:rsid w:val="00640FC3"/>
    <w:rsid w:val="00642020"/>
    <w:rsid w:val="00646EE0"/>
    <w:rsid w:val="00647B28"/>
    <w:rsid w:val="0065224C"/>
    <w:rsid w:val="0065337B"/>
    <w:rsid w:val="0065419D"/>
    <w:rsid w:val="00656FED"/>
    <w:rsid w:val="006604D8"/>
    <w:rsid w:val="00661145"/>
    <w:rsid w:val="00662944"/>
    <w:rsid w:val="00663322"/>
    <w:rsid w:val="00664A5B"/>
    <w:rsid w:val="0066693B"/>
    <w:rsid w:val="00670B8E"/>
    <w:rsid w:val="006741FD"/>
    <w:rsid w:val="006763D2"/>
    <w:rsid w:val="00680C08"/>
    <w:rsid w:val="00680FC6"/>
    <w:rsid w:val="006931B1"/>
    <w:rsid w:val="006975DC"/>
    <w:rsid w:val="006A0783"/>
    <w:rsid w:val="006A15C0"/>
    <w:rsid w:val="006A2960"/>
    <w:rsid w:val="006A3BC3"/>
    <w:rsid w:val="006A7D55"/>
    <w:rsid w:val="006B0A93"/>
    <w:rsid w:val="006B4122"/>
    <w:rsid w:val="006B477B"/>
    <w:rsid w:val="006B49C5"/>
    <w:rsid w:val="006B683F"/>
    <w:rsid w:val="006C017B"/>
    <w:rsid w:val="006C02D3"/>
    <w:rsid w:val="006C0BC1"/>
    <w:rsid w:val="006C2911"/>
    <w:rsid w:val="006C3E2A"/>
    <w:rsid w:val="006C642F"/>
    <w:rsid w:val="006C686D"/>
    <w:rsid w:val="006D03E5"/>
    <w:rsid w:val="006D3F1E"/>
    <w:rsid w:val="006D5119"/>
    <w:rsid w:val="006D5D3E"/>
    <w:rsid w:val="006D6141"/>
    <w:rsid w:val="006E08B3"/>
    <w:rsid w:val="006E2EBD"/>
    <w:rsid w:val="006E36C1"/>
    <w:rsid w:val="006E7552"/>
    <w:rsid w:val="006F048A"/>
    <w:rsid w:val="006F17AC"/>
    <w:rsid w:val="006F1EDC"/>
    <w:rsid w:val="006F54E8"/>
    <w:rsid w:val="006F572E"/>
    <w:rsid w:val="006F600C"/>
    <w:rsid w:val="006F7F0C"/>
    <w:rsid w:val="00701218"/>
    <w:rsid w:val="00703D98"/>
    <w:rsid w:val="00703E12"/>
    <w:rsid w:val="007046D6"/>
    <w:rsid w:val="00705DB0"/>
    <w:rsid w:val="0070721F"/>
    <w:rsid w:val="00715A07"/>
    <w:rsid w:val="00717304"/>
    <w:rsid w:val="00717F05"/>
    <w:rsid w:val="00722B57"/>
    <w:rsid w:val="00730D95"/>
    <w:rsid w:val="007346AD"/>
    <w:rsid w:val="00735B32"/>
    <w:rsid w:val="00741EF7"/>
    <w:rsid w:val="0074253D"/>
    <w:rsid w:val="0074429B"/>
    <w:rsid w:val="00746F7B"/>
    <w:rsid w:val="00750ABD"/>
    <w:rsid w:val="00753170"/>
    <w:rsid w:val="007541E7"/>
    <w:rsid w:val="007615BC"/>
    <w:rsid w:val="00762F05"/>
    <w:rsid w:val="0076305E"/>
    <w:rsid w:val="00764844"/>
    <w:rsid w:val="007652FF"/>
    <w:rsid w:val="007659BC"/>
    <w:rsid w:val="00765A6C"/>
    <w:rsid w:val="0076788C"/>
    <w:rsid w:val="00770EF1"/>
    <w:rsid w:val="00773EF7"/>
    <w:rsid w:val="00774930"/>
    <w:rsid w:val="00774E1D"/>
    <w:rsid w:val="0077675A"/>
    <w:rsid w:val="007774E2"/>
    <w:rsid w:val="00780355"/>
    <w:rsid w:val="007828EF"/>
    <w:rsid w:val="00782FC2"/>
    <w:rsid w:val="00783279"/>
    <w:rsid w:val="00784E4F"/>
    <w:rsid w:val="00785721"/>
    <w:rsid w:val="00787D84"/>
    <w:rsid w:val="00792F2E"/>
    <w:rsid w:val="00793A59"/>
    <w:rsid w:val="0079686D"/>
    <w:rsid w:val="007A03B6"/>
    <w:rsid w:val="007A267E"/>
    <w:rsid w:val="007A405E"/>
    <w:rsid w:val="007A6865"/>
    <w:rsid w:val="007A7DFE"/>
    <w:rsid w:val="007B0054"/>
    <w:rsid w:val="007B287A"/>
    <w:rsid w:val="007B2E84"/>
    <w:rsid w:val="007B6E9F"/>
    <w:rsid w:val="007C1216"/>
    <w:rsid w:val="007C1AF7"/>
    <w:rsid w:val="007C2EC9"/>
    <w:rsid w:val="007C48A0"/>
    <w:rsid w:val="007C643C"/>
    <w:rsid w:val="007C7DFE"/>
    <w:rsid w:val="007D0AA8"/>
    <w:rsid w:val="007D6C4E"/>
    <w:rsid w:val="007D7958"/>
    <w:rsid w:val="007F2223"/>
    <w:rsid w:val="007F35CE"/>
    <w:rsid w:val="00801138"/>
    <w:rsid w:val="00801783"/>
    <w:rsid w:val="008037D1"/>
    <w:rsid w:val="00803857"/>
    <w:rsid w:val="00805D27"/>
    <w:rsid w:val="0080716E"/>
    <w:rsid w:val="00807A2B"/>
    <w:rsid w:val="008131E9"/>
    <w:rsid w:val="0081509C"/>
    <w:rsid w:val="00817EFE"/>
    <w:rsid w:val="00820A58"/>
    <w:rsid w:val="00821677"/>
    <w:rsid w:val="00821776"/>
    <w:rsid w:val="00826E1F"/>
    <w:rsid w:val="00827EBD"/>
    <w:rsid w:val="00830BA3"/>
    <w:rsid w:val="00830BD4"/>
    <w:rsid w:val="00831D04"/>
    <w:rsid w:val="008321F5"/>
    <w:rsid w:val="00832225"/>
    <w:rsid w:val="00832369"/>
    <w:rsid w:val="00834660"/>
    <w:rsid w:val="00836BC2"/>
    <w:rsid w:val="00841271"/>
    <w:rsid w:val="008421C6"/>
    <w:rsid w:val="00842B95"/>
    <w:rsid w:val="008437B6"/>
    <w:rsid w:val="008439EA"/>
    <w:rsid w:val="0084406D"/>
    <w:rsid w:val="00847329"/>
    <w:rsid w:val="0085641B"/>
    <w:rsid w:val="00857136"/>
    <w:rsid w:val="00864A58"/>
    <w:rsid w:val="0086704F"/>
    <w:rsid w:val="008679AF"/>
    <w:rsid w:val="00871656"/>
    <w:rsid w:val="00872A4E"/>
    <w:rsid w:val="00876888"/>
    <w:rsid w:val="008821E6"/>
    <w:rsid w:val="00884DE9"/>
    <w:rsid w:val="00885B11"/>
    <w:rsid w:val="00885D4B"/>
    <w:rsid w:val="00886D15"/>
    <w:rsid w:val="00887DD8"/>
    <w:rsid w:val="00890BFD"/>
    <w:rsid w:val="00893E2F"/>
    <w:rsid w:val="00894330"/>
    <w:rsid w:val="00894B61"/>
    <w:rsid w:val="00894E0A"/>
    <w:rsid w:val="00896018"/>
    <w:rsid w:val="008960DD"/>
    <w:rsid w:val="0089635C"/>
    <w:rsid w:val="008A175B"/>
    <w:rsid w:val="008A2B9D"/>
    <w:rsid w:val="008A4C6B"/>
    <w:rsid w:val="008A5E0B"/>
    <w:rsid w:val="008A6D59"/>
    <w:rsid w:val="008B1538"/>
    <w:rsid w:val="008B4B03"/>
    <w:rsid w:val="008B4E0D"/>
    <w:rsid w:val="008B596F"/>
    <w:rsid w:val="008C159F"/>
    <w:rsid w:val="008C1623"/>
    <w:rsid w:val="008C1850"/>
    <w:rsid w:val="008C2E3A"/>
    <w:rsid w:val="008C3422"/>
    <w:rsid w:val="008C51A9"/>
    <w:rsid w:val="008D03DA"/>
    <w:rsid w:val="008D12E5"/>
    <w:rsid w:val="008D3887"/>
    <w:rsid w:val="008D3A2C"/>
    <w:rsid w:val="008D4AE0"/>
    <w:rsid w:val="008D7CC2"/>
    <w:rsid w:val="008E0646"/>
    <w:rsid w:val="008E7846"/>
    <w:rsid w:val="008F1CCC"/>
    <w:rsid w:val="008F2967"/>
    <w:rsid w:val="008F5AC7"/>
    <w:rsid w:val="008F6943"/>
    <w:rsid w:val="008F72AF"/>
    <w:rsid w:val="00900166"/>
    <w:rsid w:val="00902A21"/>
    <w:rsid w:val="009034D6"/>
    <w:rsid w:val="00904F77"/>
    <w:rsid w:val="00905CC4"/>
    <w:rsid w:val="009117F7"/>
    <w:rsid w:val="0091635E"/>
    <w:rsid w:val="00916E90"/>
    <w:rsid w:val="00920330"/>
    <w:rsid w:val="009219D7"/>
    <w:rsid w:val="00921C64"/>
    <w:rsid w:val="00922B10"/>
    <w:rsid w:val="00922D53"/>
    <w:rsid w:val="00923B70"/>
    <w:rsid w:val="00924482"/>
    <w:rsid w:val="00924C97"/>
    <w:rsid w:val="00925CB1"/>
    <w:rsid w:val="009271A0"/>
    <w:rsid w:val="00930237"/>
    <w:rsid w:val="009311CE"/>
    <w:rsid w:val="009311E9"/>
    <w:rsid w:val="009329E9"/>
    <w:rsid w:val="0093713B"/>
    <w:rsid w:val="00940C80"/>
    <w:rsid w:val="00946EA5"/>
    <w:rsid w:val="00950693"/>
    <w:rsid w:val="00954EDE"/>
    <w:rsid w:val="00955D4D"/>
    <w:rsid w:val="00963C08"/>
    <w:rsid w:val="0096507D"/>
    <w:rsid w:val="00971C3D"/>
    <w:rsid w:val="00975440"/>
    <w:rsid w:val="00976D9C"/>
    <w:rsid w:val="00980F69"/>
    <w:rsid w:val="0098585A"/>
    <w:rsid w:val="00990C47"/>
    <w:rsid w:val="00991C8D"/>
    <w:rsid w:val="00994F51"/>
    <w:rsid w:val="00997FC9"/>
    <w:rsid w:val="009A3200"/>
    <w:rsid w:val="009A382D"/>
    <w:rsid w:val="009A4CED"/>
    <w:rsid w:val="009A690D"/>
    <w:rsid w:val="009B084D"/>
    <w:rsid w:val="009B1D12"/>
    <w:rsid w:val="009B416B"/>
    <w:rsid w:val="009B5453"/>
    <w:rsid w:val="009B7D23"/>
    <w:rsid w:val="009C17B7"/>
    <w:rsid w:val="009C17C2"/>
    <w:rsid w:val="009C2ADF"/>
    <w:rsid w:val="009C2FF0"/>
    <w:rsid w:val="009C3AD7"/>
    <w:rsid w:val="009C4BD5"/>
    <w:rsid w:val="009C57B9"/>
    <w:rsid w:val="009D1E16"/>
    <w:rsid w:val="009D4F2C"/>
    <w:rsid w:val="009D5335"/>
    <w:rsid w:val="009D5A4A"/>
    <w:rsid w:val="009D7B77"/>
    <w:rsid w:val="009E0BB0"/>
    <w:rsid w:val="009E1AE7"/>
    <w:rsid w:val="009E3113"/>
    <w:rsid w:val="009E3FBB"/>
    <w:rsid w:val="009E5326"/>
    <w:rsid w:val="009F299A"/>
    <w:rsid w:val="009F4B68"/>
    <w:rsid w:val="00A00655"/>
    <w:rsid w:val="00A05F14"/>
    <w:rsid w:val="00A06E0A"/>
    <w:rsid w:val="00A102E4"/>
    <w:rsid w:val="00A12C42"/>
    <w:rsid w:val="00A13CD9"/>
    <w:rsid w:val="00A14DF7"/>
    <w:rsid w:val="00A159A9"/>
    <w:rsid w:val="00A17952"/>
    <w:rsid w:val="00A17F49"/>
    <w:rsid w:val="00A21127"/>
    <w:rsid w:val="00A216C7"/>
    <w:rsid w:val="00A24C3E"/>
    <w:rsid w:val="00A2576C"/>
    <w:rsid w:val="00A3246D"/>
    <w:rsid w:val="00A32575"/>
    <w:rsid w:val="00A36FA7"/>
    <w:rsid w:val="00A44DDC"/>
    <w:rsid w:val="00A4639E"/>
    <w:rsid w:val="00A475B7"/>
    <w:rsid w:val="00A47AF7"/>
    <w:rsid w:val="00A47C3E"/>
    <w:rsid w:val="00A47D94"/>
    <w:rsid w:val="00A50226"/>
    <w:rsid w:val="00A514D4"/>
    <w:rsid w:val="00A52F4B"/>
    <w:rsid w:val="00A53D3B"/>
    <w:rsid w:val="00A60BAD"/>
    <w:rsid w:val="00A62715"/>
    <w:rsid w:val="00A64AD3"/>
    <w:rsid w:val="00A71232"/>
    <w:rsid w:val="00A777EC"/>
    <w:rsid w:val="00A8119C"/>
    <w:rsid w:val="00A818F0"/>
    <w:rsid w:val="00A83C26"/>
    <w:rsid w:val="00A84E36"/>
    <w:rsid w:val="00A84EB8"/>
    <w:rsid w:val="00A964D1"/>
    <w:rsid w:val="00A96A6A"/>
    <w:rsid w:val="00A97CCD"/>
    <w:rsid w:val="00AA0ED0"/>
    <w:rsid w:val="00AA31E8"/>
    <w:rsid w:val="00AB174A"/>
    <w:rsid w:val="00AC0C79"/>
    <w:rsid w:val="00AC206A"/>
    <w:rsid w:val="00AC2B40"/>
    <w:rsid w:val="00AC2BB2"/>
    <w:rsid w:val="00AC2C3C"/>
    <w:rsid w:val="00AC512D"/>
    <w:rsid w:val="00AC5F91"/>
    <w:rsid w:val="00AC797C"/>
    <w:rsid w:val="00AD0083"/>
    <w:rsid w:val="00AD1783"/>
    <w:rsid w:val="00AD44FF"/>
    <w:rsid w:val="00AD79CE"/>
    <w:rsid w:val="00AE0652"/>
    <w:rsid w:val="00AE4776"/>
    <w:rsid w:val="00AE65EB"/>
    <w:rsid w:val="00AE67A7"/>
    <w:rsid w:val="00AE6FE9"/>
    <w:rsid w:val="00AF0B91"/>
    <w:rsid w:val="00AF1636"/>
    <w:rsid w:val="00AF1D94"/>
    <w:rsid w:val="00AF60C5"/>
    <w:rsid w:val="00B009C6"/>
    <w:rsid w:val="00B01548"/>
    <w:rsid w:val="00B050E6"/>
    <w:rsid w:val="00B10966"/>
    <w:rsid w:val="00B10F98"/>
    <w:rsid w:val="00B13DCA"/>
    <w:rsid w:val="00B2029F"/>
    <w:rsid w:val="00B21D29"/>
    <w:rsid w:val="00B21F63"/>
    <w:rsid w:val="00B233A7"/>
    <w:rsid w:val="00B25034"/>
    <w:rsid w:val="00B3157A"/>
    <w:rsid w:val="00B33588"/>
    <w:rsid w:val="00B33863"/>
    <w:rsid w:val="00B3618C"/>
    <w:rsid w:val="00B36EF2"/>
    <w:rsid w:val="00B37D17"/>
    <w:rsid w:val="00B4026B"/>
    <w:rsid w:val="00B40A36"/>
    <w:rsid w:val="00B4102E"/>
    <w:rsid w:val="00B4175E"/>
    <w:rsid w:val="00B452CE"/>
    <w:rsid w:val="00B54C25"/>
    <w:rsid w:val="00B5565B"/>
    <w:rsid w:val="00B562B9"/>
    <w:rsid w:val="00B62046"/>
    <w:rsid w:val="00B62916"/>
    <w:rsid w:val="00B70B57"/>
    <w:rsid w:val="00B71025"/>
    <w:rsid w:val="00B72D1B"/>
    <w:rsid w:val="00B742EF"/>
    <w:rsid w:val="00B74362"/>
    <w:rsid w:val="00B76B91"/>
    <w:rsid w:val="00B77EB1"/>
    <w:rsid w:val="00B80E8E"/>
    <w:rsid w:val="00B811C6"/>
    <w:rsid w:val="00B855B0"/>
    <w:rsid w:val="00B86250"/>
    <w:rsid w:val="00B922ED"/>
    <w:rsid w:val="00B92E08"/>
    <w:rsid w:val="00B9622F"/>
    <w:rsid w:val="00B971F2"/>
    <w:rsid w:val="00BA0131"/>
    <w:rsid w:val="00BA44ED"/>
    <w:rsid w:val="00BA49CE"/>
    <w:rsid w:val="00BA643E"/>
    <w:rsid w:val="00BB0068"/>
    <w:rsid w:val="00BB070C"/>
    <w:rsid w:val="00BB16A0"/>
    <w:rsid w:val="00BB3BB7"/>
    <w:rsid w:val="00BB47D4"/>
    <w:rsid w:val="00BC622A"/>
    <w:rsid w:val="00BD0E72"/>
    <w:rsid w:val="00BD335D"/>
    <w:rsid w:val="00BD4629"/>
    <w:rsid w:val="00BD58D3"/>
    <w:rsid w:val="00BE0A78"/>
    <w:rsid w:val="00BE1D14"/>
    <w:rsid w:val="00BE3C01"/>
    <w:rsid w:val="00BE79F0"/>
    <w:rsid w:val="00BE7F8B"/>
    <w:rsid w:val="00BF009A"/>
    <w:rsid w:val="00BF046D"/>
    <w:rsid w:val="00BF1190"/>
    <w:rsid w:val="00BF45EE"/>
    <w:rsid w:val="00BF5021"/>
    <w:rsid w:val="00BF5936"/>
    <w:rsid w:val="00BF5D04"/>
    <w:rsid w:val="00C1164D"/>
    <w:rsid w:val="00C1384F"/>
    <w:rsid w:val="00C15054"/>
    <w:rsid w:val="00C16861"/>
    <w:rsid w:val="00C22466"/>
    <w:rsid w:val="00C22DBC"/>
    <w:rsid w:val="00C32373"/>
    <w:rsid w:val="00C404A6"/>
    <w:rsid w:val="00C40A36"/>
    <w:rsid w:val="00C42676"/>
    <w:rsid w:val="00C429AD"/>
    <w:rsid w:val="00C44419"/>
    <w:rsid w:val="00C45851"/>
    <w:rsid w:val="00C45E7B"/>
    <w:rsid w:val="00C471B1"/>
    <w:rsid w:val="00C50C60"/>
    <w:rsid w:val="00C54995"/>
    <w:rsid w:val="00C61229"/>
    <w:rsid w:val="00C6316B"/>
    <w:rsid w:val="00C634A9"/>
    <w:rsid w:val="00C64586"/>
    <w:rsid w:val="00C647AB"/>
    <w:rsid w:val="00C66ADD"/>
    <w:rsid w:val="00C70D53"/>
    <w:rsid w:val="00C73D0B"/>
    <w:rsid w:val="00C76B5C"/>
    <w:rsid w:val="00C772FF"/>
    <w:rsid w:val="00C77FCF"/>
    <w:rsid w:val="00C80137"/>
    <w:rsid w:val="00C801AF"/>
    <w:rsid w:val="00C80256"/>
    <w:rsid w:val="00C812C5"/>
    <w:rsid w:val="00C82A5F"/>
    <w:rsid w:val="00C83203"/>
    <w:rsid w:val="00C83570"/>
    <w:rsid w:val="00C87F34"/>
    <w:rsid w:val="00C93256"/>
    <w:rsid w:val="00CA4C8A"/>
    <w:rsid w:val="00CA6D9F"/>
    <w:rsid w:val="00CB19BB"/>
    <w:rsid w:val="00CB2C72"/>
    <w:rsid w:val="00CB33B2"/>
    <w:rsid w:val="00CB365D"/>
    <w:rsid w:val="00CB399E"/>
    <w:rsid w:val="00CB3EBE"/>
    <w:rsid w:val="00CB4249"/>
    <w:rsid w:val="00CB6BC0"/>
    <w:rsid w:val="00CB7089"/>
    <w:rsid w:val="00CC1B7C"/>
    <w:rsid w:val="00CC45A0"/>
    <w:rsid w:val="00CC6E1D"/>
    <w:rsid w:val="00CC727F"/>
    <w:rsid w:val="00CE491F"/>
    <w:rsid w:val="00CE4D60"/>
    <w:rsid w:val="00CE5C94"/>
    <w:rsid w:val="00CE76BF"/>
    <w:rsid w:val="00CF15C3"/>
    <w:rsid w:val="00CF1840"/>
    <w:rsid w:val="00CF2B6F"/>
    <w:rsid w:val="00CF38D6"/>
    <w:rsid w:val="00CF473B"/>
    <w:rsid w:val="00CF5829"/>
    <w:rsid w:val="00CF58B6"/>
    <w:rsid w:val="00D017ED"/>
    <w:rsid w:val="00D040D3"/>
    <w:rsid w:val="00D04C65"/>
    <w:rsid w:val="00D05884"/>
    <w:rsid w:val="00D078CA"/>
    <w:rsid w:val="00D1315C"/>
    <w:rsid w:val="00D139B7"/>
    <w:rsid w:val="00D1447B"/>
    <w:rsid w:val="00D1467A"/>
    <w:rsid w:val="00D17C3A"/>
    <w:rsid w:val="00D224FE"/>
    <w:rsid w:val="00D2270C"/>
    <w:rsid w:val="00D23547"/>
    <w:rsid w:val="00D259FE"/>
    <w:rsid w:val="00D263C8"/>
    <w:rsid w:val="00D26649"/>
    <w:rsid w:val="00D44CE8"/>
    <w:rsid w:val="00D543CE"/>
    <w:rsid w:val="00D555F4"/>
    <w:rsid w:val="00D57D26"/>
    <w:rsid w:val="00D60C77"/>
    <w:rsid w:val="00D635EA"/>
    <w:rsid w:val="00D6493E"/>
    <w:rsid w:val="00D705E3"/>
    <w:rsid w:val="00D7106A"/>
    <w:rsid w:val="00D71F3B"/>
    <w:rsid w:val="00D7301E"/>
    <w:rsid w:val="00D74590"/>
    <w:rsid w:val="00D83789"/>
    <w:rsid w:val="00D83AE1"/>
    <w:rsid w:val="00D855D4"/>
    <w:rsid w:val="00D91A67"/>
    <w:rsid w:val="00D93466"/>
    <w:rsid w:val="00D94145"/>
    <w:rsid w:val="00D9660D"/>
    <w:rsid w:val="00D969D4"/>
    <w:rsid w:val="00D97661"/>
    <w:rsid w:val="00DA0590"/>
    <w:rsid w:val="00DA1124"/>
    <w:rsid w:val="00DA17F3"/>
    <w:rsid w:val="00DA51CE"/>
    <w:rsid w:val="00DA59D7"/>
    <w:rsid w:val="00DA6014"/>
    <w:rsid w:val="00DB1773"/>
    <w:rsid w:val="00DB44C7"/>
    <w:rsid w:val="00DB7508"/>
    <w:rsid w:val="00DB75B7"/>
    <w:rsid w:val="00DC2E51"/>
    <w:rsid w:val="00DC6E02"/>
    <w:rsid w:val="00DD64BE"/>
    <w:rsid w:val="00DE0202"/>
    <w:rsid w:val="00DE02AE"/>
    <w:rsid w:val="00DE3071"/>
    <w:rsid w:val="00DE3994"/>
    <w:rsid w:val="00DE44A7"/>
    <w:rsid w:val="00DE5DAB"/>
    <w:rsid w:val="00DF1D7F"/>
    <w:rsid w:val="00DF2F2D"/>
    <w:rsid w:val="00DF4BE4"/>
    <w:rsid w:val="00DF5AC2"/>
    <w:rsid w:val="00E01E18"/>
    <w:rsid w:val="00E02B81"/>
    <w:rsid w:val="00E02FB4"/>
    <w:rsid w:val="00E0310A"/>
    <w:rsid w:val="00E13213"/>
    <w:rsid w:val="00E15554"/>
    <w:rsid w:val="00E16C1E"/>
    <w:rsid w:val="00E20571"/>
    <w:rsid w:val="00E235F7"/>
    <w:rsid w:val="00E23659"/>
    <w:rsid w:val="00E2391A"/>
    <w:rsid w:val="00E239D4"/>
    <w:rsid w:val="00E26130"/>
    <w:rsid w:val="00E2625A"/>
    <w:rsid w:val="00E266A1"/>
    <w:rsid w:val="00E2724F"/>
    <w:rsid w:val="00E32E94"/>
    <w:rsid w:val="00E3352D"/>
    <w:rsid w:val="00E33725"/>
    <w:rsid w:val="00E3403A"/>
    <w:rsid w:val="00E3547F"/>
    <w:rsid w:val="00E3585E"/>
    <w:rsid w:val="00E40B22"/>
    <w:rsid w:val="00E43219"/>
    <w:rsid w:val="00E45619"/>
    <w:rsid w:val="00E4588F"/>
    <w:rsid w:val="00E46DA3"/>
    <w:rsid w:val="00E51794"/>
    <w:rsid w:val="00E51BB1"/>
    <w:rsid w:val="00E51DA8"/>
    <w:rsid w:val="00E52170"/>
    <w:rsid w:val="00E53815"/>
    <w:rsid w:val="00E5687C"/>
    <w:rsid w:val="00E624A5"/>
    <w:rsid w:val="00E640DF"/>
    <w:rsid w:val="00E66E23"/>
    <w:rsid w:val="00E7344E"/>
    <w:rsid w:val="00E734DF"/>
    <w:rsid w:val="00E759CC"/>
    <w:rsid w:val="00E80D43"/>
    <w:rsid w:val="00E824F1"/>
    <w:rsid w:val="00E85EF9"/>
    <w:rsid w:val="00E933E8"/>
    <w:rsid w:val="00EA3802"/>
    <w:rsid w:val="00EB0798"/>
    <w:rsid w:val="00EB07A6"/>
    <w:rsid w:val="00EB2BD8"/>
    <w:rsid w:val="00EB40AD"/>
    <w:rsid w:val="00EB586E"/>
    <w:rsid w:val="00EB5FC8"/>
    <w:rsid w:val="00EB6915"/>
    <w:rsid w:val="00EC0820"/>
    <w:rsid w:val="00EC6834"/>
    <w:rsid w:val="00ED3CAD"/>
    <w:rsid w:val="00ED5A41"/>
    <w:rsid w:val="00EE1DE8"/>
    <w:rsid w:val="00EE2F61"/>
    <w:rsid w:val="00EE4F58"/>
    <w:rsid w:val="00EF157E"/>
    <w:rsid w:val="00EF3F06"/>
    <w:rsid w:val="00EF67C6"/>
    <w:rsid w:val="00F0011A"/>
    <w:rsid w:val="00F0140F"/>
    <w:rsid w:val="00F02649"/>
    <w:rsid w:val="00F033EC"/>
    <w:rsid w:val="00F0359D"/>
    <w:rsid w:val="00F038F8"/>
    <w:rsid w:val="00F04F68"/>
    <w:rsid w:val="00F0698A"/>
    <w:rsid w:val="00F12670"/>
    <w:rsid w:val="00F14B27"/>
    <w:rsid w:val="00F16547"/>
    <w:rsid w:val="00F20F76"/>
    <w:rsid w:val="00F21788"/>
    <w:rsid w:val="00F22015"/>
    <w:rsid w:val="00F2238C"/>
    <w:rsid w:val="00F23E67"/>
    <w:rsid w:val="00F27BEB"/>
    <w:rsid w:val="00F3101C"/>
    <w:rsid w:val="00F3148D"/>
    <w:rsid w:val="00F325C5"/>
    <w:rsid w:val="00F32FE0"/>
    <w:rsid w:val="00F3323B"/>
    <w:rsid w:val="00F35298"/>
    <w:rsid w:val="00F3617A"/>
    <w:rsid w:val="00F40F0B"/>
    <w:rsid w:val="00F41AD2"/>
    <w:rsid w:val="00F43C63"/>
    <w:rsid w:val="00F4650E"/>
    <w:rsid w:val="00F47333"/>
    <w:rsid w:val="00F47E37"/>
    <w:rsid w:val="00F510C8"/>
    <w:rsid w:val="00F53C07"/>
    <w:rsid w:val="00F54B65"/>
    <w:rsid w:val="00F55781"/>
    <w:rsid w:val="00F5581F"/>
    <w:rsid w:val="00F60C94"/>
    <w:rsid w:val="00F640B6"/>
    <w:rsid w:val="00F70EDF"/>
    <w:rsid w:val="00F71390"/>
    <w:rsid w:val="00F74D42"/>
    <w:rsid w:val="00F7516E"/>
    <w:rsid w:val="00F77EDC"/>
    <w:rsid w:val="00F80E40"/>
    <w:rsid w:val="00F8310E"/>
    <w:rsid w:val="00F84596"/>
    <w:rsid w:val="00F846EA"/>
    <w:rsid w:val="00F848D9"/>
    <w:rsid w:val="00F8724C"/>
    <w:rsid w:val="00F906B7"/>
    <w:rsid w:val="00F922D8"/>
    <w:rsid w:val="00F96FB9"/>
    <w:rsid w:val="00FA190F"/>
    <w:rsid w:val="00FA2C8E"/>
    <w:rsid w:val="00FA4124"/>
    <w:rsid w:val="00FA5B82"/>
    <w:rsid w:val="00FA639E"/>
    <w:rsid w:val="00FA6E8B"/>
    <w:rsid w:val="00FA7514"/>
    <w:rsid w:val="00FB551C"/>
    <w:rsid w:val="00FB6B4F"/>
    <w:rsid w:val="00FB6D43"/>
    <w:rsid w:val="00FB721C"/>
    <w:rsid w:val="00FC2462"/>
    <w:rsid w:val="00FC25E4"/>
    <w:rsid w:val="00FC46EF"/>
    <w:rsid w:val="00FC4EF7"/>
    <w:rsid w:val="00FD0C1F"/>
    <w:rsid w:val="00FE1DEE"/>
    <w:rsid w:val="00FE47CE"/>
    <w:rsid w:val="00FE5F62"/>
    <w:rsid w:val="00FE771C"/>
    <w:rsid w:val="00FF2126"/>
    <w:rsid w:val="00FF2888"/>
    <w:rsid w:val="00FF5755"/>
    <w:rsid w:val="00FF69BE"/>
    <w:rsid w:val="00FF6F32"/>
    <w:rsid w:val="00FF724A"/>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831D04"/>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nhideWhenUsed/>
    <w:rsid w:val="00831D04"/>
    <w:pPr>
      <w:spacing w:before="0" w:after="0" w:line="240" w:lineRule="auto"/>
    </w:pPr>
    <w:rPr>
      <w:sz w:val="18"/>
      <w:szCs w:val="20"/>
    </w:rPr>
  </w:style>
  <w:style w:type="character" w:customStyle="1" w:styleId="FootnoteTextChar">
    <w:name w:val="Footnote Text Char"/>
    <w:basedOn w:val="DefaultParagraphFont"/>
    <w:link w:val="FootnoteText"/>
    <w:rsid w:val="00831D04"/>
    <w:rPr>
      <w:sz w:val="18"/>
      <w:lang w:eastAsia="en-US"/>
    </w:rPr>
  </w:style>
  <w:style w:type="character" w:styleId="FootnoteReference">
    <w:name w:val="footnote reference"/>
    <w:basedOn w:val="DefaultParagraphFont"/>
    <w:semiHidden/>
    <w:unhideWhenUsed/>
    <w:rsid w:val="00E734DF"/>
    <w:rPr>
      <w:vertAlign w:val="superscript"/>
    </w:rPr>
  </w:style>
  <w:style w:type="paragraph" w:styleId="ListParagraph">
    <w:name w:val="List Paragraph"/>
    <w:basedOn w:val="Normal"/>
    <w:uiPriority w:val="34"/>
    <w:qFormat/>
    <w:rsid w:val="003630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point">
    <w:name w:val="Bullet point"/>
    <w:basedOn w:val="Normal"/>
    <w:link w:val="BulletpointChar"/>
    <w:rsid w:val="00F41AD2"/>
    <w:pPr>
      <w:numPr>
        <w:numId w:val="28"/>
      </w:numPr>
      <w:tabs>
        <w:tab w:val="left" w:pos="397"/>
      </w:tabs>
      <w:spacing w:before="0" w:after="180" w:line="252" w:lineRule="auto"/>
    </w:pPr>
    <w:rPr>
      <w:rFonts w:eastAsia="Times New Roman"/>
      <w:snapToGrid w:val="0"/>
      <w:kern w:val="16"/>
      <w:sz w:val="23"/>
      <w:szCs w:val="24"/>
    </w:rPr>
  </w:style>
  <w:style w:type="character" w:customStyle="1" w:styleId="BulletpointChar">
    <w:name w:val="Bullet point Char"/>
    <w:basedOn w:val="DefaultParagraphFont"/>
    <w:link w:val="Bulletpoint"/>
    <w:rsid w:val="00F41AD2"/>
    <w:rPr>
      <w:rFonts w:eastAsia="Times New Roman"/>
      <w:snapToGrid w:val="0"/>
      <w:kern w:val="16"/>
      <w:sz w:val="23"/>
      <w:szCs w:val="24"/>
      <w:lang w:eastAsia="en-US"/>
    </w:rPr>
  </w:style>
  <w:style w:type="paragraph" w:customStyle="1" w:styleId="Standard">
    <w:name w:val="Standard"/>
    <w:basedOn w:val="Normal"/>
    <w:link w:val="StandardChar"/>
    <w:rsid w:val="00D94145"/>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94145"/>
    <w:rPr>
      <w:rFonts w:eastAsia="Times New Roman"/>
      <w:snapToGrid w:val="0"/>
      <w:kern w:val="16"/>
      <w:sz w:val="23"/>
      <w:szCs w:val="24"/>
      <w:lang w:eastAsia="en-US"/>
    </w:rPr>
  </w:style>
  <w:style w:type="paragraph" w:customStyle="1" w:styleId="AssessmentSubsection">
    <w:name w:val="Assessment Subsection"/>
    <w:basedOn w:val="Standard"/>
    <w:next w:val="Standard"/>
    <w:rsid w:val="0093713B"/>
    <w:pPr>
      <w:keepNext/>
      <w:spacing w:after="110"/>
      <w:outlineLvl w:val="2"/>
    </w:pPr>
    <w:rPr>
      <w:b/>
      <w:i/>
    </w:rPr>
  </w:style>
  <w:style w:type="paragraph" w:customStyle="1" w:styleId="AssessmentSubsection2">
    <w:name w:val="Assessment Subsection 2"/>
    <w:basedOn w:val="AssessmentSubsection"/>
    <w:next w:val="Standard"/>
    <w:rsid w:val="00774930"/>
    <w:pPr>
      <w:outlineLvl w:val="3"/>
    </w:pPr>
    <w:rPr>
      <w:b w:val="0"/>
    </w:rPr>
  </w:style>
  <w:style w:type="paragraph" w:customStyle="1" w:styleId="WhiteSpace">
    <w:name w:val="White Space"/>
    <w:basedOn w:val="Standard"/>
    <w:link w:val="WhiteSpaceChar"/>
    <w:uiPriority w:val="99"/>
    <w:rsid w:val="00387517"/>
    <w:pPr>
      <w:spacing w:after="0"/>
    </w:pPr>
    <w:rPr>
      <w:sz w:val="16"/>
      <w:szCs w:val="16"/>
    </w:rPr>
  </w:style>
  <w:style w:type="character" w:customStyle="1" w:styleId="WhiteSpaceChar">
    <w:name w:val="White Space Char"/>
    <w:basedOn w:val="DefaultParagraphFont"/>
    <w:link w:val="WhiteSpace"/>
    <w:uiPriority w:val="99"/>
    <w:rsid w:val="00387517"/>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B10966"/>
    <w:pPr>
      <w:outlineLvl w:val="1"/>
    </w:pPr>
    <w:rPr>
      <w:i w:val="0"/>
    </w:rPr>
  </w:style>
  <w:style w:type="paragraph" w:customStyle="1" w:styleId="Default">
    <w:name w:val="Default"/>
    <w:rsid w:val="0070721F"/>
    <w:pPr>
      <w:autoSpaceDE w:val="0"/>
      <w:autoSpaceDN w:val="0"/>
      <w:adjustRightInd w:val="0"/>
    </w:pPr>
    <w:rPr>
      <w:rFonts w:ascii="Arial" w:eastAsia="Calibri" w:hAnsi="Arial" w:cs="Arial"/>
      <w:color w:val="000000"/>
      <w:sz w:val="24"/>
      <w:szCs w:val="24"/>
      <w:lang w:eastAsia="en-US"/>
    </w:rPr>
  </w:style>
  <w:style w:type="paragraph" w:customStyle="1" w:styleId="Bullet1">
    <w:name w:val="Bullet 1"/>
    <w:basedOn w:val="Normal"/>
    <w:rsid w:val="00F3101C"/>
    <w:pPr>
      <w:numPr>
        <w:numId w:val="37"/>
      </w:numPr>
      <w:spacing w:after="0" w:line="240" w:lineRule="auto"/>
    </w:pPr>
    <w:rPr>
      <w:rFonts w:eastAsia="Times New Roman"/>
      <w:kern w:val="24"/>
      <w:szCs w:val="24"/>
      <w:lang w:eastAsia="en-AU"/>
    </w:rPr>
  </w:style>
  <w:style w:type="paragraph" w:customStyle="1" w:styleId="Bullet2">
    <w:name w:val="Bullet 2"/>
    <w:basedOn w:val="Bullet1"/>
    <w:rsid w:val="00F3101C"/>
    <w:pPr>
      <w:numPr>
        <w:numId w:val="38"/>
      </w:numPr>
    </w:pPr>
  </w:style>
  <w:style w:type="character" w:styleId="CommentReference">
    <w:name w:val="annotation reference"/>
    <w:basedOn w:val="DefaultParagraphFont"/>
    <w:uiPriority w:val="99"/>
    <w:semiHidden/>
    <w:unhideWhenUsed/>
    <w:rsid w:val="003F4D4F"/>
    <w:rPr>
      <w:sz w:val="16"/>
      <w:szCs w:val="16"/>
    </w:rPr>
  </w:style>
  <w:style w:type="paragraph" w:styleId="CommentText">
    <w:name w:val="annotation text"/>
    <w:basedOn w:val="Normal"/>
    <w:link w:val="CommentTextChar"/>
    <w:uiPriority w:val="99"/>
    <w:unhideWhenUsed/>
    <w:rsid w:val="00521A7C"/>
    <w:rPr>
      <w:sz w:val="20"/>
      <w:szCs w:val="20"/>
    </w:rPr>
  </w:style>
  <w:style w:type="character" w:customStyle="1" w:styleId="CommentTextChar">
    <w:name w:val="Comment Text Char"/>
    <w:basedOn w:val="DefaultParagraphFont"/>
    <w:link w:val="CommentText"/>
    <w:uiPriority w:val="99"/>
    <w:rsid w:val="00521A7C"/>
    <w:rPr>
      <w:lang w:eastAsia="en-US"/>
    </w:rPr>
  </w:style>
  <w:style w:type="paragraph" w:styleId="CommentSubject">
    <w:name w:val="annotation subject"/>
    <w:basedOn w:val="CommentText"/>
    <w:next w:val="CommentText"/>
    <w:link w:val="CommentSubjectChar"/>
    <w:uiPriority w:val="99"/>
    <w:semiHidden/>
    <w:unhideWhenUsed/>
    <w:rsid w:val="00B742EF"/>
    <w:rPr>
      <w:b/>
      <w:bCs/>
    </w:rPr>
  </w:style>
  <w:style w:type="character" w:customStyle="1" w:styleId="CommentSubjectChar">
    <w:name w:val="Comment Subject Char"/>
    <w:basedOn w:val="CommentTextChar"/>
    <w:link w:val="CommentSubject"/>
    <w:uiPriority w:val="99"/>
    <w:semiHidden/>
    <w:rsid w:val="00B742EF"/>
    <w:rPr>
      <w:b/>
      <w:bCs/>
    </w:rPr>
  </w:style>
  <w:style w:type="paragraph" w:styleId="Revision">
    <w:name w:val="Revision"/>
    <w:hidden/>
    <w:uiPriority w:val="99"/>
    <w:semiHidden/>
    <w:rsid w:val="0046196D"/>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242210">
      <w:bodyDiv w:val="1"/>
      <w:marLeft w:val="0"/>
      <w:marRight w:val="0"/>
      <w:marTop w:val="0"/>
      <w:marBottom w:val="0"/>
      <w:divBdr>
        <w:top w:val="none" w:sz="0" w:space="0" w:color="auto"/>
        <w:left w:val="none" w:sz="0" w:space="0" w:color="auto"/>
        <w:bottom w:val="none" w:sz="0" w:space="0" w:color="auto"/>
        <w:right w:val="none" w:sz="0" w:space="0" w:color="auto"/>
      </w:divBdr>
    </w:div>
    <w:div w:id="26416846">
      <w:bodyDiv w:val="1"/>
      <w:marLeft w:val="0"/>
      <w:marRight w:val="0"/>
      <w:marTop w:val="0"/>
      <w:marBottom w:val="0"/>
      <w:divBdr>
        <w:top w:val="none" w:sz="0" w:space="0" w:color="auto"/>
        <w:left w:val="none" w:sz="0" w:space="0" w:color="auto"/>
        <w:bottom w:val="none" w:sz="0" w:space="0" w:color="auto"/>
        <w:right w:val="none" w:sz="0" w:space="0" w:color="auto"/>
      </w:divBdr>
    </w:div>
    <w:div w:id="1389305006">
      <w:bodyDiv w:val="1"/>
      <w:marLeft w:val="0"/>
      <w:marRight w:val="0"/>
      <w:marTop w:val="0"/>
      <w:marBottom w:val="0"/>
      <w:divBdr>
        <w:top w:val="none" w:sz="0" w:space="0" w:color="auto"/>
        <w:left w:val="none" w:sz="0" w:space="0" w:color="auto"/>
        <w:bottom w:val="none" w:sz="0" w:space="0" w:color="auto"/>
        <w:right w:val="none" w:sz="0" w:space="0" w:color="auto"/>
      </w:divBdr>
      <w:divsChild>
        <w:div w:id="1997221543">
          <w:marLeft w:val="0"/>
          <w:marRight w:val="1"/>
          <w:marTop w:val="0"/>
          <w:marBottom w:val="0"/>
          <w:divBdr>
            <w:top w:val="none" w:sz="0" w:space="0" w:color="auto"/>
            <w:left w:val="none" w:sz="0" w:space="0" w:color="auto"/>
            <w:bottom w:val="none" w:sz="0" w:space="0" w:color="auto"/>
            <w:right w:val="none" w:sz="0" w:space="0" w:color="auto"/>
          </w:divBdr>
          <w:divsChild>
            <w:div w:id="1667780880">
              <w:marLeft w:val="0"/>
              <w:marRight w:val="0"/>
              <w:marTop w:val="0"/>
              <w:marBottom w:val="0"/>
              <w:divBdr>
                <w:top w:val="none" w:sz="0" w:space="0" w:color="auto"/>
                <w:left w:val="none" w:sz="0" w:space="0" w:color="auto"/>
                <w:bottom w:val="none" w:sz="0" w:space="0" w:color="auto"/>
                <w:right w:val="none" w:sz="0" w:space="0" w:color="auto"/>
              </w:divBdr>
              <w:divsChild>
                <w:div w:id="1400636769">
                  <w:marLeft w:val="0"/>
                  <w:marRight w:val="1"/>
                  <w:marTop w:val="0"/>
                  <w:marBottom w:val="0"/>
                  <w:divBdr>
                    <w:top w:val="none" w:sz="0" w:space="0" w:color="auto"/>
                    <w:left w:val="none" w:sz="0" w:space="0" w:color="auto"/>
                    <w:bottom w:val="none" w:sz="0" w:space="0" w:color="auto"/>
                    <w:right w:val="none" w:sz="0" w:space="0" w:color="auto"/>
                  </w:divBdr>
                  <w:divsChild>
                    <w:div w:id="1290744084">
                      <w:marLeft w:val="0"/>
                      <w:marRight w:val="0"/>
                      <w:marTop w:val="0"/>
                      <w:marBottom w:val="0"/>
                      <w:divBdr>
                        <w:top w:val="none" w:sz="0" w:space="0" w:color="auto"/>
                        <w:left w:val="none" w:sz="0" w:space="0" w:color="auto"/>
                        <w:bottom w:val="none" w:sz="0" w:space="0" w:color="auto"/>
                        <w:right w:val="none" w:sz="0" w:space="0" w:color="auto"/>
                      </w:divBdr>
                      <w:divsChild>
                        <w:div w:id="118230276">
                          <w:marLeft w:val="0"/>
                          <w:marRight w:val="0"/>
                          <w:marTop w:val="0"/>
                          <w:marBottom w:val="0"/>
                          <w:divBdr>
                            <w:top w:val="none" w:sz="0" w:space="0" w:color="auto"/>
                            <w:left w:val="none" w:sz="0" w:space="0" w:color="auto"/>
                            <w:bottom w:val="none" w:sz="0" w:space="0" w:color="auto"/>
                            <w:right w:val="none" w:sz="0" w:space="0" w:color="auto"/>
                          </w:divBdr>
                          <w:divsChild>
                            <w:div w:id="274288682">
                              <w:marLeft w:val="0"/>
                              <w:marRight w:val="0"/>
                              <w:marTop w:val="120"/>
                              <w:marBottom w:val="360"/>
                              <w:divBdr>
                                <w:top w:val="none" w:sz="0" w:space="0" w:color="auto"/>
                                <w:left w:val="none" w:sz="0" w:space="0" w:color="auto"/>
                                <w:bottom w:val="none" w:sz="0" w:space="0" w:color="auto"/>
                                <w:right w:val="none" w:sz="0" w:space="0" w:color="auto"/>
                              </w:divBdr>
                              <w:divsChild>
                                <w:div w:id="291058799">
                                  <w:marLeft w:val="0"/>
                                  <w:marRight w:val="0"/>
                                  <w:marTop w:val="0"/>
                                  <w:marBottom w:val="0"/>
                                  <w:divBdr>
                                    <w:top w:val="none" w:sz="0" w:space="0" w:color="auto"/>
                                    <w:left w:val="none" w:sz="0" w:space="0" w:color="auto"/>
                                    <w:bottom w:val="none" w:sz="0" w:space="0" w:color="auto"/>
                                    <w:right w:val="none" w:sz="0" w:space="0" w:color="auto"/>
                                  </w:divBdr>
                                </w:div>
                                <w:div w:id="481894012">
                                  <w:marLeft w:val="0"/>
                                  <w:marRight w:val="0"/>
                                  <w:marTop w:val="0"/>
                                  <w:marBottom w:val="0"/>
                                  <w:divBdr>
                                    <w:top w:val="none" w:sz="0" w:space="0" w:color="auto"/>
                                    <w:left w:val="none" w:sz="0" w:space="0" w:color="auto"/>
                                    <w:bottom w:val="none" w:sz="0" w:space="0" w:color="auto"/>
                                    <w:right w:val="none" w:sz="0" w:space="0" w:color="auto"/>
                                  </w:divBdr>
                                </w:div>
                                <w:div w:id="15808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hyperlink" Target="http://www.tga.gov.au/hp/information-medicines-pi.htm"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7.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Temp\notes333BDF\AusPA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7F32D-F335-411C-9A04-39A151E4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46</TotalTime>
  <Pages>43</Pages>
  <Words>14491</Words>
  <Characters>82601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Australian Public Assessment Report for fentanyl citrate</vt:lpstr>
    </vt:vector>
  </TitlesOfParts>
  <Company>TGA</Company>
  <LinksUpToDate>false</LinksUpToDate>
  <CharactersWithSpaces>96899</CharactersWithSpaces>
  <SharedDoc>false</SharedDoc>
  <HLinks>
    <vt:vector size="240" baseType="variant">
      <vt:variant>
        <vt:i4>5701660</vt:i4>
      </vt:variant>
      <vt:variant>
        <vt:i4>219</vt:i4>
      </vt:variant>
      <vt:variant>
        <vt:i4>0</vt:i4>
      </vt:variant>
      <vt:variant>
        <vt:i4>5</vt:i4>
      </vt:variant>
      <vt:variant>
        <vt:lpwstr>http://www.tga.gov.au/hp/information-medicines-pi.htm</vt:lpwstr>
      </vt:variant>
      <vt:variant>
        <vt:lpwstr/>
      </vt:variant>
      <vt:variant>
        <vt:i4>1835064</vt:i4>
      </vt:variant>
      <vt:variant>
        <vt:i4>212</vt:i4>
      </vt:variant>
      <vt:variant>
        <vt:i4>0</vt:i4>
      </vt:variant>
      <vt:variant>
        <vt:i4>5</vt:i4>
      </vt:variant>
      <vt:variant>
        <vt:lpwstr/>
      </vt:variant>
      <vt:variant>
        <vt:lpwstr>_Toc366842978</vt:lpwstr>
      </vt:variant>
      <vt:variant>
        <vt:i4>1835064</vt:i4>
      </vt:variant>
      <vt:variant>
        <vt:i4>206</vt:i4>
      </vt:variant>
      <vt:variant>
        <vt:i4>0</vt:i4>
      </vt:variant>
      <vt:variant>
        <vt:i4>5</vt:i4>
      </vt:variant>
      <vt:variant>
        <vt:lpwstr/>
      </vt:variant>
      <vt:variant>
        <vt:lpwstr>_Toc366842977</vt:lpwstr>
      </vt:variant>
      <vt:variant>
        <vt:i4>1835064</vt:i4>
      </vt:variant>
      <vt:variant>
        <vt:i4>200</vt:i4>
      </vt:variant>
      <vt:variant>
        <vt:i4>0</vt:i4>
      </vt:variant>
      <vt:variant>
        <vt:i4>5</vt:i4>
      </vt:variant>
      <vt:variant>
        <vt:lpwstr/>
      </vt:variant>
      <vt:variant>
        <vt:lpwstr>_Toc366842976</vt:lpwstr>
      </vt:variant>
      <vt:variant>
        <vt:i4>1835064</vt:i4>
      </vt:variant>
      <vt:variant>
        <vt:i4>194</vt:i4>
      </vt:variant>
      <vt:variant>
        <vt:i4>0</vt:i4>
      </vt:variant>
      <vt:variant>
        <vt:i4>5</vt:i4>
      </vt:variant>
      <vt:variant>
        <vt:lpwstr/>
      </vt:variant>
      <vt:variant>
        <vt:lpwstr>_Toc366842975</vt:lpwstr>
      </vt:variant>
      <vt:variant>
        <vt:i4>1835064</vt:i4>
      </vt:variant>
      <vt:variant>
        <vt:i4>188</vt:i4>
      </vt:variant>
      <vt:variant>
        <vt:i4>0</vt:i4>
      </vt:variant>
      <vt:variant>
        <vt:i4>5</vt:i4>
      </vt:variant>
      <vt:variant>
        <vt:lpwstr/>
      </vt:variant>
      <vt:variant>
        <vt:lpwstr>_Toc366842974</vt:lpwstr>
      </vt:variant>
      <vt:variant>
        <vt:i4>1835064</vt:i4>
      </vt:variant>
      <vt:variant>
        <vt:i4>182</vt:i4>
      </vt:variant>
      <vt:variant>
        <vt:i4>0</vt:i4>
      </vt:variant>
      <vt:variant>
        <vt:i4>5</vt:i4>
      </vt:variant>
      <vt:variant>
        <vt:lpwstr/>
      </vt:variant>
      <vt:variant>
        <vt:lpwstr>_Toc366842973</vt:lpwstr>
      </vt:variant>
      <vt:variant>
        <vt:i4>1835064</vt:i4>
      </vt:variant>
      <vt:variant>
        <vt:i4>176</vt:i4>
      </vt:variant>
      <vt:variant>
        <vt:i4>0</vt:i4>
      </vt:variant>
      <vt:variant>
        <vt:i4>5</vt:i4>
      </vt:variant>
      <vt:variant>
        <vt:lpwstr/>
      </vt:variant>
      <vt:variant>
        <vt:lpwstr>_Toc366842972</vt:lpwstr>
      </vt:variant>
      <vt:variant>
        <vt:i4>1835064</vt:i4>
      </vt:variant>
      <vt:variant>
        <vt:i4>170</vt:i4>
      </vt:variant>
      <vt:variant>
        <vt:i4>0</vt:i4>
      </vt:variant>
      <vt:variant>
        <vt:i4>5</vt:i4>
      </vt:variant>
      <vt:variant>
        <vt:lpwstr/>
      </vt:variant>
      <vt:variant>
        <vt:lpwstr>_Toc366842971</vt:lpwstr>
      </vt:variant>
      <vt:variant>
        <vt:i4>1835064</vt:i4>
      </vt:variant>
      <vt:variant>
        <vt:i4>164</vt:i4>
      </vt:variant>
      <vt:variant>
        <vt:i4>0</vt:i4>
      </vt:variant>
      <vt:variant>
        <vt:i4>5</vt:i4>
      </vt:variant>
      <vt:variant>
        <vt:lpwstr/>
      </vt:variant>
      <vt:variant>
        <vt:lpwstr>_Toc366842970</vt:lpwstr>
      </vt:variant>
      <vt:variant>
        <vt:i4>1900600</vt:i4>
      </vt:variant>
      <vt:variant>
        <vt:i4>158</vt:i4>
      </vt:variant>
      <vt:variant>
        <vt:i4>0</vt:i4>
      </vt:variant>
      <vt:variant>
        <vt:i4>5</vt:i4>
      </vt:variant>
      <vt:variant>
        <vt:lpwstr/>
      </vt:variant>
      <vt:variant>
        <vt:lpwstr>_Toc366842969</vt:lpwstr>
      </vt:variant>
      <vt:variant>
        <vt:i4>1900600</vt:i4>
      </vt:variant>
      <vt:variant>
        <vt:i4>152</vt:i4>
      </vt:variant>
      <vt:variant>
        <vt:i4>0</vt:i4>
      </vt:variant>
      <vt:variant>
        <vt:i4>5</vt:i4>
      </vt:variant>
      <vt:variant>
        <vt:lpwstr/>
      </vt:variant>
      <vt:variant>
        <vt:lpwstr>_Toc366842968</vt:lpwstr>
      </vt:variant>
      <vt:variant>
        <vt:i4>1900600</vt:i4>
      </vt:variant>
      <vt:variant>
        <vt:i4>146</vt:i4>
      </vt:variant>
      <vt:variant>
        <vt:i4>0</vt:i4>
      </vt:variant>
      <vt:variant>
        <vt:i4>5</vt:i4>
      </vt:variant>
      <vt:variant>
        <vt:lpwstr/>
      </vt:variant>
      <vt:variant>
        <vt:lpwstr>_Toc366842967</vt:lpwstr>
      </vt:variant>
      <vt:variant>
        <vt:i4>1900600</vt:i4>
      </vt:variant>
      <vt:variant>
        <vt:i4>140</vt:i4>
      </vt:variant>
      <vt:variant>
        <vt:i4>0</vt:i4>
      </vt:variant>
      <vt:variant>
        <vt:i4>5</vt:i4>
      </vt:variant>
      <vt:variant>
        <vt:lpwstr/>
      </vt:variant>
      <vt:variant>
        <vt:lpwstr>_Toc366842966</vt:lpwstr>
      </vt:variant>
      <vt:variant>
        <vt:i4>1900600</vt:i4>
      </vt:variant>
      <vt:variant>
        <vt:i4>134</vt:i4>
      </vt:variant>
      <vt:variant>
        <vt:i4>0</vt:i4>
      </vt:variant>
      <vt:variant>
        <vt:i4>5</vt:i4>
      </vt:variant>
      <vt:variant>
        <vt:lpwstr/>
      </vt:variant>
      <vt:variant>
        <vt:lpwstr>_Toc366842965</vt:lpwstr>
      </vt:variant>
      <vt:variant>
        <vt:i4>1900600</vt:i4>
      </vt:variant>
      <vt:variant>
        <vt:i4>128</vt:i4>
      </vt:variant>
      <vt:variant>
        <vt:i4>0</vt:i4>
      </vt:variant>
      <vt:variant>
        <vt:i4>5</vt:i4>
      </vt:variant>
      <vt:variant>
        <vt:lpwstr/>
      </vt:variant>
      <vt:variant>
        <vt:lpwstr>_Toc366842964</vt:lpwstr>
      </vt:variant>
      <vt:variant>
        <vt:i4>1900600</vt:i4>
      </vt:variant>
      <vt:variant>
        <vt:i4>122</vt:i4>
      </vt:variant>
      <vt:variant>
        <vt:i4>0</vt:i4>
      </vt:variant>
      <vt:variant>
        <vt:i4>5</vt:i4>
      </vt:variant>
      <vt:variant>
        <vt:lpwstr/>
      </vt:variant>
      <vt:variant>
        <vt:lpwstr>_Toc366842963</vt:lpwstr>
      </vt:variant>
      <vt:variant>
        <vt:i4>1900600</vt:i4>
      </vt:variant>
      <vt:variant>
        <vt:i4>116</vt:i4>
      </vt:variant>
      <vt:variant>
        <vt:i4>0</vt:i4>
      </vt:variant>
      <vt:variant>
        <vt:i4>5</vt:i4>
      </vt:variant>
      <vt:variant>
        <vt:lpwstr/>
      </vt:variant>
      <vt:variant>
        <vt:lpwstr>_Toc366842962</vt:lpwstr>
      </vt:variant>
      <vt:variant>
        <vt:i4>1900600</vt:i4>
      </vt:variant>
      <vt:variant>
        <vt:i4>110</vt:i4>
      </vt:variant>
      <vt:variant>
        <vt:i4>0</vt:i4>
      </vt:variant>
      <vt:variant>
        <vt:i4>5</vt:i4>
      </vt:variant>
      <vt:variant>
        <vt:lpwstr/>
      </vt:variant>
      <vt:variant>
        <vt:lpwstr>_Toc366842961</vt:lpwstr>
      </vt:variant>
      <vt:variant>
        <vt:i4>1900600</vt:i4>
      </vt:variant>
      <vt:variant>
        <vt:i4>104</vt:i4>
      </vt:variant>
      <vt:variant>
        <vt:i4>0</vt:i4>
      </vt:variant>
      <vt:variant>
        <vt:i4>5</vt:i4>
      </vt:variant>
      <vt:variant>
        <vt:lpwstr/>
      </vt:variant>
      <vt:variant>
        <vt:lpwstr>_Toc366842960</vt:lpwstr>
      </vt:variant>
      <vt:variant>
        <vt:i4>1966136</vt:i4>
      </vt:variant>
      <vt:variant>
        <vt:i4>98</vt:i4>
      </vt:variant>
      <vt:variant>
        <vt:i4>0</vt:i4>
      </vt:variant>
      <vt:variant>
        <vt:i4>5</vt:i4>
      </vt:variant>
      <vt:variant>
        <vt:lpwstr/>
      </vt:variant>
      <vt:variant>
        <vt:lpwstr>_Toc366842959</vt:lpwstr>
      </vt:variant>
      <vt:variant>
        <vt:i4>1966136</vt:i4>
      </vt:variant>
      <vt:variant>
        <vt:i4>92</vt:i4>
      </vt:variant>
      <vt:variant>
        <vt:i4>0</vt:i4>
      </vt:variant>
      <vt:variant>
        <vt:i4>5</vt:i4>
      </vt:variant>
      <vt:variant>
        <vt:lpwstr/>
      </vt:variant>
      <vt:variant>
        <vt:lpwstr>_Toc366842958</vt:lpwstr>
      </vt:variant>
      <vt:variant>
        <vt:i4>1966136</vt:i4>
      </vt:variant>
      <vt:variant>
        <vt:i4>86</vt:i4>
      </vt:variant>
      <vt:variant>
        <vt:i4>0</vt:i4>
      </vt:variant>
      <vt:variant>
        <vt:i4>5</vt:i4>
      </vt:variant>
      <vt:variant>
        <vt:lpwstr/>
      </vt:variant>
      <vt:variant>
        <vt:lpwstr>_Toc366842957</vt:lpwstr>
      </vt:variant>
      <vt:variant>
        <vt:i4>1966136</vt:i4>
      </vt:variant>
      <vt:variant>
        <vt:i4>80</vt:i4>
      </vt:variant>
      <vt:variant>
        <vt:i4>0</vt:i4>
      </vt:variant>
      <vt:variant>
        <vt:i4>5</vt:i4>
      </vt:variant>
      <vt:variant>
        <vt:lpwstr/>
      </vt:variant>
      <vt:variant>
        <vt:lpwstr>_Toc366842956</vt:lpwstr>
      </vt:variant>
      <vt:variant>
        <vt:i4>1966136</vt:i4>
      </vt:variant>
      <vt:variant>
        <vt:i4>74</vt:i4>
      </vt:variant>
      <vt:variant>
        <vt:i4>0</vt:i4>
      </vt:variant>
      <vt:variant>
        <vt:i4>5</vt:i4>
      </vt:variant>
      <vt:variant>
        <vt:lpwstr/>
      </vt:variant>
      <vt:variant>
        <vt:lpwstr>_Toc366842955</vt:lpwstr>
      </vt:variant>
      <vt:variant>
        <vt:i4>1966136</vt:i4>
      </vt:variant>
      <vt:variant>
        <vt:i4>68</vt:i4>
      </vt:variant>
      <vt:variant>
        <vt:i4>0</vt:i4>
      </vt:variant>
      <vt:variant>
        <vt:i4>5</vt:i4>
      </vt:variant>
      <vt:variant>
        <vt:lpwstr/>
      </vt:variant>
      <vt:variant>
        <vt:lpwstr>_Toc366842954</vt:lpwstr>
      </vt:variant>
      <vt:variant>
        <vt:i4>1966136</vt:i4>
      </vt:variant>
      <vt:variant>
        <vt:i4>62</vt:i4>
      </vt:variant>
      <vt:variant>
        <vt:i4>0</vt:i4>
      </vt:variant>
      <vt:variant>
        <vt:i4>5</vt:i4>
      </vt:variant>
      <vt:variant>
        <vt:lpwstr/>
      </vt:variant>
      <vt:variant>
        <vt:lpwstr>_Toc366842953</vt:lpwstr>
      </vt:variant>
      <vt:variant>
        <vt:i4>1966136</vt:i4>
      </vt:variant>
      <vt:variant>
        <vt:i4>56</vt:i4>
      </vt:variant>
      <vt:variant>
        <vt:i4>0</vt:i4>
      </vt:variant>
      <vt:variant>
        <vt:i4>5</vt:i4>
      </vt:variant>
      <vt:variant>
        <vt:lpwstr/>
      </vt:variant>
      <vt:variant>
        <vt:lpwstr>_Toc366842952</vt:lpwstr>
      </vt:variant>
      <vt:variant>
        <vt:i4>1966136</vt:i4>
      </vt:variant>
      <vt:variant>
        <vt:i4>50</vt:i4>
      </vt:variant>
      <vt:variant>
        <vt:i4>0</vt:i4>
      </vt:variant>
      <vt:variant>
        <vt:i4>5</vt:i4>
      </vt:variant>
      <vt:variant>
        <vt:lpwstr/>
      </vt:variant>
      <vt:variant>
        <vt:lpwstr>_Toc366842951</vt:lpwstr>
      </vt:variant>
      <vt:variant>
        <vt:i4>1966136</vt:i4>
      </vt:variant>
      <vt:variant>
        <vt:i4>44</vt:i4>
      </vt:variant>
      <vt:variant>
        <vt:i4>0</vt:i4>
      </vt:variant>
      <vt:variant>
        <vt:i4>5</vt:i4>
      </vt:variant>
      <vt:variant>
        <vt:lpwstr/>
      </vt:variant>
      <vt:variant>
        <vt:lpwstr>_Toc366842950</vt:lpwstr>
      </vt:variant>
      <vt:variant>
        <vt:i4>2031672</vt:i4>
      </vt:variant>
      <vt:variant>
        <vt:i4>38</vt:i4>
      </vt:variant>
      <vt:variant>
        <vt:i4>0</vt:i4>
      </vt:variant>
      <vt:variant>
        <vt:i4>5</vt:i4>
      </vt:variant>
      <vt:variant>
        <vt:lpwstr/>
      </vt:variant>
      <vt:variant>
        <vt:lpwstr>_Toc366842949</vt:lpwstr>
      </vt:variant>
      <vt:variant>
        <vt:i4>2031672</vt:i4>
      </vt:variant>
      <vt:variant>
        <vt:i4>32</vt:i4>
      </vt:variant>
      <vt:variant>
        <vt:i4>0</vt:i4>
      </vt:variant>
      <vt:variant>
        <vt:i4>5</vt:i4>
      </vt:variant>
      <vt:variant>
        <vt:lpwstr/>
      </vt:variant>
      <vt:variant>
        <vt:lpwstr>_Toc366842948</vt:lpwstr>
      </vt:variant>
      <vt:variant>
        <vt:i4>2031672</vt:i4>
      </vt:variant>
      <vt:variant>
        <vt:i4>26</vt:i4>
      </vt:variant>
      <vt:variant>
        <vt:i4>0</vt:i4>
      </vt:variant>
      <vt:variant>
        <vt:i4>5</vt:i4>
      </vt:variant>
      <vt:variant>
        <vt:lpwstr/>
      </vt:variant>
      <vt:variant>
        <vt:lpwstr>_Toc366842947</vt:lpwstr>
      </vt:variant>
      <vt:variant>
        <vt:i4>2031672</vt:i4>
      </vt:variant>
      <vt:variant>
        <vt:i4>20</vt:i4>
      </vt:variant>
      <vt:variant>
        <vt:i4>0</vt:i4>
      </vt:variant>
      <vt:variant>
        <vt:i4>5</vt:i4>
      </vt:variant>
      <vt:variant>
        <vt:lpwstr/>
      </vt:variant>
      <vt:variant>
        <vt:lpwstr>_Toc366842946</vt:lpwstr>
      </vt:variant>
      <vt:variant>
        <vt:i4>2031672</vt:i4>
      </vt:variant>
      <vt:variant>
        <vt:i4>14</vt:i4>
      </vt:variant>
      <vt:variant>
        <vt:i4>0</vt:i4>
      </vt:variant>
      <vt:variant>
        <vt:i4>5</vt:i4>
      </vt:variant>
      <vt:variant>
        <vt:lpwstr/>
      </vt:variant>
      <vt:variant>
        <vt:lpwstr>_Toc366842945</vt:lpwstr>
      </vt:variant>
      <vt:variant>
        <vt:i4>2031672</vt:i4>
      </vt:variant>
      <vt:variant>
        <vt:i4>8</vt:i4>
      </vt:variant>
      <vt:variant>
        <vt:i4>0</vt:i4>
      </vt:variant>
      <vt:variant>
        <vt:i4>5</vt:i4>
      </vt:variant>
      <vt:variant>
        <vt:lpwstr/>
      </vt:variant>
      <vt:variant>
        <vt:lpwstr>_Toc366842944</vt:lpwstr>
      </vt:variant>
      <vt:variant>
        <vt:i4>6291548</vt:i4>
      </vt:variant>
      <vt:variant>
        <vt:i4>3</vt:i4>
      </vt:variant>
      <vt:variant>
        <vt:i4>0</vt:i4>
      </vt:variant>
      <vt:variant>
        <vt:i4>5</vt:i4>
      </vt:variant>
      <vt:variant>
        <vt:lpwstr>mailto:tga.copyright@tga.gov.au</vt:lpwstr>
      </vt:variant>
      <vt:variant>
        <vt:lpwstr/>
      </vt:variant>
      <vt:variant>
        <vt:i4>983067</vt:i4>
      </vt:variant>
      <vt:variant>
        <vt:i4>0</vt:i4>
      </vt:variant>
      <vt:variant>
        <vt:i4>0</vt:i4>
      </vt:variant>
      <vt:variant>
        <vt:i4>5</vt:i4>
      </vt:variant>
      <vt:variant>
        <vt:lpwstr>http://ww.tga.gov.au/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fentanyl citrate</dc:title>
  <dc:subject>prescription medicine regulation</dc:subject>
  <dc:creator>Therapeutic Goods Administration</dc:creator>
  <cp:keywords>auspar, prescription, medicine, assessment, regulation, australia, fentanyl citrate, instanyl, takeda, pharmaceuticals</cp:keywords>
  <cp:lastModifiedBy>Sheppard, Fran</cp:lastModifiedBy>
  <cp:revision>17</cp:revision>
  <cp:lastPrinted>2013-10-03T05:10:00Z</cp:lastPrinted>
  <dcterms:created xsi:type="dcterms:W3CDTF">2013-12-19T05:40:00Z</dcterms:created>
  <dcterms:modified xsi:type="dcterms:W3CDTF">2014-01-06T23:55:00Z</dcterms:modified>
</cp:coreProperties>
</file>