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F6727E" w14:paraId="26EE7193" w14:textId="77777777" w:rsidTr="00BF1190">
        <w:trPr>
          <w:trHeight w:val="1863"/>
        </w:trPr>
        <w:tc>
          <w:tcPr>
            <w:tcW w:w="3652" w:type="dxa"/>
            <w:tcBorders>
              <w:top w:val="nil"/>
              <w:left w:val="nil"/>
              <w:bottom w:val="nil"/>
              <w:right w:val="nil"/>
            </w:tcBorders>
          </w:tcPr>
          <w:p w14:paraId="0A277634" w14:textId="4C09F120" w:rsidR="008E7846" w:rsidRPr="00F6727E" w:rsidRDefault="003F2D4A" w:rsidP="0010027B">
            <w:pPr>
              <w:rPr>
                <w:rFonts w:ascii="Arial" w:hAnsi="Arial" w:cs="Arial"/>
                <w:b/>
                <w:color w:val="002C47"/>
                <w:sz w:val="36"/>
                <w:szCs w:val="36"/>
              </w:rPr>
            </w:pPr>
            <w:r>
              <w:rPr>
                <w:rFonts w:ascii="Arial" w:hAnsi="Arial" w:cs="Arial"/>
                <w:b/>
                <w:color w:val="002C47"/>
                <w:sz w:val="36"/>
                <w:szCs w:val="36"/>
              </w:rPr>
              <w:t>September</w:t>
            </w:r>
            <w:r w:rsidR="00512FC8" w:rsidRPr="00F6727E">
              <w:rPr>
                <w:rFonts w:ascii="Arial" w:hAnsi="Arial" w:cs="Arial"/>
                <w:b/>
                <w:color w:val="002C47"/>
                <w:sz w:val="36"/>
                <w:szCs w:val="36"/>
              </w:rPr>
              <w:t xml:space="preserve"> 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F6727E" w14:paraId="092587BD" w14:textId="77777777" w:rsidTr="0032583B">
        <w:trPr>
          <w:trHeight w:val="868"/>
        </w:trPr>
        <w:tc>
          <w:tcPr>
            <w:tcW w:w="9079" w:type="dxa"/>
          </w:tcPr>
          <w:p w14:paraId="2487CF39" w14:textId="683D7B8C" w:rsidR="0032583B" w:rsidRPr="00F6727E" w:rsidRDefault="0032583B" w:rsidP="004057E5">
            <w:pPr>
              <w:pStyle w:val="Title"/>
              <w:rPr>
                <w:color w:val="FFFFFF" w:themeColor="background1"/>
              </w:rPr>
            </w:pPr>
            <w:r w:rsidRPr="00F6727E">
              <w:rPr>
                <w:color w:val="FFFFFF" w:themeColor="background1"/>
              </w:rPr>
              <w:t xml:space="preserve">Australian Public Assessment Report for </w:t>
            </w:r>
            <w:r w:rsidR="008D0D20" w:rsidRPr="00F6727E">
              <w:rPr>
                <w:color w:val="FFFFFF" w:themeColor="background1"/>
              </w:rPr>
              <w:t>Fluticasone furoate</w:t>
            </w:r>
            <w:r w:rsidR="004057E5" w:rsidRPr="00F6727E">
              <w:rPr>
                <w:color w:val="FFFFFF" w:themeColor="background1"/>
              </w:rPr>
              <w:t xml:space="preserve"> /</w:t>
            </w:r>
            <w:r w:rsidR="008D0D20" w:rsidRPr="00F6727E">
              <w:rPr>
                <w:color w:val="FFFFFF" w:themeColor="background1"/>
              </w:rPr>
              <w:t xml:space="preserve"> umeclidinium</w:t>
            </w:r>
            <w:r w:rsidR="004057E5" w:rsidRPr="00F6727E">
              <w:rPr>
                <w:color w:val="FFFFFF" w:themeColor="background1"/>
              </w:rPr>
              <w:t xml:space="preserve"> /</w:t>
            </w:r>
            <w:r w:rsidR="008D0D20" w:rsidRPr="00F6727E">
              <w:rPr>
                <w:color w:val="FFFFFF" w:themeColor="background1"/>
              </w:rPr>
              <w:t xml:space="preserve"> vilanterol</w:t>
            </w:r>
          </w:p>
        </w:tc>
      </w:tr>
      <w:tr w:rsidR="0032583B" w:rsidRPr="00F6727E" w14:paraId="2EA59EDE" w14:textId="77777777" w:rsidTr="0032583B">
        <w:tc>
          <w:tcPr>
            <w:tcW w:w="9079" w:type="dxa"/>
          </w:tcPr>
          <w:p w14:paraId="7FD522D1" w14:textId="77777777" w:rsidR="0032583B" w:rsidRPr="00F6727E" w:rsidRDefault="0032583B" w:rsidP="00460036">
            <w:pPr>
              <w:pStyle w:val="Subtitle"/>
              <w:rPr>
                <w:color w:val="FFFFFF" w:themeColor="background1"/>
              </w:rPr>
            </w:pPr>
            <w:r w:rsidRPr="00F6727E">
              <w:rPr>
                <w:color w:val="FFFFFF" w:themeColor="background1"/>
              </w:rPr>
              <w:t xml:space="preserve">Proprietary Product Name: </w:t>
            </w:r>
            <w:proofErr w:type="spellStart"/>
            <w:r w:rsidR="008D0D20" w:rsidRPr="00F6727E">
              <w:rPr>
                <w:color w:val="FFFFFF" w:themeColor="background1"/>
              </w:rPr>
              <w:t>Trelegy</w:t>
            </w:r>
            <w:proofErr w:type="spellEnd"/>
            <w:r w:rsidR="008D0D20" w:rsidRPr="00F6727E">
              <w:rPr>
                <w:color w:val="FFFFFF" w:themeColor="background1"/>
              </w:rPr>
              <w:t xml:space="preserve"> Ellipta</w:t>
            </w:r>
          </w:p>
        </w:tc>
      </w:tr>
      <w:tr w:rsidR="0032583B" w:rsidRPr="00F6727E" w14:paraId="18F298E1" w14:textId="77777777" w:rsidTr="0032583B">
        <w:trPr>
          <w:trHeight w:val="486"/>
        </w:trPr>
        <w:tc>
          <w:tcPr>
            <w:tcW w:w="9079" w:type="dxa"/>
          </w:tcPr>
          <w:p w14:paraId="22CC76B4" w14:textId="77777777" w:rsidR="0032583B" w:rsidRPr="00F6727E" w:rsidRDefault="00460036" w:rsidP="00512FC8">
            <w:pPr>
              <w:pStyle w:val="Subtitle"/>
              <w:rPr>
                <w:color w:val="FFFFFF" w:themeColor="background1"/>
              </w:rPr>
            </w:pPr>
            <w:r w:rsidRPr="00F6727E">
              <w:rPr>
                <w:color w:val="FFFFFF" w:themeColor="background1"/>
              </w:rPr>
              <w:t xml:space="preserve">Sponsor: </w:t>
            </w:r>
            <w:r w:rsidR="00512FC8" w:rsidRPr="00F6727E">
              <w:rPr>
                <w:color w:val="FFFFFF" w:themeColor="background1"/>
              </w:rPr>
              <w:t>GlaxoSmithKline Australia Pty Ltd</w:t>
            </w:r>
          </w:p>
        </w:tc>
      </w:tr>
    </w:tbl>
    <w:p w14:paraId="2DDFC023" w14:textId="77777777" w:rsidR="008E7846" w:rsidRPr="00F6727E" w:rsidRDefault="008E7846" w:rsidP="0085156D">
      <w:r w:rsidRPr="00F6727E">
        <w:br w:type="page"/>
      </w:r>
    </w:p>
    <w:p w14:paraId="7BDAD4BB" w14:textId="77777777" w:rsidR="008E7846" w:rsidRPr="00F6727E" w:rsidRDefault="008E7846" w:rsidP="008E7846">
      <w:pPr>
        <w:pStyle w:val="NonTOCHeading2"/>
      </w:pPr>
      <w:r w:rsidRPr="00F6727E">
        <w:lastRenderedPageBreak/>
        <w:t>About the Therapeutic Goods Administration (TGA)</w:t>
      </w:r>
    </w:p>
    <w:p w14:paraId="151FF7DB" w14:textId="77777777" w:rsidR="008E7846" w:rsidRPr="00F6727E" w:rsidRDefault="008E7846" w:rsidP="008E7846">
      <w:pPr>
        <w:pStyle w:val="ListBullet"/>
        <w:numPr>
          <w:ilvl w:val="0"/>
          <w:numId w:val="3"/>
        </w:numPr>
        <w:ind w:left="357" w:hanging="357"/>
      </w:pPr>
      <w:r w:rsidRPr="00F6727E">
        <w:t xml:space="preserve">The Therapeutic Goods Administration (TGA) is </w:t>
      </w:r>
      <w:r w:rsidR="00E624A5" w:rsidRPr="00F6727E">
        <w:t xml:space="preserve">part </w:t>
      </w:r>
      <w:r w:rsidRPr="00F6727E">
        <w:t>of the Australian Government Department of Health and is responsible for regulating medicines and medical devices.</w:t>
      </w:r>
    </w:p>
    <w:p w14:paraId="06745205" w14:textId="77777777" w:rsidR="008E7846" w:rsidRPr="00F6727E" w:rsidRDefault="00C80137" w:rsidP="008E7846">
      <w:pPr>
        <w:pStyle w:val="ListBullet"/>
        <w:numPr>
          <w:ilvl w:val="0"/>
          <w:numId w:val="3"/>
        </w:numPr>
        <w:ind w:left="357" w:hanging="357"/>
      </w:pPr>
      <w:r w:rsidRPr="00F6727E">
        <w:t xml:space="preserve">The </w:t>
      </w:r>
      <w:r w:rsidR="008E7846" w:rsidRPr="00F6727E">
        <w:t xml:space="preserve">TGA administers the </w:t>
      </w:r>
      <w:r w:rsidR="008E7846" w:rsidRPr="00F6727E">
        <w:rPr>
          <w:i/>
        </w:rPr>
        <w:t>Therapeutic Goods Act 1989</w:t>
      </w:r>
      <w:r w:rsidR="00785717" w:rsidRPr="00F6727E">
        <w:rPr>
          <w:i/>
        </w:rPr>
        <w:t xml:space="preserve"> </w:t>
      </w:r>
      <w:r w:rsidR="00785717" w:rsidRPr="00F6727E">
        <w:t>(the Act)</w:t>
      </w:r>
      <w:r w:rsidR="008E7846" w:rsidRPr="00F6727E">
        <w:t xml:space="preserve">, applying a risk management approach designed to ensure therapeutic goods supplied in Australia meet acceptable standards of quality, </w:t>
      </w:r>
      <w:proofErr w:type="gramStart"/>
      <w:r w:rsidR="008E7846" w:rsidRPr="00F6727E">
        <w:t>safety</w:t>
      </w:r>
      <w:proofErr w:type="gramEnd"/>
      <w:r w:rsidR="008E7846" w:rsidRPr="00F6727E">
        <w:t xml:space="preserve"> and efficacy (performance) when necessary.</w:t>
      </w:r>
    </w:p>
    <w:p w14:paraId="377B4BE7" w14:textId="77777777" w:rsidR="008E7846" w:rsidRPr="00F6727E" w:rsidRDefault="008E7846" w:rsidP="008E7846">
      <w:pPr>
        <w:pStyle w:val="ListBullet"/>
        <w:numPr>
          <w:ilvl w:val="0"/>
          <w:numId w:val="3"/>
        </w:numPr>
        <w:ind w:left="357" w:hanging="357"/>
      </w:pPr>
      <w:r w:rsidRPr="00F6727E">
        <w:t>The work of the TGA is based on applying scientific and clinical expertise to decision-making, to ensure that the benefits to consumers outweigh any risks associated with the use of medicines and medical devices.</w:t>
      </w:r>
    </w:p>
    <w:p w14:paraId="101BBEB4" w14:textId="77777777" w:rsidR="008E7846" w:rsidRPr="00F6727E" w:rsidRDefault="008E7846" w:rsidP="008E7846">
      <w:pPr>
        <w:pStyle w:val="ListBullet"/>
        <w:numPr>
          <w:ilvl w:val="0"/>
          <w:numId w:val="3"/>
        </w:numPr>
        <w:ind w:left="357" w:hanging="357"/>
      </w:pPr>
      <w:r w:rsidRPr="00F6727E">
        <w:t>The TGA relies on the public, healthcare professionals and industry to report problems with medicines or medical devices. TGA investigates reports received by it to determine any necessary regulatory action.</w:t>
      </w:r>
    </w:p>
    <w:p w14:paraId="136FB471" w14:textId="5DB5C7E6" w:rsidR="00441C3F" w:rsidRPr="00F6727E" w:rsidRDefault="008E7846" w:rsidP="00441C3F">
      <w:pPr>
        <w:pStyle w:val="ListBullet"/>
        <w:numPr>
          <w:ilvl w:val="0"/>
          <w:numId w:val="3"/>
        </w:numPr>
        <w:ind w:left="357" w:hanging="357"/>
      </w:pPr>
      <w:r w:rsidRPr="00F6727E">
        <w:t xml:space="preserve">To report a problem with a medicine or medical device, please see the information on </w:t>
      </w:r>
      <w:r w:rsidR="00441C3F" w:rsidRPr="00F6727E">
        <w:t>the TGA website &lt;</w:t>
      </w:r>
      <w:hyperlink r:id="rId8" w:history="1">
        <w:r w:rsidR="00441C3F" w:rsidRPr="00F6727E">
          <w:rPr>
            <w:rStyle w:val="Hyperlink"/>
          </w:rPr>
          <w:t>https://www.tga.gov.au</w:t>
        </w:r>
      </w:hyperlink>
      <w:r w:rsidR="00441C3F" w:rsidRPr="00F6727E">
        <w:t>&gt;.</w:t>
      </w:r>
    </w:p>
    <w:p w14:paraId="3F6A1D9B" w14:textId="77777777" w:rsidR="008E7846" w:rsidRPr="00F6727E" w:rsidRDefault="008E7846" w:rsidP="00875A6B">
      <w:pPr>
        <w:pStyle w:val="NonTOCHeading2"/>
      </w:pPr>
      <w:r w:rsidRPr="00F6727E">
        <w:t xml:space="preserve">About </w:t>
      </w:r>
      <w:proofErr w:type="spellStart"/>
      <w:r w:rsidRPr="00F6727E">
        <w:t>AusPARs</w:t>
      </w:r>
      <w:proofErr w:type="spellEnd"/>
    </w:p>
    <w:p w14:paraId="64FE92E1" w14:textId="77777777" w:rsidR="008E7846" w:rsidRPr="00F6727E" w:rsidRDefault="008E7846" w:rsidP="008E7846">
      <w:pPr>
        <w:pStyle w:val="ListBullet"/>
        <w:numPr>
          <w:ilvl w:val="0"/>
          <w:numId w:val="3"/>
        </w:numPr>
        <w:ind w:left="357" w:hanging="357"/>
      </w:pPr>
      <w:r w:rsidRPr="00F6727E">
        <w:t>An Australian Public Assessment Re</w:t>
      </w:r>
      <w:r w:rsidR="00133A1B" w:rsidRPr="00F6727E">
        <w:t>port</w:t>
      </w:r>
      <w:r w:rsidRPr="00F6727E">
        <w:t xml:space="preserve"> (AusPAR) provides information about the evaluation of a prescription medicine and the considerations that led the TGA to approve or not approve a pr</w:t>
      </w:r>
      <w:r w:rsidR="00441C3F" w:rsidRPr="00F6727E">
        <w:t>escription medicine submission.</w:t>
      </w:r>
    </w:p>
    <w:p w14:paraId="1555BE32" w14:textId="77777777" w:rsidR="008E7846" w:rsidRPr="00F6727E" w:rsidRDefault="008E7846" w:rsidP="008E7846">
      <w:pPr>
        <w:pStyle w:val="ListBullet"/>
        <w:numPr>
          <w:ilvl w:val="0"/>
          <w:numId w:val="3"/>
        </w:numPr>
        <w:ind w:left="357" w:hanging="357"/>
      </w:pPr>
      <w:proofErr w:type="spellStart"/>
      <w:r w:rsidRPr="00F6727E">
        <w:t>AusPARs</w:t>
      </w:r>
      <w:proofErr w:type="spellEnd"/>
      <w:r w:rsidRPr="00F6727E">
        <w:t xml:space="preserve"> are prepared and published by the TGA.</w:t>
      </w:r>
    </w:p>
    <w:p w14:paraId="156E52B1" w14:textId="77777777" w:rsidR="008E7846" w:rsidRPr="00F6727E" w:rsidRDefault="008E7846" w:rsidP="008E7846">
      <w:pPr>
        <w:pStyle w:val="ListBullet"/>
        <w:numPr>
          <w:ilvl w:val="0"/>
          <w:numId w:val="3"/>
        </w:numPr>
        <w:ind w:left="357" w:hanging="357"/>
      </w:pPr>
      <w:r w:rsidRPr="00F6727E">
        <w:t xml:space="preserve">An AusPAR is prepared for submissions that relate to new chemical entities, generic medicines, major </w:t>
      </w:r>
      <w:proofErr w:type="gramStart"/>
      <w:r w:rsidRPr="00F6727E">
        <w:t>variations</w:t>
      </w:r>
      <w:proofErr w:type="gramEnd"/>
      <w:r w:rsidRPr="00F6727E">
        <w:t xml:space="preserve"> and extensions of indications.</w:t>
      </w:r>
    </w:p>
    <w:p w14:paraId="44671190" w14:textId="77777777" w:rsidR="008E7846" w:rsidRPr="00F6727E" w:rsidRDefault="008E7846" w:rsidP="008E7846">
      <w:pPr>
        <w:pStyle w:val="ListBullet"/>
        <w:numPr>
          <w:ilvl w:val="0"/>
          <w:numId w:val="3"/>
        </w:numPr>
        <w:ind w:left="357" w:hanging="357"/>
      </w:pPr>
      <w:r w:rsidRPr="00F6727E">
        <w:t>An AusPAR is a static document</w:t>
      </w:r>
      <w:r w:rsidR="00133A1B" w:rsidRPr="00F6727E">
        <w:t>;</w:t>
      </w:r>
      <w:r w:rsidRPr="00F6727E">
        <w:t xml:space="preserve"> it provide</w:t>
      </w:r>
      <w:r w:rsidR="00133A1B" w:rsidRPr="00F6727E">
        <w:t>s</w:t>
      </w:r>
      <w:r w:rsidRPr="00F6727E">
        <w:t xml:space="preserve"> information that relates to a submission at a particular point in time.</w:t>
      </w:r>
    </w:p>
    <w:p w14:paraId="4119A32B" w14:textId="77777777" w:rsidR="00B452CE" w:rsidRPr="00F6727E" w:rsidRDefault="008E7846" w:rsidP="00FF5755">
      <w:pPr>
        <w:pStyle w:val="ListBullet"/>
        <w:numPr>
          <w:ilvl w:val="0"/>
          <w:numId w:val="3"/>
        </w:numPr>
        <w:ind w:left="357" w:hanging="357"/>
      </w:pPr>
      <w:r w:rsidRPr="00F6727E">
        <w:t>A new AusPAR will be developed to reflect changes to indications and/or major variations to a prescription medicine subject to evaluation by the TGA.</w:t>
      </w:r>
    </w:p>
    <w:p w14:paraId="0F958B01" w14:textId="77777777" w:rsidR="00924482" w:rsidRPr="00F6727E" w:rsidRDefault="00924482" w:rsidP="00F54B65">
      <w:pPr>
        <w:pStyle w:val="LegalSubheading"/>
        <w:spacing w:before="3120"/>
      </w:pPr>
      <w:r w:rsidRPr="00F6727E">
        <w:t>Copyright</w:t>
      </w:r>
    </w:p>
    <w:p w14:paraId="77026BCB" w14:textId="21C29FFE" w:rsidR="00924482" w:rsidRPr="00F6727E" w:rsidRDefault="00924482" w:rsidP="00924482">
      <w:pPr>
        <w:pStyle w:val="LegalCopy"/>
      </w:pPr>
      <w:r w:rsidRPr="00F6727E">
        <w:rPr>
          <w:rFonts w:cs="Arial"/>
          <w:lang w:val="en-GB"/>
        </w:rPr>
        <w:t>© Commonwealth of Australia 20</w:t>
      </w:r>
      <w:r w:rsidR="00460036" w:rsidRPr="00F6727E">
        <w:rPr>
          <w:rFonts w:cs="Arial"/>
          <w:lang w:val="en-GB"/>
        </w:rPr>
        <w:t>2</w:t>
      </w:r>
      <w:r w:rsidR="00324E45" w:rsidRPr="00F6727E">
        <w:rPr>
          <w:rFonts w:cs="Arial"/>
          <w:lang w:val="en-GB"/>
        </w:rPr>
        <w:t>1</w:t>
      </w:r>
      <w:r w:rsidRPr="00F6727E">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6727E">
        <w:rPr>
          <w:rFonts w:cs="Arial"/>
          <w:i/>
          <w:lang w:val="en-GB"/>
        </w:rPr>
        <w:t>Copyright Act 1968</w:t>
      </w:r>
      <w:r w:rsidRPr="00F6727E">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F6727E">
        <w:rPr>
          <w:rFonts w:cs="Arial"/>
          <w:lang w:val="en-GB"/>
        </w:rPr>
        <w:t>Woden</w:t>
      </w:r>
      <w:proofErr w:type="spellEnd"/>
      <w:r w:rsidRPr="00F6727E">
        <w:rPr>
          <w:rFonts w:cs="Arial"/>
          <w:lang w:val="en-GB"/>
        </w:rPr>
        <w:t xml:space="preserve"> ACT 2606 or emailed to &lt;</w:t>
      </w:r>
      <w:hyperlink r:id="rId9" w:history="1">
        <w:r w:rsidRPr="00F6727E">
          <w:rPr>
            <w:rStyle w:val="Hyperlink"/>
            <w:rFonts w:cs="Arial"/>
            <w:lang w:val="en-GB"/>
          </w:rPr>
          <w:t>tga.copyright@tga.gov.au</w:t>
        </w:r>
      </w:hyperlink>
      <w:r w:rsidRPr="00F6727E">
        <w:rPr>
          <w:rFonts w:cs="Arial"/>
        </w:rPr>
        <w:t>&gt;.</w:t>
      </w:r>
    </w:p>
    <w:p w14:paraId="32EE410F" w14:textId="77777777" w:rsidR="00924482" w:rsidRPr="00F6727E" w:rsidRDefault="00924482" w:rsidP="00924482">
      <w:pPr>
        <w:pStyle w:val="LegalCopy"/>
        <w:sectPr w:rsidR="00924482" w:rsidRPr="00F6727E"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942AF18" w14:textId="77777777" w:rsidR="0089635C" w:rsidRPr="00F6727E" w:rsidRDefault="0089635C" w:rsidP="0010788A">
          <w:pPr>
            <w:pStyle w:val="Contents"/>
          </w:pPr>
          <w:r w:rsidRPr="00F6727E">
            <w:t>Contents</w:t>
          </w:r>
        </w:p>
        <w:p w14:paraId="1CF7D083" w14:textId="42145E27" w:rsidR="00AD42E2" w:rsidRDefault="00C525A2">
          <w:pPr>
            <w:pStyle w:val="TOC1"/>
            <w:rPr>
              <w:rFonts w:asciiTheme="minorHAnsi" w:eastAsiaTheme="minorEastAsia" w:hAnsiTheme="minorHAnsi" w:cstheme="minorBidi"/>
              <w:b w:val="0"/>
              <w:noProof/>
              <w:sz w:val="22"/>
              <w:lang w:eastAsia="en-AU"/>
            </w:rPr>
          </w:pPr>
          <w:r w:rsidRPr="00F6727E">
            <w:fldChar w:fldCharType="begin"/>
          </w:r>
          <w:r w:rsidRPr="00F6727E">
            <w:instrText xml:space="preserve"> TOC \h \z \t "Heading 2,1,Heading 3,2" </w:instrText>
          </w:r>
          <w:r w:rsidRPr="00F6727E">
            <w:fldChar w:fldCharType="separate"/>
          </w:r>
          <w:hyperlink w:anchor="_Toc83895471" w:history="1">
            <w:r w:rsidR="00AD42E2" w:rsidRPr="00452917">
              <w:rPr>
                <w:rStyle w:val="Hyperlink"/>
                <w:noProof/>
              </w:rPr>
              <w:t>List of abbreviations</w:t>
            </w:r>
            <w:r w:rsidR="00AD42E2">
              <w:rPr>
                <w:noProof/>
                <w:webHidden/>
              </w:rPr>
              <w:tab/>
            </w:r>
            <w:r w:rsidR="00AD42E2">
              <w:rPr>
                <w:noProof/>
                <w:webHidden/>
              </w:rPr>
              <w:fldChar w:fldCharType="begin"/>
            </w:r>
            <w:r w:rsidR="00AD42E2">
              <w:rPr>
                <w:noProof/>
                <w:webHidden/>
              </w:rPr>
              <w:instrText xml:space="preserve"> PAGEREF _Toc83895471 \h </w:instrText>
            </w:r>
            <w:r w:rsidR="00AD42E2">
              <w:rPr>
                <w:noProof/>
                <w:webHidden/>
              </w:rPr>
            </w:r>
            <w:r w:rsidR="00AD42E2">
              <w:rPr>
                <w:noProof/>
                <w:webHidden/>
              </w:rPr>
              <w:fldChar w:fldCharType="separate"/>
            </w:r>
            <w:r w:rsidR="00AD42E2">
              <w:rPr>
                <w:noProof/>
                <w:webHidden/>
              </w:rPr>
              <w:t>4</w:t>
            </w:r>
            <w:r w:rsidR="00AD42E2">
              <w:rPr>
                <w:noProof/>
                <w:webHidden/>
              </w:rPr>
              <w:fldChar w:fldCharType="end"/>
            </w:r>
          </w:hyperlink>
        </w:p>
        <w:p w14:paraId="6A06EA75" w14:textId="22B94E71" w:rsidR="00AD42E2" w:rsidRDefault="00AD42E2">
          <w:pPr>
            <w:pStyle w:val="TOC1"/>
            <w:rPr>
              <w:rFonts w:asciiTheme="minorHAnsi" w:eastAsiaTheme="minorEastAsia" w:hAnsiTheme="minorHAnsi" w:cstheme="minorBidi"/>
              <w:b w:val="0"/>
              <w:noProof/>
              <w:sz w:val="22"/>
              <w:lang w:eastAsia="en-AU"/>
            </w:rPr>
          </w:pPr>
          <w:hyperlink w:anchor="_Toc83895472" w:history="1">
            <w:r w:rsidRPr="00452917">
              <w:rPr>
                <w:rStyle w:val="Hyperlink"/>
                <w:noProof/>
              </w:rPr>
              <w:t>I. Introduction to product submission</w:t>
            </w:r>
            <w:r>
              <w:rPr>
                <w:noProof/>
                <w:webHidden/>
              </w:rPr>
              <w:tab/>
            </w:r>
            <w:r>
              <w:rPr>
                <w:noProof/>
                <w:webHidden/>
              </w:rPr>
              <w:fldChar w:fldCharType="begin"/>
            </w:r>
            <w:r>
              <w:rPr>
                <w:noProof/>
                <w:webHidden/>
              </w:rPr>
              <w:instrText xml:space="preserve"> PAGEREF _Toc83895472 \h </w:instrText>
            </w:r>
            <w:r>
              <w:rPr>
                <w:noProof/>
                <w:webHidden/>
              </w:rPr>
            </w:r>
            <w:r>
              <w:rPr>
                <w:noProof/>
                <w:webHidden/>
              </w:rPr>
              <w:fldChar w:fldCharType="separate"/>
            </w:r>
            <w:r>
              <w:rPr>
                <w:noProof/>
                <w:webHidden/>
              </w:rPr>
              <w:t>6</w:t>
            </w:r>
            <w:r>
              <w:rPr>
                <w:noProof/>
                <w:webHidden/>
              </w:rPr>
              <w:fldChar w:fldCharType="end"/>
            </w:r>
          </w:hyperlink>
        </w:p>
        <w:p w14:paraId="265D858A" w14:textId="763CBFFA" w:rsidR="00AD42E2" w:rsidRDefault="00AD42E2">
          <w:pPr>
            <w:pStyle w:val="TOC2"/>
            <w:rPr>
              <w:rFonts w:asciiTheme="minorHAnsi" w:eastAsiaTheme="minorEastAsia" w:hAnsiTheme="minorHAnsi" w:cstheme="minorBidi"/>
              <w:b w:val="0"/>
              <w:noProof/>
              <w:sz w:val="22"/>
              <w:lang w:eastAsia="en-AU"/>
            </w:rPr>
          </w:pPr>
          <w:hyperlink w:anchor="_Toc83895473" w:history="1">
            <w:r w:rsidRPr="00452917">
              <w:rPr>
                <w:rStyle w:val="Hyperlink"/>
                <w:noProof/>
                <w:lang w:eastAsia="en-AU"/>
              </w:rPr>
              <w:t>Submission details</w:t>
            </w:r>
            <w:r>
              <w:rPr>
                <w:noProof/>
                <w:webHidden/>
              </w:rPr>
              <w:tab/>
            </w:r>
            <w:r>
              <w:rPr>
                <w:noProof/>
                <w:webHidden/>
              </w:rPr>
              <w:fldChar w:fldCharType="begin"/>
            </w:r>
            <w:r>
              <w:rPr>
                <w:noProof/>
                <w:webHidden/>
              </w:rPr>
              <w:instrText xml:space="preserve"> PAGEREF _Toc83895473 \h </w:instrText>
            </w:r>
            <w:r>
              <w:rPr>
                <w:noProof/>
                <w:webHidden/>
              </w:rPr>
            </w:r>
            <w:r>
              <w:rPr>
                <w:noProof/>
                <w:webHidden/>
              </w:rPr>
              <w:fldChar w:fldCharType="separate"/>
            </w:r>
            <w:r>
              <w:rPr>
                <w:noProof/>
                <w:webHidden/>
              </w:rPr>
              <w:t>6</w:t>
            </w:r>
            <w:r>
              <w:rPr>
                <w:noProof/>
                <w:webHidden/>
              </w:rPr>
              <w:fldChar w:fldCharType="end"/>
            </w:r>
          </w:hyperlink>
        </w:p>
        <w:p w14:paraId="6CD8BC59" w14:textId="13EA91E6" w:rsidR="00AD42E2" w:rsidRDefault="00AD42E2">
          <w:pPr>
            <w:pStyle w:val="TOC2"/>
            <w:rPr>
              <w:rFonts w:asciiTheme="minorHAnsi" w:eastAsiaTheme="minorEastAsia" w:hAnsiTheme="minorHAnsi" w:cstheme="minorBidi"/>
              <w:b w:val="0"/>
              <w:noProof/>
              <w:sz w:val="22"/>
              <w:lang w:eastAsia="en-AU"/>
            </w:rPr>
          </w:pPr>
          <w:hyperlink w:anchor="_Toc83895474" w:history="1">
            <w:r w:rsidRPr="00452917">
              <w:rPr>
                <w:rStyle w:val="Hyperlink"/>
                <w:noProof/>
              </w:rPr>
              <w:t>Product background</w:t>
            </w:r>
            <w:r>
              <w:rPr>
                <w:noProof/>
                <w:webHidden/>
              </w:rPr>
              <w:tab/>
            </w:r>
            <w:r>
              <w:rPr>
                <w:noProof/>
                <w:webHidden/>
              </w:rPr>
              <w:fldChar w:fldCharType="begin"/>
            </w:r>
            <w:r>
              <w:rPr>
                <w:noProof/>
                <w:webHidden/>
              </w:rPr>
              <w:instrText xml:space="preserve"> PAGEREF _Toc83895474 \h </w:instrText>
            </w:r>
            <w:r>
              <w:rPr>
                <w:noProof/>
                <w:webHidden/>
              </w:rPr>
            </w:r>
            <w:r>
              <w:rPr>
                <w:noProof/>
                <w:webHidden/>
              </w:rPr>
              <w:fldChar w:fldCharType="separate"/>
            </w:r>
            <w:r>
              <w:rPr>
                <w:noProof/>
                <w:webHidden/>
              </w:rPr>
              <w:t>7</w:t>
            </w:r>
            <w:r>
              <w:rPr>
                <w:noProof/>
                <w:webHidden/>
              </w:rPr>
              <w:fldChar w:fldCharType="end"/>
            </w:r>
          </w:hyperlink>
        </w:p>
        <w:p w14:paraId="51BE8B88" w14:textId="0F0A57BF" w:rsidR="00AD42E2" w:rsidRDefault="00AD42E2">
          <w:pPr>
            <w:pStyle w:val="TOC2"/>
            <w:rPr>
              <w:rFonts w:asciiTheme="minorHAnsi" w:eastAsiaTheme="minorEastAsia" w:hAnsiTheme="minorHAnsi" w:cstheme="minorBidi"/>
              <w:b w:val="0"/>
              <w:noProof/>
              <w:sz w:val="22"/>
              <w:lang w:eastAsia="en-AU"/>
            </w:rPr>
          </w:pPr>
          <w:hyperlink w:anchor="_Toc83895475" w:history="1">
            <w:r w:rsidRPr="00452917">
              <w:rPr>
                <w:rStyle w:val="Hyperlink"/>
                <w:noProof/>
              </w:rPr>
              <w:t>Regulatory status</w:t>
            </w:r>
            <w:r>
              <w:rPr>
                <w:noProof/>
                <w:webHidden/>
              </w:rPr>
              <w:tab/>
            </w:r>
            <w:r>
              <w:rPr>
                <w:noProof/>
                <w:webHidden/>
              </w:rPr>
              <w:fldChar w:fldCharType="begin"/>
            </w:r>
            <w:r>
              <w:rPr>
                <w:noProof/>
                <w:webHidden/>
              </w:rPr>
              <w:instrText xml:space="preserve"> PAGEREF _Toc83895475 \h </w:instrText>
            </w:r>
            <w:r>
              <w:rPr>
                <w:noProof/>
                <w:webHidden/>
              </w:rPr>
            </w:r>
            <w:r>
              <w:rPr>
                <w:noProof/>
                <w:webHidden/>
              </w:rPr>
              <w:fldChar w:fldCharType="separate"/>
            </w:r>
            <w:r>
              <w:rPr>
                <w:noProof/>
                <w:webHidden/>
              </w:rPr>
              <w:t>9</w:t>
            </w:r>
            <w:r>
              <w:rPr>
                <w:noProof/>
                <w:webHidden/>
              </w:rPr>
              <w:fldChar w:fldCharType="end"/>
            </w:r>
          </w:hyperlink>
        </w:p>
        <w:p w14:paraId="15FBBB26" w14:textId="2135D5B1" w:rsidR="00AD42E2" w:rsidRDefault="00AD42E2">
          <w:pPr>
            <w:pStyle w:val="TOC2"/>
            <w:rPr>
              <w:rFonts w:asciiTheme="minorHAnsi" w:eastAsiaTheme="minorEastAsia" w:hAnsiTheme="minorHAnsi" w:cstheme="minorBidi"/>
              <w:b w:val="0"/>
              <w:noProof/>
              <w:sz w:val="22"/>
              <w:lang w:eastAsia="en-AU"/>
            </w:rPr>
          </w:pPr>
          <w:hyperlink w:anchor="_Toc83895476" w:history="1">
            <w:r w:rsidRPr="00452917">
              <w:rPr>
                <w:rStyle w:val="Hyperlink"/>
                <w:noProof/>
              </w:rPr>
              <w:t>Product Information</w:t>
            </w:r>
            <w:r>
              <w:rPr>
                <w:noProof/>
                <w:webHidden/>
              </w:rPr>
              <w:tab/>
            </w:r>
            <w:r>
              <w:rPr>
                <w:noProof/>
                <w:webHidden/>
              </w:rPr>
              <w:fldChar w:fldCharType="begin"/>
            </w:r>
            <w:r>
              <w:rPr>
                <w:noProof/>
                <w:webHidden/>
              </w:rPr>
              <w:instrText xml:space="preserve"> PAGEREF _Toc83895476 \h </w:instrText>
            </w:r>
            <w:r>
              <w:rPr>
                <w:noProof/>
                <w:webHidden/>
              </w:rPr>
            </w:r>
            <w:r>
              <w:rPr>
                <w:noProof/>
                <w:webHidden/>
              </w:rPr>
              <w:fldChar w:fldCharType="separate"/>
            </w:r>
            <w:r>
              <w:rPr>
                <w:noProof/>
                <w:webHidden/>
              </w:rPr>
              <w:t>10</w:t>
            </w:r>
            <w:r>
              <w:rPr>
                <w:noProof/>
                <w:webHidden/>
              </w:rPr>
              <w:fldChar w:fldCharType="end"/>
            </w:r>
          </w:hyperlink>
        </w:p>
        <w:p w14:paraId="75475301" w14:textId="38283AC9" w:rsidR="00AD42E2" w:rsidRDefault="00AD42E2">
          <w:pPr>
            <w:pStyle w:val="TOC1"/>
            <w:rPr>
              <w:rFonts w:asciiTheme="minorHAnsi" w:eastAsiaTheme="minorEastAsia" w:hAnsiTheme="minorHAnsi" w:cstheme="minorBidi"/>
              <w:b w:val="0"/>
              <w:noProof/>
              <w:sz w:val="22"/>
              <w:lang w:eastAsia="en-AU"/>
            </w:rPr>
          </w:pPr>
          <w:hyperlink w:anchor="_Toc83895477" w:history="1">
            <w:r w:rsidRPr="00452917">
              <w:rPr>
                <w:rStyle w:val="Hyperlink"/>
                <w:noProof/>
              </w:rPr>
              <w:t>II. Registration timeline</w:t>
            </w:r>
            <w:r>
              <w:rPr>
                <w:noProof/>
                <w:webHidden/>
              </w:rPr>
              <w:tab/>
            </w:r>
            <w:r>
              <w:rPr>
                <w:noProof/>
                <w:webHidden/>
              </w:rPr>
              <w:fldChar w:fldCharType="begin"/>
            </w:r>
            <w:r>
              <w:rPr>
                <w:noProof/>
                <w:webHidden/>
              </w:rPr>
              <w:instrText xml:space="preserve"> PAGEREF _Toc83895477 \h </w:instrText>
            </w:r>
            <w:r>
              <w:rPr>
                <w:noProof/>
                <w:webHidden/>
              </w:rPr>
            </w:r>
            <w:r>
              <w:rPr>
                <w:noProof/>
                <w:webHidden/>
              </w:rPr>
              <w:fldChar w:fldCharType="separate"/>
            </w:r>
            <w:r>
              <w:rPr>
                <w:noProof/>
                <w:webHidden/>
              </w:rPr>
              <w:t>10</w:t>
            </w:r>
            <w:r>
              <w:rPr>
                <w:noProof/>
                <w:webHidden/>
              </w:rPr>
              <w:fldChar w:fldCharType="end"/>
            </w:r>
          </w:hyperlink>
        </w:p>
        <w:p w14:paraId="4C484207" w14:textId="51D10B60" w:rsidR="00AD42E2" w:rsidRDefault="00AD42E2">
          <w:pPr>
            <w:pStyle w:val="TOC1"/>
            <w:rPr>
              <w:rFonts w:asciiTheme="minorHAnsi" w:eastAsiaTheme="minorEastAsia" w:hAnsiTheme="minorHAnsi" w:cstheme="minorBidi"/>
              <w:b w:val="0"/>
              <w:noProof/>
              <w:sz w:val="22"/>
              <w:lang w:eastAsia="en-AU"/>
            </w:rPr>
          </w:pPr>
          <w:hyperlink w:anchor="_Toc83895478" w:history="1">
            <w:r w:rsidRPr="00452917">
              <w:rPr>
                <w:rStyle w:val="Hyperlink"/>
                <w:noProof/>
              </w:rPr>
              <w:t>III. Submission overview and risk/benefit assessment</w:t>
            </w:r>
            <w:r>
              <w:rPr>
                <w:noProof/>
                <w:webHidden/>
              </w:rPr>
              <w:tab/>
            </w:r>
            <w:r>
              <w:rPr>
                <w:noProof/>
                <w:webHidden/>
              </w:rPr>
              <w:fldChar w:fldCharType="begin"/>
            </w:r>
            <w:r>
              <w:rPr>
                <w:noProof/>
                <w:webHidden/>
              </w:rPr>
              <w:instrText xml:space="preserve"> PAGEREF _Toc83895478 \h </w:instrText>
            </w:r>
            <w:r>
              <w:rPr>
                <w:noProof/>
                <w:webHidden/>
              </w:rPr>
            </w:r>
            <w:r>
              <w:rPr>
                <w:noProof/>
                <w:webHidden/>
              </w:rPr>
              <w:fldChar w:fldCharType="separate"/>
            </w:r>
            <w:r>
              <w:rPr>
                <w:noProof/>
                <w:webHidden/>
              </w:rPr>
              <w:t>11</w:t>
            </w:r>
            <w:r>
              <w:rPr>
                <w:noProof/>
                <w:webHidden/>
              </w:rPr>
              <w:fldChar w:fldCharType="end"/>
            </w:r>
          </w:hyperlink>
        </w:p>
        <w:p w14:paraId="0B19D958" w14:textId="372F7BB7" w:rsidR="00AD42E2" w:rsidRDefault="00AD42E2">
          <w:pPr>
            <w:pStyle w:val="TOC2"/>
            <w:rPr>
              <w:rFonts w:asciiTheme="minorHAnsi" w:eastAsiaTheme="minorEastAsia" w:hAnsiTheme="minorHAnsi" w:cstheme="minorBidi"/>
              <w:b w:val="0"/>
              <w:noProof/>
              <w:sz w:val="22"/>
              <w:lang w:eastAsia="en-AU"/>
            </w:rPr>
          </w:pPr>
          <w:hyperlink w:anchor="_Toc83895479" w:history="1">
            <w:r w:rsidRPr="00452917">
              <w:rPr>
                <w:rStyle w:val="Hyperlink"/>
                <w:noProof/>
              </w:rPr>
              <w:t>Quality</w:t>
            </w:r>
            <w:r>
              <w:rPr>
                <w:noProof/>
                <w:webHidden/>
              </w:rPr>
              <w:tab/>
            </w:r>
            <w:r>
              <w:rPr>
                <w:noProof/>
                <w:webHidden/>
              </w:rPr>
              <w:fldChar w:fldCharType="begin"/>
            </w:r>
            <w:r>
              <w:rPr>
                <w:noProof/>
                <w:webHidden/>
              </w:rPr>
              <w:instrText xml:space="preserve"> PAGEREF _Toc83895479 \h </w:instrText>
            </w:r>
            <w:r>
              <w:rPr>
                <w:noProof/>
                <w:webHidden/>
              </w:rPr>
            </w:r>
            <w:r>
              <w:rPr>
                <w:noProof/>
                <w:webHidden/>
              </w:rPr>
              <w:fldChar w:fldCharType="separate"/>
            </w:r>
            <w:r>
              <w:rPr>
                <w:noProof/>
                <w:webHidden/>
              </w:rPr>
              <w:t>11</w:t>
            </w:r>
            <w:r>
              <w:rPr>
                <w:noProof/>
                <w:webHidden/>
              </w:rPr>
              <w:fldChar w:fldCharType="end"/>
            </w:r>
          </w:hyperlink>
        </w:p>
        <w:p w14:paraId="79B3AD6D" w14:textId="2848B55F" w:rsidR="00AD42E2" w:rsidRDefault="00AD42E2">
          <w:pPr>
            <w:pStyle w:val="TOC2"/>
            <w:rPr>
              <w:rFonts w:asciiTheme="minorHAnsi" w:eastAsiaTheme="minorEastAsia" w:hAnsiTheme="minorHAnsi" w:cstheme="minorBidi"/>
              <w:b w:val="0"/>
              <w:noProof/>
              <w:sz w:val="22"/>
              <w:lang w:eastAsia="en-AU"/>
            </w:rPr>
          </w:pPr>
          <w:hyperlink w:anchor="_Toc83895480" w:history="1">
            <w:r w:rsidRPr="00452917">
              <w:rPr>
                <w:rStyle w:val="Hyperlink"/>
                <w:noProof/>
              </w:rPr>
              <w:t>Nonclinical</w:t>
            </w:r>
            <w:r>
              <w:rPr>
                <w:noProof/>
                <w:webHidden/>
              </w:rPr>
              <w:tab/>
            </w:r>
            <w:r>
              <w:rPr>
                <w:noProof/>
                <w:webHidden/>
              </w:rPr>
              <w:fldChar w:fldCharType="begin"/>
            </w:r>
            <w:r>
              <w:rPr>
                <w:noProof/>
                <w:webHidden/>
              </w:rPr>
              <w:instrText xml:space="preserve"> PAGEREF _Toc83895480 \h </w:instrText>
            </w:r>
            <w:r>
              <w:rPr>
                <w:noProof/>
                <w:webHidden/>
              </w:rPr>
            </w:r>
            <w:r>
              <w:rPr>
                <w:noProof/>
                <w:webHidden/>
              </w:rPr>
              <w:fldChar w:fldCharType="separate"/>
            </w:r>
            <w:r>
              <w:rPr>
                <w:noProof/>
                <w:webHidden/>
              </w:rPr>
              <w:t>12</w:t>
            </w:r>
            <w:r>
              <w:rPr>
                <w:noProof/>
                <w:webHidden/>
              </w:rPr>
              <w:fldChar w:fldCharType="end"/>
            </w:r>
          </w:hyperlink>
        </w:p>
        <w:p w14:paraId="7D113218" w14:textId="12F49E37" w:rsidR="00AD42E2" w:rsidRDefault="00AD42E2">
          <w:pPr>
            <w:pStyle w:val="TOC2"/>
            <w:rPr>
              <w:rFonts w:asciiTheme="minorHAnsi" w:eastAsiaTheme="minorEastAsia" w:hAnsiTheme="minorHAnsi" w:cstheme="minorBidi"/>
              <w:b w:val="0"/>
              <w:noProof/>
              <w:sz w:val="22"/>
              <w:lang w:eastAsia="en-AU"/>
            </w:rPr>
          </w:pPr>
          <w:hyperlink w:anchor="_Toc83895481" w:history="1">
            <w:r w:rsidRPr="00452917">
              <w:rPr>
                <w:rStyle w:val="Hyperlink"/>
                <w:noProof/>
                <w:lang w:eastAsia="en-AU"/>
              </w:rPr>
              <w:t>Risk management plan</w:t>
            </w:r>
            <w:r>
              <w:rPr>
                <w:noProof/>
                <w:webHidden/>
              </w:rPr>
              <w:tab/>
            </w:r>
            <w:r>
              <w:rPr>
                <w:noProof/>
                <w:webHidden/>
              </w:rPr>
              <w:fldChar w:fldCharType="begin"/>
            </w:r>
            <w:r>
              <w:rPr>
                <w:noProof/>
                <w:webHidden/>
              </w:rPr>
              <w:instrText xml:space="preserve"> PAGEREF _Toc83895481 \h </w:instrText>
            </w:r>
            <w:r>
              <w:rPr>
                <w:noProof/>
                <w:webHidden/>
              </w:rPr>
            </w:r>
            <w:r>
              <w:rPr>
                <w:noProof/>
                <w:webHidden/>
              </w:rPr>
              <w:fldChar w:fldCharType="separate"/>
            </w:r>
            <w:r>
              <w:rPr>
                <w:noProof/>
                <w:webHidden/>
              </w:rPr>
              <w:t>22</w:t>
            </w:r>
            <w:r>
              <w:rPr>
                <w:noProof/>
                <w:webHidden/>
              </w:rPr>
              <w:fldChar w:fldCharType="end"/>
            </w:r>
          </w:hyperlink>
        </w:p>
        <w:p w14:paraId="17BBBA88" w14:textId="7C713AA7" w:rsidR="00AD42E2" w:rsidRDefault="00AD42E2">
          <w:pPr>
            <w:pStyle w:val="TOC2"/>
            <w:rPr>
              <w:rFonts w:asciiTheme="minorHAnsi" w:eastAsiaTheme="minorEastAsia" w:hAnsiTheme="minorHAnsi" w:cstheme="minorBidi"/>
              <w:b w:val="0"/>
              <w:noProof/>
              <w:sz w:val="22"/>
              <w:lang w:eastAsia="en-AU"/>
            </w:rPr>
          </w:pPr>
          <w:hyperlink w:anchor="_Toc83895482" w:history="1">
            <w:r w:rsidRPr="00452917">
              <w:rPr>
                <w:rStyle w:val="Hyperlink"/>
                <w:noProof/>
              </w:rPr>
              <w:t>Risk-benefit analysis</w:t>
            </w:r>
            <w:r>
              <w:rPr>
                <w:noProof/>
                <w:webHidden/>
              </w:rPr>
              <w:tab/>
            </w:r>
            <w:r>
              <w:rPr>
                <w:noProof/>
                <w:webHidden/>
              </w:rPr>
              <w:fldChar w:fldCharType="begin"/>
            </w:r>
            <w:r>
              <w:rPr>
                <w:noProof/>
                <w:webHidden/>
              </w:rPr>
              <w:instrText xml:space="preserve"> PAGEREF _Toc83895482 \h </w:instrText>
            </w:r>
            <w:r>
              <w:rPr>
                <w:noProof/>
                <w:webHidden/>
              </w:rPr>
            </w:r>
            <w:r>
              <w:rPr>
                <w:noProof/>
                <w:webHidden/>
              </w:rPr>
              <w:fldChar w:fldCharType="separate"/>
            </w:r>
            <w:r>
              <w:rPr>
                <w:noProof/>
                <w:webHidden/>
              </w:rPr>
              <w:t>22</w:t>
            </w:r>
            <w:r>
              <w:rPr>
                <w:noProof/>
                <w:webHidden/>
              </w:rPr>
              <w:fldChar w:fldCharType="end"/>
            </w:r>
          </w:hyperlink>
        </w:p>
        <w:p w14:paraId="17EFB7F8" w14:textId="37FE1364" w:rsidR="00AD42E2" w:rsidRDefault="00AD42E2">
          <w:pPr>
            <w:pStyle w:val="TOC2"/>
            <w:rPr>
              <w:rFonts w:asciiTheme="minorHAnsi" w:eastAsiaTheme="minorEastAsia" w:hAnsiTheme="minorHAnsi" w:cstheme="minorBidi"/>
              <w:b w:val="0"/>
              <w:noProof/>
              <w:sz w:val="22"/>
              <w:lang w:eastAsia="en-AU"/>
            </w:rPr>
          </w:pPr>
          <w:hyperlink w:anchor="_Toc83895483" w:history="1">
            <w:r w:rsidRPr="00452917">
              <w:rPr>
                <w:rStyle w:val="Hyperlink"/>
                <w:noProof/>
              </w:rPr>
              <w:t>Outcome</w:t>
            </w:r>
            <w:r>
              <w:rPr>
                <w:noProof/>
                <w:webHidden/>
              </w:rPr>
              <w:tab/>
            </w:r>
            <w:r>
              <w:rPr>
                <w:noProof/>
                <w:webHidden/>
              </w:rPr>
              <w:fldChar w:fldCharType="begin"/>
            </w:r>
            <w:r>
              <w:rPr>
                <w:noProof/>
                <w:webHidden/>
              </w:rPr>
              <w:instrText xml:space="preserve"> PAGEREF _Toc83895483 \h </w:instrText>
            </w:r>
            <w:r>
              <w:rPr>
                <w:noProof/>
                <w:webHidden/>
              </w:rPr>
            </w:r>
            <w:r>
              <w:rPr>
                <w:noProof/>
                <w:webHidden/>
              </w:rPr>
              <w:fldChar w:fldCharType="separate"/>
            </w:r>
            <w:r>
              <w:rPr>
                <w:noProof/>
                <w:webHidden/>
              </w:rPr>
              <w:t>25</w:t>
            </w:r>
            <w:r>
              <w:rPr>
                <w:noProof/>
                <w:webHidden/>
              </w:rPr>
              <w:fldChar w:fldCharType="end"/>
            </w:r>
          </w:hyperlink>
        </w:p>
        <w:p w14:paraId="62716049" w14:textId="14A34522" w:rsidR="00AD42E2" w:rsidRDefault="00AD42E2">
          <w:pPr>
            <w:pStyle w:val="TOC1"/>
            <w:rPr>
              <w:rFonts w:asciiTheme="minorHAnsi" w:eastAsiaTheme="minorEastAsia" w:hAnsiTheme="minorHAnsi" w:cstheme="minorBidi"/>
              <w:b w:val="0"/>
              <w:noProof/>
              <w:sz w:val="22"/>
              <w:lang w:eastAsia="en-AU"/>
            </w:rPr>
          </w:pPr>
          <w:hyperlink w:anchor="_Toc83895484" w:history="1">
            <w:r w:rsidRPr="00452917">
              <w:rPr>
                <w:rStyle w:val="Hyperlink"/>
                <w:noProof/>
              </w:rPr>
              <w:t>Attachment 1. Product Information</w:t>
            </w:r>
            <w:r>
              <w:rPr>
                <w:noProof/>
                <w:webHidden/>
              </w:rPr>
              <w:tab/>
            </w:r>
            <w:r>
              <w:rPr>
                <w:noProof/>
                <w:webHidden/>
              </w:rPr>
              <w:fldChar w:fldCharType="begin"/>
            </w:r>
            <w:r>
              <w:rPr>
                <w:noProof/>
                <w:webHidden/>
              </w:rPr>
              <w:instrText xml:space="preserve"> PAGEREF _Toc83895484 \h </w:instrText>
            </w:r>
            <w:r>
              <w:rPr>
                <w:noProof/>
                <w:webHidden/>
              </w:rPr>
            </w:r>
            <w:r>
              <w:rPr>
                <w:noProof/>
                <w:webHidden/>
              </w:rPr>
              <w:fldChar w:fldCharType="separate"/>
            </w:r>
            <w:r>
              <w:rPr>
                <w:noProof/>
                <w:webHidden/>
              </w:rPr>
              <w:t>26</w:t>
            </w:r>
            <w:r>
              <w:rPr>
                <w:noProof/>
                <w:webHidden/>
              </w:rPr>
              <w:fldChar w:fldCharType="end"/>
            </w:r>
          </w:hyperlink>
        </w:p>
        <w:p w14:paraId="1E4B4F1B" w14:textId="3287BD64" w:rsidR="003A7F6C" w:rsidRPr="00F6727E" w:rsidRDefault="00C525A2" w:rsidP="00B811C6">
          <w:pPr>
            <w:pStyle w:val="TOC2"/>
          </w:pPr>
          <w:r w:rsidRPr="00F6727E">
            <w:fldChar w:fldCharType="end"/>
          </w:r>
        </w:p>
      </w:sdtContent>
    </w:sdt>
    <w:bookmarkStart w:id="2" w:name="_Toc314842482" w:displacedByCustomXml="prev"/>
    <w:p w14:paraId="4A267F19" w14:textId="77777777" w:rsidR="00FD119B" w:rsidRPr="00F6727E" w:rsidRDefault="00FD119B">
      <w:pPr>
        <w:spacing w:before="0" w:after="200" w:line="0" w:lineRule="auto"/>
      </w:pPr>
      <w:r w:rsidRPr="00F6727E">
        <w:br w:type="page"/>
      </w:r>
    </w:p>
    <w:p w14:paraId="41E6B614" w14:textId="77777777" w:rsidR="00FD119B" w:rsidRPr="00F6727E" w:rsidRDefault="00324E45" w:rsidP="004F0C4A">
      <w:pPr>
        <w:pStyle w:val="Heading2"/>
      </w:pPr>
      <w:bookmarkStart w:id="3" w:name="_Toc351716269"/>
      <w:bookmarkStart w:id="4" w:name="_Toc351718881"/>
      <w:bookmarkStart w:id="5" w:name="_Toc355338616"/>
      <w:bookmarkStart w:id="6" w:name="_Toc356306144"/>
      <w:bookmarkStart w:id="7" w:name="_Toc83895471"/>
      <w:r w:rsidRPr="00F6727E">
        <w:lastRenderedPageBreak/>
        <w:t>List of</w:t>
      </w:r>
      <w:r w:rsidR="00FD119B" w:rsidRPr="00F6727E">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604"/>
      </w:tblGrid>
      <w:tr w:rsidR="00FD119B" w:rsidRPr="00F6727E" w14:paraId="54C2D765" w14:textId="77777777" w:rsidTr="00A15CAA">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4AE3E87E" w14:textId="77777777" w:rsidR="00FD119B" w:rsidRPr="00F6727E" w:rsidRDefault="00FD119B" w:rsidP="00512FC8">
            <w:r w:rsidRPr="00F6727E">
              <w:t>Abbreviation</w:t>
            </w:r>
          </w:p>
        </w:tc>
        <w:tc>
          <w:tcPr>
            <w:tcW w:w="6604" w:type="dxa"/>
            <w:tcBorders>
              <w:top w:val="single" w:sz="4" w:space="0" w:color="auto"/>
              <w:left w:val="single" w:sz="4" w:space="0" w:color="auto"/>
              <w:bottom w:val="single" w:sz="4" w:space="0" w:color="auto"/>
              <w:right w:val="single" w:sz="4" w:space="0" w:color="auto"/>
            </w:tcBorders>
          </w:tcPr>
          <w:p w14:paraId="245B11B3" w14:textId="77777777" w:rsidR="00FD119B" w:rsidRPr="00F6727E" w:rsidRDefault="00FD119B" w:rsidP="00512FC8">
            <w:r w:rsidRPr="00F6727E">
              <w:t>Meaning</w:t>
            </w:r>
          </w:p>
        </w:tc>
      </w:tr>
      <w:tr w:rsidR="00512FC8" w:rsidRPr="00F6727E" w14:paraId="7E87E9D3" w14:textId="77777777" w:rsidTr="00A15CAA">
        <w:tc>
          <w:tcPr>
            <w:tcW w:w="1890" w:type="dxa"/>
          </w:tcPr>
          <w:p w14:paraId="5914BBC3" w14:textId="77777777" w:rsidR="00512FC8" w:rsidRPr="00F6727E" w:rsidRDefault="00512FC8" w:rsidP="00512FC8">
            <w:r w:rsidRPr="00F6727E">
              <w:t>ACM</w:t>
            </w:r>
          </w:p>
        </w:tc>
        <w:tc>
          <w:tcPr>
            <w:tcW w:w="6604" w:type="dxa"/>
          </w:tcPr>
          <w:p w14:paraId="0B740F9E" w14:textId="77777777" w:rsidR="00512FC8" w:rsidRPr="00F6727E" w:rsidRDefault="00512FC8" w:rsidP="00512FC8">
            <w:r w:rsidRPr="00F6727E">
              <w:t>Advisory Committee on Medicines</w:t>
            </w:r>
          </w:p>
        </w:tc>
      </w:tr>
      <w:tr w:rsidR="00512FC8" w:rsidRPr="00F6727E" w14:paraId="54560A41" w14:textId="77777777" w:rsidTr="00A15CAA">
        <w:tc>
          <w:tcPr>
            <w:tcW w:w="1890" w:type="dxa"/>
          </w:tcPr>
          <w:p w14:paraId="3F224428" w14:textId="611ED089" w:rsidR="00512FC8" w:rsidRPr="00F6727E" w:rsidRDefault="00BE5700" w:rsidP="00512FC8">
            <w:r>
              <w:t>ACQ</w:t>
            </w:r>
          </w:p>
        </w:tc>
        <w:tc>
          <w:tcPr>
            <w:tcW w:w="6604" w:type="dxa"/>
          </w:tcPr>
          <w:p w14:paraId="209D79CA" w14:textId="77777777" w:rsidR="00512FC8" w:rsidRPr="00F6727E" w:rsidRDefault="00512FC8" w:rsidP="00512FC8">
            <w:r w:rsidRPr="00F6727E">
              <w:t>Asthma Control Questionnaire</w:t>
            </w:r>
          </w:p>
        </w:tc>
      </w:tr>
      <w:tr w:rsidR="00ED3A09" w:rsidRPr="00F6727E" w14:paraId="0CEF6EB2" w14:textId="77777777" w:rsidTr="00A15CAA">
        <w:tc>
          <w:tcPr>
            <w:tcW w:w="1890" w:type="dxa"/>
            <w:vAlign w:val="center"/>
          </w:tcPr>
          <w:p w14:paraId="279B7C51" w14:textId="0E78E6A5" w:rsidR="00ED3A09" w:rsidRPr="00F6727E" w:rsidRDefault="00ED3A09" w:rsidP="00512FC8">
            <w:r w:rsidRPr="00F6727E">
              <w:t>ADR</w:t>
            </w:r>
          </w:p>
        </w:tc>
        <w:tc>
          <w:tcPr>
            <w:tcW w:w="6604" w:type="dxa"/>
            <w:vAlign w:val="center"/>
          </w:tcPr>
          <w:p w14:paraId="12FCF27D" w14:textId="347431B7" w:rsidR="00ED3A09" w:rsidRPr="00F6727E" w:rsidRDefault="003F2D4A" w:rsidP="00ED3A09">
            <w:r>
              <w:t>A</w:t>
            </w:r>
            <w:r w:rsidR="00ED3A09" w:rsidRPr="00F6727E">
              <w:t>dverse drug reaction</w:t>
            </w:r>
          </w:p>
        </w:tc>
      </w:tr>
      <w:tr w:rsidR="00512FC8" w:rsidRPr="00F6727E" w14:paraId="57F0F591" w14:textId="77777777" w:rsidTr="00A15CAA">
        <w:tc>
          <w:tcPr>
            <w:tcW w:w="1890" w:type="dxa"/>
          </w:tcPr>
          <w:p w14:paraId="26CDDC29" w14:textId="6D0EB015" w:rsidR="00512FC8" w:rsidRPr="00F6727E" w:rsidRDefault="003D401B" w:rsidP="00512FC8">
            <w:r w:rsidRPr="00F6727E">
              <w:t>AE</w:t>
            </w:r>
          </w:p>
        </w:tc>
        <w:tc>
          <w:tcPr>
            <w:tcW w:w="6604" w:type="dxa"/>
          </w:tcPr>
          <w:p w14:paraId="4283DE38" w14:textId="77777777" w:rsidR="00512FC8" w:rsidRPr="00F6727E" w:rsidRDefault="00512FC8" w:rsidP="00512FC8">
            <w:r w:rsidRPr="00F6727E">
              <w:t>Adverse event</w:t>
            </w:r>
          </w:p>
        </w:tc>
      </w:tr>
      <w:tr w:rsidR="00512FC8" w:rsidRPr="00F6727E" w14:paraId="040C1790" w14:textId="77777777" w:rsidTr="00A15CAA">
        <w:tc>
          <w:tcPr>
            <w:tcW w:w="1890" w:type="dxa"/>
          </w:tcPr>
          <w:p w14:paraId="520992BE" w14:textId="1086B649" w:rsidR="00512FC8" w:rsidRPr="00F6727E" w:rsidRDefault="003D401B" w:rsidP="00512FC8">
            <w:r w:rsidRPr="00F6727E">
              <w:t>AESI</w:t>
            </w:r>
          </w:p>
        </w:tc>
        <w:tc>
          <w:tcPr>
            <w:tcW w:w="6604" w:type="dxa"/>
          </w:tcPr>
          <w:p w14:paraId="544F5F69" w14:textId="77777777" w:rsidR="00512FC8" w:rsidRPr="00F6727E" w:rsidRDefault="00512FC8" w:rsidP="00512FC8">
            <w:r w:rsidRPr="00F6727E">
              <w:t>Adverse event of special interest</w:t>
            </w:r>
          </w:p>
        </w:tc>
      </w:tr>
      <w:tr w:rsidR="00E3447A" w:rsidRPr="00F6727E" w14:paraId="1DDF11CB" w14:textId="77777777" w:rsidTr="00A15CAA">
        <w:tc>
          <w:tcPr>
            <w:tcW w:w="1890" w:type="dxa"/>
          </w:tcPr>
          <w:p w14:paraId="7EB4C7D7" w14:textId="1CF8355B" w:rsidR="00E3447A" w:rsidRPr="00F6727E" w:rsidRDefault="00E3447A" w:rsidP="00512FC8">
            <w:r>
              <w:t>Anti-</w:t>
            </w:r>
            <w:proofErr w:type="spellStart"/>
            <w:r w:rsidRPr="00E3447A">
              <w:t>IgE</w:t>
            </w:r>
            <w:proofErr w:type="spellEnd"/>
          </w:p>
        </w:tc>
        <w:tc>
          <w:tcPr>
            <w:tcW w:w="6604" w:type="dxa"/>
          </w:tcPr>
          <w:p w14:paraId="78638B2C" w14:textId="247BCD2F" w:rsidR="00E3447A" w:rsidRPr="00F6727E" w:rsidRDefault="00E3447A" w:rsidP="00512FC8">
            <w:r>
              <w:t>Anti-i</w:t>
            </w:r>
            <w:r w:rsidRPr="00E3447A">
              <w:t>mmunoglobulin E</w:t>
            </w:r>
          </w:p>
        </w:tc>
      </w:tr>
      <w:tr w:rsidR="00512FC8" w:rsidRPr="00F6727E" w14:paraId="06F8A4AC" w14:textId="77777777" w:rsidTr="00A15CAA">
        <w:tc>
          <w:tcPr>
            <w:tcW w:w="1890" w:type="dxa"/>
          </w:tcPr>
          <w:p w14:paraId="5EF0AFAD" w14:textId="5D4B8938" w:rsidR="00512FC8" w:rsidRPr="00F6727E" w:rsidRDefault="00BE5700" w:rsidP="00512FC8">
            <w:r>
              <w:t>AQLQ</w:t>
            </w:r>
          </w:p>
        </w:tc>
        <w:tc>
          <w:tcPr>
            <w:tcW w:w="6604" w:type="dxa"/>
          </w:tcPr>
          <w:p w14:paraId="52905ACF" w14:textId="77777777" w:rsidR="00512FC8" w:rsidRPr="00F6727E" w:rsidRDefault="00512FC8" w:rsidP="00512FC8">
            <w:r w:rsidRPr="00F6727E">
              <w:t>Asthma Quality of Life Questionnaire</w:t>
            </w:r>
          </w:p>
        </w:tc>
      </w:tr>
      <w:tr w:rsidR="00512FC8" w:rsidRPr="00F6727E" w14:paraId="195FFAB1" w14:textId="77777777" w:rsidTr="00A15CAA">
        <w:tc>
          <w:tcPr>
            <w:tcW w:w="1890" w:type="dxa"/>
          </w:tcPr>
          <w:p w14:paraId="327A288A" w14:textId="77777777" w:rsidR="00512FC8" w:rsidRPr="00F6727E" w:rsidRDefault="00512FC8" w:rsidP="00512FC8">
            <w:r w:rsidRPr="00F6727E">
              <w:t>ARTG</w:t>
            </w:r>
          </w:p>
        </w:tc>
        <w:tc>
          <w:tcPr>
            <w:tcW w:w="6604" w:type="dxa"/>
          </w:tcPr>
          <w:p w14:paraId="13720CC1" w14:textId="77777777" w:rsidR="00512FC8" w:rsidRPr="00F6727E" w:rsidRDefault="00512FC8" w:rsidP="00512FC8">
            <w:r w:rsidRPr="00F6727E">
              <w:t>Australian Register of Therapeutic Goods</w:t>
            </w:r>
          </w:p>
        </w:tc>
      </w:tr>
      <w:tr w:rsidR="00512FC8" w:rsidRPr="00F6727E" w14:paraId="00CD3FB5" w14:textId="77777777" w:rsidTr="00A15CAA">
        <w:tc>
          <w:tcPr>
            <w:tcW w:w="1890" w:type="dxa"/>
            <w:vAlign w:val="center"/>
          </w:tcPr>
          <w:p w14:paraId="03374EB8" w14:textId="038B7026" w:rsidR="00512FC8" w:rsidRPr="00F6727E" w:rsidRDefault="00512FC8" w:rsidP="00512FC8">
            <w:r w:rsidRPr="00F6727E">
              <w:t>AUC</w:t>
            </w:r>
          </w:p>
        </w:tc>
        <w:tc>
          <w:tcPr>
            <w:tcW w:w="6604" w:type="dxa"/>
            <w:vAlign w:val="center"/>
          </w:tcPr>
          <w:p w14:paraId="7BD3A0D0" w14:textId="67DE5780" w:rsidR="00512FC8" w:rsidRPr="00F6727E" w:rsidRDefault="00BD137C" w:rsidP="00BD137C">
            <w:r w:rsidRPr="00F6727E">
              <w:t>A</w:t>
            </w:r>
            <w:r w:rsidR="00512FC8" w:rsidRPr="00F6727E">
              <w:t>rea under the concentration</w:t>
            </w:r>
            <w:r w:rsidRPr="00F6727E">
              <w:t xml:space="preserve"> time curve</w:t>
            </w:r>
          </w:p>
        </w:tc>
      </w:tr>
      <w:tr w:rsidR="00512FC8" w:rsidRPr="00F6727E" w14:paraId="6A36D562" w14:textId="77777777" w:rsidTr="00A15CAA">
        <w:tc>
          <w:tcPr>
            <w:tcW w:w="1890" w:type="dxa"/>
          </w:tcPr>
          <w:p w14:paraId="011B5532" w14:textId="12A58BCC" w:rsidR="00512FC8" w:rsidRPr="00F6727E" w:rsidRDefault="00BE5700" w:rsidP="00512FC8">
            <w:r>
              <w:t>BMI</w:t>
            </w:r>
          </w:p>
        </w:tc>
        <w:tc>
          <w:tcPr>
            <w:tcW w:w="6604" w:type="dxa"/>
          </w:tcPr>
          <w:p w14:paraId="10A021A1" w14:textId="795AE466" w:rsidR="00512FC8" w:rsidRPr="00F6727E" w:rsidRDefault="00512FC8" w:rsidP="00512FC8">
            <w:r w:rsidRPr="00F6727E">
              <w:t xml:space="preserve">Body </w:t>
            </w:r>
            <w:r w:rsidR="003F2D4A">
              <w:t>m</w:t>
            </w:r>
            <w:r w:rsidRPr="00F6727E">
              <w:t xml:space="preserve">ass </w:t>
            </w:r>
            <w:r w:rsidR="003F2D4A">
              <w:t>i</w:t>
            </w:r>
            <w:r w:rsidRPr="00F6727E">
              <w:t>ndex</w:t>
            </w:r>
          </w:p>
        </w:tc>
      </w:tr>
      <w:tr w:rsidR="00FF23D3" w:rsidRPr="00F6727E" w14:paraId="785806A4" w14:textId="77777777" w:rsidTr="00A15CAA">
        <w:tc>
          <w:tcPr>
            <w:tcW w:w="1890" w:type="dxa"/>
          </w:tcPr>
          <w:p w14:paraId="4DBDCD01" w14:textId="58A96DF9" w:rsidR="00FF23D3" w:rsidRPr="00F6727E" w:rsidRDefault="00FF23D3" w:rsidP="00512FC8">
            <w:r w:rsidRPr="00F6727E">
              <w:t>CHMP</w:t>
            </w:r>
          </w:p>
        </w:tc>
        <w:tc>
          <w:tcPr>
            <w:tcW w:w="6604" w:type="dxa"/>
          </w:tcPr>
          <w:p w14:paraId="056E6CFE" w14:textId="427CBE1F" w:rsidR="00FF23D3" w:rsidRPr="00F6727E" w:rsidRDefault="00FF23D3" w:rsidP="00FF23D3">
            <w:r w:rsidRPr="00F6727E">
              <w:t>Committee for Medicinal Products for Human Use</w:t>
            </w:r>
            <w:r w:rsidR="003F2D4A">
              <w:t xml:space="preserve"> (European Medicines Agency, European Union)</w:t>
            </w:r>
          </w:p>
        </w:tc>
      </w:tr>
      <w:tr w:rsidR="00512FC8" w:rsidRPr="00F6727E" w14:paraId="2B9697F9" w14:textId="77777777" w:rsidTr="00A15CAA">
        <w:tc>
          <w:tcPr>
            <w:tcW w:w="1890" w:type="dxa"/>
            <w:vAlign w:val="center"/>
          </w:tcPr>
          <w:p w14:paraId="6EE0E1D9" w14:textId="77777777" w:rsidR="00512FC8" w:rsidRPr="00F6727E" w:rsidRDefault="00512FC8" w:rsidP="00512FC8">
            <w:r w:rsidRPr="00F6727E">
              <w:t>CL/F</w:t>
            </w:r>
          </w:p>
        </w:tc>
        <w:tc>
          <w:tcPr>
            <w:tcW w:w="6604" w:type="dxa"/>
            <w:vAlign w:val="center"/>
          </w:tcPr>
          <w:p w14:paraId="44452483" w14:textId="5CB5BFF1" w:rsidR="00512FC8" w:rsidRPr="00F6727E" w:rsidRDefault="003F2D4A" w:rsidP="00512FC8">
            <w:r>
              <w:t>Apparent</w:t>
            </w:r>
            <w:r w:rsidR="00512FC8" w:rsidRPr="00F6727E">
              <w:t xml:space="preserve"> clearance</w:t>
            </w:r>
          </w:p>
        </w:tc>
      </w:tr>
      <w:tr w:rsidR="00512FC8" w:rsidRPr="00F6727E" w14:paraId="27D1AFDE" w14:textId="77777777" w:rsidTr="00A15CAA">
        <w:tc>
          <w:tcPr>
            <w:tcW w:w="1890" w:type="dxa"/>
            <w:vAlign w:val="center"/>
          </w:tcPr>
          <w:p w14:paraId="4B50F1E4" w14:textId="77777777" w:rsidR="00512FC8" w:rsidRPr="00F6727E" w:rsidRDefault="00512FC8" w:rsidP="00512FC8">
            <w:proofErr w:type="spellStart"/>
            <w:r w:rsidRPr="00F6727E">
              <w:t>C</w:t>
            </w:r>
            <w:r w:rsidRPr="00F6727E">
              <w:rPr>
                <w:vertAlign w:val="subscript"/>
              </w:rPr>
              <w:t>max</w:t>
            </w:r>
            <w:proofErr w:type="spellEnd"/>
          </w:p>
        </w:tc>
        <w:tc>
          <w:tcPr>
            <w:tcW w:w="6604" w:type="dxa"/>
            <w:vAlign w:val="center"/>
          </w:tcPr>
          <w:p w14:paraId="7B5C87C6" w14:textId="54938EA1" w:rsidR="00512FC8" w:rsidRPr="00F6727E" w:rsidRDefault="00512FC8" w:rsidP="003F2D4A">
            <w:r w:rsidRPr="00F6727E">
              <w:t xml:space="preserve">Maximum </w:t>
            </w:r>
            <w:r w:rsidR="003F2D4A">
              <w:t>c</w:t>
            </w:r>
            <w:r w:rsidRPr="00F6727E">
              <w:t>oncentration</w:t>
            </w:r>
          </w:p>
        </w:tc>
      </w:tr>
      <w:tr w:rsidR="00512FC8" w:rsidRPr="00F6727E" w14:paraId="1A00CF61" w14:textId="77777777" w:rsidTr="00A15CAA">
        <w:tc>
          <w:tcPr>
            <w:tcW w:w="1890" w:type="dxa"/>
          </w:tcPr>
          <w:p w14:paraId="325491B8" w14:textId="12F472AF" w:rsidR="00512FC8" w:rsidRPr="00F6727E" w:rsidRDefault="00BE5700" w:rsidP="00512FC8">
            <w:r>
              <w:t>COPD</w:t>
            </w:r>
          </w:p>
        </w:tc>
        <w:tc>
          <w:tcPr>
            <w:tcW w:w="6604" w:type="dxa"/>
          </w:tcPr>
          <w:p w14:paraId="716710EA" w14:textId="65C557BE" w:rsidR="00512FC8" w:rsidRPr="00F6727E" w:rsidRDefault="00512FC8" w:rsidP="00512FC8">
            <w:r w:rsidRPr="00F6727E">
              <w:t>Chronic</w:t>
            </w:r>
            <w:r w:rsidR="00405DE1" w:rsidRPr="00F6727E">
              <w:t xml:space="preserve"> obstructive pulmonary disease</w:t>
            </w:r>
          </w:p>
        </w:tc>
      </w:tr>
      <w:tr w:rsidR="00512FC8" w:rsidRPr="00F6727E" w14:paraId="0CF9AB4A" w14:textId="77777777" w:rsidTr="00A15CAA">
        <w:tc>
          <w:tcPr>
            <w:tcW w:w="1890" w:type="dxa"/>
          </w:tcPr>
          <w:p w14:paraId="2C208525" w14:textId="0BA64DCC" w:rsidR="00512FC8" w:rsidRPr="00F6727E" w:rsidRDefault="00BE5700" w:rsidP="00512FC8">
            <w:r>
              <w:t>CPMP</w:t>
            </w:r>
          </w:p>
        </w:tc>
        <w:tc>
          <w:tcPr>
            <w:tcW w:w="6604" w:type="dxa"/>
          </w:tcPr>
          <w:p w14:paraId="76A0AC29" w14:textId="67680572" w:rsidR="00512FC8" w:rsidRPr="00F6727E" w:rsidRDefault="00512FC8" w:rsidP="00512FC8">
            <w:r w:rsidRPr="00F6727E">
              <w:t>Committee for Proprietary Medicinal Products</w:t>
            </w:r>
            <w:r w:rsidR="00413DB8">
              <w:t xml:space="preserve"> (European Medicines Agency, European Union)</w:t>
            </w:r>
          </w:p>
        </w:tc>
      </w:tr>
      <w:tr w:rsidR="00512FC8" w:rsidRPr="00F6727E" w14:paraId="3F54EE8E" w14:textId="77777777" w:rsidTr="00A15CAA">
        <w:tc>
          <w:tcPr>
            <w:tcW w:w="1890" w:type="dxa"/>
            <w:vAlign w:val="center"/>
          </w:tcPr>
          <w:p w14:paraId="612CFC3D" w14:textId="77777777" w:rsidR="00512FC8" w:rsidRPr="00F6727E" w:rsidRDefault="00512FC8" w:rsidP="00512FC8">
            <w:proofErr w:type="spellStart"/>
            <w:r w:rsidRPr="00F6727E">
              <w:t>CrCL</w:t>
            </w:r>
            <w:proofErr w:type="spellEnd"/>
          </w:p>
        </w:tc>
        <w:tc>
          <w:tcPr>
            <w:tcW w:w="6604" w:type="dxa"/>
            <w:vAlign w:val="center"/>
          </w:tcPr>
          <w:p w14:paraId="15D59F82" w14:textId="77777777" w:rsidR="00512FC8" w:rsidRPr="00F6727E" w:rsidRDefault="00512FC8" w:rsidP="00512FC8">
            <w:r w:rsidRPr="00F6727E">
              <w:t>Creatinine clearance</w:t>
            </w:r>
          </w:p>
        </w:tc>
      </w:tr>
      <w:tr w:rsidR="0001517C" w:rsidRPr="00F6727E" w14:paraId="6E69E480" w14:textId="77777777" w:rsidTr="00A15CAA">
        <w:tc>
          <w:tcPr>
            <w:tcW w:w="1890" w:type="dxa"/>
            <w:vAlign w:val="center"/>
          </w:tcPr>
          <w:p w14:paraId="777FD6A5" w14:textId="6F8C478B" w:rsidR="0001517C" w:rsidRPr="00F6727E" w:rsidRDefault="0001517C" w:rsidP="00512FC8">
            <w:r>
              <w:t>CV</w:t>
            </w:r>
          </w:p>
        </w:tc>
        <w:tc>
          <w:tcPr>
            <w:tcW w:w="6604" w:type="dxa"/>
            <w:vAlign w:val="center"/>
          </w:tcPr>
          <w:p w14:paraId="7E5A6F39" w14:textId="08A22C2D" w:rsidR="0001517C" w:rsidRPr="00F6727E" w:rsidRDefault="0001517C" w:rsidP="0001517C">
            <w:r>
              <w:t>C</w:t>
            </w:r>
            <w:r w:rsidRPr="0001517C">
              <w:t>oefficient of variation</w:t>
            </w:r>
          </w:p>
        </w:tc>
      </w:tr>
      <w:tr w:rsidR="00512FC8" w:rsidRPr="00F6727E" w14:paraId="540E177D" w14:textId="77777777" w:rsidTr="00A15CAA">
        <w:tc>
          <w:tcPr>
            <w:tcW w:w="1890" w:type="dxa"/>
          </w:tcPr>
          <w:p w14:paraId="1FEC2E7A" w14:textId="2D3370E8" w:rsidR="00512FC8" w:rsidRPr="00F6727E" w:rsidRDefault="008830C7" w:rsidP="00512FC8">
            <w:r w:rsidRPr="00F6727E">
              <w:t>ECG</w:t>
            </w:r>
          </w:p>
        </w:tc>
        <w:tc>
          <w:tcPr>
            <w:tcW w:w="6604" w:type="dxa"/>
          </w:tcPr>
          <w:p w14:paraId="42BFD2FD" w14:textId="77777777" w:rsidR="00512FC8" w:rsidRPr="00F6727E" w:rsidRDefault="00512FC8" w:rsidP="00512FC8">
            <w:r w:rsidRPr="00F6727E">
              <w:t>Electrocardiogram</w:t>
            </w:r>
          </w:p>
        </w:tc>
      </w:tr>
      <w:tr w:rsidR="00CF346F" w:rsidRPr="00F6727E" w14:paraId="61D19C75" w14:textId="77777777" w:rsidTr="00A15CAA">
        <w:tc>
          <w:tcPr>
            <w:tcW w:w="1890" w:type="dxa"/>
          </w:tcPr>
          <w:p w14:paraId="6DE11E61" w14:textId="61D9E6E0" w:rsidR="00CF346F" w:rsidRPr="00F6727E" w:rsidRDefault="00CF346F" w:rsidP="00512FC8">
            <w:r w:rsidRPr="00F6727E">
              <w:t>EMA</w:t>
            </w:r>
          </w:p>
        </w:tc>
        <w:tc>
          <w:tcPr>
            <w:tcW w:w="6604" w:type="dxa"/>
          </w:tcPr>
          <w:p w14:paraId="705757D6" w14:textId="283C8AB8" w:rsidR="00CF346F" w:rsidRPr="00F6727E" w:rsidRDefault="00CF346F" w:rsidP="00CF346F">
            <w:r w:rsidRPr="00F6727E">
              <w:t>European Medicines Agency</w:t>
            </w:r>
            <w:r w:rsidR="00782F6D">
              <w:t xml:space="preserve"> (European Union)</w:t>
            </w:r>
          </w:p>
        </w:tc>
      </w:tr>
      <w:tr w:rsidR="00A15CAA" w:rsidRPr="00F6727E" w14:paraId="10D6CA9F" w14:textId="77777777" w:rsidTr="00A15CAA">
        <w:tc>
          <w:tcPr>
            <w:tcW w:w="1890" w:type="dxa"/>
            <w:vAlign w:val="center"/>
          </w:tcPr>
          <w:p w14:paraId="0EB6A1BD" w14:textId="1934A450" w:rsidR="00A15CAA" w:rsidRPr="00F6727E" w:rsidRDefault="00A15CAA" w:rsidP="00512FC8">
            <w:r w:rsidRPr="00F6727E">
              <w:t>E-RS</w:t>
            </w:r>
          </w:p>
        </w:tc>
        <w:tc>
          <w:tcPr>
            <w:tcW w:w="6604" w:type="dxa"/>
            <w:vAlign w:val="center"/>
          </w:tcPr>
          <w:p w14:paraId="0F678144" w14:textId="0A9C9356" w:rsidR="00A15CAA" w:rsidRPr="00F6727E" w:rsidRDefault="00782F6D" w:rsidP="00A15CAA">
            <w:r>
              <w:t>EXACT</w:t>
            </w:r>
            <w:r w:rsidRPr="00F6727E">
              <w:t xml:space="preserve"> </w:t>
            </w:r>
            <w:r w:rsidR="00A15CAA" w:rsidRPr="00F6727E">
              <w:t>Respiratory Symptoms</w:t>
            </w:r>
          </w:p>
        </w:tc>
      </w:tr>
      <w:tr w:rsidR="00CF346F" w:rsidRPr="00F6727E" w14:paraId="68F0B0D6" w14:textId="77777777" w:rsidTr="00A15CAA">
        <w:tc>
          <w:tcPr>
            <w:tcW w:w="1890" w:type="dxa"/>
          </w:tcPr>
          <w:p w14:paraId="72EEB439" w14:textId="18F76BF3" w:rsidR="00CF346F" w:rsidRPr="00F6727E" w:rsidRDefault="00CF346F" w:rsidP="00512FC8">
            <w:r w:rsidRPr="00F6727E">
              <w:t>FDA</w:t>
            </w:r>
          </w:p>
        </w:tc>
        <w:tc>
          <w:tcPr>
            <w:tcW w:w="6604" w:type="dxa"/>
          </w:tcPr>
          <w:p w14:paraId="4A84EFCF" w14:textId="3B893483" w:rsidR="00CF346F" w:rsidRPr="00F6727E" w:rsidRDefault="00CF346F" w:rsidP="00512FC8">
            <w:r w:rsidRPr="00F6727E">
              <w:t>Food and Drug Administration</w:t>
            </w:r>
            <w:r w:rsidR="00782F6D">
              <w:t xml:space="preserve"> (United States of America)</w:t>
            </w:r>
          </w:p>
        </w:tc>
      </w:tr>
      <w:tr w:rsidR="00512FC8" w:rsidRPr="00F6727E" w14:paraId="7B0050A1" w14:textId="77777777" w:rsidTr="00A15CAA">
        <w:tc>
          <w:tcPr>
            <w:tcW w:w="1890" w:type="dxa"/>
          </w:tcPr>
          <w:p w14:paraId="7EBF2B27" w14:textId="0E23E516" w:rsidR="00512FC8" w:rsidRPr="00F6727E" w:rsidRDefault="00512FC8" w:rsidP="00512FC8">
            <w:r w:rsidRPr="00F6727E">
              <w:t>FEV</w:t>
            </w:r>
            <w:r w:rsidRPr="00F6727E">
              <w:rPr>
                <w:vertAlign w:val="subscript"/>
              </w:rPr>
              <w:t>1</w:t>
            </w:r>
          </w:p>
        </w:tc>
        <w:tc>
          <w:tcPr>
            <w:tcW w:w="6604" w:type="dxa"/>
          </w:tcPr>
          <w:p w14:paraId="06E785AF" w14:textId="56FA54D9" w:rsidR="00512FC8" w:rsidRPr="00F6727E" w:rsidRDefault="00512FC8" w:rsidP="00632557">
            <w:r w:rsidRPr="00F6727E">
              <w:t xml:space="preserve">Forced expiratory volume in </w:t>
            </w:r>
            <w:r w:rsidR="00632557" w:rsidRPr="00F6727E">
              <w:t>one</w:t>
            </w:r>
            <w:r w:rsidRPr="00F6727E">
              <w:t xml:space="preserve"> second</w:t>
            </w:r>
          </w:p>
        </w:tc>
      </w:tr>
      <w:tr w:rsidR="00512FC8" w:rsidRPr="00F6727E" w14:paraId="65D5EF10" w14:textId="77777777" w:rsidTr="00A15CAA">
        <w:tc>
          <w:tcPr>
            <w:tcW w:w="1890" w:type="dxa"/>
          </w:tcPr>
          <w:p w14:paraId="6E35B25C" w14:textId="5CAD37B1" w:rsidR="00512FC8" w:rsidRPr="00F6727E" w:rsidRDefault="00BE5700" w:rsidP="00512FC8">
            <w:r>
              <w:t>GINA</w:t>
            </w:r>
          </w:p>
        </w:tc>
        <w:tc>
          <w:tcPr>
            <w:tcW w:w="6604" w:type="dxa"/>
          </w:tcPr>
          <w:p w14:paraId="1D08634B" w14:textId="77777777" w:rsidR="00512FC8" w:rsidRPr="00F6727E" w:rsidRDefault="00512FC8" w:rsidP="00512FC8">
            <w:r w:rsidRPr="00F6727E">
              <w:t>Global Initiative for Asthma</w:t>
            </w:r>
          </w:p>
        </w:tc>
      </w:tr>
      <w:tr w:rsidR="00512FC8" w:rsidRPr="00F6727E" w14:paraId="24CA1E7D" w14:textId="77777777" w:rsidTr="00A15CAA">
        <w:tc>
          <w:tcPr>
            <w:tcW w:w="1890" w:type="dxa"/>
          </w:tcPr>
          <w:p w14:paraId="77171973" w14:textId="43F42450" w:rsidR="00512FC8" w:rsidRPr="00F6727E" w:rsidRDefault="00405DE1" w:rsidP="00512FC8">
            <w:r w:rsidRPr="00F6727E">
              <w:t>ICS</w:t>
            </w:r>
          </w:p>
        </w:tc>
        <w:tc>
          <w:tcPr>
            <w:tcW w:w="6604" w:type="dxa"/>
          </w:tcPr>
          <w:p w14:paraId="4C383EB2" w14:textId="00B0AA12" w:rsidR="00512FC8" w:rsidRPr="00F6727E" w:rsidRDefault="00405DE1" w:rsidP="00405DE1">
            <w:r w:rsidRPr="00F6727E">
              <w:t>Inhaled corticosteroid(s)</w:t>
            </w:r>
          </w:p>
        </w:tc>
      </w:tr>
      <w:tr w:rsidR="00512FC8" w:rsidRPr="00F6727E" w14:paraId="1F7C861E" w14:textId="77777777" w:rsidTr="00A15CAA">
        <w:tc>
          <w:tcPr>
            <w:tcW w:w="1890" w:type="dxa"/>
            <w:vAlign w:val="center"/>
          </w:tcPr>
          <w:p w14:paraId="13BD3372" w14:textId="77777777" w:rsidR="00512FC8" w:rsidRPr="00F6727E" w:rsidRDefault="00512FC8" w:rsidP="00512FC8">
            <w:r w:rsidRPr="00F6727E">
              <w:lastRenderedPageBreak/>
              <w:t>ITT</w:t>
            </w:r>
          </w:p>
        </w:tc>
        <w:tc>
          <w:tcPr>
            <w:tcW w:w="6604" w:type="dxa"/>
            <w:vAlign w:val="center"/>
          </w:tcPr>
          <w:p w14:paraId="5C6B67DE" w14:textId="3E5E00A1" w:rsidR="00512FC8" w:rsidRPr="00F6727E" w:rsidRDefault="00512FC8" w:rsidP="00297DC6">
            <w:r w:rsidRPr="00F6727E">
              <w:t>Intent</w:t>
            </w:r>
            <w:r w:rsidR="00297DC6" w:rsidRPr="00F6727E">
              <w:t>-</w:t>
            </w:r>
            <w:r w:rsidRPr="00F6727E">
              <w:t>to</w:t>
            </w:r>
            <w:r w:rsidR="00297DC6" w:rsidRPr="00F6727E">
              <w:t>-</w:t>
            </w:r>
            <w:r w:rsidRPr="00F6727E">
              <w:t>treat</w:t>
            </w:r>
          </w:p>
        </w:tc>
      </w:tr>
      <w:tr w:rsidR="00512FC8" w:rsidRPr="00F6727E" w14:paraId="7E9E7768" w14:textId="77777777" w:rsidTr="00A15CAA">
        <w:tc>
          <w:tcPr>
            <w:tcW w:w="1890" w:type="dxa"/>
          </w:tcPr>
          <w:p w14:paraId="6F568210" w14:textId="1E48A9A5" w:rsidR="00512FC8" w:rsidRPr="00F6727E" w:rsidRDefault="00BE5700" w:rsidP="00512FC8">
            <w:r>
              <w:t>LABA</w:t>
            </w:r>
          </w:p>
        </w:tc>
        <w:tc>
          <w:tcPr>
            <w:tcW w:w="6604" w:type="dxa"/>
          </w:tcPr>
          <w:p w14:paraId="64C898E5" w14:textId="671FDFE3" w:rsidR="00512FC8" w:rsidRPr="00F6727E" w:rsidRDefault="00512FC8" w:rsidP="008B1C0C">
            <w:r w:rsidRPr="00F6727E">
              <w:t>Long</w:t>
            </w:r>
            <w:r w:rsidR="008B1C0C" w:rsidRPr="00F6727E">
              <w:t>-</w:t>
            </w:r>
            <w:r w:rsidRPr="00F6727E">
              <w:t xml:space="preserve">acting </w:t>
            </w:r>
            <w:r w:rsidR="00782F6D">
              <w:t>beta (</w:t>
            </w:r>
            <w:r w:rsidRPr="00F6727E">
              <w:t>β</w:t>
            </w:r>
            <w:r w:rsidR="00782F6D">
              <w:t>)</w:t>
            </w:r>
            <w:r w:rsidRPr="00F6727E">
              <w:t>2-agonist</w:t>
            </w:r>
          </w:p>
        </w:tc>
      </w:tr>
      <w:tr w:rsidR="00512FC8" w:rsidRPr="00F6727E" w14:paraId="0D5661A7" w14:textId="77777777" w:rsidTr="00A15CAA">
        <w:tc>
          <w:tcPr>
            <w:tcW w:w="1890" w:type="dxa"/>
          </w:tcPr>
          <w:p w14:paraId="2057D867" w14:textId="3998FEEB" w:rsidR="00512FC8" w:rsidRPr="00F6727E" w:rsidRDefault="00BE5700" w:rsidP="00512FC8">
            <w:r>
              <w:t>LAMA</w:t>
            </w:r>
          </w:p>
        </w:tc>
        <w:tc>
          <w:tcPr>
            <w:tcW w:w="6604" w:type="dxa"/>
          </w:tcPr>
          <w:p w14:paraId="6515B890" w14:textId="76F6F3AB" w:rsidR="00512FC8" w:rsidRPr="00F6727E" w:rsidRDefault="00512FC8" w:rsidP="008B1C0C">
            <w:r w:rsidRPr="00F6727E">
              <w:t>Long</w:t>
            </w:r>
            <w:r w:rsidR="008B1C0C" w:rsidRPr="00F6727E">
              <w:t>-</w:t>
            </w:r>
            <w:r w:rsidRPr="00F6727E">
              <w:t>acting muscarinic antagonist</w:t>
            </w:r>
          </w:p>
        </w:tc>
      </w:tr>
      <w:tr w:rsidR="00512FC8" w:rsidRPr="00F6727E" w14:paraId="028EC094" w14:textId="77777777" w:rsidTr="00A15CAA">
        <w:tc>
          <w:tcPr>
            <w:tcW w:w="1890" w:type="dxa"/>
          </w:tcPr>
          <w:p w14:paraId="2D74E21A" w14:textId="0FA83678" w:rsidR="00512FC8" w:rsidRPr="00F6727E" w:rsidRDefault="00BE5700" w:rsidP="00512FC8">
            <w:r>
              <w:t>LS</w:t>
            </w:r>
          </w:p>
        </w:tc>
        <w:tc>
          <w:tcPr>
            <w:tcW w:w="6604" w:type="dxa"/>
          </w:tcPr>
          <w:p w14:paraId="7812C14E" w14:textId="77777777" w:rsidR="00512FC8" w:rsidRPr="00F6727E" w:rsidRDefault="00512FC8" w:rsidP="00512FC8">
            <w:r w:rsidRPr="00F6727E">
              <w:t>Least squares</w:t>
            </w:r>
          </w:p>
        </w:tc>
      </w:tr>
      <w:tr w:rsidR="00174BB0" w:rsidRPr="00F6727E" w14:paraId="4568048C" w14:textId="77777777" w:rsidTr="00A15CAA">
        <w:tc>
          <w:tcPr>
            <w:tcW w:w="1890" w:type="dxa"/>
          </w:tcPr>
          <w:p w14:paraId="041AAE36" w14:textId="3B53E060" w:rsidR="00174BB0" w:rsidRPr="00F6727E" w:rsidRDefault="00174BB0" w:rsidP="00512FC8">
            <w:r w:rsidRPr="00F6727E">
              <w:t>LTRA</w:t>
            </w:r>
          </w:p>
        </w:tc>
        <w:tc>
          <w:tcPr>
            <w:tcW w:w="6604" w:type="dxa"/>
          </w:tcPr>
          <w:p w14:paraId="0E9A02BF" w14:textId="20DE85B9" w:rsidR="00174BB0" w:rsidRPr="00F6727E" w:rsidRDefault="00174BB0" w:rsidP="00174BB0">
            <w:r w:rsidRPr="00F6727E">
              <w:t>Leukotriene receptor antagonist</w:t>
            </w:r>
          </w:p>
        </w:tc>
      </w:tr>
      <w:tr w:rsidR="00BE5700" w:rsidRPr="00F6727E" w14:paraId="2B7611F1" w14:textId="77777777" w:rsidTr="00A15CAA">
        <w:tc>
          <w:tcPr>
            <w:tcW w:w="1890" w:type="dxa"/>
          </w:tcPr>
          <w:p w14:paraId="5CAFC1D6" w14:textId="325652F8" w:rsidR="00BE5700" w:rsidRPr="00F6727E" w:rsidRDefault="00BE5700" w:rsidP="00512FC8">
            <w:r>
              <w:t>NIH</w:t>
            </w:r>
          </w:p>
        </w:tc>
        <w:tc>
          <w:tcPr>
            <w:tcW w:w="6604" w:type="dxa"/>
          </w:tcPr>
          <w:p w14:paraId="5DAC062F" w14:textId="2F4FC9B2" w:rsidR="00BE5700" w:rsidRPr="00F6727E" w:rsidRDefault="00BE5700" w:rsidP="00174BB0">
            <w:r w:rsidRPr="00BE5700">
              <w:t>National Institute of Health</w:t>
            </w:r>
            <w:r w:rsidR="00782F6D">
              <w:t xml:space="preserve"> (Food and Drug Administration, United States of America)</w:t>
            </w:r>
          </w:p>
        </w:tc>
      </w:tr>
      <w:tr w:rsidR="00174BB0" w:rsidRPr="00F6727E" w14:paraId="53EF2295" w14:textId="77777777" w:rsidTr="00A15CAA">
        <w:tc>
          <w:tcPr>
            <w:tcW w:w="1890" w:type="dxa"/>
            <w:vAlign w:val="center"/>
          </w:tcPr>
          <w:p w14:paraId="415902F4" w14:textId="6ACF532A" w:rsidR="00174BB0" w:rsidRPr="00F6727E" w:rsidRDefault="00174BB0" w:rsidP="00512FC8">
            <w:r w:rsidRPr="00F6727E">
              <w:t>OCS</w:t>
            </w:r>
          </w:p>
        </w:tc>
        <w:tc>
          <w:tcPr>
            <w:tcW w:w="6604" w:type="dxa"/>
            <w:vAlign w:val="center"/>
          </w:tcPr>
          <w:p w14:paraId="0ED31C3E" w14:textId="1D517553" w:rsidR="00174BB0" w:rsidRPr="00F6727E" w:rsidRDefault="00174BB0" w:rsidP="00174BB0">
            <w:r w:rsidRPr="00F6727E">
              <w:t>Oral corticosteroid(s)</w:t>
            </w:r>
          </w:p>
        </w:tc>
      </w:tr>
      <w:tr w:rsidR="00A2376E" w:rsidRPr="00F6727E" w14:paraId="28A1E0DC" w14:textId="77777777" w:rsidTr="00A15CAA">
        <w:tc>
          <w:tcPr>
            <w:tcW w:w="1890" w:type="dxa"/>
            <w:vAlign w:val="center"/>
          </w:tcPr>
          <w:p w14:paraId="2295FB77" w14:textId="669E7E8A" w:rsidR="00A2376E" w:rsidRPr="00F6727E" w:rsidRDefault="00A2376E" w:rsidP="00512FC8">
            <w:r>
              <w:t>OR</w:t>
            </w:r>
          </w:p>
        </w:tc>
        <w:tc>
          <w:tcPr>
            <w:tcW w:w="6604" w:type="dxa"/>
            <w:vAlign w:val="center"/>
          </w:tcPr>
          <w:p w14:paraId="6EDCD345" w14:textId="7579EA76" w:rsidR="00A2376E" w:rsidRPr="00F6727E" w:rsidRDefault="00A2376E" w:rsidP="00174BB0">
            <w:r>
              <w:t>Odd</w:t>
            </w:r>
            <w:r w:rsidR="00782F6D">
              <w:t>s</w:t>
            </w:r>
            <w:r>
              <w:t xml:space="preserve"> ratio</w:t>
            </w:r>
          </w:p>
        </w:tc>
      </w:tr>
      <w:tr w:rsidR="00512FC8" w:rsidRPr="00F6727E" w14:paraId="2CE273AF" w14:textId="77777777" w:rsidTr="00A15CAA">
        <w:tc>
          <w:tcPr>
            <w:tcW w:w="1890" w:type="dxa"/>
          </w:tcPr>
          <w:p w14:paraId="48D13EDB" w14:textId="77777777" w:rsidR="00512FC8" w:rsidRPr="00F6727E" w:rsidRDefault="00512FC8" w:rsidP="00512FC8">
            <w:r w:rsidRPr="00F6727E">
              <w:t>PD</w:t>
            </w:r>
          </w:p>
        </w:tc>
        <w:tc>
          <w:tcPr>
            <w:tcW w:w="6604" w:type="dxa"/>
          </w:tcPr>
          <w:p w14:paraId="1E653D04" w14:textId="4AAFB0C4" w:rsidR="00512FC8" w:rsidRPr="00F6727E" w:rsidRDefault="00512FC8" w:rsidP="00512FC8">
            <w:r w:rsidRPr="00F6727E">
              <w:t>Pharmacodynamic</w:t>
            </w:r>
            <w:r w:rsidR="00876AEB" w:rsidRPr="00F6727E">
              <w:t>(s)</w:t>
            </w:r>
          </w:p>
        </w:tc>
      </w:tr>
      <w:tr w:rsidR="003C34A6" w:rsidRPr="00F6727E" w14:paraId="38C6AE59" w14:textId="77777777" w:rsidTr="00A15CAA">
        <w:tc>
          <w:tcPr>
            <w:tcW w:w="1890" w:type="dxa"/>
            <w:vAlign w:val="center"/>
          </w:tcPr>
          <w:p w14:paraId="085080DC" w14:textId="6E936197" w:rsidR="003C34A6" w:rsidRPr="00F6727E" w:rsidRDefault="003C34A6" w:rsidP="00512FC8">
            <w:r w:rsidRPr="00F6727E">
              <w:t>PI</w:t>
            </w:r>
          </w:p>
        </w:tc>
        <w:tc>
          <w:tcPr>
            <w:tcW w:w="6604" w:type="dxa"/>
            <w:vAlign w:val="center"/>
          </w:tcPr>
          <w:p w14:paraId="136C31FF" w14:textId="0CE02A31" w:rsidR="003C34A6" w:rsidRPr="00F6727E" w:rsidRDefault="003C34A6" w:rsidP="00512FC8">
            <w:r w:rsidRPr="00F6727E">
              <w:t>Product Information</w:t>
            </w:r>
          </w:p>
        </w:tc>
      </w:tr>
      <w:tr w:rsidR="00512FC8" w:rsidRPr="00F6727E" w14:paraId="00285E83" w14:textId="77777777" w:rsidTr="00A15CAA">
        <w:tc>
          <w:tcPr>
            <w:tcW w:w="1890" w:type="dxa"/>
            <w:vAlign w:val="center"/>
          </w:tcPr>
          <w:p w14:paraId="6061D351" w14:textId="77777777" w:rsidR="00512FC8" w:rsidRPr="00F6727E" w:rsidRDefault="00512FC8" w:rsidP="00512FC8">
            <w:r w:rsidRPr="00F6727E">
              <w:t>PK</w:t>
            </w:r>
          </w:p>
        </w:tc>
        <w:tc>
          <w:tcPr>
            <w:tcW w:w="6604" w:type="dxa"/>
            <w:vAlign w:val="center"/>
          </w:tcPr>
          <w:p w14:paraId="23F4C4A3" w14:textId="3BE25096" w:rsidR="00512FC8" w:rsidRPr="00F6727E" w:rsidRDefault="00512FC8" w:rsidP="00512FC8">
            <w:r w:rsidRPr="00F6727E">
              <w:t>Pharmacokinetic</w:t>
            </w:r>
            <w:r w:rsidR="00876AEB" w:rsidRPr="00F6727E">
              <w:t>(s)</w:t>
            </w:r>
          </w:p>
        </w:tc>
      </w:tr>
      <w:tr w:rsidR="00512FC8" w:rsidRPr="00F6727E" w14:paraId="23114402" w14:textId="77777777" w:rsidTr="00A15CAA">
        <w:tc>
          <w:tcPr>
            <w:tcW w:w="1890" w:type="dxa"/>
            <w:vAlign w:val="center"/>
          </w:tcPr>
          <w:p w14:paraId="27BE6B08" w14:textId="59971002" w:rsidR="00512FC8" w:rsidRPr="00F6727E" w:rsidRDefault="00876AEB" w:rsidP="00512FC8">
            <w:proofErr w:type="spellStart"/>
            <w:r w:rsidRPr="00F6727E">
              <w:t>p</w:t>
            </w:r>
            <w:r w:rsidR="00512FC8" w:rsidRPr="00F6727E">
              <w:t>opPK</w:t>
            </w:r>
            <w:proofErr w:type="spellEnd"/>
          </w:p>
        </w:tc>
        <w:tc>
          <w:tcPr>
            <w:tcW w:w="6604" w:type="dxa"/>
            <w:vAlign w:val="center"/>
          </w:tcPr>
          <w:p w14:paraId="4F1CE886" w14:textId="310D3233" w:rsidR="00512FC8" w:rsidRPr="00F6727E" w:rsidRDefault="00512FC8" w:rsidP="00512FC8">
            <w:r w:rsidRPr="00F6727E">
              <w:t>Population pharmacokinetic</w:t>
            </w:r>
            <w:r w:rsidR="00876AEB" w:rsidRPr="00F6727E">
              <w:t>(s)</w:t>
            </w:r>
          </w:p>
        </w:tc>
      </w:tr>
      <w:tr w:rsidR="00065644" w:rsidRPr="00F6727E" w14:paraId="2E811159" w14:textId="77777777" w:rsidTr="00A15CAA">
        <w:tc>
          <w:tcPr>
            <w:tcW w:w="1890" w:type="dxa"/>
          </w:tcPr>
          <w:p w14:paraId="3F9F017B" w14:textId="7AA38999" w:rsidR="00065644" w:rsidRPr="00F6727E" w:rsidRDefault="00065644" w:rsidP="00512FC8">
            <w:r w:rsidRPr="00F6727E">
              <w:t>PSUR</w:t>
            </w:r>
          </w:p>
        </w:tc>
        <w:tc>
          <w:tcPr>
            <w:tcW w:w="6604" w:type="dxa"/>
          </w:tcPr>
          <w:p w14:paraId="52089676" w14:textId="14C0D4CA" w:rsidR="00065644" w:rsidRPr="00F6727E" w:rsidRDefault="00782F6D" w:rsidP="00512FC8">
            <w:r>
              <w:t>P</w:t>
            </w:r>
            <w:r w:rsidR="00065644" w:rsidRPr="00F6727E">
              <w:t>eriodic safety update report</w:t>
            </w:r>
          </w:p>
        </w:tc>
      </w:tr>
      <w:tr w:rsidR="0001517C" w:rsidRPr="00F6727E" w14:paraId="02541EDE" w14:textId="77777777" w:rsidTr="00A15CAA">
        <w:tc>
          <w:tcPr>
            <w:tcW w:w="1890" w:type="dxa"/>
          </w:tcPr>
          <w:p w14:paraId="3C4B3FD5" w14:textId="336470B6" w:rsidR="0001517C" w:rsidRPr="00F6727E" w:rsidRDefault="0001517C" w:rsidP="00512FC8">
            <w:r>
              <w:t>PT</w:t>
            </w:r>
          </w:p>
        </w:tc>
        <w:tc>
          <w:tcPr>
            <w:tcW w:w="6604" w:type="dxa"/>
          </w:tcPr>
          <w:p w14:paraId="2DDC9530" w14:textId="102E0644" w:rsidR="0001517C" w:rsidRPr="00F6727E" w:rsidRDefault="0001517C" w:rsidP="00512FC8">
            <w:r>
              <w:t xml:space="preserve">Preferred </w:t>
            </w:r>
            <w:r w:rsidR="00782F6D">
              <w:t>T</w:t>
            </w:r>
            <w:r>
              <w:t>erm</w:t>
            </w:r>
          </w:p>
        </w:tc>
      </w:tr>
      <w:tr w:rsidR="00ED3A09" w:rsidRPr="00F6727E" w14:paraId="3461CF6B" w14:textId="77777777" w:rsidTr="00A15CAA">
        <w:tc>
          <w:tcPr>
            <w:tcW w:w="1890" w:type="dxa"/>
          </w:tcPr>
          <w:p w14:paraId="1C72D88A" w14:textId="39F3B694" w:rsidR="00ED3A09" w:rsidRPr="00F6727E" w:rsidRDefault="000C796C" w:rsidP="00512FC8">
            <w:proofErr w:type="spellStart"/>
            <w:r w:rsidRPr="00F6727E">
              <w:t>QTcF</w:t>
            </w:r>
            <w:proofErr w:type="spellEnd"/>
          </w:p>
        </w:tc>
        <w:tc>
          <w:tcPr>
            <w:tcW w:w="6604" w:type="dxa"/>
          </w:tcPr>
          <w:p w14:paraId="7CE9E778" w14:textId="2A23BE0C" w:rsidR="00ED3A09" w:rsidRPr="00F6727E" w:rsidRDefault="00ED3A09" w:rsidP="000C796C">
            <w:r w:rsidRPr="00F6727E">
              <w:t>Cor</w:t>
            </w:r>
            <w:r w:rsidR="000C796C" w:rsidRPr="00F6727E">
              <w:t xml:space="preserve">rected QT interval by </w:t>
            </w:r>
            <w:proofErr w:type="spellStart"/>
            <w:r w:rsidR="000C796C" w:rsidRPr="00F6727E">
              <w:t>Frederici</w:t>
            </w:r>
            <w:r w:rsidR="00782F6D">
              <w:t>a’s</w:t>
            </w:r>
            <w:proofErr w:type="spellEnd"/>
            <w:r w:rsidR="00782F6D">
              <w:t xml:space="preserve"> formula</w:t>
            </w:r>
          </w:p>
        </w:tc>
      </w:tr>
      <w:tr w:rsidR="000C185B" w:rsidRPr="00F6727E" w14:paraId="6F10CA21" w14:textId="77777777" w:rsidTr="00A15CAA">
        <w:tc>
          <w:tcPr>
            <w:tcW w:w="1890" w:type="dxa"/>
          </w:tcPr>
          <w:p w14:paraId="4B344679" w14:textId="47691B72" w:rsidR="000C185B" w:rsidRPr="00F6727E" w:rsidRDefault="000C185B" w:rsidP="00512FC8">
            <w:r w:rsidRPr="00F6727E">
              <w:t>RR</w:t>
            </w:r>
          </w:p>
        </w:tc>
        <w:tc>
          <w:tcPr>
            <w:tcW w:w="6604" w:type="dxa"/>
          </w:tcPr>
          <w:p w14:paraId="2F807B8E" w14:textId="42931FCB" w:rsidR="000C185B" w:rsidRPr="00F6727E" w:rsidRDefault="000C185B" w:rsidP="00512FC8">
            <w:r w:rsidRPr="00F6727E">
              <w:t>Risk ratio</w:t>
            </w:r>
          </w:p>
        </w:tc>
      </w:tr>
      <w:tr w:rsidR="00512FC8" w:rsidRPr="00F6727E" w14:paraId="1B8B686F" w14:textId="77777777" w:rsidTr="00A15CAA">
        <w:tc>
          <w:tcPr>
            <w:tcW w:w="1890" w:type="dxa"/>
          </w:tcPr>
          <w:p w14:paraId="4EF8B15D" w14:textId="2328292C" w:rsidR="00512FC8" w:rsidRPr="00F6727E" w:rsidRDefault="00BE5700" w:rsidP="00512FC8">
            <w:r>
              <w:t>SABA</w:t>
            </w:r>
          </w:p>
        </w:tc>
        <w:tc>
          <w:tcPr>
            <w:tcW w:w="6604" w:type="dxa"/>
          </w:tcPr>
          <w:p w14:paraId="35B929F5" w14:textId="35BF62A7" w:rsidR="00512FC8" w:rsidRPr="00F6727E" w:rsidRDefault="008B1C0C" w:rsidP="008B1C0C">
            <w:r w:rsidRPr="00F6727E">
              <w:t>Short-</w:t>
            </w:r>
            <w:r w:rsidR="00512FC8" w:rsidRPr="00F6727E">
              <w:t xml:space="preserve">acting </w:t>
            </w:r>
            <w:r w:rsidR="0089713D">
              <w:t>beta (</w:t>
            </w:r>
            <w:r w:rsidR="00512FC8" w:rsidRPr="00F6727E">
              <w:t>β</w:t>
            </w:r>
            <w:r w:rsidR="0089713D">
              <w:t>)</w:t>
            </w:r>
            <w:r w:rsidR="00512FC8" w:rsidRPr="00F6727E">
              <w:t>2-agonist</w:t>
            </w:r>
          </w:p>
        </w:tc>
      </w:tr>
      <w:tr w:rsidR="003D401B" w:rsidRPr="00F6727E" w14:paraId="1DB40F2E" w14:textId="77777777" w:rsidTr="00A15CAA">
        <w:tc>
          <w:tcPr>
            <w:tcW w:w="1890" w:type="dxa"/>
          </w:tcPr>
          <w:p w14:paraId="195B3BC9" w14:textId="66AE50E1" w:rsidR="003D401B" w:rsidRPr="00F6727E" w:rsidRDefault="003D401B" w:rsidP="00512FC8">
            <w:r w:rsidRPr="00F6727E">
              <w:t>SAE</w:t>
            </w:r>
          </w:p>
        </w:tc>
        <w:tc>
          <w:tcPr>
            <w:tcW w:w="6604" w:type="dxa"/>
          </w:tcPr>
          <w:p w14:paraId="5C1145EA" w14:textId="782AC7C1" w:rsidR="003D401B" w:rsidRPr="00F6727E" w:rsidRDefault="003D401B" w:rsidP="008B1C0C">
            <w:r w:rsidRPr="00F6727E">
              <w:t>Serious adverse event</w:t>
            </w:r>
          </w:p>
        </w:tc>
      </w:tr>
      <w:tr w:rsidR="00A15CAA" w:rsidRPr="00F6727E" w14:paraId="4A0132CC" w14:textId="77777777" w:rsidTr="00A15CAA">
        <w:tc>
          <w:tcPr>
            <w:tcW w:w="1890" w:type="dxa"/>
            <w:vAlign w:val="center"/>
          </w:tcPr>
          <w:p w14:paraId="31158750" w14:textId="1044B072" w:rsidR="00A15CAA" w:rsidRPr="00F6727E" w:rsidRDefault="00A15CAA" w:rsidP="00A15CAA">
            <w:r w:rsidRPr="00F6727E">
              <w:t>SGRQ</w:t>
            </w:r>
          </w:p>
        </w:tc>
        <w:tc>
          <w:tcPr>
            <w:tcW w:w="6604" w:type="dxa"/>
            <w:vAlign w:val="center"/>
          </w:tcPr>
          <w:p w14:paraId="21F4DE4F" w14:textId="3631B61E" w:rsidR="00A15CAA" w:rsidRPr="00F6727E" w:rsidRDefault="00A15CAA" w:rsidP="00A15CAA">
            <w:r w:rsidRPr="00F6727E">
              <w:t>St. George's Respiratory Questionnaire</w:t>
            </w:r>
          </w:p>
        </w:tc>
      </w:tr>
      <w:tr w:rsidR="00A15CAA" w:rsidRPr="00F6727E" w14:paraId="0FFC31A5" w14:textId="77777777" w:rsidTr="00A15CAA">
        <w:tc>
          <w:tcPr>
            <w:tcW w:w="1890" w:type="dxa"/>
            <w:vAlign w:val="center"/>
          </w:tcPr>
          <w:p w14:paraId="64506721" w14:textId="24B8A80A" w:rsidR="00A15CAA" w:rsidRPr="00F6727E" w:rsidRDefault="00A15CAA" w:rsidP="00A15CAA">
            <w:r w:rsidRPr="00F6727E">
              <w:t>TGO91</w:t>
            </w:r>
          </w:p>
        </w:tc>
        <w:tc>
          <w:tcPr>
            <w:tcW w:w="6604" w:type="dxa"/>
            <w:vAlign w:val="center"/>
          </w:tcPr>
          <w:p w14:paraId="7B914B21" w14:textId="3C7B051C" w:rsidR="00A15CAA" w:rsidRPr="00F6727E" w:rsidRDefault="00A15CAA" w:rsidP="00A15CAA">
            <w:r w:rsidRPr="00F6727E">
              <w:t>Therapeutics Goods Order 91</w:t>
            </w:r>
          </w:p>
        </w:tc>
      </w:tr>
      <w:tr w:rsidR="00A15CAA" w:rsidRPr="00F6727E" w14:paraId="42A9C9D9" w14:textId="77777777" w:rsidTr="00A15CAA">
        <w:tc>
          <w:tcPr>
            <w:tcW w:w="1890" w:type="dxa"/>
            <w:vAlign w:val="center"/>
          </w:tcPr>
          <w:p w14:paraId="4AD7CA49" w14:textId="77777777" w:rsidR="00A15CAA" w:rsidRPr="00F6727E" w:rsidRDefault="00A15CAA" w:rsidP="00A15CAA">
            <w:r w:rsidRPr="00F6727E">
              <w:t>V1/F</w:t>
            </w:r>
          </w:p>
        </w:tc>
        <w:tc>
          <w:tcPr>
            <w:tcW w:w="6604" w:type="dxa"/>
            <w:vAlign w:val="center"/>
          </w:tcPr>
          <w:p w14:paraId="5378217E" w14:textId="77777777" w:rsidR="00A15CAA" w:rsidRPr="00F6727E" w:rsidRDefault="00A15CAA" w:rsidP="00A15CAA">
            <w:r w:rsidRPr="00F6727E">
              <w:t>Apparent volume of distribution of the central compartment</w:t>
            </w:r>
          </w:p>
        </w:tc>
      </w:tr>
    </w:tbl>
    <w:p w14:paraId="5ED701A4" w14:textId="77777777" w:rsidR="00FD119B" w:rsidRPr="00F6727E" w:rsidRDefault="00FD119B" w:rsidP="00FD119B"/>
    <w:p w14:paraId="7966E803" w14:textId="77777777" w:rsidR="00FD119B" w:rsidRPr="00F6727E" w:rsidRDefault="00FD119B" w:rsidP="00FD119B">
      <w:pPr>
        <w:spacing w:before="0" w:after="200" w:line="0" w:lineRule="auto"/>
        <w:rPr>
          <w:b/>
          <w:i/>
          <w:sz w:val="24"/>
          <w:szCs w:val="24"/>
        </w:rPr>
      </w:pPr>
      <w:r w:rsidRPr="00F6727E">
        <w:rPr>
          <w:b/>
          <w:i/>
          <w:sz w:val="24"/>
          <w:szCs w:val="24"/>
        </w:rPr>
        <w:br w:type="page"/>
      </w:r>
    </w:p>
    <w:p w14:paraId="7BDFA975" w14:textId="77777777" w:rsidR="008E7846" w:rsidRPr="00F6727E" w:rsidRDefault="00F53C07" w:rsidP="008E7846">
      <w:pPr>
        <w:pStyle w:val="Heading2"/>
      </w:pPr>
      <w:bookmarkStart w:id="8" w:name="_Toc83895472"/>
      <w:r w:rsidRPr="00F6727E">
        <w:lastRenderedPageBreak/>
        <w:t>I.</w:t>
      </w:r>
      <w:r w:rsidR="008E7846" w:rsidRPr="00F6727E">
        <w:t xml:space="preserve"> Introduction to product submission</w:t>
      </w:r>
      <w:bookmarkEnd w:id="2"/>
      <w:bookmarkEnd w:id="0"/>
      <w:bookmarkEnd w:id="8"/>
    </w:p>
    <w:p w14:paraId="4E74DCC6" w14:textId="77777777" w:rsidR="008E7846" w:rsidRPr="00F6727E" w:rsidRDefault="008E7846" w:rsidP="008E7846">
      <w:pPr>
        <w:pStyle w:val="Heading3"/>
        <w:rPr>
          <w:lang w:eastAsia="en-AU"/>
        </w:rPr>
      </w:pPr>
      <w:bookmarkStart w:id="9" w:name="_Toc247691502"/>
      <w:bookmarkStart w:id="10" w:name="_Toc314842483"/>
      <w:bookmarkStart w:id="11" w:name="_Toc83895473"/>
      <w:r w:rsidRPr="00F6727E">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F6727E" w14:paraId="2541E434" w14:textId="77777777" w:rsidTr="003735BC">
        <w:tc>
          <w:tcPr>
            <w:tcW w:w="2907" w:type="dxa"/>
          </w:tcPr>
          <w:p w14:paraId="744667BA" w14:textId="77777777" w:rsidR="008E7846" w:rsidRPr="00F6727E" w:rsidRDefault="001B5C90" w:rsidP="001B5C90">
            <w:pPr>
              <w:rPr>
                <w:i/>
              </w:rPr>
            </w:pPr>
            <w:r w:rsidRPr="00F6727E">
              <w:rPr>
                <w:i/>
              </w:rPr>
              <w:t>Type of s</w:t>
            </w:r>
            <w:r w:rsidR="008E7846" w:rsidRPr="00F6727E">
              <w:rPr>
                <w:i/>
              </w:rPr>
              <w:t>ubmission</w:t>
            </w:r>
            <w:r w:rsidRPr="00F6727E">
              <w:rPr>
                <w:i/>
              </w:rPr>
              <w:t>:</w:t>
            </w:r>
          </w:p>
        </w:tc>
        <w:tc>
          <w:tcPr>
            <w:tcW w:w="6307" w:type="dxa"/>
          </w:tcPr>
          <w:p w14:paraId="4C063591" w14:textId="77777777" w:rsidR="008E7846" w:rsidRPr="00F6727E" w:rsidRDefault="00512FC8" w:rsidP="00512FC8">
            <w:r w:rsidRPr="00F6727E">
              <w:t>Extension of indications and major variation (new strength)</w:t>
            </w:r>
          </w:p>
        </w:tc>
      </w:tr>
      <w:tr w:rsidR="00460036" w:rsidRPr="00F6727E" w14:paraId="317EEEFF" w14:textId="77777777" w:rsidTr="003735BC">
        <w:tc>
          <w:tcPr>
            <w:tcW w:w="2907" w:type="dxa"/>
          </w:tcPr>
          <w:p w14:paraId="6BDC6146" w14:textId="77777777" w:rsidR="00460036" w:rsidRPr="00F6727E" w:rsidRDefault="00460036" w:rsidP="008D0D20">
            <w:pPr>
              <w:rPr>
                <w:i/>
              </w:rPr>
            </w:pPr>
            <w:r w:rsidRPr="00F6727E">
              <w:rPr>
                <w:i/>
              </w:rPr>
              <w:t>Product name:</w:t>
            </w:r>
          </w:p>
        </w:tc>
        <w:tc>
          <w:tcPr>
            <w:tcW w:w="6307" w:type="dxa"/>
          </w:tcPr>
          <w:p w14:paraId="008CB817" w14:textId="77777777" w:rsidR="00460036" w:rsidRPr="00F6727E" w:rsidRDefault="008D0D20" w:rsidP="001B5C90">
            <w:proofErr w:type="spellStart"/>
            <w:r w:rsidRPr="00F6727E">
              <w:t>Trelegy</w:t>
            </w:r>
            <w:proofErr w:type="spellEnd"/>
            <w:r w:rsidRPr="00F6727E">
              <w:t xml:space="preserve"> Ellipta</w:t>
            </w:r>
          </w:p>
        </w:tc>
      </w:tr>
      <w:tr w:rsidR="00460036" w:rsidRPr="00F6727E" w14:paraId="2B38CCE0" w14:textId="77777777" w:rsidTr="003735BC">
        <w:tc>
          <w:tcPr>
            <w:tcW w:w="2907" w:type="dxa"/>
          </w:tcPr>
          <w:p w14:paraId="6DA37FA8" w14:textId="606ABF45" w:rsidR="00460036" w:rsidRPr="00F6727E" w:rsidRDefault="00460036" w:rsidP="004057E5">
            <w:pPr>
              <w:rPr>
                <w:i/>
              </w:rPr>
            </w:pPr>
            <w:r w:rsidRPr="00F6727E">
              <w:rPr>
                <w:i/>
              </w:rPr>
              <w:t>Active ingredients:</w:t>
            </w:r>
          </w:p>
        </w:tc>
        <w:tc>
          <w:tcPr>
            <w:tcW w:w="6307" w:type="dxa"/>
          </w:tcPr>
          <w:p w14:paraId="34653F43" w14:textId="5314D6DA" w:rsidR="00460036" w:rsidRPr="00F6727E" w:rsidRDefault="008D0D20" w:rsidP="00520181">
            <w:r w:rsidRPr="00F6727E">
              <w:t>Fluticasone furoate</w:t>
            </w:r>
            <w:r w:rsidR="00520181" w:rsidRPr="00F6727E">
              <w:t xml:space="preserve"> /</w:t>
            </w:r>
            <w:r w:rsidRPr="00F6727E">
              <w:t xml:space="preserve"> umeclidinium (as bromide)</w:t>
            </w:r>
            <w:r w:rsidR="00520181" w:rsidRPr="00F6727E">
              <w:t xml:space="preserve"> /</w:t>
            </w:r>
            <w:r w:rsidRPr="00F6727E">
              <w:t xml:space="preserve"> vilanterol (as </w:t>
            </w:r>
            <w:proofErr w:type="spellStart"/>
            <w:r w:rsidRPr="00F6727E">
              <w:t>trifenatate</w:t>
            </w:r>
            <w:proofErr w:type="spellEnd"/>
            <w:r w:rsidRPr="00F6727E">
              <w:t>)</w:t>
            </w:r>
          </w:p>
        </w:tc>
      </w:tr>
      <w:tr w:rsidR="008E7846" w:rsidRPr="00F6727E" w14:paraId="5776DEE8" w14:textId="77777777" w:rsidTr="003735BC">
        <w:tc>
          <w:tcPr>
            <w:tcW w:w="2907" w:type="dxa"/>
          </w:tcPr>
          <w:p w14:paraId="3D18778E" w14:textId="77777777" w:rsidR="008E7846" w:rsidRPr="00F6727E" w:rsidRDefault="008E7846" w:rsidP="003D1E62">
            <w:r w:rsidRPr="00F6727E">
              <w:rPr>
                <w:i/>
              </w:rPr>
              <w:t>Decision</w:t>
            </w:r>
            <w:r w:rsidRPr="00F6727E">
              <w:t>:</w:t>
            </w:r>
          </w:p>
        </w:tc>
        <w:tc>
          <w:tcPr>
            <w:tcW w:w="6307" w:type="dxa"/>
          </w:tcPr>
          <w:p w14:paraId="6EAF55AE" w14:textId="77777777" w:rsidR="008E7846" w:rsidRPr="00F6727E" w:rsidRDefault="008D0D20" w:rsidP="008D0D20">
            <w:r w:rsidRPr="00F6727E">
              <w:t>Approved</w:t>
            </w:r>
          </w:p>
        </w:tc>
      </w:tr>
      <w:tr w:rsidR="008E7846" w:rsidRPr="00F6727E" w14:paraId="3342E77A" w14:textId="77777777" w:rsidTr="003735BC">
        <w:tc>
          <w:tcPr>
            <w:tcW w:w="2907" w:type="dxa"/>
          </w:tcPr>
          <w:p w14:paraId="06525D4D" w14:textId="77777777" w:rsidR="008E7846" w:rsidRPr="00F6727E" w:rsidRDefault="008E7846" w:rsidP="001B5C90">
            <w:pPr>
              <w:rPr>
                <w:i/>
              </w:rPr>
            </w:pPr>
            <w:r w:rsidRPr="00F6727E">
              <w:rPr>
                <w:i/>
              </w:rPr>
              <w:t xml:space="preserve">Date of </w:t>
            </w:r>
            <w:r w:rsidR="001B5C90" w:rsidRPr="00F6727E">
              <w:rPr>
                <w:i/>
              </w:rPr>
              <w:t>d</w:t>
            </w:r>
            <w:r w:rsidRPr="00F6727E">
              <w:rPr>
                <w:i/>
              </w:rPr>
              <w:t>ecision:</w:t>
            </w:r>
          </w:p>
        </w:tc>
        <w:tc>
          <w:tcPr>
            <w:tcW w:w="6307" w:type="dxa"/>
          </w:tcPr>
          <w:p w14:paraId="20D1FF7B" w14:textId="77777777" w:rsidR="008E7846" w:rsidRPr="00F6727E" w:rsidRDefault="008D0D20" w:rsidP="001B5C90">
            <w:r w:rsidRPr="00F6727E">
              <w:t>6 May 2021</w:t>
            </w:r>
          </w:p>
        </w:tc>
      </w:tr>
      <w:tr w:rsidR="00ED2922" w:rsidRPr="00F6727E" w14:paraId="53D59A44" w14:textId="77777777" w:rsidTr="003735BC">
        <w:tc>
          <w:tcPr>
            <w:tcW w:w="2907" w:type="dxa"/>
          </w:tcPr>
          <w:p w14:paraId="28B70C56" w14:textId="77777777" w:rsidR="00ED2922" w:rsidRPr="00F6727E" w:rsidRDefault="00ED2922" w:rsidP="001B5C90">
            <w:pPr>
              <w:rPr>
                <w:i/>
              </w:rPr>
            </w:pPr>
            <w:r w:rsidRPr="00F6727E">
              <w:rPr>
                <w:i/>
              </w:rPr>
              <w:t>Date of entry onto ARTG</w:t>
            </w:r>
            <w:r w:rsidR="00500337" w:rsidRPr="00F6727E">
              <w:rPr>
                <w:i/>
              </w:rPr>
              <w:t>:</w:t>
            </w:r>
          </w:p>
        </w:tc>
        <w:tc>
          <w:tcPr>
            <w:tcW w:w="6307" w:type="dxa"/>
          </w:tcPr>
          <w:p w14:paraId="116110FE" w14:textId="50B32AAE" w:rsidR="00ED2922" w:rsidRPr="00F6727E" w:rsidRDefault="00B710B5" w:rsidP="00D153D8">
            <w:r w:rsidRPr="00F6727E">
              <w:t>10 May 2021</w:t>
            </w:r>
          </w:p>
        </w:tc>
      </w:tr>
      <w:tr w:rsidR="00500337" w:rsidRPr="00F6727E" w14:paraId="3AF65FFE" w14:textId="77777777" w:rsidTr="003735BC">
        <w:tc>
          <w:tcPr>
            <w:tcW w:w="2907" w:type="dxa"/>
          </w:tcPr>
          <w:p w14:paraId="448C132C" w14:textId="77777777" w:rsidR="00500337" w:rsidRPr="00F6727E" w:rsidRDefault="00500337" w:rsidP="00F4179A">
            <w:pPr>
              <w:rPr>
                <w:i/>
              </w:rPr>
            </w:pPr>
            <w:r w:rsidRPr="00F6727E">
              <w:rPr>
                <w:i/>
              </w:rPr>
              <w:t>ARTG numbers:</w:t>
            </w:r>
          </w:p>
        </w:tc>
        <w:tc>
          <w:tcPr>
            <w:tcW w:w="6307" w:type="dxa"/>
          </w:tcPr>
          <w:p w14:paraId="4CC84B1C" w14:textId="4DEBD6CA" w:rsidR="00500337" w:rsidRPr="00F6727E" w:rsidRDefault="008D0D20" w:rsidP="00EC463D">
            <w:r w:rsidRPr="00F6727E">
              <w:t>284636</w:t>
            </w:r>
            <w:r w:rsidR="00157E46">
              <w:t xml:space="preserve"> and </w:t>
            </w:r>
            <w:r w:rsidR="00F23D21" w:rsidRPr="00F6727E">
              <w:t>335858</w:t>
            </w:r>
          </w:p>
        </w:tc>
      </w:tr>
      <w:tr w:rsidR="003735BC" w:rsidRPr="00F6727E" w14:paraId="7A87C36E" w14:textId="77777777" w:rsidTr="003735BC">
        <w:tc>
          <w:tcPr>
            <w:tcW w:w="2907" w:type="dxa"/>
          </w:tcPr>
          <w:p w14:paraId="18CD5F8E" w14:textId="77777777" w:rsidR="003735BC" w:rsidRPr="00F6727E" w:rsidRDefault="00FA5069" w:rsidP="001B5C90">
            <w:pPr>
              <w:rPr>
                <w:i/>
              </w:rPr>
            </w:pPr>
            <w:r w:rsidRPr="00F6727E">
              <w:rPr>
                <w:rFonts w:ascii="Wingdings 3" w:hAnsi="Wingdings 3"/>
                <w:sz w:val="34"/>
                <w:szCs w:val="34"/>
                <w:lang w:eastAsia="en-AU"/>
              </w:rPr>
              <w:t></w:t>
            </w:r>
            <w:r w:rsidR="003735BC" w:rsidRPr="00F6727E">
              <w:rPr>
                <w:i/>
              </w:rPr>
              <w:t>Black Triangle Scheme</w:t>
            </w:r>
            <w:r w:rsidR="004C4FBE" w:rsidRPr="00F6727E">
              <w:rPr>
                <w:i/>
              </w:rPr>
              <w:t>:</w:t>
            </w:r>
            <w:r w:rsidR="00460036" w:rsidRPr="00F6727E">
              <w:rPr>
                <w:rStyle w:val="FootnoteReference"/>
                <w:i/>
              </w:rPr>
              <w:footnoteReference w:id="1"/>
            </w:r>
          </w:p>
        </w:tc>
        <w:tc>
          <w:tcPr>
            <w:tcW w:w="6307" w:type="dxa"/>
          </w:tcPr>
          <w:p w14:paraId="19D77A9E" w14:textId="77777777" w:rsidR="003735BC" w:rsidRPr="00F6727E" w:rsidRDefault="00F23D21" w:rsidP="00F23D21">
            <w:r w:rsidRPr="00F6727E">
              <w:t>No</w:t>
            </w:r>
          </w:p>
        </w:tc>
      </w:tr>
      <w:tr w:rsidR="008E7846" w:rsidRPr="00F6727E" w14:paraId="6C2D20E7" w14:textId="77777777" w:rsidTr="00BF1190">
        <w:tc>
          <w:tcPr>
            <w:tcW w:w="2907" w:type="dxa"/>
          </w:tcPr>
          <w:p w14:paraId="45615077" w14:textId="77777777" w:rsidR="008E7846" w:rsidRPr="00F6727E" w:rsidRDefault="008E7846" w:rsidP="001B5C90">
            <w:pPr>
              <w:rPr>
                <w:i/>
              </w:rPr>
            </w:pPr>
            <w:r w:rsidRPr="00F6727E">
              <w:rPr>
                <w:i/>
              </w:rPr>
              <w:t xml:space="preserve">Sponsor’s </w:t>
            </w:r>
            <w:r w:rsidR="001B5C90" w:rsidRPr="00F6727E">
              <w:rPr>
                <w:i/>
              </w:rPr>
              <w:t>n</w:t>
            </w:r>
            <w:r w:rsidRPr="00F6727E">
              <w:rPr>
                <w:i/>
              </w:rPr>
              <w:t xml:space="preserve">ame and </w:t>
            </w:r>
            <w:r w:rsidR="001B5C90" w:rsidRPr="00F6727E">
              <w:rPr>
                <w:i/>
              </w:rPr>
              <w:t>a</w:t>
            </w:r>
            <w:r w:rsidRPr="00F6727E">
              <w:rPr>
                <w:i/>
              </w:rPr>
              <w:t>ddress:</w:t>
            </w:r>
          </w:p>
        </w:tc>
        <w:tc>
          <w:tcPr>
            <w:tcW w:w="6307" w:type="dxa"/>
          </w:tcPr>
          <w:p w14:paraId="4158C8A9" w14:textId="77777777" w:rsidR="008D0D20" w:rsidRPr="00F6727E" w:rsidRDefault="008D0D20" w:rsidP="008D0D20">
            <w:r w:rsidRPr="00F6727E">
              <w:t>GlaxoSmithKline Australia Pty Ltd</w:t>
            </w:r>
          </w:p>
          <w:p w14:paraId="0616D6A9" w14:textId="77777777" w:rsidR="008D0D20" w:rsidRPr="00F6727E" w:rsidRDefault="008D0D20" w:rsidP="008D0D20">
            <w:r w:rsidRPr="00F6727E">
              <w:t>Level 4, 436 Johnston Street,</w:t>
            </w:r>
          </w:p>
          <w:p w14:paraId="3535CE03" w14:textId="77777777" w:rsidR="008E7846" w:rsidRPr="00F6727E" w:rsidRDefault="008D0D20" w:rsidP="008D0D20">
            <w:r w:rsidRPr="00F6727E">
              <w:t>Abbotsford, Victoria 3067 Australia</w:t>
            </w:r>
          </w:p>
        </w:tc>
      </w:tr>
      <w:tr w:rsidR="008E7846" w:rsidRPr="00F6727E" w14:paraId="4F7944A5" w14:textId="77777777" w:rsidTr="00BF1190">
        <w:tc>
          <w:tcPr>
            <w:tcW w:w="2907" w:type="dxa"/>
          </w:tcPr>
          <w:p w14:paraId="1A5439A1" w14:textId="77777777" w:rsidR="008E7846" w:rsidRPr="00F6727E" w:rsidRDefault="001B5C90" w:rsidP="00F4179A">
            <w:pPr>
              <w:rPr>
                <w:i/>
              </w:rPr>
            </w:pPr>
            <w:r w:rsidRPr="00F6727E">
              <w:rPr>
                <w:i/>
              </w:rPr>
              <w:t>Dose form:</w:t>
            </w:r>
          </w:p>
        </w:tc>
        <w:tc>
          <w:tcPr>
            <w:tcW w:w="6307" w:type="dxa"/>
          </w:tcPr>
          <w:p w14:paraId="2C3384C5" w14:textId="6A89D4C7" w:rsidR="008E7846" w:rsidRPr="00F6727E" w:rsidRDefault="00DC59F0" w:rsidP="00DC59F0">
            <w:r w:rsidRPr="00F6727E">
              <w:t xml:space="preserve">Powder for </w:t>
            </w:r>
            <w:r w:rsidR="00F4179A" w:rsidRPr="00F6727E">
              <w:t>inhalation</w:t>
            </w:r>
          </w:p>
        </w:tc>
      </w:tr>
      <w:tr w:rsidR="008E7846" w:rsidRPr="00F6727E" w14:paraId="1A2A82EA" w14:textId="77777777" w:rsidTr="00BF1190">
        <w:tc>
          <w:tcPr>
            <w:tcW w:w="2907" w:type="dxa"/>
          </w:tcPr>
          <w:p w14:paraId="7A4B47ED" w14:textId="77777777" w:rsidR="008E7846" w:rsidRPr="00F6727E" w:rsidRDefault="00324E45" w:rsidP="00985217">
            <w:pPr>
              <w:rPr>
                <w:i/>
              </w:rPr>
            </w:pPr>
            <w:r w:rsidRPr="00F6727E">
              <w:rPr>
                <w:i/>
              </w:rPr>
              <w:t>Strengths:</w:t>
            </w:r>
          </w:p>
        </w:tc>
        <w:tc>
          <w:tcPr>
            <w:tcW w:w="6307" w:type="dxa"/>
          </w:tcPr>
          <w:p w14:paraId="35135512" w14:textId="5D7CA13E" w:rsidR="008E7846" w:rsidRPr="00F6727E" w:rsidRDefault="0074630E" w:rsidP="00985217">
            <w:r w:rsidRPr="00F6727E">
              <w:t>100 µg f</w:t>
            </w:r>
            <w:r w:rsidR="00985217" w:rsidRPr="00F6727E">
              <w:t>luticasone furoate</w:t>
            </w:r>
            <w:r w:rsidR="00520181" w:rsidRPr="00F6727E">
              <w:t xml:space="preserve">, </w:t>
            </w:r>
            <w:r w:rsidRPr="00F6727E">
              <w:t xml:space="preserve">62.5 µg </w:t>
            </w:r>
            <w:r w:rsidR="00985217" w:rsidRPr="00F6727E">
              <w:t xml:space="preserve">umeclidinium </w:t>
            </w:r>
            <w:r w:rsidR="00520181" w:rsidRPr="00F6727E">
              <w:t>and</w:t>
            </w:r>
            <w:r w:rsidR="00985217" w:rsidRPr="00F6727E">
              <w:t xml:space="preserve"> </w:t>
            </w:r>
            <w:r w:rsidRPr="00F6727E">
              <w:t>25 µg</w:t>
            </w:r>
            <w:r w:rsidR="00D27678">
              <w:t> </w:t>
            </w:r>
            <w:r w:rsidRPr="00F6727E">
              <w:t>vilanterol</w:t>
            </w:r>
          </w:p>
          <w:p w14:paraId="41B364B0" w14:textId="1142BF0A" w:rsidR="00985217" w:rsidRPr="00F6727E" w:rsidRDefault="0074630E" w:rsidP="0074630E">
            <w:r w:rsidRPr="00F6727E">
              <w:t>200 µg f</w:t>
            </w:r>
            <w:r w:rsidR="00985217" w:rsidRPr="00F6727E">
              <w:t>luticasone furoate</w:t>
            </w:r>
            <w:r w:rsidR="00520181" w:rsidRPr="00F6727E">
              <w:t xml:space="preserve">, </w:t>
            </w:r>
            <w:r w:rsidRPr="00F6727E">
              <w:t xml:space="preserve">62.5 µg </w:t>
            </w:r>
            <w:r w:rsidR="00985217" w:rsidRPr="00F6727E">
              <w:t xml:space="preserve">umeclidinium </w:t>
            </w:r>
            <w:r w:rsidR="00520181" w:rsidRPr="00F6727E">
              <w:t>and</w:t>
            </w:r>
            <w:r w:rsidR="00985217" w:rsidRPr="00F6727E">
              <w:t xml:space="preserve"> </w:t>
            </w:r>
            <w:r w:rsidRPr="00F6727E">
              <w:t>25 µg</w:t>
            </w:r>
            <w:r w:rsidR="00D27678">
              <w:t> </w:t>
            </w:r>
            <w:r w:rsidRPr="00F6727E">
              <w:t>vilanterol</w:t>
            </w:r>
          </w:p>
        </w:tc>
      </w:tr>
      <w:tr w:rsidR="008E7846" w:rsidRPr="00F6727E" w14:paraId="68910B15" w14:textId="77777777" w:rsidTr="00BF1190">
        <w:tc>
          <w:tcPr>
            <w:tcW w:w="2907" w:type="dxa"/>
          </w:tcPr>
          <w:p w14:paraId="6BED0FB7" w14:textId="77777777" w:rsidR="008E7846" w:rsidRPr="00F6727E" w:rsidRDefault="008E7846" w:rsidP="00F4179A">
            <w:pPr>
              <w:rPr>
                <w:i/>
              </w:rPr>
            </w:pPr>
            <w:r w:rsidRPr="00F6727E">
              <w:rPr>
                <w:i/>
              </w:rPr>
              <w:t>Container:</w:t>
            </w:r>
          </w:p>
        </w:tc>
        <w:tc>
          <w:tcPr>
            <w:tcW w:w="6307" w:type="dxa"/>
          </w:tcPr>
          <w:p w14:paraId="0080CEFA" w14:textId="5C1A9B99" w:rsidR="008E7846" w:rsidRPr="00F6727E" w:rsidRDefault="003E5AB3" w:rsidP="004057E5">
            <w:r w:rsidRPr="00F6727E">
              <w:t>I</w:t>
            </w:r>
            <w:r w:rsidR="00F4179A" w:rsidRPr="00F6727E">
              <w:t>nhaler</w:t>
            </w:r>
          </w:p>
        </w:tc>
      </w:tr>
      <w:tr w:rsidR="008E7846" w:rsidRPr="00F6727E" w14:paraId="5486867F" w14:textId="77777777" w:rsidTr="00BF1190">
        <w:tc>
          <w:tcPr>
            <w:tcW w:w="2907" w:type="dxa"/>
          </w:tcPr>
          <w:p w14:paraId="1F6322A9" w14:textId="77777777" w:rsidR="008E7846" w:rsidRPr="00F6727E" w:rsidRDefault="008E7846" w:rsidP="00F4179A">
            <w:pPr>
              <w:rPr>
                <w:i/>
              </w:rPr>
            </w:pPr>
            <w:r w:rsidRPr="00F6727E">
              <w:rPr>
                <w:i/>
              </w:rPr>
              <w:t>Pack sizes:</w:t>
            </w:r>
          </w:p>
        </w:tc>
        <w:tc>
          <w:tcPr>
            <w:tcW w:w="6307" w:type="dxa"/>
          </w:tcPr>
          <w:p w14:paraId="39358044" w14:textId="77777777" w:rsidR="008E7846" w:rsidRPr="00F6727E" w:rsidRDefault="00F4179A" w:rsidP="00F4179A">
            <w:r w:rsidRPr="00F6727E">
              <w:t>14 (sample pack) and 30</w:t>
            </w:r>
          </w:p>
        </w:tc>
      </w:tr>
      <w:tr w:rsidR="008E7846" w:rsidRPr="00F6727E" w14:paraId="7CDBE940" w14:textId="77777777" w:rsidTr="00BF1190">
        <w:tc>
          <w:tcPr>
            <w:tcW w:w="2907" w:type="dxa"/>
          </w:tcPr>
          <w:p w14:paraId="47E28F27" w14:textId="77777777" w:rsidR="008E7846" w:rsidRPr="00F6727E" w:rsidRDefault="008E7846" w:rsidP="001B5C90">
            <w:pPr>
              <w:rPr>
                <w:i/>
              </w:rPr>
            </w:pPr>
            <w:r w:rsidRPr="00F6727E">
              <w:rPr>
                <w:i/>
              </w:rPr>
              <w:t xml:space="preserve">Approved </w:t>
            </w:r>
            <w:r w:rsidR="001B5C90" w:rsidRPr="00F6727E">
              <w:rPr>
                <w:i/>
              </w:rPr>
              <w:t>t</w:t>
            </w:r>
            <w:r w:rsidRPr="00F6727E">
              <w:rPr>
                <w:i/>
              </w:rPr>
              <w:t>herapeutic use:</w:t>
            </w:r>
          </w:p>
        </w:tc>
        <w:tc>
          <w:tcPr>
            <w:tcW w:w="6307" w:type="dxa"/>
          </w:tcPr>
          <w:p w14:paraId="599A9CEA" w14:textId="77777777" w:rsidR="00F23D21" w:rsidRPr="00F6727E" w:rsidRDefault="00F23D21" w:rsidP="00F23D21">
            <w:pPr>
              <w:rPr>
                <w:i/>
              </w:rPr>
            </w:pPr>
            <w:r w:rsidRPr="00F6727E">
              <w:rPr>
                <w:i/>
              </w:rPr>
              <w:t>Asthma</w:t>
            </w:r>
          </w:p>
          <w:p w14:paraId="1B829D5E" w14:textId="7D526149" w:rsidR="008E7846" w:rsidRPr="00F6727E" w:rsidRDefault="00F23D21" w:rsidP="00F23D21">
            <w:pPr>
              <w:rPr>
                <w:rFonts w:eastAsia="MS Mincho"/>
                <w:lang w:eastAsia="ja-JP"/>
              </w:rPr>
            </w:pPr>
            <w:proofErr w:type="spellStart"/>
            <w:r w:rsidRPr="00F6727E">
              <w:rPr>
                <w:i/>
              </w:rPr>
              <w:t>Trelegy</w:t>
            </w:r>
            <w:proofErr w:type="spellEnd"/>
            <w:r w:rsidRPr="00F6727E">
              <w:rPr>
                <w:i/>
              </w:rPr>
              <w:t xml:space="preserve"> Ellipta is indicated for the maintenance treatment of asthma in adult patient</w:t>
            </w:r>
            <w:r w:rsidR="005A6434">
              <w:rPr>
                <w:i/>
              </w:rPr>
              <w:t>s</w:t>
            </w:r>
            <w:r w:rsidRPr="00F6727E">
              <w:rPr>
                <w:i/>
              </w:rPr>
              <w:t xml:space="preserve"> who are not adequately controlled with a combination of inhaled corticosteroid and a long</w:t>
            </w:r>
            <w:r w:rsidR="005A6434">
              <w:rPr>
                <w:i/>
              </w:rPr>
              <w:t>-</w:t>
            </w:r>
            <w:r w:rsidRPr="00F6727E">
              <w:rPr>
                <w:i/>
              </w:rPr>
              <w:t>acting beta2-agonist</w:t>
            </w:r>
          </w:p>
        </w:tc>
      </w:tr>
      <w:tr w:rsidR="008E7846" w:rsidRPr="00F6727E" w14:paraId="00EBF5F7" w14:textId="77777777" w:rsidTr="00BF1190">
        <w:tc>
          <w:tcPr>
            <w:tcW w:w="2907" w:type="dxa"/>
          </w:tcPr>
          <w:p w14:paraId="1B902EBE" w14:textId="77777777" w:rsidR="008E7846" w:rsidRPr="00F6727E" w:rsidRDefault="008E7846" w:rsidP="00F4179A">
            <w:pPr>
              <w:rPr>
                <w:i/>
              </w:rPr>
            </w:pPr>
            <w:r w:rsidRPr="00F6727E">
              <w:rPr>
                <w:i/>
              </w:rPr>
              <w:t>Route of administration:</w:t>
            </w:r>
          </w:p>
        </w:tc>
        <w:tc>
          <w:tcPr>
            <w:tcW w:w="6307" w:type="dxa"/>
          </w:tcPr>
          <w:p w14:paraId="055DF77C" w14:textId="02E37CF2" w:rsidR="008E7846" w:rsidRPr="00F6727E" w:rsidRDefault="00AD6AF3" w:rsidP="00AD6AF3">
            <w:r w:rsidRPr="00F6727E">
              <w:t>Oral i</w:t>
            </w:r>
            <w:r w:rsidR="00F4179A" w:rsidRPr="00F6727E">
              <w:t>nhalation</w:t>
            </w:r>
          </w:p>
        </w:tc>
      </w:tr>
      <w:tr w:rsidR="008E7846" w:rsidRPr="00F6727E" w14:paraId="6C307F64" w14:textId="77777777" w:rsidTr="00BF1190">
        <w:tc>
          <w:tcPr>
            <w:tcW w:w="2907" w:type="dxa"/>
          </w:tcPr>
          <w:p w14:paraId="7747B4C2" w14:textId="77777777" w:rsidR="008E7846" w:rsidRPr="00F6727E" w:rsidRDefault="008E7846" w:rsidP="00E45619">
            <w:pPr>
              <w:rPr>
                <w:i/>
              </w:rPr>
            </w:pPr>
            <w:r w:rsidRPr="00F6727E">
              <w:rPr>
                <w:i/>
              </w:rPr>
              <w:t>Dosage:</w:t>
            </w:r>
          </w:p>
        </w:tc>
        <w:tc>
          <w:tcPr>
            <w:tcW w:w="6307" w:type="dxa"/>
          </w:tcPr>
          <w:p w14:paraId="14EE60E1" w14:textId="7D4556A5" w:rsidR="00985217" w:rsidRPr="00F6727E" w:rsidRDefault="00985217" w:rsidP="00985217">
            <w:r w:rsidRPr="00F6727E">
              <w:t xml:space="preserve">Patients can be changed from their existing inhalers to </w:t>
            </w:r>
            <w:proofErr w:type="spellStart"/>
            <w:r w:rsidRPr="00F6727E">
              <w:t>Trelegy</w:t>
            </w:r>
            <w:proofErr w:type="spellEnd"/>
            <w:r w:rsidRPr="00F6727E">
              <w:t xml:space="preserve"> Ellipta at the next dose. However, it is important that patients do </w:t>
            </w:r>
            <w:r w:rsidRPr="00F6727E">
              <w:lastRenderedPageBreak/>
              <w:t xml:space="preserve">not take other </w:t>
            </w:r>
            <w:r w:rsidR="0074630E" w:rsidRPr="00F6727E">
              <w:t>long-acting beta 2 (β2)-agonist (LABA)</w:t>
            </w:r>
            <w:r w:rsidRPr="00F6727E">
              <w:t xml:space="preserve"> or long</w:t>
            </w:r>
            <w:r w:rsidR="0074630E" w:rsidRPr="00F6727E">
              <w:noBreakHyphen/>
            </w:r>
            <w:r w:rsidRPr="00F6727E">
              <w:t xml:space="preserve">acting muscarinic antagonist (LAMA) or inhaled corticosteroids (ICS) while taking </w:t>
            </w:r>
            <w:proofErr w:type="spellStart"/>
            <w:r w:rsidRPr="00F6727E">
              <w:t>Trelegy</w:t>
            </w:r>
            <w:proofErr w:type="spellEnd"/>
            <w:r w:rsidRPr="00F6727E">
              <w:t xml:space="preserve"> Ellipta.</w:t>
            </w:r>
          </w:p>
          <w:p w14:paraId="1807540F" w14:textId="26606FBA" w:rsidR="00460036" w:rsidRPr="00F6727E" w:rsidRDefault="00985217" w:rsidP="0074630E">
            <w:r w:rsidRPr="00F6727E">
              <w:t xml:space="preserve">Dosage of </w:t>
            </w:r>
            <w:proofErr w:type="spellStart"/>
            <w:r w:rsidRPr="00F6727E">
              <w:t>Trelegy</w:t>
            </w:r>
            <w:proofErr w:type="spellEnd"/>
            <w:r w:rsidRPr="00F6727E">
              <w:t xml:space="preserve"> Ellipta is based on multiple factors, including the condition being treated, the age of the patient and pre-existing conditions. </w:t>
            </w:r>
            <w:r w:rsidR="00460036" w:rsidRPr="00F6727E">
              <w:t>For further information regarding dosage, refer to the Product Information.</w:t>
            </w:r>
          </w:p>
        </w:tc>
      </w:tr>
      <w:tr w:rsidR="00460036" w:rsidRPr="00F6727E" w14:paraId="1D19DE37" w14:textId="77777777" w:rsidTr="00BF1190">
        <w:tc>
          <w:tcPr>
            <w:tcW w:w="2907" w:type="dxa"/>
          </w:tcPr>
          <w:p w14:paraId="1B940529" w14:textId="77777777" w:rsidR="00460036" w:rsidRPr="00F6727E" w:rsidRDefault="00460036" w:rsidP="00E45619">
            <w:pPr>
              <w:rPr>
                <w:i/>
              </w:rPr>
            </w:pPr>
            <w:r w:rsidRPr="00F6727E">
              <w:rPr>
                <w:i/>
              </w:rPr>
              <w:lastRenderedPageBreak/>
              <w:t>Pregnancy category:</w:t>
            </w:r>
          </w:p>
        </w:tc>
        <w:tc>
          <w:tcPr>
            <w:tcW w:w="6307" w:type="dxa"/>
          </w:tcPr>
          <w:p w14:paraId="1896A3AE" w14:textId="77777777" w:rsidR="00D53EA3" w:rsidRPr="00F6727E" w:rsidRDefault="00D53EA3" w:rsidP="00D53EA3">
            <w:r w:rsidRPr="00F6727E">
              <w:t>B3</w:t>
            </w:r>
          </w:p>
          <w:p w14:paraId="6611FD03" w14:textId="77777777" w:rsidR="00D53EA3" w:rsidRPr="00F6727E" w:rsidRDefault="00D53EA3" w:rsidP="00D53EA3">
            <w:r w:rsidRPr="00F6727E">
              <w:t xml:space="preserve">Drugs which have been taken by only a limited number of pregnant women and women of childbearing age, without an increase in the frequency of malformation or other direct or indirect harmful effects on the human </w:t>
            </w:r>
            <w:proofErr w:type="spellStart"/>
            <w:r w:rsidRPr="00F6727E">
              <w:t>fetus</w:t>
            </w:r>
            <w:proofErr w:type="spellEnd"/>
            <w:r w:rsidRPr="00F6727E">
              <w:t xml:space="preserve"> having been observed.</w:t>
            </w:r>
          </w:p>
          <w:p w14:paraId="5B243BC6" w14:textId="77777777" w:rsidR="00D53EA3" w:rsidRPr="00F6727E" w:rsidRDefault="00D53EA3" w:rsidP="00D53EA3">
            <w:r w:rsidRPr="00F6727E">
              <w:t>Studies in animals have shown evidence of an increased occurrence of fetal damage, the significance of which is considered uncertain in humans.</w:t>
            </w:r>
          </w:p>
          <w:p w14:paraId="1815F30C" w14:textId="77777777" w:rsidR="00460036" w:rsidRPr="00F6727E" w:rsidRDefault="00460036" w:rsidP="00460036">
            <w:r w:rsidRPr="00F6727E">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D53EA3" w:rsidRPr="00F6727E">
              <w:t>ces in your State or Territory.</w:t>
            </w:r>
          </w:p>
        </w:tc>
      </w:tr>
    </w:tbl>
    <w:p w14:paraId="046EA911" w14:textId="77777777" w:rsidR="008E7846" w:rsidRPr="00F6727E" w:rsidRDefault="008E7846" w:rsidP="008E7846">
      <w:pPr>
        <w:pStyle w:val="Heading3"/>
      </w:pPr>
      <w:bookmarkStart w:id="12" w:name="_Toc247691503"/>
      <w:bookmarkStart w:id="13" w:name="_Toc314842484"/>
      <w:bookmarkStart w:id="14" w:name="_Toc83895474"/>
      <w:r w:rsidRPr="00F6727E">
        <w:t>Product background</w:t>
      </w:r>
      <w:bookmarkEnd w:id="12"/>
      <w:bookmarkEnd w:id="13"/>
      <w:bookmarkEnd w:id="14"/>
    </w:p>
    <w:p w14:paraId="2458B6C9" w14:textId="34E1EE62" w:rsidR="008E7846" w:rsidRPr="00F6727E" w:rsidRDefault="00250271" w:rsidP="00940A89">
      <w:r w:rsidRPr="00F6727E">
        <w:t>This AusPA</w:t>
      </w:r>
      <w:r w:rsidR="008D0D20" w:rsidRPr="00F6727E">
        <w:t xml:space="preserve">R describes the application by GlaxoSmithKline Australia Pty Ltd (the sponsor) to register </w:t>
      </w:r>
      <w:proofErr w:type="spellStart"/>
      <w:r w:rsidR="008D0D20" w:rsidRPr="00F6727E">
        <w:t>Trelegy</w:t>
      </w:r>
      <w:proofErr w:type="spellEnd"/>
      <w:r w:rsidR="008D0D20" w:rsidRPr="00F6727E">
        <w:t xml:space="preserve"> Ellipta </w:t>
      </w:r>
      <w:r w:rsidRPr="00F6727E">
        <w:t>(</w:t>
      </w:r>
      <w:r w:rsidR="008D0D20" w:rsidRPr="00F6727E">
        <w:t>fluticasone furoate</w:t>
      </w:r>
      <w:r w:rsidR="00520181" w:rsidRPr="00F6727E">
        <w:t xml:space="preserve"> /</w:t>
      </w:r>
      <w:r w:rsidR="008D0D20" w:rsidRPr="00F6727E">
        <w:t xml:space="preserve"> umeclidinium </w:t>
      </w:r>
      <w:r w:rsidR="00520181" w:rsidRPr="00F6727E">
        <w:t xml:space="preserve">/ </w:t>
      </w:r>
      <w:r w:rsidR="008D0D20" w:rsidRPr="00F6727E">
        <w:t>vilanterol</w:t>
      </w:r>
      <w:r w:rsidRPr="00F6727E">
        <w:t xml:space="preserve">) </w:t>
      </w:r>
      <w:r w:rsidR="00520181" w:rsidRPr="00F6727E">
        <w:t>100</w:t>
      </w:r>
      <w:r w:rsidR="0074630E" w:rsidRPr="00F6727E">
        <w:t> </w:t>
      </w:r>
      <w:r w:rsidR="00520181" w:rsidRPr="00F6727E">
        <w:t>µg/62.5</w:t>
      </w:r>
      <w:r w:rsidR="0074630E" w:rsidRPr="00F6727E">
        <w:t> </w:t>
      </w:r>
      <w:r w:rsidR="00520181" w:rsidRPr="00F6727E">
        <w:t>µg/25</w:t>
      </w:r>
      <w:r w:rsidR="0074630E" w:rsidRPr="00F6727E">
        <w:t> </w:t>
      </w:r>
      <w:r w:rsidR="00520181" w:rsidRPr="00F6727E">
        <w:t>µg and 200</w:t>
      </w:r>
      <w:r w:rsidR="0074630E" w:rsidRPr="00F6727E">
        <w:t> </w:t>
      </w:r>
      <w:r w:rsidR="00520181" w:rsidRPr="00F6727E">
        <w:t>µg/62.5</w:t>
      </w:r>
      <w:r w:rsidR="0074630E" w:rsidRPr="00F6727E">
        <w:t> </w:t>
      </w:r>
      <w:r w:rsidR="00520181" w:rsidRPr="00F6727E">
        <w:t>µg/25</w:t>
      </w:r>
      <w:r w:rsidR="0074630E" w:rsidRPr="00F6727E">
        <w:t> </w:t>
      </w:r>
      <w:r w:rsidR="00520181" w:rsidRPr="00F6727E">
        <w:t>µg</w:t>
      </w:r>
      <w:r w:rsidR="00D27678">
        <w:t xml:space="preserve"> (respectively, per inhalation)</w:t>
      </w:r>
      <w:r w:rsidRPr="00F6727E">
        <w:t xml:space="preserve">, </w:t>
      </w:r>
      <w:r w:rsidR="00DC59F0" w:rsidRPr="00F6727E">
        <w:t>powder for inhalation</w:t>
      </w:r>
      <w:r w:rsidRPr="00F6727E">
        <w:t xml:space="preserve"> for the following proposed extension of indications</w:t>
      </w:r>
      <w:r w:rsidR="00CF5DAD" w:rsidRPr="00F6727E">
        <w:t>:</w:t>
      </w:r>
    </w:p>
    <w:p w14:paraId="7A690D0A" w14:textId="77777777" w:rsidR="00FC7858" w:rsidRPr="00F6727E" w:rsidRDefault="00FC7858" w:rsidP="00FC7858">
      <w:pPr>
        <w:ind w:left="720"/>
        <w:rPr>
          <w:i/>
        </w:rPr>
      </w:pPr>
      <w:proofErr w:type="spellStart"/>
      <w:r w:rsidRPr="00F6727E">
        <w:rPr>
          <w:i/>
        </w:rPr>
        <w:t>Trelegy</w:t>
      </w:r>
      <w:proofErr w:type="spellEnd"/>
      <w:r w:rsidRPr="00F6727E">
        <w:rPr>
          <w:i/>
        </w:rPr>
        <w:t xml:space="preserve"> Ellipta is indicated for the maintenance treatment of asthma.</w:t>
      </w:r>
    </w:p>
    <w:p w14:paraId="2F85D9B0" w14:textId="5E95B498" w:rsidR="003E5AB3" w:rsidRPr="00F6727E" w:rsidRDefault="003E5AB3" w:rsidP="003B31C8">
      <w:r w:rsidRPr="00F6727E">
        <w:t>Asthma is a common, chronic respiratory disease affecting approximately 10% of Australians (2.5 million) in 2016.</w:t>
      </w:r>
      <w:r w:rsidR="00FF23D3" w:rsidRPr="00F6727E">
        <w:rPr>
          <w:rStyle w:val="FootnoteReference"/>
        </w:rPr>
        <w:footnoteReference w:id="2"/>
      </w:r>
      <w:r w:rsidRPr="00F6727E">
        <w:t xml:space="preserve"> It is characterised by variable symptoms of shortness of breath, cough, </w:t>
      </w:r>
      <w:proofErr w:type="gramStart"/>
      <w:r w:rsidRPr="00F6727E">
        <w:t>wheeze</w:t>
      </w:r>
      <w:proofErr w:type="gramEnd"/>
      <w:r w:rsidRPr="00F6727E">
        <w:t xml:space="preserve"> and airflow limitation. The degree of symptom burden and airflow limitation can vary over time. It is a heterogeneous disease with different underlying disease pathophysiological processes and phenotypes. It can be associated with other conditions such as allergic predispositions, </w:t>
      </w:r>
      <w:r w:rsidR="008B1C0C" w:rsidRPr="00F6727E">
        <w:t xml:space="preserve">chronic </w:t>
      </w:r>
      <w:r w:rsidR="00405DE1" w:rsidRPr="00F6727E">
        <w:t xml:space="preserve">obstructive pulmonary disease </w:t>
      </w:r>
      <w:r w:rsidR="008B1C0C" w:rsidRPr="00F6727E">
        <w:t>(</w:t>
      </w:r>
      <w:r w:rsidRPr="00F6727E">
        <w:t>COPD</w:t>
      </w:r>
      <w:r w:rsidR="008B1C0C" w:rsidRPr="00F6727E">
        <w:t>)</w:t>
      </w:r>
      <w:r w:rsidRPr="00F6727E">
        <w:t xml:space="preserve"> and obesity. The COPD</w:t>
      </w:r>
      <w:r w:rsidR="00D27678">
        <w:noBreakHyphen/>
        <w:t>a</w:t>
      </w:r>
      <w:r w:rsidRPr="00F6727E">
        <w:t>sthma overlap tends to be found in older patients and is associated with a higher risk of e</w:t>
      </w:r>
      <w:r w:rsidR="0074630E" w:rsidRPr="00F6727E">
        <w:t>xacerbations and complications.</w:t>
      </w:r>
    </w:p>
    <w:p w14:paraId="3CFD0436" w14:textId="303E1AB7" w:rsidR="003E5AB3" w:rsidRPr="00F6727E" w:rsidRDefault="003E5AB3" w:rsidP="003B31C8">
      <w:r w:rsidRPr="00F6727E">
        <w:t>The diagnosis of asthma is based upon clinical assessment for symptoms, which are suggestive of asthma and confirmation of variable expiratory airflow limitation on spirometry. As per the Global Initiative in Asthma (GINA) guidelines 2020,</w:t>
      </w:r>
      <w:bookmarkStart w:id="15" w:name="_Ref74313279"/>
      <w:r w:rsidR="006D243F" w:rsidRPr="00F6727E">
        <w:rPr>
          <w:rStyle w:val="FootnoteReference"/>
        </w:rPr>
        <w:footnoteReference w:id="3"/>
      </w:r>
      <w:bookmarkEnd w:id="15"/>
      <w:r w:rsidRPr="00F6727E">
        <w:t xml:space="preserve"> the severity of asthma is based on a retrospective review of exacerbations and the degree of treatment required to control symptoms. Mild asthma is defined as disease requiring a short-acting </w:t>
      </w:r>
      <w:r w:rsidR="00D27678">
        <w:t>beta (</w:t>
      </w:r>
      <w:r w:rsidRPr="00F6727E">
        <w:t>β</w:t>
      </w:r>
      <w:r w:rsidR="00D27678">
        <w:t>)</w:t>
      </w:r>
      <w:r w:rsidRPr="00F6727E">
        <w:t>2</w:t>
      </w:r>
      <w:r w:rsidR="0074630E" w:rsidRPr="00F6727E">
        <w:t>-</w:t>
      </w:r>
      <w:r w:rsidRPr="00F6727E">
        <w:t>agonist (SABA) alone or is controlled with low</w:t>
      </w:r>
      <w:r w:rsidR="0074630E" w:rsidRPr="00F6727E">
        <w:t xml:space="preserve"> </w:t>
      </w:r>
      <w:r w:rsidRPr="00F6727E">
        <w:t xml:space="preserve">dose maintenance inhaled </w:t>
      </w:r>
      <w:r w:rsidRPr="00F6727E">
        <w:lastRenderedPageBreak/>
        <w:t xml:space="preserve">corticosteroids (ICS) </w:t>
      </w:r>
      <w:r w:rsidR="00405DE1" w:rsidRPr="00F6727E">
        <w:t>plus</w:t>
      </w:r>
      <w:r w:rsidRPr="00F6727E">
        <w:t xml:space="preserve"> SABA as needed while severe asthma is defined by uncontrolled symptoms despite treatment with preventative high dose ICS and </w:t>
      </w:r>
      <w:r w:rsidR="00D27678">
        <w:t xml:space="preserve">a </w:t>
      </w:r>
      <w:r w:rsidRPr="00F6727E">
        <w:t xml:space="preserve">long-acting </w:t>
      </w:r>
      <w:r w:rsidR="00D27678">
        <w:t>beta (</w:t>
      </w:r>
      <w:r w:rsidRPr="00F6727E">
        <w:t>β</w:t>
      </w:r>
      <w:r w:rsidR="00D27678">
        <w:t>)</w:t>
      </w:r>
      <w:r w:rsidRPr="00F6727E">
        <w:t>2</w:t>
      </w:r>
      <w:r w:rsidR="00D27678">
        <w:noBreakHyphen/>
      </w:r>
      <w:r w:rsidRPr="00F6727E">
        <w:t>agonist (LABA).</w:t>
      </w:r>
    </w:p>
    <w:p w14:paraId="51976C33" w14:textId="56E8AD33" w:rsidR="003E5AB3" w:rsidRPr="00F6727E" w:rsidRDefault="003E5AB3" w:rsidP="003B31C8">
      <w:r w:rsidRPr="00F6727E">
        <w:t>In 2015</w:t>
      </w:r>
      <w:r w:rsidR="00405DE1" w:rsidRPr="00F6727E">
        <w:t xml:space="preserve"> to 20</w:t>
      </w:r>
      <w:r w:rsidRPr="00F6727E">
        <w:t>16, asthma cost the Austral</w:t>
      </w:r>
      <w:r w:rsidR="00405DE1" w:rsidRPr="00F6727E">
        <w:t xml:space="preserve">ian health system an estimated </w:t>
      </w:r>
      <w:r w:rsidRPr="00F6727E">
        <w:t>770.4 million</w:t>
      </w:r>
      <w:r w:rsidR="00405DE1" w:rsidRPr="00F6727E">
        <w:t xml:space="preserve"> dollars</w:t>
      </w:r>
      <w:r w:rsidRPr="00F6727E">
        <w:t xml:space="preserve">, representing 19% of disease expenditure for respiratory conditions and 0.7% of total disease expenditure. Deaths attributed to asthma have remained stable over past </w:t>
      </w:r>
      <w:r w:rsidR="00405DE1" w:rsidRPr="00F6727E">
        <w:t>five</w:t>
      </w:r>
      <w:r w:rsidRPr="00F6727E">
        <w:t xml:space="preserve"> years at 1.5 deaths per 100,000 population with 421 people dying from asthma in 2015.</w:t>
      </w:r>
      <w:r w:rsidR="009F5847" w:rsidRPr="00F6727E">
        <w:rPr>
          <w:rStyle w:val="FootnoteReference"/>
        </w:rPr>
        <w:footnoteReference w:id="4"/>
      </w:r>
      <w:r w:rsidRPr="00F6727E">
        <w:t xml:space="preserve"> While there is no cure, currently there are therapeutic options available to control symptoms.</w:t>
      </w:r>
    </w:p>
    <w:p w14:paraId="5C6BED93" w14:textId="554D00A6" w:rsidR="003E5AB3" w:rsidRPr="00F6727E" w:rsidRDefault="003E5AB3" w:rsidP="003B31C8">
      <w:r w:rsidRPr="00F6727E">
        <w:t xml:space="preserve">The </w:t>
      </w:r>
      <w:proofErr w:type="gramStart"/>
      <w:r w:rsidRPr="00F6727E">
        <w:t>long</w:t>
      </w:r>
      <w:r w:rsidR="00405DE1" w:rsidRPr="00F6727E">
        <w:t xml:space="preserve"> </w:t>
      </w:r>
      <w:r w:rsidRPr="00F6727E">
        <w:t>term</w:t>
      </w:r>
      <w:proofErr w:type="gramEnd"/>
      <w:r w:rsidRPr="00F6727E">
        <w:t xml:space="preserve"> goals of treatment are to achieve symptom control and minimise the risk of future of disease exacerbations, complications, persistence of airflow limitation and mortality. The decision to include minimisation of the </w:t>
      </w:r>
      <w:proofErr w:type="gramStart"/>
      <w:r w:rsidRPr="00F6727E">
        <w:t>long</w:t>
      </w:r>
      <w:r w:rsidR="00405DE1" w:rsidRPr="00F6727E">
        <w:t xml:space="preserve"> </w:t>
      </w:r>
      <w:r w:rsidRPr="00F6727E">
        <w:t>term</w:t>
      </w:r>
      <w:proofErr w:type="gramEnd"/>
      <w:r w:rsidRPr="00F6727E">
        <w:t xml:space="preserve"> effect of disease as a treatment goal is based on findings that some patients develop exacerbations despite having only intermittent or minimal symptoms. The management approach is based on a stepwise (</w:t>
      </w:r>
      <w:r w:rsidR="00405DE1" w:rsidRPr="00F6727E">
        <w:t>S</w:t>
      </w:r>
      <w:r w:rsidRPr="00F6727E">
        <w:t>tep</w:t>
      </w:r>
      <w:r w:rsidR="00D27678">
        <w:t xml:space="preserve">s </w:t>
      </w:r>
      <w:r w:rsidRPr="00F6727E">
        <w:t>1</w:t>
      </w:r>
      <w:r w:rsidR="00405DE1" w:rsidRPr="00F6727E">
        <w:t xml:space="preserve"> to </w:t>
      </w:r>
      <w:r w:rsidRPr="00F6727E">
        <w:t>5) escalation of therapy based on disease severity as detailed in the 2020 GINA guidelines.</w:t>
      </w:r>
      <w:r w:rsidR="006D243F" w:rsidRPr="00F6727E">
        <w:rPr>
          <w:vertAlign w:val="superscript"/>
        </w:rPr>
        <w:fldChar w:fldCharType="begin"/>
      </w:r>
      <w:r w:rsidR="006D243F" w:rsidRPr="00F6727E">
        <w:rPr>
          <w:vertAlign w:val="superscript"/>
        </w:rPr>
        <w:instrText xml:space="preserve"> NOTEREF _Ref74313279 \h  \* MERGEFORMAT </w:instrText>
      </w:r>
      <w:r w:rsidR="006D243F" w:rsidRPr="00F6727E">
        <w:rPr>
          <w:vertAlign w:val="superscript"/>
        </w:rPr>
      </w:r>
      <w:r w:rsidR="006D243F" w:rsidRPr="00F6727E">
        <w:rPr>
          <w:vertAlign w:val="superscript"/>
        </w:rPr>
        <w:fldChar w:fldCharType="separate"/>
      </w:r>
      <w:r w:rsidR="00501251">
        <w:rPr>
          <w:vertAlign w:val="superscript"/>
        </w:rPr>
        <w:t>3</w:t>
      </w:r>
      <w:r w:rsidR="006D243F" w:rsidRPr="00F6727E">
        <w:rPr>
          <w:vertAlign w:val="superscript"/>
        </w:rPr>
        <w:fldChar w:fldCharType="end"/>
      </w:r>
      <w:r w:rsidRPr="00F6727E">
        <w:t xml:space="preserve"> It also recommended asthma severity be reviewed regularly and adjusted accordingly. Symptom control can be defined as a low frequency of symptoms and SABA reliever use and the absence of night awakening or restriction in function secondary to asthma.</w:t>
      </w:r>
    </w:p>
    <w:p w14:paraId="338613B8" w14:textId="1EB4D903" w:rsidR="003E5AB3" w:rsidRPr="00F6727E" w:rsidRDefault="003E5AB3" w:rsidP="003B31C8">
      <w:r w:rsidRPr="00F6727E">
        <w:t xml:space="preserve">Treatment options for asthma can be classified into the </w:t>
      </w:r>
      <w:r w:rsidR="00405DE1" w:rsidRPr="00F6727E">
        <w:t>three</w:t>
      </w:r>
      <w:r w:rsidRPr="00F6727E">
        <w:t xml:space="preserve"> broad categories of reliever medicine, controller medicine and add-on therapies. Controllers are taken daily and long</w:t>
      </w:r>
      <w:r w:rsidR="00405DE1" w:rsidRPr="00F6727E">
        <w:t xml:space="preserve"> </w:t>
      </w:r>
      <w:r w:rsidRPr="00F6727E">
        <w:t>term and include both anti-inflammatory drugs (</w:t>
      </w:r>
      <w:r w:rsidR="00405DE1" w:rsidRPr="00F6727E">
        <w:t>ICS</w:t>
      </w:r>
      <w:r w:rsidR="00174BB0" w:rsidRPr="00F6727E">
        <w:t>, leukotriene modifiers, anti</w:t>
      </w:r>
      <w:r w:rsidR="00174BB0" w:rsidRPr="00F6727E">
        <w:noBreakHyphen/>
        <w:t>immunoglobulin E (</w:t>
      </w:r>
      <w:r w:rsidR="00E3447A">
        <w:t>anti-</w:t>
      </w:r>
      <w:proofErr w:type="spellStart"/>
      <w:r w:rsidRPr="00F6727E">
        <w:t>IgE</w:t>
      </w:r>
      <w:proofErr w:type="spellEnd"/>
      <w:r w:rsidR="00174BB0" w:rsidRPr="00F6727E">
        <w:t>)</w:t>
      </w:r>
      <w:r w:rsidRPr="00F6727E">
        <w:t xml:space="preserve"> treatment, oral corticosteroids</w:t>
      </w:r>
      <w:r w:rsidR="00174BB0" w:rsidRPr="00F6727E">
        <w:t xml:space="preserve"> (OCS</w:t>
      </w:r>
      <w:r w:rsidRPr="00F6727E">
        <w:t xml:space="preserve">) and </w:t>
      </w:r>
      <w:proofErr w:type="gramStart"/>
      <w:r w:rsidRPr="00F6727E">
        <w:t>long</w:t>
      </w:r>
      <w:r w:rsidR="00E0140B" w:rsidRPr="00F6727E">
        <w:t>-</w:t>
      </w:r>
      <w:r w:rsidRPr="00F6727E">
        <w:t>acting</w:t>
      </w:r>
      <w:proofErr w:type="gramEnd"/>
      <w:r w:rsidRPr="00F6727E">
        <w:t xml:space="preserve"> </w:t>
      </w:r>
      <w:r w:rsidR="00E0140B" w:rsidRPr="00F6727E">
        <w:t>β</w:t>
      </w:r>
      <w:r w:rsidRPr="00F6727E">
        <w:t xml:space="preserve"> agonists. Relievers are medications used on an as</w:t>
      </w:r>
      <w:r w:rsidR="00174BB0" w:rsidRPr="00F6727E">
        <w:t xml:space="preserve"> </w:t>
      </w:r>
      <w:r w:rsidRPr="00F6727E">
        <w:t>needed basis to reverse bronchoconstriction and relieve symptoms (</w:t>
      </w:r>
      <w:r w:rsidR="00174BB0" w:rsidRPr="00F6727E">
        <w:t xml:space="preserve">for examples, </w:t>
      </w:r>
      <w:r w:rsidR="008B1C0C" w:rsidRPr="00F6727E">
        <w:t>SABA</w:t>
      </w:r>
      <w:r w:rsidRPr="00F6727E">
        <w:t xml:space="preserve"> and one </w:t>
      </w:r>
      <w:r w:rsidR="008B1C0C" w:rsidRPr="00F6727E">
        <w:t>LABA</w:t>
      </w:r>
      <w:r w:rsidRPr="00F6727E">
        <w:t>). Add-on therapies for patients with severe asthma may be considered when patients have persistent symptoms and/or exacerbations despite optimised treatment with high dose controller medications and treatment of modifiable risk factors. In addition, allergen immunotherapy is available for allergic asthma</w:t>
      </w:r>
      <w:r w:rsidR="00B45D0F">
        <w:t>,</w:t>
      </w:r>
      <w:r w:rsidRPr="00F6727E">
        <w:t xml:space="preserve"> </w:t>
      </w:r>
      <w:r w:rsidR="00B45D0F">
        <w:t>yet</w:t>
      </w:r>
      <w:r w:rsidR="00B45D0F" w:rsidRPr="00F6727E">
        <w:t xml:space="preserve"> </w:t>
      </w:r>
      <w:r w:rsidRPr="00F6727E">
        <w:t>its specific role is not established.</w:t>
      </w:r>
    </w:p>
    <w:p w14:paraId="39AF423A" w14:textId="061EC23D" w:rsidR="003E5AB3" w:rsidRPr="00F6727E" w:rsidRDefault="003E5AB3" w:rsidP="003B31C8">
      <w:r w:rsidRPr="00F6727E">
        <w:t>According to the 2020 GINA guidelines,</w:t>
      </w:r>
      <w:r w:rsidR="006D243F" w:rsidRPr="00F6727E">
        <w:rPr>
          <w:vertAlign w:val="superscript"/>
        </w:rPr>
        <w:fldChar w:fldCharType="begin"/>
      </w:r>
      <w:r w:rsidR="006D243F" w:rsidRPr="00F6727E">
        <w:rPr>
          <w:vertAlign w:val="superscript"/>
        </w:rPr>
        <w:instrText xml:space="preserve"> NOTEREF _Ref74313279 \h  \* MERGEFORMAT </w:instrText>
      </w:r>
      <w:r w:rsidR="006D243F" w:rsidRPr="00F6727E">
        <w:rPr>
          <w:vertAlign w:val="superscript"/>
        </w:rPr>
      </w:r>
      <w:r w:rsidR="006D243F" w:rsidRPr="00F6727E">
        <w:rPr>
          <w:vertAlign w:val="superscript"/>
        </w:rPr>
        <w:fldChar w:fldCharType="separate"/>
      </w:r>
      <w:r w:rsidR="00501251">
        <w:rPr>
          <w:vertAlign w:val="superscript"/>
        </w:rPr>
        <w:t>3</w:t>
      </w:r>
      <w:r w:rsidR="006D243F" w:rsidRPr="00F6727E">
        <w:rPr>
          <w:vertAlign w:val="superscript"/>
        </w:rPr>
        <w:fldChar w:fldCharType="end"/>
      </w:r>
      <w:r w:rsidRPr="00F6727E">
        <w:t xml:space="preserve"> </w:t>
      </w:r>
      <w:r w:rsidR="00174BB0" w:rsidRPr="00F6727E">
        <w:t>S</w:t>
      </w:r>
      <w:r w:rsidRPr="00F6727E">
        <w:t>teps 3</w:t>
      </w:r>
      <w:r w:rsidR="00174BB0" w:rsidRPr="00F6727E">
        <w:t xml:space="preserve"> to </w:t>
      </w:r>
      <w:r w:rsidRPr="00F6727E">
        <w:t>5 include treatment with low to high dose ICS</w:t>
      </w:r>
      <w:r w:rsidR="00B45D0F">
        <w:t xml:space="preserve"> and a </w:t>
      </w:r>
      <w:r w:rsidRPr="00F6727E">
        <w:t>LABA combination controller therapy with as needed SABAs, or a combination low dose formoterol/ICS (budesonide or beclomethasone) as both maintenance and reliever therapy. Addition of</w:t>
      </w:r>
      <w:r w:rsidR="00174BB0" w:rsidRPr="00F6727E">
        <w:t xml:space="preserve"> low dose OCS</w:t>
      </w:r>
      <w:r w:rsidRPr="00F6727E">
        <w:t xml:space="preserve"> is another option but is often associated with substantial systemic side effects (GINA 2018).</w:t>
      </w:r>
      <w:bookmarkStart w:id="16" w:name="_Ref74313122"/>
      <w:r w:rsidR="00642B54" w:rsidRPr="00F6727E">
        <w:rPr>
          <w:rStyle w:val="FootnoteReference"/>
        </w:rPr>
        <w:footnoteReference w:id="5"/>
      </w:r>
      <w:bookmarkEnd w:id="16"/>
    </w:p>
    <w:p w14:paraId="138C7062" w14:textId="174A05C2" w:rsidR="003E5AB3" w:rsidRPr="00F6727E" w:rsidRDefault="003E5AB3" w:rsidP="003B31C8">
      <w:r w:rsidRPr="00F6727E">
        <w:t xml:space="preserve">In Australia, the three classes of </w:t>
      </w:r>
      <w:r w:rsidR="008B1C0C" w:rsidRPr="00F6727E">
        <w:t>long-acting muscarinic antagonist (</w:t>
      </w:r>
      <w:r w:rsidRPr="00F6727E">
        <w:t>LAMA</w:t>
      </w:r>
      <w:r w:rsidR="008B1C0C" w:rsidRPr="00F6727E">
        <w:t>)</w:t>
      </w:r>
      <w:r w:rsidRPr="00F6727E">
        <w:t>, LABA and ICS are approved for the treatment of asthma. In severe asthma, ICS-LABA combination therapy forms the cornerstone of treatment. Other optional therapies for patients at GINA Step 4 include the addition of tiotropium (</w:t>
      </w:r>
      <w:r w:rsidR="00174BB0" w:rsidRPr="00F6727E">
        <w:t xml:space="preserve">a </w:t>
      </w:r>
      <w:r w:rsidRPr="00F6727E">
        <w:t>LAMA) to medium or high dose LABA/ICS or the addition of leukotriene receptor antagonist</w:t>
      </w:r>
      <w:r w:rsidR="00174BB0" w:rsidRPr="00F6727E">
        <w:t xml:space="preserve"> (LTRA</w:t>
      </w:r>
      <w:r w:rsidRPr="00F6727E">
        <w:t>) or low dose sustained</w:t>
      </w:r>
      <w:r w:rsidR="008E3519" w:rsidRPr="00F6727E">
        <w:t xml:space="preserve"> </w:t>
      </w:r>
      <w:r w:rsidRPr="00F6727E">
        <w:t>release theophylline to medium or high ICS (which is less efficacious than the addition of LABA) (GINA 2018).</w:t>
      </w:r>
      <w:r w:rsidR="00642B54" w:rsidRPr="00F6727E">
        <w:rPr>
          <w:vertAlign w:val="superscript"/>
        </w:rPr>
        <w:fldChar w:fldCharType="begin"/>
      </w:r>
      <w:r w:rsidR="00642B54" w:rsidRPr="00F6727E">
        <w:rPr>
          <w:vertAlign w:val="superscript"/>
        </w:rPr>
        <w:instrText xml:space="preserve"> NOTEREF _Ref74313122 \h  \* MERGEFORMAT </w:instrText>
      </w:r>
      <w:r w:rsidR="00642B54" w:rsidRPr="00F6727E">
        <w:rPr>
          <w:vertAlign w:val="superscript"/>
        </w:rPr>
      </w:r>
      <w:r w:rsidR="00642B54" w:rsidRPr="00F6727E">
        <w:rPr>
          <w:vertAlign w:val="superscript"/>
        </w:rPr>
        <w:fldChar w:fldCharType="separate"/>
      </w:r>
      <w:r w:rsidR="00501251">
        <w:rPr>
          <w:vertAlign w:val="superscript"/>
        </w:rPr>
        <w:t>5</w:t>
      </w:r>
      <w:r w:rsidR="00642B54" w:rsidRPr="00F6727E">
        <w:rPr>
          <w:vertAlign w:val="superscript"/>
        </w:rPr>
        <w:fldChar w:fldCharType="end"/>
      </w:r>
      <w:r w:rsidRPr="00F6727E">
        <w:t xml:space="preserve"> At GINA Step 5, therapeutic alternatives are even more limited and include addition of tiotropium, referral to a specialist and addition of biologic therapy (</w:t>
      </w:r>
      <w:r w:rsidR="008E3519" w:rsidRPr="00F6727E">
        <w:t>for examples, anti-</w:t>
      </w:r>
      <w:proofErr w:type="spellStart"/>
      <w:r w:rsidR="008E3519" w:rsidRPr="00F6727E">
        <w:t>IgE</w:t>
      </w:r>
      <w:proofErr w:type="spellEnd"/>
      <w:r w:rsidR="008E3519" w:rsidRPr="00F6727E">
        <w:t>, anti-</w:t>
      </w:r>
      <w:r w:rsidR="00E0140B" w:rsidRPr="00F6727E">
        <w:t>interleukin-5</w:t>
      </w:r>
      <w:r w:rsidRPr="00F6727E">
        <w:t>) that is specifically reco</w:t>
      </w:r>
      <w:r w:rsidR="00E0140B" w:rsidRPr="00F6727E">
        <w:t xml:space="preserve">mmended only in a subpopulation, such as </w:t>
      </w:r>
      <w:r w:rsidRPr="00F6727E">
        <w:t>for severe allergic asthma or eosinophilic phenotype. Addition of low dose OCS is another option but is often associated with substantial systemic side effects (GINA 2018).</w:t>
      </w:r>
      <w:r w:rsidR="00642B54" w:rsidRPr="00F6727E">
        <w:rPr>
          <w:vertAlign w:val="superscript"/>
        </w:rPr>
        <w:fldChar w:fldCharType="begin"/>
      </w:r>
      <w:r w:rsidR="00642B54" w:rsidRPr="00F6727E">
        <w:rPr>
          <w:vertAlign w:val="superscript"/>
        </w:rPr>
        <w:instrText xml:space="preserve"> NOTEREF _Ref74313122 \h  \* MERGEFORMAT </w:instrText>
      </w:r>
      <w:r w:rsidR="00642B54" w:rsidRPr="00F6727E">
        <w:rPr>
          <w:vertAlign w:val="superscript"/>
        </w:rPr>
      </w:r>
      <w:r w:rsidR="00642B54" w:rsidRPr="00F6727E">
        <w:rPr>
          <w:vertAlign w:val="superscript"/>
        </w:rPr>
        <w:fldChar w:fldCharType="separate"/>
      </w:r>
      <w:r w:rsidR="00501251">
        <w:rPr>
          <w:vertAlign w:val="superscript"/>
        </w:rPr>
        <w:t>5</w:t>
      </w:r>
      <w:r w:rsidR="00642B54" w:rsidRPr="00F6727E">
        <w:rPr>
          <w:vertAlign w:val="superscript"/>
        </w:rPr>
        <w:fldChar w:fldCharType="end"/>
      </w:r>
    </w:p>
    <w:p w14:paraId="719A0DA2" w14:textId="1F3F4B8E" w:rsidR="003E5AB3" w:rsidRPr="00F6727E" w:rsidRDefault="003E5AB3" w:rsidP="003E5AB3">
      <w:r w:rsidRPr="00F6727E">
        <w:lastRenderedPageBreak/>
        <w:t>A significant proportion of patients respond to ICS-LABA therapy, with improved lung function and symptom control. ICS is recommended by guidelines as first line therapy through suppression of airway inflammation, while LABA provide bronchodilation and broncho-protective effects. Despite the clinical benefit offered by the complimentary actions of ICS and LABA, a significant proportion (approximately 50%) of patients remain symptomatic and un</w:t>
      </w:r>
      <w:r w:rsidR="008E3519" w:rsidRPr="00F6727E">
        <w:t>controlled on ICS-LABA therapy</w:t>
      </w:r>
      <w:r w:rsidRPr="00F6727E">
        <w:t>.</w:t>
      </w:r>
      <w:r w:rsidR="00632317" w:rsidRPr="00F6727E">
        <w:rPr>
          <w:rStyle w:val="FootnoteReference"/>
        </w:rPr>
        <w:footnoteReference w:id="6"/>
      </w:r>
      <w:r w:rsidRPr="00F6727E">
        <w:t xml:space="preserve"> In this ICS-LABA non-responsive cohort, treatment options are limited to increase of ICS dose, add-on LAMA therapy such as tiotropium, and other oral options (</w:t>
      </w:r>
      <w:r w:rsidR="009E6612">
        <w:t xml:space="preserve">a </w:t>
      </w:r>
      <w:r w:rsidR="008E3519" w:rsidRPr="00F6727E">
        <w:t>LTRA</w:t>
      </w:r>
      <w:r w:rsidRPr="00F6727E">
        <w:t xml:space="preserve">, xanthine or corticosteroids). Tiotropium unfortunately introduces the increased complexity of an additional inhaler with different inhaler technique to that of the primary ICS-LABA inhaler. As poor adherence to prescribed therapy in this patient population is a known risk factor for uncontrolled asthma, the burden of additional inhalers increases the risk of treatment non-compliance. In this context, </w:t>
      </w:r>
      <w:r w:rsidR="00584451" w:rsidRPr="00F6727E">
        <w:t>fluticasone furoate</w:t>
      </w:r>
      <w:r w:rsidR="003F0F68" w:rsidRPr="00F6727E">
        <w:t xml:space="preserve"> </w:t>
      </w:r>
      <w:r w:rsidRPr="00F6727E">
        <w:t>/</w:t>
      </w:r>
      <w:r w:rsidR="003F0F68" w:rsidRPr="00F6727E">
        <w:t xml:space="preserve"> </w:t>
      </w:r>
      <w:r w:rsidR="00584451" w:rsidRPr="00F6727E">
        <w:t>umeclidinium</w:t>
      </w:r>
      <w:r w:rsidR="003F0F68" w:rsidRPr="00F6727E">
        <w:t xml:space="preserve"> </w:t>
      </w:r>
      <w:r w:rsidRPr="00F6727E">
        <w:t>/</w:t>
      </w:r>
      <w:r w:rsidR="003F0F68" w:rsidRPr="00F6727E">
        <w:t xml:space="preserve"> vilanterol </w:t>
      </w:r>
      <w:r w:rsidRPr="00F6727E">
        <w:t>has the potential to reduce complexity as it delivers three fixed dose treatments via a single inhaler and is dosed once da</w:t>
      </w:r>
      <w:r w:rsidR="00632557" w:rsidRPr="00F6727E">
        <w:t>il</w:t>
      </w:r>
      <w:r w:rsidRPr="00F6727E">
        <w:t>y, making it easier for p</w:t>
      </w:r>
      <w:r w:rsidR="008E3519" w:rsidRPr="00F6727E">
        <w:t>atients to adhere to therapy.</w:t>
      </w:r>
    </w:p>
    <w:p w14:paraId="6E2593A2" w14:textId="6150F236" w:rsidR="009C1061" w:rsidRPr="00F6727E" w:rsidRDefault="0017179D" w:rsidP="00C3520E">
      <w:proofErr w:type="spellStart"/>
      <w:r w:rsidRPr="00F6727E">
        <w:t>Trelegy</w:t>
      </w:r>
      <w:proofErr w:type="spellEnd"/>
      <w:r w:rsidRPr="00F6727E">
        <w:t xml:space="preserve"> Ellipta</w:t>
      </w:r>
      <w:r w:rsidR="009C1061" w:rsidRPr="00F6727E">
        <w:t xml:space="preserve"> is a fixed</w:t>
      </w:r>
      <w:r w:rsidR="008E3519" w:rsidRPr="00F6727E">
        <w:t xml:space="preserve"> </w:t>
      </w:r>
      <w:r w:rsidR="009C1061" w:rsidRPr="00F6727E">
        <w:t xml:space="preserve">dose combination of an </w:t>
      </w:r>
      <w:r w:rsidR="00405DE1" w:rsidRPr="00F6727E">
        <w:t xml:space="preserve">ICS </w:t>
      </w:r>
      <w:r w:rsidR="009C1061" w:rsidRPr="00F6727E">
        <w:t xml:space="preserve">(fluticasone furoate), </w:t>
      </w:r>
      <w:r w:rsidR="009E6612">
        <w:t xml:space="preserve">a </w:t>
      </w:r>
      <w:r w:rsidR="008B1C0C" w:rsidRPr="00F6727E">
        <w:t>LAMA</w:t>
      </w:r>
      <w:r w:rsidR="009C1061" w:rsidRPr="00F6727E">
        <w:t xml:space="preserve"> (umeclidinium), and a </w:t>
      </w:r>
      <w:r w:rsidR="008B1C0C" w:rsidRPr="00F6727E">
        <w:t>LABA</w:t>
      </w:r>
      <w:r w:rsidR="009C1061" w:rsidRPr="00F6727E">
        <w:t xml:space="preserve"> (vilanterol). This combination acts through complementary bronchodilation and anti-inflammatory mechanisms of action, delivered once d</w:t>
      </w:r>
      <w:r w:rsidR="008E3519" w:rsidRPr="00F6727E">
        <w:t>aily through an Ellipta device.</w:t>
      </w:r>
    </w:p>
    <w:p w14:paraId="1A845AA6" w14:textId="565CF75D" w:rsidR="008E7846" w:rsidRPr="00F6727E" w:rsidRDefault="00386150" w:rsidP="008E7846">
      <w:pPr>
        <w:pStyle w:val="Heading3"/>
      </w:pPr>
      <w:bookmarkStart w:id="17" w:name="_Toc314842485"/>
      <w:bookmarkStart w:id="18" w:name="_Toc247691504"/>
      <w:bookmarkStart w:id="19" w:name="_Toc83895475"/>
      <w:r w:rsidRPr="00F6727E">
        <w:t>Regulatory s</w:t>
      </w:r>
      <w:r w:rsidR="008E7846" w:rsidRPr="00F6727E">
        <w:t>tatus</w:t>
      </w:r>
      <w:bookmarkEnd w:id="17"/>
      <w:bookmarkEnd w:id="18"/>
      <w:bookmarkEnd w:id="19"/>
    </w:p>
    <w:p w14:paraId="629657D6" w14:textId="5A4255EF" w:rsidR="00006FAB" w:rsidRPr="00F6727E" w:rsidRDefault="00006FAB" w:rsidP="00006FAB">
      <w:bookmarkStart w:id="20" w:name="_Toc247691505"/>
      <w:bookmarkStart w:id="21" w:name="_Toc314842486"/>
      <w:r w:rsidRPr="00F6727E">
        <w:t>The product received initial registration on the Australian Register of Therapeutic Goods (ARTG) on</w:t>
      </w:r>
      <w:r w:rsidR="00D53EA3" w:rsidRPr="00F6727E">
        <w:t xml:space="preserve"> 16 January 2018</w:t>
      </w:r>
      <w:r w:rsidR="001B481B" w:rsidRPr="00F6727E">
        <w:t>;</w:t>
      </w:r>
      <w:r w:rsidR="00D53EA3" w:rsidRPr="00F6727E">
        <w:rPr>
          <w:rStyle w:val="FootnoteReference"/>
        </w:rPr>
        <w:footnoteReference w:id="7"/>
      </w:r>
      <w:r w:rsidR="001B481B" w:rsidRPr="00F6727E">
        <w:t xml:space="preserve"> for the below indication:</w:t>
      </w:r>
    </w:p>
    <w:p w14:paraId="28505960" w14:textId="77777777" w:rsidR="001B481B" w:rsidRPr="00F6727E" w:rsidRDefault="001B481B" w:rsidP="001B481B">
      <w:pPr>
        <w:ind w:left="720"/>
        <w:rPr>
          <w:i/>
        </w:rPr>
      </w:pPr>
      <w:r w:rsidRPr="00F6727E">
        <w:rPr>
          <w:i/>
        </w:rPr>
        <w:t>COPD</w:t>
      </w:r>
    </w:p>
    <w:p w14:paraId="2D817EFC" w14:textId="77777777" w:rsidR="001B481B" w:rsidRPr="00F6727E" w:rsidRDefault="001B481B" w:rsidP="001B481B">
      <w:pPr>
        <w:ind w:left="720"/>
        <w:rPr>
          <w:i/>
        </w:rPr>
      </w:pPr>
      <w:proofErr w:type="spellStart"/>
      <w:r w:rsidRPr="00F6727E">
        <w:rPr>
          <w:i/>
        </w:rPr>
        <w:t>Trelegy</w:t>
      </w:r>
      <w:proofErr w:type="spellEnd"/>
      <w:r w:rsidRPr="00F6727E">
        <w:rPr>
          <w:i/>
        </w:rPr>
        <w:t xml:space="preserve"> Ellipta </w:t>
      </w:r>
      <w:r w:rsidR="00D53EA3" w:rsidRPr="00F6727E">
        <w:rPr>
          <w:i/>
        </w:rPr>
        <w:t>is indicated for the maintenance treatment of adults with moderate to severe COPD who require treatment with LAMA+LABA+ICS.</w:t>
      </w:r>
    </w:p>
    <w:p w14:paraId="5BF14B7B" w14:textId="77777777" w:rsidR="00D53EA3" w:rsidRPr="00F6727E" w:rsidRDefault="001B481B" w:rsidP="001B481B">
      <w:pPr>
        <w:ind w:left="720"/>
        <w:rPr>
          <w:i/>
        </w:rPr>
      </w:pPr>
      <w:proofErr w:type="spellStart"/>
      <w:r w:rsidRPr="00F6727E">
        <w:rPr>
          <w:i/>
        </w:rPr>
        <w:t>Trelegy</w:t>
      </w:r>
      <w:proofErr w:type="spellEnd"/>
      <w:r w:rsidRPr="00F6727E">
        <w:rPr>
          <w:i/>
        </w:rPr>
        <w:t xml:space="preserve"> Ellipta </w:t>
      </w:r>
      <w:r w:rsidR="00D53EA3" w:rsidRPr="00F6727E">
        <w:rPr>
          <w:i/>
        </w:rPr>
        <w:t>is not indicated for the initiation of therapy in COPD.</w:t>
      </w:r>
    </w:p>
    <w:p w14:paraId="52E9A7E4" w14:textId="13ECD07D" w:rsidR="00006FAB" w:rsidRPr="00F6727E" w:rsidRDefault="00006FAB" w:rsidP="00006FAB">
      <w:r w:rsidRPr="00F6727E">
        <w:t>At the time the TGA considered this application, similar application</w:t>
      </w:r>
      <w:r w:rsidR="0006258C" w:rsidRPr="00F6727E">
        <w:t>s</w:t>
      </w:r>
      <w:r w:rsidRPr="00F6727E">
        <w:t xml:space="preserve"> had been approved </w:t>
      </w:r>
      <w:r w:rsidR="0006258C" w:rsidRPr="00F6727E">
        <w:t>in the United States of America (USA) on 9 September 2020</w:t>
      </w:r>
      <w:r w:rsidR="009E6612">
        <w:t>;</w:t>
      </w:r>
      <w:r w:rsidR="0006258C" w:rsidRPr="00F6727E">
        <w:t xml:space="preserve"> and</w:t>
      </w:r>
      <w:r w:rsidR="009E6612">
        <w:t xml:space="preserve"> in</w:t>
      </w:r>
      <w:r w:rsidR="0006258C" w:rsidRPr="00F6727E">
        <w:t xml:space="preserve"> Japan on 27 November 2020). A similar application had been rejected by the </w:t>
      </w:r>
      <w:r w:rsidR="009E6612">
        <w:t xml:space="preserve">European Medicines Agency (EMA) in the </w:t>
      </w:r>
      <w:r w:rsidR="0006258C" w:rsidRPr="00F6727E">
        <w:t>European Union (EU) on 25 February 2021</w:t>
      </w:r>
      <w:bookmarkStart w:id="22" w:name="_Ref73532948"/>
      <w:r w:rsidR="009E6612">
        <w:t>.</w:t>
      </w:r>
      <w:r w:rsidR="00BF4A92" w:rsidRPr="00F6727E">
        <w:rPr>
          <w:rStyle w:val="FootnoteReference"/>
        </w:rPr>
        <w:footnoteReference w:id="8"/>
      </w:r>
      <w:bookmarkEnd w:id="22"/>
      <w:r w:rsidR="0006258C" w:rsidRPr="00F6727E">
        <w:t xml:space="preserve"> A similar application </w:t>
      </w:r>
      <w:r w:rsidRPr="00F6727E">
        <w:t xml:space="preserve">was under consideration in </w:t>
      </w:r>
      <w:r w:rsidR="0006258C" w:rsidRPr="00F6727E">
        <w:t xml:space="preserve">Canada </w:t>
      </w:r>
      <w:r w:rsidRPr="00F6727E">
        <w:t>(</w:t>
      </w:r>
      <w:r w:rsidR="00BF4A92" w:rsidRPr="00F6727E">
        <w:t>submitted on 28 May 2020</w:t>
      </w:r>
      <w:r w:rsidRPr="00F6727E">
        <w:t>).</w:t>
      </w:r>
    </w:p>
    <w:p w14:paraId="68DAB97B" w14:textId="6BEBFC4A" w:rsidR="001B481B" w:rsidRPr="00F6727E" w:rsidRDefault="001B481B" w:rsidP="00006FAB">
      <w:r w:rsidRPr="00F6727E">
        <w:fldChar w:fldCharType="begin"/>
      </w:r>
      <w:r w:rsidRPr="00F6727E">
        <w:instrText xml:space="preserve"> REF _Ref73531795 \h </w:instrText>
      </w:r>
      <w:r w:rsidR="00F6727E">
        <w:instrText xml:space="preserve"> \* MERGEFORMAT </w:instrText>
      </w:r>
      <w:r w:rsidRPr="00F6727E">
        <w:fldChar w:fldCharType="separate"/>
      </w:r>
      <w:r w:rsidR="00501251" w:rsidRPr="00F6727E">
        <w:t xml:space="preserve">Table </w:t>
      </w:r>
      <w:r w:rsidR="00501251">
        <w:rPr>
          <w:noProof/>
        </w:rPr>
        <w:t>1</w:t>
      </w:r>
      <w:r w:rsidRPr="00F6727E">
        <w:fldChar w:fldCharType="end"/>
      </w:r>
      <w:r w:rsidRPr="00F6727E">
        <w:t>, shown below, summarises these applications and provides the indications where approved.</w:t>
      </w:r>
    </w:p>
    <w:p w14:paraId="2A0A93DA" w14:textId="05C1BDBF" w:rsidR="00324E45" w:rsidRPr="00F6727E" w:rsidRDefault="00324E45" w:rsidP="00324E45">
      <w:pPr>
        <w:pStyle w:val="TableTitle"/>
      </w:pPr>
      <w:bookmarkStart w:id="23" w:name="_Ref73531795"/>
      <w:r w:rsidRPr="00F6727E">
        <w:lastRenderedPageBreak/>
        <w:t xml:space="preserve">Table </w:t>
      </w:r>
      <w:r w:rsidR="00A759BC">
        <w:fldChar w:fldCharType="begin"/>
      </w:r>
      <w:r w:rsidR="00A759BC">
        <w:instrText xml:space="preserve"> SEQ Table \* ARABIC </w:instrText>
      </w:r>
      <w:r w:rsidR="00A759BC">
        <w:fldChar w:fldCharType="separate"/>
      </w:r>
      <w:r w:rsidR="00501251">
        <w:rPr>
          <w:noProof/>
        </w:rPr>
        <w:t>1</w:t>
      </w:r>
      <w:r w:rsidR="00A759BC">
        <w:rPr>
          <w:noProof/>
        </w:rPr>
        <w:fldChar w:fldCharType="end"/>
      </w:r>
      <w:bookmarkEnd w:id="23"/>
      <w:r w:rsidRPr="00F6727E">
        <w:t>: International regulatory status</w:t>
      </w:r>
    </w:p>
    <w:tbl>
      <w:tblPr>
        <w:tblStyle w:val="TableTGAblue"/>
        <w:tblW w:w="0" w:type="auto"/>
        <w:tblLayout w:type="fixed"/>
        <w:tblLook w:val="04A0" w:firstRow="1" w:lastRow="0" w:firstColumn="1" w:lastColumn="0" w:noHBand="0" w:noVBand="1"/>
      </w:tblPr>
      <w:tblGrid>
        <w:gridCol w:w="1255"/>
        <w:gridCol w:w="2340"/>
        <w:gridCol w:w="2471"/>
        <w:gridCol w:w="2428"/>
      </w:tblGrid>
      <w:tr w:rsidR="00006FAB" w:rsidRPr="00F6727E" w14:paraId="09A4DE39" w14:textId="77777777" w:rsidTr="009A3765">
        <w:trPr>
          <w:cnfStyle w:val="100000000000" w:firstRow="1" w:lastRow="0" w:firstColumn="0" w:lastColumn="0" w:oddVBand="0" w:evenVBand="0" w:oddHBand="0" w:evenHBand="0" w:firstRowFirstColumn="0" w:firstRowLastColumn="0" w:lastRowFirstColumn="0" w:lastRowLastColumn="0"/>
        </w:trPr>
        <w:tc>
          <w:tcPr>
            <w:tcW w:w="1255" w:type="dxa"/>
            <w:tcBorders>
              <w:top w:val="single" w:sz="4" w:space="0" w:color="auto"/>
              <w:left w:val="single" w:sz="4" w:space="0" w:color="auto"/>
              <w:bottom w:val="single" w:sz="4" w:space="0" w:color="auto"/>
              <w:right w:val="single" w:sz="4" w:space="0" w:color="auto"/>
            </w:tcBorders>
          </w:tcPr>
          <w:p w14:paraId="72D6E8CF" w14:textId="77777777" w:rsidR="00006FAB" w:rsidRPr="009A3765" w:rsidRDefault="00006FAB" w:rsidP="009A3765">
            <w:pPr>
              <w:ind w:left="0" w:right="173"/>
              <w:rPr>
                <w:sz w:val="20"/>
              </w:rPr>
            </w:pPr>
            <w:r w:rsidRPr="009A3765">
              <w:rPr>
                <w:sz w:val="20"/>
              </w:rPr>
              <w:t>Region</w:t>
            </w:r>
          </w:p>
        </w:tc>
        <w:tc>
          <w:tcPr>
            <w:tcW w:w="2340" w:type="dxa"/>
            <w:tcBorders>
              <w:top w:val="single" w:sz="4" w:space="0" w:color="auto"/>
              <w:left w:val="single" w:sz="4" w:space="0" w:color="auto"/>
              <w:bottom w:val="single" w:sz="4" w:space="0" w:color="auto"/>
              <w:right w:val="single" w:sz="4" w:space="0" w:color="auto"/>
            </w:tcBorders>
          </w:tcPr>
          <w:p w14:paraId="39AE4C81" w14:textId="77777777" w:rsidR="00006FAB" w:rsidRPr="009A3765" w:rsidRDefault="00006FAB" w:rsidP="009A3765">
            <w:pPr>
              <w:ind w:left="0" w:right="173"/>
              <w:rPr>
                <w:sz w:val="20"/>
              </w:rPr>
            </w:pPr>
            <w:r w:rsidRPr="009A3765">
              <w:rPr>
                <w:sz w:val="20"/>
              </w:rPr>
              <w:t>Submission date</w:t>
            </w:r>
          </w:p>
        </w:tc>
        <w:tc>
          <w:tcPr>
            <w:tcW w:w="2471" w:type="dxa"/>
            <w:tcBorders>
              <w:top w:val="single" w:sz="4" w:space="0" w:color="auto"/>
              <w:left w:val="single" w:sz="4" w:space="0" w:color="auto"/>
              <w:bottom w:val="single" w:sz="4" w:space="0" w:color="auto"/>
              <w:right w:val="single" w:sz="4" w:space="0" w:color="auto"/>
            </w:tcBorders>
          </w:tcPr>
          <w:p w14:paraId="6EB9BBB7" w14:textId="77777777" w:rsidR="00006FAB" w:rsidRPr="009A3765" w:rsidRDefault="00006FAB" w:rsidP="009A3765">
            <w:pPr>
              <w:ind w:left="0" w:right="173"/>
              <w:rPr>
                <w:sz w:val="20"/>
              </w:rPr>
            </w:pPr>
            <w:r w:rsidRPr="009A3765">
              <w:rPr>
                <w:sz w:val="20"/>
              </w:rPr>
              <w:t>Status</w:t>
            </w:r>
          </w:p>
        </w:tc>
        <w:tc>
          <w:tcPr>
            <w:tcW w:w="2428" w:type="dxa"/>
            <w:tcBorders>
              <w:top w:val="single" w:sz="4" w:space="0" w:color="auto"/>
              <w:left w:val="single" w:sz="4" w:space="0" w:color="auto"/>
              <w:bottom w:val="single" w:sz="4" w:space="0" w:color="auto"/>
              <w:right w:val="single" w:sz="4" w:space="0" w:color="auto"/>
            </w:tcBorders>
          </w:tcPr>
          <w:p w14:paraId="666346ED" w14:textId="77777777" w:rsidR="00006FAB" w:rsidRPr="009A3765" w:rsidRDefault="00006FAB" w:rsidP="009A3765">
            <w:pPr>
              <w:ind w:left="0" w:right="173"/>
              <w:rPr>
                <w:sz w:val="20"/>
              </w:rPr>
            </w:pPr>
            <w:r w:rsidRPr="009A3765">
              <w:rPr>
                <w:sz w:val="20"/>
              </w:rPr>
              <w:t>Approved indications</w:t>
            </w:r>
          </w:p>
        </w:tc>
      </w:tr>
      <w:tr w:rsidR="00006FAB" w:rsidRPr="00F6727E" w14:paraId="5F48C75D" w14:textId="77777777" w:rsidTr="009A3765">
        <w:tc>
          <w:tcPr>
            <w:tcW w:w="1255" w:type="dxa"/>
            <w:tcBorders>
              <w:top w:val="single" w:sz="4" w:space="0" w:color="auto"/>
            </w:tcBorders>
          </w:tcPr>
          <w:p w14:paraId="14EDE84F" w14:textId="1F192D6F" w:rsidR="00006FAB" w:rsidRPr="009A3765" w:rsidRDefault="0006258C" w:rsidP="009A3765">
            <w:pPr>
              <w:ind w:left="0" w:right="173"/>
              <w:rPr>
                <w:sz w:val="20"/>
              </w:rPr>
            </w:pPr>
            <w:r w:rsidRPr="009A3765">
              <w:rPr>
                <w:sz w:val="20"/>
              </w:rPr>
              <w:t xml:space="preserve">United </w:t>
            </w:r>
            <w:r w:rsidR="0041455D">
              <w:rPr>
                <w:sz w:val="20"/>
              </w:rPr>
              <w:t>S</w:t>
            </w:r>
            <w:r w:rsidRPr="009A3765">
              <w:rPr>
                <w:sz w:val="20"/>
              </w:rPr>
              <w:t>tates of America</w:t>
            </w:r>
          </w:p>
        </w:tc>
        <w:tc>
          <w:tcPr>
            <w:tcW w:w="2340" w:type="dxa"/>
            <w:tcBorders>
              <w:top w:val="single" w:sz="4" w:space="0" w:color="auto"/>
            </w:tcBorders>
          </w:tcPr>
          <w:p w14:paraId="05F5C9A3" w14:textId="77777777" w:rsidR="00006FAB" w:rsidRPr="009A3765" w:rsidRDefault="001B481B" w:rsidP="009A3765">
            <w:pPr>
              <w:ind w:left="0" w:right="173"/>
              <w:rPr>
                <w:sz w:val="20"/>
              </w:rPr>
            </w:pPr>
            <w:r w:rsidRPr="009A3765">
              <w:rPr>
                <w:sz w:val="20"/>
              </w:rPr>
              <w:t>26 September</w:t>
            </w:r>
            <w:r w:rsidR="0006258C" w:rsidRPr="009A3765">
              <w:rPr>
                <w:sz w:val="20"/>
              </w:rPr>
              <w:t xml:space="preserve"> </w:t>
            </w:r>
            <w:r w:rsidRPr="009A3765">
              <w:rPr>
                <w:sz w:val="20"/>
              </w:rPr>
              <w:t>2019</w:t>
            </w:r>
          </w:p>
        </w:tc>
        <w:tc>
          <w:tcPr>
            <w:tcW w:w="2471" w:type="dxa"/>
            <w:tcBorders>
              <w:top w:val="single" w:sz="4" w:space="0" w:color="auto"/>
            </w:tcBorders>
          </w:tcPr>
          <w:p w14:paraId="414528C3" w14:textId="63E77AB6" w:rsidR="00006FAB" w:rsidRPr="009A3765" w:rsidRDefault="001B481B" w:rsidP="009A3765">
            <w:pPr>
              <w:ind w:left="0" w:right="173"/>
              <w:rPr>
                <w:sz w:val="20"/>
              </w:rPr>
            </w:pPr>
            <w:r w:rsidRPr="009A3765">
              <w:rPr>
                <w:sz w:val="20"/>
              </w:rPr>
              <w:t>Approved on 9</w:t>
            </w:r>
            <w:r w:rsidR="009E6612" w:rsidRPr="009A3765">
              <w:rPr>
                <w:sz w:val="20"/>
              </w:rPr>
              <w:t> </w:t>
            </w:r>
            <w:r w:rsidRPr="009A3765">
              <w:rPr>
                <w:sz w:val="20"/>
              </w:rPr>
              <w:t>September</w:t>
            </w:r>
            <w:r w:rsidR="009E6612">
              <w:rPr>
                <w:sz w:val="20"/>
              </w:rPr>
              <w:t> </w:t>
            </w:r>
            <w:r w:rsidRPr="009A3765">
              <w:rPr>
                <w:sz w:val="20"/>
              </w:rPr>
              <w:t>2020</w:t>
            </w:r>
          </w:p>
        </w:tc>
        <w:tc>
          <w:tcPr>
            <w:tcW w:w="2428" w:type="dxa"/>
            <w:tcBorders>
              <w:top w:val="single" w:sz="4" w:space="0" w:color="auto"/>
            </w:tcBorders>
          </w:tcPr>
          <w:p w14:paraId="1539A3AC" w14:textId="77777777" w:rsidR="00006FAB" w:rsidRPr="009A3765" w:rsidRDefault="001B481B" w:rsidP="009A3765">
            <w:pPr>
              <w:ind w:left="0" w:right="173"/>
              <w:rPr>
                <w:i/>
                <w:sz w:val="20"/>
              </w:rPr>
            </w:pPr>
            <w:proofErr w:type="spellStart"/>
            <w:r w:rsidRPr="009A3765">
              <w:rPr>
                <w:i/>
                <w:sz w:val="20"/>
              </w:rPr>
              <w:t>Trelegy</w:t>
            </w:r>
            <w:proofErr w:type="spellEnd"/>
            <w:r w:rsidRPr="009A3765">
              <w:rPr>
                <w:i/>
                <w:sz w:val="20"/>
              </w:rPr>
              <w:t xml:space="preserve"> Ellipta is indicated for the long term, once-daily, maintenance treatment of asthma in patients ages 18 years and older.</w:t>
            </w:r>
          </w:p>
        </w:tc>
      </w:tr>
      <w:tr w:rsidR="00006FAB" w:rsidRPr="00F6727E" w14:paraId="424375A5" w14:textId="77777777" w:rsidTr="009A3765">
        <w:tc>
          <w:tcPr>
            <w:tcW w:w="1255" w:type="dxa"/>
          </w:tcPr>
          <w:p w14:paraId="06151860" w14:textId="77777777" w:rsidR="00006FAB" w:rsidRPr="009A3765" w:rsidRDefault="001B481B" w:rsidP="009A3765">
            <w:pPr>
              <w:ind w:left="0" w:right="173"/>
              <w:rPr>
                <w:sz w:val="20"/>
              </w:rPr>
            </w:pPr>
            <w:r w:rsidRPr="009A3765">
              <w:rPr>
                <w:sz w:val="20"/>
              </w:rPr>
              <w:t>European</w:t>
            </w:r>
            <w:r w:rsidR="0006258C" w:rsidRPr="009A3765">
              <w:rPr>
                <w:sz w:val="20"/>
              </w:rPr>
              <w:t xml:space="preserve"> </w:t>
            </w:r>
            <w:r w:rsidRPr="009A3765">
              <w:rPr>
                <w:sz w:val="20"/>
              </w:rPr>
              <w:t>Union</w:t>
            </w:r>
          </w:p>
        </w:tc>
        <w:tc>
          <w:tcPr>
            <w:tcW w:w="2340" w:type="dxa"/>
          </w:tcPr>
          <w:p w14:paraId="7254C954" w14:textId="77777777" w:rsidR="00006FAB" w:rsidRPr="009A3765" w:rsidRDefault="001B481B" w:rsidP="009A3765">
            <w:pPr>
              <w:ind w:left="0" w:right="173"/>
              <w:rPr>
                <w:sz w:val="20"/>
              </w:rPr>
            </w:pPr>
            <w:r w:rsidRPr="009A3765">
              <w:rPr>
                <w:sz w:val="20"/>
              </w:rPr>
              <w:t>27 January 2020</w:t>
            </w:r>
          </w:p>
        </w:tc>
        <w:tc>
          <w:tcPr>
            <w:tcW w:w="2471" w:type="dxa"/>
          </w:tcPr>
          <w:p w14:paraId="39BC8D08" w14:textId="573AA256" w:rsidR="00006FAB" w:rsidRPr="009A3765" w:rsidRDefault="0006258C" w:rsidP="009A3765">
            <w:pPr>
              <w:ind w:left="0" w:right="173"/>
              <w:rPr>
                <w:sz w:val="20"/>
              </w:rPr>
            </w:pPr>
            <w:r w:rsidRPr="009A3765">
              <w:rPr>
                <w:sz w:val="20"/>
              </w:rPr>
              <w:t xml:space="preserve">Rejected on </w:t>
            </w:r>
            <w:r w:rsidR="001B481B" w:rsidRPr="009A3765">
              <w:rPr>
                <w:sz w:val="20"/>
              </w:rPr>
              <w:t>25</w:t>
            </w:r>
            <w:r w:rsidR="009E6612" w:rsidRPr="009A3765">
              <w:rPr>
                <w:sz w:val="20"/>
              </w:rPr>
              <w:t> </w:t>
            </w:r>
            <w:r w:rsidR="001B481B" w:rsidRPr="009A3765">
              <w:rPr>
                <w:sz w:val="20"/>
              </w:rPr>
              <w:t>February</w:t>
            </w:r>
            <w:r w:rsidR="009E6612">
              <w:rPr>
                <w:sz w:val="20"/>
              </w:rPr>
              <w:t> </w:t>
            </w:r>
            <w:r w:rsidR="001B481B" w:rsidRPr="009A3765">
              <w:rPr>
                <w:sz w:val="20"/>
              </w:rPr>
              <w:t>2021</w:t>
            </w:r>
            <w:r w:rsidR="00BF4A92" w:rsidRPr="009A3765">
              <w:rPr>
                <w:sz w:val="20"/>
                <w:vertAlign w:val="superscript"/>
              </w:rPr>
              <w:fldChar w:fldCharType="begin"/>
            </w:r>
            <w:r w:rsidR="00BF4A92" w:rsidRPr="009A3765">
              <w:rPr>
                <w:sz w:val="20"/>
                <w:vertAlign w:val="superscript"/>
              </w:rPr>
              <w:instrText xml:space="preserve"> NOTEREF _Ref73532948 \h  \* MERGEFORMAT </w:instrText>
            </w:r>
            <w:r w:rsidR="00BF4A92" w:rsidRPr="009A3765">
              <w:rPr>
                <w:sz w:val="20"/>
                <w:vertAlign w:val="superscript"/>
              </w:rPr>
            </w:r>
            <w:r w:rsidR="00BF4A92" w:rsidRPr="009A3765">
              <w:rPr>
                <w:sz w:val="20"/>
                <w:vertAlign w:val="superscript"/>
              </w:rPr>
              <w:fldChar w:fldCharType="separate"/>
            </w:r>
            <w:r w:rsidR="00501251">
              <w:rPr>
                <w:sz w:val="20"/>
                <w:vertAlign w:val="superscript"/>
              </w:rPr>
              <w:t>8</w:t>
            </w:r>
            <w:r w:rsidR="00BF4A92" w:rsidRPr="009A3765">
              <w:rPr>
                <w:sz w:val="20"/>
                <w:vertAlign w:val="superscript"/>
              </w:rPr>
              <w:fldChar w:fldCharType="end"/>
            </w:r>
          </w:p>
        </w:tc>
        <w:tc>
          <w:tcPr>
            <w:tcW w:w="2428" w:type="dxa"/>
          </w:tcPr>
          <w:p w14:paraId="117B4CF1" w14:textId="77777777" w:rsidR="00006FAB" w:rsidRPr="009A3765" w:rsidRDefault="0006258C" w:rsidP="009A3765">
            <w:pPr>
              <w:ind w:left="0" w:right="173"/>
              <w:rPr>
                <w:sz w:val="20"/>
              </w:rPr>
            </w:pPr>
            <w:r w:rsidRPr="009A3765">
              <w:rPr>
                <w:sz w:val="20"/>
              </w:rPr>
              <w:t>Not applicable</w:t>
            </w:r>
          </w:p>
        </w:tc>
      </w:tr>
      <w:tr w:rsidR="001B481B" w:rsidRPr="00F6727E" w14:paraId="218B16E1" w14:textId="77777777" w:rsidTr="009A3765">
        <w:tc>
          <w:tcPr>
            <w:tcW w:w="1255" w:type="dxa"/>
          </w:tcPr>
          <w:p w14:paraId="31050858" w14:textId="77777777" w:rsidR="001B481B" w:rsidRPr="009A3765" w:rsidRDefault="001B481B" w:rsidP="009A3765">
            <w:pPr>
              <w:ind w:left="0" w:right="173"/>
              <w:rPr>
                <w:sz w:val="20"/>
              </w:rPr>
            </w:pPr>
            <w:r w:rsidRPr="009A3765">
              <w:rPr>
                <w:sz w:val="20"/>
              </w:rPr>
              <w:t>Japan</w:t>
            </w:r>
          </w:p>
        </w:tc>
        <w:tc>
          <w:tcPr>
            <w:tcW w:w="2340" w:type="dxa"/>
          </w:tcPr>
          <w:p w14:paraId="291DE3CC" w14:textId="77777777" w:rsidR="001B481B" w:rsidRPr="009A3765" w:rsidRDefault="001B481B" w:rsidP="009A3765">
            <w:pPr>
              <w:ind w:left="0" w:right="173"/>
              <w:rPr>
                <w:sz w:val="20"/>
              </w:rPr>
            </w:pPr>
            <w:r w:rsidRPr="009A3765">
              <w:rPr>
                <w:sz w:val="20"/>
              </w:rPr>
              <w:t>29 November</w:t>
            </w:r>
            <w:r w:rsidR="0006258C" w:rsidRPr="009A3765">
              <w:rPr>
                <w:sz w:val="20"/>
              </w:rPr>
              <w:t xml:space="preserve"> </w:t>
            </w:r>
            <w:r w:rsidRPr="009A3765">
              <w:rPr>
                <w:sz w:val="20"/>
              </w:rPr>
              <w:t>2019</w:t>
            </w:r>
          </w:p>
        </w:tc>
        <w:tc>
          <w:tcPr>
            <w:tcW w:w="2471" w:type="dxa"/>
          </w:tcPr>
          <w:p w14:paraId="7AB8DC0D" w14:textId="20A94EDD" w:rsidR="001B481B" w:rsidRPr="009A3765" w:rsidRDefault="001B481B" w:rsidP="009A3765">
            <w:pPr>
              <w:ind w:left="0" w:right="173"/>
              <w:rPr>
                <w:sz w:val="20"/>
              </w:rPr>
            </w:pPr>
            <w:r w:rsidRPr="009A3765">
              <w:rPr>
                <w:sz w:val="20"/>
              </w:rPr>
              <w:t>Approved on 27</w:t>
            </w:r>
            <w:r w:rsidR="009E6612" w:rsidRPr="009A3765">
              <w:rPr>
                <w:sz w:val="20"/>
              </w:rPr>
              <w:t> </w:t>
            </w:r>
            <w:r w:rsidRPr="009A3765">
              <w:rPr>
                <w:sz w:val="20"/>
              </w:rPr>
              <w:t>November</w:t>
            </w:r>
            <w:r w:rsidR="009E6612">
              <w:rPr>
                <w:sz w:val="20"/>
              </w:rPr>
              <w:t> </w:t>
            </w:r>
            <w:r w:rsidRPr="009A3765">
              <w:rPr>
                <w:sz w:val="20"/>
              </w:rPr>
              <w:t>2020</w:t>
            </w:r>
          </w:p>
        </w:tc>
        <w:tc>
          <w:tcPr>
            <w:tcW w:w="2428" w:type="dxa"/>
          </w:tcPr>
          <w:p w14:paraId="20DEE1D9" w14:textId="1EB225FF" w:rsidR="001B481B" w:rsidRPr="009A3765" w:rsidRDefault="001B481B" w:rsidP="009A3765">
            <w:pPr>
              <w:ind w:left="0" w:right="173"/>
              <w:rPr>
                <w:i/>
                <w:sz w:val="20"/>
              </w:rPr>
            </w:pPr>
            <w:r w:rsidRPr="009A3765">
              <w:rPr>
                <w:i/>
                <w:sz w:val="20"/>
              </w:rPr>
              <w:t>Bronchial asthma</w:t>
            </w:r>
            <w:r w:rsidR="0041455D">
              <w:rPr>
                <w:i/>
                <w:sz w:val="20"/>
              </w:rPr>
              <w:t> (in </w:t>
            </w:r>
            <w:r w:rsidRPr="009A3765">
              <w:rPr>
                <w:i/>
                <w:sz w:val="20"/>
              </w:rPr>
              <w:t>the case where concurrent use of inhaled corticosteroid, long-acting inhaled beta2-agonist and long-acting inhaled anticholinergic drug is required).</w:t>
            </w:r>
          </w:p>
        </w:tc>
      </w:tr>
      <w:tr w:rsidR="001B481B" w:rsidRPr="00F6727E" w14:paraId="6314931E" w14:textId="77777777" w:rsidTr="009A3765">
        <w:tc>
          <w:tcPr>
            <w:tcW w:w="1255" w:type="dxa"/>
          </w:tcPr>
          <w:p w14:paraId="6FF96F6E" w14:textId="77777777" w:rsidR="001B481B" w:rsidRPr="009A3765" w:rsidRDefault="001B481B" w:rsidP="009A3765">
            <w:pPr>
              <w:ind w:left="0" w:right="173"/>
              <w:rPr>
                <w:sz w:val="20"/>
              </w:rPr>
            </w:pPr>
            <w:r w:rsidRPr="009A3765">
              <w:rPr>
                <w:sz w:val="20"/>
              </w:rPr>
              <w:t>Canada</w:t>
            </w:r>
          </w:p>
        </w:tc>
        <w:tc>
          <w:tcPr>
            <w:tcW w:w="2340" w:type="dxa"/>
          </w:tcPr>
          <w:p w14:paraId="4F34C9EB" w14:textId="77777777" w:rsidR="001B481B" w:rsidRPr="009A3765" w:rsidRDefault="001B481B" w:rsidP="009A3765">
            <w:pPr>
              <w:ind w:left="0" w:right="173"/>
              <w:rPr>
                <w:sz w:val="20"/>
              </w:rPr>
            </w:pPr>
            <w:r w:rsidRPr="009A3765">
              <w:rPr>
                <w:sz w:val="20"/>
              </w:rPr>
              <w:t>28 May 2020</w:t>
            </w:r>
          </w:p>
        </w:tc>
        <w:tc>
          <w:tcPr>
            <w:tcW w:w="2471" w:type="dxa"/>
          </w:tcPr>
          <w:p w14:paraId="3733190F" w14:textId="77777777" w:rsidR="001B481B" w:rsidRPr="009A3765" w:rsidRDefault="0006258C" w:rsidP="009A3765">
            <w:pPr>
              <w:ind w:left="0" w:right="173"/>
              <w:rPr>
                <w:sz w:val="20"/>
              </w:rPr>
            </w:pPr>
            <w:r w:rsidRPr="009A3765">
              <w:rPr>
                <w:sz w:val="20"/>
              </w:rPr>
              <w:t>Under consideration</w:t>
            </w:r>
          </w:p>
        </w:tc>
        <w:tc>
          <w:tcPr>
            <w:tcW w:w="2428" w:type="dxa"/>
          </w:tcPr>
          <w:p w14:paraId="3E552260" w14:textId="77777777" w:rsidR="001B481B" w:rsidRPr="009A3765" w:rsidRDefault="0006258C" w:rsidP="009A3765">
            <w:pPr>
              <w:ind w:left="0" w:right="173"/>
              <w:rPr>
                <w:sz w:val="20"/>
              </w:rPr>
            </w:pPr>
            <w:r w:rsidRPr="009A3765">
              <w:rPr>
                <w:sz w:val="20"/>
              </w:rPr>
              <w:t>Under consideration</w:t>
            </w:r>
          </w:p>
        </w:tc>
      </w:tr>
    </w:tbl>
    <w:p w14:paraId="275CC25D" w14:textId="77777777" w:rsidR="008E7846" w:rsidRPr="00F6727E" w:rsidRDefault="008E7846" w:rsidP="00940A89">
      <w:pPr>
        <w:pStyle w:val="Heading3"/>
      </w:pPr>
      <w:bookmarkStart w:id="24" w:name="_Toc83895476"/>
      <w:r w:rsidRPr="00F6727E">
        <w:t>Product Information</w:t>
      </w:r>
      <w:bookmarkEnd w:id="20"/>
      <w:bookmarkEnd w:id="21"/>
      <w:bookmarkEnd w:id="24"/>
    </w:p>
    <w:p w14:paraId="2C9922CF" w14:textId="55C03988" w:rsidR="00940A89" w:rsidRPr="00F6727E" w:rsidRDefault="006136D7" w:rsidP="00940A89">
      <w:bookmarkStart w:id="25" w:name="_Toc247691506"/>
      <w:bookmarkStart w:id="26" w:name="_Toc314842487"/>
      <w:r w:rsidRPr="00F6727E">
        <w:t xml:space="preserve">The Product Information (PI) approved with the submission which is described in this AusPAR can be found as Attachment 1. For the most recent PI, please refer to the TGA website at </w:t>
      </w:r>
      <w:r w:rsidR="00441C3F" w:rsidRPr="00F6727E">
        <w:t>&lt;</w:t>
      </w:r>
      <w:hyperlink r:id="rId16" w:history="1">
        <w:r w:rsidR="00441C3F" w:rsidRPr="00F6727E">
          <w:rPr>
            <w:rStyle w:val="Hyperlink"/>
          </w:rPr>
          <w:t>https://www.tga.gov.au/product-information-pi</w:t>
        </w:r>
      </w:hyperlink>
      <w:r w:rsidR="00441C3F" w:rsidRPr="00F6727E">
        <w:t>&gt;</w:t>
      </w:r>
      <w:r w:rsidR="00940A89" w:rsidRPr="00F6727E">
        <w:t>.</w:t>
      </w:r>
    </w:p>
    <w:p w14:paraId="09D91B72" w14:textId="77777777" w:rsidR="00500337" w:rsidRPr="00F6727E" w:rsidRDefault="00500337" w:rsidP="00500337">
      <w:pPr>
        <w:pStyle w:val="Heading2"/>
      </w:pPr>
      <w:bookmarkStart w:id="27" w:name="_Toc504480011"/>
      <w:bookmarkStart w:id="28" w:name="_Toc83895477"/>
      <w:r w:rsidRPr="00F6727E">
        <w:t>II. Registration timeline</w:t>
      </w:r>
      <w:bookmarkEnd w:id="27"/>
      <w:bookmarkEnd w:id="28"/>
    </w:p>
    <w:p w14:paraId="68FE9963" w14:textId="77777777" w:rsidR="00500337" w:rsidRPr="00F6727E" w:rsidRDefault="00500337" w:rsidP="00500337">
      <w:r w:rsidRPr="00F6727E">
        <w:t xml:space="preserve">The following table captures the key steps and dates for this </w:t>
      </w:r>
      <w:proofErr w:type="gramStart"/>
      <w:r w:rsidRPr="00F6727E">
        <w:t>application</w:t>
      </w:r>
      <w:proofErr w:type="gramEnd"/>
      <w:r w:rsidRPr="00F6727E">
        <w:t xml:space="preserve"> and which are detailed and discussed in this AusPAR.</w:t>
      </w:r>
    </w:p>
    <w:p w14:paraId="0A4F54EB" w14:textId="29B1060D" w:rsidR="006A58A8" w:rsidRPr="00F6727E" w:rsidRDefault="0051374D" w:rsidP="0051374D">
      <w:pPr>
        <w:pStyle w:val="TableTitle"/>
      </w:pPr>
      <w:r w:rsidRPr="00F6727E">
        <w:t xml:space="preserve">Table </w:t>
      </w:r>
      <w:r w:rsidR="00A759BC">
        <w:fldChar w:fldCharType="begin"/>
      </w:r>
      <w:r w:rsidR="00A759BC">
        <w:instrText xml:space="preserve"> SEQ Table \* ARABIC </w:instrText>
      </w:r>
      <w:r w:rsidR="00A759BC">
        <w:fldChar w:fldCharType="separate"/>
      </w:r>
      <w:r w:rsidR="00501251">
        <w:rPr>
          <w:noProof/>
        </w:rPr>
        <w:t>2</w:t>
      </w:r>
      <w:r w:rsidR="00A759BC">
        <w:rPr>
          <w:noProof/>
        </w:rPr>
        <w:fldChar w:fldCharType="end"/>
      </w:r>
      <w:r w:rsidR="00006FAB" w:rsidRPr="00F6727E">
        <w:t>:</w:t>
      </w:r>
      <w:r w:rsidR="006A58A8" w:rsidRPr="00F6727E">
        <w:t xml:space="preserve"> Timeline for Submission </w:t>
      </w:r>
      <w:r w:rsidR="008D0D20" w:rsidRPr="00F6727E">
        <w:t>PM-2020-01842-1-5</w:t>
      </w:r>
    </w:p>
    <w:tbl>
      <w:tblPr>
        <w:tblStyle w:val="TableTGAblue"/>
        <w:tblW w:w="0" w:type="auto"/>
        <w:tblLook w:val="04A0" w:firstRow="1" w:lastRow="0" w:firstColumn="1" w:lastColumn="0" w:noHBand="0" w:noVBand="1"/>
      </w:tblPr>
      <w:tblGrid>
        <w:gridCol w:w="6091"/>
        <w:gridCol w:w="2403"/>
      </w:tblGrid>
      <w:tr w:rsidR="00500337" w:rsidRPr="00F6727E" w14:paraId="1A5BDF39" w14:textId="77777777" w:rsidTr="00AD42E2">
        <w:trPr>
          <w:cnfStyle w:val="100000000000" w:firstRow="1" w:lastRow="0" w:firstColumn="0" w:lastColumn="0" w:oddVBand="0" w:evenVBand="0" w:oddHBand="0" w:evenHBand="0" w:firstRowFirstColumn="0" w:firstRowLastColumn="0" w:lastRowFirstColumn="0" w:lastRowLastColumn="0"/>
          <w:cantSplit/>
        </w:trPr>
        <w:tc>
          <w:tcPr>
            <w:tcW w:w="6091" w:type="dxa"/>
            <w:tcBorders>
              <w:top w:val="single" w:sz="4" w:space="0" w:color="auto"/>
              <w:left w:val="single" w:sz="4" w:space="0" w:color="auto"/>
              <w:bottom w:val="single" w:sz="4" w:space="0" w:color="auto"/>
              <w:right w:val="single" w:sz="4" w:space="0" w:color="auto"/>
            </w:tcBorders>
          </w:tcPr>
          <w:p w14:paraId="207968B4" w14:textId="77777777" w:rsidR="00500337" w:rsidRPr="00F6727E" w:rsidRDefault="00500337" w:rsidP="00500337">
            <w:pPr>
              <w:ind w:left="0" w:right="0"/>
            </w:pPr>
            <w:r w:rsidRPr="00F6727E">
              <w:t>Description</w:t>
            </w:r>
          </w:p>
        </w:tc>
        <w:tc>
          <w:tcPr>
            <w:tcW w:w="2403" w:type="dxa"/>
            <w:tcBorders>
              <w:top w:val="single" w:sz="4" w:space="0" w:color="auto"/>
              <w:left w:val="single" w:sz="4" w:space="0" w:color="auto"/>
              <w:bottom w:val="single" w:sz="4" w:space="0" w:color="auto"/>
              <w:right w:val="single" w:sz="4" w:space="0" w:color="auto"/>
            </w:tcBorders>
          </w:tcPr>
          <w:p w14:paraId="6CB2971B" w14:textId="77777777" w:rsidR="00500337" w:rsidRPr="00F6727E" w:rsidRDefault="00500337" w:rsidP="00500337">
            <w:pPr>
              <w:ind w:left="0" w:right="0"/>
            </w:pPr>
            <w:r w:rsidRPr="00F6727E">
              <w:t>Date</w:t>
            </w:r>
          </w:p>
        </w:tc>
      </w:tr>
      <w:tr w:rsidR="00500337" w:rsidRPr="00F6727E" w14:paraId="4931EB76" w14:textId="77777777" w:rsidTr="00AD42E2">
        <w:tc>
          <w:tcPr>
            <w:tcW w:w="6091" w:type="dxa"/>
            <w:tcBorders>
              <w:top w:val="single" w:sz="4" w:space="0" w:color="auto"/>
            </w:tcBorders>
          </w:tcPr>
          <w:p w14:paraId="518F3D49" w14:textId="77777777" w:rsidR="00500337" w:rsidRPr="00F6727E" w:rsidRDefault="00500337" w:rsidP="00500337">
            <w:pPr>
              <w:ind w:left="0" w:right="0"/>
            </w:pPr>
            <w:r w:rsidRPr="00F6727E">
              <w:t>Submission dossier accepted and first round evaluation commenced</w:t>
            </w:r>
          </w:p>
        </w:tc>
        <w:tc>
          <w:tcPr>
            <w:tcW w:w="2403" w:type="dxa"/>
            <w:tcBorders>
              <w:top w:val="single" w:sz="4" w:space="0" w:color="auto"/>
            </w:tcBorders>
          </w:tcPr>
          <w:p w14:paraId="7F2F0078" w14:textId="77777777" w:rsidR="00500337" w:rsidRPr="00F6727E" w:rsidRDefault="00A7653B" w:rsidP="00A7653B">
            <w:pPr>
              <w:ind w:left="0" w:right="0"/>
            </w:pPr>
            <w:r w:rsidRPr="00F6727E">
              <w:t xml:space="preserve">29 May </w:t>
            </w:r>
            <w:r w:rsidR="00BF4A92" w:rsidRPr="00F6727E">
              <w:t>2020</w:t>
            </w:r>
          </w:p>
        </w:tc>
      </w:tr>
      <w:tr w:rsidR="00500337" w:rsidRPr="00F6727E" w14:paraId="094CA447" w14:textId="77777777" w:rsidTr="00AD42E2">
        <w:tc>
          <w:tcPr>
            <w:tcW w:w="6091" w:type="dxa"/>
          </w:tcPr>
          <w:p w14:paraId="1B22EF0D" w14:textId="77777777" w:rsidR="00500337" w:rsidRPr="00F6727E" w:rsidRDefault="00500337" w:rsidP="00500337">
            <w:pPr>
              <w:ind w:left="0" w:right="0"/>
            </w:pPr>
            <w:r w:rsidRPr="00F6727E">
              <w:t>First round evaluation completed</w:t>
            </w:r>
          </w:p>
        </w:tc>
        <w:tc>
          <w:tcPr>
            <w:tcW w:w="2403" w:type="dxa"/>
          </w:tcPr>
          <w:p w14:paraId="26398FC1" w14:textId="77777777" w:rsidR="00500337" w:rsidRPr="00F6727E" w:rsidRDefault="00BF4A92" w:rsidP="00A7653B">
            <w:pPr>
              <w:ind w:left="0" w:right="0"/>
            </w:pPr>
            <w:r w:rsidRPr="00F6727E">
              <w:t>5</w:t>
            </w:r>
            <w:r w:rsidR="00A7653B" w:rsidRPr="00F6727E">
              <w:t xml:space="preserve"> November </w:t>
            </w:r>
            <w:r w:rsidRPr="00F6727E">
              <w:t>2020</w:t>
            </w:r>
          </w:p>
        </w:tc>
      </w:tr>
      <w:tr w:rsidR="00500337" w:rsidRPr="00F6727E" w14:paraId="48010067" w14:textId="77777777" w:rsidTr="00AD42E2">
        <w:tc>
          <w:tcPr>
            <w:tcW w:w="6091" w:type="dxa"/>
          </w:tcPr>
          <w:p w14:paraId="5C46DE01" w14:textId="77777777" w:rsidR="00500337" w:rsidRPr="00F6727E" w:rsidRDefault="00500337" w:rsidP="00500337">
            <w:pPr>
              <w:ind w:left="0" w:right="0"/>
            </w:pPr>
            <w:r w:rsidRPr="00F6727E">
              <w:t>Sponsor provides responses on questions raised in first round evaluation</w:t>
            </w:r>
          </w:p>
        </w:tc>
        <w:tc>
          <w:tcPr>
            <w:tcW w:w="2403" w:type="dxa"/>
          </w:tcPr>
          <w:p w14:paraId="25BFBEA1" w14:textId="77777777" w:rsidR="00500337" w:rsidRPr="00F6727E" w:rsidRDefault="00BF4A92" w:rsidP="00A7653B">
            <w:pPr>
              <w:ind w:left="0" w:right="0"/>
            </w:pPr>
            <w:r w:rsidRPr="00F6727E">
              <w:t>21</w:t>
            </w:r>
            <w:r w:rsidR="00A7653B" w:rsidRPr="00F6727E">
              <w:t xml:space="preserve"> December </w:t>
            </w:r>
            <w:r w:rsidRPr="00F6727E">
              <w:t>2020</w:t>
            </w:r>
          </w:p>
        </w:tc>
      </w:tr>
      <w:tr w:rsidR="00500337" w:rsidRPr="00F6727E" w14:paraId="3EFC2D72" w14:textId="77777777" w:rsidTr="00AD42E2">
        <w:tc>
          <w:tcPr>
            <w:tcW w:w="6091" w:type="dxa"/>
          </w:tcPr>
          <w:p w14:paraId="6979480E" w14:textId="77777777" w:rsidR="00500337" w:rsidRPr="00F6727E" w:rsidRDefault="00500337" w:rsidP="00500337">
            <w:pPr>
              <w:ind w:left="0" w:right="0"/>
            </w:pPr>
            <w:r w:rsidRPr="00F6727E">
              <w:t>Second round evaluation completed</w:t>
            </w:r>
          </w:p>
        </w:tc>
        <w:tc>
          <w:tcPr>
            <w:tcW w:w="2403" w:type="dxa"/>
          </w:tcPr>
          <w:p w14:paraId="6CCE3CB7" w14:textId="77777777" w:rsidR="00500337" w:rsidRPr="00F6727E" w:rsidRDefault="00BF4A92" w:rsidP="00A7653B">
            <w:pPr>
              <w:ind w:left="0" w:right="0"/>
            </w:pPr>
            <w:r w:rsidRPr="00F6727E">
              <w:t>1</w:t>
            </w:r>
            <w:r w:rsidR="00A7653B" w:rsidRPr="00F6727E">
              <w:t xml:space="preserve"> February </w:t>
            </w:r>
            <w:r w:rsidRPr="00F6727E">
              <w:t>2021</w:t>
            </w:r>
          </w:p>
        </w:tc>
      </w:tr>
      <w:tr w:rsidR="00500337" w:rsidRPr="00F6727E" w14:paraId="092F7A7F" w14:textId="77777777" w:rsidTr="00AD42E2">
        <w:tc>
          <w:tcPr>
            <w:tcW w:w="6091" w:type="dxa"/>
          </w:tcPr>
          <w:p w14:paraId="6B6836B8" w14:textId="77777777" w:rsidR="00500337" w:rsidRPr="00F6727E" w:rsidRDefault="00324E45" w:rsidP="00F23D21">
            <w:pPr>
              <w:ind w:left="0" w:right="0"/>
            </w:pPr>
            <w:r w:rsidRPr="00F6727E">
              <w:t>Delegate’s Overall benefit-risk assessment and reques</w:t>
            </w:r>
            <w:r w:rsidR="00F23D21" w:rsidRPr="00F6727E">
              <w:t>t for Advisory Committee advice</w:t>
            </w:r>
          </w:p>
        </w:tc>
        <w:tc>
          <w:tcPr>
            <w:tcW w:w="2403" w:type="dxa"/>
          </w:tcPr>
          <w:p w14:paraId="1808158D" w14:textId="77777777" w:rsidR="00500337" w:rsidRPr="00F6727E" w:rsidRDefault="00BF4A92" w:rsidP="00500337">
            <w:pPr>
              <w:ind w:left="0" w:right="0"/>
            </w:pPr>
            <w:r w:rsidRPr="00F6727E">
              <w:t>15 March 2021</w:t>
            </w:r>
          </w:p>
        </w:tc>
      </w:tr>
      <w:tr w:rsidR="00500337" w:rsidRPr="00F6727E" w14:paraId="51AB6D26" w14:textId="77777777" w:rsidTr="00AD42E2">
        <w:tc>
          <w:tcPr>
            <w:tcW w:w="6091" w:type="dxa"/>
          </w:tcPr>
          <w:p w14:paraId="7D7B1D6B" w14:textId="77777777" w:rsidR="00500337" w:rsidRPr="00F6727E" w:rsidRDefault="00500337" w:rsidP="00500337">
            <w:pPr>
              <w:ind w:left="0" w:right="0"/>
            </w:pPr>
            <w:r w:rsidRPr="00F6727E">
              <w:lastRenderedPageBreak/>
              <w:t>Sponsor’s pre-Advisory Committee response</w:t>
            </w:r>
          </w:p>
        </w:tc>
        <w:tc>
          <w:tcPr>
            <w:tcW w:w="2403" w:type="dxa"/>
          </w:tcPr>
          <w:p w14:paraId="7724966B" w14:textId="77777777" w:rsidR="00500337" w:rsidRPr="00F6727E" w:rsidRDefault="00BF4A92" w:rsidP="00500337">
            <w:pPr>
              <w:ind w:left="0" w:right="0"/>
            </w:pPr>
            <w:r w:rsidRPr="00F6727E">
              <w:t>15 March 2021</w:t>
            </w:r>
          </w:p>
        </w:tc>
      </w:tr>
      <w:tr w:rsidR="00500337" w:rsidRPr="00F6727E" w14:paraId="21D8BAB5" w14:textId="77777777" w:rsidTr="00AD42E2">
        <w:tc>
          <w:tcPr>
            <w:tcW w:w="6091" w:type="dxa"/>
          </w:tcPr>
          <w:p w14:paraId="38872266" w14:textId="77777777" w:rsidR="00500337" w:rsidRPr="00F6727E" w:rsidRDefault="00500337" w:rsidP="00500337">
            <w:pPr>
              <w:ind w:left="0" w:right="0"/>
            </w:pPr>
            <w:r w:rsidRPr="00F6727E">
              <w:t>Advisory Committee meeting</w:t>
            </w:r>
          </w:p>
        </w:tc>
        <w:tc>
          <w:tcPr>
            <w:tcW w:w="2403" w:type="dxa"/>
          </w:tcPr>
          <w:p w14:paraId="333F637E" w14:textId="77777777" w:rsidR="00500337" w:rsidRPr="00F6727E" w:rsidRDefault="00A7653B" w:rsidP="00500337">
            <w:pPr>
              <w:ind w:left="0" w:right="0"/>
            </w:pPr>
            <w:r w:rsidRPr="00F6727E">
              <w:t>8 and 9 April 2021</w:t>
            </w:r>
          </w:p>
        </w:tc>
      </w:tr>
      <w:tr w:rsidR="00500337" w:rsidRPr="00F6727E" w14:paraId="428C3691" w14:textId="77777777" w:rsidTr="00AD42E2">
        <w:tc>
          <w:tcPr>
            <w:tcW w:w="6091" w:type="dxa"/>
          </w:tcPr>
          <w:p w14:paraId="127F74BE" w14:textId="77777777" w:rsidR="00500337" w:rsidRPr="00F6727E" w:rsidRDefault="00500337" w:rsidP="00500337">
            <w:pPr>
              <w:ind w:left="0" w:right="0"/>
            </w:pPr>
            <w:r w:rsidRPr="00F6727E">
              <w:t>Registration decision (Outcome)</w:t>
            </w:r>
          </w:p>
        </w:tc>
        <w:tc>
          <w:tcPr>
            <w:tcW w:w="2403" w:type="dxa"/>
          </w:tcPr>
          <w:p w14:paraId="3EAE5F56" w14:textId="77777777" w:rsidR="00500337" w:rsidRPr="00F6727E" w:rsidRDefault="00BF4A92" w:rsidP="00A7653B">
            <w:pPr>
              <w:ind w:left="0" w:right="0"/>
            </w:pPr>
            <w:r w:rsidRPr="00F6727E">
              <w:t>6</w:t>
            </w:r>
            <w:r w:rsidR="00A7653B" w:rsidRPr="00F6727E">
              <w:t xml:space="preserve"> May </w:t>
            </w:r>
            <w:r w:rsidRPr="00F6727E">
              <w:t>2021</w:t>
            </w:r>
          </w:p>
        </w:tc>
      </w:tr>
      <w:tr w:rsidR="00500337" w:rsidRPr="00F6727E" w14:paraId="5F6E1A42" w14:textId="77777777" w:rsidTr="00AD42E2">
        <w:tc>
          <w:tcPr>
            <w:tcW w:w="6091" w:type="dxa"/>
          </w:tcPr>
          <w:p w14:paraId="181627BA" w14:textId="77777777" w:rsidR="00500337" w:rsidRPr="00F6727E" w:rsidRDefault="00500337" w:rsidP="00500337">
            <w:pPr>
              <w:ind w:left="0" w:right="0"/>
            </w:pPr>
            <w:r w:rsidRPr="00F6727E">
              <w:t xml:space="preserve">Completion of administrative activities and registration on </w:t>
            </w:r>
            <w:r w:rsidR="00006FAB" w:rsidRPr="00F6727E">
              <w:t xml:space="preserve">the </w:t>
            </w:r>
            <w:r w:rsidRPr="00F6727E">
              <w:t>ARTG</w:t>
            </w:r>
          </w:p>
        </w:tc>
        <w:tc>
          <w:tcPr>
            <w:tcW w:w="2403" w:type="dxa"/>
          </w:tcPr>
          <w:p w14:paraId="24FED640" w14:textId="77777777" w:rsidR="00500337" w:rsidRPr="00F6727E" w:rsidRDefault="00BF4A92" w:rsidP="00A7653B">
            <w:pPr>
              <w:ind w:left="0" w:right="0"/>
            </w:pPr>
            <w:r w:rsidRPr="00F6727E">
              <w:t>10</w:t>
            </w:r>
            <w:r w:rsidR="00A7653B" w:rsidRPr="00F6727E">
              <w:t xml:space="preserve"> May </w:t>
            </w:r>
            <w:r w:rsidRPr="00F6727E">
              <w:t>2021</w:t>
            </w:r>
          </w:p>
        </w:tc>
      </w:tr>
      <w:tr w:rsidR="00500337" w:rsidRPr="00F6727E" w14:paraId="173406AF" w14:textId="77777777" w:rsidTr="00AD42E2">
        <w:tc>
          <w:tcPr>
            <w:tcW w:w="6091" w:type="dxa"/>
          </w:tcPr>
          <w:p w14:paraId="1DF23AFB" w14:textId="77777777" w:rsidR="00500337" w:rsidRPr="00F6727E" w:rsidRDefault="00500337" w:rsidP="00500337">
            <w:pPr>
              <w:ind w:left="0" w:right="0"/>
            </w:pPr>
            <w:r w:rsidRPr="00F6727E">
              <w:t>Number of working days from submission dossier acceptance to registration decision*</w:t>
            </w:r>
          </w:p>
        </w:tc>
        <w:tc>
          <w:tcPr>
            <w:tcW w:w="2403" w:type="dxa"/>
          </w:tcPr>
          <w:p w14:paraId="70CD8353" w14:textId="77777777" w:rsidR="00500337" w:rsidRPr="00F6727E" w:rsidRDefault="00BF4A92" w:rsidP="00500337">
            <w:pPr>
              <w:ind w:left="0" w:right="0"/>
            </w:pPr>
            <w:r w:rsidRPr="00F6727E">
              <w:t>198</w:t>
            </w:r>
          </w:p>
        </w:tc>
      </w:tr>
    </w:tbl>
    <w:p w14:paraId="41F1210B" w14:textId="77777777" w:rsidR="00500337" w:rsidRPr="00F6727E" w:rsidRDefault="00500337" w:rsidP="00500337">
      <w:pPr>
        <w:pStyle w:val="TableDescription"/>
      </w:pPr>
      <w:r w:rsidRPr="00F6727E">
        <w:t>*</w:t>
      </w:r>
      <w:r w:rsidR="00BF3774" w:rsidRPr="00F6727E">
        <w:t xml:space="preserve">Statutory </w:t>
      </w:r>
      <w:r w:rsidRPr="00F6727E">
        <w:t>timeframe for standard applications is 2</w:t>
      </w:r>
      <w:r w:rsidR="00BF3774" w:rsidRPr="00F6727E">
        <w:t>55</w:t>
      </w:r>
      <w:r w:rsidRPr="00F6727E">
        <w:t xml:space="preserve"> working days</w:t>
      </w:r>
    </w:p>
    <w:p w14:paraId="5A8D890C" w14:textId="77777777" w:rsidR="008E7846" w:rsidRPr="00F6727E" w:rsidRDefault="00456765" w:rsidP="008E7846">
      <w:pPr>
        <w:pStyle w:val="Heading2"/>
      </w:pPr>
      <w:bookmarkStart w:id="29" w:name="_Toc196046504"/>
      <w:bookmarkStart w:id="30" w:name="_Toc247691527"/>
      <w:bookmarkStart w:id="31" w:name="_Toc314842510"/>
      <w:bookmarkStart w:id="32" w:name="_Toc163441390"/>
      <w:bookmarkStart w:id="33" w:name="_Toc83895478"/>
      <w:bookmarkEnd w:id="25"/>
      <w:bookmarkEnd w:id="26"/>
      <w:bookmarkEnd w:id="1"/>
      <w:r w:rsidRPr="00F6727E">
        <w:t>I</w:t>
      </w:r>
      <w:r w:rsidR="00DA64CB" w:rsidRPr="00F6727E">
        <w:t>I</w:t>
      </w:r>
      <w:r w:rsidR="008E7846" w:rsidRPr="00F6727E">
        <w:t xml:space="preserve">I. </w:t>
      </w:r>
      <w:r w:rsidR="00006FAB" w:rsidRPr="00F6727E">
        <w:t xml:space="preserve">Submission overview </w:t>
      </w:r>
      <w:r w:rsidR="008E7846" w:rsidRPr="00F6727E">
        <w:t>and risk/benefit assessment</w:t>
      </w:r>
      <w:bookmarkEnd w:id="29"/>
      <w:bookmarkEnd w:id="30"/>
      <w:bookmarkEnd w:id="31"/>
      <w:bookmarkEnd w:id="33"/>
    </w:p>
    <w:p w14:paraId="02CF7A57" w14:textId="77777777" w:rsidR="00006FAB" w:rsidRPr="00F6727E" w:rsidRDefault="00006FAB" w:rsidP="00006FAB">
      <w:bookmarkStart w:id="34" w:name="_Toc247691528"/>
      <w:r w:rsidRPr="00F6727E">
        <w:t>The submission was summarised in the following Delegate’s overview and recommendations.</w:t>
      </w:r>
    </w:p>
    <w:p w14:paraId="38C81D49" w14:textId="693D2A37" w:rsidR="00B90556" w:rsidRPr="00F6727E" w:rsidRDefault="001828C6" w:rsidP="00B90556">
      <w:r w:rsidRPr="00F6727E">
        <w:t>Relevant guidelines for evaluation of this submission are:</w:t>
      </w:r>
    </w:p>
    <w:p w14:paraId="0F30AF07" w14:textId="77777777" w:rsidR="00B90556" w:rsidRPr="00F6727E" w:rsidRDefault="00B90556" w:rsidP="00B90556">
      <w:pPr>
        <w:pStyle w:val="ListBullet"/>
      </w:pPr>
      <w:r w:rsidRPr="00F6727E">
        <w:t>European Medicines Agency (EMA), Committee for Medicinal Products for Human Use (CHMP), 22 October 2015. Guideline on Clinical Investigation of Medicinal Products in the Treatment of Asthma (CHMP/EWP/2922/01 Rev.1).</w:t>
      </w:r>
    </w:p>
    <w:p w14:paraId="6CCC56B4" w14:textId="596CBD29" w:rsidR="00B90556" w:rsidRPr="00F6727E" w:rsidRDefault="00B90556" w:rsidP="00B90556">
      <w:pPr>
        <w:pStyle w:val="ListBullet"/>
      </w:pPr>
      <w:r w:rsidRPr="00F6727E">
        <w:t>European Medicines Evaluation Agency (EMEA), CHMP, 19 February 2009. Guideline on Clinical Development of Fixed Combination Medicinal Products (CHMP/EWP/240/95 Rev. 1).</w:t>
      </w:r>
    </w:p>
    <w:p w14:paraId="3BA1A9E8" w14:textId="7ADF504B" w:rsidR="00B90556" w:rsidRPr="00F6727E" w:rsidRDefault="00B90556" w:rsidP="00B90556">
      <w:pPr>
        <w:pStyle w:val="ListBullet"/>
      </w:pPr>
      <w:r w:rsidRPr="00F6727E">
        <w:t>EMEA, Committee for Proprietary Medicinal Products (CPMP), 22 January 2009. Guideline on the Requirements for Clinical Documentation for Orally Inhaled Products (OIP) Including the Requirements for Demonstration of Therapeutic Equivalence between Two Inhaled Products for Use in the Treatment of Asthma and COPD in Adults and for Use in the Treatment of Asthma in Children and Adolescents (CPMP/EWP/4151/00 Rev. 1).</w:t>
      </w:r>
    </w:p>
    <w:p w14:paraId="7EDBC9FA" w14:textId="64C16ACB" w:rsidR="00B90556" w:rsidRPr="00F6727E" w:rsidRDefault="00B90556" w:rsidP="00B90556">
      <w:pPr>
        <w:pStyle w:val="ListBullet"/>
      </w:pPr>
      <w:r w:rsidRPr="00F6727E">
        <w:t>EMEA, CPMP, November 1994. Dose Response Information to Support Drug Registration (CPMP/ICH/378/95).</w:t>
      </w:r>
    </w:p>
    <w:p w14:paraId="09FB175A" w14:textId="0E6F5CB2" w:rsidR="00B90556" w:rsidRDefault="00B90556" w:rsidP="00B90556">
      <w:pPr>
        <w:pStyle w:val="ListBullet"/>
      </w:pPr>
      <w:r w:rsidRPr="00F6727E">
        <w:t>Global Initiative for Asthma. Global Strategy for Asthma Management and Prevention, 2020.</w:t>
      </w:r>
    </w:p>
    <w:p w14:paraId="6143DF78" w14:textId="4E3C0282" w:rsidR="00BE5700" w:rsidRPr="00F6727E" w:rsidRDefault="00BE5700" w:rsidP="00BE5700">
      <w:pPr>
        <w:pStyle w:val="ListBullet"/>
      </w:pPr>
      <w:r>
        <w:t xml:space="preserve">National Institute of Health, 28 August 2007. </w:t>
      </w:r>
      <w:r w:rsidRPr="00BE5700">
        <w:t>Expert Panel Report 3:</w:t>
      </w:r>
      <w:r>
        <w:t xml:space="preserve"> </w:t>
      </w:r>
      <w:r w:rsidRPr="00BE5700">
        <w:t>Guidelines for the Diagnosis and Management of Asthma 2007</w:t>
      </w:r>
      <w:r>
        <w:t>.</w:t>
      </w:r>
    </w:p>
    <w:p w14:paraId="6608C12B" w14:textId="320AAEA9" w:rsidR="008E7846" w:rsidRPr="00F6727E" w:rsidRDefault="008E7846" w:rsidP="008E7846">
      <w:pPr>
        <w:pStyle w:val="Heading3"/>
      </w:pPr>
      <w:bookmarkStart w:id="35" w:name="_Toc314842511"/>
      <w:bookmarkStart w:id="36" w:name="_Toc83895479"/>
      <w:r w:rsidRPr="00F6727E">
        <w:t>Quality</w:t>
      </w:r>
      <w:bookmarkEnd w:id="34"/>
      <w:bookmarkEnd w:id="35"/>
      <w:bookmarkEnd w:id="36"/>
    </w:p>
    <w:p w14:paraId="1FA13184" w14:textId="71286440" w:rsidR="00BA1FD2" w:rsidRPr="00F6727E" w:rsidRDefault="003E5AB3" w:rsidP="00BA1FD2">
      <w:r w:rsidRPr="00F6727E">
        <w:t xml:space="preserve">According to the </w:t>
      </w:r>
      <w:r w:rsidR="00BA1FD2" w:rsidRPr="00F6727E">
        <w:t xml:space="preserve">quality </w:t>
      </w:r>
      <w:r w:rsidRPr="00F6727E">
        <w:t xml:space="preserve">evaluator, </w:t>
      </w:r>
      <w:r w:rsidR="00BA1FD2" w:rsidRPr="00F6727E">
        <w:t>c</w:t>
      </w:r>
      <w:r w:rsidRPr="00F6727E">
        <w:t>hemistry and quality control aspects are considered acceptable. However, approval for registration of the proposed product cannot be recommended from a pharmaceutical chemistry perspective as the following issue remains outstanding:</w:t>
      </w:r>
    </w:p>
    <w:p w14:paraId="09E09233" w14:textId="6F5AEADD" w:rsidR="003E5AB3" w:rsidRPr="00F6727E" w:rsidRDefault="003E5AB3" w:rsidP="00BA1FD2">
      <w:r w:rsidRPr="00F6727E">
        <w:t xml:space="preserve">Considering that the majority of lactose ends up being swallowed by the patient, it </w:t>
      </w:r>
      <w:r w:rsidR="00BA1FD2" w:rsidRPr="00F6727E">
        <w:t>i</w:t>
      </w:r>
      <w:r w:rsidR="005738A8" w:rsidRPr="00F6727E">
        <w:t>s strongly recommended that a ‘c</w:t>
      </w:r>
      <w:r w:rsidRPr="00F6727E">
        <w:t>ontains lactose</w:t>
      </w:r>
      <w:r w:rsidR="00BA1FD2" w:rsidRPr="00F6727E">
        <w:t>’</w:t>
      </w:r>
      <w:r w:rsidRPr="00F6727E">
        <w:t xml:space="preserve"> warning be present on the drug product carton.</w:t>
      </w:r>
    </w:p>
    <w:p w14:paraId="7289476D" w14:textId="7F729607" w:rsidR="003E5AB3" w:rsidRPr="00F6727E" w:rsidRDefault="003E5AB3" w:rsidP="003E5AB3">
      <w:r w:rsidRPr="00F6727E">
        <w:lastRenderedPageBreak/>
        <w:t>The basis for the</w:t>
      </w:r>
      <w:r w:rsidR="005738A8" w:rsidRPr="00F6727E">
        <w:t xml:space="preserve"> quality</w:t>
      </w:r>
      <w:r w:rsidRPr="00F6727E">
        <w:t xml:space="preserve"> evaluator’s recommendation is that </w:t>
      </w:r>
      <w:r w:rsidR="005738A8" w:rsidRPr="00F6727E">
        <w:t xml:space="preserve">lactose </w:t>
      </w:r>
      <w:r w:rsidRPr="00F6727E">
        <w:t xml:space="preserve">monohydrate excipient is used as a particle carrier and diluent in the product. Therapeutics Goods Order 91 </w:t>
      </w:r>
      <w:r w:rsidR="005738A8" w:rsidRPr="00F6727E">
        <w:t>(TGO</w:t>
      </w:r>
      <w:r w:rsidR="00E0140B" w:rsidRPr="00F6727E">
        <w:t xml:space="preserve"> </w:t>
      </w:r>
      <w:r w:rsidR="005738A8" w:rsidRPr="00F6727E">
        <w:t>91)</w:t>
      </w:r>
      <w:r w:rsidR="002A457B" w:rsidRPr="00F6727E">
        <w:t>;</w:t>
      </w:r>
      <w:r w:rsidR="002A457B" w:rsidRPr="00F6727E">
        <w:rPr>
          <w:rStyle w:val="FootnoteReference"/>
        </w:rPr>
        <w:footnoteReference w:id="9"/>
      </w:r>
      <w:r w:rsidR="005738A8" w:rsidRPr="00F6727E">
        <w:t xml:space="preserve"> </w:t>
      </w:r>
      <w:r w:rsidR="0041455D">
        <w:t>the ‘</w:t>
      </w:r>
      <w:r w:rsidRPr="00F6727E">
        <w:t xml:space="preserve">Standard </w:t>
      </w:r>
      <w:r w:rsidR="00A04D81" w:rsidRPr="00F6727E">
        <w:t>for Labels of Prescription and Related Medicines</w:t>
      </w:r>
      <w:r w:rsidR="0041455D">
        <w:t>’</w:t>
      </w:r>
      <w:r w:rsidR="00A04D81" w:rsidRPr="00F6727E">
        <w:t xml:space="preserve"> </w:t>
      </w:r>
      <w:r w:rsidR="005738A8" w:rsidRPr="00F6727E">
        <w:t>mandates that a ‘c</w:t>
      </w:r>
      <w:r w:rsidRPr="00F6727E">
        <w:t>ontains lactose’ warning be included on the labels w</w:t>
      </w:r>
      <w:r w:rsidR="005738A8" w:rsidRPr="00F6727E">
        <w:t xml:space="preserve">hen route of administration is </w:t>
      </w:r>
      <w:r w:rsidRPr="00F6727E">
        <w:t>oral as lactose may af</w:t>
      </w:r>
      <w:r w:rsidR="005738A8" w:rsidRPr="00F6727E">
        <w:t>fect the gastric emptying time.</w:t>
      </w:r>
    </w:p>
    <w:p w14:paraId="10AD9E53" w14:textId="24048CED" w:rsidR="003E5AB3" w:rsidRPr="00F6727E" w:rsidRDefault="003E5AB3" w:rsidP="003E5AB3">
      <w:r w:rsidRPr="00F6727E">
        <w:t xml:space="preserve">The sponsor is resistant to this with the rationale that the route of administration for </w:t>
      </w:r>
      <w:proofErr w:type="spellStart"/>
      <w:r w:rsidRPr="00F6727E">
        <w:t>Trelegy</w:t>
      </w:r>
      <w:proofErr w:type="spellEnd"/>
      <w:r w:rsidRPr="00F6727E">
        <w:t xml:space="preserve"> El</w:t>
      </w:r>
      <w:r w:rsidR="00F25C92" w:rsidRPr="00F6727E">
        <w:t xml:space="preserve">lipta as stated on the ARTG is </w:t>
      </w:r>
      <w:r w:rsidRPr="00F6727E">
        <w:t>inhalation an</w:t>
      </w:r>
      <w:r w:rsidR="00F25C92" w:rsidRPr="00F6727E">
        <w:t>d therefore in accordance with S</w:t>
      </w:r>
      <w:r w:rsidRPr="00F6727E">
        <w:t>ched</w:t>
      </w:r>
      <w:r w:rsidR="00F25C92" w:rsidRPr="00F6727E">
        <w:t>ule 1 of TGO 91, the statement ‘</w:t>
      </w:r>
      <w:r w:rsidRPr="00F6727E">
        <w:t>contains lactose</w:t>
      </w:r>
      <w:r w:rsidR="00F25C92" w:rsidRPr="00F6727E">
        <w:t>’</w:t>
      </w:r>
      <w:r w:rsidRPr="00F6727E">
        <w:t xml:space="preserve"> should not be required on the carton label.</w:t>
      </w:r>
    </w:p>
    <w:p w14:paraId="269CF54C" w14:textId="0690AC41" w:rsidR="00F25C92" w:rsidRPr="00F6727E" w:rsidRDefault="003E5AB3" w:rsidP="00C3520E">
      <w:r w:rsidRPr="00F6727E">
        <w:t xml:space="preserve">The </w:t>
      </w:r>
      <w:r w:rsidR="00F6727E" w:rsidRPr="00F6727E">
        <w:t xml:space="preserve">quality </w:t>
      </w:r>
      <w:r w:rsidRPr="00F6727E">
        <w:t>evaluator maintains the origin</w:t>
      </w:r>
      <w:r w:rsidR="00F25C92" w:rsidRPr="00F6727E">
        <w:t>al recommendation that a ‘c</w:t>
      </w:r>
      <w:r w:rsidRPr="00F6727E">
        <w:t>ontains lactose</w:t>
      </w:r>
      <w:r w:rsidR="00F25C92" w:rsidRPr="00F6727E">
        <w:t>’</w:t>
      </w:r>
      <w:r w:rsidRPr="00F6727E">
        <w:t xml:space="preserve"> warning be present on the drug product carton b</w:t>
      </w:r>
      <w:r w:rsidR="00F25C92" w:rsidRPr="00F6727E">
        <w:t>ased on the following rationale:</w:t>
      </w:r>
    </w:p>
    <w:p w14:paraId="58164426" w14:textId="7253E7AD" w:rsidR="003E5AB3" w:rsidRDefault="003E5AB3" w:rsidP="006B7833">
      <w:pPr>
        <w:ind w:left="720"/>
      </w:pPr>
      <w:r w:rsidRPr="00F6727E">
        <w:t>Given that lactose has a larger particle size than the drug substances, the majority in all probability ends up being swallowed despite the deliv</w:t>
      </w:r>
      <w:r w:rsidR="00F437CE" w:rsidRPr="00F6727E">
        <w:t xml:space="preserve">ery route of the product being </w:t>
      </w:r>
      <w:r w:rsidRPr="00F6727E">
        <w:t>inhalation. Due to t</w:t>
      </w:r>
      <w:r w:rsidR="00F437CE" w:rsidRPr="00F6727E">
        <w:t xml:space="preserve">his, the </w:t>
      </w:r>
      <w:r w:rsidR="00F6727E" w:rsidRPr="00F6727E">
        <w:t xml:space="preserve">quality evaluator </w:t>
      </w:r>
      <w:r w:rsidR="00F437CE" w:rsidRPr="00F6727E">
        <w:t>believes that a ‘c</w:t>
      </w:r>
      <w:r w:rsidRPr="00F6727E">
        <w:t>ontains lactose’ warning on the labels is justified and in accordance with TGO91. The total content of lactose monohydrate per one inhalation of the proposed product is 25</w:t>
      </w:r>
      <w:r w:rsidR="00F6727E" w:rsidRPr="00F6727E">
        <w:t> </w:t>
      </w:r>
      <w:r w:rsidRPr="00F6727E">
        <w:t>mg, corre</w:t>
      </w:r>
      <w:r w:rsidR="00F6727E" w:rsidRPr="00F6727E">
        <w:t>sponding to 23.75 mg of lactose</w:t>
      </w:r>
      <w:r w:rsidR="00F437CE" w:rsidRPr="00F6727E">
        <w:t>.</w:t>
      </w:r>
    </w:p>
    <w:p w14:paraId="58DCF4CA" w14:textId="5626A7F8" w:rsidR="00360E8A" w:rsidRPr="00360E8A" w:rsidRDefault="00360E8A" w:rsidP="00360E8A">
      <w:r>
        <w:t xml:space="preserve">The above issue has been discussed </w:t>
      </w:r>
      <w:r w:rsidR="00562BAD">
        <w:t xml:space="preserve">further </w:t>
      </w:r>
      <w:r>
        <w:t xml:space="preserve">in the </w:t>
      </w:r>
      <w:r w:rsidRPr="00360E8A">
        <w:t xml:space="preserve">Advisory Committee </w:t>
      </w:r>
      <w:r w:rsidR="00562BAD">
        <w:t>c</w:t>
      </w:r>
      <w:r w:rsidRPr="00360E8A">
        <w:t>onsiderations</w:t>
      </w:r>
      <w:r w:rsidRPr="00360E8A" w:rsidDel="00360E8A">
        <w:t xml:space="preserve"> </w:t>
      </w:r>
      <w:r w:rsidR="00562BAD">
        <w:t>section of this AusPAR</w:t>
      </w:r>
      <w:r w:rsidR="00DF34C0">
        <w:t xml:space="preserve"> and the outstanding issue was resolved prior to approval.</w:t>
      </w:r>
    </w:p>
    <w:p w14:paraId="6190BDAD" w14:textId="77777777" w:rsidR="008E7846" w:rsidRPr="00F6727E" w:rsidRDefault="008E7846" w:rsidP="008E7846">
      <w:pPr>
        <w:pStyle w:val="Heading3"/>
      </w:pPr>
      <w:bookmarkStart w:id="37" w:name="_Toc314842512"/>
      <w:bookmarkStart w:id="38" w:name="_Toc83895480"/>
      <w:r w:rsidRPr="00F6727E">
        <w:t>Nonclinical</w:t>
      </w:r>
      <w:bookmarkEnd w:id="37"/>
      <w:bookmarkEnd w:id="38"/>
    </w:p>
    <w:p w14:paraId="0182B9E1" w14:textId="67E686B3" w:rsidR="007A4839" w:rsidRPr="00F6727E" w:rsidRDefault="0017179D" w:rsidP="007A4839">
      <w:proofErr w:type="spellStart"/>
      <w:r w:rsidRPr="00F6727E">
        <w:t>Trelegy</w:t>
      </w:r>
      <w:proofErr w:type="spellEnd"/>
      <w:r w:rsidRPr="00F6727E">
        <w:t xml:space="preserve"> Ellipta</w:t>
      </w:r>
      <w:r w:rsidR="007A4839" w:rsidRPr="00F6727E">
        <w:t xml:space="preserve"> is currently approved for the maintenance treatment of adults with moderate</w:t>
      </w:r>
      <w:r w:rsidR="008F359D" w:rsidRPr="00F6727E">
        <w:t xml:space="preserve"> </w:t>
      </w:r>
      <w:r w:rsidR="007A4839" w:rsidRPr="00F6727E">
        <w:t>to severe COPD, up to a ma</w:t>
      </w:r>
      <w:r w:rsidR="008F359D" w:rsidRPr="00F6727E">
        <w:t>ximum daily dose of 100/62.5/25 </w:t>
      </w:r>
      <w:proofErr w:type="spellStart"/>
      <w:r w:rsidR="007A4839" w:rsidRPr="00F6727E">
        <w:t>μg</w:t>
      </w:r>
      <w:proofErr w:type="spellEnd"/>
      <w:r w:rsidR="007A4839" w:rsidRPr="00F6727E">
        <w:t xml:space="preserve"> per day of fluticasone furoate/umeclidinium/vilan</w:t>
      </w:r>
      <w:r w:rsidR="008F359D" w:rsidRPr="00F6727E">
        <w:t xml:space="preserve">terol </w:t>
      </w:r>
      <w:r w:rsidR="00520E1D">
        <w:t xml:space="preserve">respectively, and giving a </w:t>
      </w:r>
      <w:r w:rsidR="008F359D" w:rsidRPr="00F6727E">
        <w:t>delivered dose</w:t>
      </w:r>
      <w:r w:rsidR="00520E1D">
        <w:t xml:space="preserve"> of</w:t>
      </w:r>
      <w:r w:rsidR="008F359D" w:rsidRPr="00F6727E">
        <w:t xml:space="preserve"> 92</w:t>
      </w:r>
      <w:r w:rsidR="00520E1D" w:rsidRPr="00F6727E">
        <w:t> </w:t>
      </w:r>
      <w:proofErr w:type="spellStart"/>
      <w:r w:rsidR="00520E1D" w:rsidRPr="00F6727E">
        <w:t>μg</w:t>
      </w:r>
      <w:proofErr w:type="spellEnd"/>
      <w:r w:rsidR="00520E1D">
        <w:t> </w:t>
      </w:r>
      <w:r w:rsidR="00520E1D" w:rsidRPr="00F6727E">
        <w:t>fluticasone</w:t>
      </w:r>
      <w:r w:rsidR="006B7833">
        <w:t>,</w:t>
      </w:r>
      <w:r w:rsidR="00520E1D" w:rsidRPr="00F6727E">
        <w:t xml:space="preserve"> </w:t>
      </w:r>
      <w:r w:rsidR="008F359D" w:rsidRPr="00F6727E">
        <w:t>55</w:t>
      </w:r>
      <w:r w:rsidR="00520E1D" w:rsidRPr="00520E1D">
        <w:t xml:space="preserve"> </w:t>
      </w:r>
      <w:proofErr w:type="spellStart"/>
      <w:r w:rsidR="00520E1D" w:rsidRPr="00F6727E">
        <w:t>μg</w:t>
      </w:r>
      <w:proofErr w:type="spellEnd"/>
      <w:r w:rsidR="00520E1D">
        <w:t xml:space="preserve"> umeclidinium</w:t>
      </w:r>
      <w:r w:rsidR="00520E1D" w:rsidRPr="00F6727E">
        <w:t xml:space="preserve"> </w:t>
      </w:r>
      <w:r w:rsidR="00520E1D">
        <w:t xml:space="preserve">and </w:t>
      </w:r>
      <w:r w:rsidR="008F359D" w:rsidRPr="00F6727E">
        <w:t>22 </w:t>
      </w:r>
      <w:proofErr w:type="spellStart"/>
      <w:r w:rsidR="007A4839" w:rsidRPr="00F6727E">
        <w:t>μg</w:t>
      </w:r>
      <w:proofErr w:type="spellEnd"/>
      <w:r w:rsidR="00520E1D">
        <w:t xml:space="preserve"> </w:t>
      </w:r>
      <w:r w:rsidR="00520E1D" w:rsidRPr="00F6727E">
        <w:t>vilanterol</w:t>
      </w:r>
      <w:r w:rsidR="007A4839" w:rsidRPr="00F6727E">
        <w:t>.</w:t>
      </w:r>
    </w:p>
    <w:p w14:paraId="0F21A576" w14:textId="2727A846" w:rsidR="007A4839" w:rsidRPr="00F6727E" w:rsidRDefault="007A4839" w:rsidP="007A4839">
      <w:r w:rsidRPr="00F6727E">
        <w:t>The sponsor seeks approval to extend the indications to include maintenance treatment of asthma, which is to involve once daily inhalation of either the existing 100/62.5/25</w:t>
      </w:r>
      <w:r w:rsidR="0093421C" w:rsidRPr="00F6727E">
        <w:t> </w:t>
      </w:r>
      <w:proofErr w:type="spellStart"/>
      <w:r w:rsidRPr="00F6727E">
        <w:t>μg</w:t>
      </w:r>
      <w:proofErr w:type="spellEnd"/>
      <w:r w:rsidRPr="00F6727E">
        <w:t xml:space="preserve"> strength or a new</w:t>
      </w:r>
      <w:r w:rsidR="0093421C" w:rsidRPr="00F6727E">
        <w:t xml:space="preserve"> </w:t>
      </w:r>
      <w:r w:rsidRPr="00F6727E">
        <w:t xml:space="preserve">200/62.5/25 </w:t>
      </w:r>
      <w:proofErr w:type="spellStart"/>
      <w:r w:rsidRPr="00F6727E">
        <w:t>μg</w:t>
      </w:r>
      <w:proofErr w:type="spellEnd"/>
      <w:r w:rsidR="0093421C" w:rsidRPr="00F6727E">
        <w:t xml:space="preserve"> strength (delivering 184/55/22</w:t>
      </w:r>
      <w:r w:rsidR="00F66192" w:rsidRPr="00F6727E">
        <w:t> </w:t>
      </w:r>
      <w:proofErr w:type="spellStart"/>
      <w:r w:rsidR="00F66192" w:rsidRPr="00F6727E">
        <w:t>μg</w:t>
      </w:r>
      <w:proofErr w:type="spellEnd"/>
      <w:r w:rsidR="00F66192" w:rsidRPr="00F6727E">
        <w:t xml:space="preserve"> of the active ingredients), </w:t>
      </w:r>
      <w:r w:rsidR="0093421C" w:rsidRPr="00F6727E">
        <w:t xml:space="preserve">that is </w:t>
      </w:r>
      <w:r w:rsidRPr="00F6727E">
        <w:t>the</w:t>
      </w:r>
      <w:r w:rsidR="0093421C" w:rsidRPr="00F6727E">
        <w:t xml:space="preserve"> </w:t>
      </w:r>
      <w:r w:rsidRPr="00F6727E">
        <w:t>dose of the fluticasone furoate compo</w:t>
      </w:r>
      <w:r w:rsidR="00F66192" w:rsidRPr="00F6727E">
        <w:t>nent is to be doubled</w:t>
      </w:r>
      <w:r w:rsidRPr="00F6727E">
        <w:t>.</w:t>
      </w:r>
    </w:p>
    <w:p w14:paraId="18D5669A" w14:textId="43192CE8" w:rsidR="007A4839" w:rsidRPr="00F6727E" w:rsidRDefault="007A4839" w:rsidP="007A4839">
      <w:r w:rsidRPr="00F6727E">
        <w:t>Fluticasone furoate is already approved for the treatment of asthma at this higher dose level (200</w:t>
      </w:r>
      <w:r w:rsidR="008F359D" w:rsidRPr="00F6727E">
        <w:t> </w:t>
      </w:r>
      <w:proofErr w:type="spellStart"/>
      <w:r w:rsidRPr="00F6727E">
        <w:t>μg</w:t>
      </w:r>
      <w:proofErr w:type="spellEnd"/>
      <w:r w:rsidRPr="00F6727E">
        <w:t>/day) alone</w:t>
      </w:r>
      <w:r w:rsidR="0093421C" w:rsidRPr="00F6727E">
        <w:t xml:space="preserve"> </w:t>
      </w:r>
      <w:r w:rsidRPr="00F6727E">
        <w:t xml:space="preserve">and in fixed dual combination with vilanterol (as </w:t>
      </w:r>
      <w:proofErr w:type="spellStart"/>
      <w:r w:rsidR="0093421C" w:rsidRPr="00F6727E">
        <w:t>Arnuity</w:t>
      </w:r>
      <w:proofErr w:type="spellEnd"/>
      <w:r w:rsidR="0093421C" w:rsidRPr="00F6727E">
        <w:t xml:space="preserve"> Ellipta</w:t>
      </w:r>
      <w:r w:rsidR="00A04D81" w:rsidRPr="00F6727E">
        <w:t>;</w:t>
      </w:r>
      <w:r w:rsidR="00A04D81" w:rsidRPr="00F6727E">
        <w:rPr>
          <w:rStyle w:val="FootnoteReference"/>
        </w:rPr>
        <w:footnoteReference w:id="10"/>
      </w:r>
      <w:r w:rsidRPr="00F6727E">
        <w:t xml:space="preserve"> and </w:t>
      </w:r>
      <w:proofErr w:type="spellStart"/>
      <w:r w:rsidR="0093421C" w:rsidRPr="00F6727E">
        <w:t>Breo</w:t>
      </w:r>
      <w:proofErr w:type="spellEnd"/>
      <w:r w:rsidR="00A04D81" w:rsidRPr="00F6727E">
        <w:t xml:space="preserve"> E</w:t>
      </w:r>
      <w:r w:rsidR="0093421C" w:rsidRPr="00F6727E">
        <w:t>llipta</w:t>
      </w:r>
      <w:r w:rsidR="00A04D81" w:rsidRPr="00F6727E">
        <w:t>;</w:t>
      </w:r>
      <w:r w:rsidR="00A04D81" w:rsidRPr="00F6727E">
        <w:rPr>
          <w:rStyle w:val="FootnoteReference"/>
        </w:rPr>
        <w:footnoteReference w:id="11"/>
      </w:r>
      <w:r w:rsidRPr="00F6727E">
        <w:t xml:space="preserve"> respectively).</w:t>
      </w:r>
    </w:p>
    <w:p w14:paraId="4DCDF2E8" w14:textId="54897958" w:rsidR="007A4839" w:rsidRPr="00F6727E" w:rsidRDefault="007A4839" w:rsidP="007A4839">
      <w:r w:rsidRPr="00F6727E">
        <w:t xml:space="preserve">The submission did not contain a </w:t>
      </w:r>
      <w:r w:rsidR="00F66192" w:rsidRPr="00F6727E">
        <w:t>nonclinical m</w:t>
      </w:r>
      <w:r w:rsidRPr="00F6727E">
        <w:t>odule</w:t>
      </w:r>
      <w:r w:rsidR="00F66192" w:rsidRPr="00F6727E">
        <w:t>.</w:t>
      </w:r>
      <w:r w:rsidRPr="00F6727E">
        <w:t xml:space="preserve"> This is acceptable given the increased dose of the fluticasone furoate component</w:t>
      </w:r>
      <w:r w:rsidR="005A6434">
        <w:t xml:space="preserve"> </w:t>
      </w:r>
      <w:r w:rsidRPr="00F6727E">
        <w:t>is precedented, and efficacy assessment in asthma will rely on clinical data only.</w:t>
      </w:r>
    </w:p>
    <w:p w14:paraId="3BD19E9C" w14:textId="7B594CD8" w:rsidR="007A4839" w:rsidRPr="00F6727E" w:rsidRDefault="007A4839" w:rsidP="007A4839">
      <w:r w:rsidRPr="00F6727E">
        <w:t>The sponsor has provided a draft P</w:t>
      </w:r>
      <w:r w:rsidR="00F66192" w:rsidRPr="00F6727E">
        <w:t>I</w:t>
      </w:r>
      <w:r w:rsidRPr="00F6727E">
        <w:t xml:space="preserve"> document updated to reflect the new (higher) maximum recommended clinical dose of fluticasone furoate. The P</w:t>
      </w:r>
      <w:r w:rsidR="00F66192" w:rsidRPr="00F6727E">
        <w:t xml:space="preserve">I was further </w:t>
      </w:r>
      <w:r w:rsidRPr="00F6727E">
        <w:t xml:space="preserve">revised as directed </w:t>
      </w:r>
      <w:r w:rsidR="00F66192" w:rsidRPr="00F6727E">
        <w:t>in the nonclinical evaluation report</w:t>
      </w:r>
      <w:r w:rsidRPr="00F6727E">
        <w:t>.</w:t>
      </w:r>
    </w:p>
    <w:p w14:paraId="6CE562D4" w14:textId="1149B3F9" w:rsidR="00DF6A60" w:rsidRPr="00F6727E" w:rsidRDefault="00DF6A60" w:rsidP="007A4839">
      <w:r w:rsidRPr="00F6727E">
        <w:t xml:space="preserve">There are no nonclinical objections to the extension of indications and registration of the new strength of </w:t>
      </w:r>
      <w:proofErr w:type="spellStart"/>
      <w:r w:rsidR="0017179D" w:rsidRPr="00F6727E">
        <w:t>Trelegy</w:t>
      </w:r>
      <w:proofErr w:type="spellEnd"/>
      <w:r w:rsidR="0017179D" w:rsidRPr="00F6727E">
        <w:t xml:space="preserve"> Ellipta</w:t>
      </w:r>
      <w:r w:rsidRPr="00F6727E">
        <w:t xml:space="preserve"> and t</w:t>
      </w:r>
      <w:r w:rsidR="004B4DA8" w:rsidRPr="00F6727E">
        <w:t>here are no outstanding issues.</w:t>
      </w:r>
    </w:p>
    <w:p w14:paraId="5639BA8E" w14:textId="1FC13223" w:rsidR="00520E1D" w:rsidRPr="00520E1D" w:rsidRDefault="008E7846" w:rsidP="006B7833">
      <w:pPr>
        <w:pStyle w:val="Heading4"/>
      </w:pPr>
      <w:bookmarkStart w:id="39" w:name="_Toc247691530"/>
      <w:bookmarkStart w:id="40" w:name="_Toc314842513"/>
      <w:r w:rsidRPr="00F6727E">
        <w:lastRenderedPageBreak/>
        <w:t>Clinical</w:t>
      </w:r>
      <w:bookmarkEnd w:id="39"/>
      <w:bookmarkEnd w:id="40"/>
    </w:p>
    <w:p w14:paraId="535B8FCF" w14:textId="5E0BF238" w:rsidR="001828C6" w:rsidRPr="00F6727E" w:rsidRDefault="001828C6" w:rsidP="0051374D">
      <w:bookmarkStart w:id="41" w:name="_Toc314842514"/>
      <w:r w:rsidRPr="00F6727E">
        <w:t xml:space="preserve">The clinical dossier consisted of the following </w:t>
      </w:r>
      <w:r w:rsidR="0051374D" w:rsidRPr="00F6727E">
        <w:t xml:space="preserve">efficacy and safety </w:t>
      </w:r>
      <w:r w:rsidRPr="00F6727E">
        <w:t>studies:</w:t>
      </w:r>
    </w:p>
    <w:p w14:paraId="13F72B28" w14:textId="45F14474" w:rsidR="0051374D" w:rsidRPr="00F6727E" w:rsidRDefault="0051374D" w:rsidP="005B6925">
      <w:pPr>
        <w:pStyle w:val="ListBullet"/>
      </w:pPr>
      <w:r w:rsidRPr="00F6727E">
        <w:t>one</w:t>
      </w:r>
      <w:r w:rsidR="00DF6A60" w:rsidRPr="00F6727E">
        <w:t xml:space="preserve"> </w:t>
      </w:r>
      <w:r w:rsidRPr="00F6727E">
        <w:t xml:space="preserve">Phase III </w:t>
      </w:r>
      <w:r w:rsidR="00DF6A60" w:rsidRPr="00F6727E">
        <w:t>pivotal study</w:t>
      </w:r>
      <w:r w:rsidRPr="00F6727E">
        <w:t xml:space="preserve"> (Study 205715</w:t>
      </w:r>
      <w:proofErr w:type="gramStart"/>
      <w:r w:rsidRPr="00F6727E">
        <w:t>)</w:t>
      </w:r>
      <w:r w:rsidR="004B4DA8" w:rsidRPr="00F6727E">
        <w:t>;</w:t>
      </w:r>
      <w:proofErr w:type="gramEnd"/>
    </w:p>
    <w:p w14:paraId="26BA8DEA" w14:textId="05C246D4" w:rsidR="0051374D" w:rsidRPr="00F6727E" w:rsidRDefault="0051374D" w:rsidP="005B6925">
      <w:pPr>
        <w:pStyle w:val="ListBullet"/>
      </w:pPr>
      <w:r w:rsidRPr="00F6727E">
        <w:t>four</w:t>
      </w:r>
      <w:r w:rsidR="00DF6A60" w:rsidRPr="00F6727E">
        <w:t xml:space="preserve"> </w:t>
      </w:r>
      <w:r w:rsidRPr="00F6727E">
        <w:t xml:space="preserve">Phase IIb </w:t>
      </w:r>
      <w:r w:rsidR="00DF6A60" w:rsidRPr="00F6727E">
        <w:t xml:space="preserve">supportive studies </w:t>
      </w:r>
      <w:r w:rsidRPr="00F6727E">
        <w:t>(Studies 205832, 200699, ALA116402 and ILA115938)</w:t>
      </w:r>
      <w:r w:rsidR="00584451" w:rsidRPr="00F6727E">
        <w:t>; and</w:t>
      </w:r>
    </w:p>
    <w:p w14:paraId="2D445FC9" w14:textId="5954694B" w:rsidR="00DF6A60" w:rsidRPr="00F6727E" w:rsidRDefault="0051374D" w:rsidP="005B6925">
      <w:pPr>
        <w:pStyle w:val="ListBullet"/>
      </w:pPr>
      <w:r w:rsidRPr="00F6727E">
        <w:t xml:space="preserve">one Phase III </w:t>
      </w:r>
      <w:r w:rsidR="00DF6A60" w:rsidRPr="00F6727E">
        <w:t xml:space="preserve">ongoing </w:t>
      </w:r>
      <w:r w:rsidRPr="00F6727E">
        <w:t>open</w:t>
      </w:r>
      <w:r w:rsidR="00584451" w:rsidRPr="00F6727E">
        <w:t xml:space="preserve"> </w:t>
      </w:r>
      <w:r w:rsidRPr="00F6727E">
        <w:t>label safety study (Study 207236).</w:t>
      </w:r>
    </w:p>
    <w:p w14:paraId="331B787D" w14:textId="77777777" w:rsidR="00DF6A60" w:rsidRPr="00F6727E" w:rsidRDefault="00DF6A60" w:rsidP="006B7833">
      <w:pPr>
        <w:pStyle w:val="Heading5"/>
      </w:pPr>
      <w:r w:rsidRPr="00F6727E">
        <w:t>Pivotal study</w:t>
      </w:r>
    </w:p>
    <w:p w14:paraId="3FEA1E6A" w14:textId="78FFB6E4" w:rsidR="00DF6A60" w:rsidRPr="00F6727E" w:rsidRDefault="00584451" w:rsidP="00DF6A60">
      <w:r w:rsidRPr="00F6727E">
        <w:t xml:space="preserve">Study </w:t>
      </w:r>
      <w:r w:rsidR="00DF6A60" w:rsidRPr="00F6727E">
        <w:t xml:space="preserve">205715 </w:t>
      </w:r>
      <w:r w:rsidR="00C60C3E">
        <w:t>wa</w:t>
      </w:r>
      <w:r w:rsidRPr="00F6727E">
        <w:t xml:space="preserve">s </w:t>
      </w:r>
      <w:r w:rsidR="00C60C3E">
        <w:t xml:space="preserve">a </w:t>
      </w:r>
      <w:r w:rsidR="00DF6A60" w:rsidRPr="00F6727E">
        <w:t>Phase III, randomised, double blind, parallel group 24</w:t>
      </w:r>
      <w:r w:rsidRPr="00F6727E">
        <w:t xml:space="preserve"> to </w:t>
      </w:r>
      <w:proofErr w:type="gramStart"/>
      <w:r w:rsidR="00DF6A60" w:rsidRPr="00F6727E">
        <w:t>52</w:t>
      </w:r>
      <w:r w:rsidRPr="00F6727E">
        <w:t xml:space="preserve"> </w:t>
      </w:r>
      <w:r w:rsidR="00DF6A60" w:rsidRPr="00F6727E">
        <w:t>week</w:t>
      </w:r>
      <w:proofErr w:type="gramEnd"/>
      <w:r w:rsidR="00DF6A60" w:rsidRPr="00F6727E">
        <w:t xml:space="preserve"> study to demonstrate superiority of </w:t>
      </w:r>
      <w:r w:rsidRPr="00F6727E">
        <w:t>fluticasone furoate</w:t>
      </w:r>
      <w:r w:rsidR="00632557" w:rsidRPr="00F6727E">
        <w:t xml:space="preserve"> </w:t>
      </w:r>
      <w:r w:rsidR="00DF6A60" w:rsidRPr="00F6727E">
        <w:t>/</w:t>
      </w:r>
      <w:r w:rsidR="00632557" w:rsidRPr="00F6727E">
        <w:t xml:space="preserve"> </w:t>
      </w:r>
      <w:r w:rsidRPr="00F6727E">
        <w:t>umeclidinium</w:t>
      </w:r>
      <w:r w:rsidR="00632557" w:rsidRPr="00F6727E">
        <w:t xml:space="preserve"> </w:t>
      </w:r>
      <w:r w:rsidR="00DF6A60" w:rsidRPr="00F6727E">
        <w:t>/</w:t>
      </w:r>
      <w:r w:rsidR="00632557" w:rsidRPr="00F6727E">
        <w:t xml:space="preserve"> </w:t>
      </w:r>
      <w:r w:rsidRPr="00F6727E">
        <w:t>vilanterol</w:t>
      </w:r>
      <w:r w:rsidR="00DF6A60" w:rsidRPr="00F6727E">
        <w:t xml:space="preserve"> compared to </w:t>
      </w:r>
      <w:r w:rsidRPr="00F6727E">
        <w:t>fluticasone furoate</w:t>
      </w:r>
      <w:r w:rsidR="00632557" w:rsidRPr="00F6727E">
        <w:t xml:space="preserve"> </w:t>
      </w:r>
      <w:r w:rsidR="00DF6A60" w:rsidRPr="00F6727E">
        <w:t>/</w:t>
      </w:r>
      <w:r w:rsidR="00632557" w:rsidRPr="00F6727E">
        <w:t xml:space="preserve"> </w:t>
      </w:r>
      <w:r w:rsidRPr="00F6727E">
        <w:t>vilanterol</w:t>
      </w:r>
      <w:r w:rsidR="00DF6A60" w:rsidRPr="00F6727E">
        <w:t xml:space="preserve"> after 24 weeks of treatment. Thi</w:t>
      </w:r>
      <w:r w:rsidR="00632557" w:rsidRPr="00F6727E">
        <w:t>s was a multicentr</w:t>
      </w:r>
      <w:r w:rsidR="00520E1D">
        <w:t>e</w:t>
      </w:r>
      <w:r w:rsidR="00632557" w:rsidRPr="00F6727E">
        <w:t>, Phase IIIa</w:t>
      </w:r>
      <w:r w:rsidR="00DF6A60" w:rsidRPr="00F6727E">
        <w:t>, active</w:t>
      </w:r>
      <w:r w:rsidR="00632557" w:rsidRPr="00F6727E">
        <w:t xml:space="preserve"> </w:t>
      </w:r>
      <w:r w:rsidR="00DF6A60" w:rsidRPr="00F6727E">
        <w:t>controlled, double</w:t>
      </w:r>
      <w:r w:rsidR="00632557" w:rsidRPr="00F6727E">
        <w:t xml:space="preserve"> </w:t>
      </w:r>
      <w:r w:rsidR="00DF6A60" w:rsidRPr="00F6727E">
        <w:t xml:space="preserve">blind, </w:t>
      </w:r>
      <w:r w:rsidR="00632557" w:rsidRPr="00F6727E">
        <w:t xml:space="preserve">six </w:t>
      </w:r>
      <w:r w:rsidR="00DF6A60" w:rsidRPr="00F6727E">
        <w:t xml:space="preserve">arm parallel group, superiority study designed to evaluate the add-on effect of </w:t>
      </w:r>
      <w:r w:rsidRPr="00F6727E">
        <w:t>umeclidinium</w:t>
      </w:r>
      <w:r w:rsidR="00DF6A60" w:rsidRPr="00F6727E">
        <w:t xml:space="preserve"> in combination with </w:t>
      </w:r>
      <w:r w:rsidRPr="00F6727E">
        <w:t>fluticasone furoate</w:t>
      </w:r>
      <w:r w:rsidR="00632557" w:rsidRPr="00F6727E">
        <w:t xml:space="preserve"> </w:t>
      </w:r>
      <w:r w:rsidR="00DF6A60" w:rsidRPr="00F6727E">
        <w:t>/</w:t>
      </w:r>
      <w:r w:rsidR="00632557" w:rsidRPr="00F6727E">
        <w:t xml:space="preserve"> </w:t>
      </w:r>
      <w:r w:rsidRPr="00F6727E">
        <w:t>vilanterol</w:t>
      </w:r>
      <w:r w:rsidR="00DF6A60" w:rsidRPr="00F6727E">
        <w:t xml:space="preserve"> administered in a single inhaler, compared to </w:t>
      </w:r>
      <w:r w:rsidRPr="00F6727E">
        <w:t>fluticasone furoate</w:t>
      </w:r>
      <w:r w:rsidR="00632557" w:rsidRPr="00F6727E">
        <w:t xml:space="preserve"> </w:t>
      </w:r>
      <w:r w:rsidR="00DF6A60" w:rsidRPr="00F6727E">
        <w:t>/</w:t>
      </w:r>
      <w:r w:rsidR="00632557" w:rsidRPr="00F6727E">
        <w:t xml:space="preserve"> </w:t>
      </w:r>
      <w:r w:rsidRPr="00F6727E">
        <w:t>vilanterol</w:t>
      </w:r>
      <w:r w:rsidR="00DF6A60" w:rsidRPr="00F6727E">
        <w:t xml:space="preserve"> dual therapy, in participants with asthma not well controlled despite treatment with maintenance ICS/LABA. Outcomes measured and compared were </w:t>
      </w:r>
      <w:r w:rsidR="00632557" w:rsidRPr="00F6727E">
        <w:t>forced expiratory volume in one second (</w:t>
      </w:r>
      <w:r w:rsidR="00DF6A60" w:rsidRPr="00F6727E">
        <w:t>FEV</w:t>
      </w:r>
      <w:r w:rsidR="00DF6A60" w:rsidRPr="00F6727E">
        <w:rPr>
          <w:vertAlign w:val="subscript"/>
        </w:rPr>
        <w:t>1</w:t>
      </w:r>
      <w:r w:rsidR="00632557" w:rsidRPr="00F6727E">
        <w:t>)</w:t>
      </w:r>
      <w:r w:rsidR="00DF6A60" w:rsidRPr="00F6727E">
        <w:t xml:space="preserve">, rate or moderate and severe exacerbations, </w:t>
      </w:r>
      <w:r w:rsidR="00632557" w:rsidRPr="00F6727E">
        <w:t>Asthma Control Questionnaire (</w:t>
      </w:r>
      <w:r w:rsidR="00DF6A60" w:rsidRPr="00F6727E">
        <w:t>ACQ</w:t>
      </w:r>
      <w:r w:rsidR="00632557" w:rsidRPr="00F6727E">
        <w:t>)</w:t>
      </w:r>
      <w:r w:rsidR="00DF6A60" w:rsidRPr="00F6727E">
        <w:t>-7</w:t>
      </w:r>
      <w:r w:rsidR="00520E1D">
        <w:t>;</w:t>
      </w:r>
      <w:r w:rsidR="00520E1D">
        <w:rPr>
          <w:rStyle w:val="FootnoteReference"/>
        </w:rPr>
        <w:footnoteReference w:id="12"/>
      </w:r>
      <w:r w:rsidR="00DF6A60" w:rsidRPr="00F6727E">
        <w:t xml:space="preserve"> and safety.</w:t>
      </w:r>
    </w:p>
    <w:p w14:paraId="139D9B88" w14:textId="75880716" w:rsidR="00DF6A60" w:rsidRPr="00F6727E" w:rsidRDefault="004B4DA8" w:rsidP="00C5781A">
      <w:pPr>
        <w:pStyle w:val="Heading5"/>
      </w:pPr>
      <w:r w:rsidRPr="00F6727E">
        <w:t>Supportive studies</w:t>
      </w:r>
    </w:p>
    <w:p w14:paraId="20646DC6" w14:textId="68BF788C" w:rsidR="00DF6A60" w:rsidRPr="00F6727E" w:rsidRDefault="00632557" w:rsidP="0051374D">
      <w:r w:rsidRPr="00F6727E">
        <w:t xml:space="preserve">Study </w:t>
      </w:r>
      <w:r w:rsidR="00DF6A60" w:rsidRPr="00F6727E">
        <w:t xml:space="preserve">205832 </w:t>
      </w:r>
      <w:r w:rsidR="00C60C3E">
        <w:t>wa</w:t>
      </w:r>
      <w:r w:rsidRPr="00F6727E">
        <w:t xml:space="preserve">s </w:t>
      </w:r>
      <w:r w:rsidR="00C60C3E">
        <w:t xml:space="preserve">a </w:t>
      </w:r>
      <w:r w:rsidR="00DF6A60" w:rsidRPr="00F6727E">
        <w:t xml:space="preserve">Phase IIb, randomised, </w:t>
      </w:r>
      <w:r w:rsidR="005A6434" w:rsidRPr="00F6727E">
        <w:t xml:space="preserve">double blind </w:t>
      </w:r>
      <w:r w:rsidR="00DF6A60" w:rsidRPr="00F6727E">
        <w:t xml:space="preserve">parallel group </w:t>
      </w:r>
      <w:proofErr w:type="gramStart"/>
      <w:r w:rsidR="00DF6A60" w:rsidRPr="00F6727E">
        <w:t>24</w:t>
      </w:r>
      <w:r w:rsidRPr="00F6727E">
        <w:t xml:space="preserve"> </w:t>
      </w:r>
      <w:r w:rsidR="00DF6A60" w:rsidRPr="00F6727E">
        <w:t>week</w:t>
      </w:r>
      <w:proofErr w:type="gramEnd"/>
      <w:r w:rsidR="00DF6A60" w:rsidRPr="00F6727E">
        <w:t xml:space="preserve"> study compared the efficacy and safety of </w:t>
      </w:r>
      <w:r w:rsidR="00584451" w:rsidRPr="00F6727E">
        <w:t>umeclidinium</w:t>
      </w:r>
      <w:r w:rsidR="00DF6A60" w:rsidRPr="00F6727E">
        <w:t xml:space="preserve"> 31.25 </w:t>
      </w:r>
      <w:r w:rsidRPr="00F6727E">
        <w:t xml:space="preserve">µg </w:t>
      </w:r>
      <w:r w:rsidR="00DF6A60" w:rsidRPr="00F6727E">
        <w:t>and 62.5</w:t>
      </w:r>
      <w:r w:rsidRPr="00F6727E">
        <w:t> </w:t>
      </w:r>
      <w:r w:rsidR="00DF6A60" w:rsidRPr="00F6727E">
        <w:t xml:space="preserve">µg to placebo, all participants were receiving </w:t>
      </w:r>
      <w:r w:rsidR="00584451" w:rsidRPr="00F6727E">
        <w:t>fluticasone furoate</w:t>
      </w:r>
      <w:r w:rsidR="00DF6A60" w:rsidRPr="00F6727E">
        <w:t xml:space="preserve"> 1</w:t>
      </w:r>
      <w:r w:rsidR="004B4DA8" w:rsidRPr="00F6727E">
        <w:t>00</w:t>
      </w:r>
      <w:r w:rsidRPr="00F6727E">
        <w:t> </w:t>
      </w:r>
      <w:r w:rsidR="00F91944" w:rsidRPr="00F6727E">
        <w:t>µ</w:t>
      </w:r>
      <w:r w:rsidR="004B4DA8" w:rsidRPr="00F6727E">
        <w:t xml:space="preserve">g </w:t>
      </w:r>
      <w:r w:rsidRPr="00F6727E">
        <w:t>once daily</w:t>
      </w:r>
      <w:r w:rsidR="004B4DA8" w:rsidRPr="00F6727E">
        <w:t xml:space="preserve"> via a separate inhaler.</w:t>
      </w:r>
    </w:p>
    <w:p w14:paraId="47D415B4" w14:textId="251D5E50" w:rsidR="00DF6A60" w:rsidRPr="00F6727E" w:rsidRDefault="00876AEB" w:rsidP="00551CCD">
      <w:r w:rsidRPr="00F6727E">
        <w:t xml:space="preserve">Study </w:t>
      </w:r>
      <w:r w:rsidR="00DF6A60" w:rsidRPr="00F6727E">
        <w:t xml:space="preserve">200699 </w:t>
      </w:r>
      <w:r w:rsidR="00C60C3E">
        <w:t>wa</w:t>
      </w:r>
      <w:r w:rsidRPr="00F6727E">
        <w:t xml:space="preserve">s a </w:t>
      </w:r>
      <w:r w:rsidR="00DF6A60" w:rsidRPr="00F6727E">
        <w:t xml:space="preserve">Phase IIb, randomised, double blind dose ranging study in patients with COPD with an asthmatic component comparing </w:t>
      </w:r>
      <w:r w:rsidR="00584451" w:rsidRPr="00F6727E">
        <w:t>fluticasone furoate</w:t>
      </w:r>
      <w:r w:rsidRPr="00F6727E">
        <w:t xml:space="preserve"> </w:t>
      </w:r>
      <w:r w:rsidR="00DF6A60" w:rsidRPr="00F6727E">
        <w:t>/</w:t>
      </w:r>
      <w:r w:rsidRPr="00F6727E">
        <w:t xml:space="preserve"> </w:t>
      </w:r>
      <w:r w:rsidR="00584451" w:rsidRPr="00F6727E">
        <w:t>umeclidinium</w:t>
      </w:r>
      <w:r w:rsidR="00DF6A60" w:rsidRPr="00F6727E">
        <w:t xml:space="preserve"> combination to </w:t>
      </w:r>
      <w:r w:rsidR="00584451" w:rsidRPr="00F6727E">
        <w:t>fluticasone furoate</w:t>
      </w:r>
      <w:r w:rsidR="00DF6A60" w:rsidRPr="00F6727E">
        <w:t xml:space="preserve"> monotherapy.</w:t>
      </w:r>
    </w:p>
    <w:p w14:paraId="2E516CE3" w14:textId="409460F4" w:rsidR="00DF6A60" w:rsidRPr="00F6727E" w:rsidRDefault="00876AEB" w:rsidP="00551CCD">
      <w:r w:rsidRPr="00F6727E">
        <w:t xml:space="preserve">Study </w:t>
      </w:r>
      <w:r w:rsidR="00DF6A60" w:rsidRPr="00F6727E">
        <w:t xml:space="preserve">ALA116402 </w:t>
      </w:r>
      <w:r w:rsidR="00C60C3E">
        <w:t>wa</w:t>
      </w:r>
      <w:r w:rsidRPr="00F6727E">
        <w:t xml:space="preserve">s a </w:t>
      </w:r>
      <w:r w:rsidR="00DF6A60" w:rsidRPr="00F6727E">
        <w:t>Phase IIb, randomised, double blind dose ranging study evaluating dose response, efficacy and safety of five once</w:t>
      </w:r>
      <w:r w:rsidR="00632557" w:rsidRPr="00F6727E">
        <w:t xml:space="preserve"> </w:t>
      </w:r>
      <w:r w:rsidR="00DF6A60" w:rsidRPr="00F6727E">
        <w:t xml:space="preserve">daily doses of </w:t>
      </w:r>
      <w:r w:rsidR="00584451" w:rsidRPr="00F6727E">
        <w:t>umeclidinium</w:t>
      </w:r>
      <w:r w:rsidR="00DF6A60" w:rsidRPr="00F6727E">
        <w:t xml:space="preserve"> (15.6</w:t>
      </w:r>
      <w:r w:rsidRPr="00F6727E">
        <w:t> µ</w:t>
      </w:r>
      <w:r w:rsidR="00DF6A60" w:rsidRPr="00F6727E">
        <w:t>g, 31.25</w:t>
      </w:r>
      <w:r w:rsidRPr="00F6727E">
        <w:t> µ</w:t>
      </w:r>
      <w:r w:rsidR="00DF6A60" w:rsidRPr="00F6727E">
        <w:t>g, 62.5</w:t>
      </w:r>
      <w:r w:rsidRPr="00F6727E">
        <w:t> µ</w:t>
      </w:r>
      <w:r w:rsidR="00DF6A60" w:rsidRPr="00F6727E">
        <w:t>g, 125</w:t>
      </w:r>
      <w:r w:rsidRPr="00F6727E">
        <w:t> µ</w:t>
      </w:r>
      <w:r w:rsidR="00DF6A60" w:rsidRPr="00F6727E">
        <w:t>g and 250</w:t>
      </w:r>
      <w:r w:rsidRPr="00F6727E">
        <w:t> µ</w:t>
      </w:r>
      <w:r w:rsidR="00DF6A60" w:rsidRPr="00F6727E">
        <w:t>g) compared with placebo, over a minimum 14</w:t>
      </w:r>
      <w:r w:rsidRPr="00F6727E">
        <w:t xml:space="preserve"> </w:t>
      </w:r>
      <w:r w:rsidR="00DF6A60" w:rsidRPr="00F6727E">
        <w:t>day treatment period, in adult in asthmatic patients.</w:t>
      </w:r>
    </w:p>
    <w:p w14:paraId="04CB19C9" w14:textId="3DD4A9F0" w:rsidR="00DF6A60" w:rsidRPr="00F6727E" w:rsidRDefault="00876AEB" w:rsidP="00551CCD">
      <w:r w:rsidRPr="00F6727E">
        <w:t xml:space="preserve">Study </w:t>
      </w:r>
      <w:r w:rsidR="00DF6A60" w:rsidRPr="00F6727E">
        <w:t>ILA115938</w:t>
      </w:r>
      <w:r w:rsidRPr="00F6727E">
        <w:t xml:space="preserve"> </w:t>
      </w:r>
      <w:r w:rsidR="00C60C3E">
        <w:t>wa</w:t>
      </w:r>
      <w:r w:rsidRPr="00F6727E">
        <w:t>s a</w:t>
      </w:r>
      <w:r w:rsidR="00DF6A60" w:rsidRPr="00F6727E">
        <w:t xml:space="preserve"> Phase IIb, randomised, double blind dose ranging study evaluating dose response, efficacy and safety of five once</w:t>
      </w:r>
      <w:r w:rsidR="00632557" w:rsidRPr="00F6727E">
        <w:t xml:space="preserve"> </w:t>
      </w:r>
      <w:r w:rsidR="00DF6A60" w:rsidRPr="00F6727E">
        <w:t xml:space="preserve">daily doses of </w:t>
      </w:r>
      <w:r w:rsidR="00584451" w:rsidRPr="00F6727E">
        <w:t>umeclidinium</w:t>
      </w:r>
      <w:r w:rsidRPr="00F6727E">
        <w:t xml:space="preserve"> (5.6 µg, 31.25 µg</w:t>
      </w:r>
      <w:r w:rsidR="00DF6A60" w:rsidRPr="00F6727E">
        <w:t>, 62.5</w:t>
      </w:r>
      <w:r w:rsidRPr="00F6727E">
        <w:t> µg</w:t>
      </w:r>
      <w:r w:rsidR="00DF6A60" w:rsidRPr="00F6727E">
        <w:t>, 125</w:t>
      </w:r>
      <w:r w:rsidRPr="00F6727E">
        <w:t> µg</w:t>
      </w:r>
      <w:r w:rsidR="00DF6A60" w:rsidRPr="00F6727E">
        <w:t xml:space="preserve"> and 250</w:t>
      </w:r>
      <w:r w:rsidRPr="00F6727E">
        <w:t> µg</w:t>
      </w:r>
      <w:r w:rsidR="00DF6A60" w:rsidRPr="00F6727E">
        <w:t xml:space="preserve">) in combination with </w:t>
      </w:r>
      <w:r w:rsidR="00584451" w:rsidRPr="00F6727E">
        <w:t>fluticasone furoate</w:t>
      </w:r>
      <w:r w:rsidR="00DF6A60" w:rsidRPr="00F6727E">
        <w:t xml:space="preserve"> (100</w:t>
      </w:r>
      <w:r w:rsidRPr="00F6727E">
        <w:t> µg</w:t>
      </w:r>
      <w:r w:rsidR="00DF6A60" w:rsidRPr="00F6727E">
        <w:t xml:space="preserve">) compared to </w:t>
      </w:r>
      <w:r w:rsidR="00584451" w:rsidRPr="00F6727E">
        <w:t>fluticasone furoate</w:t>
      </w:r>
      <w:r w:rsidR="00632557" w:rsidRPr="00F6727E">
        <w:t xml:space="preserve"> </w:t>
      </w:r>
      <w:r w:rsidR="004B4DA8" w:rsidRPr="00F6727E">
        <w:t>/</w:t>
      </w:r>
      <w:r w:rsidR="00632557" w:rsidRPr="00F6727E">
        <w:t xml:space="preserve"> </w:t>
      </w:r>
      <w:r w:rsidR="00584451" w:rsidRPr="00F6727E">
        <w:t>vilanterol</w:t>
      </w:r>
      <w:r w:rsidR="004B4DA8" w:rsidRPr="00F6727E">
        <w:t xml:space="preserve"> (100/25</w:t>
      </w:r>
      <w:r w:rsidR="00C60C3E">
        <w:t> </w:t>
      </w:r>
      <w:r w:rsidR="00C60C3E" w:rsidRPr="00F6727E">
        <w:t>µg</w:t>
      </w:r>
      <w:r w:rsidR="004B4DA8" w:rsidRPr="00F6727E">
        <w:t xml:space="preserve">) and </w:t>
      </w:r>
      <w:r w:rsidR="00584451" w:rsidRPr="00F6727E">
        <w:t>fluticasone furoate</w:t>
      </w:r>
      <w:r w:rsidR="004B4DA8" w:rsidRPr="00F6727E">
        <w:t>(100</w:t>
      </w:r>
      <w:r w:rsidRPr="00F6727E">
        <w:t> µg</w:t>
      </w:r>
      <w:r w:rsidR="004B4DA8" w:rsidRPr="00F6727E">
        <w:t xml:space="preserve">) </w:t>
      </w:r>
      <w:r w:rsidR="00632557" w:rsidRPr="00F6727E">
        <w:t>once daily</w:t>
      </w:r>
      <w:r w:rsidR="004B4DA8" w:rsidRPr="00F6727E">
        <w:t>.</w:t>
      </w:r>
    </w:p>
    <w:p w14:paraId="7EA8D4E9" w14:textId="77777777" w:rsidR="00DF6A60" w:rsidRPr="00F6727E" w:rsidRDefault="00DF6A60" w:rsidP="006B7833">
      <w:pPr>
        <w:pStyle w:val="Heading5"/>
      </w:pPr>
      <w:r w:rsidRPr="00F6727E">
        <w:t>Other studies</w:t>
      </w:r>
    </w:p>
    <w:p w14:paraId="2DFCE4E2" w14:textId="2EE4B211" w:rsidR="00DF6A60" w:rsidRPr="00F6727E" w:rsidRDefault="00C60C3E" w:rsidP="00551CCD">
      <w:r>
        <w:t xml:space="preserve">Study </w:t>
      </w:r>
      <w:r w:rsidR="00DF6A60" w:rsidRPr="00F6727E">
        <w:t xml:space="preserve">207236 </w:t>
      </w:r>
      <w:r>
        <w:t>wa</w:t>
      </w:r>
      <w:r w:rsidR="00876AEB" w:rsidRPr="00F6727E">
        <w:t xml:space="preserve">s </w:t>
      </w:r>
      <w:r>
        <w:t xml:space="preserve">a </w:t>
      </w:r>
      <w:r w:rsidR="00DF6A60" w:rsidRPr="00F6727E">
        <w:t xml:space="preserve">Phase III non-randomised open label ongoing study evaluating the </w:t>
      </w:r>
      <w:proofErr w:type="gramStart"/>
      <w:r w:rsidR="00DF6A60" w:rsidRPr="00F6727E">
        <w:t>long</w:t>
      </w:r>
      <w:r w:rsidR="00876AEB" w:rsidRPr="00F6727E">
        <w:t xml:space="preserve"> </w:t>
      </w:r>
      <w:r w:rsidR="00DF6A60" w:rsidRPr="00F6727E">
        <w:t>term</w:t>
      </w:r>
      <w:proofErr w:type="gramEnd"/>
      <w:r w:rsidR="00DF6A60" w:rsidRPr="00F6727E">
        <w:t xml:space="preserve"> safety of </w:t>
      </w:r>
      <w:r w:rsidR="00584451" w:rsidRPr="00F6727E">
        <w:t>fluticasone furoate</w:t>
      </w:r>
      <w:r w:rsidR="00876AEB" w:rsidRPr="00F6727E">
        <w:t xml:space="preserve"> </w:t>
      </w:r>
      <w:r w:rsidR="00DF6A60" w:rsidRPr="00F6727E">
        <w:t>/</w:t>
      </w:r>
      <w:r w:rsidR="00876AEB" w:rsidRPr="00F6727E">
        <w:t xml:space="preserve"> </w:t>
      </w:r>
      <w:r w:rsidR="00584451" w:rsidRPr="00F6727E">
        <w:t>umeclidinium</w:t>
      </w:r>
      <w:r w:rsidR="00876AEB" w:rsidRPr="00F6727E">
        <w:t xml:space="preserve"> </w:t>
      </w:r>
      <w:r w:rsidR="00DF6A60" w:rsidRPr="00F6727E">
        <w:t>/</w:t>
      </w:r>
      <w:r w:rsidR="00876AEB" w:rsidRPr="00F6727E">
        <w:t xml:space="preserve"> </w:t>
      </w:r>
      <w:r w:rsidR="00584451" w:rsidRPr="00F6727E">
        <w:t>vilanterol</w:t>
      </w:r>
      <w:r w:rsidR="00DF6A60" w:rsidRPr="00F6727E">
        <w:t xml:space="preserve"> </w:t>
      </w:r>
      <w:r w:rsidR="00876AEB" w:rsidRPr="00F6727E">
        <w:t>in Japanese s</w:t>
      </w:r>
      <w:r w:rsidR="004B4DA8" w:rsidRPr="00F6727E">
        <w:t>ubjects.</w:t>
      </w:r>
    </w:p>
    <w:p w14:paraId="59E57DDA" w14:textId="1C8A7D48" w:rsidR="00DF6A60" w:rsidRPr="00F6727E" w:rsidRDefault="004B4DA8" w:rsidP="006B7833">
      <w:pPr>
        <w:pStyle w:val="Heading5"/>
      </w:pPr>
      <w:r w:rsidRPr="00F6727E">
        <w:t xml:space="preserve">Clinical </w:t>
      </w:r>
      <w:r w:rsidR="00876AEB" w:rsidRPr="00F6727E">
        <w:t xml:space="preserve">pharmacology </w:t>
      </w:r>
      <w:r w:rsidRPr="00F6727E">
        <w:t>studies</w:t>
      </w:r>
    </w:p>
    <w:p w14:paraId="541A0689" w14:textId="24297097" w:rsidR="00DF6A60" w:rsidRPr="00F6727E" w:rsidRDefault="00DF6A60" w:rsidP="00DF6A60">
      <w:r w:rsidRPr="00F6727E">
        <w:t xml:space="preserve">The current submission represents an application for an extension of indication and a new dosage strength of </w:t>
      </w:r>
      <w:proofErr w:type="spellStart"/>
      <w:r w:rsidR="0017179D" w:rsidRPr="00F6727E">
        <w:t>Trelegy</w:t>
      </w:r>
      <w:proofErr w:type="spellEnd"/>
      <w:r w:rsidR="0017179D" w:rsidRPr="00F6727E">
        <w:t xml:space="preserve"> Ellipta</w:t>
      </w:r>
      <w:r w:rsidRPr="00F6727E">
        <w:t xml:space="preserve"> and new (previously unevaluated) supporting </w:t>
      </w:r>
      <w:r w:rsidR="00876AEB" w:rsidRPr="00F6727E">
        <w:t>pharmacokinetic (</w:t>
      </w:r>
      <w:r w:rsidRPr="00F6727E">
        <w:t>PK</w:t>
      </w:r>
      <w:r w:rsidR="00876AEB" w:rsidRPr="00F6727E">
        <w:t>)</w:t>
      </w:r>
      <w:r w:rsidRPr="00F6727E">
        <w:t>/</w:t>
      </w:r>
      <w:r w:rsidR="00876AEB" w:rsidRPr="00F6727E">
        <w:t>pharmacodynamic (</w:t>
      </w:r>
      <w:r w:rsidRPr="00F6727E">
        <w:t>PD</w:t>
      </w:r>
      <w:r w:rsidR="00876AEB" w:rsidRPr="00F6727E">
        <w:t>)</w:t>
      </w:r>
      <w:r w:rsidRPr="00F6727E">
        <w:t xml:space="preserve"> data was limited to:</w:t>
      </w:r>
    </w:p>
    <w:p w14:paraId="057996A8" w14:textId="44021080" w:rsidR="00DF6A60" w:rsidRPr="00F6727E" w:rsidRDefault="00DF6A60" w:rsidP="00DF6A60">
      <w:pPr>
        <w:pStyle w:val="ListBullet"/>
      </w:pPr>
      <w:r w:rsidRPr="00F6727E">
        <w:lastRenderedPageBreak/>
        <w:t xml:space="preserve">a </w:t>
      </w:r>
      <w:proofErr w:type="gramStart"/>
      <w:r w:rsidRPr="00F6727E">
        <w:t>single Phase II</w:t>
      </w:r>
      <w:proofErr w:type="gramEnd"/>
      <w:r w:rsidRPr="00F6727E">
        <w:t xml:space="preserve"> study in which the PKs of </w:t>
      </w:r>
      <w:r w:rsidR="00584451" w:rsidRPr="00F6727E">
        <w:t>umeclidinium</w:t>
      </w:r>
      <w:r w:rsidRPr="00F6727E">
        <w:t xml:space="preserve"> following administration as a monotherapy to adult subjects</w:t>
      </w:r>
      <w:r w:rsidR="004B4DA8" w:rsidRPr="00F6727E">
        <w:t xml:space="preserve"> with asthma were investigated;</w:t>
      </w:r>
    </w:p>
    <w:p w14:paraId="24955930" w14:textId="07F4E7AF" w:rsidR="00DF6A60" w:rsidRPr="00F6727E" w:rsidRDefault="00DF6A60" w:rsidP="00DF6A60">
      <w:pPr>
        <w:pStyle w:val="ListBullet"/>
      </w:pPr>
      <w:r w:rsidRPr="00F6727E">
        <w:t xml:space="preserve">two </w:t>
      </w:r>
      <w:r w:rsidR="00876AEB" w:rsidRPr="00F6727E">
        <w:t xml:space="preserve">population </w:t>
      </w:r>
      <w:r w:rsidR="009F2B69">
        <w:t>pharmacokinetic</w:t>
      </w:r>
      <w:r w:rsidR="00876AEB" w:rsidRPr="00F6727E">
        <w:t xml:space="preserve"> (</w:t>
      </w:r>
      <w:proofErr w:type="spellStart"/>
      <w:r w:rsidR="00876AEB" w:rsidRPr="00F6727E">
        <w:t>popPK</w:t>
      </w:r>
      <w:proofErr w:type="spellEnd"/>
      <w:r w:rsidR="00876AEB" w:rsidRPr="00F6727E">
        <w:t>)</w:t>
      </w:r>
      <w:r w:rsidRPr="00F6727E">
        <w:t xml:space="preserve"> studies, the first investigating the data generated in the previously described Phase II study</w:t>
      </w:r>
      <w:r w:rsidR="00876AEB" w:rsidRPr="00F6727E">
        <w:t>;</w:t>
      </w:r>
      <w:r w:rsidRPr="00F6727E">
        <w:t xml:space="preserve"> and the second, which represented an analysis of the PK results of a Phase III study in which subjects with inadequately controlled asthm</w:t>
      </w:r>
      <w:r w:rsidR="004B4DA8" w:rsidRPr="00F6727E">
        <w:t xml:space="preserve">a were administered </w:t>
      </w:r>
      <w:r w:rsidR="00584451" w:rsidRPr="00F6727E">
        <w:t>fluticasone furoate</w:t>
      </w:r>
      <w:r w:rsidR="00876AEB" w:rsidRPr="00F6727E">
        <w:t xml:space="preserve"> </w:t>
      </w:r>
      <w:r w:rsidR="004B4DA8" w:rsidRPr="00F6727E">
        <w:t>/</w:t>
      </w:r>
      <w:r w:rsidR="00876AEB" w:rsidRPr="00F6727E">
        <w:t xml:space="preserve"> </w:t>
      </w:r>
      <w:r w:rsidR="00584451" w:rsidRPr="00F6727E">
        <w:t>umeclidinium</w:t>
      </w:r>
      <w:r w:rsidR="00876AEB" w:rsidRPr="00F6727E">
        <w:t xml:space="preserve"> </w:t>
      </w:r>
      <w:r w:rsidR="004B4DA8" w:rsidRPr="00F6727E">
        <w:t>/</w:t>
      </w:r>
      <w:r w:rsidR="00876AEB" w:rsidRPr="00F6727E">
        <w:t xml:space="preserve"> </w:t>
      </w:r>
      <w:r w:rsidR="00584451" w:rsidRPr="00F6727E">
        <w:t>vilanterol</w:t>
      </w:r>
      <w:r w:rsidR="004B4DA8" w:rsidRPr="00F6727E">
        <w:t>;</w:t>
      </w:r>
    </w:p>
    <w:p w14:paraId="108B5C15" w14:textId="1786A453" w:rsidR="00DF6A60" w:rsidRPr="00F6727E" w:rsidRDefault="00DF6A60" w:rsidP="00DF6A60">
      <w:pPr>
        <w:pStyle w:val="ListBullet"/>
      </w:pPr>
      <w:r w:rsidRPr="00F6727E">
        <w:t>a single PD study during which the inhalation profiles of healthy volunteers, asthma and COPD patients were investigated in the absence of active drug</w:t>
      </w:r>
      <w:r w:rsidR="005D2BEE">
        <w:t>.</w:t>
      </w:r>
    </w:p>
    <w:p w14:paraId="15FE0C26" w14:textId="3CCC611D" w:rsidR="00704B18" w:rsidRPr="00F6727E" w:rsidRDefault="00704B18" w:rsidP="00704B18">
      <w:pPr>
        <w:pStyle w:val="TableTitle"/>
      </w:pPr>
      <w:bookmarkStart w:id="42" w:name="_Ref73545680"/>
      <w:r w:rsidRPr="00F6727E">
        <w:t xml:space="preserve">Table </w:t>
      </w:r>
      <w:r w:rsidR="00A759BC">
        <w:fldChar w:fldCharType="begin"/>
      </w:r>
      <w:r w:rsidR="00A759BC">
        <w:instrText xml:space="preserve"> SEQ Table \* ARABIC </w:instrText>
      </w:r>
      <w:r w:rsidR="00A759BC">
        <w:fldChar w:fldCharType="separate"/>
      </w:r>
      <w:r w:rsidR="00501251">
        <w:rPr>
          <w:noProof/>
        </w:rPr>
        <w:t>3</w:t>
      </w:r>
      <w:r w:rsidR="00A759BC">
        <w:rPr>
          <w:noProof/>
        </w:rPr>
        <w:fldChar w:fldCharType="end"/>
      </w:r>
      <w:bookmarkEnd w:id="42"/>
      <w:r w:rsidRPr="00F6727E">
        <w:t xml:space="preserve">: </w:t>
      </w:r>
      <w:bookmarkStart w:id="43" w:name="_Toc453839419"/>
      <w:bookmarkStart w:id="44" w:name="_Toc62726362"/>
      <w:r w:rsidRPr="00F6727E">
        <w:t>Submitted pharmacokinetic studies</w:t>
      </w:r>
      <w:bookmarkEnd w:id="43"/>
      <w:bookmarkEnd w:id="44"/>
    </w:p>
    <w:tbl>
      <w:tblPr>
        <w:tblStyle w:val="TableTGAblue"/>
        <w:tblW w:w="8046" w:type="dxa"/>
        <w:tblLayout w:type="fixed"/>
        <w:tblLook w:val="04A0" w:firstRow="1" w:lastRow="0" w:firstColumn="1" w:lastColumn="0" w:noHBand="0" w:noVBand="1"/>
      </w:tblPr>
      <w:tblGrid>
        <w:gridCol w:w="1951"/>
        <w:gridCol w:w="2207"/>
        <w:gridCol w:w="1620"/>
        <w:gridCol w:w="2268"/>
      </w:tblGrid>
      <w:tr w:rsidR="00704B18" w:rsidRPr="00F6727E" w14:paraId="5956B45D" w14:textId="77777777" w:rsidTr="00704B18">
        <w:trPr>
          <w:cnfStyle w:val="100000000000" w:firstRow="1" w:lastRow="0" w:firstColumn="0" w:lastColumn="0" w:oddVBand="0" w:evenVBand="0" w:oddHBand="0" w:evenHBand="0" w:firstRowFirstColumn="0" w:firstRowLastColumn="0" w:lastRowFirstColumn="0" w:lastRowLastColumn="0"/>
        </w:trPr>
        <w:tc>
          <w:tcPr>
            <w:tcW w:w="1951" w:type="dxa"/>
          </w:tcPr>
          <w:p w14:paraId="4E24C16E" w14:textId="77777777" w:rsidR="00704B18" w:rsidRPr="00F6727E" w:rsidRDefault="00704B18" w:rsidP="00704B18">
            <w:pPr>
              <w:pStyle w:val="Tabletext"/>
            </w:pPr>
            <w:r w:rsidRPr="00F6727E">
              <w:t>PK topic</w:t>
            </w:r>
          </w:p>
        </w:tc>
        <w:tc>
          <w:tcPr>
            <w:tcW w:w="2207" w:type="dxa"/>
          </w:tcPr>
          <w:p w14:paraId="731D7891" w14:textId="77777777" w:rsidR="00704B18" w:rsidRPr="00F6727E" w:rsidRDefault="00704B18" w:rsidP="00704B18">
            <w:pPr>
              <w:pStyle w:val="Tabletext"/>
            </w:pPr>
            <w:r w:rsidRPr="00F6727E">
              <w:t>Subtopic</w:t>
            </w:r>
          </w:p>
        </w:tc>
        <w:tc>
          <w:tcPr>
            <w:tcW w:w="1620" w:type="dxa"/>
          </w:tcPr>
          <w:p w14:paraId="4CA74A30" w14:textId="77777777" w:rsidR="00704B18" w:rsidRPr="00F6727E" w:rsidRDefault="00704B18" w:rsidP="00704B18">
            <w:pPr>
              <w:pStyle w:val="Tabletext"/>
            </w:pPr>
            <w:r w:rsidRPr="00F6727E">
              <w:t>Study ID</w:t>
            </w:r>
          </w:p>
        </w:tc>
        <w:tc>
          <w:tcPr>
            <w:tcW w:w="2268" w:type="dxa"/>
          </w:tcPr>
          <w:p w14:paraId="48D5E27D" w14:textId="77777777" w:rsidR="00704B18" w:rsidRPr="00F6727E" w:rsidRDefault="00704B18" w:rsidP="00704B18">
            <w:pPr>
              <w:pStyle w:val="Tabletext"/>
            </w:pPr>
            <w:r w:rsidRPr="00F6727E">
              <w:t>*</w:t>
            </w:r>
          </w:p>
        </w:tc>
      </w:tr>
      <w:tr w:rsidR="00704B18" w:rsidRPr="00F6727E" w14:paraId="2288B323" w14:textId="77777777" w:rsidTr="00704B18">
        <w:tc>
          <w:tcPr>
            <w:tcW w:w="1951" w:type="dxa"/>
          </w:tcPr>
          <w:p w14:paraId="6E5238C9" w14:textId="77777777" w:rsidR="00704B18" w:rsidRPr="00F6727E" w:rsidRDefault="00704B18" w:rsidP="00704B18">
            <w:pPr>
              <w:pStyle w:val="Tabletext"/>
            </w:pPr>
            <w:r w:rsidRPr="00F6727E">
              <w:t>PK in special populations</w:t>
            </w:r>
          </w:p>
        </w:tc>
        <w:tc>
          <w:tcPr>
            <w:tcW w:w="2207" w:type="dxa"/>
          </w:tcPr>
          <w:p w14:paraId="63597187" w14:textId="77777777" w:rsidR="00704B18" w:rsidRPr="00F6727E" w:rsidRDefault="00704B18" w:rsidP="00704B18">
            <w:pPr>
              <w:pStyle w:val="Tabletext"/>
            </w:pPr>
            <w:r w:rsidRPr="00F6727E">
              <w:t>Target population §</w:t>
            </w:r>
          </w:p>
        </w:tc>
        <w:tc>
          <w:tcPr>
            <w:tcW w:w="1620" w:type="dxa"/>
          </w:tcPr>
          <w:p w14:paraId="79652148" w14:textId="77777777" w:rsidR="00704B18" w:rsidRPr="00F6727E" w:rsidRDefault="00704B18" w:rsidP="00704B18">
            <w:pPr>
              <w:pStyle w:val="Tabletext"/>
            </w:pPr>
            <w:r w:rsidRPr="00F6727E">
              <w:t>ALA116402</w:t>
            </w:r>
          </w:p>
        </w:tc>
        <w:tc>
          <w:tcPr>
            <w:tcW w:w="2268" w:type="dxa"/>
          </w:tcPr>
          <w:p w14:paraId="37BAADCF" w14:textId="4F6C0051" w:rsidR="00704B18" w:rsidRPr="00F6727E" w:rsidRDefault="00704B18" w:rsidP="00737540">
            <w:pPr>
              <w:pStyle w:val="Tabletext"/>
            </w:pPr>
            <w:r w:rsidRPr="00F6727E">
              <w:t>Three</w:t>
            </w:r>
            <w:r w:rsidR="00737540" w:rsidRPr="00F6727E">
              <w:t xml:space="preserve"> </w:t>
            </w:r>
            <w:r w:rsidRPr="00F6727E">
              <w:t xml:space="preserve">period crossover study with </w:t>
            </w:r>
            <w:r w:rsidR="00584451" w:rsidRPr="00F6727E">
              <w:t>umeclidinium</w:t>
            </w:r>
            <w:r w:rsidRPr="00F6727E">
              <w:t xml:space="preserve"> as monotherapy in adult subjects with asthma.</w:t>
            </w:r>
          </w:p>
        </w:tc>
      </w:tr>
      <w:tr w:rsidR="00704B18" w:rsidRPr="00F6727E" w14:paraId="28150612" w14:textId="77777777" w:rsidTr="00704B18">
        <w:tc>
          <w:tcPr>
            <w:tcW w:w="1951" w:type="dxa"/>
            <w:vMerge w:val="restart"/>
          </w:tcPr>
          <w:p w14:paraId="714CFF08" w14:textId="77777777" w:rsidR="00704B18" w:rsidRPr="00F6727E" w:rsidRDefault="00704B18" w:rsidP="00704B18">
            <w:pPr>
              <w:pStyle w:val="Tabletext"/>
            </w:pPr>
            <w:r w:rsidRPr="00F6727E">
              <w:t>Population PK analyses</w:t>
            </w:r>
          </w:p>
        </w:tc>
        <w:tc>
          <w:tcPr>
            <w:tcW w:w="2207" w:type="dxa"/>
          </w:tcPr>
          <w:p w14:paraId="31E0D463" w14:textId="23700DDA" w:rsidR="00704B18" w:rsidRPr="00F6727E" w:rsidRDefault="00704B18" w:rsidP="00704B18">
            <w:pPr>
              <w:pStyle w:val="Tabletext"/>
            </w:pPr>
            <w:r w:rsidRPr="00F6727E">
              <w:t>Subjects within adequately controlled asthma</w:t>
            </w:r>
          </w:p>
        </w:tc>
        <w:tc>
          <w:tcPr>
            <w:tcW w:w="1620" w:type="dxa"/>
          </w:tcPr>
          <w:p w14:paraId="1940A4D2" w14:textId="0E01BA97" w:rsidR="00704B18" w:rsidRPr="00F6727E" w:rsidRDefault="00704B18" w:rsidP="00704B18">
            <w:pPr>
              <w:pStyle w:val="Tabletext"/>
            </w:pPr>
            <w:r w:rsidRPr="00F6727E">
              <w:t xml:space="preserve">205715 </w:t>
            </w:r>
            <w:proofErr w:type="spellStart"/>
            <w:r w:rsidRPr="00F6727E">
              <w:t>PopPK</w:t>
            </w:r>
            <w:proofErr w:type="spellEnd"/>
          </w:p>
        </w:tc>
        <w:tc>
          <w:tcPr>
            <w:tcW w:w="2268" w:type="dxa"/>
          </w:tcPr>
          <w:p w14:paraId="5FFFD15F" w14:textId="2A34A725" w:rsidR="00704B18" w:rsidRPr="00F6727E" w:rsidRDefault="00704B18" w:rsidP="00704B18">
            <w:pPr>
              <w:pStyle w:val="Tabletext"/>
            </w:pPr>
            <w:proofErr w:type="spellStart"/>
            <w:r w:rsidRPr="00F6727E">
              <w:t>PopPK</w:t>
            </w:r>
            <w:proofErr w:type="spellEnd"/>
            <w:r w:rsidRPr="00F6727E">
              <w:t xml:space="preserve"> modelling of </w:t>
            </w:r>
            <w:r w:rsidR="00584451" w:rsidRPr="00F6727E">
              <w:t>fluticasone furoate</w:t>
            </w:r>
            <w:r w:rsidRPr="00F6727E">
              <w:t xml:space="preserve">, </w:t>
            </w:r>
            <w:r w:rsidR="00584451" w:rsidRPr="00F6727E">
              <w:t>umeclidinium</w:t>
            </w:r>
            <w:r w:rsidRPr="00F6727E">
              <w:t xml:space="preserve"> and </w:t>
            </w:r>
            <w:r w:rsidR="00584451" w:rsidRPr="00F6727E">
              <w:t>vilanterol</w:t>
            </w:r>
            <w:r w:rsidRPr="00F6727E">
              <w:t xml:space="preserve"> using data from a Phase III study (</w:t>
            </w:r>
            <w:r w:rsidR="00737540" w:rsidRPr="00F6727E">
              <w:t xml:space="preserve">Study </w:t>
            </w:r>
            <w:r w:rsidRPr="00F6727E">
              <w:t>205715) in subjects with inadequately controlled asthma</w:t>
            </w:r>
          </w:p>
        </w:tc>
      </w:tr>
      <w:tr w:rsidR="00704B18" w:rsidRPr="00F6727E" w14:paraId="5C1AB12E" w14:textId="77777777" w:rsidTr="00704B18">
        <w:tc>
          <w:tcPr>
            <w:tcW w:w="1951" w:type="dxa"/>
            <w:vMerge/>
          </w:tcPr>
          <w:p w14:paraId="4996BA14" w14:textId="77777777" w:rsidR="00704B18" w:rsidRPr="00F6727E" w:rsidRDefault="00704B18" w:rsidP="00704B18">
            <w:pPr>
              <w:pStyle w:val="Tabletext"/>
            </w:pPr>
          </w:p>
        </w:tc>
        <w:tc>
          <w:tcPr>
            <w:tcW w:w="2207" w:type="dxa"/>
          </w:tcPr>
          <w:p w14:paraId="366D6D6E" w14:textId="77777777" w:rsidR="00704B18" w:rsidRPr="00F6727E" w:rsidRDefault="00704B18" w:rsidP="00704B18">
            <w:pPr>
              <w:pStyle w:val="Tabletext"/>
            </w:pPr>
            <w:r w:rsidRPr="00F6727E">
              <w:t>Adult subjects with asthma</w:t>
            </w:r>
          </w:p>
        </w:tc>
        <w:tc>
          <w:tcPr>
            <w:tcW w:w="1620" w:type="dxa"/>
          </w:tcPr>
          <w:p w14:paraId="1F0BD879" w14:textId="77777777" w:rsidR="00704B18" w:rsidRPr="00F6727E" w:rsidRDefault="00704B18" w:rsidP="00704B18">
            <w:pPr>
              <w:pStyle w:val="Tabletext"/>
            </w:pPr>
            <w:r w:rsidRPr="00F6727E">
              <w:t xml:space="preserve">ALA116402 </w:t>
            </w:r>
            <w:proofErr w:type="spellStart"/>
            <w:r w:rsidRPr="00F6727E">
              <w:t>PopPK</w:t>
            </w:r>
            <w:proofErr w:type="spellEnd"/>
          </w:p>
        </w:tc>
        <w:tc>
          <w:tcPr>
            <w:tcW w:w="2268" w:type="dxa"/>
          </w:tcPr>
          <w:p w14:paraId="247C66B0" w14:textId="7B2D4407" w:rsidR="00704B18" w:rsidRPr="00F6727E" w:rsidRDefault="00704B18" w:rsidP="00704B18">
            <w:pPr>
              <w:pStyle w:val="Tabletext"/>
            </w:pPr>
            <w:proofErr w:type="spellStart"/>
            <w:r w:rsidRPr="00F6727E">
              <w:t>PopPK</w:t>
            </w:r>
            <w:proofErr w:type="spellEnd"/>
            <w:r w:rsidRPr="00F6727E">
              <w:t xml:space="preserve"> analysis of </w:t>
            </w:r>
            <w:r w:rsidR="00584451" w:rsidRPr="00F6727E">
              <w:t>umeclidinium</w:t>
            </w:r>
            <w:r w:rsidRPr="00F6727E">
              <w:t xml:space="preserve"> from </w:t>
            </w:r>
            <w:r w:rsidR="00737540" w:rsidRPr="00F6727E">
              <w:t xml:space="preserve">Study </w:t>
            </w:r>
            <w:r w:rsidRPr="00F6727E">
              <w:t>ALA116402 in adults with asthma</w:t>
            </w:r>
          </w:p>
        </w:tc>
      </w:tr>
    </w:tbl>
    <w:p w14:paraId="4A5A12B9" w14:textId="11C325BB" w:rsidR="00876AEB" w:rsidRPr="00F6727E" w:rsidRDefault="00876AEB" w:rsidP="000925DD">
      <w:pPr>
        <w:pStyle w:val="TableDescription"/>
      </w:pPr>
      <w:r w:rsidRPr="00F6727E">
        <w:t xml:space="preserve">ID = identify; PK = pharmacokinetic(s); </w:t>
      </w:r>
      <w:proofErr w:type="spellStart"/>
      <w:r w:rsidR="00737540" w:rsidRPr="00F6727E">
        <w:t>popPK</w:t>
      </w:r>
      <w:proofErr w:type="spellEnd"/>
      <w:r w:rsidR="00737540" w:rsidRPr="00F6727E">
        <w:t xml:space="preserve"> = population pharmacokinetic(s).</w:t>
      </w:r>
    </w:p>
    <w:p w14:paraId="7412B2AB" w14:textId="136DB03B" w:rsidR="00704B18" w:rsidRPr="00F6727E" w:rsidRDefault="00704B18" w:rsidP="000925DD">
      <w:pPr>
        <w:pStyle w:val="TableDescription"/>
      </w:pPr>
      <w:r w:rsidRPr="00F6727E">
        <w:t>* Indicates the primary PK aim of the study.</w:t>
      </w:r>
    </w:p>
    <w:p w14:paraId="44B7FBEC" w14:textId="37DA865D" w:rsidR="00704B18" w:rsidRPr="00F6727E" w:rsidRDefault="00704B18" w:rsidP="000925DD">
      <w:pPr>
        <w:pStyle w:val="TableDescription"/>
      </w:pPr>
      <w:r w:rsidRPr="00F6727E">
        <w:t>§ Subjects who would be eligible to receive the drug if approved for the proposed indication.</w:t>
      </w:r>
    </w:p>
    <w:p w14:paraId="51E965BE" w14:textId="3C2B2625" w:rsidR="00DF6A60" w:rsidRPr="00F6727E" w:rsidRDefault="00DF6A60" w:rsidP="00DF6A60">
      <w:pPr>
        <w:pStyle w:val="Heading4"/>
        <w:rPr>
          <w:rFonts w:eastAsiaTheme="minorHAnsi" w:cs="Cambria"/>
        </w:rPr>
      </w:pPr>
      <w:r w:rsidRPr="00F6727E">
        <w:t>Pharmacology</w:t>
      </w:r>
    </w:p>
    <w:p w14:paraId="01F109A3" w14:textId="6F06C508" w:rsidR="00DF6A60" w:rsidRPr="00F6727E" w:rsidRDefault="00704B18" w:rsidP="00DF6A60">
      <w:pPr>
        <w:pStyle w:val="Heading5"/>
      </w:pPr>
      <w:r w:rsidRPr="00F6727E">
        <w:t>Pharmacokinetics</w:t>
      </w:r>
    </w:p>
    <w:p w14:paraId="170B5D00" w14:textId="71B5A6AA" w:rsidR="00DF6A60" w:rsidRPr="00F6727E" w:rsidRDefault="00DF6A60" w:rsidP="00DF6A60">
      <w:r w:rsidRPr="00F6727E">
        <w:t xml:space="preserve">Although the number of studies containing previously unevaluated </w:t>
      </w:r>
      <w:r w:rsidR="009F2B69">
        <w:t>pharmacokinetic (</w:t>
      </w:r>
      <w:r w:rsidRPr="00F6727E">
        <w:t>PK</w:t>
      </w:r>
      <w:r w:rsidR="009F2B69">
        <w:t>)</w:t>
      </w:r>
      <w:r w:rsidRPr="00F6727E">
        <w:t xml:space="preserve"> data was limited, the conduct of the new studies was satisfactory, the data analyses undertaken were appropriate and the analytical methods used to measure exposure levels were validated.</w:t>
      </w:r>
    </w:p>
    <w:p w14:paraId="29FB97FA" w14:textId="2D7B4E98" w:rsidR="00DF6A60" w:rsidRPr="00F6727E" w:rsidRDefault="00DF6A60" w:rsidP="00DF6A60">
      <w:r w:rsidRPr="00F6727E">
        <w:t xml:space="preserve">No new information was provided in the evaluation materials regarding the absorption, distribution, </w:t>
      </w:r>
      <w:proofErr w:type="gramStart"/>
      <w:r w:rsidRPr="00F6727E">
        <w:t>metabolism</w:t>
      </w:r>
      <w:proofErr w:type="gramEnd"/>
      <w:r w:rsidRPr="00F6727E">
        <w:t xml:space="preserve"> and excretion of the active components of </w:t>
      </w:r>
      <w:proofErr w:type="spellStart"/>
      <w:r w:rsidR="0017179D" w:rsidRPr="00F6727E">
        <w:t>Trelegy</w:t>
      </w:r>
      <w:proofErr w:type="spellEnd"/>
      <w:r w:rsidR="0017179D" w:rsidRPr="00F6727E">
        <w:t xml:space="preserve"> Ellipta</w:t>
      </w:r>
      <w:r w:rsidR="004B4DA8" w:rsidRPr="00F6727E">
        <w:t xml:space="preserve"> in healthy subjects.</w:t>
      </w:r>
    </w:p>
    <w:p w14:paraId="34022D89" w14:textId="7DE7E8BF" w:rsidR="00DF6A60" w:rsidRPr="00F6727E" w:rsidRDefault="0017179D" w:rsidP="00DF6A60">
      <w:proofErr w:type="spellStart"/>
      <w:r w:rsidRPr="00F6727E">
        <w:t>Trelegy</w:t>
      </w:r>
      <w:proofErr w:type="spellEnd"/>
      <w:r w:rsidRPr="00F6727E">
        <w:t xml:space="preserve"> Ellipta</w:t>
      </w:r>
      <w:r w:rsidR="00DF6A60" w:rsidRPr="00F6727E">
        <w:t xml:space="preserve"> is to be administered via a novel </w:t>
      </w:r>
      <w:r w:rsidR="003F0F68" w:rsidRPr="00F6727E">
        <w:t xml:space="preserve">dry powder inhaler </w:t>
      </w:r>
      <w:r w:rsidR="00DF6A60" w:rsidRPr="00F6727E">
        <w:t>that is identical to the currently approved inhaler</w:t>
      </w:r>
      <w:r w:rsidR="004B4DA8" w:rsidRPr="00F6727E">
        <w:t>.</w:t>
      </w:r>
    </w:p>
    <w:p w14:paraId="5299A0D5" w14:textId="720E8BB1" w:rsidR="00DF6A60" w:rsidRPr="00F6727E" w:rsidRDefault="009F2B69" w:rsidP="00DF6A60">
      <w:r>
        <w:lastRenderedPageBreak/>
        <w:t>Population pharmacokinetic</w:t>
      </w:r>
      <w:r w:rsidRPr="00F6727E">
        <w:t xml:space="preserve"> </w:t>
      </w:r>
      <w:r>
        <w:t>(</w:t>
      </w:r>
      <w:proofErr w:type="spellStart"/>
      <w:r>
        <w:t>popPK</w:t>
      </w:r>
      <w:proofErr w:type="spellEnd"/>
      <w:r>
        <w:t xml:space="preserve">) </w:t>
      </w:r>
      <w:r w:rsidR="00DF6A60" w:rsidRPr="00F6727E">
        <w:t>analyses indicated that there was no clinically r</w:t>
      </w:r>
      <w:r w:rsidR="00F702A4" w:rsidRPr="00F6727E">
        <w:t xml:space="preserve">elevant difference in the model </w:t>
      </w:r>
      <w:r w:rsidR="00DF6A60" w:rsidRPr="00F6727E">
        <w:t xml:space="preserve">predicted systemic exposure to </w:t>
      </w:r>
      <w:r w:rsidR="00584451" w:rsidRPr="00F6727E">
        <w:t>fluticasone furoate</w:t>
      </w:r>
      <w:r w:rsidR="00DF6A60" w:rsidRPr="00F6727E">
        <w:t xml:space="preserve"> or </w:t>
      </w:r>
      <w:r w:rsidR="00F702A4" w:rsidRPr="00F6727E">
        <w:t xml:space="preserve">vilanterol </w:t>
      </w:r>
      <w:r w:rsidR="00DF6A60" w:rsidRPr="00F6727E">
        <w:t xml:space="preserve">following administration of either </w:t>
      </w:r>
      <w:r w:rsidR="00584451" w:rsidRPr="00F6727E">
        <w:t>fluticasone furoate</w:t>
      </w:r>
      <w:r w:rsidR="00F702A4" w:rsidRPr="00F6727E">
        <w:t xml:space="preserve"> </w:t>
      </w:r>
      <w:r w:rsidR="00DF6A60" w:rsidRPr="00F6727E">
        <w:t>/</w:t>
      </w:r>
      <w:r w:rsidR="00F702A4" w:rsidRPr="00F6727E">
        <w:t xml:space="preserve"> </w:t>
      </w:r>
      <w:r w:rsidR="00584451" w:rsidRPr="00F6727E">
        <w:t>umeclidinium</w:t>
      </w:r>
      <w:r w:rsidR="00F702A4" w:rsidRPr="00F6727E">
        <w:t xml:space="preserve"> </w:t>
      </w:r>
      <w:r w:rsidR="00DF6A60" w:rsidRPr="00F6727E">
        <w:t>/</w:t>
      </w:r>
      <w:r w:rsidR="00F702A4" w:rsidRPr="00F6727E">
        <w:t xml:space="preserve"> </w:t>
      </w:r>
      <w:r w:rsidR="00584451" w:rsidRPr="00F6727E">
        <w:t>vilanterol</w:t>
      </w:r>
      <w:r w:rsidR="00DF6A60" w:rsidRPr="00F6727E">
        <w:t xml:space="preserve"> or </w:t>
      </w:r>
      <w:r w:rsidR="00584451" w:rsidRPr="00F6727E">
        <w:t>fluticasone furoate</w:t>
      </w:r>
      <w:r w:rsidR="00F702A4" w:rsidRPr="00F6727E">
        <w:t xml:space="preserve"> </w:t>
      </w:r>
      <w:r w:rsidR="00DF6A60" w:rsidRPr="00F6727E">
        <w:t>/</w:t>
      </w:r>
      <w:r w:rsidR="00F702A4" w:rsidRPr="00F6727E">
        <w:t xml:space="preserve"> </w:t>
      </w:r>
      <w:r w:rsidR="00584451" w:rsidRPr="00F6727E">
        <w:t>vilanterol</w:t>
      </w:r>
      <w:r w:rsidR="00DF6A60" w:rsidRPr="00F6727E">
        <w:t xml:space="preserve">. Additionally, increases in </w:t>
      </w:r>
      <w:r w:rsidR="00584451" w:rsidRPr="00F6727E">
        <w:t>fluticasone furoate</w:t>
      </w:r>
      <w:r w:rsidR="00DF6A60" w:rsidRPr="00F6727E">
        <w:t xml:space="preserve"> exposure were dose proportional </w:t>
      </w:r>
      <w:r w:rsidR="00F702A4" w:rsidRPr="00F6727E">
        <w:t>following administration of 100 µg and 200 </w:t>
      </w:r>
      <w:r w:rsidR="00DF6A60" w:rsidRPr="00F6727E">
        <w:t xml:space="preserve">µg </w:t>
      </w:r>
      <w:r w:rsidR="00584451" w:rsidRPr="00F6727E">
        <w:t>fluticasone furoate</w:t>
      </w:r>
      <w:r w:rsidR="00DF6A60" w:rsidRPr="00F6727E">
        <w:t xml:space="preserve"> given as part of either the triple therapy or the dual combination. Overall, increases in plasma </w:t>
      </w:r>
      <w:r w:rsidR="00584451" w:rsidRPr="00F6727E">
        <w:t>umeclidinium</w:t>
      </w:r>
      <w:r w:rsidR="00DF6A60" w:rsidRPr="00F6727E">
        <w:t xml:space="preserve"> exposure appeared to be slightly greater than dose proportional following single and multiple </w:t>
      </w:r>
      <w:r w:rsidR="00632557" w:rsidRPr="00F6727E">
        <w:t xml:space="preserve">once daily </w:t>
      </w:r>
      <w:r w:rsidR="00DF6A60" w:rsidRPr="00F6727E">
        <w:t>doses from 62.5</w:t>
      </w:r>
      <w:r w:rsidR="00F702A4" w:rsidRPr="00F6727E">
        <w:t> </w:t>
      </w:r>
      <w:r w:rsidR="00DF6A60" w:rsidRPr="00F6727E">
        <w:t>µg to 250</w:t>
      </w:r>
      <w:r w:rsidR="00F702A4" w:rsidRPr="00F6727E">
        <w:t> </w:t>
      </w:r>
      <w:r w:rsidR="00DF6A60" w:rsidRPr="00F6727E">
        <w:t xml:space="preserve">µg </w:t>
      </w:r>
      <w:r w:rsidR="00584451" w:rsidRPr="00F6727E">
        <w:t>umeclidinium</w:t>
      </w:r>
      <w:r w:rsidR="00DF6A60" w:rsidRPr="00F6727E">
        <w:t xml:space="preserve">. By contrast, </w:t>
      </w:r>
      <w:proofErr w:type="spellStart"/>
      <w:r w:rsidR="00DF6A60" w:rsidRPr="00F6727E">
        <w:t>popPK</w:t>
      </w:r>
      <w:proofErr w:type="spellEnd"/>
      <w:r w:rsidR="00DF6A60" w:rsidRPr="00F6727E">
        <w:t xml:space="preserve"> analysis indicated that when administered as part of the triple therapy (</w:t>
      </w:r>
      <w:r w:rsidR="00584451" w:rsidRPr="00F6727E">
        <w:t>fluticasone furoate</w:t>
      </w:r>
      <w:r w:rsidR="00F702A4" w:rsidRPr="00F6727E">
        <w:t xml:space="preserve"> </w:t>
      </w:r>
      <w:r w:rsidR="00DF6A60" w:rsidRPr="00F6727E">
        <w:t>/</w:t>
      </w:r>
      <w:r w:rsidR="00F702A4" w:rsidRPr="00F6727E">
        <w:t xml:space="preserve"> </w:t>
      </w:r>
      <w:r w:rsidR="00584451" w:rsidRPr="00F6727E">
        <w:t>umeclidinium</w:t>
      </w:r>
      <w:r w:rsidR="00F702A4" w:rsidRPr="00F6727E">
        <w:t xml:space="preserve"> </w:t>
      </w:r>
      <w:r w:rsidR="00DF6A60" w:rsidRPr="00F6727E">
        <w:t>/</w:t>
      </w:r>
      <w:r w:rsidR="00F702A4" w:rsidRPr="00F6727E">
        <w:t xml:space="preserve"> </w:t>
      </w:r>
      <w:r w:rsidR="00584451" w:rsidRPr="00F6727E">
        <w:t>vilanterol</w:t>
      </w:r>
      <w:r w:rsidR="00DF6A60" w:rsidRPr="00F6727E">
        <w:t xml:space="preserve">), plasma </w:t>
      </w:r>
      <w:r w:rsidR="00584451" w:rsidRPr="00F6727E">
        <w:t>umeclidinium</w:t>
      </w:r>
      <w:r w:rsidR="00DF6A60" w:rsidRPr="00F6727E">
        <w:t xml:space="preserve"> concentrations were slightly less than dose proportional (0.879) following doses containing 31.25</w:t>
      </w:r>
      <w:r w:rsidR="00F702A4" w:rsidRPr="00F6727E">
        <w:t> </w:t>
      </w:r>
      <w:r w:rsidR="00DF6A60" w:rsidRPr="00F6727E">
        <w:t xml:space="preserve">µg </w:t>
      </w:r>
      <w:r w:rsidR="00584451" w:rsidRPr="00F6727E">
        <w:t>umeclidinium</w:t>
      </w:r>
      <w:r w:rsidR="00DF6A60" w:rsidRPr="00F6727E">
        <w:t xml:space="preserve"> compared to </w:t>
      </w:r>
      <w:r w:rsidR="00584451" w:rsidRPr="00F6727E">
        <w:t>fluticasone furoate</w:t>
      </w:r>
      <w:r w:rsidR="00F702A4" w:rsidRPr="00F6727E">
        <w:t xml:space="preserve"> </w:t>
      </w:r>
      <w:r w:rsidR="00DF6A60" w:rsidRPr="00F6727E">
        <w:t>/</w:t>
      </w:r>
      <w:r w:rsidR="00F702A4" w:rsidRPr="00F6727E">
        <w:t xml:space="preserve"> </w:t>
      </w:r>
      <w:r w:rsidR="00584451" w:rsidRPr="00F6727E">
        <w:t>umeclidinium</w:t>
      </w:r>
      <w:r w:rsidR="00F702A4" w:rsidRPr="00F6727E">
        <w:t xml:space="preserve"> </w:t>
      </w:r>
      <w:r w:rsidR="00DF6A60" w:rsidRPr="00F6727E">
        <w:t>/</w:t>
      </w:r>
      <w:r w:rsidR="00F702A4" w:rsidRPr="00F6727E">
        <w:t xml:space="preserve"> </w:t>
      </w:r>
      <w:r w:rsidR="00584451" w:rsidRPr="00F6727E">
        <w:t>vilanterol</w:t>
      </w:r>
      <w:r w:rsidR="00DF6A60" w:rsidRPr="00F6727E">
        <w:t xml:space="preserve"> doses containing 62.5</w:t>
      </w:r>
      <w:r w:rsidR="00F702A4" w:rsidRPr="00F6727E">
        <w:t> </w:t>
      </w:r>
      <w:r w:rsidR="00DF6A60" w:rsidRPr="00F6727E">
        <w:t xml:space="preserve">µg </w:t>
      </w:r>
      <w:r w:rsidR="00584451" w:rsidRPr="00F6727E">
        <w:t>umeclidinium</w:t>
      </w:r>
      <w:r w:rsidR="00DF6A60" w:rsidRPr="00F6727E">
        <w:t>.</w:t>
      </w:r>
    </w:p>
    <w:p w14:paraId="6ABBF0D4" w14:textId="77777777" w:rsidR="00DF6A60" w:rsidRPr="00F6727E" w:rsidRDefault="00DF6A60" w:rsidP="00704B18">
      <w:pPr>
        <w:pStyle w:val="Heading6"/>
      </w:pPr>
      <w:r w:rsidRPr="00F6727E">
        <w:t>Pharmacokinetics in the target population</w:t>
      </w:r>
    </w:p>
    <w:p w14:paraId="4712F2F8" w14:textId="4CB681DC" w:rsidR="00DF6A60" w:rsidRPr="00F6727E" w:rsidRDefault="00DF6A60" w:rsidP="00DF6A60">
      <w:r w:rsidRPr="00F6727E">
        <w:t xml:space="preserve">Overall, </w:t>
      </w:r>
      <w:proofErr w:type="spellStart"/>
      <w:r w:rsidRPr="00F6727E">
        <w:t>popPK</w:t>
      </w:r>
      <w:proofErr w:type="spellEnd"/>
      <w:r w:rsidRPr="00F6727E">
        <w:t xml:space="preserve"> derived exposure parameters for </w:t>
      </w:r>
      <w:r w:rsidR="00584451" w:rsidRPr="00F6727E">
        <w:t>fluticasone furoate</w:t>
      </w:r>
      <w:r w:rsidRPr="00F6727E">
        <w:t xml:space="preserve">, </w:t>
      </w:r>
      <w:r w:rsidR="00584451" w:rsidRPr="00F6727E">
        <w:t>umeclidinium</w:t>
      </w:r>
      <w:r w:rsidRPr="00F6727E">
        <w:t xml:space="preserve"> and </w:t>
      </w:r>
      <w:r w:rsidR="00584451" w:rsidRPr="00F6727E">
        <w:t>vilanterol</w:t>
      </w:r>
      <w:r w:rsidRPr="00F6727E">
        <w:t xml:space="preserve"> were comparable in uncontrolled asthmatics and patients with COPD.</w:t>
      </w:r>
    </w:p>
    <w:p w14:paraId="3CFFFAE5" w14:textId="77777777" w:rsidR="00DF6A60" w:rsidRPr="00F6727E" w:rsidRDefault="00DF6A60" w:rsidP="00704B18">
      <w:pPr>
        <w:pStyle w:val="Heading6"/>
      </w:pPr>
      <w:r w:rsidRPr="00F6727E">
        <w:t>Pharmacokinetics in special populations</w:t>
      </w:r>
    </w:p>
    <w:p w14:paraId="4349051F" w14:textId="6483AC5B" w:rsidR="00DF6A60" w:rsidRPr="00F6727E" w:rsidRDefault="00007827" w:rsidP="00DF6A60">
      <w:r>
        <w:t>Population pharmacokinetic</w:t>
      </w:r>
      <w:r w:rsidR="00DF6A60" w:rsidRPr="00F6727E">
        <w:t xml:space="preserve"> analyses indicated that age, race and gender had no clinically relevant effects on </w:t>
      </w:r>
      <w:r w:rsidR="00584451" w:rsidRPr="00F6727E">
        <w:t>fluticasone furoate</w:t>
      </w:r>
      <w:r w:rsidR="00DF6A60" w:rsidRPr="00F6727E">
        <w:t xml:space="preserve"> or </w:t>
      </w:r>
      <w:r w:rsidR="00584451" w:rsidRPr="00F6727E">
        <w:t>umeclidinium</w:t>
      </w:r>
      <w:r w:rsidR="00DF6A60" w:rsidRPr="00F6727E">
        <w:t xml:space="preserve"> PKs in patients with inadequately controlled asthma, whereas, consistent with previously developed </w:t>
      </w:r>
      <w:proofErr w:type="spellStart"/>
      <w:r w:rsidR="00DF6A60" w:rsidRPr="00F6727E">
        <w:t>popPK</w:t>
      </w:r>
      <w:proofErr w:type="spellEnd"/>
      <w:r w:rsidR="00DF6A60" w:rsidRPr="00F6727E">
        <w:t xml:space="preserve"> models, </w:t>
      </w:r>
      <w:r w:rsidR="00584451" w:rsidRPr="00F6727E">
        <w:t>vilanterol</w:t>
      </w:r>
      <w:r w:rsidR="00DF6A60" w:rsidRPr="00F6727E">
        <w:t xml:space="preserve"> </w:t>
      </w:r>
      <w:r w:rsidR="00F91944" w:rsidRPr="00F6727E">
        <w:t xml:space="preserve">maximum </w:t>
      </w:r>
      <w:r>
        <w:t>c</w:t>
      </w:r>
      <w:r w:rsidR="00F91944" w:rsidRPr="00F6727E">
        <w:t>oncentration (</w:t>
      </w:r>
      <w:proofErr w:type="spellStart"/>
      <w:r w:rsidR="00DF6A60" w:rsidRPr="00F6727E">
        <w:t>C</w:t>
      </w:r>
      <w:r w:rsidR="00DF6A60" w:rsidRPr="00F6727E">
        <w:rPr>
          <w:vertAlign w:val="subscript"/>
        </w:rPr>
        <w:t>max</w:t>
      </w:r>
      <w:proofErr w:type="spellEnd"/>
      <w:r w:rsidR="00F91944" w:rsidRPr="00F6727E">
        <w:t>)</w:t>
      </w:r>
      <w:r>
        <w:t xml:space="preserve"> at steady state</w:t>
      </w:r>
      <w:r w:rsidR="00F91944" w:rsidRPr="00F6727E">
        <w:t xml:space="preserve"> </w:t>
      </w:r>
      <w:r w:rsidR="00DF6A60" w:rsidRPr="00F6727E">
        <w:t xml:space="preserve">was </w:t>
      </w:r>
      <w:r w:rsidR="00F702A4" w:rsidRPr="00F6727E">
        <w:t>two</w:t>
      </w:r>
      <w:r w:rsidR="00DF6A60" w:rsidRPr="00F6727E">
        <w:t xml:space="preserve"> to </w:t>
      </w:r>
      <w:r w:rsidR="00F702A4" w:rsidRPr="00F6727E">
        <w:t xml:space="preserve">three </w:t>
      </w:r>
      <w:r w:rsidR="00DF6A60" w:rsidRPr="00F6727E">
        <w:t xml:space="preserve">fold higher in East Asian subjects. By contrast, race had little effect on </w:t>
      </w:r>
      <w:r w:rsidR="00584451" w:rsidRPr="00F6727E">
        <w:t>vilanterol</w:t>
      </w:r>
      <w:r w:rsidR="00DF6A60" w:rsidRPr="00F6727E">
        <w:t xml:space="preserve"> </w:t>
      </w:r>
      <w:r w:rsidR="00BD137C" w:rsidRPr="00F6727E">
        <w:t>area under the concentration time curve (</w:t>
      </w:r>
      <w:r w:rsidR="00DF6A60" w:rsidRPr="00F6727E">
        <w:t>AUC</w:t>
      </w:r>
      <w:r w:rsidR="00BD137C" w:rsidRPr="00F6727E">
        <w:t>)</w:t>
      </w:r>
      <w:r w:rsidR="00DF6A60" w:rsidRPr="00F6727E">
        <w:t xml:space="preserve"> and no dose adjustment was warranted for this covariate based on the predicted systemic exposures.</w:t>
      </w:r>
    </w:p>
    <w:p w14:paraId="039ECC5A" w14:textId="685152EE" w:rsidR="00DF6A60" w:rsidRPr="00F6727E" w:rsidRDefault="00704B18" w:rsidP="00DF6A60">
      <w:pPr>
        <w:pStyle w:val="Heading5"/>
      </w:pPr>
      <w:r w:rsidRPr="00F6727E">
        <w:t xml:space="preserve">Population </w:t>
      </w:r>
      <w:r w:rsidR="00F702A4" w:rsidRPr="00F6727E">
        <w:t>pharmacokinetics</w:t>
      </w:r>
      <w:r w:rsidRPr="00F6727E">
        <w:t xml:space="preserve"> data</w:t>
      </w:r>
    </w:p>
    <w:p w14:paraId="7E1242A7" w14:textId="18F5033E" w:rsidR="00DF6A60" w:rsidRPr="00F6727E" w:rsidRDefault="00DF6A60" w:rsidP="00DF6A60">
      <w:r w:rsidRPr="00F6727E">
        <w:t xml:space="preserve">In patients with inadequately controlled asthma, </w:t>
      </w:r>
      <w:r w:rsidR="00584451" w:rsidRPr="00F6727E">
        <w:t>fluticasone furoate</w:t>
      </w:r>
      <w:r w:rsidRPr="00F6727E">
        <w:t xml:space="preserve"> plasma concentrations were well described by a </w:t>
      </w:r>
      <w:proofErr w:type="gramStart"/>
      <w:r w:rsidRPr="00F6727E">
        <w:t>two</w:t>
      </w:r>
      <w:r w:rsidR="00F702A4" w:rsidRPr="00F6727E">
        <w:t xml:space="preserve"> </w:t>
      </w:r>
      <w:r w:rsidRPr="00F6727E">
        <w:t>compartment</w:t>
      </w:r>
      <w:proofErr w:type="gramEnd"/>
      <w:r w:rsidRPr="00F6727E">
        <w:t xml:space="preserve"> model with first</w:t>
      </w:r>
      <w:r w:rsidR="00F702A4" w:rsidRPr="00F6727E">
        <w:t xml:space="preserve"> </w:t>
      </w:r>
      <w:r w:rsidRPr="00F6727E">
        <w:t xml:space="preserve">order absorption and elimination. The only covariate identified as statistically significant was body weight on </w:t>
      </w:r>
      <w:r w:rsidR="00584451" w:rsidRPr="00F6727E">
        <w:t>fluticasone furoate</w:t>
      </w:r>
      <w:r w:rsidRPr="00F6727E">
        <w:t xml:space="preserve"> </w:t>
      </w:r>
      <w:r w:rsidR="009F2B69">
        <w:t>apparent</w:t>
      </w:r>
      <w:r w:rsidR="00F702A4" w:rsidRPr="00F6727E">
        <w:t xml:space="preserve"> clearance (</w:t>
      </w:r>
      <w:r w:rsidRPr="00F6727E">
        <w:t>CL/F</w:t>
      </w:r>
      <w:r w:rsidR="00F702A4" w:rsidRPr="00F6727E">
        <w:t>)</w:t>
      </w:r>
      <w:r w:rsidRPr="00F6727E">
        <w:t xml:space="preserve">; however, further simulations indicated that no dose adjustment based on </w:t>
      </w:r>
      <w:r w:rsidR="004B4DA8" w:rsidRPr="00F6727E">
        <w:t>subject’s weight was warranted.</w:t>
      </w:r>
    </w:p>
    <w:p w14:paraId="1D93F615" w14:textId="45E5723B" w:rsidR="00DF6A60" w:rsidRPr="00F6727E" w:rsidRDefault="00F702A4" w:rsidP="00DF6A60">
      <w:r w:rsidRPr="00F6727E">
        <w:t xml:space="preserve">Umeclidinium </w:t>
      </w:r>
      <w:r w:rsidR="00DF6A60" w:rsidRPr="00F6727E">
        <w:t xml:space="preserve">plasma concentrations were well described by a </w:t>
      </w:r>
      <w:proofErr w:type="gramStart"/>
      <w:r w:rsidR="00DF6A60" w:rsidRPr="00F6727E">
        <w:t>two</w:t>
      </w:r>
      <w:r w:rsidRPr="00F6727E">
        <w:t xml:space="preserve"> </w:t>
      </w:r>
      <w:r w:rsidR="00DF6A60" w:rsidRPr="00F6727E">
        <w:t>compartment</w:t>
      </w:r>
      <w:proofErr w:type="gramEnd"/>
      <w:r w:rsidR="00DF6A60" w:rsidRPr="00F6727E">
        <w:t xml:space="preserve"> model with </w:t>
      </w:r>
      <w:r w:rsidRPr="00F6727E">
        <w:t xml:space="preserve">intravenous </w:t>
      </w:r>
      <w:r w:rsidR="00DF6A60" w:rsidRPr="00F6727E">
        <w:t>bolus input and first</w:t>
      </w:r>
      <w:r w:rsidRPr="00F6727E">
        <w:t xml:space="preserve"> </w:t>
      </w:r>
      <w:r w:rsidR="00DF6A60" w:rsidRPr="00F6727E">
        <w:t xml:space="preserve">order elimination. Two significant covariates were identified, the effect of </w:t>
      </w:r>
      <w:r w:rsidR="0094203D" w:rsidRPr="00F6727E">
        <w:t>creatinine clearance (</w:t>
      </w:r>
      <w:proofErr w:type="spellStart"/>
      <w:r w:rsidR="00DF6A60" w:rsidRPr="00F6727E">
        <w:t>CrCL</w:t>
      </w:r>
      <w:proofErr w:type="spellEnd"/>
      <w:r w:rsidR="0094203D" w:rsidRPr="00F6727E">
        <w:t>)</w:t>
      </w:r>
      <w:r w:rsidR="00DF6A60" w:rsidRPr="00F6727E">
        <w:t xml:space="preserve"> on </w:t>
      </w:r>
      <w:r w:rsidR="00584451" w:rsidRPr="00F6727E">
        <w:t>umeclidinium</w:t>
      </w:r>
      <w:r w:rsidR="00DF6A60" w:rsidRPr="00F6727E">
        <w:t xml:space="preserve"> CL/F and weight on </w:t>
      </w:r>
      <w:r w:rsidR="0094203D" w:rsidRPr="00F6727E">
        <w:t>apparent volume of distribution of the central compartment (</w:t>
      </w:r>
      <w:r w:rsidR="00DF6A60" w:rsidRPr="00F6727E">
        <w:t>V1/F</w:t>
      </w:r>
      <w:r w:rsidR="0094203D" w:rsidRPr="00F6727E">
        <w:t>)</w:t>
      </w:r>
      <w:r w:rsidR="00DF6A60" w:rsidRPr="00F6727E">
        <w:t xml:space="preserve">; however, further simulations indicated that no dose adjustment based on either of </w:t>
      </w:r>
      <w:r w:rsidR="004B4DA8" w:rsidRPr="00F6727E">
        <w:t>these covariates was warranted.</w:t>
      </w:r>
    </w:p>
    <w:p w14:paraId="50544F61" w14:textId="2A78063D" w:rsidR="00DF6A60" w:rsidRPr="00F6727E" w:rsidRDefault="0094203D" w:rsidP="00DF6A60">
      <w:r w:rsidRPr="00F6727E">
        <w:t xml:space="preserve">Vilanterol </w:t>
      </w:r>
      <w:r w:rsidR="00DF6A60" w:rsidRPr="00F6727E">
        <w:t>plasma concentrations were described by a three-compartment model with zero</w:t>
      </w:r>
      <w:r w:rsidRPr="00F6727E">
        <w:t xml:space="preserve"> </w:t>
      </w:r>
      <w:r w:rsidR="00DF6A60" w:rsidRPr="00F6727E">
        <w:t>order input and first</w:t>
      </w:r>
      <w:r w:rsidRPr="00F6727E">
        <w:t xml:space="preserve"> </w:t>
      </w:r>
      <w:r w:rsidR="00DF6A60" w:rsidRPr="00F6727E">
        <w:t xml:space="preserve">order elimination. Race (East Asian, </w:t>
      </w:r>
      <w:proofErr w:type="gramStart"/>
      <w:r w:rsidR="00DF6A60" w:rsidRPr="00F6727E">
        <w:t>Japanese</w:t>
      </w:r>
      <w:proofErr w:type="gramEnd"/>
      <w:r w:rsidR="00DF6A60" w:rsidRPr="00F6727E">
        <w:t xml:space="preserve"> and South East Asian </w:t>
      </w:r>
      <w:r w:rsidR="00007827">
        <w:t>ethnicity</w:t>
      </w:r>
      <w:r w:rsidR="00DF6A60" w:rsidRPr="00F6727E">
        <w:t xml:space="preserve">) was identified as a significant covariate for </w:t>
      </w:r>
      <w:r w:rsidR="00584451" w:rsidRPr="00F6727E">
        <w:t>vilanterol</w:t>
      </w:r>
      <w:r w:rsidR="00DF6A60" w:rsidRPr="00F6727E">
        <w:t xml:space="preserve"> V1/</w:t>
      </w:r>
      <w:r w:rsidR="004B4DA8" w:rsidRPr="00F6727E">
        <w:t>F but this effect was marginal.</w:t>
      </w:r>
    </w:p>
    <w:p w14:paraId="49E5C4A6" w14:textId="362646F9" w:rsidR="00DF6A60" w:rsidRPr="00F6727E" w:rsidRDefault="00704B18" w:rsidP="00DF6A60">
      <w:pPr>
        <w:pStyle w:val="Heading5"/>
      </w:pPr>
      <w:r w:rsidRPr="00F6727E">
        <w:t>Pharmacodynamics</w:t>
      </w:r>
    </w:p>
    <w:p w14:paraId="0EB5E8D4" w14:textId="5A6AC62D" w:rsidR="00DF6A60" w:rsidRPr="00F6727E" w:rsidRDefault="00DF6A60" w:rsidP="00DF6A60">
      <w:r w:rsidRPr="00F6727E">
        <w:t xml:space="preserve">No new studies examined the </w:t>
      </w:r>
      <w:r w:rsidR="00007827">
        <w:t>pharmacodynamic (</w:t>
      </w:r>
      <w:r w:rsidRPr="00F6727E">
        <w:t>PD</w:t>
      </w:r>
      <w:r w:rsidR="00007827">
        <w:t>)</w:t>
      </w:r>
      <w:r w:rsidRPr="00F6727E">
        <w:t xml:space="preserve"> properties of the active components of </w:t>
      </w:r>
      <w:proofErr w:type="spellStart"/>
      <w:r w:rsidR="0017179D" w:rsidRPr="00F6727E">
        <w:t>Trelegy</w:t>
      </w:r>
      <w:proofErr w:type="spellEnd"/>
      <w:r w:rsidR="0017179D" w:rsidRPr="00F6727E">
        <w:t xml:space="preserve"> Ellipta</w:t>
      </w:r>
      <w:r w:rsidRPr="00F6727E">
        <w:t xml:space="preserve"> in patients with asthma. However, a single PD study investigated the inhalation profiles of healthy volunteers, </w:t>
      </w:r>
      <w:proofErr w:type="gramStart"/>
      <w:r w:rsidRPr="00F6727E">
        <w:t>asthma</w:t>
      </w:r>
      <w:proofErr w:type="gramEnd"/>
      <w:r w:rsidRPr="00F6727E">
        <w:t xml:space="preserve"> and COPD patients in the absence of active drug. The results of this study indicated that the peak pressure drop, inhaled volume, inhalation time and average inhalation flow rate were similar between healthy subjects and asthmatic subjects, regardless of asthma severity.</w:t>
      </w:r>
    </w:p>
    <w:p w14:paraId="73B1BC4B" w14:textId="77777777" w:rsidR="00DF6A60" w:rsidRPr="00F6727E" w:rsidRDefault="00DF6A60" w:rsidP="00DF6A60">
      <w:pPr>
        <w:pStyle w:val="Heading4"/>
      </w:pPr>
      <w:r w:rsidRPr="00F6727E">
        <w:lastRenderedPageBreak/>
        <w:t>Efficacy</w:t>
      </w:r>
    </w:p>
    <w:p w14:paraId="04917AB1" w14:textId="77777777" w:rsidR="00DF6A60" w:rsidRPr="00F6727E" w:rsidRDefault="00DF6A60" w:rsidP="00704B18">
      <w:pPr>
        <w:pStyle w:val="Heading5"/>
      </w:pPr>
      <w:r w:rsidRPr="00F6727E">
        <w:t>Dose finding for the pivotal studies</w:t>
      </w:r>
    </w:p>
    <w:p w14:paraId="5C1C8C13" w14:textId="59AD56F2" w:rsidR="00DF6A60" w:rsidRPr="00F6727E" w:rsidRDefault="00DF6A60" w:rsidP="00DF6A60">
      <w:r w:rsidRPr="00F6727E">
        <w:t xml:space="preserve">No new dedicated dose findings studies were undertaken as part of the current submission. In the pivotal </w:t>
      </w:r>
      <w:r w:rsidR="00CF346F" w:rsidRPr="00F6727E">
        <w:t xml:space="preserve">study (Study </w:t>
      </w:r>
      <w:r w:rsidRPr="00F6727E">
        <w:t>205715</w:t>
      </w:r>
      <w:r w:rsidR="00CF346F" w:rsidRPr="00F6727E">
        <w:t>)</w:t>
      </w:r>
      <w:r w:rsidRPr="00F6727E">
        <w:t xml:space="preserve"> </w:t>
      </w:r>
      <w:r w:rsidR="00584451" w:rsidRPr="00F6727E">
        <w:t>fluticasone furoate</w:t>
      </w:r>
      <w:r w:rsidR="00CF346F" w:rsidRPr="00F6727E">
        <w:t xml:space="preserve"> </w:t>
      </w:r>
      <w:r w:rsidRPr="00F6727E">
        <w:t>/</w:t>
      </w:r>
      <w:r w:rsidR="00CF346F" w:rsidRPr="00F6727E">
        <w:t xml:space="preserve"> </w:t>
      </w:r>
      <w:r w:rsidR="00584451" w:rsidRPr="00F6727E">
        <w:t>umeclidinium</w:t>
      </w:r>
      <w:r w:rsidR="00CF346F" w:rsidRPr="00F6727E">
        <w:t xml:space="preserve"> </w:t>
      </w:r>
      <w:r w:rsidRPr="00F6727E">
        <w:t>/</w:t>
      </w:r>
      <w:r w:rsidR="00CF346F" w:rsidRPr="00F6727E">
        <w:t xml:space="preserve"> </w:t>
      </w:r>
      <w:r w:rsidR="00584451" w:rsidRPr="00F6727E">
        <w:t>vilanterol</w:t>
      </w:r>
      <w:r w:rsidRPr="00F6727E">
        <w:t xml:space="preserve"> 100/31.25/25</w:t>
      </w:r>
      <w:r w:rsidR="00F91944" w:rsidRPr="00F6727E">
        <w:t> µg</w:t>
      </w:r>
      <w:r w:rsidRPr="00F6727E">
        <w:t>, 100/62.5/25</w:t>
      </w:r>
      <w:r w:rsidR="00F91944" w:rsidRPr="00F6727E">
        <w:t> µg</w:t>
      </w:r>
      <w:r w:rsidRPr="00F6727E">
        <w:t>, 200/31.25/25</w:t>
      </w:r>
      <w:r w:rsidR="00F91944" w:rsidRPr="00F6727E">
        <w:t> </w:t>
      </w:r>
      <w:proofErr w:type="gramStart"/>
      <w:r w:rsidR="00F91944" w:rsidRPr="00F6727E">
        <w:t>µg</w:t>
      </w:r>
      <w:proofErr w:type="gramEnd"/>
      <w:r w:rsidRPr="00F6727E">
        <w:t xml:space="preserve"> and 200/62.5/25</w:t>
      </w:r>
      <w:r w:rsidR="00F91944" w:rsidRPr="00F6727E">
        <w:t> µg</w:t>
      </w:r>
      <w:r w:rsidRPr="00F6727E">
        <w:t xml:space="preserve"> doses were evaluated. This study aimed to evaluate and demonstrate the potential benefit of adding </w:t>
      </w:r>
      <w:r w:rsidR="00584451" w:rsidRPr="00F6727E">
        <w:t>umeclidinium</w:t>
      </w:r>
      <w:r w:rsidRPr="00F6727E">
        <w:t xml:space="preserve"> to ICS/LABA therapy which constitutes maintenance therapy in severe asthma. As described in the study protocol, doses of </w:t>
      </w:r>
      <w:r w:rsidR="00584451" w:rsidRPr="00F6727E">
        <w:t>fluticasone furoate</w:t>
      </w:r>
      <w:r w:rsidRPr="00F6727E">
        <w:t xml:space="preserve"> and </w:t>
      </w:r>
      <w:r w:rsidR="00584451" w:rsidRPr="00F6727E">
        <w:t>vilanterol</w:t>
      </w:r>
      <w:r w:rsidRPr="00F6727E">
        <w:t xml:space="preserve"> in the proposed triple combination were selected based on the doses licensed by the Food and Drug Administration (FDA) and European Medicines Agency (EMA) for the treatment of asthma and data from the Phase </w:t>
      </w:r>
      <w:r w:rsidR="00CF346F" w:rsidRPr="00F6727E">
        <w:t>II</w:t>
      </w:r>
      <w:r w:rsidRPr="00F6727E">
        <w:t xml:space="preserve"> dose</w:t>
      </w:r>
      <w:r w:rsidR="00CF346F" w:rsidRPr="00F6727E">
        <w:t xml:space="preserve"> </w:t>
      </w:r>
      <w:r w:rsidRPr="00F6727E">
        <w:t xml:space="preserve">ranging study </w:t>
      </w:r>
      <w:r w:rsidR="00CF346F" w:rsidRPr="00F6727E">
        <w:t xml:space="preserve">(Study </w:t>
      </w:r>
      <w:r w:rsidRPr="00F6727E">
        <w:t>200699</w:t>
      </w:r>
      <w:r w:rsidR="00CF346F" w:rsidRPr="00F6727E">
        <w:t>)</w:t>
      </w:r>
      <w:r w:rsidRPr="00F6727E">
        <w:t xml:space="preserve">. It is noted that similar doses of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ar</w:t>
      </w:r>
      <w:r w:rsidR="004B4DA8" w:rsidRPr="00F6727E">
        <w:t>e approved in Australia.</w:t>
      </w:r>
    </w:p>
    <w:p w14:paraId="4E36A272" w14:textId="77777777" w:rsidR="00DF6A60" w:rsidRPr="00F6727E" w:rsidRDefault="00DF6A60" w:rsidP="00704B18">
      <w:pPr>
        <w:pStyle w:val="Heading5"/>
      </w:pPr>
      <w:r w:rsidRPr="00F6727E">
        <w:t>Pivotal study</w:t>
      </w:r>
    </w:p>
    <w:p w14:paraId="2102DEAF" w14:textId="4FAF5383" w:rsidR="00DF6A60" w:rsidRPr="00F6727E" w:rsidRDefault="00CF346F" w:rsidP="00DF6A60">
      <w:r w:rsidRPr="00F6727E">
        <w:t xml:space="preserve">Study </w:t>
      </w:r>
      <w:r w:rsidR="00DF6A60" w:rsidRPr="00F6727E">
        <w:t xml:space="preserve">205715 was a </w:t>
      </w:r>
      <w:r w:rsidR="00EB51B7">
        <w:t>P</w:t>
      </w:r>
      <w:r w:rsidR="00DF6A60" w:rsidRPr="00F6727E">
        <w:t>hase III randomised, multi</w:t>
      </w:r>
      <w:r w:rsidRPr="00F6727E">
        <w:t>-</w:t>
      </w:r>
      <w:r w:rsidR="00DF6A60" w:rsidRPr="00F6727E">
        <w:t>centre, double</w:t>
      </w:r>
      <w:r w:rsidRPr="00F6727E">
        <w:t xml:space="preserve"> </w:t>
      </w:r>
      <w:r w:rsidR="00DF6A60" w:rsidRPr="00F6727E">
        <w:t xml:space="preserve">blinded, parallel group study that aimed to compare the efficacy and safety of </w:t>
      </w:r>
      <w:r w:rsidR="00584451" w:rsidRPr="00F6727E">
        <w:t>fluticasone furoate</w:t>
      </w:r>
      <w:r w:rsidR="00632557" w:rsidRPr="00F6727E">
        <w:t xml:space="preserve"> </w:t>
      </w:r>
      <w:r w:rsidR="00DF6A60" w:rsidRPr="00F6727E">
        <w:t>/</w:t>
      </w:r>
      <w:r w:rsidR="00632557" w:rsidRPr="00F6727E">
        <w:t xml:space="preserve"> </w:t>
      </w:r>
      <w:r w:rsidR="00584451" w:rsidRPr="00F6727E">
        <w:t>umeclidinium</w:t>
      </w:r>
      <w:r w:rsidR="00632557" w:rsidRPr="00F6727E">
        <w:t xml:space="preserve"> </w:t>
      </w:r>
      <w:r w:rsidR="00DF6A60" w:rsidRPr="00F6727E">
        <w:t>/</w:t>
      </w:r>
      <w:r w:rsidR="00632557" w:rsidRPr="00F6727E">
        <w:t xml:space="preserve"> </w:t>
      </w:r>
      <w:r w:rsidR="00584451" w:rsidRPr="00F6727E">
        <w:t>vilanterol</w:t>
      </w:r>
      <w:r w:rsidR="00DF6A60" w:rsidRPr="00F6727E">
        <w:t xml:space="preserve"> to </w:t>
      </w:r>
      <w:r w:rsidR="00584451" w:rsidRPr="00F6727E">
        <w:t>fluticasone furoate</w:t>
      </w:r>
      <w:r w:rsidR="00632557" w:rsidRPr="00F6727E">
        <w:t xml:space="preserve"> </w:t>
      </w:r>
      <w:r w:rsidR="00DF6A60" w:rsidRPr="00F6727E">
        <w:t>/</w:t>
      </w:r>
      <w:r w:rsidR="00632557" w:rsidRPr="00F6727E">
        <w:t xml:space="preserve"> </w:t>
      </w:r>
      <w:r w:rsidR="00584451" w:rsidRPr="00F6727E">
        <w:t>vilanterol</w:t>
      </w:r>
      <w:r w:rsidR="00DF6A60" w:rsidRPr="00F6727E">
        <w:t xml:space="preserve"> in patients w</w:t>
      </w:r>
      <w:r w:rsidR="004B4DA8" w:rsidRPr="00F6727E">
        <w:t>ith asthma.</w:t>
      </w:r>
    </w:p>
    <w:p w14:paraId="0625AF4D" w14:textId="59940A35" w:rsidR="00DF6A60" w:rsidRPr="00F6727E" w:rsidRDefault="00DF6A60" w:rsidP="00DF6A60">
      <w:r w:rsidRPr="00F6727E">
        <w:t xml:space="preserve">The study included a run-in and stabilisation period prior to randomisation to treatment arms. In the </w:t>
      </w:r>
      <w:proofErr w:type="gramStart"/>
      <w:r w:rsidR="00CF346F" w:rsidRPr="00F6727E">
        <w:t xml:space="preserve">three </w:t>
      </w:r>
      <w:r w:rsidRPr="00F6727E">
        <w:t>week</w:t>
      </w:r>
      <w:proofErr w:type="gramEnd"/>
      <w:r w:rsidRPr="00F6727E">
        <w:t xml:space="preserve"> run-in period, patients’ current ICS/LABA asthma therapy was replaced with open</w:t>
      </w:r>
      <w:r w:rsidR="00CF346F" w:rsidRPr="00F6727E">
        <w:t xml:space="preserve"> </w:t>
      </w:r>
      <w:r w:rsidRPr="00F6727E">
        <w:t>label ICS/LABA fluticasone propionate</w:t>
      </w:r>
      <w:r w:rsidR="00CF346F" w:rsidRPr="00F6727E">
        <w:t xml:space="preserve"> </w:t>
      </w:r>
      <w:r w:rsidRPr="00F6727E">
        <w:t>/</w:t>
      </w:r>
      <w:r w:rsidR="00CF346F" w:rsidRPr="00F6727E">
        <w:t xml:space="preserve"> salmeterol 250/50 </w:t>
      </w:r>
      <w:r w:rsidR="00876AEB" w:rsidRPr="00F6727E">
        <w:t>µg</w:t>
      </w:r>
      <w:r w:rsidRPr="00F6727E">
        <w:t xml:space="preserve"> via </w:t>
      </w:r>
      <w:proofErr w:type="spellStart"/>
      <w:r w:rsidR="00D72E6D" w:rsidRPr="00F6727E">
        <w:t>Diskus</w:t>
      </w:r>
      <w:proofErr w:type="spellEnd"/>
      <w:r w:rsidR="00D72E6D" w:rsidRPr="00F6727E">
        <w:t xml:space="preserve"> </w:t>
      </w:r>
      <w:r w:rsidRPr="00F6727E">
        <w:t>dry powder inhaler twice</w:t>
      </w:r>
      <w:r w:rsidR="003F0F68" w:rsidRPr="00F6727E">
        <w:t xml:space="preserve"> daily</w:t>
      </w:r>
      <w:r w:rsidRPr="00F6727E">
        <w:t>. After the run-in period, patient</w:t>
      </w:r>
      <w:r w:rsidR="00B27725">
        <w:t>s</w:t>
      </w:r>
      <w:r w:rsidRPr="00F6727E">
        <w:t xml:space="preserve"> under</w:t>
      </w:r>
      <w:r w:rsidR="009143A4">
        <w:t>went</w:t>
      </w:r>
      <w:r w:rsidRPr="00F6727E">
        <w:t xml:space="preserve"> a stabilisation period during which they receive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100/25</w:t>
      </w:r>
      <w:r w:rsidR="00D72E6D" w:rsidRPr="00F6727E">
        <w:t> µg</w:t>
      </w:r>
      <w:r w:rsidRPr="00F6727E">
        <w:t xml:space="preserve"> via an Ellipta once in the morning for </w:t>
      </w:r>
      <w:r w:rsidR="00CF346F" w:rsidRPr="00F6727E">
        <w:t>two</w:t>
      </w:r>
      <w:r w:rsidRPr="00F6727E">
        <w:t xml:space="preserve"> weeks. The aim of this was to standardise patients prior to randomisation by washing out previous therapies and allow familiarisation with the Ellipta device.</w:t>
      </w:r>
    </w:p>
    <w:p w14:paraId="6EC2DAA3" w14:textId="6D53FA25" w:rsidR="00DF6A60" w:rsidRPr="00F6727E" w:rsidRDefault="00DF6A60" w:rsidP="00DF6A60">
      <w:r w:rsidRPr="00F6727E">
        <w:t xml:space="preserve">Following the run-in and stabilisation treatment periods, patients were randomised 1:1:1:1:1:1 </w:t>
      </w:r>
      <w:r w:rsidR="004B4DA8" w:rsidRPr="00F6727E">
        <w:t xml:space="preserve">to one of the </w:t>
      </w:r>
      <w:r w:rsidR="00CF346F" w:rsidRPr="00F6727E">
        <w:t>six</w:t>
      </w:r>
      <w:r w:rsidR="004B4DA8" w:rsidRPr="00F6727E">
        <w:t xml:space="preserve"> treatment arms.</w:t>
      </w:r>
    </w:p>
    <w:p w14:paraId="617285F9" w14:textId="57E4B16F" w:rsidR="005B6925" w:rsidRPr="00F6727E" w:rsidRDefault="005B6925" w:rsidP="005B6925">
      <w:pPr>
        <w:pStyle w:val="TableTitle"/>
      </w:pPr>
      <w:r w:rsidRPr="00F6727E">
        <w:t xml:space="preserve">Figure </w:t>
      </w:r>
      <w:r w:rsidR="00A759BC">
        <w:fldChar w:fldCharType="begin"/>
      </w:r>
      <w:r w:rsidR="00A759BC">
        <w:instrText xml:space="preserve"> SEQ Figure \* ARABIC </w:instrText>
      </w:r>
      <w:r w:rsidR="00A759BC">
        <w:fldChar w:fldCharType="separate"/>
      </w:r>
      <w:r w:rsidR="00501251">
        <w:rPr>
          <w:noProof/>
        </w:rPr>
        <w:t>1</w:t>
      </w:r>
      <w:r w:rsidR="00A759BC">
        <w:rPr>
          <w:noProof/>
        </w:rPr>
        <w:fldChar w:fldCharType="end"/>
      </w:r>
      <w:r w:rsidRPr="00F6727E">
        <w:t>: Study 205715 Study schematic</w:t>
      </w:r>
    </w:p>
    <w:p w14:paraId="38B0FFE2" w14:textId="0331194C" w:rsidR="006131F1" w:rsidRPr="00F6727E" w:rsidRDefault="006131F1" w:rsidP="00AD42E2">
      <w:r w:rsidRPr="00F6727E">
        <w:rPr>
          <w:noProof/>
          <w:lang w:val="en-GB" w:eastAsia="en-GB"/>
        </w:rPr>
        <w:drawing>
          <wp:inline distT="0" distB="0" distL="0" distR="0" wp14:anchorId="0DA43754" wp14:editId="3F401297">
            <wp:extent cx="5400040" cy="2993390"/>
            <wp:effectExtent l="0" t="0" r="0" b="0"/>
            <wp:docPr id="7" name="Picture 7" descr="Subjects for Study 205715 will complete the following 5 phases: Pre-screening (not included in the figure), run-in, stabilization, variable treatment and follow up periods.&#10;&#10;Run-in period: Subjects will enter the run-in period for approximately 3 weeks in order to continue to assess the subject’s eligibility for the study. Subjects satisfying all inclusion/exclusion criteria and who have successfully completed all protocol procedures at screening will be provided with fixed dose ICS/LABA (fluticasone/salmeterol [FSC]) &#10;&#10;Stabilization period: At the Enrolment Visit, subjects who meet all the eligibility criteria will be provided with fixed dose ICS/LABA (fluticasone/vilanterol [FF/VI], to take once daily during the 2-week stabilization period.&#10;&#10;Variable treatment period: At the Randomization Visit, subjects who meet all of the randomization criteria will be randomised 1:1:1:1:1:1 to one of the following six double-blind study treatments:&#10;FF/VI 100/25 mcg&#10;FF/UMEC/VI 100/31.25/25 mcg&#10;FF/UMEC/VI 100/62.5/25 mcg&#10;FF/VI 200/25 mcg QD&#10;FF/UMEC/VI 200/31.25/25 mcg QD&#10;FF/UMEC/VI 200/62.5/25 mcg QD&#10;The duration of the treatment period is variable but will be a minimum of 24 weeks and a maximum of 52 weeks.&#10;&#10;Follow-up period: A safety follow-up visit will be conducted approximately one week after the subject completes the protocol defined&#10;Procedures for Visit 8.&#10;" title="Study 205715 Study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2993390"/>
                    </a:xfrm>
                    <a:prstGeom prst="rect">
                      <a:avLst/>
                    </a:prstGeom>
                  </pic:spPr>
                </pic:pic>
              </a:graphicData>
            </a:graphic>
          </wp:inline>
        </w:drawing>
      </w:r>
    </w:p>
    <w:p w14:paraId="46B513BC" w14:textId="25CBC463" w:rsidR="005B6925" w:rsidRDefault="00CF346F" w:rsidP="00A15CAA">
      <w:pPr>
        <w:pStyle w:val="TableDescription"/>
      </w:pPr>
      <w:r w:rsidRPr="00F6727E">
        <w:t>ICS = inhaled corticosteroid</w:t>
      </w:r>
      <w:r w:rsidR="00A15CAA" w:rsidRPr="00F6727E">
        <w:t xml:space="preserve">; </w:t>
      </w:r>
      <w:r w:rsidRPr="00F6727E">
        <w:t>LABA = long-acting β2-agonist</w:t>
      </w:r>
      <w:r w:rsidR="00A15CAA" w:rsidRPr="00F6727E">
        <w:t xml:space="preserve">; </w:t>
      </w:r>
      <w:r w:rsidRPr="00F6727E">
        <w:t>FSC = fluticasone propionate / salmeterol combination</w:t>
      </w:r>
      <w:r w:rsidR="00A15CAA" w:rsidRPr="00F6727E">
        <w:t xml:space="preserve">; E = enrolment; </w:t>
      </w:r>
      <w:r w:rsidRPr="00F6727E">
        <w:t xml:space="preserve">FF = </w:t>
      </w:r>
      <w:r w:rsidR="00A15CAA" w:rsidRPr="00F6727E">
        <w:t xml:space="preserve">fluticasone furoate; </w:t>
      </w:r>
      <w:r w:rsidRPr="00F6727E">
        <w:t>VI</w:t>
      </w:r>
      <w:r w:rsidR="00A15CAA" w:rsidRPr="00F6727E">
        <w:t xml:space="preserve"> = vilanterol; R = randomisation; </w:t>
      </w:r>
      <w:r w:rsidRPr="00F6727E">
        <w:t>UMEC</w:t>
      </w:r>
      <w:r w:rsidR="00A15CAA" w:rsidRPr="00F6727E">
        <w:t xml:space="preserve"> = umeclidinium</w:t>
      </w:r>
      <w:r w:rsidR="001C3070">
        <w:t xml:space="preserve">; mcg = </w:t>
      </w:r>
      <w:r w:rsidR="001C3070" w:rsidRPr="00F6727E">
        <w:t>µg</w:t>
      </w:r>
      <w:r w:rsidR="001C3070">
        <w:t xml:space="preserve"> (microgram)</w:t>
      </w:r>
      <w:r w:rsidR="005D2BEE">
        <w:t>.</w:t>
      </w:r>
    </w:p>
    <w:p w14:paraId="3555C028" w14:textId="79B121F5" w:rsidR="00007827" w:rsidRDefault="001C3070" w:rsidP="00007827">
      <w:pPr>
        <w:pStyle w:val="TableDescription"/>
      </w:pPr>
      <w:r>
        <w:t>Key to figure: S</w:t>
      </w:r>
      <w:r w:rsidR="00007827">
        <w:t>ubjects for Study 205715 will complete the following 5 phases: Pre-screening (not included in the figure), run-in, stabilisation, variable treatment and follow up periods.</w:t>
      </w:r>
    </w:p>
    <w:p w14:paraId="289F0E26" w14:textId="72F3FA12" w:rsidR="00007827" w:rsidRDefault="00007827" w:rsidP="00007827">
      <w:pPr>
        <w:pStyle w:val="TableDescription"/>
      </w:pPr>
      <w:r>
        <w:lastRenderedPageBreak/>
        <w:t>Run-in period: Subjects will enter the run-in period for approximately 3 weeks in order to continue to assess the subject’s eligibility for the study. Subjects satisfying all inclusion/exclusion criteria and who have successfully completed all protocol procedures at screening will be provided with fixed dose IC</w:t>
      </w:r>
      <w:r w:rsidR="001C3070">
        <w:t>S/LABA (fluticasone/salmeterol (FSC)</w:t>
      </w:r>
      <w:r>
        <w:t xml:space="preserve">) </w:t>
      </w:r>
    </w:p>
    <w:p w14:paraId="71079ECC" w14:textId="6FC4ABBA" w:rsidR="00007827" w:rsidRDefault="001C3070" w:rsidP="00007827">
      <w:pPr>
        <w:pStyle w:val="TableDescription"/>
      </w:pPr>
      <w:r>
        <w:t>Stabilis</w:t>
      </w:r>
      <w:r w:rsidR="00007827">
        <w:t>ation period: At the Enrolment Visit, subjects who meet all the eligibility criteria will be provided with fixed dose I</w:t>
      </w:r>
      <w:r>
        <w:t>CS/LABA (fluticasone/vilanterol (FF/VI)</w:t>
      </w:r>
      <w:r w:rsidR="00007827">
        <w:t xml:space="preserve">, to take once </w:t>
      </w:r>
      <w:r>
        <w:t xml:space="preserve">daily during the </w:t>
      </w:r>
      <w:proofErr w:type="gramStart"/>
      <w:r>
        <w:t>2 week</w:t>
      </w:r>
      <w:proofErr w:type="gramEnd"/>
      <w:r>
        <w:t xml:space="preserve"> stabilis</w:t>
      </w:r>
      <w:r w:rsidR="00007827">
        <w:t>ation period.</w:t>
      </w:r>
    </w:p>
    <w:p w14:paraId="27EDF308" w14:textId="6FDFA728" w:rsidR="00007827" w:rsidRDefault="00007827" w:rsidP="00007827">
      <w:pPr>
        <w:pStyle w:val="TableDescription"/>
      </w:pPr>
      <w:r>
        <w:t>Variable t</w:t>
      </w:r>
      <w:r w:rsidR="001C3070">
        <w:t>reatment period: At the Randomis</w:t>
      </w:r>
      <w:r>
        <w:t>ation Visit, subje</w:t>
      </w:r>
      <w:r w:rsidR="001C3070">
        <w:t>cts who meet all of the randomis</w:t>
      </w:r>
      <w:r>
        <w:t>ation criteria will be randomised 1:1:1:1:1:1 to one of the following six</w:t>
      </w:r>
      <w:r w:rsidR="001C3070">
        <w:t xml:space="preserve"> double-blind study treatments: FF/VI 100/25 </w:t>
      </w:r>
      <w:r w:rsidR="001C3070" w:rsidRPr="00F6727E">
        <w:t>µg</w:t>
      </w:r>
      <w:r w:rsidR="001C3070">
        <w:t xml:space="preserve">; FF/UMEC/VI 100/31.25/25 </w:t>
      </w:r>
      <w:r w:rsidR="001C3070" w:rsidRPr="00F6727E">
        <w:t>µg</w:t>
      </w:r>
      <w:r w:rsidR="001C3070">
        <w:t xml:space="preserve">; FF/UMEC/VI 100/62.5/25 </w:t>
      </w:r>
      <w:r w:rsidR="001C3070" w:rsidRPr="00F6727E">
        <w:t>µg</w:t>
      </w:r>
      <w:r w:rsidR="001C3070">
        <w:t xml:space="preserve">; FF/VI 200/25 </w:t>
      </w:r>
      <w:r w:rsidR="001C3070" w:rsidRPr="00F6727E">
        <w:t>µg</w:t>
      </w:r>
      <w:r w:rsidR="001C3070">
        <w:t xml:space="preserve"> daily; </w:t>
      </w:r>
      <w:r>
        <w:t>FF/UMEC/VI 200/31.25</w:t>
      </w:r>
      <w:r w:rsidR="001C3070">
        <w:t xml:space="preserve">/25 </w:t>
      </w:r>
      <w:r w:rsidR="001C3070" w:rsidRPr="00F6727E">
        <w:t>µg</w:t>
      </w:r>
      <w:r w:rsidR="001C3070">
        <w:t xml:space="preserve"> daily; or </w:t>
      </w:r>
      <w:r>
        <w:t xml:space="preserve">FF/UMEC/VI 200/62.5/25 </w:t>
      </w:r>
      <w:r w:rsidR="001C3070" w:rsidRPr="00F6727E">
        <w:t>µg</w:t>
      </w:r>
      <w:r w:rsidR="001C3070">
        <w:t xml:space="preserve"> daily. </w:t>
      </w:r>
      <w:r>
        <w:t>The duration of the treatment period is variable but will be a minimum of 24 weeks and a maximum of 52 weeks.</w:t>
      </w:r>
    </w:p>
    <w:p w14:paraId="6E6FF2CC" w14:textId="6CEAEDD5" w:rsidR="00007827" w:rsidRPr="00F6727E" w:rsidRDefault="00007827" w:rsidP="00007827">
      <w:pPr>
        <w:pStyle w:val="TableDescription"/>
      </w:pPr>
      <w:r>
        <w:t>Follow-up period: A safety follow-up visit will be conducted approximately one week after the subject co</w:t>
      </w:r>
      <w:r w:rsidR="001C3070">
        <w:t>mpletes the protocol defined p</w:t>
      </w:r>
      <w:r>
        <w:t>rocedures for Visit 8.</w:t>
      </w:r>
    </w:p>
    <w:p w14:paraId="7AE45F72" w14:textId="235ABAED" w:rsidR="00DF6A60" w:rsidRPr="00F6727E" w:rsidRDefault="00DF6A60" w:rsidP="00DF6A60">
      <w:r w:rsidRPr="00F6727E">
        <w:t xml:space="preserve">The primary objective of this study was </w:t>
      </w:r>
      <w:r w:rsidR="00A15CAA" w:rsidRPr="00F6727E">
        <w:t xml:space="preserve">to </w:t>
      </w:r>
      <w:r w:rsidRPr="00F6727E">
        <w:t xml:space="preserve">compare the effect of </w:t>
      </w:r>
      <w:r w:rsidR="00584451" w:rsidRPr="00F6727E">
        <w:t>fluticasone furoate</w:t>
      </w:r>
      <w:r w:rsidR="00A15CAA" w:rsidRPr="00F6727E">
        <w:t xml:space="preserve"> </w:t>
      </w:r>
      <w:r w:rsidRPr="00F6727E">
        <w:t>/</w:t>
      </w:r>
      <w:r w:rsidR="00A15CAA" w:rsidRPr="00F6727E">
        <w:t xml:space="preserve"> </w:t>
      </w:r>
      <w:r w:rsidR="00584451" w:rsidRPr="00F6727E">
        <w:t>umeclidinium</w:t>
      </w:r>
      <w:r w:rsidR="00A15CAA" w:rsidRPr="00F6727E">
        <w:t xml:space="preserve"> </w:t>
      </w:r>
      <w:r w:rsidRPr="00F6727E">
        <w:t>/</w:t>
      </w:r>
      <w:r w:rsidR="00A15CAA" w:rsidRPr="00F6727E">
        <w:t xml:space="preserve"> </w:t>
      </w:r>
      <w:r w:rsidR="00584451" w:rsidRPr="00F6727E">
        <w:t>vilanterol</w:t>
      </w:r>
      <w:r w:rsidRPr="00F6727E">
        <w:t xml:space="preserve"> versus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assessed by change in clinic trough FEV</w:t>
      </w:r>
      <w:r w:rsidRPr="00F6727E">
        <w:rPr>
          <w:vertAlign w:val="subscript"/>
        </w:rPr>
        <w:t>1</w:t>
      </w:r>
      <w:r w:rsidRPr="00F6727E">
        <w:t xml:space="preserve"> after 24 weeks of treatment. Key secondary efficacy endpoint was annualised rate of moderate and severe exacerbations of asthma. The other secondary objectives were to evaluate the efficacy of </w:t>
      </w:r>
      <w:r w:rsidR="00584451" w:rsidRPr="00F6727E">
        <w:t>fluticasone furoate</w:t>
      </w:r>
      <w:r w:rsidR="00A15CAA" w:rsidRPr="00F6727E">
        <w:t xml:space="preserve"> </w:t>
      </w:r>
      <w:r w:rsidRPr="00F6727E">
        <w:t>/</w:t>
      </w:r>
      <w:r w:rsidR="00A15CAA" w:rsidRPr="00F6727E">
        <w:t xml:space="preserve"> </w:t>
      </w:r>
      <w:r w:rsidR="00584451" w:rsidRPr="00F6727E">
        <w:t>umeclidinium</w:t>
      </w:r>
      <w:r w:rsidR="00A15CAA" w:rsidRPr="00F6727E">
        <w:t xml:space="preserve"> </w:t>
      </w:r>
      <w:r w:rsidRPr="00F6727E">
        <w:t>/</w:t>
      </w:r>
      <w:r w:rsidR="00A15CAA" w:rsidRPr="00F6727E">
        <w:t xml:space="preserve"> </w:t>
      </w:r>
      <w:r w:rsidR="00584451" w:rsidRPr="00F6727E">
        <w:t>vilanterol</w:t>
      </w:r>
      <w:r w:rsidRPr="00F6727E">
        <w:t xml:space="preserve"> compared with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(as evaluated by measures of FEV</w:t>
      </w:r>
      <w:r w:rsidRPr="00F6727E">
        <w:rPr>
          <w:vertAlign w:val="subscript"/>
        </w:rPr>
        <w:t>1</w:t>
      </w:r>
      <w:r w:rsidRPr="00F6727E">
        <w:t>, St. Geor</w:t>
      </w:r>
      <w:r w:rsidR="00A15CAA" w:rsidRPr="00F6727E">
        <w:t>ge's Respiratory Questionnaire (</w:t>
      </w:r>
      <w:r w:rsidRPr="00F6727E">
        <w:t>SGRQ</w:t>
      </w:r>
      <w:r w:rsidR="00A15CAA" w:rsidRPr="00F6727E">
        <w:t>)</w:t>
      </w:r>
      <w:r w:rsidR="005261E8">
        <w:rPr>
          <w:rStyle w:val="FootnoteReference"/>
        </w:rPr>
        <w:footnoteReference w:id="13"/>
      </w:r>
      <w:r w:rsidRPr="00F6727E">
        <w:t xml:space="preserve"> ACQ-7, and </w:t>
      </w:r>
      <w:r w:rsidR="00E3449E">
        <w:t xml:space="preserve">the </w:t>
      </w:r>
      <w:r w:rsidR="00E3449E" w:rsidRPr="00E3449E">
        <w:t xml:space="preserve">EXACT </w:t>
      </w:r>
      <w:r w:rsidR="00A15CAA" w:rsidRPr="00F6727E">
        <w:t>Respiratory Symptoms (</w:t>
      </w:r>
      <w:r w:rsidRPr="00F6727E">
        <w:t>E-RS</w:t>
      </w:r>
      <w:r w:rsidR="00A15CAA" w:rsidRPr="00F6727E">
        <w:t>)</w:t>
      </w:r>
      <w:r w:rsidR="00E3449E">
        <w:t xml:space="preserve"> scale</w:t>
      </w:r>
      <w:r w:rsidRPr="00F6727E">
        <w:t>).</w:t>
      </w:r>
    </w:p>
    <w:p w14:paraId="262E812A" w14:textId="2A19F033" w:rsidR="00DF6A60" w:rsidRPr="00F6727E" w:rsidRDefault="00DF6A60" w:rsidP="00DF6A60">
      <w:r w:rsidRPr="00F6727E">
        <w:t>The main inclusion criteria for the study wer</w:t>
      </w:r>
      <w:r w:rsidR="004B4DA8" w:rsidRPr="00F6727E">
        <w:t>e:</w:t>
      </w:r>
    </w:p>
    <w:p w14:paraId="611DFFB3" w14:textId="1675E974" w:rsidR="00DF6A60" w:rsidRPr="00F6727E" w:rsidRDefault="00A15CAA" w:rsidP="00DF6A60">
      <w:pPr>
        <w:pStyle w:val="ListBullet"/>
      </w:pPr>
      <w:r w:rsidRPr="00F6727E">
        <w:t xml:space="preserve">provided informed </w:t>
      </w:r>
      <w:proofErr w:type="gramStart"/>
      <w:r w:rsidRPr="00F6727E">
        <w:t>consent;</w:t>
      </w:r>
      <w:proofErr w:type="gramEnd"/>
    </w:p>
    <w:p w14:paraId="56E74EE4" w14:textId="5D275DC1" w:rsidR="00DF6A60" w:rsidRPr="00F6727E" w:rsidRDefault="00A15CAA" w:rsidP="00DF6A60">
      <w:pPr>
        <w:pStyle w:val="ListBullet"/>
      </w:pPr>
      <w:r w:rsidRPr="00F6727E">
        <w:t xml:space="preserve">male </w:t>
      </w:r>
      <w:r w:rsidR="00DF6A60" w:rsidRPr="00F6727E">
        <w:t>and non-pregnant, non-lactating females, aged ≥</w:t>
      </w:r>
      <w:r w:rsidRPr="00F6727E">
        <w:t xml:space="preserve"> 18 </w:t>
      </w:r>
      <w:proofErr w:type="gramStart"/>
      <w:r w:rsidRPr="00F6727E">
        <w:t>years;</w:t>
      </w:r>
      <w:proofErr w:type="gramEnd"/>
    </w:p>
    <w:p w14:paraId="02CA6B01" w14:textId="648B9BC3" w:rsidR="00DF6A60" w:rsidRPr="00F6727E" w:rsidRDefault="00A15CAA" w:rsidP="00BE5700">
      <w:pPr>
        <w:pStyle w:val="ListBullet"/>
      </w:pPr>
      <w:r w:rsidRPr="00F6727E">
        <w:t xml:space="preserve">diagnosis </w:t>
      </w:r>
      <w:r w:rsidR="00D72E6D" w:rsidRPr="00F6727E">
        <w:t xml:space="preserve">of asthma as defined by the </w:t>
      </w:r>
      <w:r w:rsidR="00BE5700" w:rsidRPr="00BE5700">
        <w:t>National Institute</w:t>
      </w:r>
      <w:r w:rsidR="005261E8">
        <w:t>s</w:t>
      </w:r>
      <w:r w:rsidR="00BE5700" w:rsidRPr="00BE5700">
        <w:t xml:space="preserve"> of Health </w:t>
      </w:r>
      <w:r w:rsidR="00BE5700">
        <w:t>(</w:t>
      </w:r>
      <w:r w:rsidR="00DF6A60" w:rsidRPr="00F6727E">
        <w:t>NIH</w:t>
      </w:r>
      <w:r w:rsidR="00BE5700">
        <w:t>)</w:t>
      </w:r>
      <w:r w:rsidR="00DF6A60" w:rsidRPr="00F6727E">
        <w:t>, 2007</w:t>
      </w:r>
      <w:r w:rsidR="00BE5700">
        <w:t>;</w:t>
      </w:r>
      <w:r w:rsidR="00BE5700">
        <w:rPr>
          <w:rStyle w:val="FootnoteReference"/>
        </w:rPr>
        <w:footnoteReference w:id="14"/>
      </w:r>
      <w:r w:rsidR="00DF6A60" w:rsidRPr="00F6727E">
        <w:t xml:space="preserve"> for at least </w:t>
      </w:r>
      <w:proofErr w:type="gramStart"/>
      <w:r w:rsidRPr="00F6727E">
        <w:t xml:space="preserve">one </w:t>
      </w:r>
      <w:r w:rsidR="00DF6A60" w:rsidRPr="00F6727E">
        <w:t>year</w:t>
      </w:r>
      <w:proofErr w:type="gramEnd"/>
      <w:r w:rsidR="00DF6A60" w:rsidRPr="00F6727E">
        <w:t xml:space="preserve"> prior </w:t>
      </w:r>
      <w:r w:rsidRPr="00F6727E">
        <w:t xml:space="preserve">screening </w:t>
      </w:r>
      <w:r w:rsidR="00DF6A60" w:rsidRPr="00F6727E">
        <w:t>visit. Receiving daily maintenance therapy for their asthma (ICS/LABA &gt;</w:t>
      </w:r>
      <w:r w:rsidRPr="00F6727E">
        <w:t xml:space="preserve"> </w:t>
      </w:r>
      <w:r w:rsidR="00DF6A60" w:rsidRPr="00F6727E">
        <w:t>250</w:t>
      </w:r>
      <w:r w:rsidRPr="00F6727E">
        <w:t> </w:t>
      </w:r>
      <w:r w:rsidR="00876AEB" w:rsidRPr="00F6727E">
        <w:t>µg</w:t>
      </w:r>
      <w:r w:rsidR="00DF6A60" w:rsidRPr="00F6727E">
        <w:t xml:space="preserve">/day </w:t>
      </w:r>
      <w:r w:rsidR="00CF346F" w:rsidRPr="00F6727E">
        <w:t xml:space="preserve">fluticasone propionate </w:t>
      </w:r>
      <w:r w:rsidR="00DF6A60" w:rsidRPr="00F6727E">
        <w:t>or equivalent) for at least 12</w:t>
      </w:r>
      <w:r w:rsidR="005261E8">
        <w:t> </w:t>
      </w:r>
      <w:r w:rsidR="00DF6A60" w:rsidRPr="00F6727E">
        <w:t xml:space="preserve">consecutive weeks with no changes to the therapy in the </w:t>
      </w:r>
      <w:r w:rsidRPr="00F6727E">
        <w:t>six</w:t>
      </w:r>
      <w:r w:rsidR="00DF6A60" w:rsidRPr="00F6727E">
        <w:t xml:space="preserve"> weeks prior to </w:t>
      </w:r>
      <w:r w:rsidRPr="00F6727E">
        <w:t>pre</w:t>
      </w:r>
      <w:r w:rsidR="005261E8">
        <w:noBreakHyphen/>
      </w:r>
      <w:proofErr w:type="gramStart"/>
      <w:r w:rsidRPr="00F6727E">
        <w:t>screening;</w:t>
      </w:r>
      <w:proofErr w:type="gramEnd"/>
    </w:p>
    <w:p w14:paraId="2A77C79A" w14:textId="2C49FA9E" w:rsidR="00DF6A60" w:rsidRPr="00F6727E" w:rsidRDefault="00DF6A60" w:rsidP="00DF6A60">
      <w:pPr>
        <w:pStyle w:val="ListBullet"/>
      </w:pPr>
      <w:r w:rsidRPr="00F6727E">
        <w:t>A</w:t>
      </w:r>
      <w:r w:rsidR="00A15CAA" w:rsidRPr="00F6727E">
        <w:t xml:space="preserve">CQ-6 score of ≥ </w:t>
      </w:r>
      <w:proofErr w:type="gramStart"/>
      <w:r w:rsidR="00A15CAA" w:rsidRPr="00F6727E">
        <w:t>1.5;</w:t>
      </w:r>
      <w:proofErr w:type="gramEnd"/>
    </w:p>
    <w:p w14:paraId="5031284D" w14:textId="2D7C0AA3" w:rsidR="00DF6A60" w:rsidRPr="00F6727E" w:rsidRDefault="00A15CAA" w:rsidP="00DF6A60">
      <w:pPr>
        <w:pStyle w:val="ListBullet"/>
      </w:pPr>
      <w:r w:rsidRPr="00F6727E">
        <w:t>e</w:t>
      </w:r>
      <w:r w:rsidR="00DF6A60" w:rsidRPr="00F6727E">
        <w:t xml:space="preserve">ither a documented healthcare contact </w:t>
      </w:r>
      <w:r w:rsidRPr="00F6727E">
        <w:t>or</w:t>
      </w:r>
      <w:r w:rsidR="00DF6A60" w:rsidRPr="00F6727E">
        <w:t xml:space="preserve"> a documented temporary change in asthma therapy for treatment of acute asthma symptoms in the last year prior to </w:t>
      </w:r>
      <w:proofErr w:type="gramStart"/>
      <w:r w:rsidRPr="00F6727E">
        <w:t>screening;</w:t>
      </w:r>
      <w:proofErr w:type="gramEnd"/>
    </w:p>
    <w:p w14:paraId="08E3FC26" w14:textId="77BDE43C" w:rsidR="00DF6A60" w:rsidRPr="00F6727E" w:rsidRDefault="00A15CAA" w:rsidP="00DF6A60">
      <w:pPr>
        <w:pStyle w:val="ListBullet"/>
      </w:pPr>
      <w:r w:rsidRPr="00F6727E">
        <w:t xml:space="preserve">best attempt screening </w:t>
      </w:r>
      <w:r w:rsidR="00DF6A60" w:rsidRPr="00F6727E">
        <w:t>AM pre-bronchodilator FEV</w:t>
      </w:r>
      <w:r w:rsidR="00DF6A60" w:rsidRPr="00F6727E">
        <w:rPr>
          <w:vertAlign w:val="subscript"/>
        </w:rPr>
        <w:t>1</w:t>
      </w:r>
      <w:r w:rsidR="00DF6A60" w:rsidRPr="00F6727E">
        <w:t xml:space="preserve"> of </w:t>
      </w:r>
      <w:r w:rsidR="00D72E6D" w:rsidRPr="00F6727E">
        <w:t xml:space="preserve">≥ </w:t>
      </w:r>
      <w:r w:rsidR="00DF6A60" w:rsidRPr="00F6727E">
        <w:t>30% to &lt;</w:t>
      </w:r>
      <w:r w:rsidRPr="00F6727E">
        <w:t xml:space="preserve"> </w:t>
      </w:r>
      <w:r w:rsidR="00DF6A60" w:rsidRPr="00F6727E">
        <w:t xml:space="preserve">85% predicted </w:t>
      </w:r>
      <w:r w:rsidRPr="00F6727E">
        <w:t xml:space="preserve">evidence </w:t>
      </w:r>
      <w:r w:rsidR="00D72E6D" w:rsidRPr="00F6727E">
        <w:t xml:space="preserve">of reversibility (≥ 12% and ≥ </w:t>
      </w:r>
      <w:r w:rsidR="00DF6A60" w:rsidRPr="00F6727E">
        <w:t>200 mL) 20 to 60 min</w:t>
      </w:r>
      <w:r w:rsidRPr="00F6727E">
        <w:t>utes</w:t>
      </w:r>
      <w:r w:rsidR="00DF6A60" w:rsidRPr="00F6727E">
        <w:t xml:space="preserve"> following </w:t>
      </w:r>
      <w:r w:rsidRPr="00F6727E">
        <w:t>four</w:t>
      </w:r>
      <w:r w:rsidR="00DF6A60" w:rsidRPr="00F6727E">
        <w:t xml:space="preserve"> puffs of salbutamol.</w:t>
      </w:r>
    </w:p>
    <w:p w14:paraId="2D4D000B" w14:textId="77777777" w:rsidR="00DF6A60" w:rsidRPr="00F6727E" w:rsidRDefault="00DF6A60" w:rsidP="00DF6A60">
      <w:r w:rsidRPr="00F6727E">
        <w:t>The main exclusion criteria were:</w:t>
      </w:r>
    </w:p>
    <w:p w14:paraId="7E076F59" w14:textId="5A7EA767" w:rsidR="00DF6A60" w:rsidRPr="00F6727E" w:rsidRDefault="00DF6A60" w:rsidP="00DF6A60">
      <w:pPr>
        <w:pStyle w:val="ListBullet"/>
      </w:pPr>
      <w:r w:rsidRPr="00F6727E">
        <w:t xml:space="preserve">COPD diagnosis and all COPD </w:t>
      </w:r>
      <w:proofErr w:type="gramStart"/>
      <w:r w:rsidRPr="00F6727E">
        <w:t>criteri</w:t>
      </w:r>
      <w:r w:rsidR="008830C7" w:rsidRPr="00F6727E">
        <w:t>a;</w:t>
      </w:r>
      <w:proofErr w:type="gramEnd"/>
    </w:p>
    <w:p w14:paraId="7E47A2DD" w14:textId="51DCDFA1" w:rsidR="00DF6A60" w:rsidRPr="00F6727E" w:rsidRDefault="008830C7" w:rsidP="00DF6A60">
      <w:pPr>
        <w:pStyle w:val="ListBullet"/>
      </w:pPr>
      <w:r w:rsidRPr="00F6727E">
        <w:t>c</w:t>
      </w:r>
      <w:r w:rsidR="00DF6A60" w:rsidRPr="00F6727E">
        <w:t>oncurrent respiratory disorders including diagnosis, current evidence of pneumonia, or pneumonia risk factors (</w:t>
      </w:r>
      <w:r w:rsidRPr="00F6727E">
        <w:t xml:space="preserve">for example, </w:t>
      </w:r>
      <w:r w:rsidR="00DF6A60" w:rsidRPr="00F6727E">
        <w:t>immune suppression or neurological disorders affecting control of the upper airway</w:t>
      </w:r>
      <w:proofErr w:type="gramStart"/>
      <w:r w:rsidR="00DF6A60" w:rsidRPr="00F6727E">
        <w:t>)</w:t>
      </w:r>
      <w:r w:rsidRPr="00F6727E">
        <w:t>;</w:t>
      </w:r>
      <w:proofErr w:type="gramEnd"/>
    </w:p>
    <w:p w14:paraId="1D3FEA1B" w14:textId="1D9A8C30" w:rsidR="00DF6A60" w:rsidRPr="00F6727E" w:rsidRDefault="008830C7" w:rsidP="00DF6A60">
      <w:pPr>
        <w:pStyle w:val="ListBullet"/>
      </w:pPr>
      <w:r w:rsidRPr="00F6727E">
        <w:t>e</w:t>
      </w:r>
      <w:r w:rsidR="00DF6A60" w:rsidRPr="00F6727E">
        <w:t xml:space="preserve">xperienced an asthma exacerbation that required a change in maintenance asthma therapy in the </w:t>
      </w:r>
      <w:r w:rsidRPr="00F6727E">
        <w:t>six</w:t>
      </w:r>
      <w:r w:rsidR="00DF6A60" w:rsidRPr="00F6727E">
        <w:t xml:space="preserve"> weeks prior to enrolment (participants were not explicitly excluded </w:t>
      </w:r>
      <w:r w:rsidR="00DF6A60" w:rsidRPr="00F6727E">
        <w:lastRenderedPageBreak/>
        <w:t>if their condition had since stabilised and they resumed pre-exacerbation mainte</w:t>
      </w:r>
      <w:r w:rsidRPr="00F6727E">
        <w:t>nance asthma therapy</w:t>
      </w:r>
      <w:proofErr w:type="gramStart"/>
      <w:r w:rsidRPr="00F6727E">
        <w:t>);</w:t>
      </w:r>
      <w:proofErr w:type="gramEnd"/>
    </w:p>
    <w:p w14:paraId="3804BDFD" w14:textId="07C4FFAB" w:rsidR="00DF6A60" w:rsidRPr="00F6727E" w:rsidRDefault="008830C7" w:rsidP="00DF6A60">
      <w:pPr>
        <w:pStyle w:val="ListBullet"/>
      </w:pPr>
      <w:r w:rsidRPr="00F6727E">
        <w:t xml:space="preserve">historical </w:t>
      </w:r>
      <w:r w:rsidR="00DF6A60" w:rsidRPr="00F6727E">
        <w:t>or current evidence of clinically significant disease of the major body systems, or haematological abno</w:t>
      </w:r>
      <w:r w:rsidRPr="00F6727E">
        <w:t xml:space="preserve">rmalities that are </w:t>
      </w:r>
      <w:proofErr w:type="gramStart"/>
      <w:r w:rsidRPr="00F6727E">
        <w:t>uncontrolled;</w:t>
      </w:r>
      <w:proofErr w:type="gramEnd"/>
    </w:p>
    <w:p w14:paraId="28F964E2" w14:textId="57502979" w:rsidR="00DF6A60" w:rsidRPr="00F6727E" w:rsidRDefault="008830C7" w:rsidP="008830C7">
      <w:pPr>
        <w:pStyle w:val="ListBullet"/>
      </w:pPr>
      <w:r w:rsidRPr="00F6727E">
        <w:t xml:space="preserve">unstable </w:t>
      </w:r>
      <w:r w:rsidR="00DF6A60" w:rsidRPr="00F6727E">
        <w:t>liver disease</w:t>
      </w:r>
      <w:r w:rsidR="005261E8">
        <w:t>;</w:t>
      </w:r>
      <w:r w:rsidR="00DF6A60" w:rsidRPr="00F6727E">
        <w:t xml:space="preserve"> </w:t>
      </w:r>
      <w:r w:rsidR="00A56CEF" w:rsidRPr="00F6727E">
        <w:t xml:space="preserve">clinically </w:t>
      </w:r>
      <w:r w:rsidR="00DF6A60" w:rsidRPr="00F6727E">
        <w:t xml:space="preserve">significant </w:t>
      </w:r>
      <w:r w:rsidRPr="00F6727E">
        <w:t>electrocardiogram (</w:t>
      </w:r>
      <w:r w:rsidR="00DF6A60" w:rsidRPr="00F6727E">
        <w:t>ECG</w:t>
      </w:r>
      <w:r w:rsidRPr="00F6727E">
        <w:t>)</w:t>
      </w:r>
      <w:r w:rsidR="00DF6A60" w:rsidRPr="00F6727E">
        <w:t xml:space="preserve"> abnormalities</w:t>
      </w:r>
      <w:r w:rsidR="005261E8">
        <w:t>;</w:t>
      </w:r>
      <w:r w:rsidR="00DF6A60" w:rsidRPr="00F6727E">
        <w:t xml:space="preserve"> </w:t>
      </w:r>
      <w:r w:rsidR="00A12D0C" w:rsidRPr="00F6727E">
        <w:t xml:space="preserve">unstable </w:t>
      </w:r>
      <w:r w:rsidR="00DF6A60" w:rsidRPr="00F6727E">
        <w:t>and life</w:t>
      </w:r>
      <w:r w:rsidR="00A12D0C" w:rsidRPr="00F6727E">
        <w:t xml:space="preserve"> </w:t>
      </w:r>
      <w:r w:rsidR="00DF6A60" w:rsidRPr="00F6727E">
        <w:t>threatening cardiac disease</w:t>
      </w:r>
      <w:r w:rsidR="005261E8">
        <w:t>;</w:t>
      </w:r>
      <w:r w:rsidR="00DF6A60" w:rsidRPr="00F6727E">
        <w:t xml:space="preserve"> </w:t>
      </w:r>
      <w:r w:rsidR="00A12D0C" w:rsidRPr="00F6727E">
        <w:t xml:space="preserve">conditions </w:t>
      </w:r>
      <w:r w:rsidR="00DF6A60" w:rsidRPr="00F6727E">
        <w:t>which may be affected by antimuscarinic use (</w:t>
      </w:r>
      <w:r w:rsidR="00A12D0C" w:rsidRPr="00F6727E">
        <w:t xml:space="preserve">for example, </w:t>
      </w:r>
      <w:r w:rsidR="00DF6A60" w:rsidRPr="00F6727E">
        <w:t>narrow</w:t>
      </w:r>
      <w:r w:rsidR="00A12D0C" w:rsidRPr="00F6727E">
        <w:t xml:space="preserve"> </w:t>
      </w:r>
      <w:r w:rsidR="00DF6A60" w:rsidRPr="00F6727E">
        <w:t>angle glaucoma, urinary retention, prostatic hypertrophy, or bladder neck obstruction)</w:t>
      </w:r>
      <w:r w:rsidR="005261E8">
        <w:t>;</w:t>
      </w:r>
      <w:r w:rsidR="00DF6A60" w:rsidRPr="00F6727E">
        <w:t xml:space="preserve"> </w:t>
      </w:r>
      <w:r w:rsidR="005261E8">
        <w:t>h</w:t>
      </w:r>
      <w:r w:rsidR="00DF6A60" w:rsidRPr="00F6727E">
        <w:t>istory of cancer for which participants had not been in remission for ≤</w:t>
      </w:r>
      <w:r w:rsidR="00A12D0C" w:rsidRPr="00F6727E">
        <w:t xml:space="preserve"> </w:t>
      </w:r>
      <w:r w:rsidR="00DF6A60" w:rsidRPr="00F6727E">
        <w:t>5 years</w:t>
      </w:r>
      <w:r w:rsidR="005261E8">
        <w:t>;</w:t>
      </w:r>
      <w:r w:rsidR="00DF6A60" w:rsidRPr="00F6727E">
        <w:t xml:space="preserve"> </w:t>
      </w:r>
      <w:r w:rsidR="005261E8">
        <w:t>c</w:t>
      </w:r>
      <w:r w:rsidR="00DF6A60" w:rsidRPr="00F6727E">
        <w:t>urrent smoker (smoked within the last 12</w:t>
      </w:r>
      <w:r w:rsidR="005261E8">
        <w:t> </w:t>
      </w:r>
      <w:r w:rsidR="00DF6A60" w:rsidRPr="00F6727E">
        <w:t xml:space="preserve">months of </w:t>
      </w:r>
      <w:r w:rsidR="00A12D0C" w:rsidRPr="00F6727E">
        <w:t>screening</w:t>
      </w:r>
      <w:r w:rsidR="00DF6A60" w:rsidRPr="00F6727E">
        <w:t>), or former smoker with a smoking history of ≥</w:t>
      </w:r>
      <w:r w:rsidR="00A12D0C" w:rsidRPr="00F6727E">
        <w:t xml:space="preserve"> </w:t>
      </w:r>
      <w:r w:rsidR="00DF6A60" w:rsidRPr="00F6727E">
        <w:t>10 pack years.</w:t>
      </w:r>
    </w:p>
    <w:p w14:paraId="02A00101" w14:textId="017FF29D" w:rsidR="00DF6A60" w:rsidRPr="00F6727E" w:rsidRDefault="00DF6A60" w:rsidP="00DF6A60">
      <w:r w:rsidRPr="00F6727E">
        <w:t xml:space="preserve">Overall, 2439 participants underwent randomisation, of which </w:t>
      </w:r>
      <w:r w:rsidR="00A12D0C" w:rsidRPr="00F6727E">
        <w:t>three</w:t>
      </w:r>
      <w:r w:rsidRPr="00F6727E">
        <w:t xml:space="preserve"> participants were randomised in error and did not receive the IP. Of the </w:t>
      </w:r>
      <w:r w:rsidR="00A12D0C" w:rsidRPr="00F6727E">
        <w:t>intent</w:t>
      </w:r>
      <w:r w:rsidR="00297DC6" w:rsidRPr="00F6727E">
        <w:t>-</w:t>
      </w:r>
      <w:r w:rsidR="00A12D0C" w:rsidRPr="00F6727E">
        <w:t>to</w:t>
      </w:r>
      <w:r w:rsidR="00297DC6" w:rsidRPr="00F6727E">
        <w:t>-</w:t>
      </w:r>
      <w:r w:rsidR="00A12D0C" w:rsidRPr="00F6727E">
        <w:t>treat (</w:t>
      </w:r>
      <w:r w:rsidRPr="00F6727E">
        <w:t>ITT</w:t>
      </w:r>
      <w:r w:rsidR="00A12D0C" w:rsidRPr="00F6727E">
        <w:t>)</w:t>
      </w:r>
      <w:r w:rsidR="00297DC6" w:rsidRPr="00F6727E">
        <w:t>;</w:t>
      </w:r>
      <w:r w:rsidR="00297DC6" w:rsidRPr="00F6727E">
        <w:rPr>
          <w:rStyle w:val="FootnoteReference"/>
        </w:rPr>
        <w:footnoteReference w:id="15"/>
      </w:r>
      <w:r w:rsidRPr="00F6727E">
        <w:t xml:space="preserve"> (2436), a majority (2274) completed the study. Overall, treatment groups had similar demographic characteristics with respect to age, </w:t>
      </w:r>
      <w:proofErr w:type="gramStart"/>
      <w:r w:rsidRPr="00F6727E">
        <w:t>gender</w:t>
      </w:r>
      <w:proofErr w:type="gramEnd"/>
      <w:r w:rsidRPr="00F6727E">
        <w:t xml:space="preserve"> and </w:t>
      </w:r>
      <w:r w:rsidR="005261E8">
        <w:t>b</w:t>
      </w:r>
      <w:r w:rsidR="005261E8" w:rsidRPr="00F6727E">
        <w:t xml:space="preserve">ody </w:t>
      </w:r>
      <w:r w:rsidR="005261E8">
        <w:t>m</w:t>
      </w:r>
      <w:r w:rsidR="00A12D0C" w:rsidRPr="00F6727E">
        <w:t xml:space="preserve">ass </w:t>
      </w:r>
      <w:r w:rsidR="005261E8">
        <w:t>i</w:t>
      </w:r>
      <w:r w:rsidR="00A12D0C" w:rsidRPr="00F6727E">
        <w:t>ndex (</w:t>
      </w:r>
      <w:r w:rsidRPr="00F6727E">
        <w:t>BMI</w:t>
      </w:r>
      <w:r w:rsidR="00A12D0C" w:rsidRPr="00F6727E">
        <w:t>)</w:t>
      </w:r>
      <w:r w:rsidRPr="00F6727E">
        <w:t>. Participants were symptomatic despite being on ICS/LABA maintenance therapy prior to commencing this study.</w:t>
      </w:r>
    </w:p>
    <w:p w14:paraId="4F53411B" w14:textId="22BB163F" w:rsidR="00DF6A60" w:rsidRPr="00F6727E" w:rsidRDefault="00DF6A60" w:rsidP="00DF6A60">
      <w:r w:rsidRPr="00F6727E">
        <w:t>Study 205715 was a variable duration study with a minimum treatment period of 24</w:t>
      </w:r>
      <w:r w:rsidR="00A12D0C" w:rsidRPr="00F6727E">
        <w:t> </w:t>
      </w:r>
      <w:r w:rsidRPr="00F6727E">
        <w:t>weeks; participants had an end of stu</w:t>
      </w:r>
      <w:r w:rsidR="00A12D0C" w:rsidRPr="00F6727E">
        <w:t>dy visit at either 24, 36 or 52 </w:t>
      </w:r>
      <w:r w:rsidRPr="00F6727E">
        <w:t>weeks. Of the 2436 who were randomised, 2285, 1103 and 552 partici</w:t>
      </w:r>
      <w:r w:rsidR="00A12D0C" w:rsidRPr="00F6727E">
        <w:t>pants remained on</w:t>
      </w:r>
      <w:r w:rsidR="002F7BA7" w:rsidRPr="00F6727E">
        <w:t>-</w:t>
      </w:r>
      <w:r w:rsidR="00A12D0C" w:rsidRPr="00F6727E">
        <w:t>treatment at W</w:t>
      </w:r>
      <w:r w:rsidRPr="00F6727E">
        <w:t>eek</w:t>
      </w:r>
      <w:r w:rsidR="004B4DA8" w:rsidRPr="00F6727E">
        <w:t>s</w:t>
      </w:r>
      <w:r w:rsidR="005261E8">
        <w:t> </w:t>
      </w:r>
      <w:r w:rsidR="004B4DA8" w:rsidRPr="00F6727E">
        <w:t>24, 36, and 52 respectively.</w:t>
      </w:r>
    </w:p>
    <w:p w14:paraId="47F57610" w14:textId="3D56C7CF" w:rsidR="00DF6A60" w:rsidRPr="00F6727E" w:rsidRDefault="00EC5459" w:rsidP="00EC5459">
      <w:pPr>
        <w:pStyle w:val="Heading5"/>
      </w:pPr>
      <w:r w:rsidRPr="00F6727E">
        <w:t>Results</w:t>
      </w:r>
    </w:p>
    <w:p w14:paraId="5BDF8060" w14:textId="1B882B06" w:rsidR="00EC5459" w:rsidRPr="00F6727E" w:rsidRDefault="00DF6A60" w:rsidP="00DF6A60">
      <w:pPr>
        <w:rPr>
          <w:b/>
        </w:rPr>
      </w:pPr>
      <w:r w:rsidRPr="00F6727E">
        <w:rPr>
          <w:rStyle w:val="Heading6Char"/>
          <w:rFonts w:eastAsia="Cambria"/>
        </w:rPr>
        <w:t xml:space="preserve">Primary </w:t>
      </w:r>
      <w:r w:rsidR="00A12D0C" w:rsidRPr="00F6727E">
        <w:rPr>
          <w:rStyle w:val="Heading6Char"/>
          <w:rFonts w:eastAsia="Cambria"/>
        </w:rPr>
        <w:t>efficacy endpoint</w:t>
      </w:r>
    </w:p>
    <w:p w14:paraId="04799911" w14:textId="753DD65B" w:rsidR="005B6925" w:rsidRPr="00F6727E" w:rsidRDefault="005B6925" w:rsidP="005B6925">
      <w:pPr>
        <w:pStyle w:val="TableTitle"/>
      </w:pPr>
      <w:r w:rsidRPr="00F6727E">
        <w:t xml:space="preserve">Table </w:t>
      </w:r>
      <w:r w:rsidR="00A759BC">
        <w:fldChar w:fldCharType="begin"/>
      </w:r>
      <w:r w:rsidR="00A759BC">
        <w:instrText xml:space="preserve"> SEQ Table \* ARABIC </w:instrText>
      </w:r>
      <w:r w:rsidR="00A759BC">
        <w:fldChar w:fldCharType="separate"/>
      </w:r>
      <w:r w:rsidR="00501251">
        <w:rPr>
          <w:noProof/>
        </w:rPr>
        <w:t>4</w:t>
      </w:r>
      <w:r w:rsidR="00A759BC">
        <w:rPr>
          <w:noProof/>
        </w:rPr>
        <w:fldChar w:fldCharType="end"/>
      </w:r>
      <w:r w:rsidRPr="00F6727E">
        <w:t xml:space="preserve">: </w:t>
      </w:r>
      <w:r w:rsidR="00AA7BAE" w:rsidRPr="00F6727E">
        <w:t xml:space="preserve">Study 205715 </w:t>
      </w:r>
      <w:r w:rsidRPr="00F6727E">
        <w:t xml:space="preserve">Primary </w:t>
      </w:r>
      <w:r w:rsidR="00AA7BAE" w:rsidRPr="00F6727E">
        <w:t xml:space="preserve">efficacy endpoint: analysis of mean change from </w:t>
      </w:r>
      <w:r w:rsidR="002811AB" w:rsidRPr="00F6727E">
        <w:t>Baseline</w:t>
      </w:r>
      <w:r w:rsidR="00AA7BAE" w:rsidRPr="00F6727E">
        <w:t xml:space="preserve"> in trough</w:t>
      </w:r>
      <w:r w:rsidRPr="00F6727E">
        <w:t xml:space="preserve"> </w:t>
      </w:r>
      <w:r w:rsidR="00A12D0C" w:rsidRPr="00F6727E">
        <w:t xml:space="preserve">forced expiratory volume in one second </w:t>
      </w:r>
      <w:r w:rsidRPr="00F6727E">
        <w:t>(</w:t>
      </w:r>
      <w:r w:rsidR="00A12D0C" w:rsidRPr="00F6727E">
        <w:t>litre</w:t>
      </w:r>
      <w:r w:rsidRPr="00F6727E">
        <w:t xml:space="preserve">) for the </w:t>
      </w:r>
      <w:r w:rsidR="00AA7BAE" w:rsidRPr="00F6727E">
        <w:t xml:space="preserve">primary comparison </w:t>
      </w:r>
      <w:r w:rsidRPr="00F6727E">
        <w:t xml:space="preserve">of </w:t>
      </w:r>
      <w:r w:rsidR="00584451" w:rsidRPr="00F6727E">
        <w:t>fluticasone furoate</w:t>
      </w:r>
      <w:r w:rsidR="00A12D0C" w:rsidRPr="00F6727E">
        <w:t xml:space="preserve"> </w:t>
      </w:r>
      <w:r w:rsidR="00AA7BAE" w:rsidRPr="00F6727E">
        <w:t>/</w:t>
      </w:r>
      <w:r w:rsidR="00A12D0C" w:rsidRPr="00F6727E">
        <w:t xml:space="preserve"> </w:t>
      </w:r>
      <w:r w:rsidR="00584451" w:rsidRPr="00F6727E">
        <w:t>umeclidinium</w:t>
      </w:r>
      <w:r w:rsidR="00A12D0C" w:rsidRPr="00F6727E">
        <w:t xml:space="preserve"> </w:t>
      </w:r>
      <w:r w:rsidR="00AA7BAE" w:rsidRPr="00F6727E">
        <w:t>/</w:t>
      </w:r>
      <w:r w:rsidR="00A12D0C" w:rsidRPr="00F6727E">
        <w:t xml:space="preserve"> </w:t>
      </w:r>
      <w:r w:rsidR="00584451" w:rsidRPr="00F6727E">
        <w:t>vilanterol</w:t>
      </w:r>
      <w:r w:rsidR="00AA7BAE" w:rsidRPr="00F6727E">
        <w:t xml:space="preserve"> v</w:t>
      </w:r>
      <w:r w:rsidR="00A12D0C" w:rsidRPr="00F6727E">
        <w:t>ersu</w:t>
      </w:r>
      <w:r w:rsidR="00AA7BAE" w:rsidRPr="00F6727E">
        <w:t xml:space="preserve">s </w:t>
      </w:r>
      <w:r w:rsidR="00584451" w:rsidRPr="00F6727E">
        <w:t>fluticasone furoate</w:t>
      </w:r>
      <w:r w:rsidR="00632557" w:rsidRPr="00F6727E">
        <w:t xml:space="preserve"> </w:t>
      </w:r>
      <w:r w:rsidR="00AA7BAE" w:rsidRPr="00F6727E">
        <w:t>/</w:t>
      </w:r>
      <w:r w:rsidR="00632557" w:rsidRPr="00F6727E">
        <w:t xml:space="preserve"> </w:t>
      </w:r>
      <w:r w:rsidR="00584451" w:rsidRPr="00F6727E">
        <w:t>vilanterol</w:t>
      </w:r>
      <w:r w:rsidR="00AA7BAE" w:rsidRPr="00F6727E">
        <w:t xml:space="preserve"> at Week 24 (on</w:t>
      </w:r>
      <w:r w:rsidR="002F7BA7" w:rsidRPr="00F6727E">
        <w:t>-</w:t>
      </w:r>
      <w:r w:rsidR="00A12D0C" w:rsidRPr="00F6727E">
        <w:t xml:space="preserve"> </w:t>
      </w:r>
      <w:r w:rsidR="00AA7BAE" w:rsidRPr="00F6727E">
        <w:t>and post</w:t>
      </w:r>
      <w:r w:rsidR="002F7BA7" w:rsidRPr="00F6727E">
        <w:t>-</w:t>
      </w:r>
      <w:r w:rsidR="00AA7BAE" w:rsidRPr="00F6727E">
        <w:t>treatment) (</w:t>
      </w:r>
      <w:r w:rsidR="00A12D0C" w:rsidRPr="00F6727E">
        <w:t>intent</w:t>
      </w:r>
      <w:r w:rsidR="00297DC6" w:rsidRPr="00F6727E">
        <w:t>-</w:t>
      </w:r>
      <w:r w:rsidR="00A12D0C" w:rsidRPr="00F6727E">
        <w:t>to</w:t>
      </w:r>
      <w:r w:rsidR="00297DC6" w:rsidRPr="00F6727E">
        <w:t>-</w:t>
      </w:r>
      <w:r w:rsidR="00A12D0C" w:rsidRPr="00F6727E">
        <w:t xml:space="preserve">treat </w:t>
      </w:r>
      <w:r w:rsidR="00AA7BAE" w:rsidRPr="00F6727E">
        <w:t>population)</w:t>
      </w:r>
    </w:p>
    <w:p w14:paraId="7423A9DF" w14:textId="51C66EF5" w:rsidR="00DF6A60" w:rsidRPr="00F6727E" w:rsidRDefault="00AA7BAE" w:rsidP="00AD42E2">
      <w:r w:rsidRPr="00F6727E">
        <w:rPr>
          <w:noProof/>
          <w:lang w:val="en-GB" w:eastAsia="en-GB"/>
        </w:rPr>
        <w:drawing>
          <wp:inline distT="0" distB="0" distL="0" distR="0" wp14:anchorId="503A5449" wp14:editId="1529D5B7">
            <wp:extent cx="5400040" cy="2296795"/>
            <wp:effectExtent l="0" t="0" r="0" b="8255"/>
            <wp:docPr id="1" name="Picture 1" title="Study 205715 Primary efficacy endpoint: analysis of mean change from Baseline in trough forced expiratory volume in one second (litre) for the primary comparison of fluticasone furoate / umeclidinium / vilanterol versus fluticasone furoate / vilanterol at Week 24 (on  and post treatment) (intent-to-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296795"/>
                    </a:xfrm>
                    <a:prstGeom prst="rect">
                      <a:avLst/>
                    </a:prstGeom>
                  </pic:spPr>
                </pic:pic>
              </a:graphicData>
            </a:graphic>
          </wp:inline>
        </w:drawing>
      </w:r>
    </w:p>
    <w:p w14:paraId="6FBD93BB" w14:textId="3AB24D42" w:rsidR="00A12D0C" w:rsidRPr="00F6727E" w:rsidRDefault="00A12D0C" w:rsidP="009B1F22">
      <w:pPr>
        <w:pStyle w:val="TableDescription"/>
      </w:pPr>
      <w:r w:rsidRPr="00F6727E">
        <w:t>FF = fluticasone furoate; VI = vilanterol; UMEC = umeclidinium</w:t>
      </w:r>
      <w:r w:rsidR="009B1F22" w:rsidRPr="00F6727E">
        <w:t>;</w:t>
      </w:r>
      <w:r w:rsidRPr="00F6727E">
        <w:t xml:space="preserve"> N = population </w:t>
      </w:r>
      <w:r w:rsidR="009B1F22" w:rsidRPr="00F6727E">
        <w:t>size; n = sample size;</w:t>
      </w:r>
      <w:r w:rsidRPr="00F6727E">
        <w:t xml:space="preserve"> LS = least squares</w:t>
      </w:r>
      <w:r w:rsidR="009B1F22" w:rsidRPr="00F6727E">
        <w:t>;</w:t>
      </w:r>
      <w:r w:rsidRPr="00F6727E">
        <w:t xml:space="preserve"> SE = standard error of the mean</w:t>
      </w:r>
      <w:r w:rsidR="009B1F22" w:rsidRPr="00F6727E">
        <w:t>; CI = confidence interval; vs = versus.</w:t>
      </w:r>
    </w:p>
    <w:p w14:paraId="0457777C" w14:textId="76D9115F" w:rsidR="00AA7BAE" w:rsidRPr="00F6727E" w:rsidRDefault="00AA7BAE" w:rsidP="00AA7BAE">
      <w:pPr>
        <w:pStyle w:val="TableDescription"/>
      </w:pPr>
      <w:r w:rsidRPr="00F6727E">
        <w:t>Analysis performed using mixed</w:t>
      </w:r>
      <w:r w:rsidR="009B1F22" w:rsidRPr="00F6727E">
        <w:t xml:space="preserve"> </w:t>
      </w:r>
      <w:r w:rsidRPr="00F6727E">
        <w:t xml:space="preserve">model repeated measures with covariates of treatment, age, sex, region, Baseline value, pre-study </w:t>
      </w:r>
      <w:r w:rsidR="009B1F22" w:rsidRPr="00F6727E">
        <w:t xml:space="preserve">inhaled corticosteroid </w:t>
      </w:r>
      <w:r w:rsidRPr="00F6727E">
        <w:t xml:space="preserve">dosage at </w:t>
      </w:r>
      <w:r w:rsidR="009B1F22" w:rsidRPr="00F6727E">
        <w:t xml:space="preserve">screening, and visit, interaction </w:t>
      </w:r>
      <w:r w:rsidRPr="00F6727E">
        <w:t>terms for Baseline value by visit and treatment by visit.</w:t>
      </w:r>
    </w:p>
    <w:p w14:paraId="2A8F76F0" w14:textId="3D3C10BE" w:rsidR="00AA7BAE" w:rsidRPr="00F6727E" w:rsidRDefault="00AA7BAE" w:rsidP="00AA7BAE">
      <w:pPr>
        <w:pStyle w:val="TableDescription"/>
      </w:pPr>
      <w:r w:rsidRPr="00F6727E">
        <w:lastRenderedPageBreak/>
        <w:t>1. Number of participants with analysable d</w:t>
      </w:r>
      <w:r w:rsidR="009B1F22" w:rsidRPr="00F6727E">
        <w:t>ata for one or more time points</w:t>
      </w:r>
    </w:p>
    <w:p w14:paraId="5CD29314" w14:textId="77777777" w:rsidR="00AA7BAE" w:rsidRPr="00F6727E" w:rsidRDefault="00AA7BAE" w:rsidP="00AA7BAE">
      <w:pPr>
        <w:pStyle w:val="TableDescription"/>
      </w:pPr>
      <w:r w:rsidRPr="00F6727E">
        <w:t>2. Number of participants with analysable data at Week 24</w:t>
      </w:r>
    </w:p>
    <w:p w14:paraId="1738D337" w14:textId="6AC1E778" w:rsidR="00DF6A60" w:rsidRPr="00F6727E" w:rsidRDefault="00DF6A60" w:rsidP="00DF6A60">
      <w:r w:rsidRPr="00F6727E">
        <w:t>Analyses of subgroups were conducted in age, gender, race, region, pre-screening ICS usage and BMI domains. There was minimal improvement in FEV</w:t>
      </w:r>
      <w:r w:rsidRPr="00F6727E">
        <w:rPr>
          <w:vertAlign w:val="subscript"/>
        </w:rPr>
        <w:t>1</w:t>
      </w:r>
      <w:r w:rsidRPr="00F6727E">
        <w:t xml:space="preserve"> in the &gt; </w:t>
      </w:r>
      <w:proofErr w:type="gramStart"/>
      <w:r w:rsidRPr="00F6727E">
        <w:t>75 year</w:t>
      </w:r>
      <w:proofErr w:type="gramEnd"/>
      <w:r w:rsidRPr="00F6727E">
        <w:t xml:space="preserve"> age subgroup compared to the younger subgroups, with differences in FEV</w:t>
      </w:r>
      <w:r w:rsidRPr="00F6727E">
        <w:rPr>
          <w:vertAlign w:val="subscript"/>
        </w:rPr>
        <w:t>1</w:t>
      </w:r>
      <w:r w:rsidRPr="00F6727E">
        <w:t xml:space="preserve"> improvements observed between the </w:t>
      </w:r>
      <w:r w:rsidR="00584451" w:rsidRPr="00F6727E">
        <w:t>umeclidinium</w:t>
      </w:r>
      <w:r w:rsidRPr="00F6727E">
        <w:t xml:space="preserve"> and control groups diminished compared to younger cohorts. It is noted that &gt;</w:t>
      </w:r>
      <w:r w:rsidR="009B1F22" w:rsidRPr="00F6727E">
        <w:t xml:space="preserve"> </w:t>
      </w:r>
      <w:r w:rsidRPr="00F6727E">
        <w:t>75 years age groups had smaller numbers of study participants which may contribute to this finding. Other subgroup analyses were consistent with the primary endpoint of the main study population with no significant differences between treatment groups.</w:t>
      </w:r>
    </w:p>
    <w:p w14:paraId="7A0B9A8D" w14:textId="0B5507CE" w:rsidR="00DF6A60" w:rsidRPr="00F6727E" w:rsidRDefault="00DF6A60" w:rsidP="00DF6A60">
      <w:r w:rsidRPr="00F6727E">
        <w:t xml:space="preserve">In the responder analysis at 24 weeks. </w:t>
      </w:r>
      <w:r w:rsidR="00584451" w:rsidRPr="00F6727E">
        <w:t>fluticasone furoate</w:t>
      </w:r>
      <w:r w:rsidR="009B1F22" w:rsidRPr="00F6727E">
        <w:t xml:space="preserve"> </w:t>
      </w:r>
      <w:r w:rsidRPr="00F6727E">
        <w:t>/</w:t>
      </w:r>
      <w:r w:rsidR="009B1F22" w:rsidRPr="00F6727E">
        <w:t xml:space="preserve"> </w:t>
      </w:r>
      <w:r w:rsidR="00584451" w:rsidRPr="00F6727E">
        <w:t>umeclidinium</w:t>
      </w:r>
      <w:r w:rsidR="009B1F22" w:rsidRPr="00F6727E">
        <w:t xml:space="preserve"> </w:t>
      </w:r>
      <w:r w:rsidRPr="00F6727E">
        <w:t>/</w:t>
      </w:r>
      <w:r w:rsidR="009B1F22" w:rsidRPr="00F6727E">
        <w:t xml:space="preserve"> </w:t>
      </w:r>
      <w:r w:rsidR="00584451" w:rsidRPr="00F6727E">
        <w:t>vilanterol</w:t>
      </w:r>
      <w:r w:rsidRPr="00F6727E">
        <w:t xml:space="preserve"> arms had a higher odds of FEV</w:t>
      </w:r>
      <w:r w:rsidRPr="00F6727E">
        <w:rPr>
          <w:vertAlign w:val="subscript"/>
        </w:rPr>
        <w:t>1</w:t>
      </w:r>
      <w:r w:rsidRPr="00F6727E">
        <w:t xml:space="preserve"> improvement (≥</w:t>
      </w:r>
      <w:r w:rsidR="009B1F22" w:rsidRPr="00F6727E">
        <w:t xml:space="preserve"> </w:t>
      </w:r>
      <w:r w:rsidRPr="00F6727E">
        <w:t>100</w:t>
      </w:r>
      <w:r w:rsidR="009B1F22" w:rsidRPr="00F6727E">
        <w:t> </w:t>
      </w:r>
      <w:r w:rsidRPr="00F6727E">
        <w:t>m</w:t>
      </w:r>
      <w:r w:rsidR="009B1F22" w:rsidRPr="00F6727E">
        <w:t>L</w:t>
      </w:r>
      <w:r w:rsidRPr="00F6727E">
        <w:t xml:space="preserve"> increase from </w:t>
      </w:r>
      <w:r w:rsidR="002811AB" w:rsidRPr="00F6727E">
        <w:t>Baseline</w:t>
      </w:r>
      <w:r w:rsidRPr="00F6727E">
        <w:t xml:space="preserve">) compared to respective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arms; the </w:t>
      </w:r>
      <w:r w:rsidR="00A2376E">
        <w:t>odd</w:t>
      </w:r>
      <w:r w:rsidR="00902AA0">
        <w:t>s</w:t>
      </w:r>
      <w:r w:rsidR="00A2376E">
        <w:t xml:space="preserve"> ratio (OR)</w:t>
      </w:r>
      <w:r w:rsidRPr="00F6727E">
        <w:t xml:space="preserve"> for </w:t>
      </w:r>
      <w:r w:rsidR="00584451" w:rsidRPr="00F6727E">
        <w:t>fluticasone furoate</w:t>
      </w:r>
      <w:r w:rsidR="009B1F22" w:rsidRPr="00F6727E">
        <w:t xml:space="preserve"> </w:t>
      </w:r>
      <w:r w:rsidRPr="00F6727E">
        <w:t>/</w:t>
      </w:r>
      <w:r w:rsidR="009B1F22" w:rsidRPr="00F6727E">
        <w:t xml:space="preserve"> </w:t>
      </w:r>
      <w:r w:rsidR="00584451" w:rsidRPr="00F6727E">
        <w:t>umeclidinium</w:t>
      </w:r>
      <w:r w:rsidR="009B1F22" w:rsidRPr="00F6727E">
        <w:t xml:space="preserve"> </w:t>
      </w:r>
      <w:r w:rsidRPr="00F6727E">
        <w:t>/</w:t>
      </w:r>
      <w:r w:rsidR="009B1F22" w:rsidRPr="00F6727E">
        <w:t xml:space="preserve"> </w:t>
      </w:r>
      <w:r w:rsidR="00584451" w:rsidRPr="00F6727E">
        <w:t>vilanterol</w:t>
      </w:r>
      <w:r w:rsidRPr="00F6727E">
        <w:t xml:space="preserve"> 100/62.5/25</w:t>
      </w:r>
      <w:r w:rsidR="00ED3A09" w:rsidRPr="00F6727E">
        <w:t> µg</w:t>
      </w:r>
      <w:r w:rsidRPr="00F6727E">
        <w:t xml:space="preserve"> was 2.16 (95% CI: 1.61, 2.88) and </w:t>
      </w:r>
      <w:r w:rsidR="00584451" w:rsidRPr="00F6727E">
        <w:t>fluticasone furoate</w:t>
      </w:r>
      <w:r w:rsidR="009B1F22" w:rsidRPr="00F6727E">
        <w:t xml:space="preserve"> </w:t>
      </w:r>
      <w:r w:rsidRPr="00F6727E">
        <w:t>/</w:t>
      </w:r>
      <w:r w:rsidR="009B1F22" w:rsidRPr="00F6727E">
        <w:t xml:space="preserve"> </w:t>
      </w:r>
      <w:r w:rsidR="00584451" w:rsidRPr="00F6727E">
        <w:t>umeclidinium</w:t>
      </w:r>
      <w:r w:rsidR="009B1F22" w:rsidRPr="00F6727E">
        <w:t xml:space="preserve"> </w:t>
      </w:r>
      <w:r w:rsidRPr="00F6727E">
        <w:t>/</w:t>
      </w:r>
      <w:r w:rsidR="009B1F22" w:rsidRPr="00F6727E">
        <w:t xml:space="preserve"> </w:t>
      </w:r>
      <w:r w:rsidR="00584451" w:rsidRPr="00F6727E">
        <w:t>vilanterol</w:t>
      </w:r>
      <w:r w:rsidRPr="00F6727E">
        <w:t xml:space="preserve"> 2</w:t>
      </w:r>
      <w:r w:rsidR="00ED3A09" w:rsidRPr="00F6727E">
        <w:t xml:space="preserve">00/62.5/25 µg </w:t>
      </w:r>
      <w:r w:rsidRPr="00F6727E">
        <w:t>was 1.82 (95%</w:t>
      </w:r>
      <w:r w:rsidR="00902AA0">
        <w:t> </w:t>
      </w:r>
      <w:r w:rsidRPr="00F6727E">
        <w:t>CI: 1.37, 2.41). It is noted that slightly diminished improvement in FEV</w:t>
      </w:r>
      <w:r w:rsidRPr="00F6727E">
        <w:rPr>
          <w:vertAlign w:val="subscript"/>
        </w:rPr>
        <w:t>1</w:t>
      </w:r>
      <w:r w:rsidRPr="00F6727E">
        <w:t xml:space="preserve"> noted beyond 24 w</w:t>
      </w:r>
      <w:r w:rsidR="004B4DA8" w:rsidRPr="00F6727E">
        <w:t>eeks, particularly at 52</w:t>
      </w:r>
      <w:r w:rsidR="009B1F22" w:rsidRPr="00F6727E">
        <w:t> </w:t>
      </w:r>
      <w:r w:rsidR="004B4DA8" w:rsidRPr="00F6727E">
        <w:t>weeks.</w:t>
      </w:r>
    </w:p>
    <w:p w14:paraId="2A350E8E" w14:textId="24B40A8A" w:rsidR="00DF6A60" w:rsidRPr="00F6727E" w:rsidRDefault="00DF6A60" w:rsidP="00DF6A60">
      <w:r w:rsidRPr="00F6727E">
        <w:t xml:space="preserve">Primary efficacy results were confirmed in the </w:t>
      </w:r>
      <w:r w:rsidR="00BF297A">
        <w:t xml:space="preserve">on-treatment </w:t>
      </w:r>
      <w:r w:rsidR="002A457B" w:rsidRPr="00F6727E">
        <w:t>analysi</w:t>
      </w:r>
      <w:r w:rsidR="00902AA0">
        <w:t>s</w:t>
      </w:r>
      <w:r w:rsidR="002A457B" w:rsidRPr="00F6727E">
        <w:t xml:space="preserve"> </w:t>
      </w:r>
      <w:r w:rsidRPr="00F6727E">
        <w:t>with supportive and sensitivity analyses.</w:t>
      </w:r>
    </w:p>
    <w:p w14:paraId="07AD2703" w14:textId="77777777" w:rsidR="00EC5459" w:rsidRPr="00F6727E" w:rsidRDefault="00DF6A60" w:rsidP="00EC5459">
      <w:pPr>
        <w:pStyle w:val="Heading6"/>
      </w:pPr>
      <w:r w:rsidRPr="00F6727E">
        <w:t>Secondary efficacy endpoint</w:t>
      </w:r>
    </w:p>
    <w:p w14:paraId="75D0680D" w14:textId="78BBD87A" w:rsidR="00AA7BAE" w:rsidRPr="00F6727E" w:rsidRDefault="00AA7BAE" w:rsidP="00EB51B7">
      <w:pPr>
        <w:pStyle w:val="TableTitle"/>
        <w:keepLines/>
      </w:pPr>
      <w:r w:rsidRPr="00F6727E">
        <w:t xml:space="preserve">Table </w:t>
      </w:r>
      <w:r w:rsidR="00A759BC">
        <w:fldChar w:fldCharType="begin"/>
      </w:r>
      <w:r w:rsidR="00A759BC">
        <w:instrText xml:space="preserve"> SEQ Table \* ARABIC </w:instrText>
      </w:r>
      <w:r w:rsidR="00A759BC">
        <w:fldChar w:fldCharType="separate"/>
      </w:r>
      <w:r w:rsidR="00501251">
        <w:rPr>
          <w:noProof/>
        </w:rPr>
        <w:t>5</w:t>
      </w:r>
      <w:r w:rsidR="00A759BC">
        <w:rPr>
          <w:noProof/>
        </w:rPr>
        <w:fldChar w:fldCharType="end"/>
      </w:r>
      <w:r w:rsidRPr="00F6727E">
        <w:t xml:space="preserve">: Study 205715 Analysis of the annualised rate of moderate/severe asthma exacerbations for the primary comparison of </w:t>
      </w:r>
      <w:r w:rsidR="00584451" w:rsidRPr="00F6727E">
        <w:t>fluticasone furoate</w:t>
      </w:r>
      <w:r w:rsidR="00632557" w:rsidRPr="00F6727E">
        <w:t xml:space="preserve"> </w:t>
      </w:r>
      <w:r w:rsidRPr="00F6727E">
        <w:t>/</w:t>
      </w:r>
      <w:r w:rsidR="00632557" w:rsidRPr="00F6727E">
        <w:t xml:space="preserve"> </w:t>
      </w:r>
      <w:r w:rsidR="00584451" w:rsidRPr="00F6727E">
        <w:t>umeclidinium</w:t>
      </w:r>
      <w:r w:rsidR="00632557" w:rsidRPr="00F6727E">
        <w:t xml:space="preserve"> </w:t>
      </w:r>
      <w:r w:rsidRPr="00F6727E">
        <w:t>/</w:t>
      </w:r>
      <w:r w:rsidR="00632557" w:rsidRPr="00F6727E">
        <w:t xml:space="preserve"> </w:t>
      </w:r>
      <w:r w:rsidR="00584451" w:rsidRPr="00F6727E">
        <w:t>vilanterol</w:t>
      </w:r>
      <w:r w:rsidRPr="00F6727E">
        <w:t xml:space="preserve"> v</w:t>
      </w:r>
      <w:r w:rsidR="009B1F22" w:rsidRPr="00F6727E">
        <w:t>ersus</w:t>
      </w:r>
      <w:r w:rsidRPr="00F6727E">
        <w:t xml:space="preserve">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across Weeks 1 to 52 using </w:t>
      </w:r>
      <w:proofErr w:type="spellStart"/>
      <w:r w:rsidRPr="00F6727E">
        <w:t>unpooled</w:t>
      </w:r>
      <w:proofErr w:type="spellEnd"/>
      <w:r w:rsidRPr="00F6727E">
        <w:t xml:space="preserve"> dose groups (on</w:t>
      </w:r>
      <w:r w:rsidR="002F7BA7" w:rsidRPr="00F6727E">
        <w:t>-</w:t>
      </w:r>
      <w:r w:rsidRPr="00F6727E">
        <w:t xml:space="preserve"> and post</w:t>
      </w:r>
      <w:r w:rsidR="002F7BA7" w:rsidRPr="00F6727E">
        <w:t>-</w:t>
      </w:r>
      <w:r w:rsidRPr="00F6727E">
        <w:t>treatment) (</w:t>
      </w:r>
      <w:r w:rsidR="009B1F22" w:rsidRPr="00F6727E">
        <w:t>intent</w:t>
      </w:r>
      <w:r w:rsidR="00297DC6" w:rsidRPr="00F6727E">
        <w:t>-</w:t>
      </w:r>
      <w:r w:rsidR="009B1F22" w:rsidRPr="00F6727E">
        <w:t>to</w:t>
      </w:r>
      <w:r w:rsidR="00297DC6" w:rsidRPr="00F6727E">
        <w:t>-</w:t>
      </w:r>
      <w:r w:rsidR="009B1F22" w:rsidRPr="00F6727E">
        <w:t>treat</w:t>
      </w:r>
      <w:r w:rsidRPr="00F6727E">
        <w:t xml:space="preserve"> population)</w:t>
      </w:r>
    </w:p>
    <w:p w14:paraId="01023A93" w14:textId="6F4E57E0" w:rsidR="00AA7BAE" w:rsidRPr="00F6727E" w:rsidRDefault="00AA7BAE" w:rsidP="00DF6A60">
      <w:r w:rsidRPr="00F6727E">
        <w:rPr>
          <w:noProof/>
          <w:lang w:val="en-GB" w:eastAsia="en-GB"/>
        </w:rPr>
        <w:drawing>
          <wp:inline distT="0" distB="0" distL="0" distR="0" wp14:anchorId="2B8E1F17" wp14:editId="3BA4F952">
            <wp:extent cx="5400040" cy="1995170"/>
            <wp:effectExtent l="0" t="0" r="0" b="5080"/>
            <wp:docPr id="6" name="Picture 6" title="Study 205715 Analysis of the annualised rate of moderate/severe asthma exacerbations for the primary comparison of fluticasone furoate / umeclidinium / vilanterol versus fluticasone furoate / vilanterol across Weeks 1 to 52 using unpooled dose groups (on and post treatment) (intent-to-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1995170"/>
                    </a:xfrm>
                    <a:prstGeom prst="rect">
                      <a:avLst/>
                    </a:prstGeom>
                  </pic:spPr>
                </pic:pic>
              </a:graphicData>
            </a:graphic>
          </wp:inline>
        </w:drawing>
      </w:r>
    </w:p>
    <w:p w14:paraId="51FF8090" w14:textId="2A0AB571" w:rsidR="009B1F22" w:rsidRPr="00F6727E" w:rsidRDefault="009B1F22" w:rsidP="009B1F22">
      <w:pPr>
        <w:pStyle w:val="TableDescription"/>
      </w:pPr>
      <w:r w:rsidRPr="00F6727E">
        <w:t>FF = fluticasone furoate; VI = vilanterol; UMEC = umeclidinium, N = population size; n = sample size; CI</w:t>
      </w:r>
      <w:r w:rsidR="00902AA0">
        <w:t> </w:t>
      </w:r>
      <w:r w:rsidRPr="00F6727E">
        <w:t>=</w:t>
      </w:r>
      <w:r w:rsidR="00902AA0">
        <w:t> </w:t>
      </w:r>
      <w:r w:rsidRPr="00F6727E">
        <w:t>confidence interval; vs = versus.</w:t>
      </w:r>
    </w:p>
    <w:p w14:paraId="77A1E4C7" w14:textId="0BE67EE7" w:rsidR="00AA7BAE" w:rsidRPr="00F6727E" w:rsidRDefault="00AA7BAE" w:rsidP="009B1F22">
      <w:pPr>
        <w:pStyle w:val="TableDescription"/>
      </w:pPr>
      <w:r w:rsidRPr="00F6727E">
        <w:t xml:space="preserve">Analysis performed using a negative binomial model with covariates of treatment, age, sex, region, pre-study </w:t>
      </w:r>
      <w:r w:rsidR="009B1F22" w:rsidRPr="00F6727E">
        <w:t xml:space="preserve">inhaled corticosteroid </w:t>
      </w:r>
      <w:r w:rsidRPr="00F6727E">
        <w:t xml:space="preserve">dosage at </w:t>
      </w:r>
      <w:r w:rsidR="009B1F22" w:rsidRPr="00F6727E">
        <w:t>screening, severe asthma exacerbations in the previous year (0, 1, ≥ 2), and with logarithm of time (year) on study as an offset variable.</w:t>
      </w:r>
    </w:p>
    <w:p w14:paraId="45673B55" w14:textId="0FB71844" w:rsidR="00DF6A60" w:rsidRPr="00F6727E" w:rsidRDefault="00DF6A60" w:rsidP="00DF6A60">
      <w:r w:rsidRPr="00F6727E">
        <w:t>The secondary endpoint of annualised rates of moderate/severe exacerbations of asthma did not demonstrate a differential response in the any of the subgroup analyses, apart from age. There was a greater reduction observed in the ≥ 65</w:t>
      </w:r>
      <w:r w:rsidR="000C185B" w:rsidRPr="00F6727E">
        <w:t> </w:t>
      </w:r>
      <w:r w:rsidRPr="00F6727E">
        <w:t xml:space="preserve">years age group </w:t>
      </w:r>
      <w:r w:rsidR="00902AA0">
        <w:t>(risk ratio (</w:t>
      </w:r>
      <w:r w:rsidRPr="00F6727E">
        <w:t>RR</w:t>
      </w:r>
      <w:r w:rsidR="00902AA0">
        <w:t>)</w:t>
      </w:r>
      <w:r w:rsidRPr="00F6727E">
        <w:t xml:space="preserve"> 0.59 (95% CI: 0.39, 0.92) compa</w:t>
      </w:r>
      <w:r w:rsidR="000C185B" w:rsidRPr="00F6727E">
        <w:t>red to the &lt;65 years age group (</w:t>
      </w:r>
      <w:r w:rsidRPr="00F6727E">
        <w:t>RR 0.94 (95%CI</w:t>
      </w:r>
      <w:r w:rsidR="000C185B" w:rsidRPr="00F6727E">
        <w:t>:</w:t>
      </w:r>
      <w:r w:rsidRPr="00F6727E">
        <w:t xml:space="preserve"> 0.76, 1.17) in the pooled analysis comparing </w:t>
      </w:r>
      <w:r w:rsidR="00584451" w:rsidRPr="00F6727E">
        <w:t>umeclidinium</w:t>
      </w:r>
      <w:r w:rsidRPr="00F6727E">
        <w:t xml:space="preserve"> 62.5</w:t>
      </w:r>
      <w:r w:rsidR="000C185B" w:rsidRPr="00F6727E">
        <w:t> </w:t>
      </w:r>
      <w:r w:rsidR="00876AEB" w:rsidRPr="00F6727E">
        <w:t>µg</w:t>
      </w:r>
      <w:r w:rsidRPr="00F6727E">
        <w:t xml:space="preserve"> containing treatment groups to </w:t>
      </w:r>
      <w:r w:rsidR="00584451" w:rsidRPr="00F6727E">
        <w:t>fluticasone furoate</w:t>
      </w:r>
      <w:r w:rsidR="000C185B" w:rsidRPr="00F6727E">
        <w:t xml:space="preserve"> </w:t>
      </w:r>
      <w:r w:rsidRPr="00F6727E">
        <w:t>/</w:t>
      </w:r>
      <w:r w:rsidR="000C185B" w:rsidRPr="00F6727E">
        <w:t xml:space="preserve"> </w:t>
      </w:r>
      <w:r w:rsidR="00584451" w:rsidRPr="00F6727E">
        <w:t>vilanterol</w:t>
      </w:r>
      <w:r w:rsidRPr="00F6727E">
        <w:t>. This age</w:t>
      </w:r>
      <w:r w:rsidR="000C185B" w:rsidRPr="00F6727E">
        <w:t xml:space="preserve"> </w:t>
      </w:r>
      <w:r w:rsidRPr="00F6727E">
        <w:t xml:space="preserve">dependent observed difference was not observed in the </w:t>
      </w:r>
      <w:r w:rsidR="00584451" w:rsidRPr="00F6727E">
        <w:t>umeclidinium</w:t>
      </w:r>
      <w:r w:rsidR="000C185B" w:rsidRPr="00F6727E">
        <w:t xml:space="preserve"> 31.25 µg </w:t>
      </w:r>
      <w:r w:rsidRPr="00F6727E">
        <w:t xml:space="preserve">containing treatment groups compared to </w:t>
      </w:r>
      <w:r w:rsidR="00584451" w:rsidRPr="00F6727E">
        <w:t>fluticasone furoate</w:t>
      </w:r>
      <w:r w:rsidR="000C185B" w:rsidRPr="00F6727E">
        <w:t xml:space="preserve"> </w:t>
      </w:r>
      <w:r w:rsidRPr="00F6727E">
        <w:t>/</w:t>
      </w:r>
      <w:r w:rsidR="000C185B" w:rsidRPr="00F6727E">
        <w:t xml:space="preserve"> </w:t>
      </w:r>
      <w:r w:rsidR="00584451" w:rsidRPr="00F6727E">
        <w:t>vilanterol</w:t>
      </w:r>
      <w:r w:rsidRPr="00F6727E">
        <w:t>.</w:t>
      </w:r>
    </w:p>
    <w:p w14:paraId="245BF71C" w14:textId="4F0E9AFF" w:rsidR="00DF6A60" w:rsidRPr="00F6727E" w:rsidRDefault="00DF6A60" w:rsidP="00DF6A60">
      <w:r w:rsidRPr="00F6727E">
        <w:lastRenderedPageBreak/>
        <w:t>As annualised rate of e</w:t>
      </w:r>
      <w:r w:rsidR="000C185B" w:rsidRPr="00F6727E">
        <w:t>xacerbations was positioned at L</w:t>
      </w:r>
      <w:r w:rsidRPr="00F6727E">
        <w:t>evel 2 of the statistical hierarchy, statistical inferences could not be made regarding the subsequent endpoints evaluated in this study.</w:t>
      </w:r>
    </w:p>
    <w:p w14:paraId="7723AEBB" w14:textId="1987B27B" w:rsidR="00DF6A60" w:rsidRPr="00F6727E" w:rsidRDefault="00DF6A60" w:rsidP="00DF6A60">
      <w:r w:rsidRPr="00F6727E">
        <w:t xml:space="preserve">Study ILA115938 was a Phase IIb, randomised, double blind dose ranging study evaluating dose response, efficacy and safety of five </w:t>
      </w:r>
      <w:r w:rsidR="00632557" w:rsidRPr="00F6727E">
        <w:t xml:space="preserve">once daily </w:t>
      </w:r>
      <w:r w:rsidRPr="00F6727E">
        <w:t xml:space="preserve">doses of </w:t>
      </w:r>
      <w:r w:rsidR="00584451" w:rsidRPr="00F6727E">
        <w:t>umeclidinium</w:t>
      </w:r>
      <w:r w:rsidRPr="00F6727E">
        <w:t xml:space="preserve"> in combination with </w:t>
      </w:r>
      <w:r w:rsidR="00584451" w:rsidRPr="00F6727E">
        <w:t>fluticasone furoate</w:t>
      </w:r>
      <w:r w:rsidR="000C185B" w:rsidRPr="00F6727E">
        <w:t xml:space="preserve"> (100 </w:t>
      </w:r>
      <w:r w:rsidR="00876AEB" w:rsidRPr="00F6727E">
        <w:t>µg</w:t>
      </w:r>
      <w:r w:rsidRPr="00F6727E">
        <w:t xml:space="preserve">) compared to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(100/25</w:t>
      </w:r>
      <w:r w:rsidR="000C185B" w:rsidRPr="00F6727E">
        <w:t> µg</w:t>
      </w:r>
      <w:r w:rsidRPr="00F6727E">
        <w:t xml:space="preserve">) and </w:t>
      </w:r>
      <w:r w:rsidR="00584451" w:rsidRPr="00F6727E">
        <w:t>fluticasone furoate</w:t>
      </w:r>
      <w:r w:rsidRPr="00F6727E">
        <w:t>(100</w:t>
      </w:r>
      <w:r w:rsidR="000C185B" w:rsidRPr="00F6727E">
        <w:t> </w:t>
      </w:r>
      <w:r w:rsidR="00876AEB" w:rsidRPr="00F6727E">
        <w:t>µg</w:t>
      </w:r>
      <w:r w:rsidRPr="00F6727E">
        <w:t>) monotherapy. There were larger</w:t>
      </w:r>
      <w:r w:rsidR="000C185B" w:rsidRPr="00F6727E">
        <w:t xml:space="preserve"> mean changes from </w:t>
      </w:r>
      <w:r w:rsidR="002811AB" w:rsidRPr="00F6727E">
        <w:t>Baseline</w:t>
      </w:r>
      <w:r w:rsidR="000C185B" w:rsidRPr="00F6727E">
        <w:t xml:space="preserve"> in D</w:t>
      </w:r>
      <w:r w:rsidRPr="00F6727E">
        <w:t>ay 15 FEV</w:t>
      </w:r>
      <w:r w:rsidRPr="00F6727E">
        <w:rPr>
          <w:vertAlign w:val="subscript"/>
        </w:rPr>
        <w:t>1</w:t>
      </w:r>
      <w:r w:rsidRPr="00F6727E">
        <w:t xml:space="preserve"> in all </w:t>
      </w:r>
      <w:r w:rsidR="00584451" w:rsidRPr="00F6727E">
        <w:t>fluticasone furoate</w:t>
      </w:r>
      <w:r w:rsidR="00632557" w:rsidRPr="00F6727E">
        <w:t xml:space="preserve"> </w:t>
      </w:r>
      <w:r w:rsidRPr="00F6727E">
        <w:t>/</w:t>
      </w:r>
      <w:r w:rsidR="00632557" w:rsidRPr="00F6727E">
        <w:t xml:space="preserve"> </w:t>
      </w:r>
      <w:r w:rsidR="00584451" w:rsidRPr="00F6727E">
        <w:t>umeclidinium</w:t>
      </w:r>
      <w:r w:rsidRPr="00F6727E">
        <w:t xml:space="preserve"> groups compared to </w:t>
      </w:r>
      <w:r w:rsidR="00584451" w:rsidRPr="00F6727E">
        <w:t>fluticasone furoate</w:t>
      </w:r>
      <w:r w:rsidRPr="00F6727E">
        <w:t xml:space="preserve"> monotherapy, with statistically significant increases observed in the </w:t>
      </w:r>
      <w:r w:rsidR="00584451" w:rsidRPr="00F6727E">
        <w:t>fluticasone furoate</w:t>
      </w:r>
      <w:r w:rsidR="00632557" w:rsidRPr="00F6727E">
        <w:t xml:space="preserve"> </w:t>
      </w:r>
      <w:r w:rsidRPr="00F6727E">
        <w:t>/</w:t>
      </w:r>
      <w:r w:rsidR="00632557" w:rsidRPr="00F6727E">
        <w:t xml:space="preserve"> </w:t>
      </w:r>
      <w:r w:rsidR="00584451" w:rsidRPr="00F6727E">
        <w:t>umeclidinium</w:t>
      </w:r>
      <w:r w:rsidR="000C185B" w:rsidRPr="00F6727E">
        <w:t xml:space="preserve"> 125 </w:t>
      </w:r>
      <w:r w:rsidR="00876AEB" w:rsidRPr="00F6727E">
        <w:t>µg</w:t>
      </w:r>
      <w:r w:rsidRPr="00F6727E">
        <w:t xml:space="preserve"> and </w:t>
      </w:r>
      <w:r w:rsidR="00584451" w:rsidRPr="00F6727E">
        <w:t>fluticasone furoate</w:t>
      </w:r>
      <w:r w:rsidR="00632557" w:rsidRPr="00F6727E">
        <w:t xml:space="preserve"> </w:t>
      </w:r>
      <w:r w:rsidRPr="00F6727E">
        <w:t>/</w:t>
      </w:r>
      <w:r w:rsidR="00632557" w:rsidRPr="00F6727E">
        <w:t xml:space="preserve"> </w:t>
      </w:r>
      <w:r w:rsidR="00584451" w:rsidRPr="00F6727E">
        <w:t>umeclidinium</w:t>
      </w:r>
      <w:r w:rsidRPr="00F6727E">
        <w:t xml:space="preserve"> 250</w:t>
      </w:r>
      <w:r w:rsidR="000C185B" w:rsidRPr="00F6727E">
        <w:t> </w:t>
      </w:r>
      <w:r w:rsidR="00876AEB" w:rsidRPr="00F6727E">
        <w:t>µg</w:t>
      </w:r>
      <w:r w:rsidRPr="00F6727E">
        <w:t xml:space="preserve">. </w:t>
      </w:r>
      <w:r w:rsidR="00584451" w:rsidRPr="00F6727E">
        <w:t>fluticasone furoate</w:t>
      </w:r>
      <w:r w:rsidR="00632557" w:rsidRPr="00F6727E">
        <w:t xml:space="preserve"> </w:t>
      </w:r>
      <w:r w:rsidRPr="00F6727E">
        <w:t>/</w:t>
      </w:r>
      <w:r w:rsidR="00632557" w:rsidRPr="00F6727E">
        <w:t xml:space="preserve"> </w:t>
      </w:r>
      <w:r w:rsidR="00584451" w:rsidRPr="00F6727E">
        <w:t>umeclidinium</w:t>
      </w:r>
      <w:r w:rsidRPr="00F6727E">
        <w:t xml:space="preserve"> was however, not superior in comparison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comparators. Additionally, the secondary endpoint of moderate/ severe exacerbation did not reach statistical significance in both the </w:t>
      </w:r>
      <w:r w:rsidR="00584451" w:rsidRPr="00F6727E">
        <w:t>umeclidinium</w:t>
      </w:r>
      <w:r w:rsidRPr="00F6727E">
        <w:t xml:space="preserve"> 31.25</w:t>
      </w:r>
      <w:r w:rsidR="000C185B" w:rsidRPr="00F6727E">
        <w:t> µg</w:t>
      </w:r>
      <w:r w:rsidRPr="00F6727E">
        <w:t xml:space="preserve"> and </w:t>
      </w:r>
      <w:r w:rsidR="00584451" w:rsidRPr="00F6727E">
        <w:t>umeclidinium</w:t>
      </w:r>
      <w:r w:rsidRPr="00F6727E">
        <w:t xml:space="preserve"> 62.5</w:t>
      </w:r>
      <w:r w:rsidR="000C185B" w:rsidRPr="00F6727E">
        <w:t> µg</w:t>
      </w:r>
      <w:r w:rsidRPr="00F6727E">
        <w:t xml:space="preserve">. However, with regards to severe exacerbations specifically, there was an observed reduction in risk in the </w:t>
      </w:r>
      <w:r w:rsidR="00584451" w:rsidRPr="00F6727E">
        <w:t>umeclidinium</w:t>
      </w:r>
      <w:r w:rsidRPr="00F6727E">
        <w:t xml:space="preserve"> 31.25</w:t>
      </w:r>
      <w:r w:rsidR="000C185B" w:rsidRPr="00F6727E">
        <w:t> </w:t>
      </w:r>
      <w:r w:rsidR="00876AEB" w:rsidRPr="00F6727E">
        <w:t>µg</w:t>
      </w:r>
      <w:r w:rsidRPr="00F6727E">
        <w:t xml:space="preserve"> group but not in the </w:t>
      </w:r>
      <w:r w:rsidR="00584451" w:rsidRPr="00F6727E">
        <w:t>umeclidinium</w:t>
      </w:r>
      <w:r w:rsidRPr="00F6727E">
        <w:t xml:space="preserve"> 62.5</w:t>
      </w:r>
      <w:r w:rsidR="000C185B" w:rsidRPr="00F6727E">
        <w:t> </w:t>
      </w:r>
      <w:r w:rsidR="00876AEB" w:rsidRPr="00F6727E">
        <w:t>µg</w:t>
      </w:r>
      <w:r w:rsidRPr="00F6727E">
        <w:t>.</w:t>
      </w:r>
    </w:p>
    <w:p w14:paraId="2EF339AA" w14:textId="37171140" w:rsidR="00DF6A60" w:rsidRPr="00F6727E" w:rsidRDefault="00DF6A60" w:rsidP="00DF6A60">
      <w:r w:rsidRPr="00F6727E">
        <w:t xml:space="preserve">Study 200699 similarly evaluated the efficacy of multiple doses of </w:t>
      </w:r>
      <w:r w:rsidR="00584451" w:rsidRPr="00F6727E">
        <w:t>umeclidinium</w:t>
      </w:r>
      <w:r w:rsidRPr="00F6727E">
        <w:t xml:space="preserve"> in the combination </w:t>
      </w:r>
      <w:r w:rsidR="00584451" w:rsidRPr="00F6727E">
        <w:t>fluticasone furoate</w:t>
      </w:r>
      <w:r w:rsidRPr="00F6727E">
        <w:t xml:space="preserve"> compared to </w:t>
      </w:r>
      <w:r w:rsidR="00584451" w:rsidRPr="00F6727E">
        <w:t>fluticasone furoate</w:t>
      </w:r>
      <w:r w:rsidRPr="00F6727E">
        <w:t xml:space="preserve"> monotherapy in patients with COPD with an asthmatic component. While </w:t>
      </w:r>
      <w:r w:rsidR="00584451" w:rsidRPr="00F6727E">
        <w:t>umeclidinium</w:t>
      </w:r>
      <w:r w:rsidRPr="00F6727E">
        <w:t xml:space="preserve"> 62.5</w:t>
      </w:r>
      <w:r w:rsidR="000C185B" w:rsidRPr="00F6727E">
        <w:t> µg</w:t>
      </w:r>
      <w:r w:rsidRPr="00F6727E">
        <w:t xml:space="preserve"> and 125</w:t>
      </w:r>
      <w:r w:rsidR="000C185B" w:rsidRPr="00F6727E">
        <w:t> µg</w:t>
      </w:r>
      <w:r w:rsidRPr="00F6727E">
        <w:t xml:space="preserve"> in combination with </w:t>
      </w:r>
      <w:r w:rsidR="00584451" w:rsidRPr="00F6727E">
        <w:t>fluticasone furoate</w:t>
      </w:r>
      <w:r w:rsidRPr="00F6727E">
        <w:t xml:space="preserve"> 100</w:t>
      </w:r>
      <w:r w:rsidR="000C185B" w:rsidRPr="00F6727E">
        <w:t> µg</w:t>
      </w:r>
      <w:r w:rsidRPr="00F6727E">
        <w:t xml:space="preserve"> demonstrated statistically significant improvement in trough FEV</w:t>
      </w:r>
      <w:r w:rsidRPr="00F6727E">
        <w:rPr>
          <w:vertAlign w:val="subscript"/>
        </w:rPr>
        <w:t>1</w:t>
      </w:r>
      <w:r w:rsidRPr="00F6727E">
        <w:t xml:space="preserve"> compared to </w:t>
      </w:r>
      <w:r w:rsidR="00584451" w:rsidRPr="00F6727E">
        <w:t>fluticasone furoate</w:t>
      </w:r>
      <w:r w:rsidRPr="00F6727E">
        <w:t xml:space="preserve"> 100</w:t>
      </w:r>
      <w:r w:rsidR="000C185B" w:rsidRPr="00F6727E">
        <w:t> µg</w:t>
      </w:r>
      <w:r w:rsidRPr="00F6727E">
        <w:t>, a lack of efficacy was demonstrated in the primary asthma subgroup.</w:t>
      </w:r>
    </w:p>
    <w:p w14:paraId="43F800CE" w14:textId="55FADFDA" w:rsidR="00DF6A60" w:rsidRPr="00F6727E" w:rsidRDefault="00DF6A60" w:rsidP="00DF6A60">
      <w:r w:rsidRPr="00F6727E">
        <w:t xml:space="preserve">Studies 205832 and ALA116402 were phase IIb, randomised, double blind studies that evaluated the efficacy of various doses of </w:t>
      </w:r>
      <w:r w:rsidR="00584451" w:rsidRPr="00F6727E">
        <w:t>umeclidinium</w:t>
      </w:r>
      <w:r w:rsidRPr="00F6727E">
        <w:t xml:space="preserve"> compared to placebo. In </w:t>
      </w:r>
      <w:r w:rsidR="000C185B" w:rsidRPr="00F6727E">
        <w:t>S</w:t>
      </w:r>
      <w:r w:rsidRPr="00F6727E">
        <w:t xml:space="preserve">tudy 205832, both </w:t>
      </w:r>
      <w:r w:rsidR="00584451" w:rsidRPr="00F6727E">
        <w:t>umeclidinium</w:t>
      </w:r>
      <w:r w:rsidRPr="00F6727E">
        <w:t xml:space="preserve"> 62.5</w:t>
      </w:r>
      <w:r w:rsidR="000C185B" w:rsidRPr="00F6727E">
        <w:t> µg</w:t>
      </w:r>
      <w:r w:rsidRPr="00F6727E">
        <w:t xml:space="preserve"> and </w:t>
      </w:r>
      <w:r w:rsidR="00584451" w:rsidRPr="00F6727E">
        <w:t>umeclidinium</w:t>
      </w:r>
      <w:r w:rsidRPr="00F6727E">
        <w:t xml:space="preserve"> 31.25</w:t>
      </w:r>
      <w:r w:rsidR="000C185B" w:rsidRPr="00F6727E">
        <w:t> µg</w:t>
      </w:r>
      <w:r w:rsidRPr="00F6727E">
        <w:t xml:space="preserve"> demonstrated statistically significant increases in the primary </w:t>
      </w:r>
      <w:r w:rsidR="000C185B" w:rsidRPr="00F6727E">
        <w:t>least squares (</w:t>
      </w:r>
      <w:r w:rsidRPr="00F6727E">
        <w:t>LS</w:t>
      </w:r>
      <w:r w:rsidR="000C185B" w:rsidRPr="00F6727E">
        <w:t>)</w:t>
      </w:r>
      <w:r w:rsidRPr="00F6727E">
        <w:t xml:space="preserve"> mean change from </w:t>
      </w:r>
      <w:r w:rsidR="002811AB" w:rsidRPr="00F6727E">
        <w:t>Baseline</w:t>
      </w:r>
      <w:r w:rsidRPr="00F6727E">
        <w:t xml:space="preserve"> in trough FEV</w:t>
      </w:r>
      <w:r w:rsidRPr="00F6727E">
        <w:rPr>
          <w:vertAlign w:val="subscript"/>
        </w:rPr>
        <w:t>1</w:t>
      </w:r>
      <w:r w:rsidRPr="00F6727E">
        <w:t xml:space="preserve"> compared to </w:t>
      </w:r>
      <w:r w:rsidR="000C185B" w:rsidRPr="00F6727E">
        <w:t>placebo</w:t>
      </w:r>
      <w:r w:rsidRPr="00F6727E">
        <w:t xml:space="preserve">. While in </w:t>
      </w:r>
      <w:r w:rsidR="000C185B" w:rsidRPr="00F6727E">
        <w:t xml:space="preserve">Study </w:t>
      </w:r>
      <w:r w:rsidRPr="00F6727E">
        <w:t>ALA116402 there were numerical increases in LS mean trough FEV</w:t>
      </w:r>
      <w:r w:rsidRPr="00F6727E">
        <w:rPr>
          <w:vertAlign w:val="subscript"/>
        </w:rPr>
        <w:t>1</w:t>
      </w:r>
      <w:r w:rsidRPr="00F6727E">
        <w:t xml:space="preserve"> across a wide range of doses (range 46</w:t>
      </w:r>
      <w:r w:rsidR="000C185B" w:rsidRPr="00F6727E">
        <w:t> </w:t>
      </w:r>
      <w:r w:rsidRPr="00F6727E">
        <w:t>mL to 112</w:t>
      </w:r>
      <w:r w:rsidR="000C185B" w:rsidRPr="00F6727E">
        <w:t> </w:t>
      </w:r>
      <w:r w:rsidRPr="00F6727E">
        <w:t xml:space="preserve">mL) with only </w:t>
      </w:r>
      <w:r w:rsidR="00584451" w:rsidRPr="00F6727E">
        <w:t>umeclidinium</w:t>
      </w:r>
      <w:r w:rsidRPr="00F6727E">
        <w:t xml:space="preserve"> 15.6</w:t>
      </w:r>
      <w:r w:rsidR="000C185B" w:rsidRPr="00F6727E">
        <w:t xml:space="preserve"> µg</w:t>
      </w:r>
      <w:r w:rsidRPr="00F6727E">
        <w:t xml:space="preserve"> and </w:t>
      </w:r>
      <w:r w:rsidR="00584451" w:rsidRPr="00F6727E">
        <w:t>umeclidinium</w:t>
      </w:r>
      <w:r w:rsidRPr="00F6727E">
        <w:t xml:space="preserve"> 125 </w:t>
      </w:r>
      <w:r w:rsidR="000C185B" w:rsidRPr="00F6727E">
        <w:t xml:space="preserve">µg </w:t>
      </w:r>
      <w:r w:rsidRPr="00F6727E">
        <w:t xml:space="preserve">having statistically significant improvements. Findings from </w:t>
      </w:r>
      <w:r w:rsidR="003F0F68" w:rsidRPr="00F6727E">
        <w:t>twice daily</w:t>
      </w:r>
      <w:r w:rsidRPr="00F6727E">
        <w:t xml:space="preserve"> </w:t>
      </w:r>
      <w:r w:rsidR="00584451" w:rsidRPr="00F6727E">
        <w:t>umeclidinium</w:t>
      </w:r>
      <w:r w:rsidRPr="00F6727E">
        <w:t xml:space="preserve"> treatment were similar.</w:t>
      </w:r>
    </w:p>
    <w:p w14:paraId="1C43B4B5" w14:textId="77777777" w:rsidR="00DF6A60" w:rsidRPr="00F6727E" w:rsidRDefault="00DF6A60" w:rsidP="00DF6A60">
      <w:pPr>
        <w:pStyle w:val="Heading4"/>
      </w:pPr>
      <w:r w:rsidRPr="00F6727E">
        <w:t>Safety</w:t>
      </w:r>
    </w:p>
    <w:p w14:paraId="6C783D5F" w14:textId="32BE4929" w:rsidR="00DF6A60" w:rsidRPr="00F6727E" w:rsidRDefault="00DF6A60" w:rsidP="00DF6A60">
      <w:r w:rsidRPr="00F6727E">
        <w:t xml:space="preserve">The safety of </w:t>
      </w:r>
      <w:r w:rsidR="000C185B" w:rsidRPr="00F6727E">
        <w:t xml:space="preserve">fixed dose combination </w:t>
      </w:r>
      <w:r w:rsidR="00584451" w:rsidRPr="00F6727E">
        <w:t>fluticasone furoate</w:t>
      </w:r>
      <w:r w:rsidR="000C185B" w:rsidRPr="00F6727E">
        <w:t xml:space="preserve"> </w:t>
      </w:r>
      <w:r w:rsidRPr="00F6727E">
        <w:t>/</w:t>
      </w:r>
      <w:r w:rsidR="000C185B" w:rsidRPr="00F6727E">
        <w:t xml:space="preserve"> </w:t>
      </w:r>
      <w:r w:rsidR="00584451" w:rsidRPr="00F6727E">
        <w:t>umeclidinium</w:t>
      </w:r>
      <w:r w:rsidR="000C185B" w:rsidRPr="00F6727E">
        <w:t xml:space="preserve"> </w:t>
      </w:r>
      <w:r w:rsidRPr="00F6727E">
        <w:t>/</w:t>
      </w:r>
      <w:r w:rsidR="000C185B" w:rsidRPr="00F6727E">
        <w:t xml:space="preserve"> </w:t>
      </w:r>
      <w:r w:rsidR="00584451" w:rsidRPr="00F6727E">
        <w:t>vilanterol</w:t>
      </w:r>
      <w:r w:rsidRPr="00F6727E">
        <w:t xml:space="preserve"> was supported by data from </w:t>
      </w:r>
      <w:r w:rsidR="000C185B" w:rsidRPr="00F6727E">
        <w:t>one</w:t>
      </w:r>
      <w:r w:rsidRPr="00F6727E">
        <w:t xml:space="preserve"> pivotal and </w:t>
      </w:r>
      <w:r w:rsidR="000C185B" w:rsidRPr="00F6727E">
        <w:t>five</w:t>
      </w:r>
      <w:r w:rsidRPr="00F6727E">
        <w:t xml:space="preserve"> supportive studies. One of the </w:t>
      </w:r>
      <w:r w:rsidR="000C185B" w:rsidRPr="00F6727E">
        <w:t>five</w:t>
      </w:r>
      <w:r w:rsidRPr="00F6727E">
        <w:t xml:space="preserve"> supportive studies, </w:t>
      </w:r>
      <w:r w:rsidR="000C185B" w:rsidRPr="00F6727E">
        <w:t xml:space="preserve">Study </w:t>
      </w:r>
      <w:r w:rsidRPr="00F6727E">
        <w:t>207236, is an ongoing single arm open</w:t>
      </w:r>
      <w:r w:rsidR="000C185B" w:rsidRPr="00F6727E">
        <w:t xml:space="preserve"> </w:t>
      </w:r>
      <w:r w:rsidRPr="00F6727E">
        <w:t xml:space="preserve">label study assessing the </w:t>
      </w:r>
      <w:proofErr w:type="gramStart"/>
      <w:r w:rsidRPr="00F6727E">
        <w:t>long term</w:t>
      </w:r>
      <w:proofErr w:type="gramEnd"/>
      <w:r w:rsidRPr="00F6727E">
        <w:t xml:space="preserve"> safety of </w:t>
      </w:r>
      <w:r w:rsidR="00584451" w:rsidRPr="00F6727E">
        <w:t>fluticasone furoate</w:t>
      </w:r>
      <w:r w:rsidR="000C185B" w:rsidRPr="00F6727E">
        <w:t xml:space="preserve"> </w:t>
      </w:r>
      <w:r w:rsidRPr="00F6727E">
        <w:t>/</w:t>
      </w:r>
      <w:r w:rsidR="000C185B" w:rsidRPr="00F6727E">
        <w:t xml:space="preserve"> </w:t>
      </w:r>
      <w:r w:rsidR="00584451" w:rsidRPr="00F6727E">
        <w:t>umeclidinium</w:t>
      </w:r>
      <w:r w:rsidR="000C185B" w:rsidRPr="00F6727E">
        <w:t xml:space="preserve"> </w:t>
      </w:r>
      <w:r w:rsidRPr="00F6727E">
        <w:t>/</w:t>
      </w:r>
      <w:r w:rsidR="000C185B" w:rsidRPr="00F6727E">
        <w:t xml:space="preserve"> </w:t>
      </w:r>
      <w:r w:rsidR="00584451" w:rsidRPr="00F6727E">
        <w:t>vilanterol</w:t>
      </w:r>
      <w:r w:rsidRPr="00F6727E">
        <w:t xml:space="preserve">. Of the </w:t>
      </w:r>
      <w:r w:rsidR="000C185B" w:rsidRPr="00F6727E">
        <w:t>four</w:t>
      </w:r>
      <w:r w:rsidRPr="00F6727E">
        <w:t xml:space="preserve"> completed supportive studies, </w:t>
      </w:r>
      <w:r w:rsidR="000C185B" w:rsidRPr="00F6727E">
        <w:t>three</w:t>
      </w:r>
      <w:r w:rsidRPr="00F6727E">
        <w:t xml:space="preserve"> studies assessed </w:t>
      </w:r>
      <w:r w:rsidR="00584451" w:rsidRPr="00F6727E">
        <w:t>umeclidinium</w:t>
      </w:r>
      <w:r w:rsidRPr="00F6727E">
        <w:t xml:space="preserve"> monotherapy in combination with </w:t>
      </w:r>
      <w:r w:rsidR="00584451" w:rsidRPr="00F6727E">
        <w:t>fluticasone furoate</w:t>
      </w:r>
      <w:r w:rsidRPr="00F6727E">
        <w:t xml:space="preserve"> 100</w:t>
      </w:r>
      <w:r w:rsidR="000C185B" w:rsidRPr="00F6727E">
        <w:t> µg</w:t>
      </w:r>
      <w:r w:rsidRPr="00F6727E">
        <w:t xml:space="preserve"> or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100/25</w:t>
      </w:r>
      <w:r w:rsidR="000C185B" w:rsidRPr="00F6727E">
        <w:t> µg</w:t>
      </w:r>
      <w:r w:rsidRPr="00F6727E">
        <w:t xml:space="preserve"> in asthma, whilst </w:t>
      </w:r>
      <w:r w:rsidR="000C185B" w:rsidRPr="00F6727E">
        <w:t xml:space="preserve">Study </w:t>
      </w:r>
      <w:r w:rsidRPr="00F6727E">
        <w:t xml:space="preserve">200699 assessed the efficacy and safety of </w:t>
      </w:r>
      <w:r w:rsidR="00584451" w:rsidRPr="00F6727E">
        <w:t>umeclidinium</w:t>
      </w:r>
      <w:r w:rsidRPr="00F6727E">
        <w:t xml:space="preserve"> in COPD subjects with an asthma component. In addition, </w:t>
      </w:r>
      <w:r w:rsidR="00584451" w:rsidRPr="00F6727E">
        <w:t>fluticasone furoate</w:t>
      </w:r>
      <w:r w:rsidR="000C185B" w:rsidRPr="00F6727E">
        <w:t xml:space="preserve"> </w:t>
      </w:r>
      <w:r w:rsidRPr="00F6727E">
        <w:t>/</w:t>
      </w:r>
      <w:r w:rsidR="000C185B" w:rsidRPr="00F6727E">
        <w:t xml:space="preserve"> </w:t>
      </w:r>
      <w:r w:rsidR="00584451" w:rsidRPr="00F6727E">
        <w:t>umeclidinium</w:t>
      </w:r>
      <w:r w:rsidR="000C185B" w:rsidRPr="00F6727E">
        <w:t xml:space="preserve"> </w:t>
      </w:r>
      <w:r w:rsidRPr="00F6727E">
        <w:t>/</w:t>
      </w:r>
      <w:r w:rsidR="000C185B" w:rsidRPr="00F6727E">
        <w:t xml:space="preserve"> </w:t>
      </w:r>
      <w:r w:rsidR="00584451" w:rsidRPr="00F6727E">
        <w:t>vilanterol</w:t>
      </w:r>
      <w:r w:rsidR="000C185B" w:rsidRPr="00F6727E">
        <w:t xml:space="preserve"> 100/62.5/25 µg </w:t>
      </w:r>
      <w:r w:rsidRPr="00F6727E">
        <w:t>post</w:t>
      </w:r>
      <w:r w:rsidR="002F7BA7" w:rsidRPr="00F6727E">
        <w:t>-</w:t>
      </w:r>
      <w:r w:rsidRPr="00F6727E">
        <w:t>market safety data collected between the</w:t>
      </w:r>
      <w:r w:rsidR="000C185B" w:rsidRPr="00F6727E">
        <w:t xml:space="preserve"> period of November 2017 to </w:t>
      </w:r>
      <w:r w:rsidRPr="00F6727E">
        <w:t>2 July 2019 has also been provided.</w:t>
      </w:r>
    </w:p>
    <w:p w14:paraId="6F91643B" w14:textId="2F331C16" w:rsidR="00DF6A60" w:rsidRPr="00F6727E" w:rsidRDefault="0051374D" w:rsidP="00704B18">
      <w:pPr>
        <w:pStyle w:val="Heading5"/>
      </w:pPr>
      <w:r w:rsidRPr="00F6727E">
        <w:t xml:space="preserve">Pivotal </w:t>
      </w:r>
      <w:r w:rsidR="00704B18" w:rsidRPr="00F6727E">
        <w:t>study</w:t>
      </w:r>
    </w:p>
    <w:p w14:paraId="37BF1861" w14:textId="7E2AB427" w:rsidR="00DF6A60" w:rsidRPr="00F6727E" w:rsidRDefault="00DF6A60" w:rsidP="00DF6A60">
      <w:r w:rsidRPr="00F6727E">
        <w:t xml:space="preserve">In the target population of inadequately controlled asthma, the exposure was </w:t>
      </w:r>
      <w:proofErr w:type="gramStart"/>
      <w:r w:rsidRPr="00F6727E">
        <w:t>1507.2</w:t>
      </w:r>
      <w:r w:rsidR="003A6656">
        <w:t> </w:t>
      </w:r>
      <w:r w:rsidRPr="00F6727E">
        <w:t>person</w:t>
      </w:r>
      <w:proofErr w:type="gramEnd"/>
      <w:r w:rsidR="00EB67C3" w:rsidRPr="00F6727E">
        <w:t xml:space="preserve"> </w:t>
      </w:r>
      <w:r w:rsidRPr="00F6727E">
        <w:t>year in a randomised controlled trial with variable duration of up to 52 weeks. Based on the variable duration design of this study, only a subset of participants continued receiving treatment past Week 24, and 45% of participa</w:t>
      </w:r>
      <w:r w:rsidR="003D401B" w:rsidRPr="00F6727E">
        <w:t>nts attended a Week 36 visit on</w:t>
      </w:r>
      <w:r w:rsidR="002F7BA7" w:rsidRPr="00F6727E">
        <w:t>-</w:t>
      </w:r>
      <w:r w:rsidRPr="00F6727E">
        <w:t>treatment, and 22% of participants attended a Week 52 visit on</w:t>
      </w:r>
      <w:r w:rsidR="002F7BA7" w:rsidRPr="00F6727E">
        <w:t>-</w:t>
      </w:r>
      <w:r w:rsidRPr="00F6727E">
        <w:t>treatment.</w:t>
      </w:r>
    </w:p>
    <w:p w14:paraId="39171F46" w14:textId="77777777" w:rsidR="00DF6A60" w:rsidRPr="00F6727E" w:rsidRDefault="00DF6A60" w:rsidP="00DF6A60">
      <w:r w:rsidRPr="00F6727E">
        <w:t>There was an adequate level of exposure across the duration of the study to facilitate evaluation of the safety, including at the end of the treatment period (24 weeks) and the last follow up visit (52 weeks).</w:t>
      </w:r>
    </w:p>
    <w:p w14:paraId="471798B2" w14:textId="185A3921" w:rsidR="00DF6A60" w:rsidRPr="00F6727E" w:rsidRDefault="00DF6A60" w:rsidP="00DF6A60">
      <w:r w:rsidRPr="00F6727E">
        <w:lastRenderedPageBreak/>
        <w:t xml:space="preserve">In this study there was no significant difference in the </w:t>
      </w:r>
      <w:r w:rsidR="003D401B" w:rsidRPr="00F6727E">
        <w:t>adverse event (</w:t>
      </w:r>
      <w:r w:rsidRPr="00F6727E">
        <w:t>AE</w:t>
      </w:r>
      <w:r w:rsidR="003D401B" w:rsidRPr="00F6727E">
        <w:t>)</w:t>
      </w:r>
      <w:r w:rsidRPr="00F6727E">
        <w:t xml:space="preserve"> incidence between treatment groups. Furthermore, there was no difference between pooled medium and high dose ICS. The incidence of</w:t>
      </w:r>
      <w:r w:rsidR="003D401B" w:rsidRPr="00F6727E">
        <w:t xml:space="preserve"> greater or equals to one</w:t>
      </w:r>
      <w:r w:rsidRPr="00F6727E">
        <w:t xml:space="preserve"> AE while on</w:t>
      </w:r>
      <w:r w:rsidR="002F7BA7" w:rsidRPr="00F6727E">
        <w:t>-</w:t>
      </w:r>
      <w:r w:rsidRPr="00F6727E">
        <w:t xml:space="preserve">treatment ranged between 52% to 63%, with the highest incidence in the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100/25</w:t>
      </w:r>
      <w:r w:rsidR="003D401B" w:rsidRPr="00F6727E">
        <w:t xml:space="preserve"> µg </w:t>
      </w:r>
      <w:r w:rsidRPr="00F6727E">
        <w:t xml:space="preserve">treatment group. The highest </w:t>
      </w:r>
      <w:r w:rsidR="003D401B" w:rsidRPr="00F6727E">
        <w:t xml:space="preserve">system organ class </w:t>
      </w:r>
      <w:r w:rsidRPr="00F6727E">
        <w:t>reported was infection and infestation (range 36</w:t>
      </w:r>
      <w:r w:rsidR="003D401B" w:rsidRPr="00F6727E">
        <w:t xml:space="preserve">% to </w:t>
      </w:r>
      <w:r w:rsidRPr="00F6727E">
        <w:t xml:space="preserve">39%) and was similar across treatment groups. The four most common AE, which include nasopharyngitis, headache, upper respiratory tract infection and </w:t>
      </w:r>
      <w:proofErr w:type="gramStart"/>
      <w:r w:rsidRPr="00F6727E">
        <w:t>bronchitis;</w:t>
      </w:r>
      <w:proofErr w:type="gramEnd"/>
      <w:r w:rsidRPr="00F6727E">
        <w:t xml:space="preserve"> with similar incidence rates across treatment groups. In </w:t>
      </w:r>
      <w:r w:rsidR="003D401B" w:rsidRPr="00F6727E">
        <w:t xml:space="preserve">Study </w:t>
      </w:r>
      <w:r w:rsidRPr="00F6727E">
        <w:t xml:space="preserve">205715, there was no apparent difference in the type and incidence of on-treatment AE </w:t>
      </w:r>
      <w:r w:rsidR="003A6656">
        <w:t>P</w:t>
      </w:r>
      <w:r w:rsidR="0001517C">
        <w:t xml:space="preserve">referred </w:t>
      </w:r>
      <w:r w:rsidR="003A6656">
        <w:t>T</w:t>
      </w:r>
      <w:r w:rsidR="0001517C" w:rsidRPr="0001517C">
        <w:t>erm</w:t>
      </w:r>
      <w:r w:rsidR="0001517C">
        <w:t>s</w:t>
      </w:r>
      <w:r w:rsidR="0001517C" w:rsidRPr="0001517C">
        <w:t xml:space="preserve"> </w:t>
      </w:r>
      <w:r w:rsidR="0001517C">
        <w:t>(</w:t>
      </w:r>
      <w:r w:rsidRPr="00F6727E">
        <w:t>PT</w:t>
      </w:r>
      <w:r w:rsidR="0001517C">
        <w:t>)</w:t>
      </w:r>
      <w:r w:rsidRPr="00F6727E">
        <w:t xml:space="preserve"> when either </w:t>
      </w:r>
      <w:r w:rsidR="00584451" w:rsidRPr="00F6727E">
        <w:t>umeclidinium</w:t>
      </w:r>
      <w:r w:rsidR="003D401B" w:rsidRPr="00F6727E">
        <w:t xml:space="preserve"> 31.25 </w:t>
      </w:r>
      <w:r w:rsidR="00876AEB" w:rsidRPr="00F6727E">
        <w:t>µg</w:t>
      </w:r>
      <w:r w:rsidR="003D401B" w:rsidRPr="00F6727E">
        <w:t xml:space="preserve"> or 62.5 </w:t>
      </w:r>
      <w:r w:rsidR="00876AEB" w:rsidRPr="00F6727E">
        <w:t>µg</w:t>
      </w:r>
      <w:r w:rsidRPr="00F6727E">
        <w:t xml:space="preserve"> was added to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003D401B" w:rsidRPr="00F6727E">
        <w:t xml:space="preserve"> 100 µg </w:t>
      </w:r>
      <w:r w:rsidRPr="00F6727E">
        <w:t>and 20</w:t>
      </w:r>
      <w:r w:rsidR="004B4DA8" w:rsidRPr="00F6727E">
        <w:t>0/25</w:t>
      </w:r>
      <w:r w:rsidR="003D401B" w:rsidRPr="00F6727E">
        <w:t> µg</w:t>
      </w:r>
      <w:r w:rsidR="004B4DA8" w:rsidRPr="00F6727E">
        <w:t xml:space="preserve"> in the target population.</w:t>
      </w:r>
    </w:p>
    <w:p w14:paraId="6F49BD74" w14:textId="638081A5" w:rsidR="00DF6A60" w:rsidRPr="00F6727E" w:rsidRDefault="00DF6A60" w:rsidP="00DF6A60">
      <w:r w:rsidRPr="00F6727E">
        <w:t xml:space="preserve">Across the </w:t>
      </w:r>
      <w:r w:rsidR="003D401B" w:rsidRPr="00F6727E">
        <w:t>five</w:t>
      </w:r>
      <w:r w:rsidRPr="00F6727E">
        <w:t xml:space="preserve"> clinical studies, there was no apparent </w:t>
      </w:r>
      <w:r w:rsidR="00584451" w:rsidRPr="00F6727E">
        <w:t>umeclidinium</w:t>
      </w:r>
      <w:r w:rsidRPr="00F6727E">
        <w:t xml:space="preserve"> dose</w:t>
      </w:r>
      <w:r w:rsidR="003D401B" w:rsidRPr="00F6727E">
        <w:t xml:space="preserve"> </w:t>
      </w:r>
      <w:r w:rsidRPr="00F6727E">
        <w:t xml:space="preserve">related increase in AE incidence up to and including </w:t>
      </w:r>
      <w:r w:rsidR="00584451" w:rsidRPr="00F6727E">
        <w:t>umeclidinium</w:t>
      </w:r>
      <w:r w:rsidRPr="00F6727E">
        <w:t xml:space="preserve"> dose 62.5</w:t>
      </w:r>
      <w:r w:rsidR="003D401B" w:rsidRPr="00F6727E">
        <w:t> </w:t>
      </w:r>
      <w:r w:rsidR="00876AEB" w:rsidRPr="00F6727E">
        <w:t>µg</w:t>
      </w:r>
      <w:r w:rsidRPr="00F6727E">
        <w:t xml:space="preserve">. Treatment related </w:t>
      </w:r>
      <w:r w:rsidR="00ED3A09" w:rsidRPr="00F6727E">
        <w:t>adverse drug reactions (</w:t>
      </w:r>
      <w:r w:rsidRPr="00F6727E">
        <w:t>ADRs</w:t>
      </w:r>
      <w:r w:rsidR="00ED3A09" w:rsidRPr="00F6727E">
        <w:t>)</w:t>
      </w:r>
      <w:r w:rsidRPr="00F6727E">
        <w:t xml:space="preserve"> were similar across treatment groups, with dysphonia the only ADR with greater than ≥</w:t>
      </w:r>
      <w:r w:rsidR="003D401B" w:rsidRPr="00F6727E">
        <w:t> </w:t>
      </w:r>
      <w:r w:rsidRPr="00F6727E">
        <w:t xml:space="preserve">1% participant in any treatment group. Only at </w:t>
      </w:r>
      <w:r w:rsidR="00584451" w:rsidRPr="00F6727E">
        <w:t>umeclidinium</w:t>
      </w:r>
      <w:r w:rsidR="003D401B" w:rsidRPr="00F6727E">
        <w:t xml:space="preserve"> doses 125 and 250 </w:t>
      </w:r>
      <w:r w:rsidR="00876AEB" w:rsidRPr="00F6727E">
        <w:t>µg</w:t>
      </w:r>
      <w:r w:rsidRPr="00F6727E">
        <w:t xml:space="preserve">, assessed in </w:t>
      </w:r>
      <w:r w:rsidR="003D401B" w:rsidRPr="00F6727E">
        <w:t xml:space="preserve">Study </w:t>
      </w:r>
      <w:r w:rsidRPr="00F6727E">
        <w:t>ALA116402 was a trend to increased incidence of drug</w:t>
      </w:r>
      <w:r w:rsidR="003D401B" w:rsidRPr="00F6727E">
        <w:t xml:space="preserve"> </w:t>
      </w:r>
      <w:r w:rsidRPr="00F6727E">
        <w:t>related AEs observed (</w:t>
      </w:r>
      <w:r w:rsidR="003D401B" w:rsidRPr="00F6727E">
        <w:t xml:space="preserve">Study </w:t>
      </w:r>
      <w:r w:rsidRPr="00F6727E">
        <w:t xml:space="preserve">ALA116402 described below), though this trend was not reflected in the other supportive studies assessing </w:t>
      </w:r>
      <w:r w:rsidR="00584451" w:rsidRPr="00F6727E">
        <w:t>umeclidinium</w:t>
      </w:r>
      <w:r w:rsidRPr="00F6727E">
        <w:t xml:space="preserve"> at these doses.</w:t>
      </w:r>
    </w:p>
    <w:p w14:paraId="7AF5EE58" w14:textId="584E5C1C" w:rsidR="00DF6A60" w:rsidRPr="00F6727E" w:rsidRDefault="003D401B" w:rsidP="00DF6A60">
      <w:r w:rsidRPr="00F6727E">
        <w:t>Serious adverse events (</w:t>
      </w:r>
      <w:r w:rsidR="00DF6A60" w:rsidRPr="00F6727E">
        <w:t>SAE</w:t>
      </w:r>
      <w:r w:rsidRPr="00F6727E">
        <w:t>)</w:t>
      </w:r>
      <w:r w:rsidR="00DF6A60" w:rsidRPr="00F6727E">
        <w:t xml:space="preserve"> per thousand person</w:t>
      </w:r>
      <w:r w:rsidRPr="00F6727E">
        <w:t xml:space="preserve"> </w:t>
      </w:r>
      <w:r w:rsidR="00DF6A60" w:rsidRPr="00F6727E">
        <w:t>years increased as the study progressed, as observed at various time points: 24 weeks (range 90.2</w:t>
      </w:r>
      <w:r w:rsidRPr="00F6727E">
        <w:t xml:space="preserve"> to </w:t>
      </w:r>
      <w:r w:rsidR="00DF6A60" w:rsidRPr="00F6727E">
        <w:t>1</w:t>
      </w:r>
      <w:r w:rsidRPr="00F6727E">
        <w:t>47.2), 36 </w:t>
      </w:r>
      <w:r w:rsidR="00DF6A60" w:rsidRPr="00F6727E">
        <w:t>weeks (range 101.8</w:t>
      </w:r>
      <w:r w:rsidRPr="00F6727E">
        <w:t xml:space="preserve"> to </w:t>
      </w:r>
      <w:r w:rsidR="00DF6A60" w:rsidRPr="00F6727E">
        <w:t>142.9) and 52 weeks (range 101.8</w:t>
      </w:r>
      <w:r w:rsidRPr="00F6727E">
        <w:t xml:space="preserve"> to</w:t>
      </w:r>
      <w:r w:rsidR="00DF6A60" w:rsidRPr="00F6727E">
        <w:t xml:space="preserve"> 142.9). This may be influenced by the reducing number of participants in the latter stages of the study. In </w:t>
      </w:r>
      <w:r w:rsidRPr="00F6727E">
        <w:t xml:space="preserve">Study </w:t>
      </w:r>
      <w:r w:rsidR="00DF6A60" w:rsidRPr="00F6727E">
        <w:t xml:space="preserve">205715, the addition of </w:t>
      </w:r>
      <w:r w:rsidR="00584451" w:rsidRPr="00F6727E">
        <w:t>umeclidinium</w:t>
      </w:r>
      <w:r w:rsidRPr="00F6727E">
        <w:t xml:space="preserve"> 31.25 </w:t>
      </w:r>
      <w:r w:rsidR="00876AEB" w:rsidRPr="00F6727E">
        <w:t>µg</w:t>
      </w:r>
      <w:r w:rsidRPr="00F6727E">
        <w:t xml:space="preserve"> or 62.5 </w:t>
      </w:r>
      <w:r w:rsidR="00876AEB" w:rsidRPr="00F6727E">
        <w:t>µg</w:t>
      </w:r>
      <w:r w:rsidR="00DF6A60" w:rsidRPr="00F6727E">
        <w:t xml:space="preserve"> to </w:t>
      </w:r>
      <w:r w:rsidR="00584451" w:rsidRPr="00F6727E">
        <w:t>fluticasone furoate</w:t>
      </w:r>
      <w:r w:rsidR="00632557" w:rsidRPr="00F6727E">
        <w:t xml:space="preserve"> </w:t>
      </w:r>
      <w:r w:rsidR="00DF6A60" w:rsidRPr="00F6727E">
        <w:t>/</w:t>
      </w:r>
      <w:r w:rsidR="00632557" w:rsidRPr="00F6727E">
        <w:t xml:space="preserve"> </w:t>
      </w:r>
      <w:r w:rsidR="00584451" w:rsidRPr="00F6727E">
        <w:t>vilanterol</w:t>
      </w:r>
      <w:r w:rsidRPr="00F6727E">
        <w:t xml:space="preserve"> 100/25 µg </w:t>
      </w:r>
      <w:r w:rsidR="00DF6A60" w:rsidRPr="00F6727E">
        <w:t>and 200/25</w:t>
      </w:r>
      <w:r w:rsidRPr="00F6727E">
        <w:t> µg</w:t>
      </w:r>
      <w:r w:rsidR="00DF6A60" w:rsidRPr="00F6727E">
        <w:t xml:space="preserve"> did not increase the incidence of SAEs, and there was no </w:t>
      </w:r>
      <w:r w:rsidR="00584451" w:rsidRPr="00F6727E">
        <w:t>umeclidinium</w:t>
      </w:r>
      <w:r w:rsidR="00DF6A60" w:rsidRPr="00F6727E">
        <w:t xml:space="preserve"> dose relationship in the incidence of SAEs. The overall SAE reporting in the supportive studies was low across the treatment groups (≤</w:t>
      </w:r>
      <w:r w:rsidRPr="00F6727E">
        <w:t xml:space="preserve"> </w:t>
      </w:r>
      <w:r w:rsidR="00DF6A60" w:rsidRPr="00F6727E">
        <w:t>3% of partic</w:t>
      </w:r>
      <w:r w:rsidR="004B4DA8" w:rsidRPr="00F6727E">
        <w:t>ipants in any treatment group).</w:t>
      </w:r>
    </w:p>
    <w:p w14:paraId="47C592B1" w14:textId="0B73491E" w:rsidR="00DF6A60" w:rsidRPr="00F6727E" w:rsidRDefault="00DF6A60" w:rsidP="00DF6A60">
      <w:r w:rsidRPr="00F6727E">
        <w:t xml:space="preserve">Death resulting from on-treatment SAEs occurred in </w:t>
      </w:r>
      <w:r w:rsidR="003D401B" w:rsidRPr="00F6727E">
        <w:t>three</w:t>
      </w:r>
      <w:r w:rsidRPr="00F6727E">
        <w:t xml:space="preserve"> participants. </w:t>
      </w:r>
      <w:r w:rsidR="00B27725">
        <w:t>T</w:t>
      </w:r>
      <w:r w:rsidR="003D401B" w:rsidRPr="00F6727E">
        <w:t>wo</w:t>
      </w:r>
      <w:r w:rsidRPr="00F6727E">
        <w:t xml:space="preserve"> participants randomised to the </w:t>
      </w:r>
      <w:r w:rsidR="00584451" w:rsidRPr="00F6727E">
        <w:t>fluticasone furoate</w:t>
      </w:r>
      <w:r w:rsidR="003D401B" w:rsidRPr="00F6727E">
        <w:t xml:space="preserve"> </w:t>
      </w:r>
      <w:r w:rsidRPr="00F6727E">
        <w:t>/</w:t>
      </w:r>
      <w:r w:rsidR="003D401B" w:rsidRPr="00F6727E">
        <w:t xml:space="preserve"> </w:t>
      </w:r>
      <w:r w:rsidR="00584451" w:rsidRPr="00F6727E">
        <w:t>umeclidinium</w:t>
      </w:r>
      <w:r w:rsidR="003D401B" w:rsidRPr="00F6727E">
        <w:t xml:space="preserve"> </w:t>
      </w:r>
      <w:r w:rsidRPr="00F6727E">
        <w:t>/</w:t>
      </w:r>
      <w:r w:rsidR="003D401B" w:rsidRPr="00F6727E">
        <w:t xml:space="preserve"> </w:t>
      </w:r>
      <w:r w:rsidR="00584451" w:rsidRPr="00F6727E">
        <w:t>vilanterol</w:t>
      </w:r>
      <w:r w:rsidRPr="00F6727E">
        <w:t xml:space="preserve"> 100/31.25/25</w:t>
      </w:r>
      <w:r w:rsidR="003D401B" w:rsidRPr="00F6727E">
        <w:t> µg</w:t>
      </w:r>
      <w:r w:rsidRPr="00F6727E">
        <w:t xml:space="preserve"> died. In this group</w:t>
      </w:r>
      <w:r w:rsidR="003D401B" w:rsidRPr="00F6727E">
        <w:t>,</w:t>
      </w:r>
      <w:r w:rsidRPr="00F6727E">
        <w:t xml:space="preserve"> </w:t>
      </w:r>
      <w:r w:rsidR="003D401B" w:rsidRPr="00F6727E">
        <w:t>one participant died after 291 </w:t>
      </w:r>
      <w:r w:rsidRPr="00F6727E">
        <w:t xml:space="preserve">days of commencing treatment, cause of death (confirmed on autopsy) was pulmonary embolism. The investigator considered that it was possible that this death to be related study treatment, given the absence of contributory medical conditions or risk factors. The second participant from this group, died of </w:t>
      </w:r>
      <w:r w:rsidR="003D401B" w:rsidRPr="00F6727E">
        <w:t>hypertrophic cardiomyopathy on D</w:t>
      </w:r>
      <w:r w:rsidRPr="00F6727E">
        <w:t xml:space="preserve">ay 4 of the study. One participant in the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200/25 </w:t>
      </w:r>
      <w:r w:rsidR="003D401B" w:rsidRPr="00F6727E">
        <w:t xml:space="preserve">µg </w:t>
      </w:r>
      <w:r w:rsidRPr="00F6727E">
        <w:t xml:space="preserve">died on </w:t>
      </w:r>
      <w:r w:rsidR="003D401B" w:rsidRPr="00F6727E">
        <w:t xml:space="preserve">Day </w:t>
      </w:r>
      <w:r w:rsidRPr="00F6727E">
        <w:t>85 of the study due to cardiovascular collapse. These deaths were not considered to be associated with treatment.</w:t>
      </w:r>
    </w:p>
    <w:p w14:paraId="0199595C" w14:textId="60C8B7AC" w:rsidR="00DF6A60" w:rsidRPr="00F6727E" w:rsidRDefault="00DF6A60" w:rsidP="00DF6A60">
      <w:r w:rsidRPr="00F6727E">
        <w:t xml:space="preserve">In the pivotal </w:t>
      </w:r>
      <w:r w:rsidR="003D401B" w:rsidRPr="00F6727E">
        <w:t xml:space="preserve">Study </w:t>
      </w:r>
      <w:r w:rsidRPr="00F6727E">
        <w:t xml:space="preserve">205715, there were no increases in the incidence of </w:t>
      </w:r>
      <w:r w:rsidR="003D401B" w:rsidRPr="00F6727E">
        <w:t>adverse event of special interests (</w:t>
      </w:r>
      <w:r w:rsidRPr="00F6727E">
        <w:t>AESI</w:t>
      </w:r>
      <w:r w:rsidR="003D401B" w:rsidRPr="00F6727E">
        <w:t>)</w:t>
      </w:r>
      <w:r w:rsidRPr="00F6727E">
        <w:t>, and there was no apparent difference in the type or incidence of LAMA</w:t>
      </w:r>
      <w:r w:rsidR="003D401B" w:rsidRPr="00F6727E">
        <w:t xml:space="preserve"> </w:t>
      </w:r>
      <w:r w:rsidRPr="00F6727E">
        <w:t xml:space="preserve">associated AESIs in </w:t>
      </w:r>
      <w:r w:rsidR="00584451" w:rsidRPr="00F6727E">
        <w:t>umeclidinium</w:t>
      </w:r>
      <w:r w:rsidR="003D401B" w:rsidRPr="00F6727E">
        <w:t xml:space="preserve"> 62.5 </w:t>
      </w:r>
      <w:r w:rsidR="00876AEB" w:rsidRPr="00F6727E">
        <w:t>µg</w:t>
      </w:r>
      <w:r w:rsidRPr="00F6727E">
        <w:t xml:space="preserve"> and </w:t>
      </w:r>
      <w:r w:rsidR="00584451" w:rsidRPr="00F6727E">
        <w:t>umeclidinium</w:t>
      </w:r>
      <w:r w:rsidR="003D401B" w:rsidRPr="00F6727E">
        <w:t xml:space="preserve"> 31.25 </w:t>
      </w:r>
      <w:r w:rsidR="00876AEB" w:rsidRPr="00F6727E">
        <w:t>µg</w:t>
      </w:r>
      <w:r w:rsidRPr="00F6727E">
        <w:t xml:space="preserve"> treatment groups. There were similar findings in the </w:t>
      </w:r>
      <w:r w:rsidR="003D401B" w:rsidRPr="00F6727E">
        <w:t>five</w:t>
      </w:r>
      <w:r w:rsidRPr="00F6727E">
        <w:t xml:space="preserve"> supportive studies where there was no increase in the incidence of AESIs when </w:t>
      </w:r>
      <w:r w:rsidR="00584451" w:rsidRPr="00F6727E">
        <w:t>umeclidinium</w:t>
      </w:r>
      <w:r w:rsidRPr="00F6727E">
        <w:t xml:space="preserve"> was administered alone or in combination with </w:t>
      </w:r>
      <w:r w:rsidR="00584451" w:rsidRPr="00F6727E">
        <w:t>fluticasone furoate</w:t>
      </w:r>
      <w:r w:rsidRPr="00F6727E">
        <w:t xml:space="preserve"> 100</w:t>
      </w:r>
      <w:r w:rsidR="003D401B" w:rsidRPr="00F6727E">
        <w:t>n µg</w:t>
      </w:r>
      <w:r w:rsidRPr="00F6727E">
        <w:t xml:space="preserve"> or </w:t>
      </w:r>
      <w:r w:rsidR="00584451" w:rsidRPr="00F6727E">
        <w:t>fluticasone furoate</w:t>
      </w:r>
      <w:r w:rsidR="003D401B" w:rsidRPr="00F6727E">
        <w:t xml:space="preserve"> plus </w:t>
      </w:r>
      <w:r w:rsidR="00584451" w:rsidRPr="00F6727E">
        <w:t>vilanterol</w:t>
      </w:r>
      <w:r w:rsidRPr="00F6727E">
        <w:t xml:space="preserve"> 100</w:t>
      </w:r>
      <w:r w:rsidR="003D401B" w:rsidRPr="00F6727E">
        <w:t xml:space="preserve"> µg plus </w:t>
      </w:r>
      <w:r w:rsidRPr="00F6727E">
        <w:t>25</w:t>
      </w:r>
      <w:r w:rsidR="003D401B" w:rsidRPr="00F6727E">
        <w:t> µg</w:t>
      </w:r>
      <w:r w:rsidRPr="00F6727E">
        <w:t xml:space="preserve"> at doses up to and including 250</w:t>
      </w:r>
      <w:r w:rsidR="003D401B" w:rsidRPr="00F6727E">
        <w:t> </w:t>
      </w:r>
      <w:r w:rsidR="00876AEB" w:rsidRPr="00F6727E">
        <w:t>µg</w:t>
      </w:r>
      <w:r w:rsidRPr="00F6727E">
        <w:t>, except for a possible dose</w:t>
      </w:r>
      <w:r w:rsidR="003D401B" w:rsidRPr="00F6727E">
        <w:t xml:space="preserve"> related increase in </w:t>
      </w:r>
      <w:r w:rsidR="00C94B8C" w:rsidRPr="00F6727E">
        <w:t>‘</w:t>
      </w:r>
      <w:r w:rsidRPr="00F6727E">
        <w:rPr>
          <w:i/>
        </w:rPr>
        <w:t>dysgeusia</w:t>
      </w:r>
      <w:r w:rsidR="00C94B8C" w:rsidRPr="00F6727E">
        <w:t>’ or ‘</w:t>
      </w:r>
      <w:r w:rsidRPr="00F6727E">
        <w:rPr>
          <w:i/>
        </w:rPr>
        <w:t>product taste abnormal</w:t>
      </w:r>
      <w:r w:rsidRPr="00F6727E">
        <w:t xml:space="preserve">’. In the pivotal study </w:t>
      </w:r>
      <w:r w:rsidR="00C94B8C" w:rsidRPr="00F6727E">
        <w:t xml:space="preserve">(Study </w:t>
      </w:r>
      <w:r w:rsidRPr="00F6727E">
        <w:t>205715</w:t>
      </w:r>
      <w:r w:rsidR="00C94B8C" w:rsidRPr="00F6727E">
        <w:t>)</w:t>
      </w:r>
      <w:r w:rsidRPr="00F6727E">
        <w:t xml:space="preserve">, the addition of </w:t>
      </w:r>
      <w:r w:rsidR="00584451" w:rsidRPr="00F6727E">
        <w:t>umeclidinium</w:t>
      </w:r>
      <w:r w:rsidRPr="00F6727E">
        <w:t xml:space="preserve"> to </w:t>
      </w:r>
      <w:r w:rsidR="00584451" w:rsidRPr="00F6727E">
        <w:t>fluticasone furoate</w:t>
      </w:r>
      <w:r w:rsidR="00632557" w:rsidRPr="00F6727E">
        <w:t xml:space="preserve"> </w:t>
      </w:r>
      <w:r w:rsidRPr="00F6727E">
        <w:t>/</w:t>
      </w:r>
      <w:r w:rsidR="00632557" w:rsidRPr="00F6727E">
        <w:t xml:space="preserve"> </w:t>
      </w:r>
      <w:r w:rsidR="00584451" w:rsidRPr="00F6727E">
        <w:t>vilanterol</w:t>
      </w:r>
      <w:r w:rsidRPr="00F6727E">
        <w:t xml:space="preserve"> did not contribute to an increase in AEs within the cardiac arrhythmia AESI subgroup or any other subgroup within the </w:t>
      </w:r>
      <w:r w:rsidR="0001517C">
        <w:t>c</w:t>
      </w:r>
      <w:r w:rsidR="0001517C" w:rsidRPr="0001517C">
        <w:t xml:space="preserve">oefficient of variation </w:t>
      </w:r>
      <w:r w:rsidR="0001517C">
        <w:t>(</w:t>
      </w:r>
      <w:r w:rsidRPr="00F6727E">
        <w:t>CV</w:t>
      </w:r>
      <w:r w:rsidR="0001517C">
        <w:t>)</w:t>
      </w:r>
      <w:r w:rsidRPr="00F6727E">
        <w:t xml:space="preserve"> effects AESI group.</w:t>
      </w:r>
    </w:p>
    <w:p w14:paraId="7305D5B7" w14:textId="4560D887" w:rsidR="00DF6A60" w:rsidRPr="00F6727E" w:rsidRDefault="00DF6A60" w:rsidP="00DF6A60">
      <w:r w:rsidRPr="00F6727E">
        <w:lastRenderedPageBreak/>
        <w:t xml:space="preserve">Analysis of laboratory tests, ECG parameters including prolongation of </w:t>
      </w:r>
      <w:r w:rsidR="00ED3A09" w:rsidRPr="00F6727E">
        <w:t>corrected QT interval</w:t>
      </w:r>
      <w:r w:rsidR="00297DC6" w:rsidRPr="00F6727E">
        <w:t>;</w:t>
      </w:r>
      <w:r w:rsidR="00297DC6" w:rsidRPr="00F6727E">
        <w:rPr>
          <w:rStyle w:val="FootnoteReference"/>
        </w:rPr>
        <w:footnoteReference w:id="16"/>
      </w:r>
      <w:r w:rsidR="00ED3A09" w:rsidRPr="00F6727E">
        <w:t xml:space="preserve"> by </w:t>
      </w:r>
      <w:proofErr w:type="spellStart"/>
      <w:r w:rsidR="00ED3A09" w:rsidRPr="00F6727E">
        <w:t>Frederici</w:t>
      </w:r>
      <w:r w:rsidR="003A6656">
        <w:t>a</w:t>
      </w:r>
      <w:proofErr w:type="spellEnd"/>
      <w:r w:rsidR="00ED3A09" w:rsidRPr="00F6727E">
        <w:t xml:space="preserve"> (</w:t>
      </w:r>
      <w:proofErr w:type="spellStart"/>
      <w:r w:rsidRPr="00F6727E">
        <w:t>QTcF</w:t>
      </w:r>
      <w:proofErr w:type="spellEnd"/>
      <w:r w:rsidR="00ED3A09" w:rsidRPr="00F6727E">
        <w:t>)</w:t>
      </w:r>
      <w:r w:rsidR="00297DC6" w:rsidRPr="00F6727E">
        <w:t>;</w:t>
      </w:r>
      <w:r w:rsidR="00297DC6" w:rsidRPr="00F6727E">
        <w:rPr>
          <w:rStyle w:val="FootnoteReference"/>
        </w:rPr>
        <w:footnoteReference w:id="17"/>
      </w:r>
      <w:r w:rsidRPr="00F6727E">
        <w:t xml:space="preserve"> value and vital signs did not show any unfavourable trends for the addition of </w:t>
      </w:r>
      <w:r w:rsidR="00584451" w:rsidRPr="00F6727E">
        <w:t>umeclidinium</w:t>
      </w:r>
      <w:r w:rsidRPr="00F6727E">
        <w:t xml:space="preserve"> 31.25</w:t>
      </w:r>
      <w:r w:rsidR="00C94B8C" w:rsidRPr="00F6727E">
        <w:t> µg</w:t>
      </w:r>
      <w:r w:rsidRPr="00F6727E">
        <w:t xml:space="preserve"> or </w:t>
      </w:r>
      <w:r w:rsidR="00584451" w:rsidRPr="00F6727E">
        <w:t>umeclidinium</w:t>
      </w:r>
      <w:r w:rsidRPr="00F6727E">
        <w:t xml:space="preserve"> 62.5</w:t>
      </w:r>
      <w:r w:rsidR="00C94B8C" w:rsidRPr="00F6727E">
        <w:t> µg</w:t>
      </w:r>
      <w:r w:rsidRPr="00F6727E">
        <w:t xml:space="preserve"> to </w:t>
      </w:r>
      <w:r w:rsidR="00584451" w:rsidRPr="00F6727E">
        <w:t>fluticasone furoate</w:t>
      </w:r>
      <w:r w:rsidR="00C94B8C" w:rsidRPr="00F6727E">
        <w:t xml:space="preserve"> </w:t>
      </w:r>
      <w:r w:rsidRPr="00F6727E">
        <w:t>/</w:t>
      </w:r>
      <w:r w:rsidR="00C94B8C" w:rsidRPr="00F6727E">
        <w:t xml:space="preserve"> </w:t>
      </w:r>
      <w:r w:rsidR="00584451" w:rsidRPr="00F6727E">
        <w:t>vilanterol</w:t>
      </w:r>
      <w:r w:rsidRPr="00F6727E">
        <w:t>.</w:t>
      </w:r>
    </w:p>
    <w:p w14:paraId="41E4CFA2" w14:textId="712C3337" w:rsidR="00DF6A60" w:rsidRPr="00F6727E" w:rsidRDefault="00DF6A60" w:rsidP="00DF6A60">
      <w:r w:rsidRPr="00F6727E">
        <w:t>No major safety signals were apparent in the post</w:t>
      </w:r>
      <w:r w:rsidR="002F7BA7" w:rsidRPr="00F6727E">
        <w:t>-</w:t>
      </w:r>
      <w:r w:rsidRPr="00F6727E">
        <w:t>market safety data.</w:t>
      </w:r>
    </w:p>
    <w:p w14:paraId="4764CDD5" w14:textId="77777777" w:rsidR="008E7846" w:rsidRPr="00F6727E" w:rsidRDefault="00386150" w:rsidP="007B6132">
      <w:pPr>
        <w:pStyle w:val="Heading3"/>
        <w:rPr>
          <w:lang w:eastAsia="en-AU"/>
        </w:rPr>
      </w:pPr>
      <w:bookmarkStart w:id="45" w:name="_Toc83895481"/>
      <w:r w:rsidRPr="00F6727E">
        <w:rPr>
          <w:lang w:eastAsia="en-AU"/>
        </w:rPr>
        <w:t>Risk m</w:t>
      </w:r>
      <w:r w:rsidR="008E7846" w:rsidRPr="00F6727E">
        <w:rPr>
          <w:lang w:eastAsia="en-AU"/>
        </w:rPr>
        <w:t xml:space="preserve">anagement </w:t>
      </w:r>
      <w:r w:rsidRPr="00F6727E">
        <w:rPr>
          <w:lang w:eastAsia="en-AU"/>
        </w:rPr>
        <w:t>p</w:t>
      </w:r>
      <w:r w:rsidR="008E7846" w:rsidRPr="00F6727E">
        <w:rPr>
          <w:lang w:eastAsia="en-AU"/>
        </w:rPr>
        <w:t>lan</w:t>
      </w:r>
      <w:bookmarkEnd w:id="41"/>
      <w:bookmarkEnd w:id="45"/>
    </w:p>
    <w:p w14:paraId="013941F8" w14:textId="77777777" w:rsidR="008E7846" w:rsidRPr="00F6727E" w:rsidRDefault="007D53B6" w:rsidP="007D53B6">
      <w:r w:rsidRPr="00F6727E">
        <w:t>There was no requirement for a risk management plan evaluation for a submission of this type.</w:t>
      </w:r>
      <w:r w:rsidRPr="00F6727E">
        <w:rPr>
          <w:rStyle w:val="FootnoteReference"/>
        </w:rPr>
        <w:footnoteReference w:id="18"/>
      </w:r>
    </w:p>
    <w:p w14:paraId="0CA48104" w14:textId="77777777" w:rsidR="008E7846" w:rsidRPr="00F6727E" w:rsidRDefault="00AA0ED0" w:rsidP="008E7846">
      <w:pPr>
        <w:pStyle w:val="Heading3"/>
      </w:pPr>
      <w:bookmarkStart w:id="46" w:name="_Toc247691531"/>
      <w:bookmarkStart w:id="47" w:name="_Toc314842515"/>
      <w:bookmarkStart w:id="48" w:name="_Toc196046505"/>
      <w:bookmarkStart w:id="49" w:name="_Toc196046949"/>
      <w:bookmarkStart w:id="50" w:name="_Toc83895482"/>
      <w:r w:rsidRPr="00F6727E">
        <w:t>Risk-benefit a</w:t>
      </w:r>
      <w:r w:rsidR="008E7846" w:rsidRPr="00F6727E">
        <w:t>nalysis</w:t>
      </w:r>
      <w:bookmarkEnd w:id="46"/>
      <w:bookmarkEnd w:id="47"/>
      <w:bookmarkEnd w:id="50"/>
    </w:p>
    <w:p w14:paraId="1DF63998" w14:textId="77777777" w:rsidR="00D23139" w:rsidRPr="00F6727E" w:rsidRDefault="007D53B6" w:rsidP="00D23139">
      <w:pPr>
        <w:pStyle w:val="Heading4"/>
      </w:pPr>
      <w:r w:rsidRPr="00F6727E">
        <w:t>Delegate’s considerations</w:t>
      </w:r>
    </w:p>
    <w:p w14:paraId="5C9E88A8" w14:textId="2830BD57" w:rsidR="00DF6A60" w:rsidRPr="00F6727E" w:rsidRDefault="00863031" w:rsidP="00DF6A60">
      <w:r>
        <w:t>As D</w:t>
      </w:r>
      <w:r w:rsidR="00DF6A60" w:rsidRPr="00F6727E">
        <w:t>elegate, a decision</w:t>
      </w:r>
      <w:r w:rsidR="00C94B8C" w:rsidRPr="00F6727E">
        <w:t xml:space="preserve"> must be made </w:t>
      </w:r>
      <w:r w:rsidR="00DF6A60" w:rsidRPr="00F6727E">
        <w:t xml:space="preserve">under the </w:t>
      </w:r>
      <w:r w:rsidR="00C94B8C" w:rsidRPr="00F6727E">
        <w:t xml:space="preserve">Therapeutic Goods Act </w:t>
      </w:r>
      <w:r w:rsidR="00DF6A60" w:rsidRPr="00F6727E">
        <w:t xml:space="preserve">in relation to quality, </w:t>
      </w:r>
      <w:proofErr w:type="gramStart"/>
      <w:r w:rsidR="00DF6A60" w:rsidRPr="00F6727E">
        <w:t>safety</w:t>
      </w:r>
      <w:proofErr w:type="gramEnd"/>
      <w:r w:rsidR="00DF6A60" w:rsidRPr="00F6727E">
        <w:t xml:space="preserve"> and efficacy.</w:t>
      </w:r>
    </w:p>
    <w:p w14:paraId="48ED8114" w14:textId="6C880ECF" w:rsidR="00DF6A60" w:rsidRPr="00F6727E" w:rsidRDefault="003A6656" w:rsidP="006B7833">
      <w:pPr>
        <w:pStyle w:val="Heading5"/>
      </w:pPr>
      <w:r>
        <w:t>Quality and nonclinical evaluations</w:t>
      </w:r>
      <w:r w:rsidR="00DF6A60" w:rsidRPr="00F6727E">
        <w:t>:</w:t>
      </w:r>
    </w:p>
    <w:p w14:paraId="5A7DB342" w14:textId="2BD9CA7A" w:rsidR="00DF6A60" w:rsidRPr="00F6727E" w:rsidRDefault="00DF6A60" w:rsidP="00DF6A60">
      <w:r w:rsidRPr="00F6727E">
        <w:t xml:space="preserve">The nonclinical evaluator has confirmed that there are no objections to the extension of indications and registration of the new strength of </w:t>
      </w:r>
      <w:proofErr w:type="spellStart"/>
      <w:r w:rsidR="0017179D" w:rsidRPr="00F6727E">
        <w:t>Trelegy</w:t>
      </w:r>
      <w:proofErr w:type="spellEnd"/>
      <w:r w:rsidR="0017179D" w:rsidRPr="00F6727E">
        <w:t xml:space="preserve"> Ellipta</w:t>
      </w:r>
      <w:r w:rsidRPr="00F6727E">
        <w:t xml:space="preserve"> and there are no outstanding issues</w:t>
      </w:r>
      <w:r w:rsidR="005D2BEE">
        <w:t>.</w:t>
      </w:r>
    </w:p>
    <w:p w14:paraId="2352C066" w14:textId="2D3F4436" w:rsidR="00DF6A60" w:rsidRPr="00F6727E" w:rsidRDefault="00C94B8C" w:rsidP="00DF6A60">
      <w:r w:rsidRPr="00F6727E">
        <w:t xml:space="preserve">Regarding the quality </w:t>
      </w:r>
      <w:r w:rsidR="00DF6A60" w:rsidRPr="00F6727E">
        <w:t>evaluation</w:t>
      </w:r>
      <w:r w:rsidRPr="00F6727E">
        <w:t>, c</w:t>
      </w:r>
      <w:r w:rsidR="00DF6A60" w:rsidRPr="00F6727E">
        <w:t>hemistry and quality control aspects are considered acceptable. Approval for registration of the proposed product cannot be recommended from a pharmaceutical chemistry perspective. Following issue (based on TGO 91) remains outstanding:</w:t>
      </w:r>
    </w:p>
    <w:p w14:paraId="38ABBF3B" w14:textId="5D3962AA" w:rsidR="00DF6A60" w:rsidRPr="00F6727E" w:rsidRDefault="00DF6A60" w:rsidP="00DF6A60">
      <w:pPr>
        <w:pStyle w:val="ListBullet"/>
      </w:pPr>
      <w:r w:rsidRPr="00F6727E">
        <w:t xml:space="preserve">Considering that the majority of lactose ends up being swallowed by the patient, it </w:t>
      </w:r>
      <w:r w:rsidR="00C94B8C" w:rsidRPr="00F6727E">
        <w:t xml:space="preserve">is strongly recommended that a ‘contains </w:t>
      </w:r>
      <w:r w:rsidRPr="00F6727E">
        <w:t>lactose</w:t>
      </w:r>
      <w:r w:rsidR="00501251">
        <w:t>’</w:t>
      </w:r>
      <w:r w:rsidRPr="00F6727E">
        <w:t xml:space="preserve"> warning be present on the drug product carton.</w:t>
      </w:r>
    </w:p>
    <w:p w14:paraId="2FD3FA6C" w14:textId="7BA5D2D6" w:rsidR="00DF6A60" w:rsidRPr="00F6727E" w:rsidRDefault="00DF6A60" w:rsidP="00DF6A60">
      <w:r w:rsidRPr="00F6727E">
        <w:t xml:space="preserve">There is some confusion with the TGO 91; however, </w:t>
      </w:r>
      <w:r w:rsidR="00C94B8C" w:rsidRPr="00F6727E">
        <w:t xml:space="preserve">the </w:t>
      </w:r>
      <w:r w:rsidRPr="00F6727E">
        <w:t>cl</w:t>
      </w:r>
      <w:r w:rsidR="004B4DA8" w:rsidRPr="00F6727E">
        <w:t>inical assessment is as below</w:t>
      </w:r>
      <w:r w:rsidR="003A6656">
        <w:t>:</w:t>
      </w:r>
    </w:p>
    <w:p w14:paraId="723ADFB7" w14:textId="1A10BABA" w:rsidR="00DF6A60" w:rsidRDefault="00DF6A60" w:rsidP="00611868">
      <w:pPr>
        <w:ind w:left="720"/>
      </w:pPr>
      <w:r w:rsidRPr="00F6727E">
        <w:t xml:space="preserve">Lactose monohydrate (which contains milk protein) is an excipient. This is an allergen (especially the milk protein) and can induce a serious allergic reaction. There have been reports of anaphylactic reactions in patients with severe milk protein allergy after inhalation of other powder medications containing lactose. </w:t>
      </w:r>
      <w:r w:rsidR="00965E92">
        <w:t>The D</w:t>
      </w:r>
      <w:r w:rsidRPr="00F6727E">
        <w:t>elegate</w:t>
      </w:r>
      <w:r w:rsidR="00965E92">
        <w:t xml:space="preserve"> </w:t>
      </w:r>
      <w:r w:rsidRPr="00F6727E">
        <w:t>think</w:t>
      </w:r>
      <w:r w:rsidR="00965E92">
        <w:t>s</w:t>
      </w:r>
      <w:r w:rsidRPr="00F6727E">
        <w:t xml:space="preserve"> that the</w:t>
      </w:r>
      <w:r w:rsidR="00965E92">
        <w:t xml:space="preserve"> carton label should have the ‘c</w:t>
      </w:r>
      <w:r w:rsidRPr="00F6727E">
        <w:t>ontains lactose’ warning. A special warning should also be included in the PI as r</w:t>
      </w:r>
      <w:r w:rsidR="00965E92">
        <w:t>ecommended</w:t>
      </w:r>
      <w:r w:rsidR="004B4DA8" w:rsidRPr="00F6727E">
        <w:t>.</w:t>
      </w:r>
    </w:p>
    <w:p w14:paraId="316D9A02" w14:textId="4A1689EB" w:rsidR="00501251" w:rsidRPr="00501251" w:rsidRDefault="00501251" w:rsidP="009A27CD">
      <w:r>
        <w:t>T</w:t>
      </w:r>
      <w:r w:rsidRPr="00501251">
        <w:t>he outstanding issue was resolved prior to approval</w:t>
      </w:r>
      <w:r>
        <w:t>.</w:t>
      </w:r>
    </w:p>
    <w:p w14:paraId="57A5718E" w14:textId="78E21B88" w:rsidR="00DF6A60" w:rsidRPr="00F6727E" w:rsidRDefault="003A6656" w:rsidP="00965A57">
      <w:pPr>
        <w:pStyle w:val="Heading5"/>
      </w:pPr>
      <w:r>
        <w:t>Efficacy</w:t>
      </w:r>
    </w:p>
    <w:p w14:paraId="01023B04" w14:textId="21A8A41D" w:rsidR="00DF6A60" w:rsidRPr="00F6727E" w:rsidRDefault="00DF6A60" w:rsidP="00DF6A60">
      <w:r w:rsidRPr="00F6727E">
        <w:t xml:space="preserve">The PKs of the active constituents of </w:t>
      </w:r>
      <w:proofErr w:type="spellStart"/>
      <w:r w:rsidR="0017179D" w:rsidRPr="00F6727E">
        <w:t>Trelegy</w:t>
      </w:r>
      <w:proofErr w:type="spellEnd"/>
      <w:r w:rsidR="0017179D" w:rsidRPr="00F6727E">
        <w:t xml:space="preserve"> Ellipta</w:t>
      </w:r>
      <w:r w:rsidRPr="00F6727E">
        <w:t xml:space="preserve"> have been comprehensively characterised in previous submissions. Overall, </w:t>
      </w:r>
      <w:proofErr w:type="spellStart"/>
      <w:r w:rsidRPr="00F6727E">
        <w:t>popPK</w:t>
      </w:r>
      <w:proofErr w:type="spellEnd"/>
      <w:r w:rsidRPr="00F6727E">
        <w:t xml:space="preserve"> derived exposure parameters for </w:t>
      </w:r>
      <w:r w:rsidR="00584451" w:rsidRPr="00F6727E">
        <w:t>fluticasone furoate</w:t>
      </w:r>
      <w:r w:rsidRPr="00F6727E">
        <w:t xml:space="preserve">, </w:t>
      </w:r>
      <w:r w:rsidR="00584451" w:rsidRPr="00F6727E">
        <w:t>umeclidinium</w:t>
      </w:r>
      <w:r w:rsidRPr="00F6727E">
        <w:t xml:space="preserve"> and </w:t>
      </w:r>
      <w:r w:rsidR="00584451" w:rsidRPr="00F6727E">
        <w:t>vilanterol</w:t>
      </w:r>
      <w:r w:rsidRPr="00F6727E">
        <w:t xml:space="preserve"> were comparable in uncontrolled asthmatics and patients with COPD.</w:t>
      </w:r>
    </w:p>
    <w:p w14:paraId="4D9EC78B" w14:textId="51CC983B" w:rsidR="00DF6A60" w:rsidRPr="00F6727E" w:rsidRDefault="00DF6A60" w:rsidP="00DF6A60">
      <w:r w:rsidRPr="00F6727E">
        <w:lastRenderedPageBreak/>
        <w:t xml:space="preserve">The pivotal study </w:t>
      </w:r>
      <w:r w:rsidR="00C94B8C" w:rsidRPr="00F6727E">
        <w:t xml:space="preserve">(Study </w:t>
      </w:r>
      <w:r w:rsidRPr="00F6727E">
        <w:t>205715</w:t>
      </w:r>
      <w:r w:rsidR="00C94B8C" w:rsidRPr="00F6727E">
        <w:t>)</w:t>
      </w:r>
      <w:r w:rsidRPr="00F6727E">
        <w:t xml:space="preserve"> used to demonstrate efficacy was a Phase III, randomised, double</w:t>
      </w:r>
      <w:r w:rsidR="00C94B8C" w:rsidRPr="00F6727E">
        <w:t xml:space="preserve"> </w:t>
      </w:r>
      <w:r w:rsidRPr="00F6727E">
        <w:t>blind, parallel group 24</w:t>
      </w:r>
      <w:r w:rsidR="00C94B8C" w:rsidRPr="00F6727E">
        <w:t xml:space="preserve"> to </w:t>
      </w:r>
      <w:r w:rsidRPr="00F6727E">
        <w:t xml:space="preserve">52 week study evaluating the efficacy and safety of adding </w:t>
      </w:r>
      <w:r w:rsidR="00584451" w:rsidRPr="00F6727E">
        <w:t>umeclidinium</w:t>
      </w:r>
      <w:r w:rsidRPr="00F6727E">
        <w:t xml:space="preserve"> 31.25</w:t>
      </w:r>
      <w:r w:rsidR="00C94B8C" w:rsidRPr="00F6727E">
        <w:t> </w:t>
      </w:r>
      <w:r w:rsidR="00876AEB" w:rsidRPr="00F6727E">
        <w:t>µg</w:t>
      </w:r>
      <w:r w:rsidR="00C94B8C" w:rsidRPr="00F6727E">
        <w:t xml:space="preserve"> or 62.5 </w:t>
      </w:r>
      <w:r w:rsidR="00876AEB" w:rsidRPr="00F6727E">
        <w:t>µg</w:t>
      </w:r>
      <w:r w:rsidRPr="00F6727E">
        <w:t xml:space="preserve"> to </w:t>
      </w:r>
      <w:r w:rsidR="00584451" w:rsidRPr="00F6727E">
        <w:t>fluticasone furoate</w:t>
      </w:r>
      <w:r w:rsidR="00C94B8C" w:rsidRPr="00F6727E">
        <w:t xml:space="preserve"> </w:t>
      </w:r>
      <w:r w:rsidRPr="00F6727E">
        <w:t>/</w:t>
      </w:r>
      <w:r w:rsidR="00C94B8C" w:rsidRPr="00F6727E">
        <w:t xml:space="preserve"> </w:t>
      </w:r>
      <w:r w:rsidR="00584451" w:rsidRPr="00F6727E">
        <w:t>vilanterol</w:t>
      </w:r>
      <w:r w:rsidRPr="00F6727E">
        <w:t xml:space="preserve"> in a population with an established diagnosis of asthma. This study demonstrated that the addition of </w:t>
      </w:r>
      <w:r w:rsidR="00584451" w:rsidRPr="00F6727E">
        <w:t>umeclidinium</w:t>
      </w:r>
      <w:r w:rsidRPr="00F6727E">
        <w:t xml:space="preserve"> 31.25</w:t>
      </w:r>
      <w:r w:rsidR="00C94B8C" w:rsidRPr="00F6727E">
        <w:t> </w:t>
      </w:r>
      <w:r w:rsidR="00876AEB" w:rsidRPr="00F6727E">
        <w:t>µg</w:t>
      </w:r>
      <w:r w:rsidRPr="00F6727E">
        <w:t xml:space="preserve"> and 62.5</w:t>
      </w:r>
      <w:r w:rsidR="00C94B8C" w:rsidRPr="00F6727E">
        <w:t> </w:t>
      </w:r>
      <w:r w:rsidR="00876AEB" w:rsidRPr="00F6727E">
        <w:t>µg</w:t>
      </w:r>
      <w:r w:rsidRPr="00F6727E">
        <w:t xml:space="preserve"> to high and mid dose </w:t>
      </w:r>
      <w:r w:rsidR="00584451" w:rsidRPr="00F6727E">
        <w:t>fluticasone furoate</w:t>
      </w:r>
      <w:r w:rsidRPr="00F6727E">
        <w:t xml:space="preserve"> and </w:t>
      </w:r>
      <w:r w:rsidR="00584451" w:rsidRPr="00F6727E">
        <w:t>vilanterol</w:t>
      </w:r>
      <w:r w:rsidRPr="00F6727E">
        <w:t xml:space="preserve"> resulted in statistically significant improvements clinic trough FEV</w:t>
      </w:r>
      <w:r w:rsidRPr="00F6727E">
        <w:rPr>
          <w:vertAlign w:val="subscript"/>
        </w:rPr>
        <w:t>1</w:t>
      </w:r>
      <w:r w:rsidRPr="00F6727E">
        <w:t xml:space="preserve"> comp</w:t>
      </w:r>
      <w:r w:rsidR="004B4DA8" w:rsidRPr="00F6727E">
        <w:t>ared to respective comparators.</w:t>
      </w:r>
    </w:p>
    <w:p w14:paraId="5F59F716" w14:textId="0FAEC807" w:rsidR="00DF6A60" w:rsidRPr="00F6727E" w:rsidRDefault="00DF6A60" w:rsidP="00DF6A60">
      <w:r w:rsidRPr="00F6727E">
        <w:t xml:space="preserve">Responder analysis at 24 weeks. </w:t>
      </w:r>
      <w:r w:rsidR="00584451" w:rsidRPr="00F6727E">
        <w:t>fluticasone furoate</w:t>
      </w:r>
      <w:r w:rsidR="00C94B8C" w:rsidRPr="00F6727E">
        <w:t xml:space="preserve"> </w:t>
      </w:r>
      <w:r w:rsidRPr="00F6727E">
        <w:t>/</w:t>
      </w:r>
      <w:r w:rsidR="00C94B8C" w:rsidRPr="00F6727E">
        <w:t xml:space="preserve"> </w:t>
      </w:r>
      <w:r w:rsidR="00584451" w:rsidRPr="00F6727E">
        <w:t>umeclidinium</w:t>
      </w:r>
      <w:r w:rsidR="00C94B8C" w:rsidRPr="00F6727E">
        <w:t xml:space="preserve"> </w:t>
      </w:r>
      <w:r w:rsidRPr="00F6727E">
        <w:t>/</w:t>
      </w:r>
      <w:r w:rsidR="00C94B8C" w:rsidRPr="00F6727E">
        <w:t xml:space="preserve"> </w:t>
      </w:r>
      <w:r w:rsidR="00584451" w:rsidRPr="00F6727E">
        <w:t>vilanterol</w:t>
      </w:r>
      <w:r w:rsidRPr="00F6727E">
        <w:t xml:space="preserve"> arms had a higher odds of improving FEV</w:t>
      </w:r>
      <w:r w:rsidRPr="00F6727E">
        <w:rPr>
          <w:vertAlign w:val="subscript"/>
        </w:rPr>
        <w:t>1</w:t>
      </w:r>
      <w:r w:rsidRPr="00F6727E">
        <w:t xml:space="preserve"> (&gt;</w:t>
      </w:r>
      <w:r w:rsidR="00C94B8C" w:rsidRPr="00F6727E">
        <w:t> </w:t>
      </w:r>
      <w:r w:rsidRPr="00F6727E">
        <w:t>100</w:t>
      </w:r>
      <w:r w:rsidR="00C94B8C" w:rsidRPr="00F6727E">
        <w:t> </w:t>
      </w:r>
      <w:r w:rsidRPr="00F6727E">
        <w:t>m</w:t>
      </w:r>
      <w:r w:rsidR="00C94B8C" w:rsidRPr="00F6727E">
        <w:t>L</w:t>
      </w:r>
      <w:r w:rsidRPr="00F6727E">
        <w:t xml:space="preserve"> increase from </w:t>
      </w:r>
      <w:r w:rsidR="002811AB" w:rsidRPr="00F6727E">
        <w:t>Baseline</w:t>
      </w:r>
      <w:r w:rsidRPr="00F6727E">
        <w:t xml:space="preserve">) compared to </w:t>
      </w:r>
      <w:r w:rsidR="00584451" w:rsidRPr="00F6727E">
        <w:t>fluticasone furoate</w:t>
      </w:r>
      <w:r w:rsidR="00C94B8C" w:rsidRPr="00F6727E">
        <w:t xml:space="preserve"> </w:t>
      </w:r>
      <w:r w:rsidRPr="00F6727E">
        <w:t>/</w:t>
      </w:r>
      <w:r w:rsidR="00C94B8C" w:rsidRPr="00F6727E">
        <w:t xml:space="preserve"> </w:t>
      </w:r>
      <w:r w:rsidR="00584451" w:rsidRPr="00F6727E">
        <w:t>vilanterol</w:t>
      </w:r>
      <w:r w:rsidRPr="00F6727E">
        <w:t xml:space="preserve"> arms at both strengths of </w:t>
      </w:r>
      <w:r w:rsidR="00584451" w:rsidRPr="00F6727E">
        <w:t>fluticasone furoate</w:t>
      </w:r>
      <w:r w:rsidR="00C94B8C" w:rsidRPr="00F6727E">
        <w:t xml:space="preserve"> </w:t>
      </w:r>
      <w:r w:rsidRPr="00F6727E">
        <w:t>/</w:t>
      </w:r>
      <w:r w:rsidR="00C94B8C" w:rsidRPr="00F6727E">
        <w:t xml:space="preserve"> </w:t>
      </w:r>
      <w:r w:rsidR="00584451" w:rsidRPr="00F6727E">
        <w:t>umeclidinium</w:t>
      </w:r>
      <w:r w:rsidR="00C94B8C" w:rsidRPr="00F6727E">
        <w:t xml:space="preserve"> </w:t>
      </w:r>
      <w:r w:rsidRPr="00F6727E">
        <w:t>/</w:t>
      </w:r>
      <w:r w:rsidR="00C94B8C" w:rsidRPr="00F6727E">
        <w:t xml:space="preserve"> </w:t>
      </w:r>
      <w:r w:rsidR="00584451" w:rsidRPr="00F6727E">
        <w:t>vilanterol</w:t>
      </w:r>
      <w:r w:rsidRPr="00F6727E">
        <w:t xml:space="preserve"> 100/62.5/25</w:t>
      </w:r>
      <w:r w:rsidR="00C94B8C" w:rsidRPr="00F6727E">
        <w:t> µg</w:t>
      </w:r>
      <w:r w:rsidRPr="00F6727E">
        <w:t xml:space="preserve"> </w:t>
      </w:r>
      <w:r w:rsidR="00C94B8C" w:rsidRPr="00F6727E">
        <w:t>or</w:t>
      </w:r>
      <w:r w:rsidRPr="00F6727E">
        <w:t xml:space="preserve"> 2.16 (95% CI: 1.61, 2.88) and </w:t>
      </w:r>
      <w:r w:rsidR="00584451" w:rsidRPr="00F6727E">
        <w:t>fluticasone furoate</w:t>
      </w:r>
      <w:r w:rsidR="00C94B8C" w:rsidRPr="00F6727E">
        <w:t xml:space="preserve"> </w:t>
      </w:r>
      <w:r w:rsidRPr="00F6727E">
        <w:t>/</w:t>
      </w:r>
      <w:r w:rsidR="00C94B8C" w:rsidRPr="00F6727E">
        <w:t xml:space="preserve"> </w:t>
      </w:r>
      <w:r w:rsidR="00584451" w:rsidRPr="00F6727E">
        <w:t>umeclidinium</w:t>
      </w:r>
      <w:r w:rsidR="00C94B8C" w:rsidRPr="00F6727E">
        <w:t xml:space="preserve"> </w:t>
      </w:r>
      <w:r w:rsidRPr="00F6727E">
        <w:t>/</w:t>
      </w:r>
      <w:r w:rsidR="00C94B8C" w:rsidRPr="00F6727E">
        <w:t xml:space="preserve"> </w:t>
      </w:r>
      <w:r w:rsidR="00584451" w:rsidRPr="00F6727E">
        <w:t>vilanterol</w:t>
      </w:r>
      <w:r w:rsidR="00C94B8C" w:rsidRPr="00F6727E">
        <w:t xml:space="preserve"> 200/62.5/25 µg or</w:t>
      </w:r>
      <w:r w:rsidRPr="00F6727E">
        <w:t xml:space="preserve"> 1.82 (95% CI: 1.37, 2.41). It is noted that slightly diminished improvement in FEV</w:t>
      </w:r>
      <w:r w:rsidRPr="00F6727E">
        <w:rPr>
          <w:vertAlign w:val="subscript"/>
        </w:rPr>
        <w:t>1</w:t>
      </w:r>
      <w:r w:rsidRPr="00F6727E">
        <w:t xml:space="preserve"> noted beyond 24 weeks, particularly at 52 weeks, may have been affected lower participant numbers and complianc</w:t>
      </w:r>
      <w:r w:rsidR="004B4DA8" w:rsidRPr="00F6727E">
        <w:t>e.</w:t>
      </w:r>
    </w:p>
    <w:p w14:paraId="1968F943" w14:textId="7B25D075" w:rsidR="00DF6A60" w:rsidRPr="00F6727E" w:rsidRDefault="00DF6A60" w:rsidP="00DF6A60">
      <w:r w:rsidRPr="00F6727E">
        <w:t xml:space="preserve">Addition of </w:t>
      </w:r>
      <w:r w:rsidR="00584451" w:rsidRPr="00F6727E">
        <w:t>umeclidinium</w:t>
      </w:r>
      <w:r w:rsidRPr="00F6727E">
        <w:t xml:space="preserve"> to </w:t>
      </w:r>
      <w:r w:rsidR="00584451" w:rsidRPr="00F6727E">
        <w:t>fluticasone furoate</w:t>
      </w:r>
      <w:r w:rsidR="00C94B8C" w:rsidRPr="00F6727E">
        <w:t xml:space="preserve"> </w:t>
      </w:r>
      <w:r w:rsidRPr="00F6727E">
        <w:t>/</w:t>
      </w:r>
      <w:r w:rsidR="00C94B8C" w:rsidRPr="00F6727E">
        <w:t xml:space="preserve"> </w:t>
      </w:r>
      <w:r w:rsidR="00584451" w:rsidRPr="00F6727E">
        <w:t>vilanterol</w:t>
      </w:r>
      <w:r w:rsidRPr="00F6727E">
        <w:t xml:space="preserve"> resulted in 3 to 13%, non</w:t>
      </w:r>
      <w:r w:rsidR="00C94B8C" w:rsidRPr="00F6727E">
        <w:noBreakHyphen/>
      </w:r>
      <w:r w:rsidRPr="00F6727E">
        <w:t xml:space="preserve">significant reduction, in the rate of moderate and severe exacerbations. Results for patient reported outcomes were mixed. While there were improvements in ACQ-7, E-RS and SGRQ scores observed in most treatment groups, treatment difference compared to control ICS/LABA groups were modest. There was no improvement observed in the </w:t>
      </w:r>
      <w:r w:rsidR="00C94B8C" w:rsidRPr="00F6727E">
        <w:t>Asthma Quality of Life Questionnaire (</w:t>
      </w:r>
      <w:r w:rsidRPr="00F6727E">
        <w:t>AQLQ</w:t>
      </w:r>
      <w:r w:rsidR="00C94B8C" w:rsidRPr="00F6727E">
        <w:t>)</w:t>
      </w:r>
      <w:r w:rsidRPr="00F6727E">
        <w:t xml:space="preserve"> endpoint. However, based on the position of these endpoints in the testing hierarchy and because the testing hierarchy was broken these results can only be u</w:t>
      </w:r>
      <w:r w:rsidR="004B4DA8" w:rsidRPr="00F6727E">
        <w:t>sed for descriptive purposes.</w:t>
      </w:r>
    </w:p>
    <w:p w14:paraId="0CC02D79" w14:textId="1460C2C8" w:rsidR="00DF6A60" w:rsidRPr="00F6727E" w:rsidRDefault="003A6656" w:rsidP="000019C6">
      <w:pPr>
        <w:pStyle w:val="Heading5"/>
      </w:pPr>
      <w:r>
        <w:t>Safety</w:t>
      </w:r>
    </w:p>
    <w:p w14:paraId="439D29F0" w14:textId="5F1D2A1A" w:rsidR="00DF6A60" w:rsidRPr="00F6727E" w:rsidRDefault="00DF6A60" w:rsidP="00DF6A60">
      <w:r w:rsidRPr="00F6727E">
        <w:t xml:space="preserve">Overall safety (AEs, SAEs, </w:t>
      </w:r>
      <w:r w:rsidR="00065644" w:rsidRPr="00F6727E">
        <w:t>major adverse cardiovascular events (</w:t>
      </w:r>
      <w:r w:rsidRPr="00F6727E">
        <w:t>MACE</w:t>
      </w:r>
      <w:r w:rsidR="00065644" w:rsidRPr="00F6727E">
        <w:t>)</w:t>
      </w:r>
      <w:r w:rsidRPr="00F6727E">
        <w:t xml:space="preserve">, laboratory evaluations, vital signs, ECG) was comparable across treatment groups. There was no evidence of an additional safety risk when </w:t>
      </w:r>
      <w:r w:rsidR="00584451" w:rsidRPr="00F6727E">
        <w:t>umeclidinium</w:t>
      </w:r>
      <w:r w:rsidR="004B4DA8" w:rsidRPr="00F6727E">
        <w:t xml:space="preserve"> is added to </w:t>
      </w:r>
      <w:r w:rsidR="00584451" w:rsidRPr="00F6727E">
        <w:t>fluticasone furoate</w:t>
      </w:r>
      <w:r w:rsidR="00065644" w:rsidRPr="00F6727E">
        <w:t xml:space="preserve"> </w:t>
      </w:r>
      <w:r w:rsidR="004B4DA8" w:rsidRPr="00F6727E">
        <w:t>/</w:t>
      </w:r>
      <w:r w:rsidR="00065644" w:rsidRPr="00F6727E">
        <w:t xml:space="preserve"> </w:t>
      </w:r>
      <w:r w:rsidR="00584451" w:rsidRPr="00F6727E">
        <w:t>vilanterol</w:t>
      </w:r>
      <w:r w:rsidR="004B4DA8" w:rsidRPr="00F6727E">
        <w:t xml:space="preserve"> combination.</w:t>
      </w:r>
    </w:p>
    <w:p w14:paraId="10D7DE0B" w14:textId="77777777" w:rsidR="00D23139" w:rsidRPr="00F6727E" w:rsidRDefault="00D23139" w:rsidP="00D23139">
      <w:pPr>
        <w:pStyle w:val="Heading4"/>
      </w:pPr>
      <w:r w:rsidRPr="00F6727E">
        <w:t>Proposed action</w:t>
      </w:r>
    </w:p>
    <w:p w14:paraId="1717D745" w14:textId="7CE5112A" w:rsidR="00DF6A60" w:rsidRPr="00F6727E" w:rsidRDefault="00DF6A60" w:rsidP="00DF6A60">
      <w:r w:rsidRPr="00F6727E">
        <w:t xml:space="preserve">Addition of </w:t>
      </w:r>
      <w:r w:rsidR="00584451" w:rsidRPr="00F6727E">
        <w:t>umeclidinium</w:t>
      </w:r>
      <w:r w:rsidRPr="00F6727E">
        <w:t xml:space="preserve"> 31.25</w:t>
      </w:r>
      <w:r w:rsidR="00065644" w:rsidRPr="00F6727E">
        <w:t> </w:t>
      </w:r>
      <w:r w:rsidR="00876AEB" w:rsidRPr="00F6727E">
        <w:t>µg</w:t>
      </w:r>
      <w:r w:rsidRPr="00F6727E">
        <w:t xml:space="preserve"> or 62.5</w:t>
      </w:r>
      <w:r w:rsidR="00065644" w:rsidRPr="00F6727E">
        <w:t> </w:t>
      </w:r>
      <w:r w:rsidR="00876AEB" w:rsidRPr="00F6727E">
        <w:t>µg</w:t>
      </w:r>
      <w:r w:rsidRPr="00F6727E">
        <w:t xml:space="preserve"> to </w:t>
      </w:r>
      <w:r w:rsidR="00584451" w:rsidRPr="00F6727E">
        <w:t>fluticasone furoate</w:t>
      </w:r>
      <w:r w:rsidR="00065644" w:rsidRPr="00F6727E">
        <w:t xml:space="preserve"> </w:t>
      </w:r>
      <w:r w:rsidRPr="00F6727E">
        <w:t>/</w:t>
      </w:r>
      <w:r w:rsidR="00065644" w:rsidRPr="00F6727E">
        <w:t xml:space="preserve"> </w:t>
      </w:r>
      <w:r w:rsidR="00584451" w:rsidRPr="00F6727E">
        <w:t>vilanterol</w:t>
      </w:r>
      <w:r w:rsidRPr="00F6727E">
        <w:t xml:space="preserve"> in the pivotal study has demonstrated efficacy with statistically significant improvements </w:t>
      </w:r>
      <w:r w:rsidR="00B27725">
        <w:t xml:space="preserve">in </w:t>
      </w:r>
      <w:r w:rsidRPr="00F6727E">
        <w:t>clinic trough FEV</w:t>
      </w:r>
      <w:r w:rsidRPr="00F6727E">
        <w:rPr>
          <w:vertAlign w:val="subscript"/>
        </w:rPr>
        <w:t>1</w:t>
      </w:r>
      <w:r w:rsidRPr="00F6727E">
        <w:t xml:space="preserve"> compared to respective compar</w:t>
      </w:r>
      <w:r w:rsidR="00065644" w:rsidRPr="00F6727E">
        <w:t>ators. Responder analysis at 24 </w:t>
      </w:r>
      <w:r w:rsidRPr="00F6727E">
        <w:t xml:space="preserve">weeks. </w:t>
      </w:r>
      <w:r w:rsidR="00584451" w:rsidRPr="00F6727E">
        <w:t>fluticasone furoate</w:t>
      </w:r>
      <w:r w:rsidR="00065644" w:rsidRPr="00F6727E">
        <w:t xml:space="preserve"> </w:t>
      </w:r>
      <w:r w:rsidRPr="00F6727E">
        <w:t>/</w:t>
      </w:r>
      <w:r w:rsidR="00065644" w:rsidRPr="00F6727E">
        <w:t xml:space="preserve"> </w:t>
      </w:r>
      <w:r w:rsidR="00584451" w:rsidRPr="00F6727E">
        <w:t>umeclidinium</w:t>
      </w:r>
      <w:r w:rsidR="00065644" w:rsidRPr="00F6727E">
        <w:t xml:space="preserve"> </w:t>
      </w:r>
      <w:r w:rsidRPr="00F6727E">
        <w:t>/</w:t>
      </w:r>
      <w:r w:rsidR="00065644" w:rsidRPr="00F6727E">
        <w:t xml:space="preserve"> </w:t>
      </w:r>
      <w:r w:rsidR="00584451" w:rsidRPr="00F6727E">
        <w:t>vilanterol</w:t>
      </w:r>
      <w:r w:rsidRPr="00F6727E">
        <w:t xml:space="preserve"> arms had a </w:t>
      </w:r>
      <w:proofErr w:type="gramStart"/>
      <w:r w:rsidRPr="00F6727E">
        <w:t>higher odds</w:t>
      </w:r>
      <w:proofErr w:type="gramEnd"/>
      <w:r w:rsidRPr="00F6727E">
        <w:t xml:space="preserve"> of improving FEV</w:t>
      </w:r>
      <w:r w:rsidRPr="00F6727E">
        <w:rPr>
          <w:vertAlign w:val="subscript"/>
        </w:rPr>
        <w:t>1</w:t>
      </w:r>
      <w:r w:rsidRPr="00F6727E">
        <w:t xml:space="preserve"> (&gt;</w:t>
      </w:r>
      <w:r w:rsidR="00065644" w:rsidRPr="00F6727E">
        <w:t> </w:t>
      </w:r>
      <w:r w:rsidRPr="00F6727E">
        <w:t>100</w:t>
      </w:r>
      <w:r w:rsidR="00065644" w:rsidRPr="00F6727E">
        <w:t> </w:t>
      </w:r>
      <w:r w:rsidRPr="00F6727E">
        <w:t>m</w:t>
      </w:r>
      <w:r w:rsidR="00065644" w:rsidRPr="00F6727E">
        <w:t>L</w:t>
      </w:r>
      <w:r w:rsidRPr="00F6727E">
        <w:t xml:space="preserve"> increase from </w:t>
      </w:r>
      <w:r w:rsidR="002811AB" w:rsidRPr="00F6727E">
        <w:t>Baseline</w:t>
      </w:r>
      <w:r w:rsidRPr="00F6727E">
        <w:t xml:space="preserve">) compared to </w:t>
      </w:r>
      <w:r w:rsidR="00584451" w:rsidRPr="00F6727E">
        <w:t>fluticasone furoate</w:t>
      </w:r>
      <w:r w:rsidR="00065644" w:rsidRPr="00F6727E">
        <w:t xml:space="preserve"> </w:t>
      </w:r>
      <w:r w:rsidRPr="00F6727E">
        <w:t>/</w:t>
      </w:r>
      <w:r w:rsidR="00065644" w:rsidRPr="00F6727E">
        <w:t xml:space="preserve"> </w:t>
      </w:r>
      <w:r w:rsidR="00584451" w:rsidRPr="00F6727E">
        <w:t>vilanterol</w:t>
      </w:r>
      <w:r w:rsidRPr="00F6727E">
        <w:t xml:space="preserve"> arms at both strengths. It is noted that slightly diminished improvement in FEV</w:t>
      </w:r>
      <w:r w:rsidRPr="00F6727E">
        <w:rPr>
          <w:vertAlign w:val="subscript"/>
        </w:rPr>
        <w:t>1</w:t>
      </w:r>
      <w:r w:rsidRPr="00F6727E">
        <w:t xml:space="preserve"> noted beyond 24</w:t>
      </w:r>
      <w:r w:rsidR="003A6656">
        <w:t> </w:t>
      </w:r>
      <w:r w:rsidRPr="00F6727E">
        <w:t>weeks, particularly at 52</w:t>
      </w:r>
      <w:r w:rsidR="00065644" w:rsidRPr="00F6727E">
        <w:t> </w:t>
      </w:r>
      <w:r w:rsidRPr="00F6727E">
        <w:t>weeks, may have been affected lower parti</w:t>
      </w:r>
      <w:r w:rsidR="004B4DA8" w:rsidRPr="00F6727E">
        <w:t>cipant numbers and compliance.</w:t>
      </w:r>
    </w:p>
    <w:p w14:paraId="08AA3DE6" w14:textId="77777777" w:rsidR="00DF6A60" w:rsidRPr="00F6727E" w:rsidRDefault="00DF6A60" w:rsidP="00DF6A60">
      <w:r w:rsidRPr="00F6727E">
        <w:t>However, the key secondary endpoint was not met for any comparison with no statistically significant effect on the rate of moderate to severe exacerbations was demonstrated.</w:t>
      </w:r>
    </w:p>
    <w:p w14:paraId="06154D24" w14:textId="6790D681" w:rsidR="00DF6A60" w:rsidRPr="00F6727E" w:rsidRDefault="00DF6A60" w:rsidP="00DF6A60">
      <w:r w:rsidRPr="00F6727E">
        <w:t xml:space="preserve">There was no evidence of an additional safety risk when </w:t>
      </w:r>
      <w:r w:rsidR="00584451" w:rsidRPr="00F6727E">
        <w:t>umeclidinium</w:t>
      </w:r>
      <w:r w:rsidRPr="00F6727E">
        <w:t xml:space="preserve"> is added to </w:t>
      </w:r>
      <w:r w:rsidR="00584451" w:rsidRPr="00F6727E">
        <w:t>fluticasone furoate</w:t>
      </w:r>
      <w:r w:rsidR="00065644" w:rsidRPr="00F6727E">
        <w:t xml:space="preserve"> </w:t>
      </w:r>
      <w:r w:rsidRPr="00F6727E">
        <w:t>/</w:t>
      </w:r>
      <w:r w:rsidR="00065644" w:rsidRPr="00F6727E">
        <w:t xml:space="preserve"> </w:t>
      </w:r>
      <w:r w:rsidR="00584451" w:rsidRPr="00F6727E">
        <w:t>vilanterol</w:t>
      </w:r>
      <w:r w:rsidRPr="00F6727E">
        <w:t xml:space="preserve"> combination.</w:t>
      </w:r>
    </w:p>
    <w:p w14:paraId="7A3D1479" w14:textId="6909A508" w:rsidR="00DF6A60" w:rsidRPr="00F6727E" w:rsidRDefault="00F6727E" w:rsidP="00DF6A60">
      <w:r w:rsidRPr="00F6727E">
        <w:t>The D</w:t>
      </w:r>
      <w:r w:rsidR="00DF6A60" w:rsidRPr="00F6727E">
        <w:t>elegate</w:t>
      </w:r>
      <w:r w:rsidRPr="00F6727E">
        <w:t xml:space="preserve"> </w:t>
      </w:r>
      <w:r w:rsidR="00DF6A60" w:rsidRPr="00F6727E">
        <w:t>think</w:t>
      </w:r>
      <w:r w:rsidRPr="00F6727E">
        <w:t>s</w:t>
      </w:r>
      <w:r w:rsidR="00DF6A60" w:rsidRPr="00F6727E">
        <w:t xml:space="preserve"> that th</w:t>
      </w:r>
      <w:r w:rsidR="00065644" w:rsidRPr="00F6727E">
        <w:t>e carton label should have the ‘</w:t>
      </w:r>
      <w:r w:rsidRPr="00F6727E">
        <w:t xml:space="preserve">contains lactose’ </w:t>
      </w:r>
      <w:r w:rsidR="00DF6A60" w:rsidRPr="00F6727E">
        <w:t>warning</w:t>
      </w:r>
      <w:r w:rsidRPr="00F6727E">
        <w:t xml:space="preserve"> and a</w:t>
      </w:r>
      <w:r w:rsidR="00DF6A60" w:rsidRPr="00F6727E">
        <w:t xml:space="preserve"> special warning sh</w:t>
      </w:r>
      <w:r w:rsidRPr="00F6727E">
        <w:t>ould also be included in the PI.</w:t>
      </w:r>
    </w:p>
    <w:p w14:paraId="78758173" w14:textId="3ABC8DB6" w:rsidR="00DF6A60" w:rsidRPr="00F6727E" w:rsidRDefault="00DF6A60" w:rsidP="00DF6A60">
      <w:r w:rsidRPr="00F6727E">
        <w:t xml:space="preserve">Based on the above points the </w:t>
      </w:r>
      <w:r w:rsidR="00863031" w:rsidRPr="00F6727E">
        <w:t>Delegate</w:t>
      </w:r>
      <w:r w:rsidRPr="00F6727E">
        <w:t xml:space="preserve"> considers the benefit-risk of </w:t>
      </w:r>
      <w:proofErr w:type="spellStart"/>
      <w:r w:rsidRPr="00F6727E">
        <w:t>Trelegy</w:t>
      </w:r>
      <w:proofErr w:type="spellEnd"/>
      <w:r w:rsidRPr="00F6727E">
        <w:t xml:space="preserve"> Ellipta in the proposed indication, for the maintenance treatment of asthma in adult patients who are not adequately controlled with a combination of </w:t>
      </w:r>
      <w:r w:rsidR="00405DE1" w:rsidRPr="00F6727E">
        <w:t>ICS</w:t>
      </w:r>
      <w:r w:rsidRPr="00F6727E">
        <w:t xml:space="preserve"> and a </w:t>
      </w:r>
      <w:r w:rsidR="008B1C0C" w:rsidRPr="00F6727E">
        <w:t>LABA</w:t>
      </w:r>
      <w:r w:rsidRPr="00F6727E">
        <w:t xml:space="preserve">, as favourable, considering the sponsor agrees to the </w:t>
      </w:r>
      <w:r w:rsidR="00863031" w:rsidRPr="00F6727E">
        <w:t>Delegate</w:t>
      </w:r>
      <w:r w:rsidRPr="00F6727E">
        <w:t xml:space="preserve"> recommendations, although advice is sought from the committee regarding the specific issues raised above.</w:t>
      </w:r>
    </w:p>
    <w:p w14:paraId="497D373F" w14:textId="77777777" w:rsidR="008E7846" w:rsidRPr="00F6727E" w:rsidRDefault="008E7846" w:rsidP="007D53B6">
      <w:pPr>
        <w:pStyle w:val="Heading4"/>
      </w:pPr>
      <w:r w:rsidRPr="00F6727E">
        <w:lastRenderedPageBreak/>
        <w:t xml:space="preserve">Advisory Committee </w:t>
      </w:r>
      <w:r w:rsidR="007D53B6" w:rsidRPr="00F6727E">
        <w:t>c</w:t>
      </w:r>
      <w:r w:rsidRPr="00F6727E">
        <w:t>onsiderations</w:t>
      </w:r>
      <w:r w:rsidR="00456765" w:rsidRPr="00F6727E">
        <w:rPr>
          <w:rStyle w:val="FootnoteReference"/>
        </w:rPr>
        <w:footnoteReference w:id="19"/>
      </w:r>
    </w:p>
    <w:p w14:paraId="63BD50E3" w14:textId="77777777" w:rsidR="00744121" w:rsidRPr="00F6727E" w:rsidRDefault="00744121" w:rsidP="00744121">
      <w:pPr>
        <w:rPr>
          <w:bCs/>
        </w:rPr>
      </w:pPr>
      <w:bookmarkStart w:id="51" w:name="_Toc247691532"/>
      <w:bookmarkStart w:id="52" w:name="_Toc314842516"/>
      <w:bookmarkEnd w:id="32"/>
      <w:bookmarkEnd w:id="48"/>
      <w:bookmarkEnd w:id="49"/>
      <w:r w:rsidRPr="00F6727E">
        <w:rPr>
          <w:bCs/>
        </w:rPr>
        <w:t>The Advisory Committee on Medicines (ACM), having considered the evaluations and the Delegate’s overview, as well as the sponsor’s response to these documents, advised the following.</w:t>
      </w:r>
    </w:p>
    <w:p w14:paraId="70D50EF8" w14:textId="77777777" w:rsidR="00744121" w:rsidRPr="00F6727E" w:rsidRDefault="00744121" w:rsidP="00744121">
      <w:pPr>
        <w:pStyle w:val="Heading5"/>
      </w:pPr>
      <w:r w:rsidRPr="00F6727E">
        <w:t>Specific advice to the Delegate</w:t>
      </w:r>
    </w:p>
    <w:p w14:paraId="38AC3F9F" w14:textId="77777777" w:rsidR="001828C6" w:rsidRPr="00F6727E" w:rsidRDefault="001828C6" w:rsidP="001828C6">
      <w:pPr>
        <w:pStyle w:val="Numberbullet0"/>
        <w:numPr>
          <w:ilvl w:val="0"/>
          <w:numId w:val="33"/>
        </w:numPr>
        <w:rPr>
          <w:b/>
          <w:i/>
        </w:rPr>
      </w:pPr>
      <w:r w:rsidRPr="00F6727E">
        <w:rPr>
          <w:b/>
          <w:i/>
        </w:rPr>
        <w:t>Are the positive results on trough FEV</w:t>
      </w:r>
      <w:r w:rsidRPr="00F6727E">
        <w:rPr>
          <w:b/>
          <w:i/>
          <w:vertAlign w:val="subscript"/>
        </w:rPr>
        <w:t>1</w:t>
      </w:r>
      <w:r w:rsidRPr="00F6727E">
        <w:rPr>
          <w:b/>
          <w:i/>
        </w:rPr>
        <w:t xml:space="preserve"> (with responder analysis), without obvious benefit seen in the secondary endpoints, sufficient to support the application?</w:t>
      </w:r>
    </w:p>
    <w:p w14:paraId="43119698" w14:textId="77777777" w:rsidR="001828C6" w:rsidRPr="00F6727E" w:rsidRDefault="001828C6" w:rsidP="001828C6">
      <w:r w:rsidRPr="00F6727E">
        <w:t>The ACM was of the view that patients and clinicians are most concerned with symptom management, quality of life and reducing exacerbations, and indicated that the demonstrated efficacy benefits by the change in FEV</w:t>
      </w:r>
      <w:r w:rsidRPr="00F6727E">
        <w:rPr>
          <w:vertAlign w:val="subscript"/>
        </w:rPr>
        <w:t>1</w:t>
      </w:r>
      <w:r w:rsidRPr="00F6727E">
        <w:t xml:space="preserve"> alone has its limitations.</w:t>
      </w:r>
    </w:p>
    <w:p w14:paraId="14CB2B46" w14:textId="77777777" w:rsidR="001828C6" w:rsidRPr="00F6727E" w:rsidRDefault="001828C6" w:rsidP="001828C6">
      <w:r w:rsidRPr="00F6727E">
        <w:t>The ACM acknowledged that a clear and significant benefit was demonstrated for FEV</w:t>
      </w:r>
      <w:r w:rsidRPr="00F6727E">
        <w:rPr>
          <w:vertAlign w:val="subscript"/>
        </w:rPr>
        <w:t>1</w:t>
      </w:r>
      <w:r w:rsidRPr="00F6727E">
        <w:t xml:space="preserve"> in asthmatic patients using </w:t>
      </w:r>
      <w:proofErr w:type="spellStart"/>
      <w:r w:rsidRPr="00F6727E">
        <w:t>Trelegy</w:t>
      </w:r>
      <w:proofErr w:type="spellEnd"/>
      <w:r w:rsidRPr="00F6727E">
        <w:t xml:space="preserve"> Ellipta over the standard treatment (ICS-LABA). The ACM accepted that lung function measured as FEV</w:t>
      </w:r>
      <w:r w:rsidRPr="00F6727E">
        <w:rPr>
          <w:vertAlign w:val="subscript"/>
        </w:rPr>
        <w:t>1</w:t>
      </w:r>
      <w:r w:rsidRPr="00F6727E">
        <w:t xml:space="preserve"> in this study, is widely accepted internationally as the primary outcome measure. In addition, the ACM noted that a 100 mL change for trough FEV</w:t>
      </w:r>
      <w:r w:rsidRPr="00F6727E">
        <w:rPr>
          <w:vertAlign w:val="subscript"/>
        </w:rPr>
        <w:t>1</w:t>
      </w:r>
      <w:r w:rsidRPr="00F6727E">
        <w:t xml:space="preserve"> is considered as an acceptable minimal clinically important difference in published scientific studies by Jones et al. (2014).</w:t>
      </w:r>
      <w:r w:rsidRPr="00F6727E">
        <w:rPr>
          <w:rStyle w:val="FootnoteReference"/>
        </w:rPr>
        <w:footnoteReference w:id="20"/>
      </w:r>
    </w:p>
    <w:p w14:paraId="5147DF0A" w14:textId="77777777" w:rsidR="001828C6" w:rsidRPr="00F6727E" w:rsidRDefault="001828C6" w:rsidP="001828C6">
      <w:r w:rsidRPr="00F6727E">
        <w:t xml:space="preserve">The ACM was of the view that although the secondary endpoints relating to reduced exacerbations of asthma were not met, some patients would still derive exacerbation benefit in their clinical management. The ACM mentioned that in terms of treatment in real life, asthma is a heterogeneous condition and treatment success depends on the relationship between the clinician, </w:t>
      </w:r>
      <w:proofErr w:type="gramStart"/>
      <w:r w:rsidRPr="00F6727E">
        <w:t>patient</w:t>
      </w:r>
      <w:proofErr w:type="gramEnd"/>
      <w:r w:rsidRPr="00F6727E">
        <w:t xml:space="preserve"> and the availability of a variety of treatment options to treat the different presentations.</w:t>
      </w:r>
    </w:p>
    <w:p w14:paraId="4D446ED4" w14:textId="77777777" w:rsidR="001828C6" w:rsidRPr="00F6727E" w:rsidRDefault="001828C6" w:rsidP="001828C6">
      <w:r w:rsidRPr="00F6727E">
        <w:t xml:space="preserve">In the overall context, the ACM advised that the benefit-risk balance for </w:t>
      </w:r>
      <w:proofErr w:type="spellStart"/>
      <w:r w:rsidRPr="00F6727E">
        <w:t>Trelegy</w:t>
      </w:r>
      <w:proofErr w:type="spellEnd"/>
      <w:r w:rsidRPr="00F6727E">
        <w:t xml:space="preserve"> Ellipta use is favourable, for the population stated in the revised indication (patients not adequately controlled by ICS-LABA).</w:t>
      </w:r>
    </w:p>
    <w:p w14:paraId="555C9FF1" w14:textId="77777777" w:rsidR="001828C6" w:rsidRPr="00F6727E" w:rsidRDefault="001828C6" w:rsidP="001828C6">
      <w:pPr>
        <w:pStyle w:val="Numberbullet0"/>
        <w:numPr>
          <w:ilvl w:val="0"/>
          <w:numId w:val="33"/>
        </w:numPr>
        <w:rPr>
          <w:b/>
          <w:i/>
        </w:rPr>
      </w:pPr>
      <w:r w:rsidRPr="00F6727E">
        <w:rPr>
          <w:b/>
          <w:i/>
        </w:rPr>
        <w:t>Is the diminished improvement in FEV</w:t>
      </w:r>
      <w:r w:rsidRPr="00F6727E">
        <w:rPr>
          <w:b/>
          <w:i/>
          <w:vertAlign w:val="subscript"/>
        </w:rPr>
        <w:t>1</w:t>
      </w:r>
      <w:r w:rsidRPr="00F6727E">
        <w:rPr>
          <w:b/>
          <w:i/>
        </w:rPr>
        <w:t xml:space="preserve"> beyond 24 weeks considered acceptable?</w:t>
      </w:r>
    </w:p>
    <w:p w14:paraId="5D70D417" w14:textId="1AB3AC54" w:rsidR="001828C6" w:rsidRPr="00F6727E" w:rsidRDefault="001828C6" w:rsidP="001828C6">
      <w:r w:rsidRPr="00F6727E">
        <w:t xml:space="preserve">The ACM noted that the 24 to </w:t>
      </w:r>
      <w:proofErr w:type="gramStart"/>
      <w:r w:rsidRPr="00F6727E">
        <w:t>52 week</w:t>
      </w:r>
      <w:proofErr w:type="gramEnd"/>
      <w:r w:rsidRPr="00F6727E">
        <w:t xml:space="preserve"> period of the pivotal study showed a higher drop</w:t>
      </w:r>
      <w:r w:rsidRPr="00F6727E">
        <w:noBreakHyphen/>
        <w:t xml:space="preserve">out rate and reduced compliance from participants. The ACM advised that this may actually reflect ‘real-world’ </w:t>
      </w:r>
      <w:proofErr w:type="gramStart"/>
      <w:r w:rsidRPr="00F6727E">
        <w:t>behaviour, but</w:t>
      </w:r>
      <w:proofErr w:type="gramEnd"/>
      <w:r w:rsidRPr="00F6727E">
        <w:t xml:space="preserve"> does not diminish the robust FEV</w:t>
      </w:r>
      <w:r w:rsidRPr="00F6727E">
        <w:rPr>
          <w:vertAlign w:val="subscript"/>
        </w:rPr>
        <w:t>1</w:t>
      </w:r>
      <w:r w:rsidRPr="00F6727E">
        <w:t xml:space="preserve"> benefit demonstrated at 24 weeks for the addition of inhaled LAMA in this under c</w:t>
      </w:r>
      <w:r w:rsidR="004B4DA8" w:rsidRPr="00F6727E">
        <w:t>ontrolled asthmatic population.</w:t>
      </w:r>
    </w:p>
    <w:p w14:paraId="4C8553A4" w14:textId="77777777" w:rsidR="001828C6" w:rsidRPr="00F6727E" w:rsidRDefault="001828C6" w:rsidP="001828C6">
      <w:r w:rsidRPr="00F6727E">
        <w:t>The ACM acknowledged that the clinical meaningfulness of the trend towards diminished FEV</w:t>
      </w:r>
      <w:r w:rsidRPr="00F6727E">
        <w:rPr>
          <w:vertAlign w:val="subscript"/>
        </w:rPr>
        <w:t>1</w:t>
      </w:r>
      <w:r w:rsidRPr="00F6727E">
        <w:t xml:space="preserve"> improvement beyond this period is uncertain and noted that the data provided in the study did not allow a conclusive answer to this question, as it was not part of the initial study design.</w:t>
      </w:r>
    </w:p>
    <w:p w14:paraId="31E699E3" w14:textId="7AD083C5" w:rsidR="001828C6" w:rsidRPr="00F6727E" w:rsidRDefault="001828C6" w:rsidP="001828C6">
      <w:pPr>
        <w:pStyle w:val="Numberbullet0"/>
        <w:numPr>
          <w:ilvl w:val="0"/>
          <w:numId w:val="33"/>
        </w:numPr>
        <w:rPr>
          <w:b/>
          <w:i/>
        </w:rPr>
      </w:pPr>
      <w:r w:rsidRPr="00F6727E">
        <w:rPr>
          <w:b/>
          <w:i/>
        </w:rPr>
        <w:lastRenderedPageBreak/>
        <w:t xml:space="preserve">Considering </w:t>
      </w:r>
      <w:r w:rsidR="003A6656">
        <w:rPr>
          <w:b/>
          <w:i/>
        </w:rPr>
        <w:t>l</w:t>
      </w:r>
      <w:r w:rsidRPr="00F6727E">
        <w:rPr>
          <w:b/>
          <w:i/>
        </w:rPr>
        <w:t xml:space="preserve">actose monohydrate (which contains milk protein), an excipient, is an allergen (especially the milk protein) and can induce a serious allergic reaction should the carton label have the ‘contains lactose’ warning? </w:t>
      </w:r>
    </w:p>
    <w:p w14:paraId="76AA7519" w14:textId="77777777" w:rsidR="001828C6" w:rsidRPr="00F6727E" w:rsidRDefault="001828C6" w:rsidP="001828C6">
      <w:r w:rsidRPr="00F6727E">
        <w:t>The ACM sought clarification as to whether the medicine contains lactose, milk protein or both. They highlighted that should the medicine contain milk protein, which can induce severe allergic reaction such as anaphylaxis, a warning stating ‘contains milk protein’ would be beneficial.</w:t>
      </w:r>
    </w:p>
    <w:p w14:paraId="045B45E8" w14:textId="77777777" w:rsidR="001828C6" w:rsidRPr="00F6727E" w:rsidRDefault="001828C6" w:rsidP="001828C6">
      <w:r w:rsidRPr="00F6727E">
        <w:t xml:space="preserve">The ACM expressed some concern that inclusion of a ‘contains lactose’ warning may prevent patients with a mild lactose intolerance from taking </w:t>
      </w:r>
      <w:proofErr w:type="spellStart"/>
      <w:r w:rsidRPr="00F6727E">
        <w:t>Trelegy</w:t>
      </w:r>
      <w:proofErr w:type="spellEnd"/>
      <w:r w:rsidRPr="00F6727E">
        <w:t xml:space="preserve"> Ellipta, stating that lactose intolerance is unlikely to result a reaction to this medication.</w:t>
      </w:r>
    </w:p>
    <w:p w14:paraId="3C9598A4" w14:textId="77777777" w:rsidR="001828C6" w:rsidRPr="00F6727E" w:rsidRDefault="001828C6" w:rsidP="001828C6">
      <w:r w:rsidRPr="00F6727E">
        <w:t>The ACM recommends it be clarified with the sponsor whether milk protein is present in the medicine. The ACM agreed that a label warning is necessary if milk protein is present.</w:t>
      </w:r>
    </w:p>
    <w:p w14:paraId="520DB0BB" w14:textId="77777777" w:rsidR="00744121" w:rsidRPr="00F6727E" w:rsidRDefault="00744121" w:rsidP="00744121">
      <w:pPr>
        <w:pStyle w:val="Heading5"/>
      </w:pPr>
      <w:r w:rsidRPr="00F6727E">
        <w:t>Conclusion</w:t>
      </w:r>
    </w:p>
    <w:p w14:paraId="7241D803" w14:textId="77777777" w:rsidR="001828C6" w:rsidRPr="00F6727E" w:rsidRDefault="001828C6" w:rsidP="001828C6">
      <w:r w:rsidRPr="00F6727E">
        <w:t>The ACM considered this product to have an overall positive benefit-risk profile for the indication:</w:t>
      </w:r>
    </w:p>
    <w:p w14:paraId="6308E260" w14:textId="77777777" w:rsidR="001828C6" w:rsidRPr="00F6727E" w:rsidRDefault="001828C6" w:rsidP="001828C6">
      <w:pPr>
        <w:ind w:left="720"/>
        <w:rPr>
          <w:i/>
        </w:rPr>
      </w:pPr>
      <w:proofErr w:type="spellStart"/>
      <w:r w:rsidRPr="00F6727E">
        <w:rPr>
          <w:i/>
        </w:rPr>
        <w:t>Trelegy</w:t>
      </w:r>
      <w:proofErr w:type="spellEnd"/>
      <w:r w:rsidRPr="00F6727E">
        <w:rPr>
          <w:i/>
        </w:rPr>
        <w:t xml:space="preserve"> Ellipta is indicated for the maintenance treatment of asthma in adult patients who are not adequately controlled with a combination of inhaled corticosteroid and a long-acting beta2-agonist.</w:t>
      </w:r>
    </w:p>
    <w:p w14:paraId="66E15D4E" w14:textId="77777777" w:rsidR="008E7846" w:rsidRPr="00F6727E" w:rsidRDefault="008E7846" w:rsidP="008E7846">
      <w:pPr>
        <w:pStyle w:val="Heading3"/>
      </w:pPr>
      <w:bookmarkStart w:id="53" w:name="_Toc83895483"/>
      <w:r w:rsidRPr="00F6727E">
        <w:t>Outcome</w:t>
      </w:r>
      <w:bookmarkEnd w:id="51"/>
      <w:bookmarkEnd w:id="52"/>
      <w:bookmarkEnd w:id="53"/>
    </w:p>
    <w:p w14:paraId="6EC570C5" w14:textId="38A418FD" w:rsidR="00744121" w:rsidRPr="00F6727E" w:rsidRDefault="00744121" w:rsidP="00065644">
      <w:bookmarkStart w:id="54" w:name="_Toc247691533"/>
      <w:bookmarkStart w:id="55" w:name="_Toc314842517"/>
      <w:r w:rsidRPr="00F6727E">
        <w:t xml:space="preserve">Based on a review of quality, safety and efficacy, the TGA approved the registration of </w:t>
      </w:r>
      <w:proofErr w:type="spellStart"/>
      <w:r w:rsidR="008D0D20" w:rsidRPr="00F6727E">
        <w:t>Trelegy</w:t>
      </w:r>
      <w:proofErr w:type="spellEnd"/>
      <w:r w:rsidR="008D0D20" w:rsidRPr="00F6727E">
        <w:t xml:space="preserve"> Ellipta </w:t>
      </w:r>
      <w:r w:rsidRPr="00F6727E">
        <w:t>(</w:t>
      </w:r>
      <w:r w:rsidR="008D0D20" w:rsidRPr="00F6727E">
        <w:t>fluticasone furoate</w:t>
      </w:r>
      <w:r w:rsidR="00AD6AF3" w:rsidRPr="00F6727E">
        <w:t xml:space="preserve"> /</w:t>
      </w:r>
      <w:r w:rsidR="008D0D20" w:rsidRPr="00F6727E">
        <w:t xml:space="preserve"> umeclidinium </w:t>
      </w:r>
      <w:r w:rsidR="00AD6AF3" w:rsidRPr="00F6727E">
        <w:t xml:space="preserve">/ </w:t>
      </w:r>
      <w:r w:rsidR="008D0D20" w:rsidRPr="00F6727E">
        <w:t>vilanterol</w:t>
      </w:r>
      <w:r w:rsidRPr="00F6727E">
        <w:t xml:space="preserve">) </w:t>
      </w:r>
      <w:r w:rsidR="00065644" w:rsidRPr="00F6727E">
        <w:t>100 µg/62.5 µg/25 µg and 200 µg/62.5 </w:t>
      </w:r>
      <w:r w:rsidR="00AD6AF3" w:rsidRPr="00F6727E">
        <w:t>µg/</w:t>
      </w:r>
      <w:r w:rsidR="00065644" w:rsidRPr="00F6727E">
        <w:t>25 </w:t>
      </w:r>
      <w:r w:rsidR="00AD6AF3" w:rsidRPr="00F6727E">
        <w:t>µg</w:t>
      </w:r>
      <w:r w:rsidRPr="00F6727E">
        <w:t xml:space="preserve">, </w:t>
      </w:r>
      <w:r w:rsidR="00AD6AF3" w:rsidRPr="00F6727E">
        <w:t>powder for inhalation</w:t>
      </w:r>
      <w:r w:rsidRPr="00F6727E">
        <w:t xml:space="preserve">, </w:t>
      </w:r>
      <w:r w:rsidR="00AD6AF3" w:rsidRPr="00F6727E">
        <w:t>inhaler</w:t>
      </w:r>
      <w:r w:rsidRPr="00F6727E">
        <w:t xml:space="preserve">, </w:t>
      </w:r>
      <w:r w:rsidR="003E5AB3" w:rsidRPr="00F6727E">
        <w:t xml:space="preserve">dry powder, </w:t>
      </w:r>
      <w:r w:rsidRPr="00F6727E">
        <w:t>for the following extension of indications:</w:t>
      </w:r>
    </w:p>
    <w:p w14:paraId="278423F0" w14:textId="77777777" w:rsidR="001828C6" w:rsidRPr="00F6727E" w:rsidRDefault="001828C6" w:rsidP="001828C6">
      <w:pPr>
        <w:ind w:left="720"/>
        <w:rPr>
          <w:i/>
        </w:rPr>
      </w:pPr>
      <w:r w:rsidRPr="00F6727E">
        <w:rPr>
          <w:i/>
        </w:rPr>
        <w:t>Asthma</w:t>
      </w:r>
    </w:p>
    <w:p w14:paraId="13637719" w14:textId="344B7F2B" w:rsidR="001828C6" w:rsidRPr="00F6727E" w:rsidRDefault="001828C6" w:rsidP="001828C6">
      <w:pPr>
        <w:ind w:left="720"/>
      </w:pPr>
      <w:proofErr w:type="spellStart"/>
      <w:r w:rsidRPr="00F6727E">
        <w:rPr>
          <w:i/>
        </w:rPr>
        <w:t>Trelegy</w:t>
      </w:r>
      <w:proofErr w:type="spellEnd"/>
      <w:r w:rsidRPr="00F6727E">
        <w:rPr>
          <w:i/>
        </w:rPr>
        <w:t xml:space="preserve"> Ellipta is indicated for the maintenance treatment of asthma in adult patient</w:t>
      </w:r>
      <w:r w:rsidR="00B27725">
        <w:rPr>
          <w:i/>
        </w:rPr>
        <w:t>s</w:t>
      </w:r>
      <w:r w:rsidRPr="00F6727E">
        <w:rPr>
          <w:i/>
        </w:rPr>
        <w:t xml:space="preserve"> who are not adequately controlled with a combination of inhaled corticosteroid and a long</w:t>
      </w:r>
      <w:r w:rsidR="00B27725">
        <w:rPr>
          <w:i/>
        </w:rPr>
        <w:t>-</w:t>
      </w:r>
      <w:r w:rsidRPr="00F6727E">
        <w:rPr>
          <w:i/>
        </w:rPr>
        <w:t>acting beta2-agonist</w:t>
      </w:r>
    </w:p>
    <w:p w14:paraId="69DCA371" w14:textId="77777777" w:rsidR="007D53B6" w:rsidRPr="00F6727E" w:rsidRDefault="007D53B6" w:rsidP="007D53B6">
      <w:r w:rsidRPr="00F6727E">
        <w:t>As such, the full indications at this time were:</w:t>
      </w:r>
    </w:p>
    <w:p w14:paraId="50770A14" w14:textId="77777777" w:rsidR="001828C6" w:rsidRPr="00F6727E" w:rsidRDefault="001828C6" w:rsidP="001828C6">
      <w:pPr>
        <w:ind w:left="720"/>
        <w:rPr>
          <w:i/>
        </w:rPr>
      </w:pPr>
      <w:r w:rsidRPr="00F6727E">
        <w:rPr>
          <w:i/>
        </w:rPr>
        <w:t>Asthma</w:t>
      </w:r>
    </w:p>
    <w:p w14:paraId="01CA8DEA" w14:textId="49B78FAB" w:rsidR="001828C6" w:rsidRPr="00F6727E" w:rsidRDefault="001828C6" w:rsidP="001828C6">
      <w:pPr>
        <w:ind w:left="720"/>
        <w:rPr>
          <w:i/>
        </w:rPr>
      </w:pPr>
      <w:proofErr w:type="spellStart"/>
      <w:r w:rsidRPr="00F6727E">
        <w:rPr>
          <w:i/>
        </w:rPr>
        <w:t>Trelegy</w:t>
      </w:r>
      <w:proofErr w:type="spellEnd"/>
      <w:r w:rsidRPr="00F6727E">
        <w:rPr>
          <w:i/>
        </w:rPr>
        <w:t xml:space="preserve"> Ellipta is indicated for the maintenance treatment of asthma in adult patients who are not adequately controlled with a combination of inhaled corticosteroid and a long</w:t>
      </w:r>
      <w:r w:rsidR="00B27725">
        <w:rPr>
          <w:i/>
        </w:rPr>
        <w:t>-</w:t>
      </w:r>
      <w:r w:rsidRPr="00F6727E">
        <w:rPr>
          <w:i/>
        </w:rPr>
        <w:t>acting beta2-agonist.</w:t>
      </w:r>
    </w:p>
    <w:p w14:paraId="52B30C05" w14:textId="77777777" w:rsidR="001828C6" w:rsidRPr="00F6727E" w:rsidRDefault="001828C6" w:rsidP="001828C6">
      <w:pPr>
        <w:ind w:left="720"/>
        <w:rPr>
          <w:i/>
        </w:rPr>
      </w:pPr>
      <w:r w:rsidRPr="00F6727E">
        <w:rPr>
          <w:i/>
        </w:rPr>
        <w:t>COPD</w:t>
      </w:r>
    </w:p>
    <w:p w14:paraId="39E0F6A2" w14:textId="77777777" w:rsidR="001828C6" w:rsidRPr="00F6727E" w:rsidRDefault="001828C6" w:rsidP="001828C6">
      <w:pPr>
        <w:ind w:left="720"/>
        <w:rPr>
          <w:i/>
        </w:rPr>
      </w:pPr>
      <w:proofErr w:type="spellStart"/>
      <w:r w:rsidRPr="00F6727E">
        <w:rPr>
          <w:i/>
        </w:rPr>
        <w:t>Trelegy</w:t>
      </w:r>
      <w:proofErr w:type="spellEnd"/>
      <w:r w:rsidRPr="00F6727E">
        <w:rPr>
          <w:i/>
        </w:rPr>
        <w:t xml:space="preserve"> Ellipta is indicated for the maintenance treatment of adults with moderate to severe COPD who require treatment with LAMA+LABA+ICS.</w:t>
      </w:r>
    </w:p>
    <w:p w14:paraId="06627507" w14:textId="77777777" w:rsidR="001828C6" w:rsidRPr="00F6727E" w:rsidRDefault="001828C6" w:rsidP="001828C6">
      <w:pPr>
        <w:ind w:left="720"/>
        <w:rPr>
          <w:i/>
        </w:rPr>
      </w:pPr>
      <w:proofErr w:type="spellStart"/>
      <w:r w:rsidRPr="00F6727E">
        <w:rPr>
          <w:i/>
        </w:rPr>
        <w:t>Trelegy</w:t>
      </w:r>
      <w:proofErr w:type="spellEnd"/>
      <w:r w:rsidRPr="00F6727E">
        <w:rPr>
          <w:i/>
        </w:rPr>
        <w:t xml:space="preserve"> Ellipta is not indicated for the initiation of therapy in COPD.</w:t>
      </w:r>
    </w:p>
    <w:p w14:paraId="0A304EA9" w14:textId="77777777" w:rsidR="00D23139" w:rsidRPr="00F6727E" w:rsidRDefault="00D23139" w:rsidP="00D23139">
      <w:pPr>
        <w:pStyle w:val="Heading4"/>
      </w:pPr>
      <w:r w:rsidRPr="00F6727E">
        <w:t>Specific conditions of registration applying to these goods</w:t>
      </w:r>
    </w:p>
    <w:p w14:paraId="7A4656F3" w14:textId="53D4C87F" w:rsidR="00456765" w:rsidRPr="00F6727E" w:rsidRDefault="00BD2F7B" w:rsidP="00BD2F7B">
      <w:pPr>
        <w:pStyle w:val="ListBullet"/>
      </w:pPr>
      <w:r w:rsidRPr="00F6727E">
        <w:t xml:space="preserve">This approval does not impose any requirement for the submission of </w:t>
      </w:r>
      <w:r w:rsidR="00065644" w:rsidRPr="00F6727E">
        <w:t xml:space="preserve">periodic safety update reports </w:t>
      </w:r>
      <w:r w:rsidR="00956592" w:rsidRPr="00F6727E">
        <w:t>(PSURs)</w:t>
      </w:r>
      <w:r w:rsidRPr="00F6727E">
        <w:t>. You should note that it is a requirement that all existing requirements for the submission of PSURs as a consequence of the initial registration or subsequent changes must be completed.</w:t>
      </w:r>
    </w:p>
    <w:p w14:paraId="778292E6" w14:textId="77777777" w:rsidR="008E7846" w:rsidRPr="00F6727E" w:rsidRDefault="00A80B5B" w:rsidP="00D23139">
      <w:pPr>
        <w:pStyle w:val="Heading2"/>
      </w:pPr>
      <w:bookmarkStart w:id="56" w:name="_Toc83895484"/>
      <w:r w:rsidRPr="00F6727E">
        <w:lastRenderedPageBreak/>
        <w:t xml:space="preserve">Attachment 1. </w:t>
      </w:r>
      <w:r w:rsidR="008E7846" w:rsidRPr="00F6727E">
        <w:t xml:space="preserve">Product </w:t>
      </w:r>
      <w:r w:rsidR="00AA0ED0" w:rsidRPr="00F6727E">
        <w:t>I</w:t>
      </w:r>
      <w:r w:rsidR="008E7846" w:rsidRPr="00F6727E">
        <w:t>nformation</w:t>
      </w:r>
      <w:bookmarkEnd w:id="54"/>
      <w:bookmarkEnd w:id="55"/>
      <w:bookmarkEnd w:id="56"/>
    </w:p>
    <w:p w14:paraId="674A6DAD" w14:textId="1DFE3DFB" w:rsidR="00291957" w:rsidRPr="00F6727E" w:rsidRDefault="006136D7" w:rsidP="00F23D21">
      <w:pPr>
        <w:rPr>
          <w:color w:val="000000"/>
          <w:lang w:eastAsia="en-AU"/>
        </w:rPr>
      </w:pPr>
      <w:r w:rsidRPr="00F6727E">
        <w:t xml:space="preserve">The PI for </w:t>
      </w:r>
      <w:proofErr w:type="spellStart"/>
      <w:r w:rsidR="008D0D20" w:rsidRPr="00F6727E">
        <w:t>Trelegy</w:t>
      </w:r>
      <w:proofErr w:type="spellEnd"/>
      <w:r w:rsidR="008D0D20" w:rsidRPr="00F6727E">
        <w:t xml:space="preserve"> Ellipta</w:t>
      </w:r>
      <w:r w:rsidRPr="00F6727E">
        <w:t xml:space="preserve"> approved with the submission which is described in this AusPAR is at Attachment 1. For the most recent PI, please refer to the TGA website at </w:t>
      </w:r>
      <w:r w:rsidR="007C6B9B" w:rsidRPr="00F6727E">
        <w:t>&lt;</w:t>
      </w:r>
      <w:hyperlink r:id="rId20" w:history="1">
        <w:r w:rsidR="007C6B9B" w:rsidRPr="00F6727E">
          <w:rPr>
            <w:rStyle w:val="Hyperlink"/>
          </w:rPr>
          <w:t>https://www.tga.gov.au/product-information-pi</w:t>
        </w:r>
      </w:hyperlink>
      <w:r w:rsidR="00F23D21" w:rsidRPr="00F6727E">
        <w:t>&gt;.</w:t>
      </w:r>
    </w:p>
    <w:p w14:paraId="2D5E63E2" w14:textId="77777777" w:rsidR="00744121" w:rsidRPr="00F6727E" w:rsidRDefault="00744121" w:rsidP="00744121">
      <w:pPr>
        <w:rPr>
          <w:lang w:eastAsia="ja-JP"/>
        </w:rPr>
      </w:pPr>
    </w:p>
    <w:p w14:paraId="192AAD5F" w14:textId="77777777" w:rsidR="00C80137" w:rsidRPr="00F6727E" w:rsidRDefault="00C80137" w:rsidP="003A7F6C">
      <w:pPr>
        <w:pStyle w:val="TableTitle"/>
        <w:sectPr w:rsidR="00C80137" w:rsidRPr="00F6727E"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F6727E" w14:paraId="4A882564" w14:textId="77777777" w:rsidTr="00A05FA4">
        <w:trPr>
          <w:trHeight w:hRule="exact" w:val="704"/>
        </w:trPr>
        <w:tc>
          <w:tcPr>
            <w:tcW w:w="9175" w:type="dxa"/>
          </w:tcPr>
          <w:p w14:paraId="1549C7F1" w14:textId="77777777" w:rsidR="001C32CD" w:rsidRPr="00F6727E" w:rsidRDefault="001C32CD" w:rsidP="00A05FA4">
            <w:pPr>
              <w:pStyle w:val="TGASignoff"/>
            </w:pPr>
            <w:r w:rsidRPr="00F6727E">
              <w:lastRenderedPageBreak/>
              <w:t>Therapeutic Goods Administration</w:t>
            </w:r>
          </w:p>
        </w:tc>
      </w:tr>
      <w:tr w:rsidR="001C32CD" w:rsidRPr="004C239D" w14:paraId="25A32A8A" w14:textId="77777777" w:rsidTr="00A05FA4">
        <w:trPr>
          <w:trHeight w:val="1221"/>
        </w:trPr>
        <w:tc>
          <w:tcPr>
            <w:tcW w:w="9175" w:type="dxa"/>
            <w:tcMar>
              <w:top w:w="28" w:type="dxa"/>
            </w:tcMar>
          </w:tcPr>
          <w:p w14:paraId="640F5A0C" w14:textId="77777777" w:rsidR="001C32CD" w:rsidRPr="00F6727E" w:rsidRDefault="001C32CD" w:rsidP="00A05FA4">
            <w:pPr>
              <w:pStyle w:val="Address"/>
            </w:pPr>
            <w:r w:rsidRPr="00F6727E">
              <w:t>PO Box 100 Woden ACT 2606 Australia</w:t>
            </w:r>
          </w:p>
          <w:p w14:paraId="3BFE6DB4" w14:textId="3D9C77F0" w:rsidR="001C32CD" w:rsidRPr="00F6727E" w:rsidRDefault="001C32CD" w:rsidP="00A05FA4">
            <w:pPr>
              <w:pStyle w:val="Address"/>
            </w:pPr>
            <w:r w:rsidRPr="00F6727E">
              <w:t xml:space="preserve">Email: </w:t>
            </w:r>
            <w:hyperlink r:id="rId25" w:history="1">
              <w:r w:rsidRPr="00F6727E">
                <w:rPr>
                  <w:rStyle w:val="Hyperlink"/>
                </w:rPr>
                <w:t>info@tga.gov.au</w:t>
              </w:r>
            </w:hyperlink>
            <w:r w:rsidRPr="00F6727E">
              <w:t xml:space="preserve">  Phone: 1800 020 </w:t>
            </w:r>
            <w:proofErr w:type="gramStart"/>
            <w:r w:rsidRPr="00F6727E">
              <w:t>653  Fax</w:t>
            </w:r>
            <w:proofErr w:type="gramEnd"/>
            <w:r w:rsidRPr="00F6727E">
              <w:t>: 02 6232 8605</w:t>
            </w:r>
          </w:p>
          <w:p w14:paraId="2AC36916" w14:textId="36B1FD0B" w:rsidR="001C32CD" w:rsidRPr="004C239D" w:rsidRDefault="00A759BC" w:rsidP="00A05FA4">
            <w:pPr>
              <w:pStyle w:val="Address"/>
              <w:spacing w:line="260" w:lineRule="atLeast"/>
              <w:rPr>
                <w:b/>
                <w:color w:val="0000FF"/>
                <w:u w:val="single"/>
              </w:rPr>
            </w:pPr>
            <w:hyperlink r:id="rId26" w:history="1">
              <w:r w:rsidR="007C6B9B" w:rsidRPr="00F6727E">
                <w:rPr>
                  <w:rStyle w:val="Hyperlink"/>
                  <w:b/>
                </w:rPr>
                <w:t>https://www.tga.gov.au</w:t>
              </w:r>
            </w:hyperlink>
          </w:p>
        </w:tc>
      </w:tr>
    </w:tbl>
    <w:p w14:paraId="7FA3B6C9" w14:textId="77777777"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49897" w14:textId="77777777" w:rsidR="00713CB3" w:rsidRDefault="00713CB3" w:rsidP="00C40A36">
      <w:pPr>
        <w:spacing w:after="0"/>
      </w:pPr>
      <w:r>
        <w:separator/>
      </w:r>
    </w:p>
  </w:endnote>
  <w:endnote w:type="continuationSeparator" w:id="0">
    <w:p w14:paraId="37D7B44B" w14:textId="77777777" w:rsidR="00713CB3" w:rsidRDefault="00713CB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D4ED" w14:textId="77777777" w:rsidR="002F3E56" w:rsidRDefault="002F3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D2BEE" w:rsidRPr="00487162" w14:paraId="2087A57B" w14:textId="77777777" w:rsidTr="00DB750B">
      <w:trPr>
        <w:trHeight w:val="269"/>
      </w:trPr>
      <w:tc>
        <w:tcPr>
          <w:tcW w:w="7371" w:type="dxa"/>
          <w:tcMar>
            <w:top w:w="142" w:type="dxa"/>
            <w:bottom w:w="0" w:type="dxa"/>
          </w:tcMar>
        </w:tcPr>
        <w:p w14:paraId="0DCD82EA" w14:textId="1787A68E" w:rsidR="005D2BEE" w:rsidRPr="00487162" w:rsidRDefault="005D2BEE" w:rsidP="00D80105">
          <w:pPr>
            <w:pStyle w:val="Footer"/>
          </w:pPr>
          <w:proofErr w:type="spellStart"/>
          <w:r w:rsidRPr="00487162">
            <w:t>AusPA</w:t>
          </w:r>
          <w:r>
            <w:t>R</w:t>
          </w:r>
          <w:proofErr w:type="spellEnd"/>
          <w:r>
            <w:t xml:space="preserve"> - </w:t>
          </w:r>
          <w:proofErr w:type="spellStart"/>
          <w:r w:rsidRPr="008D0D20">
            <w:t>Trelegy</w:t>
          </w:r>
          <w:proofErr w:type="spellEnd"/>
          <w:r w:rsidRPr="008D0D20">
            <w:t xml:space="preserve"> Ellipta </w:t>
          </w:r>
          <w:r w:rsidRPr="00460036">
            <w:t xml:space="preserve">– </w:t>
          </w:r>
          <w:r w:rsidRPr="008D0D20">
            <w:t>fluticasone furoate</w:t>
          </w:r>
          <w:r>
            <w:t xml:space="preserve"> /</w:t>
          </w:r>
          <w:r w:rsidRPr="008D0D20">
            <w:t xml:space="preserve"> umeclidinium </w:t>
          </w:r>
          <w:r>
            <w:t>/</w:t>
          </w:r>
          <w:r w:rsidRPr="008D0D20">
            <w:t xml:space="preserve"> vilanterol</w:t>
          </w:r>
          <w:r>
            <w:t xml:space="preserve"> – </w:t>
          </w:r>
          <w:r w:rsidRPr="008D0D20">
            <w:t xml:space="preserve">GlaxoSmithKline Australia Pty Ltd </w:t>
          </w:r>
          <w:r>
            <w:t xml:space="preserve">- </w:t>
          </w:r>
          <w:r w:rsidRPr="008D0D20">
            <w:t>PM-2020-01842-1-5</w:t>
          </w:r>
          <w:r>
            <w:br/>
            <w:t>Final 8 September 2021</w:t>
          </w:r>
        </w:p>
      </w:tc>
      <w:tc>
        <w:tcPr>
          <w:tcW w:w="1490" w:type="dxa"/>
          <w:tcMar>
            <w:top w:w="142" w:type="dxa"/>
            <w:bottom w:w="0" w:type="dxa"/>
          </w:tcMar>
        </w:tcPr>
        <w:p w14:paraId="202402AF" w14:textId="6AD3642A" w:rsidR="005D2BEE" w:rsidRPr="00487162" w:rsidRDefault="005D2BEE" w:rsidP="00DB750B">
          <w:pPr>
            <w:pStyle w:val="Footer"/>
            <w:jc w:val="right"/>
          </w:pPr>
          <w:r w:rsidRPr="00487162">
            <w:t xml:space="preserve">Page </w:t>
          </w:r>
          <w:r>
            <w:fldChar w:fldCharType="begin"/>
          </w:r>
          <w:r>
            <w:instrText xml:space="preserve"> PAGE  \* Arabic </w:instrText>
          </w:r>
          <w:r>
            <w:fldChar w:fldCharType="separate"/>
          </w:r>
          <w:r>
            <w:rPr>
              <w:noProof/>
            </w:rPr>
            <w:t>26</w:t>
          </w:r>
          <w:r>
            <w:fldChar w:fldCharType="end"/>
          </w:r>
          <w:r w:rsidRPr="00487162">
            <w:t xml:space="preserve"> of </w:t>
          </w:r>
          <w:r w:rsidR="00A759BC">
            <w:fldChar w:fldCharType="begin"/>
          </w:r>
          <w:r w:rsidR="00A759BC">
            <w:instrText xml:space="preserve"> NUMPAGES  \* Arabic </w:instrText>
          </w:r>
          <w:r w:rsidR="00A759BC">
            <w:fldChar w:fldCharType="separate"/>
          </w:r>
          <w:r>
            <w:rPr>
              <w:noProof/>
            </w:rPr>
            <w:t>27</w:t>
          </w:r>
          <w:r w:rsidR="00A759BC">
            <w:rPr>
              <w:noProof/>
            </w:rPr>
            <w:fldChar w:fldCharType="end"/>
          </w:r>
        </w:p>
      </w:tc>
    </w:tr>
  </w:tbl>
  <w:p w14:paraId="0EE4121D" w14:textId="77777777" w:rsidR="005D2BEE" w:rsidRDefault="005D2BEE"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77B8" w14:textId="77777777" w:rsidR="002F3E56" w:rsidRDefault="002F3E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D2BEE" w:rsidRPr="00487162" w14:paraId="44333D54" w14:textId="77777777" w:rsidTr="00E45619">
      <w:trPr>
        <w:trHeight w:val="269"/>
      </w:trPr>
      <w:tc>
        <w:tcPr>
          <w:tcW w:w="4519" w:type="dxa"/>
          <w:tcBorders>
            <w:top w:val="single" w:sz="4" w:space="0" w:color="auto"/>
          </w:tcBorders>
          <w:tcMar>
            <w:top w:w="142" w:type="dxa"/>
            <w:bottom w:w="0" w:type="dxa"/>
          </w:tcMar>
        </w:tcPr>
        <w:p w14:paraId="769F9DEE" w14:textId="77777777" w:rsidR="005D2BEE" w:rsidRPr="00487162" w:rsidRDefault="005D2BEE" w:rsidP="00FE1DEE">
          <w:pPr>
            <w:pStyle w:val="Footer"/>
          </w:pPr>
          <w:r w:rsidRPr="00487162">
            <w:t>Document title, Part #, Section # - Section title</w:t>
          </w:r>
        </w:p>
        <w:p w14:paraId="647AB8FB" w14:textId="77777777" w:rsidR="005D2BEE" w:rsidRPr="00487162" w:rsidRDefault="005D2BEE" w:rsidP="00FE1DEE">
          <w:pPr>
            <w:pStyle w:val="Footer"/>
          </w:pPr>
          <w:r w:rsidRPr="00487162">
            <w:t>V1.0 October 2010</w:t>
          </w:r>
        </w:p>
      </w:tc>
      <w:tc>
        <w:tcPr>
          <w:tcW w:w="4342" w:type="dxa"/>
          <w:tcBorders>
            <w:top w:val="single" w:sz="4" w:space="0" w:color="auto"/>
          </w:tcBorders>
          <w:tcMar>
            <w:top w:w="142" w:type="dxa"/>
            <w:bottom w:w="0" w:type="dxa"/>
          </w:tcMar>
        </w:tcPr>
        <w:p w14:paraId="53176966" w14:textId="77777777" w:rsidR="005D2BEE" w:rsidRPr="00487162" w:rsidRDefault="005D2BE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A759BC">
            <w:fldChar w:fldCharType="begin"/>
          </w:r>
          <w:r w:rsidR="00A759BC">
            <w:instrText xml:space="preserve"> NUMPAGES  </w:instrText>
          </w:r>
          <w:r w:rsidR="00A759BC">
            <w:fldChar w:fldCharType="separate"/>
          </w:r>
          <w:r>
            <w:rPr>
              <w:noProof/>
            </w:rPr>
            <w:t>2</w:t>
          </w:r>
          <w:r w:rsidR="00A759BC">
            <w:rPr>
              <w:noProof/>
            </w:rPr>
            <w:fldChar w:fldCharType="end"/>
          </w:r>
        </w:p>
      </w:tc>
    </w:tr>
  </w:tbl>
  <w:p w14:paraId="7CC4A018" w14:textId="77777777" w:rsidR="005D2BEE" w:rsidRDefault="005D2B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28009" w14:textId="77777777" w:rsidR="005D2BEE" w:rsidRPr="001C32CD" w:rsidRDefault="005D2BEE"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D2BEE" w14:paraId="1A4749B3" w14:textId="77777777" w:rsidTr="0010601F">
      <w:trPr>
        <w:trHeight w:val="108"/>
      </w:trPr>
      <w:tc>
        <w:tcPr>
          <w:tcW w:w="8875" w:type="dxa"/>
          <w:gridSpan w:val="2"/>
          <w:tcBorders>
            <w:bottom w:val="single" w:sz="4" w:space="0" w:color="auto"/>
          </w:tcBorders>
          <w:tcMar>
            <w:right w:w="284" w:type="dxa"/>
          </w:tcMar>
        </w:tcPr>
        <w:p w14:paraId="5EDC250E" w14:textId="77777777" w:rsidR="005D2BEE" w:rsidRDefault="005D2BEE" w:rsidP="006E08B3">
          <w:pPr>
            <w:pStyle w:val="Heading3"/>
          </w:pPr>
          <w:r>
            <w:t>Copyright</w:t>
          </w:r>
        </w:p>
        <w:p w14:paraId="3E867C5A" w14:textId="77777777" w:rsidR="005D2BEE" w:rsidRDefault="005D2BEE" w:rsidP="006E08B3">
          <w:r>
            <w:rPr>
              <w:rFonts w:cs="Arial"/>
            </w:rPr>
            <w:t>©</w:t>
          </w:r>
          <w:r>
            <w:t xml:space="preserve"> Commonwealth of Australia [add year]</w:t>
          </w:r>
        </w:p>
        <w:p w14:paraId="485D629C" w14:textId="77777777" w:rsidR="005D2BEE" w:rsidRDefault="005D2BEE" w:rsidP="006E08B3"/>
        <w:p w14:paraId="419CD350" w14:textId="77777777" w:rsidR="005D2BEE" w:rsidRDefault="005D2BE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38637955" w14:textId="77777777" w:rsidR="005D2BEE" w:rsidRDefault="005D2BEE" w:rsidP="006E08B3"/>
        <w:p w14:paraId="5B32807A" w14:textId="77777777" w:rsidR="005D2BEE" w:rsidRDefault="005D2BEE" w:rsidP="006E08B3">
          <w:pPr>
            <w:pStyle w:val="Heading3"/>
          </w:pPr>
          <w:r>
            <w:t>Confidentiality</w:t>
          </w:r>
        </w:p>
        <w:p w14:paraId="3B77B6EA" w14:textId="77777777" w:rsidR="005D2BEE" w:rsidRDefault="005D2BE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AB10CBD" w14:textId="77777777" w:rsidR="005D2BEE" w:rsidRDefault="005D2BEE" w:rsidP="006E08B3"/>
        <w:p w14:paraId="7542B7C7" w14:textId="77777777" w:rsidR="005D2BEE" w:rsidRDefault="005D2BEE" w:rsidP="006E08B3">
          <w:r>
            <w:t>For submission made by individuals, all personal details, other than your name, will be removed from your submission before it is published on the TGA’s Internet site.</w:t>
          </w:r>
        </w:p>
        <w:p w14:paraId="1B9136B8" w14:textId="77777777" w:rsidR="005D2BEE" w:rsidRDefault="005D2BEE" w:rsidP="006E08B3"/>
        <w:p w14:paraId="2CECFA33" w14:textId="77777777" w:rsidR="005D2BEE" w:rsidRDefault="005D2BE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D2BEE" w14:paraId="02B7DD9A" w14:textId="77777777" w:rsidTr="0010601F">
      <w:trPr>
        <w:trHeight w:val="417"/>
      </w:trPr>
      <w:tc>
        <w:tcPr>
          <w:tcW w:w="4519" w:type="dxa"/>
          <w:tcBorders>
            <w:top w:val="single" w:sz="4" w:space="0" w:color="auto"/>
          </w:tcBorders>
          <w:tcMar>
            <w:top w:w="142" w:type="dxa"/>
            <w:bottom w:w="0" w:type="dxa"/>
          </w:tcMar>
        </w:tcPr>
        <w:p w14:paraId="3BE32355" w14:textId="77777777" w:rsidR="005D2BEE" w:rsidRDefault="005D2BEE" w:rsidP="006E08B3">
          <w:r>
            <w:t>Document title, Part #, Section # - Section title</w:t>
          </w:r>
        </w:p>
        <w:p w14:paraId="13CF3C6A" w14:textId="77777777" w:rsidR="005D2BEE" w:rsidRDefault="005D2BEE" w:rsidP="006E08B3">
          <w:r>
            <w:t>V1.0 October 2010</w:t>
          </w:r>
        </w:p>
      </w:tc>
      <w:tc>
        <w:tcPr>
          <w:tcW w:w="4356" w:type="dxa"/>
          <w:tcBorders>
            <w:top w:val="single" w:sz="4" w:space="0" w:color="auto"/>
          </w:tcBorders>
          <w:tcMar>
            <w:top w:w="142" w:type="dxa"/>
            <w:bottom w:w="0" w:type="dxa"/>
          </w:tcMar>
        </w:tcPr>
        <w:p w14:paraId="104D5B65" w14:textId="77777777" w:rsidR="005D2BEE" w:rsidRDefault="005D2BE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A759BC">
            <w:fldChar w:fldCharType="begin"/>
          </w:r>
          <w:r w:rsidR="00A759BC">
            <w:instrText xml:space="preserve"> NUMPAGES  \* Arabic </w:instrText>
          </w:r>
          <w:r w:rsidR="00A759BC">
            <w:fldChar w:fldCharType="separate"/>
          </w:r>
          <w:r>
            <w:rPr>
              <w:noProof/>
            </w:rPr>
            <w:t>2</w:t>
          </w:r>
          <w:r w:rsidR="00A759BC">
            <w:rPr>
              <w:noProof/>
            </w:rPr>
            <w:fldChar w:fldCharType="end"/>
          </w:r>
          <w:r>
            <w:t xml:space="preserve">  </w:t>
          </w:r>
        </w:p>
      </w:tc>
    </w:tr>
  </w:tbl>
  <w:p w14:paraId="62BD215A" w14:textId="77777777" w:rsidR="005D2BEE" w:rsidRDefault="005D2B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95BAC" w14:textId="77777777" w:rsidR="00713CB3" w:rsidRDefault="00713CB3" w:rsidP="00C40A36">
      <w:pPr>
        <w:spacing w:after="0"/>
      </w:pPr>
      <w:r>
        <w:separator/>
      </w:r>
    </w:p>
  </w:footnote>
  <w:footnote w:type="continuationSeparator" w:id="0">
    <w:p w14:paraId="739B99BC" w14:textId="77777777" w:rsidR="00713CB3" w:rsidRDefault="00713CB3" w:rsidP="00C40A36">
      <w:pPr>
        <w:spacing w:after="0"/>
      </w:pPr>
      <w:r>
        <w:continuationSeparator/>
      </w:r>
    </w:p>
  </w:footnote>
  <w:footnote w:id="1">
    <w:p w14:paraId="12A6B819" w14:textId="77777777" w:rsidR="005D2BEE" w:rsidRDefault="005D2BEE">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4728CF13" w14:textId="19B29A9F" w:rsidR="005D2BEE" w:rsidRDefault="005D2BEE">
      <w:pPr>
        <w:pStyle w:val="FootnoteText"/>
      </w:pPr>
      <w:r>
        <w:rPr>
          <w:rStyle w:val="FootnoteReference"/>
        </w:rPr>
        <w:footnoteRef/>
      </w:r>
      <w:r>
        <w:t xml:space="preserve"> </w:t>
      </w:r>
      <w:r w:rsidRPr="00FF23D3">
        <w:t>National</w:t>
      </w:r>
      <w:r>
        <w:t xml:space="preserve"> </w:t>
      </w:r>
      <w:r w:rsidRPr="00FF23D3">
        <w:t>Asthma</w:t>
      </w:r>
      <w:r>
        <w:t xml:space="preserve"> Council. </w:t>
      </w:r>
      <w:r w:rsidRPr="00FF23D3">
        <w:t xml:space="preserve">Ninety </w:t>
      </w:r>
      <w:r>
        <w:t>p</w:t>
      </w:r>
      <w:r w:rsidRPr="00FF23D3">
        <w:t>er</w:t>
      </w:r>
      <w:r>
        <w:t>cent o</w:t>
      </w:r>
      <w:r w:rsidRPr="00FF23D3">
        <w:t xml:space="preserve">f Australians </w:t>
      </w:r>
      <w:r>
        <w:t>w</w:t>
      </w:r>
      <w:r w:rsidRPr="00FF23D3">
        <w:t>ith Asthma Use Their Inhalers Incorrectly</w:t>
      </w:r>
      <w:r>
        <w:t xml:space="preserve">, </w:t>
      </w:r>
      <w:r w:rsidRPr="009F5847">
        <w:t>2016</w:t>
      </w:r>
      <w:r>
        <w:t xml:space="preserve">. Available from </w:t>
      </w:r>
      <w:r w:rsidRPr="009F5847">
        <w:t>National Asthma Council</w:t>
      </w:r>
      <w:r>
        <w:t xml:space="preserve"> website </w:t>
      </w:r>
      <w:r w:rsidRPr="009F5847">
        <w:t xml:space="preserve">(Accessed on </w:t>
      </w:r>
      <w:r>
        <w:t>11 June 2021</w:t>
      </w:r>
      <w:r w:rsidRPr="009F5847">
        <w:t>).</w:t>
      </w:r>
    </w:p>
  </w:footnote>
  <w:footnote w:id="3">
    <w:p w14:paraId="4306D77B" w14:textId="268066DE" w:rsidR="005D2BEE" w:rsidRDefault="005D2BEE">
      <w:pPr>
        <w:pStyle w:val="FootnoteText"/>
      </w:pPr>
      <w:r>
        <w:rPr>
          <w:rStyle w:val="FootnoteReference"/>
        </w:rPr>
        <w:footnoteRef/>
      </w:r>
      <w:r>
        <w:t xml:space="preserve"> </w:t>
      </w:r>
      <w:r w:rsidRPr="006D243F">
        <w:t>Global Initiative in Asthma. Global Strategy for Asthma Management and Prevention, 2020.</w:t>
      </w:r>
    </w:p>
  </w:footnote>
  <w:footnote w:id="4">
    <w:p w14:paraId="374974AA" w14:textId="77DF6998" w:rsidR="005D2BEE" w:rsidRDefault="005D2BEE">
      <w:pPr>
        <w:pStyle w:val="FootnoteText"/>
      </w:pPr>
      <w:r>
        <w:rPr>
          <w:rStyle w:val="FootnoteReference"/>
        </w:rPr>
        <w:footnoteRef/>
      </w:r>
      <w:r>
        <w:t xml:space="preserve"> Asthma Australia. </w:t>
      </w:r>
      <w:r w:rsidRPr="009F5847">
        <w:t xml:space="preserve">Asthma Statistics </w:t>
      </w:r>
      <w:r>
        <w:t>and</w:t>
      </w:r>
      <w:r w:rsidRPr="009F5847">
        <w:t xml:space="preserve"> Facts</w:t>
      </w:r>
      <w:r>
        <w:t xml:space="preserve">. </w:t>
      </w:r>
      <w:r w:rsidRPr="009F5847">
        <w:t xml:space="preserve">Available from </w:t>
      </w:r>
      <w:r>
        <w:t>Asthma Australia</w:t>
      </w:r>
      <w:r w:rsidRPr="009F5847">
        <w:t xml:space="preserve"> website</w:t>
      </w:r>
      <w:r>
        <w:t xml:space="preserve"> at </w:t>
      </w:r>
      <w:r w:rsidRPr="00B45D0F">
        <w:t>https://asthma.org.au/about-asthma/understanding-asthma/statistics/</w:t>
      </w:r>
      <w:r>
        <w:t>.</w:t>
      </w:r>
    </w:p>
  </w:footnote>
  <w:footnote w:id="5">
    <w:p w14:paraId="661ED88B" w14:textId="16BD102D" w:rsidR="005D2BEE" w:rsidRDefault="005D2BEE">
      <w:pPr>
        <w:pStyle w:val="FootnoteText"/>
      </w:pPr>
      <w:r>
        <w:rPr>
          <w:rStyle w:val="FootnoteReference"/>
        </w:rPr>
        <w:footnoteRef/>
      </w:r>
      <w:r>
        <w:t xml:space="preserve"> </w:t>
      </w:r>
      <w:r w:rsidRPr="00642B54">
        <w:t>Global Initiative for Asthma. Global Strategy for Asthma Management and Prevention, 2018.</w:t>
      </w:r>
      <w:r>
        <w:t xml:space="preserve"> Available at </w:t>
      </w:r>
      <w:r w:rsidRPr="00B45D0F">
        <w:t>https://ginasthma.org/wp-content/uploads/2018/04/wms-GINA-2018-report-V1.3-002.pdf</w:t>
      </w:r>
    </w:p>
  </w:footnote>
  <w:footnote w:id="6">
    <w:p w14:paraId="251AEAE6" w14:textId="1286A63C" w:rsidR="005D2BEE" w:rsidRDefault="005D2BEE">
      <w:pPr>
        <w:pStyle w:val="FootnoteText"/>
      </w:pPr>
      <w:r>
        <w:rPr>
          <w:rStyle w:val="FootnoteReference"/>
        </w:rPr>
        <w:footnoteRef/>
      </w:r>
      <w:r>
        <w:t xml:space="preserve"> </w:t>
      </w:r>
      <w:r w:rsidRPr="00632317">
        <w:t>Bernstein</w:t>
      </w:r>
      <w:r>
        <w:t>,</w:t>
      </w:r>
      <w:r w:rsidRPr="00632317">
        <w:t xml:space="preserve"> D</w:t>
      </w:r>
      <w:r>
        <w:t xml:space="preserve">. </w:t>
      </w:r>
      <w:r w:rsidRPr="00632317">
        <w:t>I</w:t>
      </w:r>
      <w:r>
        <w:t>. et al.</w:t>
      </w:r>
      <w:r w:rsidRPr="00632317">
        <w:t xml:space="preserve"> Fluticasone furoate (FF)/vilanterol (100/25 mcg or 200/25 mcg) or FF</w:t>
      </w:r>
      <w:r>
        <w:t xml:space="preserve"> (100 mcg) in persistent asthma,</w:t>
      </w:r>
      <w:r w:rsidRPr="00632317">
        <w:t xml:space="preserve"> </w:t>
      </w:r>
      <w:r w:rsidRPr="00632317">
        <w:rPr>
          <w:i/>
        </w:rPr>
        <w:t>J Asthma</w:t>
      </w:r>
      <w:r>
        <w:t>,</w:t>
      </w:r>
      <w:r w:rsidRPr="00632317">
        <w:t xml:space="preserve"> 2015;</w:t>
      </w:r>
      <w:r>
        <w:t xml:space="preserve"> </w:t>
      </w:r>
      <w:r w:rsidRPr="00632317">
        <w:t>52(10):</w:t>
      </w:r>
      <w:r>
        <w:t xml:space="preserve"> </w:t>
      </w:r>
      <w:r w:rsidRPr="00632317">
        <w:t>1073-</w:t>
      </w:r>
      <w:r>
        <w:t>10</w:t>
      </w:r>
      <w:r w:rsidRPr="00632317">
        <w:t>83.</w:t>
      </w:r>
    </w:p>
  </w:footnote>
  <w:footnote w:id="7">
    <w:p w14:paraId="20F14BFC" w14:textId="0C1D86FA" w:rsidR="005D2BEE" w:rsidRDefault="005D2BEE" w:rsidP="00D53EA3">
      <w:pPr>
        <w:pStyle w:val="FootnoteText"/>
      </w:pPr>
      <w:r>
        <w:rPr>
          <w:rStyle w:val="FootnoteReference"/>
        </w:rPr>
        <w:footnoteRef/>
      </w:r>
      <w:r>
        <w:t xml:space="preserve"> ARTG record </w:t>
      </w:r>
      <w:r w:rsidRPr="00D53EA3">
        <w:t>335858</w:t>
      </w:r>
      <w:r>
        <w:t xml:space="preserve"> is associated to an application of major variation (</w:t>
      </w:r>
      <w:r w:rsidRPr="00512FC8">
        <w:t>new strength</w:t>
      </w:r>
      <w:r>
        <w:t>) which has been concurrently submitted to the TGA with an e</w:t>
      </w:r>
      <w:r w:rsidRPr="00512FC8">
        <w:t>xtension of indications</w:t>
      </w:r>
      <w:r>
        <w:t xml:space="preserve"> for </w:t>
      </w:r>
      <w:proofErr w:type="spellStart"/>
      <w:r>
        <w:t>Trelegy</w:t>
      </w:r>
      <w:proofErr w:type="spellEnd"/>
      <w:r>
        <w:t xml:space="preserve"> Ellipta. The major variation (</w:t>
      </w:r>
      <w:r w:rsidRPr="00512FC8">
        <w:t>new strength</w:t>
      </w:r>
      <w:r>
        <w:t>) is beyond the scope of this AusPAR.</w:t>
      </w:r>
    </w:p>
  </w:footnote>
  <w:footnote w:id="8">
    <w:p w14:paraId="63FCBF29" w14:textId="77777777" w:rsidR="005D2BEE" w:rsidRDefault="005D2BEE" w:rsidP="00BF4A92">
      <w:pPr>
        <w:pStyle w:val="FootnoteText"/>
      </w:pPr>
      <w:r>
        <w:rPr>
          <w:rStyle w:val="FootnoteReference"/>
        </w:rPr>
        <w:footnoteRef/>
      </w:r>
      <w:r>
        <w:t xml:space="preserve"> The European Medicines Agency has recommended the refusal of a change to the marketing authorisation for </w:t>
      </w:r>
      <w:proofErr w:type="spellStart"/>
      <w:r>
        <w:t>Trelegy</w:t>
      </w:r>
      <w:proofErr w:type="spellEnd"/>
      <w:r>
        <w:t xml:space="preserve"> Ellipta. The change concerned an extension of indication to add treatment of patients with asthma. </w:t>
      </w:r>
    </w:p>
    <w:p w14:paraId="723E8612" w14:textId="45645510" w:rsidR="005D2BEE" w:rsidRDefault="005D2BEE" w:rsidP="00BF4A92">
      <w:pPr>
        <w:pStyle w:val="FootnoteText"/>
      </w:pPr>
      <w:r>
        <w:t>The Agency issued this opinion on 25 February 2021. The sponsor that applied for the change to the authorisation, may ask for re-examination of the opinion within 15 days of receiving the opinion.</w:t>
      </w:r>
    </w:p>
  </w:footnote>
  <w:footnote w:id="9">
    <w:p w14:paraId="1297C52A" w14:textId="5C8CB5B6" w:rsidR="005D2BEE" w:rsidRPr="002A457B" w:rsidRDefault="005D2BEE" w:rsidP="002A457B">
      <w:pPr>
        <w:spacing w:before="0" w:after="0" w:line="240" w:lineRule="auto"/>
        <w:rPr>
          <w:rFonts w:eastAsia="Times New Roman" w:cs="Calibri"/>
          <w:color w:val="000000"/>
          <w:sz w:val="18"/>
          <w:szCs w:val="18"/>
          <w:lang w:eastAsia="en-AU"/>
        </w:rPr>
      </w:pPr>
      <w:r>
        <w:rPr>
          <w:rStyle w:val="FootnoteReference"/>
        </w:rPr>
        <w:footnoteRef/>
      </w:r>
      <w:r>
        <w:t xml:space="preserve"> </w:t>
      </w:r>
      <w:r w:rsidRPr="002A457B">
        <w:rPr>
          <w:rFonts w:eastAsia="Times New Roman" w:cs="Calibri"/>
          <w:b/>
          <w:bCs/>
          <w:color w:val="000000"/>
          <w:sz w:val="18"/>
          <w:szCs w:val="18"/>
          <w:lang w:eastAsia="en-AU"/>
        </w:rPr>
        <w:t>TGO 91</w:t>
      </w:r>
      <w:r w:rsidRPr="002A457B">
        <w:rPr>
          <w:rFonts w:eastAsia="Times New Roman" w:cs="Calibri"/>
          <w:color w:val="000000"/>
          <w:sz w:val="18"/>
          <w:szCs w:val="18"/>
          <w:lang w:eastAsia="en-AU"/>
        </w:rPr>
        <w:t xml:space="preserve">: Therapeutic Goods Order 91; Standards required for labels of prescription and related medicines; made under Section 10 of the Therapeutic Goods Act (1989).This Order sets out what kinds of information are required to be included on the label of prescription and other related medicines. For further information, visit the TGA website: </w:t>
      </w:r>
      <w:r w:rsidRPr="002A457B">
        <w:rPr>
          <w:rFonts w:eastAsia="Times New Roman" w:cs="Calibri"/>
          <w:color w:val="000000"/>
          <w:sz w:val="18"/>
          <w:szCs w:val="18"/>
          <w:u w:val="single"/>
          <w:lang w:eastAsia="en-AU"/>
        </w:rPr>
        <w:t>https://www.tga.gov.au/therapeutic-goods-orders</w:t>
      </w:r>
      <w:r w:rsidRPr="002A457B">
        <w:rPr>
          <w:rFonts w:eastAsia="Times New Roman" w:cs="Calibri"/>
          <w:color w:val="000000"/>
          <w:sz w:val="18"/>
          <w:szCs w:val="18"/>
          <w:lang w:eastAsia="en-AU"/>
        </w:rPr>
        <w:t>.</w:t>
      </w:r>
    </w:p>
  </w:footnote>
  <w:footnote w:id="10">
    <w:p w14:paraId="72BE456E" w14:textId="24C797DE" w:rsidR="005D2BEE" w:rsidRDefault="005D2BEE">
      <w:pPr>
        <w:pStyle w:val="FootnoteText"/>
      </w:pPr>
      <w:r>
        <w:rPr>
          <w:rStyle w:val="FootnoteReference"/>
        </w:rPr>
        <w:footnoteRef/>
      </w:r>
      <w:r>
        <w:t xml:space="preserve"> </w:t>
      </w:r>
      <w:proofErr w:type="spellStart"/>
      <w:r w:rsidRPr="007A4839">
        <w:t>Arnuity</w:t>
      </w:r>
      <w:proofErr w:type="spellEnd"/>
      <w:r w:rsidRPr="007A4839">
        <w:t xml:space="preserve"> Ellipta</w:t>
      </w:r>
      <w:r w:rsidRPr="00D30247">
        <w:t xml:space="preserve"> </w:t>
      </w:r>
      <w:r>
        <w:t xml:space="preserve">was first registered on the ARTG on </w:t>
      </w:r>
      <w:r w:rsidRPr="00A04D81">
        <w:t>11</w:t>
      </w:r>
      <w:r>
        <w:t xml:space="preserve"> September </w:t>
      </w:r>
      <w:r w:rsidRPr="00A04D81">
        <w:t xml:space="preserve">2015 </w:t>
      </w:r>
      <w:r>
        <w:t xml:space="preserve">(ARTG number: </w:t>
      </w:r>
      <w:r w:rsidRPr="00A04D81">
        <w:t>231095</w:t>
      </w:r>
      <w:r>
        <w:t>).</w:t>
      </w:r>
    </w:p>
  </w:footnote>
  <w:footnote w:id="11">
    <w:p w14:paraId="37DC8C09" w14:textId="3B9E2E30" w:rsidR="005D2BEE" w:rsidRDefault="005D2BEE">
      <w:pPr>
        <w:pStyle w:val="FootnoteText"/>
      </w:pPr>
      <w:r>
        <w:rPr>
          <w:rStyle w:val="FootnoteReference"/>
        </w:rPr>
        <w:footnoteRef/>
      </w:r>
      <w:r>
        <w:t xml:space="preserve"> </w:t>
      </w:r>
      <w:proofErr w:type="spellStart"/>
      <w:r w:rsidRPr="00A04D81">
        <w:t>Breo</w:t>
      </w:r>
      <w:proofErr w:type="spellEnd"/>
      <w:r w:rsidRPr="00A04D81">
        <w:t xml:space="preserve"> Ellipta</w:t>
      </w:r>
      <w:r>
        <w:t xml:space="preserve"> was first registered on the ARTG on </w:t>
      </w:r>
      <w:r w:rsidRPr="00A04D81">
        <w:t>17</w:t>
      </w:r>
      <w:r>
        <w:t xml:space="preserve"> April </w:t>
      </w:r>
      <w:r w:rsidRPr="00A04D81">
        <w:t xml:space="preserve">2014 </w:t>
      </w:r>
      <w:r>
        <w:t xml:space="preserve">(ARTG number: </w:t>
      </w:r>
      <w:r w:rsidRPr="00A04D81">
        <w:t>199747</w:t>
      </w:r>
      <w:r>
        <w:t>).</w:t>
      </w:r>
    </w:p>
  </w:footnote>
  <w:footnote w:id="12">
    <w:p w14:paraId="6852DA31" w14:textId="492032BA" w:rsidR="005D2BEE" w:rsidRPr="00C5781A" w:rsidRDefault="005D2BEE">
      <w:pPr>
        <w:pStyle w:val="FootnoteText"/>
        <w:rPr>
          <w:lang w:val="en-US"/>
        </w:rPr>
      </w:pPr>
      <w:r>
        <w:rPr>
          <w:rStyle w:val="FootnoteReference"/>
        </w:rPr>
        <w:footnoteRef/>
      </w:r>
      <w:r>
        <w:t xml:space="preserve"> </w:t>
      </w:r>
      <w:r>
        <w:rPr>
          <w:lang w:val="en-US"/>
        </w:rPr>
        <w:t>The ACQ-7 is a</w:t>
      </w:r>
      <w:r w:rsidRPr="00520E1D">
        <w:rPr>
          <w:lang w:val="en-US"/>
        </w:rPr>
        <w:t xml:space="preserve"> </w:t>
      </w:r>
      <w:r>
        <w:rPr>
          <w:lang w:val="en-US"/>
        </w:rPr>
        <w:t xml:space="preserve">validated </w:t>
      </w:r>
      <w:r w:rsidRPr="00520E1D">
        <w:rPr>
          <w:lang w:val="en-US"/>
        </w:rPr>
        <w:t xml:space="preserve">questionnaire to measure the adequacy of asthma control and change in asthma control which occurs either spontaneously or </w:t>
      </w:r>
      <w:proofErr w:type="gramStart"/>
      <w:r w:rsidRPr="00520E1D">
        <w:rPr>
          <w:lang w:val="en-US"/>
        </w:rPr>
        <w:t>as a result of</w:t>
      </w:r>
      <w:proofErr w:type="gramEnd"/>
      <w:r w:rsidRPr="00520E1D">
        <w:rPr>
          <w:lang w:val="en-US"/>
        </w:rPr>
        <w:t xml:space="preserve"> treatment.</w:t>
      </w:r>
      <w:r>
        <w:rPr>
          <w:lang w:val="en-US"/>
        </w:rPr>
        <w:t xml:space="preserve"> It is comprised of 7 </w:t>
      </w:r>
      <w:proofErr w:type="gramStart"/>
      <w:r>
        <w:rPr>
          <w:lang w:val="en-US"/>
        </w:rPr>
        <w:t>items;</w:t>
      </w:r>
      <w:proofErr w:type="gramEnd"/>
      <w:r>
        <w:rPr>
          <w:lang w:val="en-US"/>
        </w:rPr>
        <w:t xml:space="preserve"> with a </w:t>
      </w:r>
      <w:r w:rsidRPr="00520E1D">
        <w:rPr>
          <w:lang w:val="en-US"/>
        </w:rPr>
        <w:t>1 week recall (for items on symptoms and rescue inhaler use)</w:t>
      </w:r>
      <w:r>
        <w:rPr>
          <w:lang w:val="en-US"/>
        </w:rPr>
        <w:t xml:space="preserve">. The </w:t>
      </w:r>
      <w:r w:rsidRPr="009F2B69">
        <w:rPr>
          <w:lang w:val="en-US"/>
        </w:rPr>
        <w:t>ACQ has a multidimensional constru</w:t>
      </w:r>
      <w:r>
        <w:rPr>
          <w:lang w:val="en-US"/>
        </w:rPr>
        <w:t xml:space="preserve">ct assessing symptoms (5 items: </w:t>
      </w:r>
      <w:r w:rsidRPr="009F2B69">
        <w:rPr>
          <w:lang w:val="en-US"/>
        </w:rPr>
        <w:t>self-administered) and rescue in</w:t>
      </w:r>
      <w:r>
        <w:rPr>
          <w:lang w:val="en-US"/>
        </w:rPr>
        <w:t xml:space="preserve"> bronchodilator use (1 item: </w:t>
      </w:r>
      <w:r w:rsidRPr="009F2B69">
        <w:rPr>
          <w:lang w:val="en-US"/>
        </w:rPr>
        <w:t>s</w:t>
      </w:r>
      <w:r>
        <w:rPr>
          <w:lang w:val="en-US"/>
        </w:rPr>
        <w:t xml:space="preserve">elf-administered), and FEV1% (1 </w:t>
      </w:r>
      <w:r w:rsidRPr="009F2B69">
        <w:rPr>
          <w:lang w:val="en-US"/>
        </w:rPr>
        <w:t>item) completed by clinic staff</w:t>
      </w:r>
      <w:r>
        <w:rPr>
          <w:lang w:val="en-US"/>
        </w:rPr>
        <w:t xml:space="preserve">. The scaling of items is on a </w:t>
      </w:r>
      <w:r w:rsidRPr="009F2B69">
        <w:rPr>
          <w:lang w:val="en-US"/>
        </w:rPr>
        <w:t>7-point scale (0</w:t>
      </w:r>
      <w:r>
        <w:rPr>
          <w:lang w:val="en-US"/>
        </w:rPr>
        <w:t xml:space="preserve"> </w:t>
      </w:r>
      <w:r w:rsidRPr="009F2B69">
        <w:rPr>
          <w:lang w:val="en-US"/>
        </w:rPr>
        <w:t>=</w:t>
      </w:r>
      <w:r>
        <w:rPr>
          <w:lang w:val="en-US"/>
        </w:rPr>
        <w:t xml:space="preserve"> </w:t>
      </w:r>
      <w:r w:rsidRPr="009F2B69">
        <w:rPr>
          <w:lang w:val="en-US"/>
        </w:rPr>
        <w:t>no impairment, 6</w:t>
      </w:r>
      <w:r>
        <w:rPr>
          <w:lang w:val="en-US"/>
        </w:rPr>
        <w:t> = </w:t>
      </w:r>
      <w:r w:rsidRPr="009F2B69">
        <w:rPr>
          <w:lang w:val="en-US"/>
        </w:rPr>
        <w:t>maximum impairment for symptoms and rescue use; and 7 categories for FEV1%)</w:t>
      </w:r>
      <w:r>
        <w:rPr>
          <w:lang w:val="en-US"/>
        </w:rPr>
        <w:t xml:space="preserve"> with</w:t>
      </w:r>
      <w:r w:rsidRPr="009F2B69">
        <w:t xml:space="preserve"> </w:t>
      </w:r>
      <w:r>
        <w:rPr>
          <w:lang w:val="en-US"/>
        </w:rPr>
        <w:t>scores ranging</w:t>
      </w:r>
      <w:r w:rsidRPr="009F2B69">
        <w:rPr>
          <w:lang w:val="en-US"/>
        </w:rPr>
        <w:t xml:space="preserve"> between 0 (totally controlled) and 6 (severely uncontrolled).</w:t>
      </w:r>
    </w:p>
  </w:footnote>
  <w:footnote w:id="13">
    <w:p w14:paraId="7187A145" w14:textId="687FF26B" w:rsidR="005D2BEE" w:rsidRPr="00C5781A" w:rsidRDefault="005D2BEE">
      <w:pPr>
        <w:pStyle w:val="FootnoteText"/>
        <w:rPr>
          <w:lang w:val="en-US"/>
        </w:rPr>
      </w:pPr>
      <w:r>
        <w:rPr>
          <w:rStyle w:val="FootnoteReference"/>
        </w:rPr>
        <w:footnoteRef/>
      </w:r>
      <w:r>
        <w:t xml:space="preserve"> </w:t>
      </w:r>
      <w:r>
        <w:rPr>
          <w:lang w:val="en-US"/>
        </w:rPr>
        <w:t>The Saint George’s Respiratory Questionnaire (SGRQ) is a validated, self-reported disease-specific, health-related quality of life (QOL) questionnaire. Originally intended to measure the impact of COPD on an individual’s wellbeing, it has been studied and applied to respiratory conditions beyond COPD.</w:t>
      </w:r>
    </w:p>
  </w:footnote>
  <w:footnote w:id="14">
    <w:p w14:paraId="0DB41E56" w14:textId="7C725214" w:rsidR="005D2BEE" w:rsidRDefault="005D2BEE">
      <w:pPr>
        <w:pStyle w:val="FootnoteText"/>
      </w:pPr>
      <w:r>
        <w:rPr>
          <w:rStyle w:val="FootnoteReference"/>
        </w:rPr>
        <w:footnoteRef/>
      </w:r>
      <w:r>
        <w:t xml:space="preserve"> </w:t>
      </w:r>
      <w:r w:rsidRPr="00BE5700">
        <w:t>National Institute of Health, 28 August 2007. Expert Panel Report 3: Guidelines for the Diagnosis and Management of Asthma 2007.</w:t>
      </w:r>
    </w:p>
  </w:footnote>
  <w:footnote w:id="15">
    <w:p w14:paraId="77C1C2D7" w14:textId="1DF27861" w:rsidR="005D2BEE" w:rsidRDefault="005D2BEE">
      <w:pPr>
        <w:pStyle w:val="FootnoteText"/>
      </w:pPr>
      <w:r>
        <w:rPr>
          <w:rStyle w:val="FootnoteReference"/>
        </w:rPr>
        <w:footnoteRef/>
      </w:r>
      <w:r>
        <w:t xml:space="preserve"> </w:t>
      </w:r>
      <w:r w:rsidRPr="00297DC6">
        <w:t xml:space="preserve">Randomised clinical trials analysed by the </w:t>
      </w:r>
      <w:r w:rsidRPr="00297DC6">
        <w:rPr>
          <w:b/>
        </w:rPr>
        <w:t>intent-to-treat (ITT)</w:t>
      </w:r>
      <w:r w:rsidRPr="00297DC6">
        <w:t xml:space="preserve"> approach provide the unbiased comparisons among the treatment groups. In the ITT population, none of the patients are excluded and the patients are analysed according to the randomisation scheme.</w:t>
      </w:r>
    </w:p>
  </w:footnote>
  <w:footnote w:id="16">
    <w:p w14:paraId="1384C102" w14:textId="42F19BF9" w:rsidR="005D2BEE" w:rsidRDefault="005D2BEE" w:rsidP="00297DC6">
      <w:pPr>
        <w:pStyle w:val="FootnoteText"/>
      </w:pPr>
      <w:r>
        <w:rPr>
          <w:rStyle w:val="FootnoteReference"/>
        </w:rPr>
        <w:footnoteRef/>
      </w:r>
      <w:r>
        <w:t xml:space="preserve"> The QT interval is the time from the start of the QRS wave complex to the end of the corresponding T wave. It approximates to the time taken for ventricular depolarisation and repolarisation, that is to say, the period of ventricular systole from ventricular isovolumetric contraction to isovolumetric relaxation.</w:t>
      </w:r>
    </w:p>
  </w:footnote>
  <w:footnote w:id="17">
    <w:p w14:paraId="353CF9B2" w14:textId="263C5F28" w:rsidR="005D2BEE" w:rsidRDefault="005D2BEE">
      <w:pPr>
        <w:pStyle w:val="FootnoteText"/>
      </w:pPr>
      <w:r>
        <w:rPr>
          <w:rStyle w:val="FootnoteReference"/>
        </w:rPr>
        <w:footnoteRef/>
      </w:r>
      <w:r>
        <w:t xml:space="preserve"> </w:t>
      </w:r>
      <w:r w:rsidRPr="00297DC6">
        <w:t xml:space="preserve">The corrected QT interval (QTc) estimates the QT interval at a standard heart rate. This allows comparison of QT values over time at different heart rates and improves detection of patients at increased risk of arrhythmias. The </w:t>
      </w:r>
      <w:proofErr w:type="spellStart"/>
      <w:r w:rsidRPr="00297DC6">
        <w:t>QTcF</w:t>
      </w:r>
      <w:proofErr w:type="spellEnd"/>
      <w:r w:rsidRPr="00297DC6">
        <w:t xml:space="preserve"> is the QT interval corrected for heart rate according to Fridericia’s formula.</w:t>
      </w:r>
    </w:p>
  </w:footnote>
  <w:footnote w:id="18">
    <w:p w14:paraId="63AA5C3E" w14:textId="77777777" w:rsidR="005D2BEE" w:rsidRDefault="005D2BEE">
      <w:pPr>
        <w:pStyle w:val="FootnoteText"/>
      </w:pPr>
      <w:r>
        <w:rPr>
          <w:rStyle w:val="FootnoteReference"/>
        </w:rPr>
        <w:footnoteRef/>
      </w:r>
      <w:r>
        <w:t xml:space="preserve"> </w:t>
      </w:r>
      <w:r w:rsidRPr="007D53B6">
        <w:t>The sponsor must still comply with routine product vigilance and risk minimisation requirements.</w:t>
      </w:r>
    </w:p>
  </w:footnote>
  <w:footnote w:id="19">
    <w:p w14:paraId="19A1B288" w14:textId="77777777" w:rsidR="005D2BEE" w:rsidRDefault="005D2BEE"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B4AD67B" w14:textId="77777777" w:rsidR="005D2BEE" w:rsidRPr="00456765" w:rsidRDefault="005D2BEE"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xml:space="preserve">. ACM encompass </w:t>
      </w:r>
      <w:proofErr w:type="gramStart"/>
      <w:r>
        <w:t>pre</w:t>
      </w:r>
      <w:proofErr w:type="gramEnd"/>
      <w:r>
        <w:t xml:space="preserv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w:t>
      </w:r>
      <w:proofErr w:type="gramStart"/>
      <w:r>
        <w:t>medical</w:t>
      </w:r>
      <w:proofErr w:type="gramEnd"/>
      <w:r>
        <w:t xml:space="preserve"> or clinical expertise, as well as appropriate consumer health issues relating to medicines.</w:t>
      </w:r>
    </w:p>
  </w:footnote>
  <w:footnote w:id="20">
    <w:p w14:paraId="31132D09" w14:textId="77777777" w:rsidR="005D2BEE" w:rsidRDefault="005D2BEE" w:rsidP="001828C6">
      <w:pPr>
        <w:pStyle w:val="FootnoteText"/>
      </w:pPr>
      <w:r>
        <w:rPr>
          <w:rStyle w:val="FootnoteReference"/>
        </w:rPr>
        <w:footnoteRef/>
      </w:r>
      <w:r>
        <w:t xml:space="preserve"> Jones, P. W. et al.</w:t>
      </w:r>
      <w:r w:rsidRPr="0045791F">
        <w:t xml:space="preserve"> Minimal Cl</w:t>
      </w:r>
      <w:r>
        <w:t>inically Important Differences i</w:t>
      </w:r>
      <w:r w:rsidRPr="0045791F">
        <w:t>n Pharmacological Trials</w:t>
      </w:r>
      <w:r>
        <w:t xml:space="preserve">, </w:t>
      </w:r>
      <w:r w:rsidRPr="0045791F">
        <w:rPr>
          <w:i/>
        </w:rPr>
        <w:t>Am J Respir Crit Care Med</w:t>
      </w:r>
      <w:r>
        <w:rPr>
          <w:i/>
        </w:rPr>
        <w:t>,</w:t>
      </w:r>
      <w:r>
        <w:t xml:space="preserve"> </w:t>
      </w:r>
      <w:r w:rsidRPr="0045791F">
        <w:t>2014</w:t>
      </w:r>
      <w:r>
        <w:t xml:space="preserve">; </w:t>
      </w:r>
      <w:r w:rsidRPr="0045791F">
        <w:t>189(3):</w:t>
      </w:r>
      <w:r>
        <w:t xml:space="preserve"> </w:t>
      </w:r>
      <w:r w:rsidRPr="0045791F">
        <w:t>250-</w:t>
      </w:r>
      <w:r>
        <w:t>25</w:t>
      </w:r>
      <w:r w:rsidRPr="0045791F">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E760" w14:textId="77777777" w:rsidR="002F3E56" w:rsidRDefault="002F3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42EB6" w14:textId="77777777" w:rsidR="005D2BEE" w:rsidRDefault="005D2BEE"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1298" w14:textId="77777777" w:rsidR="005D2BEE" w:rsidRDefault="005D2BEE">
    <w:pPr>
      <w:rPr>
        <w:noProof/>
        <w:lang w:eastAsia="en-AU"/>
      </w:rPr>
    </w:pPr>
    <w:r w:rsidRPr="00347824">
      <w:rPr>
        <w:noProof/>
        <w:lang w:val="en-GB" w:eastAsia="en-GB"/>
      </w:rPr>
      <w:drawing>
        <wp:anchor distT="0" distB="0" distL="114300" distR="114300" simplePos="0" relativeHeight="251659264" behindDoc="1" locked="0" layoutInCell="1" allowOverlap="1" wp14:anchorId="7E8833D4" wp14:editId="4A3948B2">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8384090" w14:textId="77777777" w:rsidR="005D2BEE" w:rsidRDefault="005D2BEE"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FE504" w14:textId="77777777" w:rsidR="005D2BEE" w:rsidRDefault="005D2B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C9DC2" w14:textId="77777777" w:rsidR="005D2BEE" w:rsidRDefault="005D2BE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EDD11" w14:textId="77777777" w:rsidR="005D2BEE" w:rsidRDefault="005D2BEE">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F5E7B" w14:textId="77777777" w:rsidR="005D2BEE" w:rsidRDefault="005D2B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4D633" w14:textId="77777777" w:rsidR="005D2BEE" w:rsidRDefault="005D2BEE"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FC876" w14:textId="77777777" w:rsidR="005D2BEE" w:rsidRDefault="005D2BEE" w:rsidP="006E08B3">
    <w:r>
      <w:t>Therapeutic Goods Administration</w:t>
    </w:r>
  </w:p>
  <w:p w14:paraId="4E9A20E5" w14:textId="77777777" w:rsidR="005D2BEE" w:rsidRDefault="005D2BEE"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528944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7B584C20"/>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8044F33"/>
    <w:multiLevelType w:val="hybridMultilevel"/>
    <w:tmpl w:val="5F8C0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E47D70"/>
    <w:multiLevelType w:val="hybridMultilevel"/>
    <w:tmpl w:val="D99E30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0054E"/>
    <w:multiLevelType w:val="hybridMultilevel"/>
    <w:tmpl w:val="6486D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EF0923"/>
    <w:multiLevelType w:val="hybridMultilevel"/>
    <w:tmpl w:val="67D28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2111AB"/>
    <w:multiLevelType w:val="hybridMultilevel"/>
    <w:tmpl w:val="1FAC5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F1BD1"/>
    <w:multiLevelType w:val="hybridMultilevel"/>
    <w:tmpl w:val="3DFE92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5"/>
  </w:num>
  <w:num w:numId="28">
    <w:abstractNumId w:val="17"/>
  </w:num>
  <w:num w:numId="29">
    <w:abstractNumId w:val="6"/>
  </w:num>
  <w:num w:numId="30">
    <w:abstractNumId w:val="10"/>
  </w:num>
  <w:num w:numId="31">
    <w:abstractNumId w:val="4"/>
  </w:num>
  <w:num w:numId="32">
    <w:abstractNumId w:val="1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9"/>
  </w:num>
  <w:num w:numId="36">
    <w:abstractNumId w:val="13"/>
  </w:num>
  <w:num w:numId="37">
    <w:abstractNumId w:val="8"/>
  </w:num>
  <w:num w:numId="38">
    <w:abstractNumId w:val="1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20"/>
    <w:rsid w:val="000019C6"/>
    <w:rsid w:val="00002031"/>
    <w:rsid w:val="00002EDD"/>
    <w:rsid w:val="00004734"/>
    <w:rsid w:val="00006B22"/>
    <w:rsid w:val="00006FAB"/>
    <w:rsid w:val="00007827"/>
    <w:rsid w:val="0001276A"/>
    <w:rsid w:val="0001517C"/>
    <w:rsid w:val="000246AE"/>
    <w:rsid w:val="00025C67"/>
    <w:rsid w:val="00027DCE"/>
    <w:rsid w:val="00044772"/>
    <w:rsid w:val="0004541C"/>
    <w:rsid w:val="0005559E"/>
    <w:rsid w:val="000604D6"/>
    <w:rsid w:val="0006258C"/>
    <w:rsid w:val="00065644"/>
    <w:rsid w:val="000734D8"/>
    <w:rsid w:val="00077775"/>
    <w:rsid w:val="00090471"/>
    <w:rsid w:val="000925DD"/>
    <w:rsid w:val="00096AA7"/>
    <w:rsid w:val="000A3AED"/>
    <w:rsid w:val="000B3532"/>
    <w:rsid w:val="000B3A75"/>
    <w:rsid w:val="000C00C2"/>
    <w:rsid w:val="000C185B"/>
    <w:rsid w:val="000C3CF4"/>
    <w:rsid w:val="000C690F"/>
    <w:rsid w:val="000C796C"/>
    <w:rsid w:val="000D1295"/>
    <w:rsid w:val="000D391B"/>
    <w:rsid w:val="000D3D6D"/>
    <w:rsid w:val="000D4FC7"/>
    <w:rsid w:val="000D5FC8"/>
    <w:rsid w:val="000E6196"/>
    <w:rsid w:val="000F4869"/>
    <w:rsid w:val="000F5B42"/>
    <w:rsid w:val="000F6E6F"/>
    <w:rsid w:val="0010027B"/>
    <w:rsid w:val="0010601F"/>
    <w:rsid w:val="0010788A"/>
    <w:rsid w:val="00107A31"/>
    <w:rsid w:val="00110EA5"/>
    <w:rsid w:val="00112F56"/>
    <w:rsid w:val="00122C2E"/>
    <w:rsid w:val="00124ACD"/>
    <w:rsid w:val="00125318"/>
    <w:rsid w:val="001305A2"/>
    <w:rsid w:val="00133238"/>
    <w:rsid w:val="00133A1B"/>
    <w:rsid w:val="0014197B"/>
    <w:rsid w:val="001447CD"/>
    <w:rsid w:val="001516B1"/>
    <w:rsid w:val="00154EBB"/>
    <w:rsid w:val="00156316"/>
    <w:rsid w:val="001575F2"/>
    <w:rsid w:val="00157E46"/>
    <w:rsid w:val="00161181"/>
    <w:rsid w:val="00162D14"/>
    <w:rsid w:val="00163780"/>
    <w:rsid w:val="00165389"/>
    <w:rsid w:val="001715B7"/>
    <w:rsid w:val="0017179D"/>
    <w:rsid w:val="00174BB0"/>
    <w:rsid w:val="00175E4B"/>
    <w:rsid w:val="0017693F"/>
    <w:rsid w:val="0018110E"/>
    <w:rsid w:val="00181684"/>
    <w:rsid w:val="001828C6"/>
    <w:rsid w:val="001843C6"/>
    <w:rsid w:val="001850E0"/>
    <w:rsid w:val="001967D0"/>
    <w:rsid w:val="001A03AF"/>
    <w:rsid w:val="001A17E9"/>
    <w:rsid w:val="001A2158"/>
    <w:rsid w:val="001A525F"/>
    <w:rsid w:val="001B09F9"/>
    <w:rsid w:val="001B481B"/>
    <w:rsid w:val="001B5C90"/>
    <w:rsid w:val="001B6448"/>
    <w:rsid w:val="001C3070"/>
    <w:rsid w:val="001C32CD"/>
    <w:rsid w:val="001D2984"/>
    <w:rsid w:val="001D5846"/>
    <w:rsid w:val="001E07CF"/>
    <w:rsid w:val="001E59F1"/>
    <w:rsid w:val="001F2CEE"/>
    <w:rsid w:val="001F49EB"/>
    <w:rsid w:val="001F6CBA"/>
    <w:rsid w:val="00201D4E"/>
    <w:rsid w:val="002076C9"/>
    <w:rsid w:val="00220B8A"/>
    <w:rsid w:val="002257F3"/>
    <w:rsid w:val="00233456"/>
    <w:rsid w:val="002339A5"/>
    <w:rsid w:val="00250271"/>
    <w:rsid w:val="002563AB"/>
    <w:rsid w:val="00257848"/>
    <w:rsid w:val="002578E8"/>
    <w:rsid w:val="002579B9"/>
    <w:rsid w:val="0027084A"/>
    <w:rsid w:val="00280265"/>
    <w:rsid w:val="002811AB"/>
    <w:rsid w:val="00286434"/>
    <w:rsid w:val="00286C59"/>
    <w:rsid w:val="00291957"/>
    <w:rsid w:val="002942D1"/>
    <w:rsid w:val="0029501A"/>
    <w:rsid w:val="00297DC6"/>
    <w:rsid w:val="002A3721"/>
    <w:rsid w:val="002A457B"/>
    <w:rsid w:val="002B1638"/>
    <w:rsid w:val="002B3624"/>
    <w:rsid w:val="002D0952"/>
    <w:rsid w:val="002D6B56"/>
    <w:rsid w:val="002E40B3"/>
    <w:rsid w:val="002E4C9A"/>
    <w:rsid w:val="002F11F8"/>
    <w:rsid w:val="002F3E56"/>
    <w:rsid w:val="002F3F56"/>
    <w:rsid w:val="002F44B5"/>
    <w:rsid w:val="002F5122"/>
    <w:rsid w:val="002F6937"/>
    <w:rsid w:val="002F7BA7"/>
    <w:rsid w:val="00311AC0"/>
    <w:rsid w:val="003176FC"/>
    <w:rsid w:val="00324E45"/>
    <w:rsid w:val="0032583B"/>
    <w:rsid w:val="00327883"/>
    <w:rsid w:val="00335504"/>
    <w:rsid w:val="00340C18"/>
    <w:rsid w:val="003442FD"/>
    <w:rsid w:val="00347824"/>
    <w:rsid w:val="00347CC3"/>
    <w:rsid w:val="00350567"/>
    <w:rsid w:val="003521E8"/>
    <w:rsid w:val="00360E8A"/>
    <w:rsid w:val="00370CE3"/>
    <w:rsid w:val="003728F3"/>
    <w:rsid w:val="003735BC"/>
    <w:rsid w:val="0037496E"/>
    <w:rsid w:val="00383221"/>
    <w:rsid w:val="00386150"/>
    <w:rsid w:val="00386F9C"/>
    <w:rsid w:val="003874CE"/>
    <w:rsid w:val="00390900"/>
    <w:rsid w:val="003A0DCA"/>
    <w:rsid w:val="003A1DB3"/>
    <w:rsid w:val="003A6656"/>
    <w:rsid w:val="003A7F6C"/>
    <w:rsid w:val="003B31C8"/>
    <w:rsid w:val="003B4D60"/>
    <w:rsid w:val="003B7E39"/>
    <w:rsid w:val="003C34A6"/>
    <w:rsid w:val="003C58DC"/>
    <w:rsid w:val="003D1E62"/>
    <w:rsid w:val="003D401B"/>
    <w:rsid w:val="003E0B99"/>
    <w:rsid w:val="003E2486"/>
    <w:rsid w:val="003E3208"/>
    <w:rsid w:val="003E5AB3"/>
    <w:rsid w:val="003F0B04"/>
    <w:rsid w:val="003F0F68"/>
    <w:rsid w:val="003F2D4A"/>
    <w:rsid w:val="0040134E"/>
    <w:rsid w:val="004057E5"/>
    <w:rsid w:val="00405DE1"/>
    <w:rsid w:val="00413DB8"/>
    <w:rsid w:val="0041455D"/>
    <w:rsid w:val="004334C7"/>
    <w:rsid w:val="00440A2D"/>
    <w:rsid w:val="00441C3F"/>
    <w:rsid w:val="00444D1A"/>
    <w:rsid w:val="0045186A"/>
    <w:rsid w:val="004564A7"/>
    <w:rsid w:val="00456748"/>
    <w:rsid w:val="00456765"/>
    <w:rsid w:val="00460036"/>
    <w:rsid w:val="004617BF"/>
    <w:rsid w:val="00463658"/>
    <w:rsid w:val="004637A0"/>
    <w:rsid w:val="004722CC"/>
    <w:rsid w:val="00490483"/>
    <w:rsid w:val="004936E4"/>
    <w:rsid w:val="00494E60"/>
    <w:rsid w:val="00497487"/>
    <w:rsid w:val="004A2771"/>
    <w:rsid w:val="004A6189"/>
    <w:rsid w:val="004A7390"/>
    <w:rsid w:val="004B4DA8"/>
    <w:rsid w:val="004B61C0"/>
    <w:rsid w:val="004B7B76"/>
    <w:rsid w:val="004C239D"/>
    <w:rsid w:val="004C2DCA"/>
    <w:rsid w:val="004C4FBE"/>
    <w:rsid w:val="004C61D2"/>
    <w:rsid w:val="004F0C4A"/>
    <w:rsid w:val="004F0F38"/>
    <w:rsid w:val="004F47D6"/>
    <w:rsid w:val="00500337"/>
    <w:rsid w:val="00501251"/>
    <w:rsid w:val="00501921"/>
    <w:rsid w:val="00501BF1"/>
    <w:rsid w:val="005022ED"/>
    <w:rsid w:val="00512FC8"/>
    <w:rsid w:val="0051374D"/>
    <w:rsid w:val="00520181"/>
    <w:rsid w:val="00520E1D"/>
    <w:rsid w:val="005261E8"/>
    <w:rsid w:val="00530354"/>
    <w:rsid w:val="005304DB"/>
    <w:rsid w:val="0053625B"/>
    <w:rsid w:val="005434C6"/>
    <w:rsid w:val="00543B39"/>
    <w:rsid w:val="00546154"/>
    <w:rsid w:val="00550096"/>
    <w:rsid w:val="00551CCD"/>
    <w:rsid w:val="00555280"/>
    <w:rsid w:val="00557FF9"/>
    <w:rsid w:val="00562327"/>
    <w:rsid w:val="005626EB"/>
    <w:rsid w:val="00562BAD"/>
    <w:rsid w:val="005711D5"/>
    <w:rsid w:val="00571ADB"/>
    <w:rsid w:val="005738A8"/>
    <w:rsid w:val="00576378"/>
    <w:rsid w:val="00577130"/>
    <w:rsid w:val="00577945"/>
    <w:rsid w:val="00577E38"/>
    <w:rsid w:val="00584451"/>
    <w:rsid w:val="00585322"/>
    <w:rsid w:val="005857C6"/>
    <w:rsid w:val="00592F6E"/>
    <w:rsid w:val="00593AD1"/>
    <w:rsid w:val="005A6434"/>
    <w:rsid w:val="005A68B6"/>
    <w:rsid w:val="005B6925"/>
    <w:rsid w:val="005C435E"/>
    <w:rsid w:val="005C5570"/>
    <w:rsid w:val="005C5B66"/>
    <w:rsid w:val="005C79A4"/>
    <w:rsid w:val="005D2BEE"/>
    <w:rsid w:val="005D5442"/>
    <w:rsid w:val="005F65DC"/>
    <w:rsid w:val="00603F32"/>
    <w:rsid w:val="00605AD4"/>
    <w:rsid w:val="00611868"/>
    <w:rsid w:val="006131F1"/>
    <w:rsid w:val="006136D7"/>
    <w:rsid w:val="00625A6E"/>
    <w:rsid w:val="00630ACF"/>
    <w:rsid w:val="00632317"/>
    <w:rsid w:val="00632398"/>
    <w:rsid w:val="00632557"/>
    <w:rsid w:val="00640FC3"/>
    <w:rsid w:val="00642020"/>
    <w:rsid w:val="00642B54"/>
    <w:rsid w:val="006430EE"/>
    <w:rsid w:val="0065337B"/>
    <w:rsid w:val="0065419D"/>
    <w:rsid w:val="006603BC"/>
    <w:rsid w:val="006604D8"/>
    <w:rsid w:val="00664A5B"/>
    <w:rsid w:val="0066735C"/>
    <w:rsid w:val="006763D2"/>
    <w:rsid w:val="00680C08"/>
    <w:rsid w:val="006916A0"/>
    <w:rsid w:val="006931B1"/>
    <w:rsid w:val="006A15C0"/>
    <w:rsid w:val="006A58A8"/>
    <w:rsid w:val="006B7833"/>
    <w:rsid w:val="006C3E2A"/>
    <w:rsid w:val="006C642F"/>
    <w:rsid w:val="006D03E5"/>
    <w:rsid w:val="006D243F"/>
    <w:rsid w:val="006D5D3E"/>
    <w:rsid w:val="006E08B3"/>
    <w:rsid w:val="006F17AC"/>
    <w:rsid w:val="006F25B8"/>
    <w:rsid w:val="006F572E"/>
    <w:rsid w:val="007046D6"/>
    <w:rsid w:val="00704B18"/>
    <w:rsid w:val="00705DB0"/>
    <w:rsid w:val="00713CB3"/>
    <w:rsid w:val="00722B57"/>
    <w:rsid w:val="00730F42"/>
    <w:rsid w:val="00730F8A"/>
    <w:rsid w:val="00735A8C"/>
    <w:rsid w:val="00737540"/>
    <w:rsid w:val="0074253D"/>
    <w:rsid w:val="00744121"/>
    <w:rsid w:val="0074429B"/>
    <w:rsid w:val="0074630E"/>
    <w:rsid w:val="007615BC"/>
    <w:rsid w:val="00762F05"/>
    <w:rsid w:val="007652FF"/>
    <w:rsid w:val="00770CAC"/>
    <w:rsid w:val="00770EF1"/>
    <w:rsid w:val="00773EF7"/>
    <w:rsid w:val="00774E1D"/>
    <w:rsid w:val="007765D8"/>
    <w:rsid w:val="0077675A"/>
    <w:rsid w:val="00780355"/>
    <w:rsid w:val="007819FD"/>
    <w:rsid w:val="00782F6D"/>
    <w:rsid w:val="00785717"/>
    <w:rsid w:val="00785721"/>
    <w:rsid w:val="00793A59"/>
    <w:rsid w:val="007944E9"/>
    <w:rsid w:val="007A46F5"/>
    <w:rsid w:val="007A4839"/>
    <w:rsid w:val="007A6505"/>
    <w:rsid w:val="007B6132"/>
    <w:rsid w:val="007B6E9F"/>
    <w:rsid w:val="007C1216"/>
    <w:rsid w:val="007C1AF7"/>
    <w:rsid w:val="007C6B9B"/>
    <w:rsid w:val="007D53B6"/>
    <w:rsid w:val="007E0D43"/>
    <w:rsid w:val="007F24A0"/>
    <w:rsid w:val="007F74C2"/>
    <w:rsid w:val="00805D27"/>
    <w:rsid w:val="00806DCB"/>
    <w:rsid w:val="0082056A"/>
    <w:rsid w:val="00821776"/>
    <w:rsid w:val="008321F5"/>
    <w:rsid w:val="00832369"/>
    <w:rsid w:val="00834660"/>
    <w:rsid w:val="00836BC2"/>
    <w:rsid w:val="0085156D"/>
    <w:rsid w:val="00852B28"/>
    <w:rsid w:val="0085641B"/>
    <w:rsid w:val="00857136"/>
    <w:rsid w:val="0086003E"/>
    <w:rsid w:val="00860E53"/>
    <w:rsid w:val="00863031"/>
    <w:rsid w:val="0086309A"/>
    <w:rsid w:val="00875A6B"/>
    <w:rsid w:val="00876AEB"/>
    <w:rsid w:val="00877BE8"/>
    <w:rsid w:val="008830C7"/>
    <w:rsid w:val="008834F1"/>
    <w:rsid w:val="00885B11"/>
    <w:rsid w:val="00886D15"/>
    <w:rsid w:val="00887DD8"/>
    <w:rsid w:val="00891BA9"/>
    <w:rsid w:val="00896018"/>
    <w:rsid w:val="008960DD"/>
    <w:rsid w:val="0089635C"/>
    <w:rsid w:val="0089713D"/>
    <w:rsid w:val="008A2B9D"/>
    <w:rsid w:val="008A3D9F"/>
    <w:rsid w:val="008A5E0B"/>
    <w:rsid w:val="008A6D59"/>
    <w:rsid w:val="008B1C0C"/>
    <w:rsid w:val="008B4B03"/>
    <w:rsid w:val="008B596F"/>
    <w:rsid w:val="008C159F"/>
    <w:rsid w:val="008C1623"/>
    <w:rsid w:val="008C1850"/>
    <w:rsid w:val="008C51A9"/>
    <w:rsid w:val="008D0D20"/>
    <w:rsid w:val="008E3519"/>
    <w:rsid w:val="008E7846"/>
    <w:rsid w:val="008F02E5"/>
    <w:rsid w:val="008F1CCC"/>
    <w:rsid w:val="008F2967"/>
    <w:rsid w:val="008F359D"/>
    <w:rsid w:val="008F6943"/>
    <w:rsid w:val="00902A21"/>
    <w:rsid w:val="00902AA0"/>
    <w:rsid w:val="009143A4"/>
    <w:rsid w:val="0091523F"/>
    <w:rsid w:val="0091547C"/>
    <w:rsid w:val="00920330"/>
    <w:rsid w:val="009219D7"/>
    <w:rsid w:val="00922D53"/>
    <w:rsid w:val="00923B70"/>
    <w:rsid w:val="00924482"/>
    <w:rsid w:val="00930237"/>
    <w:rsid w:val="0093421C"/>
    <w:rsid w:val="00937C17"/>
    <w:rsid w:val="00940A89"/>
    <w:rsid w:val="00941F77"/>
    <w:rsid w:val="0094203D"/>
    <w:rsid w:val="00946EA5"/>
    <w:rsid w:val="00956592"/>
    <w:rsid w:val="00960520"/>
    <w:rsid w:val="00963C08"/>
    <w:rsid w:val="00965A57"/>
    <w:rsid w:val="00965E92"/>
    <w:rsid w:val="009752A5"/>
    <w:rsid w:val="00985217"/>
    <w:rsid w:val="0098585A"/>
    <w:rsid w:val="009940B4"/>
    <w:rsid w:val="009A0715"/>
    <w:rsid w:val="009A27CD"/>
    <w:rsid w:val="009A3765"/>
    <w:rsid w:val="009A4CED"/>
    <w:rsid w:val="009A690D"/>
    <w:rsid w:val="009A77FF"/>
    <w:rsid w:val="009B1D12"/>
    <w:rsid w:val="009B1F22"/>
    <w:rsid w:val="009B416B"/>
    <w:rsid w:val="009C1061"/>
    <w:rsid w:val="009C4BD5"/>
    <w:rsid w:val="009D7B77"/>
    <w:rsid w:val="009E0BB0"/>
    <w:rsid w:val="009E3FBB"/>
    <w:rsid w:val="009E6612"/>
    <w:rsid w:val="009F2B69"/>
    <w:rsid w:val="009F5847"/>
    <w:rsid w:val="009F7353"/>
    <w:rsid w:val="00A04D81"/>
    <w:rsid w:val="00A04F85"/>
    <w:rsid w:val="00A05FA4"/>
    <w:rsid w:val="00A07F67"/>
    <w:rsid w:val="00A102E4"/>
    <w:rsid w:val="00A1219C"/>
    <w:rsid w:val="00A12C42"/>
    <w:rsid w:val="00A12D0C"/>
    <w:rsid w:val="00A14DF7"/>
    <w:rsid w:val="00A15CAA"/>
    <w:rsid w:val="00A22D57"/>
    <w:rsid w:val="00A2376E"/>
    <w:rsid w:val="00A3246D"/>
    <w:rsid w:val="00A36FA7"/>
    <w:rsid w:val="00A4259A"/>
    <w:rsid w:val="00A44DDB"/>
    <w:rsid w:val="00A475B7"/>
    <w:rsid w:val="00A47AF7"/>
    <w:rsid w:val="00A47C3E"/>
    <w:rsid w:val="00A50226"/>
    <w:rsid w:val="00A51713"/>
    <w:rsid w:val="00A56CEF"/>
    <w:rsid w:val="00A60BAD"/>
    <w:rsid w:val="00A759BC"/>
    <w:rsid w:val="00A7653B"/>
    <w:rsid w:val="00A77F87"/>
    <w:rsid w:val="00A80B5B"/>
    <w:rsid w:val="00A84E36"/>
    <w:rsid w:val="00A964D1"/>
    <w:rsid w:val="00AA0ED0"/>
    <w:rsid w:val="00AA22D4"/>
    <w:rsid w:val="00AA7BAE"/>
    <w:rsid w:val="00AC2B40"/>
    <w:rsid w:val="00AC2BB2"/>
    <w:rsid w:val="00AC2C3C"/>
    <w:rsid w:val="00AC512D"/>
    <w:rsid w:val="00AD0083"/>
    <w:rsid w:val="00AD3935"/>
    <w:rsid w:val="00AD42E2"/>
    <w:rsid w:val="00AD6AF3"/>
    <w:rsid w:val="00AE65EB"/>
    <w:rsid w:val="00AE67A7"/>
    <w:rsid w:val="00AF1D94"/>
    <w:rsid w:val="00AF60C5"/>
    <w:rsid w:val="00B009C6"/>
    <w:rsid w:val="00B01548"/>
    <w:rsid w:val="00B12D04"/>
    <w:rsid w:val="00B130C5"/>
    <w:rsid w:val="00B13EBD"/>
    <w:rsid w:val="00B21D29"/>
    <w:rsid w:val="00B243CE"/>
    <w:rsid w:val="00B25034"/>
    <w:rsid w:val="00B27725"/>
    <w:rsid w:val="00B33588"/>
    <w:rsid w:val="00B33863"/>
    <w:rsid w:val="00B37D17"/>
    <w:rsid w:val="00B4175E"/>
    <w:rsid w:val="00B41C85"/>
    <w:rsid w:val="00B452CE"/>
    <w:rsid w:val="00B45D0F"/>
    <w:rsid w:val="00B54C25"/>
    <w:rsid w:val="00B5662A"/>
    <w:rsid w:val="00B710B5"/>
    <w:rsid w:val="00B76B91"/>
    <w:rsid w:val="00B77EB1"/>
    <w:rsid w:val="00B811C6"/>
    <w:rsid w:val="00B855B0"/>
    <w:rsid w:val="00B90556"/>
    <w:rsid w:val="00B92E08"/>
    <w:rsid w:val="00B95D7C"/>
    <w:rsid w:val="00BA1FD2"/>
    <w:rsid w:val="00BA6366"/>
    <w:rsid w:val="00BC622A"/>
    <w:rsid w:val="00BD0DDF"/>
    <w:rsid w:val="00BD137C"/>
    <w:rsid w:val="00BD2F7B"/>
    <w:rsid w:val="00BE0A78"/>
    <w:rsid w:val="00BE5700"/>
    <w:rsid w:val="00BE79F0"/>
    <w:rsid w:val="00BF046D"/>
    <w:rsid w:val="00BF0D16"/>
    <w:rsid w:val="00BF1190"/>
    <w:rsid w:val="00BF297A"/>
    <w:rsid w:val="00BF3774"/>
    <w:rsid w:val="00BF4A92"/>
    <w:rsid w:val="00BF5D04"/>
    <w:rsid w:val="00C009AA"/>
    <w:rsid w:val="00C06601"/>
    <w:rsid w:val="00C1164D"/>
    <w:rsid w:val="00C16861"/>
    <w:rsid w:val="00C346AB"/>
    <w:rsid w:val="00C3520E"/>
    <w:rsid w:val="00C404A6"/>
    <w:rsid w:val="00C40A36"/>
    <w:rsid w:val="00C44419"/>
    <w:rsid w:val="00C45E7B"/>
    <w:rsid w:val="00C471B1"/>
    <w:rsid w:val="00C525A2"/>
    <w:rsid w:val="00C52E24"/>
    <w:rsid w:val="00C5781A"/>
    <w:rsid w:val="00C60C3E"/>
    <w:rsid w:val="00C6316B"/>
    <w:rsid w:val="00C634A9"/>
    <w:rsid w:val="00C64586"/>
    <w:rsid w:val="00C70A36"/>
    <w:rsid w:val="00C70D53"/>
    <w:rsid w:val="00C73D0B"/>
    <w:rsid w:val="00C74F5C"/>
    <w:rsid w:val="00C772FF"/>
    <w:rsid w:val="00C80137"/>
    <w:rsid w:val="00C801AF"/>
    <w:rsid w:val="00C80256"/>
    <w:rsid w:val="00C94B8C"/>
    <w:rsid w:val="00C94CD4"/>
    <w:rsid w:val="00C9747E"/>
    <w:rsid w:val="00CB6BC0"/>
    <w:rsid w:val="00CC1B7C"/>
    <w:rsid w:val="00CC539D"/>
    <w:rsid w:val="00CC727F"/>
    <w:rsid w:val="00CF0FE6"/>
    <w:rsid w:val="00CF15C3"/>
    <w:rsid w:val="00CF2B6F"/>
    <w:rsid w:val="00CF2F3E"/>
    <w:rsid w:val="00CF346F"/>
    <w:rsid w:val="00CF58B6"/>
    <w:rsid w:val="00CF5DAD"/>
    <w:rsid w:val="00D0062D"/>
    <w:rsid w:val="00D00C62"/>
    <w:rsid w:val="00D017ED"/>
    <w:rsid w:val="00D040D3"/>
    <w:rsid w:val="00D04C65"/>
    <w:rsid w:val="00D153D8"/>
    <w:rsid w:val="00D201D2"/>
    <w:rsid w:val="00D224FE"/>
    <w:rsid w:val="00D23139"/>
    <w:rsid w:val="00D27678"/>
    <w:rsid w:val="00D425BB"/>
    <w:rsid w:val="00D453FA"/>
    <w:rsid w:val="00D47860"/>
    <w:rsid w:val="00D53EA3"/>
    <w:rsid w:val="00D6493E"/>
    <w:rsid w:val="00D7195D"/>
    <w:rsid w:val="00D72E6D"/>
    <w:rsid w:val="00D7301E"/>
    <w:rsid w:val="00D80105"/>
    <w:rsid w:val="00D83AE1"/>
    <w:rsid w:val="00D855D4"/>
    <w:rsid w:val="00D902C9"/>
    <w:rsid w:val="00D93466"/>
    <w:rsid w:val="00D966C9"/>
    <w:rsid w:val="00DA1124"/>
    <w:rsid w:val="00DA64CB"/>
    <w:rsid w:val="00DB06B8"/>
    <w:rsid w:val="00DB6124"/>
    <w:rsid w:val="00DB750B"/>
    <w:rsid w:val="00DB75B7"/>
    <w:rsid w:val="00DC0A2F"/>
    <w:rsid w:val="00DC1948"/>
    <w:rsid w:val="00DC59F0"/>
    <w:rsid w:val="00DC6E02"/>
    <w:rsid w:val="00DD28CD"/>
    <w:rsid w:val="00DE02AE"/>
    <w:rsid w:val="00DE39D1"/>
    <w:rsid w:val="00DF1D7F"/>
    <w:rsid w:val="00DF34C0"/>
    <w:rsid w:val="00DF37FD"/>
    <w:rsid w:val="00DF4BE4"/>
    <w:rsid w:val="00DF6A60"/>
    <w:rsid w:val="00E0140B"/>
    <w:rsid w:val="00E02382"/>
    <w:rsid w:val="00E02FB4"/>
    <w:rsid w:val="00E13FC7"/>
    <w:rsid w:val="00E20571"/>
    <w:rsid w:val="00E20DE6"/>
    <w:rsid w:val="00E235F7"/>
    <w:rsid w:val="00E23659"/>
    <w:rsid w:val="00E239D4"/>
    <w:rsid w:val="00E26130"/>
    <w:rsid w:val="00E33D42"/>
    <w:rsid w:val="00E3447A"/>
    <w:rsid w:val="00E3449E"/>
    <w:rsid w:val="00E40B22"/>
    <w:rsid w:val="00E44ED1"/>
    <w:rsid w:val="00E45619"/>
    <w:rsid w:val="00E4588F"/>
    <w:rsid w:val="00E46DA3"/>
    <w:rsid w:val="00E51BB1"/>
    <w:rsid w:val="00E55CB0"/>
    <w:rsid w:val="00E624A5"/>
    <w:rsid w:val="00E64BA4"/>
    <w:rsid w:val="00E7344E"/>
    <w:rsid w:val="00E80A78"/>
    <w:rsid w:val="00E82665"/>
    <w:rsid w:val="00EA0280"/>
    <w:rsid w:val="00EA5813"/>
    <w:rsid w:val="00EB0798"/>
    <w:rsid w:val="00EB40AD"/>
    <w:rsid w:val="00EB51B7"/>
    <w:rsid w:val="00EB586E"/>
    <w:rsid w:val="00EB5FC8"/>
    <w:rsid w:val="00EB67C3"/>
    <w:rsid w:val="00EC463D"/>
    <w:rsid w:val="00EC5459"/>
    <w:rsid w:val="00EC7A85"/>
    <w:rsid w:val="00ED2922"/>
    <w:rsid w:val="00ED3A09"/>
    <w:rsid w:val="00ED3CAD"/>
    <w:rsid w:val="00ED5A41"/>
    <w:rsid w:val="00EE1DE8"/>
    <w:rsid w:val="00EE27C2"/>
    <w:rsid w:val="00EE5EFC"/>
    <w:rsid w:val="00EF3BA2"/>
    <w:rsid w:val="00EF4BAD"/>
    <w:rsid w:val="00EF59DC"/>
    <w:rsid w:val="00F033EC"/>
    <w:rsid w:val="00F04F68"/>
    <w:rsid w:val="00F12670"/>
    <w:rsid w:val="00F14B27"/>
    <w:rsid w:val="00F23D21"/>
    <w:rsid w:val="00F25C92"/>
    <w:rsid w:val="00F3148D"/>
    <w:rsid w:val="00F325C5"/>
    <w:rsid w:val="00F32FE0"/>
    <w:rsid w:val="00F35298"/>
    <w:rsid w:val="00F4179A"/>
    <w:rsid w:val="00F437CE"/>
    <w:rsid w:val="00F47333"/>
    <w:rsid w:val="00F47E37"/>
    <w:rsid w:val="00F53C07"/>
    <w:rsid w:val="00F54B65"/>
    <w:rsid w:val="00F63DBF"/>
    <w:rsid w:val="00F640B6"/>
    <w:rsid w:val="00F66192"/>
    <w:rsid w:val="00F66DF2"/>
    <w:rsid w:val="00F6727E"/>
    <w:rsid w:val="00F702A4"/>
    <w:rsid w:val="00F80E40"/>
    <w:rsid w:val="00F848D9"/>
    <w:rsid w:val="00F91944"/>
    <w:rsid w:val="00F9495B"/>
    <w:rsid w:val="00FA5069"/>
    <w:rsid w:val="00FA5B82"/>
    <w:rsid w:val="00FA639E"/>
    <w:rsid w:val="00FB745A"/>
    <w:rsid w:val="00FC1FCA"/>
    <w:rsid w:val="00FC25E4"/>
    <w:rsid w:val="00FC4EF7"/>
    <w:rsid w:val="00FC7858"/>
    <w:rsid w:val="00FD0824"/>
    <w:rsid w:val="00FD119B"/>
    <w:rsid w:val="00FD1EDC"/>
    <w:rsid w:val="00FE1DEE"/>
    <w:rsid w:val="00FF2126"/>
    <w:rsid w:val="00FF23D3"/>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0020FE"/>
  <w15:docId w15:val="{8F3DC900-CDFD-4BE9-ACCE-B467C02E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704B1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AD42E2"/>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DF6A60"/>
    <w:pPr>
      <w:adjustRightInd w:val="0"/>
      <w:snapToGrid w:val="0"/>
      <w:spacing w:before="180" w:after="180"/>
      <w:ind w:left="720"/>
      <w:contextualSpacing/>
    </w:pPr>
    <w:rPr>
      <w:rFonts w:eastAsia="MS Mincho"/>
      <w:szCs w:val="20"/>
      <w:lang w:eastAsia="ja-JP"/>
    </w:rPr>
  </w:style>
  <w:style w:type="paragraph" w:customStyle="1" w:styleId="Default">
    <w:name w:val="Default"/>
    <w:rsid w:val="009C1061"/>
    <w:pPr>
      <w:autoSpaceDE w:val="0"/>
      <w:autoSpaceDN w:val="0"/>
      <w:adjustRightInd w:val="0"/>
      <w:spacing w:after="0" w:line="240" w:lineRule="auto"/>
    </w:pPr>
    <w:rPr>
      <w:rFonts w:ascii="Verdana" w:hAnsi="Verdana" w:cs="Verdana"/>
      <w:color w:val="000000"/>
      <w:sz w:val="24"/>
      <w:szCs w:val="24"/>
    </w:rPr>
  </w:style>
  <w:style w:type="character" w:customStyle="1" w:styleId="Heading8Char">
    <w:name w:val="Heading 8 Char"/>
    <w:basedOn w:val="DefaultParagraphFont"/>
    <w:link w:val="Heading8"/>
    <w:uiPriority w:val="9"/>
    <w:semiHidden/>
    <w:rsid w:val="00704B1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10787">
      <w:bodyDiv w:val="1"/>
      <w:marLeft w:val="0"/>
      <w:marRight w:val="0"/>
      <w:marTop w:val="0"/>
      <w:marBottom w:val="0"/>
      <w:divBdr>
        <w:top w:val="none" w:sz="0" w:space="0" w:color="auto"/>
        <w:left w:val="none" w:sz="0" w:space="0" w:color="auto"/>
        <w:bottom w:val="none" w:sz="0" w:space="0" w:color="auto"/>
        <w:right w:val="none" w:sz="0" w:space="0" w:color="auto"/>
      </w:divBdr>
    </w:div>
    <w:div w:id="7748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yperlink" Target="https://www.tga.gov.au/product-information-p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7692-0759-4543-96C1-743173B4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9161</Words>
  <Characters>52219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61258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Fluticasone furoate / umeclidinium / vilanterol</dc:title>
  <dc:subject>prescription medicines</dc:subject>
  <dc:creator>Therapeutic Goods Administration</dc:creator>
  <cp:keywords/>
  <cp:lastPrinted>2019-08-14T04:30:00Z</cp:lastPrinted>
  <dcterms:created xsi:type="dcterms:W3CDTF">2021-09-30T01:53:00Z</dcterms:created>
  <dcterms:modified xsi:type="dcterms:W3CDTF">2021-09-30T01:58:00Z</dcterms:modified>
  <cp:category/>
</cp:coreProperties>
</file>