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B2" w:rsidRPr="000620F7" w:rsidRDefault="007D7FB2" w:rsidP="007F056B">
      <w:pPr>
        <w:pStyle w:val="Heading1"/>
        <w:spacing w:after="100" w:afterAutospacing="1"/>
        <w:ind w:right="-357"/>
      </w:pPr>
      <w:r w:rsidRPr="000620F7">
        <w:t>PRODUCT INFORMATION</w:t>
      </w:r>
    </w:p>
    <w:p w:rsidR="007F1CE7" w:rsidRPr="007F1CE7" w:rsidRDefault="00D058BC" w:rsidP="00074DE3">
      <w:pPr>
        <w:autoSpaceDE w:val="0"/>
        <w:autoSpaceDN w:val="0"/>
        <w:adjustRightInd w:val="0"/>
        <w:ind w:right="-360"/>
        <w:jc w:val="center"/>
        <w:rPr>
          <w:rFonts w:eastAsia="TimesNewRoman"/>
          <w:b/>
          <w:color w:val="000000"/>
          <w:sz w:val="28"/>
          <w:szCs w:val="28"/>
        </w:rPr>
      </w:pPr>
      <w:r>
        <w:rPr>
          <w:b/>
          <w:sz w:val="28"/>
          <w:szCs w:val="28"/>
        </w:rPr>
        <w:t>FLUTIFORM</w:t>
      </w:r>
      <w:r w:rsidR="008B4625" w:rsidRPr="008B4625">
        <w:rPr>
          <w:b/>
          <w:sz w:val="28"/>
          <w:szCs w:val="28"/>
          <w:vertAlign w:val="superscript"/>
        </w:rPr>
        <w:t>®</w:t>
      </w:r>
      <w:r>
        <w:rPr>
          <w:b/>
          <w:sz w:val="28"/>
          <w:szCs w:val="28"/>
        </w:rPr>
        <w:t xml:space="preserve"> </w:t>
      </w:r>
      <w:r w:rsidR="00F334D6">
        <w:rPr>
          <w:rFonts w:eastAsia="TimesNewRoman"/>
          <w:b/>
          <w:color w:val="000000"/>
          <w:sz w:val="28"/>
          <w:szCs w:val="28"/>
        </w:rPr>
        <w:t>p</w:t>
      </w:r>
      <w:r w:rsidR="00F334D6" w:rsidRPr="007F1CE7">
        <w:rPr>
          <w:rFonts w:eastAsia="TimesNewRoman"/>
          <w:b/>
          <w:color w:val="000000"/>
          <w:sz w:val="28"/>
          <w:szCs w:val="28"/>
        </w:rPr>
        <w:t>ressurised</w:t>
      </w:r>
      <w:r w:rsidR="00F334D6">
        <w:rPr>
          <w:b/>
          <w:sz w:val="28"/>
          <w:szCs w:val="28"/>
        </w:rPr>
        <w:t xml:space="preserve"> </w:t>
      </w:r>
      <w:r w:rsidR="00F74EC4">
        <w:rPr>
          <w:b/>
          <w:sz w:val="28"/>
          <w:szCs w:val="28"/>
        </w:rPr>
        <w:t>inhalation</w:t>
      </w:r>
    </w:p>
    <w:p w:rsidR="00124D3B" w:rsidRDefault="007D7FB2" w:rsidP="00074DE3">
      <w:pPr>
        <w:ind w:right="-360"/>
        <w:jc w:val="center"/>
        <w:rPr>
          <w:b/>
          <w:sz w:val="28"/>
          <w:szCs w:val="28"/>
        </w:rPr>
      </w:pPr>
      <w:r w:rsidRPr="000620F7">
        <w:rPr>
          <w:b/>
          <w:sz w:val="28"/>
          <w:szCs w:val="28"/>
        </w:rPr>
        <w:t>5</w:t>
      </w:r>
      <w:r w:rsidR="007F1CE7">
        <w:rPr>
          <w:b/>
          <w:sz w:val="28"/>
          <w:szCs w:val="28"/>
        </w:rPr>
        <w:t>0</w:t>
      </w:r>
      <w:r w:rsidRPr="000620F7">
        <w:rPr>
          <w:b/>
          <w:sz w:val="28"/>
          <w:szCs w:val="28"/>
        </w:rPr>
        <w:t xml:space="preserve"> </w:t>
      </w:r>
      <w:r w:rsidR="00832BC5">
        <w:rPr>
          <w:b/>
          <w:sz w:val="28"/>
          <w:szCs w:val="28"/>
        </w:rPr>
        <w:t>micrograms</w:t>
      </w:r>
      <w:r w:rsidR="007F1CE7">
        <w:rPr>
          <w:b/>
          <w:sz w:val="28"/>
          <w:szCs w:val="28"/>
        </w:rPr>
        <w:t xml:space="preserve">/5 </w:t>
      </w:r>
      <w:r w:rsidR="00832BC5">
        <w:rPr>
          <w:b/>
          <w:sz w:val="28"/>
          <w:szCs w:val="28"/>
        </w:rPr>
        <w:t>micrograms</w:t>
      </w:r>
      <w:r w:rsidRPr="000620F7">
        <w:rPr>
          <w:b/>
          <w:sz w:val="28"/>
          <w:szCs w:val="28"/>
        </w:rPr>
        <w:t>, 1</w:t>
      </w:r>
      <w:r w:rsidR="007F1CE7">
        <w:rPr>
          <w:b/>
          <w:sz w:val="28"/>
          <w:szCs w:val="28"/>
        </w:rPr>
        <w:t xml:space="preserve">25 </w:t>
      </w:r>
      <w:r w:rsidR="00832BC5">
        <w:rPr>
          <w:b/>
          <w:sz w:val="28"/>
          <w:szCs w:val="28"/>
        </w:rPr>
        <w:t>micrograms</w:t>
      </w:r>
      <w:r w:rsidR="007F1CE7">
        <w:rPr>
          <w:b/>
          <w:sz w:val="28"/>
          <w:szCs w:val="28"/>
        </w:rPr>
        <w:t>/5</w:t>
      </w:r>
      <w:r w:rsidRPr="000620F7">
        <w:rPr>
          <w:b/>
          <w:sz w:val="28"/>
          <w:szCs w:val="28"/>
        </w:rPr>
        <w:t xml:space="preserve"> </w:t>
      </w:r>
      <w:r w:rsidR="00832BC5">
        <w:rPr>
          <w:b/>
          <w:sz w:val="28"/>
          <w:szCs w:val="28"/>
        </w:rPr>
        <w:t>micrograms</w:t>
      </w:r>
      <w:r w:rsidR="007F1CE7">
        <w:rPr>
          <w:b/>
          <w:sz w:val="28"/>
          <w:szCs w:val="28"/>
        </w:rPr>
        <w:t xml:space="preserve"> and</w:t>
      </w:r>
      <w:r w:rsidRPr="000620F7">
        <w:rPr>
          <w:b/>
          <w:sz w:val="28"/>
          <w:szCs w:val="28"/>
        </w:rPr>
        <w:t xml:space="preserve"> </w:t>
      </w:r>
    </w:p>
    <w:p w:rsidR="007D7FB2" w:rsidRPr="000620F7" w:rsidRDefault="007F1CE7" w:rsidP="00074DE3">
      <w:pPr>
        <w:ind w:right="-360"/>
        <w:jc w:val="center"/>
        <w:rPr>
          <w:b/>
          <w:sz w:val="28"/>
          <w:szCs w:val="28"/>
        </w:rPr>
      </w:pPr>
      <w:r>
        <w:rPr>
          <w:b/>
          <w:sz w:val="28"/>
          <w:szCs w:val="28"/>
        </w:rPr>
        <w:t>2</w:t>
      </w:r>
      <w:r w:rsidR="007D7FB2" w:rsidRPr="000620F7">
        <w:rPr>
          <w:b/>
          <w:sz w:val="28"/>
          <w:szCs w:val="28"/>
        </w:rPr>
        <w:t>5</w:t>
      </w:r>
      <w:r>
        <w:rPr>
          <w:b/>
          <w:sz w:val="28"/>
          <w:szCs w:val="28"/>
        </w:rPr>
        <w:t>0</w:t>
      </w:r>
      <w:r w:rsidR="007D7FB2" w:rsidRPr="000620F7">
        <w:rPr>
          <w:b/>
          <w:sz w:val="28"/>
          <w:szCs w:val="28"/>
        </w:rPr>
        <w:t xml:space="preserve"> </w:t>
      </w:r>
      <w:r w:rsidR="00832BC5">
        <w:rPr>
          <w:b/>
          <w:sz w:val="28"/>
          <w:szCs w:val="28"/>
        </w:rPr>
        <w:t>micrograms</w:t>
      </w:r>
      <w:r>
        <w:rPr>
          <w:b/>
          <w:sz w:val="28"/>
          <w:szCs w:val="28"/>
        </w:rPr>
        <w:t>/10</w:t>
      </w:r>
      <w:r w:rsidR="007D7FB2" w:rsidRPr="000620F7">
        <w:rPr>
          <w:b/>
          <w:sz w:val="28"/>
          <w:szCs w:val="28"/>
        </w:rPr>
        <w:t xml:space="preserve"> </w:t>
      </w:r>
      <w:r w:rsidR="00832BC5">
        <w:rPr>
          <w:b/>
          <w:sz w:val="28"/>
          <w:szCs w:val="28"/>
        </w:rPr>
        <w:t>micrograms</w:t>
      </w:r>
    </w:p>
    <w:p w:rsidR="007F056B" w:rsidRDefault="007D7FB2" w:rsidP="007F056B">
      <w:pPr>
        <w:pStyle w:val="Heading2"/>
      </w:pPr>
      <w:r>
        <w:t>NAME OF THE MEDICINE</w:t>
      </w:r>
    </w:p>
    <w:p w:rsidR="007D7FB2" w:rsidRDefault="007D7FB2" w:rsidP="00074DE3">
      <w:pPr>
        <w:ind w:right="-360"/>
      </w:pPr>
      <w:proofErr w:type="spellStart"/>
      <w:proofErr w:type="gramStart"/>
      <w:r w:rsidRPr="007D7FB2">
        <w:rPr>
          <w:rFonts w:eastAsia="TimesNewRoman"/>
          <w:color w:val="000000"/>
        </w:rPr>
        <w:t>fluticasone</w:t>
      </w:r>
      <w:proofErr w:type="spellEnd"/>
      <w:proofErr w:type="gramEnd"/>
      <w:r w:rsidRPr="007D7FB2">
        <w:rPr>
          <w:rFonts w:eastAsia="TimesNewRoman"/>
          <w:color w:val="000000"/>
        </w:rPr>
        <w:t xml:space="preserve"> propionate</w:t>
      </w:r>
      <w:r>
        <w:t xml:space="preserve"> and</w:t>
      </w:r>
      <w:r w:rsidRPr="007D7FB2">
        <w:rPr>
          <w:rFonts w:eastAsia="TimesNewRoman"/>
          <w:color w:val="000000"/>
        </w:rPr>
        <w:t xml:space="preserve"> </w:t>
      </w:r>
      <w:proofErr w:type="spellStart"/>
      <w:r w:rsidR="00270FC4">
        <w:rPr>
          <w:rFonts w:eastAsia="TimesNewRoman"/>
          <w:color w:val="000000"/>
        </w:rPr>
        <w:t>eformoterol</w:t>
      </w:r>
      <w:proofErr w:type="spellEnd"/>
      <w:r w:rsidRPr="007D7FB2">
        <w:rPr>
          <w:rFonts w:eastAsia="TimesNewRoman"/>
          <w:color w:val="000000"/>
        </w:rPr>
        <w:t xml:space="preserve"> </w:t>
      </w:r>
      <w:proofErr w:type="spellStart"/>
      <w:r w:rsidRPr="007D7FB2">
        <w:rPr>
          <w:rFonts w:eastAsia="TimesNewRoman"/>
          <w:color w:val="000000"/>
        </w:rPr>
        <w:t>fumarate</w:t>
      </w:r>
      <w:proofErr w:type="spellEnd"/>
      <w:r w:rsidR="00273987">
        <w:rPr>
          <w:rFonts w:eastAsia="TimesNewRoman"/>
          <w:color w:val="000000"/>
        </w:rPr>
        <w:t xml:space="preserve"> </w:t>
      </w:r>
      <w:proofErr w:type="spellStart"/>
      <w:r w:rsidR="00273987">
        <w:rPr>
          <w:rFonts w:eastAsia="TimesNewRoman"/>
          <w:color w:val="000000"/>
        </w:rPr>
        <w:t>dihydrate</w:t>
      </w:r>
      <w:proofErr w:type="spellEnd"/>
    </w:p>
    <w:p w:rsidR="003E54BB" w:rsidRPr="007F1CE7" w:rsidRDefault="007F1CE7" w:rsidP="007F056B">
      <w:pPr>
        <w:pStyle w:val="Heading2"/>
        <w:rPr>
          <w:rFonts w:eastAsia="TimesNewRoman"/>
        </w:rPr>
      </w:pPr>
      <w:r w:rsidRPr="007F1CE7">
        <w:rPr>
          <w:rFonts w:eastAsia="TimesNewRoman"/>
        </w:rPr>
        <w:t>DESCRIPTION</w:t>
      </w:r>
    </w:p>
    <w:p w:rsidR="00241895" w:rsidRPr="00577862" w:rsidRDefault="007F1CE7" w:rsidP="007F056B">
      <w:pPr>
        <w:autoSpaceDE w:val="0"/>
        <w:autoSpaceDN w:val="0"/>
        <w:adjustRightInd w:val="0"/>
        <w:spacing w:after="100" w:afterAutospacing="1"/>
        <w:ind w:right="-357"/>
        <w:jc w:val="both"/>
        <w:rPr>
          <w:rFonts w:eastAsia="TimesNewRoman"/>
          <w:color w:val="000000"/>
        </w:rPr>
      </w:pPr>
      <w:r w:rsidRPr="00577862">
        <w:rPr>
          <w:rFonts w:eastAsia="TimesNewRoman"/>
          <w:i/>
          <w:color w:val="000000"/>
        </w:rPr>
        <w:t>Fluticasone propionate</w:t>
      </w:r>
      <w:r w:rsidRPr="00577862">
        <w:rPr>
          <w:rFonts w:eastAsia="TimesNewRoman"/>
          <w:color w:val="000000"/>
        </w:rPr>
        <w:t xml:space="preserve">: </w:t>
      </w:r>
      <w:r w:rsidR="002547A7" w:rsidRPr="00577862">
        <w:rPr>
          <w:rFonts w:eastAsia="TimesNewRoman"/>
          <w:color w:val="000000"/>
        </w:rPr>
        <w:t xml:space="preserve"> </w:t>
      </w:r>
      <w:r w:rsidR="00FF1B3D" w:rsidRPr="00577862">
        <w:rPr>
          <w:rFonts w:eastAsia="TimesNewRoman"/>
          <w:color w:val="000000"/>
        </w:rPr>
        <w:t>It is a white</w:t>
      </w:r>
      <w:r w:rsidR="00902A57" w:rsidRPr="00577862">
        <w:rPr>
          <w:rFonts w:eastAsia="TimesNewRoman"/>
          <w:color w:val="000000"/>
        </w:rPr>
        <w:t xml:space="preserve"> to almost white</w:t>
      </w:r>
      <w:r w:rsidR="004F40BD" w:rsidRPr="00577862">
        <w:rPr>
          <w:rFonts w:eastAsia="TimesNewRoman"/>
          <w:color w:val="000000"/>
        </w:rPr>
        <w:t xml:space="preserve"> powder</w:t>
      </w:r>
      <w:r w:rsidR="00902A57" w:rsidRPr="00577862">
        <w:rPr>
          <w:rFonts w:eastAsia="TimesNewRoman"/>
          <w:color w:val="000000"/>
        </w:rPr>
        <w:t>, practically</w:t>
      </w:r>
      <w:r w:rsidR="00A519AF" w:rsidRPr="00577862">
        <w:rPr>
          <w:rFonts w:eastAsia="TimesNewRoman"/>
          <w:color w:val="000000"/>
        </w:rPr>
        <w:t xml:space="preserve"> insoluble in water, slightly soluble in </w:t>
      </w:r>
      <w:r w:rsidR="008B4625" w:rsidRPr="00577862">
        <w:rPr>
          <w:rFonts w:eastAsia="TimesNewRoman"/>
          <w:color w:val="000000"/>
        </w:rPr>
        <w:t>alcohol</w:t>
      </w:r>
      <w:r w:rsidR="004F40BD" w:rsidRPr="00577862">
        <w:rPr>
          <w:rFonts w:eastAsia="TimesNewRoman"/>
          <w:color w:val="000000"/>
        </w:rPr>
        <w:t xml:space="preserve"> and </w:t>
      </w:r>
      <w:r w:rsidR="00902A57" w:rsidRPr="00577862">
        <w:rPr>
          <w:rFonts w:eastAsia="TimesNewRoman"/>
          <w:color w:val="000000"/>
        </w:rPr>
        <w:t xml:space="preserve">sparingly soluble in </w:t>
      </w:r>
      <w:r w:rsidR="00A519AF" w:rsidRPr="00577862">
        <w:rPr>
          <w:rFonts w:eastAsia="TimesNewRoman"/>
          <w:color w:val="000000"/>
        </w:rPr>
        <w:t>di</w:t>
      </w:r>
      <w:r w:rsidR="00902A57" w:rsidRPr="00577862">
        <w:rPr>
          <w:rFonts w:eastAsia="TimesNewRoman"/>
          <w:color w:val="000000"/>
        </w:rPr>
        <w:t>chloromethane</w:t>
      </w:r>
      <w:r w:rsidR="004F40BD" w:rsidRPr="00577862">
        <w:rPr>
          <w:rFonts w:eastAsia="TimesNewRoman"/>
          <w:color w:val="000000"/>
        </w:rPr>
        <w:t>.</w:t>
      </w:r>
      <w:r w:rsidR="00A519AF" w:rsidRPr="00577862">
        <w:rPr>
          <w:rFonts w:eastAsia="TimesNewRoman"/>
          <w:color w:val="000000"/>
        </w:rPr>
        <w:t xml:space="preserve"> </w:t>
      </w:r>
      <w:r w:rsidR="002547A7" w:rsidRPr="00577862">
        <w:rPr>
          <w:rFonts w:eastAsia="TimesNewRoman"/>
          <w:color w:val="000000"/>
        </w:rPr>
        <w:t>T</w:t>
      </w:r>
      <w:r w:rsidRPr="00577862">
        <w:rPr>
          <w:rFonts w:eastAsia="TimesNewRoman"/>
          <w:color w:val="000000"/>
        </w:rPr>
        <w:t>he chemical name is S-</w:t>
      </w:r>
      <w:proofErr w:type="spellStart"/>
      <w:r w:rsidRPr="00577862">
        <w:rPr>
          <w:rFonts w:eastAsia="TimesNewRoman"/>
          <w:color w:val="000000"/>
        </w:rPr>
        <w:t>fluoromethyl</w:t>
      </w:r>
      <w:proofErr w:type="spellEnd"/>
      <w:r w:rsidRPr="00577862">
        <w:rPr>
          <w:rFonts w:eastAsia="TimesNewRoman"/>
          <w:color w:val="000000"/>
        </w:rPr>
        <w:t xml:space="preserve"> 6α, 9α-difluoro-11β-hydroxy-16</w:t>
      </w:r>
      <w:r w:rsidR="00241895" w:rsidRPr="00577862">
        <w:rPr>
          <w:rFonts w:eastAsia="TimesNewRoman"/>
          <w:color w:val="000000"/>
        </w:rPr>
        <w:t>α-methyl-3-oxo-17α-propionyl-oxy-androsta-1, 4-diene-17β-</w:t>
      </w:r>
      <w:r w:rsidR="00CB2693" w:rsidRPr="00577862">
        <w:rPr>
          <w:rFonts w:eastAsia="TimesNewRoman"/>
          <w:color w:val="000000"/>
        </w:rPr>
        <w:t xml:space="preserve">carbothioate </w:t>
      </w:r>
      <w:r w:rsidR="00241895" w:rsidRPr="00577862">
        <w:rPr>
          <w:rFonts w:eastAsia="TimesNewRoman"/>
          <w:color w:val="000000"/>
        </w:rPr>
        <w:t>(CAS No: 80474-14-2).  The molecular formula is C</w:t>
      </w:r>
      <w:r w:rsidR="00241895" w:rsidRPr="00577862">
        <w:rPr>
          <w:rFonts w:eastAsia="TimesNewRoman"/>
          <w:color w:val="000000"/>
          <w:vertAlign w:val="subscript"/>
        </w:rPr>
        <w:t>25</w:t>
      </w:r>
      <w:r w:rsidR="00241895" w:rsidRPr="00577862">
        <w:rPr>
          <w:rFonts w:eastAsia="TimesNewRoman"/>
          <w:color w:val="000000"/>
        </w:rPr>
        <w:t>H</w:t>
      </w:r>
      <w:r w:rsidR="00241895" w:rsidRPr="00577862">
        <w:rPr>
          <w:rFonts w:eastAsia="TimesNewRoman"/>
          <w:color w:val="000000"/>
          <w:vertAlign w:val="subscript"/>
        </w:rPr>
        <w:t>31</w:t>
      </w:r>
      <w:r w:rsidR="00241895" w:rsidRPr="00577862">
        <w:rPr>
          <w:rFonts w:eastAsia="TimesNewRoman"/>
          <w:color w:val="000000"/>
        </w:rPr>
        <w:t>F</w:t>
      </w:r>
      <w:r w:rsidR="00241895" w:rsidRPr="00577862">
        <w:rPr>
          <w:rFonts w:eastAsia="TimesNewRoman"/>
          <w:color w:val="000000"/>
          <w:vertAlign w:val="subscript"/>
        </w:rPr>
        <w:t>3</w:t>
      </w:r>
      <w:r w:rsidR="00241895" w:rsidRPr="00577862">
        <w:rPr>
          <w:rFonts w:eastAsia="TimesNewRoman"/>
          <w:color w:val="000000"/>
        </w:rPr>
        <w:t>O</w:t>
      </w:r>
      <w:r w:rsidR="00241895" w:rsidRPr="00577862">
        <w:rPr>
          <w:rFonts w:eastAsia="TimesNewRoman"/>
          <w:color w:val="000000"/>
          <w:vertAlign w:val="subscript"/>
        </w:rPr>
        <w:t>5</w:t>
      </w:r>
      <w:r w:rsidR="00241895" w:rsidRPr="00577862">
        <w:rPr>
          <w:rFonts w:eastAsia="TimesNewRoman"/>
          <w:color w:val="000000"/>
        </w:rPr>
        <w:t>S.  The structural formula is</w:t>
      </w:r>
      <w:r w:rsidR="00003A13">
        <w:rPr>
          <w:rFonts w:eastAsia="TimesNewRoman"/>
          <w:color w:val="000000"/>
        </w:rPr>
        <w:t xml:space="preserve"> below.</w:t>
      </w:r>
    </w:p>
    <w:p w:rsidR="00241895" w:rsidRDefault="00270FC4" w:rsidP="007F056B">
      <w:pPr>
        <w:autoSpaceDE w:val="0"/>
        <w:autoSpaceDN w:val="0"/>
        <w:adjustRightInd w:val="0"/>
        <w:spacing w:before="100" w:beforeAutospacing="1" w:after="100" w:afterAutospacing="1"/>
        <w:ind w:right="-357"/>
        <w:jc w:val="both"/>
        <w:rPr>
          <w:rFonts w:eastAsia="TimesNewRoman"/>
          <w:color w:val="000000"/>
        </w:rPr>
      </w:pPr>
      <w:proofErr w:type="spellStart"/>
      <w:r w:rsidRPr="00577862">
        <w:rPr>
          <w:rFonts w:eastAsia="TimesNewRoman"/>
          <w:i/>
          <w:color w:val="000000"/>
        </w:rPr>
        <w:t>Eformoterol</w:t>
      </w:r>
      <w:proofErr w:type="spellEnd"/>
      <w:r w:rsidR="00241895" w:rsidRPr="00577862">
        <w:rPr>
          <w:rFonts w:eastAsia="TimesNewRoman"/>
          <w:i/>
          <w:color w:val="000000"/>
        </w:rPr>
        <w:t xml:space="preserve"> </w:t>
      </w:r>
      <w:proofErr w:type="spellStart"/>
      <w:r w:rsidR="00241895" w:rsidRPr="00577862">
        <w:rPr>
          <w:rFonts w:eastAsia="TimesNewRoman"/>
          <w:i/>
          <w:color w:val="000000"/>
        </w:rPr>
        <w:t>fumarate</w:t>
      </w:r>
      <w:proofErr w:type="spellEnd"/>
      <w:r w:rsidR="00241895" w:rsidRPr="00577862">
        <w:rPr>
          <w:rFonts w:eastAsia="TimesNewRoman"/>
          <w:i/>
          <w:color w:val="000000"/>
        </w:rPr>
        <w:t xml:space="preserve"> </w:t>
      </w:r>
      <w:proofErr w:type="spellStart"/>
      <w:r w:rsidR="00241895" w:rsidRPr="00577862">
        <w:rPr>
          <w:rFonts w:eastAsia="TimesNewRoman"/>
          <w:i/>
          <w:color w:val="000000"/>
        </w:rPr>
        <w:t>dihydrate</w:t>
      </w:r>
      <w:proofErr w:type="spellEnd"/>
      <w:r w:rsidR="002547A7" w:rsidRPr="00577862">
        <w:rPr>
          <w:rFonts w:eastAsia="TimesNewRoman"/>
          <w:color w:val="000000"/>
        </w:rPr>
        <w:t xml:space="preserve">:  It is a white to </w:t>
      </w:r>
      <w:r w:rsidR="00902A57" w:rsidRPr="00577862">
        <w:rPr>
          <w:rFonts w:eastAsia="TimesNewRoman"/>
          <w:color w:val="000000"/>
        </w:rPr>
        <w:t xml:space="preserve">almost white or </w:t>
      </w:r>
      <w:r w:rsidR="002547A7" w:rsidRPr="00577862">
        <w:rPr>
          <w:rFonts w:eastAsia="TimesNewRoman"/>
          <w:color w:val="000000"/>
        </w:rPr>
        <w:t>yellowish pow</w:t>
      </w:r>
      <w:r w:rsidR="00902A57" w:rsidRPr="00577862">
        <w:rPr>
          <w:rFonts w:eastAsia="TimesNewRoman"/>
          <w:color w:val="000000"/>
        </w:rPr>
        <w:t>d</w:t>
      </w:r>
      <w:r w:rsidR="002547A7" w:rsidRPr="00577862">
        <w:rPr>
          <w:rFonts w:eastAsia="TimesNewRoman"/>
          <w:color w:val="000000"/>
        </w:rPr>
        <w:t xml:space="preserve">er.  It is slightly soluble in water, sparingly soluble in isopropyl alcohol, soluble in methanol and </w:t>
      </w:r>
      <w:r w:rsidR="00DF5C91" w:rsidRPr="00577862">
        <w:rPr>
          <w:rFonts w:eastAsia="TimesNewRoman"/>
          <w:color w:val="000000"/>
        </w:rPr>
        <w:t>practically insoluble in acetonitrile</w:t>
      </w:r>
      <w:r w:rsidR="002547A7" w:rsidRPr="00577862">
        <w:rPr>
          <w:rFonts w:eastAsia="TimesNewRoman"/>
          <w:color w:val="000000"/>
        </w:rPr>
        <w:t>.  T</w:t>
      </w:r>
      <w:r w:rsidR="00241895" w:rsidRPr="00577862">
        <w:rPr>
          <w:rFonts w:eastAsia="TimesNewRoman"/>
          <w:color w:val="000000"/>
        </w:rPr>
        <w:t>he chemical name is (</w:t>
      </w:r>
      <w:r w:rsidR="002547A7" w:rsidRPr="00577862">
        <w:rPr>
          <w:rFonts w:eastAsia="TimesNewRoman"/>
          <w:color w:val="000000"/>
        </w:rPr>
        <w:t>±)-2</w:t>
      </w:r>
      <w:r w:rsidR="002E7D11" w:rsidRPr="00577862">
        <w:rPr>
          <w:rFonts w:eastAsia="TimesNewRoman"/>
          <w:color w:val="000000"/>
        </w:rPr>
        <w:t>’</w:t>
      </w:r>
      <w:r w:rsidR="002547A7" w:rsidRPr="00577862">
        <w:rPr>
          <w:rFonts w:eastAsia="TimesNewRoman"/>
          <w:color w:val="000000"/>
        </w:rPr>
        <w:t>-hydroxy-5’-[(RS)]-1-</w:t>
      </w:r>
      <w:r w:rsidR="002E7D11" w:rsidRPr="00577862">
        <w:rPr>
          <w:rFonts w:eastAsia="TimesNewRoman"/>
          <w:color w:val="000000"/>
        </w:rPr>
        <w:t>hydroxy-2-[[(RS)-p-methoxy-α-</w:t>
      </w:r>
      <w:r w:rsidR="00FC6B86" w:rsidRPr="00577862">
        <w:rPr>
          <w:rFonts w:eastAsia="TimesNewRoman"/>
          <w:color w:val="000000"/>
        </w:rPr>
        <w:t>methylphenethyl</w:t>
      </w:r>
      <w:proofErr w:type="gramStart"/>
      <w:r w:rsidR="00FC6B86" w:rsidRPr="00577862">
        <w:rPr>
          <w:rFonts w:eastAsia="TimesNewRoman"/>
          <w:color w:val="000000"/>
        </w:rPr>
        <w:t>]amino</w:t>
      </w:r>
      <w:proofErr w:type="gramEnd"/>
      <w:r w:rsidR="00FC6B86" w:rsidRPr="00577862">
        <w:rPr>
          <w:rFonts w:eastAsia="TimesNewRoman"/>
          <w:color w:val="000000"/>
        </w:rPr>
        <w:t>]ethyl</w:t>
      </w:r>
      <w:r w:rsidR="002547A7" w:rsidRPr="00577862">
        <w:rPr>
          <w:rFonts w:eastAsia="TimesNewRoman"/>
          <w:color w:val="000000"/>
        </w:rPr>
        <w:t xml:space="preserve">] </w:t>
      </w:r>
      <w:proofErr w:type="spellStart"/>
      <w:r w:rsidR="002547A7" w:rsidRPr="00577862">
        <w:rPr>
          <w:rFonts w:eastAsia="TimesNewRoman"/>
          <w:color w:val="000000"/>
        </w:rPr>
        <w:t>formanilide</w:t>
      </w:r>
      <w:proofErr w:type="spellEnd"/>
      <w:r w:rsidR="002547A7" w:rsidRPr="00577862">
        <w:rPr>
          <w:rFonts w:eastAsia="TimesNewRoman"/>
          <w:color w:val="000000"/>
        </w:rPr>
        <w:t xml:space="preserve"> </w:t>
      </w:r>
      <w:proofErr w:type="spellStart"/>
      <w:r w:rsidR="002547A7" w:rsidRPr="00577862">
        <w:rPr>
          <w:rFonts w:eastAsia="TimesNewRoman"/>
          <w:color w:val="000000"/>
        </w:rPr>
        <w:t>fumarate</w:t>
      </w:r>
      <w:proofErr w:type="spellEnd"/>
      <w:r w:rsidR="002547A7" w:rsidRPr="00577862">
        <w:rPr>
          <w:rFonts w:eastAsia="TimesNewRoman"/>
          <w:color w:val="000000"/>
        </w:rPr>
        <w:t xml:space="preserve"> </w:t>
      </w:r>
      <w:proofErr w:type="spellStart"/>
      <w:r w:rsidR="002547A7" w:rsidRPr="00577862">
        <w:rPr>
          <w:rFonts w:eastAsia="TimesNewRoman"/>
          <w:color w:val="000000"/>
        </w:rPr>
        <w:t>dihydrate</w:t>
      </w:r>
      <w:proofErr w:type="spellEnd"/>
      <w:r w:rsidR="002547A7" w:rsidRPr="00577862">
        <w:rPr>
          <w:rFonts w:eastAsia="TimesNewRoman"/>
          <w:color w:val="000000"/>
        </w:rPr>
        <w:t xml:space="preserve"> (CAS No: 43229-80-7).  The molecular fo</w:t>
      </w:r>
      <w:r w:rsidR="00902A57" w:rsidRPr="00577862">
        <w:rPr>
          <w:rFonts w:eastAsia="TimesNewRoman"/>
          <w:color w:val="000000"/>
        </w:rPr>
        <w:t>r</w:t>
      </w:r>
      <w:r w:rsidR="002547A7" w:rsidRPr="00577862">
        <w:rPr>
          <w:rFonts w:eastAsia="TimesNewRoman"/>
          <w:color w:val="000000"/>
        </w:rPr>
        <w:t>mula is (C</w:t>
      </w:r>
      <w:r w:rsidR="002547A7" w:rsidRPr="00577862">
        <w:rPr>
          <w:rFonts w:eastAsia="TimesNewRoman"/>
          <w:color w:val="000000"/>
          <w:vertAlign w:val="subscript"/>
        </w:rPr>
        <w:t>19</w:t>
      </w:r>
      <w:r w:rsidR="002547A7" w:rsidRPr="00577862">
        <w:rPr>
          <w:rFonts w:eastAsia="TimesNewRoman"/>
          <w:color w:val="000000"/>
        </w:rPr>
        <w:t>H</w:t>
      </w:r>
      <w:r w:rsidR="002547A7" w:rsidRPr="00577862">
        <w:rPr>
          <w:rFonts w:eastAsia="TimesNewRoman"/>
          <w:color w:val="000000"/>
          <w:vertAlign w:val="subscript"/>
        </w:rPr>
        <w:t>24</w:t>
      </w:r>
      <w:r w:rsidR="002547A7" w:rsidRPr="00577862">
        <w:rPr>
          <w:rFonts w:eastAsia="TimesNewRoman"/>
          <w:color w:val="000000"/>
        </w:rPr>
        <w:t>N</w:t>
      </w:r>
      <w:r w:rsidR="002547A7" w:rsidRPr="00577862">
        <w:rPr>
          <w:rFonts w:eastAsia="TimesNewRoman"/>
          <w:color w:val="000000"/>
          <w:vertAlign w:val="subscript"/>
        </w:rPr>
        <w:t>2</w:t>
      </w:r>
      <w:r w:rsidR="002547A7" w:rsidRPr="00577862">
        <w:rPr>
          <w:rFonts w:eastAsia="TimesNewRoman"/>
          <w:color w:val="000000"/>
        </w:rPr>
        <w:t>O</w:t>
      </w:r>
      <w:r w:rsidR="002547A7" w:rsidRPr="00577862">
        <w:rPr>
          <w:rFonts w:eastAsia="TimesNewRoman"/>
          <w:color w:val="000000"/>
          <w:vertAlign w:val="subscript"/>
        </w:rPr>
        <w:t>4</w:t>
      </w:r>
      <w:r w:rsidR="002547A7" w:rsidRPr="00577862">
        <w:rPr>
          <w:rFonts w:eastAsia="TimesNewRoman"/>
          <w:color w:val="000000"/>
        </w:rPr>
        <w:t>)</w:t>
      </w:r>
      <w:r w:rsidR="00FC6B86" w:rsidRPr="00577862">
        <w:rPr>
          <w:rFonts w:eastAsia="TimesNewRoman"/>
          <w:color w:val="000000"/>
          <w:vertAlign w:val="subscript"/>
        </w:rPr>
        <w:t xml:space="preserve"> 2</w:t>
      </w:r>
      <w:r w:rsidR="002547A7" w:rsidRPr="00577862">
        <w:rPr>
          <w:rFonts w:eastAsia="TimesNewRoman"/>
          <w:color w:val="000000"/>
        </w:rPr>
        <w:t>.</w:t>
      </w:r>
      <w:r w:rsidR="00FC6B86" w:rsidRPr="00577862">
        <w:rPr>
          <w:rFonts w:eastAsia="TimesNewRoman"/>
          <w:color w:val="000000"/>
        </w:rPr>
        <w:t>C</w:t>
      </w:r>
      <w:r w:rsidR="00FC6B86" w:rsidRPr="00577862">
        <w:rPr>
          <w:rFonts w:eastAsia="TimesNewRoman"/>
          <w:color w:val="000000"/>
          <w:vertAlign w:val="subscript"/>
        </w:rPr>
        <w:t>4</w:t>
      </w:r>
      <w:r w:rsidR="00FC6B86" w:rsidRPr="00577862">
        <w:rPr>
          <w:rFonts w:eastAsia="TimesNewRoman"/>
          <w:color w:val="000000"/>
        </w:rPr>
        <w:t>H</w:t>
      </w:r>
      <w:r w:rsidR="00FC6B86" w:rsidRPr="00577862">
        <w:rPr>
          <w:rFonts w:eastAsia="TimesNewRoman"/>
          <w:color w:val="000000"/>
          <w:vertAlign w:val="subscript"/>
        </w:rPr>
        <w:t>4</w:t>
      </w:r>
      <w:r w:rsidR="00FC6B86" w:rsidRPr="00577862">
        <w:rPr>
          <w:rFonts w:eastAsia="TimesNewRoman"/>
          <w:color w:val="000000"/>
        </w:rPr>
        <w:t>O</w:t>
      </w:r>
      <w:r w:rsidR="00FC6B86" w:rsidRPr="00577862">
        <w:rPr>
          <w:rFonts w:eastAsia="TimesNewRoman"/>
          <w:color w:val="000000"/>
          <w:vertAlign w:val="subscript"/>
        </w:rPr>
        <w:t>4</w:t>
      </w:r>
      <w:r w:rsidR="00FC6B86" w:rsidRPr="00577862">
        <w:rPr>
          <w:rFonts w:eastAsia="TimesNewRoman"/>
          <w:color w:val="000000"/>
        </w:rPr>
        <w:t>.</w:t>
      </w:r>
      <w:r w:rsidR="002547A7" w:rsidRPr="00577862">
        <w:rPr>
          <w:rFonts w:eastAsia="TimesNewRoman"/>
          <w:color w:val="000000"/>
        </w:rPr>
        <w:t>2H</w:t>
      </w:r>
      <w:r w:rsidR="002547A7" w:rsidRPr="00577862">
        <w:rPr>
          <w:rFonts w:eastAsia="TimesNewRoman"/>
          <w:color w:val="000000"/>
          <w:vertAlign w:val="subscript"/>
        </w:rPr>
        <w:t>2</w:t>
      </w:r>
      <w:r w:rsidR="002547A7" w:rsidRPr="00577862">
        <w:rPr>
          <w:rFonts w:eastAsia="TimesNewRoman"/>
          <w:color w:val="000000"/>
        </w:rPr>
        <w:t xml:space="preserve">O.  The structural formula </w:t>
      </w:r>
      <w:r w:rsidR="002547A7">
        <w:rPr>
          <w:rFonts w:eastAsia="TimesNewRoman"/>
          <w:color w:val="000000"/>
        </w:rPr>
        <w:t>is:</w:t>
      </w:r>
    </w:p>
    <w:p w:rsidR="00003A13" w:rsidRDefault="00003A13" w:rsidP="00074DE3">
      <w:pPr>
        <w:autoSpaceDE w:val="0"/>
        <w:autoSpaceDN w:val="0"/>
        <w:adjustRightInd w:val="0"/>
        <w:ind w:right="-360"/>
        <w:rPr>
          <w:rFonts w:eastAsia="TimesNewRoman"/>
          <w:color w:val="000000"/>
        </w:rPr>
      </w:pPr>
      <w:r>
        <w:rPr>
          <w:rFonts w:eastAsia="TimesNewRoman"/>
          <w:noProof/>
          <w:color w:val="000000"/>
          <w:lang w:eastAsia="en-AU"/>
        </w:rPr>
        <w:drawing>
          <wp:inline distT="0" distB="0" distL="0" distR="0">
            <wp:extent cx="4944110" cy="1475105"/>
            <wp:effectExtent l="19050" t="0" r="8890" b="0"/>
            <wp:docPr id="4" name="Picture 4" descr="Chemical structure of fluticasone propionate and eformoterol fumarate di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4110" cy="1475105"/>
                    </a:xfrm>
                    <a:prstGeom prst="rect">
                      <a:avLst/>
                    </a:prstGeom>
                    <a:noFill/>
                  </pic:spPr>
                </pic:pic>
              </a:graphicData>
            </a:graphic>
          </wp:inline>
        </w:drawing>
      </w:r>
    </w:p>
    <w:p w:rsidR="00FF1B3D" w:rsidRPr="00577862" w:rsidRDefault="00D058BC" w:rsidP="007F056B">
      <w:pPr>
        <w:autoSpaceDE w:val="0"/>
        <w:autoSpaceDN w:val="0"/>
        <w:adjustRightInd w:val="0"/>
        <w:spacing w:before="100" w:beforeAutospacing="1" w:after="100" w:afterAutospacing="1"/>
        <w:ind w:right="-357"/>
        <w:jc w:val="both"/>
        <w:rPr>
          <w:rFonts w:eastAsia="TimesNewRoman"/>
          <w:color w:val="000000"/>
        </w:rPr>
      </w:pPr>
      <w:r w:rsidRPr="00577862">
        <w:rPr>
          <w:rFonts w:eastAsia="TimesNewRoman"/>
          <w:i/>
          <w:color w:val="000000"/>
        </w:rPr>
        <w:t>FLUTIFORM</w:t>
      </w:r>
      <w:r w:rsidR="004F40BD" w:rsidRPr="00577862">
        <w:rPr>
          <w:rFonts w:eastAsia="TimesNewRoman"/>
          <w:i/>
          <w:color w:val="000000"/>
          <w:vertAlign w:val="superscript"/>
        </w:rPr>
        <w:t>®</w:t>
      </w:r>
      <w:r w:rsidRPr="00577862">
        <w:rPr>
          <w:rFonts w:eastAsia="TimesNewRoman"/>
          <w:color w:val="000000"/>
        </w:rPr>
        <w:t xml:space="preserve"> </w:t>
      </w:r>
      <w:r w:rsidR="00381D65" w:rsidRPr="00577862">
        <w:rPr>
          <w:rFonts w:eastAsia="TimesNewRoman"/>
          <w:i/>
          <w:color w:val="000000"/>
        </w:rPr>
        <w:t>inhaler</w:t>
      </w:r>
      <w:r w:rsidRPr="00577862">
        <w:rPr>
          <w:rFonts w:eastAsia="TimesNewRoman"/>
          <w:color w:val="000000"/>
        </w:rPr>
        <w:t xml:space="preserve">: </w:t>
      </w:r>
      <w:r w:rsidR="00FD44F9" w:rsidRPr="00577862">
        <w:rPr>
          <w:rFonts w:eastAsia="TimesNewRoman"/>
          <w:color w:val="000000"/>
        </w:rPr>
        <w:t xml:space="preserve"> </w:t>
      </w:r>
      <w:r w:rsidR="007D776F" w:rsidRPr="00577862">
        <w:rPr>
          <w:rFonts w:eastAsia="TimesNewRoman"/>
          <w:color w:val="000000"/>
        </w:rPr>
        <w:t>FLUTIFORM</w:t>
      </w:r>
      <w:r w:rsidR="004738A8" w:rsidRPr="00577862">
        <w:rPr>
          <w:rFonts w:eastAsia="TimesNewRoman"/>
          <w:color w:val="000000"/>
          <w:vertAlign w:val="superscript"/>
        </w:rPr>
        <w:t>®</w:t>
      </w:r>
      <w:r w:rsidR="007D776F" w:rsidRPr="00577862">
        <w:rPr>
          <w:rFonts w:eastAsia="TimesNewRoman"/>
          <w:color w:val="000000"/>
          <w:vertAlign w:val="superscript"/>
        </w:rPr>
        <w:t xml:space="preserve"> </w:t>
      </w:r>
      <w:r w:rsidR="007D776F" w:rsidRPr="00577862">
        <w:rPr>
          <w:rFonts w:eastAsia="TimesNewRoman"/>
          <w:color w:val="000000"/>
        </w:rPr>
        <w:t xml:space="preserve">pressurised inhalation (“inhaler”) </w:t>
      </w:r>
      <w:r w:rsidR="00FD44F9" w:rsidRPr="00577862">
        <w:rPr>
          <w:rFonts w:eastAsia="TimesNewRoman"/>
          <w:color w:val="000000"/>
        </w:rPr>
        <w:t xml:space="preserve">is </w:t>
      </w:r>
      <w:r w:rsidR="004F40BD" w:rsidRPr="00577862">
        <w:rPr>
          <w:rFonts w:eastAsia="TimesNewRoman"/>
          <w:color w:val="000000"/>
        </w:rPr>
        <w:t xml:space="preserve">a </w:t>
      </w:r>
      <w:r w:rsidR="00FF1B3D" w:rsidRPr="00577862">
        <w:rPr>
          <w:rFonts w:eastAsia="TimesNewRoman"/>
          <w:color w:val="000000"/>
        </w:rPr>
        <w:t>white to off</w:t>
      </w:r>
      <w:r w:rsidR="00381D65" w:rsidRPr="00577862">
        <w:rPr>
          <w:rFonts w:eastAsia="TimesNewRoman"/>
          <w:color w:val="000000"/>
        </w:rPr>
        <w:t>-</w:t>
      </w:r>
      <w:r w:rsidR="00FF1B3D" w:rsidRPr="00577862">
        <w:rPr>
          <w:rFonts w:eastAsia="TimesNewRoman"/>
          <w:color w:val="000000"/>
        </w:rPr>
        <w:t>white liquid suspension</w:t>
      </w:r>
      <w:r w:rsidR="00FD44F9" w:rsidRPr="00577862">
        <w:rPr>
          <w:rFonts w:eastAsia="TimesNewRoman"/>
          <w:color w:val="000000"/>
        </w:rPr>
        <w:t xml:space="preserve"> inside </w:t>
      </w:r>
      <w:r w:rsidR="00381D65" w:rsidRPr="00577862">
        <w:rPr>
          <w:rFonts w:eastAsia="TimesNewRoman"/>
          <w:color w:val="000000"/>
        </w:rPr>
        <w:t xml:space="preserve">a pressurised </w:t>
      </w:r>
      <w:r w:rsidR="00FD44F9" w:rsidRPr="00577862">
        <w:rPr>
          <w:rFonts w:eastAsia="TimesNewRoman"/>
          <w:color w:val="000000"/>
        </w:rPr>
        <w:t>metal canister</w:t>
      </w:r>
      <w:r w:rsidR="004F40BD" w:rsidRPr="00577862">
        <w:rPr>
          <w:rFonts w:eastAsia="TimesNewRoman"/>
          <w:color w:val="000000"/>
        </w:rPr>
        <w:t xml:space="preserve">.  The inactive ingredients </w:t>
      </w:r>
      <w:r w:rsidR="00FD44F9" w:rsidRPr="00577862">
        <w:rPr>
          <w:rFonts w:eastAsia="TimesNewRoman"/>
          <w:color w:val="000000"/>
        </w:rPr>
        <w:t xml:space="preserve">are </w:t>
      </w:r>
      <w:r w:rsidR="004F40BD" w:rsidRPr="00577862">
        <w:rPr>
          <w:rFonts w:eastAsia="TimesNewRoman"/>
          <w:color w:val="000000"/>
        </w:rPr>
        <w:t xml:space="preserve">sodium </w:t>
      </w:r>
      <w:proofErr w:type="spellStart"/>
      <w:r w:rsidR="004F40BD" w:rsidRPr="00577862">
        <w:rPr>
          <w:rFonts w:eastAsia="TimesNewRoman"/>
          <w:color w:val="000000"/>
        </w:rPr>
        <w:t>c</w:t>
      </w:r>
      <w:r w:rsidR="00FD44F9" w:rsidRPr="00577862">
        <w:rPr>
          <w:rFonts w:eastAsia="TimesNewRoman"/>
          <w:color w:val="000000"/>
        </w:rPr>
        <w:t>romogly</w:t>
      </w:r>
      <w:r w:rsidR="004F40BD" w:rsidRPr="00577862">
        <w:rPr>
          <w:rFonts w:eastAsia="TimesNewRoman"/>
          <w:color w:val="000000"/>
        </w:rPr>
        <w:t>cate</w:t>
      </w:r>
      <w:proofErr w:type="spellEnd"/>
      <w:r w:rsidR="004F40BD" w:rsidRPr="00577862">
        <w:rPr>
          <w:rFonts w:eastAsia="TimesNewRoman"/>
          <w:color w:val="000000"/>
        </w:rPr>
        <w:t xml:space="preserve">, </w:t>
      </w:r>
      <w:r w:rsidR="00765C1D" w:rsidRPr="00577862">
        <w:rPr>
          <w:rFonts w:eastAsia="TimesNewRoman"/>
          <w:color w:val="000000"/>
        </w:rPr>
        <w:t xml:space="preserve">absolute </w:t>
      </w:r>
      <w:r w:rsidR="004F40BD" w:rsidRPr="00577862">
        <w:rPr>
          <w:rFonts w:eastAsia="TimesNewRoman"/>
          <w:color w:val="000000"/>
        </w:rPr>
        <w:t xml:space="preserve">ethanol and </w:t>
      </w:r>
      <w:proofErr w:type="spellStart"/>
      <w:r w:rsidR="00DF330D" w:rsidRPr="00577862">
        <w:rPr>
          <w:rFonts w:eastAsia="TimesNewRoman"/>
          <w:color w:val="000000"/>
        </w:rPr>
        <w:t>apaflurane</w:t>
      </w:r>
      <w:proofErr w:type="spellEnd"/>
      <w:r w:rsidR="00DF330D" w:rsidRPr="00577862">
        <w:rPr>
          <w:rFonts w:eastAsia="TimesNewRoman"/>
          <w:color w:val="000000"/>
        </w:rPr>
        <w:t xml:space="preserve"> </w:t>
      </w:r>
      <w:r w:rsidR="00EA3152" w:rsidRPr="00577862">
        <w:rPr>
          <w:rFonts w:eastAsia="TimesNewRoman"/>
          <w:color w:val="000000"/>
        </w:rPr>
        <w:t>(HFA</w:t>
      </w:r>
      <w:r w:rsidR="00381D65" w:rsidRPr="00577862">
        <w:rPr>
          <w:rFonts w:eastAsia="TimesNewRoman"/>
          <w:color w:val="000000"/>
        </w:rPr>
        <w:t xml:space="preserve"> </w:t>
      </w:r>
      <w:r w:rsidR="00EA3152" w:rsidRPr="00577862">
        <w:rPr>
          <w:rFonts w:eastAsia="TimesNewRoman"/>
          <w:color w:val="000000"/>
        </w:rPr>
        <w:t>227)</w:t>
      </w:r>
      <w:r w:rsidR="00341491" w:rsidRPr="00577862">
        <w:rPr>
          <w:rFonts w:eastAsia="TimesNewRoman"/>
          <w:color w:val="000000"/>
        </w:rPr>
        <w:t>.</w:t>
      </w:r>
      <w:r w:rsidR="00FD44F9" w:rsidRPr="00577862">
        <w:rPr>
          <w:rFonts w:eastAsia="TimesNewRoman"/>
          <w:color w:val="000000"/>
        </w:rPr>
        <w:t xml:space="preserve"> </w:t>
      </w:r>
      <w:r w:rsidR="00341491" w:rsidRPr="00577862">
        <w:rPr>
          <w:rFonts w:eastAsia="TimesNewRoman"/>
          <w:color w:val="000000"/>
        </w:rPr>
        <w:t>T</w:t>
      </w:r>
      <w:r w:rsidR="00FD44F9" w:rsidRPr="00577862">
        <w:rPr>
          <w:rFonts w:eastAsia="TimesNewRoman"/>
          <w:color w:val="000000"/>
        </w:rPr>
        <w:t>he active ingredients delivered by e</w:t>
      </w:r>
      <w:r w:rsidR="005728FA" w:rsidRPr="00577862">
        <w:rPr>
          <w:rFonts w:eastAsia="TimesNewRoman"/>
          <w:color w:val="000000"/>
        </w:rPr>
        <w:t>ach metered dose</w:t>
      </w:r>
      <w:r w:rsidR="00FF1B3D" w:rsidRPr="00577862">
        <w:rPr>
          <w:rFonts w:eastAsia="TimesNewRoman"/>
          <w:color w:val="000000"/>
        </w:rPr>
        <w:t xml:space="preserve"> from the </w:t>
      </w:r>
      <w:r w:rsidR="002E5B2C" w:rsidRPr="00577862">
        <w:rPr>
          <w:rFonts w:eastAsia="TimesNewRoman"/>
          <w:color w:val="000000"/>
        </w:rPr>
        <w:t>canister valve</w:t>
      </w:r>
      <w:r w:rsidR="00FD44F9" w:rsidRPr="00577862">
        <w:rPr>
          <w:rFonts w:eastAsia="TimesNewRoman"/>
          <w:color w:val="000000"/>
        </w:rPr>
        <w:t xml:space="preserve"> are</w:t>
      </w:r>
      <w:r w:rsidR="003D7EDC" w:rsidRPr="00577862">
        <w:rPr>
          <w:rFonts w:eastAsia="TimesNewRoman"/>
          <w:color w:val="000000"/>
        </w:rPr>
        <w:t xml:space="preserve"> given in </w:t>
      </w:r>
      <w:r w:rsidR="00D351E8" w:rsidRPr="00577862">
        <w:rPr>
          <w:rFonts w:eastAsia="TimesNewRoman"/>
          <w:color w:val="000000"/>
        </w:rPr>
        <w:t xml:space="preserve">the </w:t>
      </w:r>
      <w:r w:rsidR="003D7EDC" w:rsidRPr="00577862">
        <w:rPr>
          <w:rFonts w:eastAsia="TimesNewRoman"/>
          <w:color w:val="000000"/>
        </w:rPr>
        <w:t>table below</w:t>
      </w:r>
      <w:r w:rsidR="005728FA" w:rsidRPr="00577862">
        <w:rPr>
          <w:rFonts w:eastAsia="TimesNewRoman"/>
          <w:color w:val="000000"/>
        </w:rPr>
        <w:t>:</w:t>
      </w:r>
    </w:p>
    <w:tbl>
      <w:tblPr>
        <w:tblStyle w:val="TableGrid"/>
        <w:tblW w:w="0" w:type="auto"/>
        <w:tblLook w:val="04A0"/>
      </w:tblPr>
      <w:tblGrid>
        <w:gridCol w:w="2797"/>
        <w:gridCol w:w="6419"/>
      </w:tblGrid>
      <w:tr w:rsidR="00B60638" w:rsidTr="007F056B">
        <w:tc>
          <w:tcPr>
            <w:tcW w:w="2797" w:type="dxa"/>
          </w:tcPr>
          <w:p w:rsidR="00B60638" w:rsidRDefault="00B60638" w:rsidP="005A6BBF">
            <w:r>
              <w:t>Strengths (micrograms)</w:t>
            </w:r>
          </w:p>
        </w:tc>
        <w:tc>
          <w:tcPr>
            <w:tcW w:w="6419" w:type="dxa"/>
          </w:tcPr>
          <w:p w:rsidR="00B60638" w:rsidRDefault="00107C78" w:rsidP="005A6BBF">
            <w:r>
              <w:t>Active ingredient p</w:t>
            </w:r>
            <w:r w:rsidR="00B60638">
              <w:t>e</w:t>
            </w:r>
            <w:r>
              <w:t>r</w:t>
            </w:r>
            <w:r w:rsidR="00B60638">
              <w:t xml:space="preserve"> actuation</w:t>
            </w:r>
          </w:p>
        </w:tc>
      </w:tr>
      <w:tr w:rsidR="00B60638" w:rsidTr="007F056B">
        <w:tc>
          <w:tcPr>
            <w:tcW w:w="2797" w:type="dxa"/>
          </w:tcPr>
          <w:p w:rsidR="00B60638" w:rsidRDefault="00B60638" w:rsidP="005A6BBF">
            <w:proofErr w:type="spellStart"/>
            <w:r>
              <w:t>Flutiform</w:t>
            </w:r>
            <w:proofErr w:type="spellEnd"/>
            <w:r>
              <w:t xml:space="preserve"> 50/5</w:t>
            </w:r>
          </w:p>
        </w:tc>
        <w:tc>
          <w:tcPr>
            <w:tcW w:w="6419" w:type="dxa"/>
          </w:tcPr>
          <w:p w:rsidR="00B60638" w:rsidRDefault="00B60638" w:rsidP="005A6BBF">
            <w:r>
              <w:t xml:space="preserve">50 micrograms of fluticasone propionate and 5 micrograms of </w:t>
            </w:r>
            <w:proofErr w:type="spellStart"/>
            <w:r>
              <w:t>eformoterol</w:t>
            </w:r>
            <w:proofErr w:type="spellEnd"/>
            <w:r>
              <w:t xml:space="preserve"> </w:t>
            </w:r>
            <w:proofErr w:type="spellStart"/>
            <w:r>
              <w:t>fumarate</w:t>
            </w:r>
            <w:proofErr w:type="spellEnd"/>
            <w:r>
              <w:t xml:space="preserve"> </w:t>
            </w:r>
            <w:proofErr w:type="spellStart"/>
            <w:r>
              <w:t>dihydrate</w:t>
            </w:r>
            <w:proofErr w:type="spellEnd"/>
            <w:r>
              <w:t xml:space="preserve"> (equivalent to an ex-actuator delivered dose of approximately 46 micrograms of fluticasone propionate and 4.5 micrograms of </w:t>
            </w:r>
            <w:proofErr w:type="spellStart"/>
            <w:r>
              <w:t>eformoterol</w:t>
            </w:r>
            <w:proofErr w:type="spellEnd"/>
            <w:r>
              <w:t xml:space="preserve"> </w:t>
            </w:r>
            <w:proofErr w:type="spellStart"/>
            <w:r>
              <w:t>fumarate</w:t>
            </w:r>
            <w:proofErr w:type="spellEnd"/>
            <w:r>
              <w:t xml:space="preserve"> </w:t>
            </w:r>
            <w:proofErr w:type="spellStart"/>
            <w:r>
              <w:t>dihydrate</w:t>
            </w:r>
            <w:proofErr w:type="spellEnd"/>
            <w:r>
              <w:t>).</w:t>
            </w:r>
          </w:p>
        </w:tc>
      </w:tr>
      <w:tr w:rsidR="00B60638" w:rsidTr="007F056B">
        <w:tc>
          <w:tcPr>
            <w:tcW w:w="2797" w:type="dxa"/>
          </w:tcPr>
          <w:p w:rsidR="00B60638" w:rsidRDefault="00B60638" w:rsidP="005A6BBF">
            <w:proofErr w:type="spellStart"/>
            <w:r>
              <w:t>Flutiform</w:t>
            </w:r>
            <w:proofErr w:type="spellEnd"/>
            <w:r>
              <w:t xml:space="preserve"> 125/5</w:t>
            </w:r>
          </w:p>
        </w:tc>
        <w:tc>
          <w:tcPr>
            <w:tcW w:w="6419" w:type="dxa"/>
          </w:tcPr>
          <w:p w:rsidR="00B60638" w:rsidRDefault="00B60638" w:rsidP="005A6BBF">
            <w:r>
              <w:t xml:space="preserve">125 micrograms of fluticasone propionate and 5 micrograms of </w:t>
            </w:r>
            <w:proofErr w:type="spellStart"/>
            <w:r>
              <w:t>eformoterol</w:t>
            </w:r>
            <w:proofErr w:type="spellEnd"/>
            <w:r>
              <w:t xml:space="preserve"> </w:t>
            </w:r>
            <w:proofErr w:type="spellStart"/>
            <w:r>
              <w:t>fumarate</w:t>
            </w:r>
            <w:proofErr w:type="spellEnd"/>
            <w:r>
              <w:t xml:space="preserve"> </w:t>
            </w:r>
            <w:proofErr w:type="spellStart"/>
            <w:r>
              <w:t>dihydrate</w:t>
            </w:r>
            <w:proofErr w:type="spellEnd"/>
            <w:r>
              <w:t xml:space="preserve"> (equivalent to an ex-actuator </w:t>
            </w:r>
            <w:r>
              <w:lastRenderedPageBreak/>
              <w:t xml:space="preserve">delivered dose of approximately 115 micrograms of fluticasone propionate and 4.5 micrograms of </w:t>
            </w:r>
            <w:proofErr w:type="spellStart"/>
            <w:r>
              <w:t>eformoterol</w:t>
            </w:r>
            <w:proofErr w:type="spellEnd"/>
            <w:r>
              <w:t xml:space="preserve"> </w:t>
            </w:r>
            <w:proofErr w:type="spellStart"/>
            <w:r>
              <w:t>fumarate</w:t>
            </w:r>
            <w:proofErr w:type="spellEnd"/>
            <w:r>
              <w:t xml:space="preserve"> </w:t>
            </w:r>
            <w:proofErr w:type="spellStart"/>
            <w:r>
              <w:t>dihydrate</w:t>
            </w:r>
            <w:proofErr w:type="spellEnd"/>
            <w:r>
              <w:t>).</w:t>
            </w:r>
          </w:p>
        </w:tc>
      </w:tr>
      <w:tr w:rsidR="00B60638" w:rsidTr="007F056B">
        <w:tc>
          <w:tcPr>
            <w:tcW w:w="2797" w:type="dxa"/>
          </w:tcPr>
          <w:p w:rsidR="00B60638" w:rsidRDefault="00B60638" w:rsidP="005A6BBF">
            <w:proofErr w:type="spellStart"/>
            <w:r>
              <w:lastRenderedPageBreak/>
              <w:t>Flutiform</w:t>
            </w:r>
            <w:proofErr w:type="spellEnd"/>
            <w:r>
              <w:t xml:space="preserve"> 250/10</w:t>
            </w:r>
          </w:p>
        </w:tc>
        <w:tc>
          <w:tcPr>
            <w:tcW w:w="6419" w:type="dxa"/>
          </w:tcPr>
          <w:p w:rsidR="00B60638" w:rsidRDefault="00B60638" w:rsidP="005A6BBF">
            <w:r>
              <w:t xml:space="preserve">250 micrograms of fluticasone propionate and 10 micrograms of </w:t>
            </w:r>
            <w:proofErr w:type="spellStart"/>
            <w:r>
              <w:t>eformoterol</w:t>
            </w:r>
            <w:proofErr w:type="spellEnd"/>
            <w:r>
              <w:t xml:space="preserve"> </w:t>
            </w:r>
            <w:proofErr w:type="spellStart"/>
            <w:r>
              <w:t>fumarate</w:t>
            </w:r>
            <w:proofErr w:type="spellEnd"/>
            <w:r>
              <w:t xml:space="preserve"> </w:t>
            </w:r>
            <w:proofErr w:type="spellStart"/>
            <w:r>
              <w:t>dihydrate</w:t>
            </w:r>
            <w:proofErr w:type="spellEnd"/>
            <w:r>
              <w:t xml:space="preserve"> (equivalent to an ex-actuator delivered dose of approximately 230 micrograms of fluticasone propionate and 9 micrograms of </w:t>
            </w:r>
            <w:proofErr w:type="spellStart"/>
            <w:r>
              <w:t>eformoterol</w:t>
            </w:r>
            <w:proofErr w:type="spellEnd"/>
            <w:r>
              <w:t xml:space="preserve"> </w:t>
            </w:r>
            <w:proofErr w:type="spellStart"/>
            <w:r>
              <w:t>fumarate</w:t>
            </w:r>
            <w:proofErr w:type="spellEnd"/>
            <w:r>
              <w:t>).</w:t>
            </w:r>
          </w:p>
        </w:tc>
      </w:tr>
    </w:tbl>
    <w:p w:rsidR="003E54BB" w:rsidRPr="004F40BD" w:rsidRDefault="004F40BD" w:rsidP="007F056B">
      <w:pPr>
        <w:pStyle w:val="Heading2"/>
        <w:rPr>
          <w:rFonts w:eastAsia="TimesNewRoman"/>
        </w:rPr>
      </w:pPr>
      <w:r w:rsidRPr="004F40BD">
        <w:rPr>
          <w:rFonts w:eastAsia="TimesNewRoman"/>
        </w:rPr>
        <w:t>PHARMACOLOGY</w:t>
      </w:r>
    </w:p>
    <w:p w:rsidR="004F40BD" w:rsidRPr="007F056B" w:rsidRDefault="004F40BD" w:rsidP="007F056B">
      <w:pPr>
        <w:pStyle w:val="Heading3"/>
      </w:pPr>
      <w:r w:rsidRPr="007F056B">
        <w:t>Actions</w:t>
      </w:r>
    </w:p>
    <w:p w:rsidR="00CB4155" w:rsidRPr="00577862" w:rsidRDefault="00FD44F9" w:rsidP="00381D65">
      <w:pPr>
        <w:autoSpaceDE w:val="0"/>
        <w:autoSpaceDN w:val="0"/>
        <w:adjustRightInd w:val="0"/>
        <w:ind w:right="-360"/>
        <w:jc w:val="both"/>
        <w:rPr>
          <w:rFonts w:eastAsia="TimesNewRoman"/>
          <w:color w:val="000000"/>
        </w:rPr>
      </w:pPr>
      <w:proofErr w:type="spellStart"/>
      <w:r w:rsidRPr="00577862">
        <w:rPr>
          <w:bCs/>
          <w:color w:val="000000"/>
        </w:rPr>
        <w:t>Fluticasone</w:t>
      </w:r>
      <w:proofErr w:type="spellEnd"/>
      <w:r w:rsidRPr="00577862">
        <w:rPr>
          <w:bCs/>
          <w:color w:val="000000"/>
        </w:rPr>
        <w:t xml:space="preserve"> propionate </w:t>
      </w:r>
      <w:r w:rsidR="00983F5C" w:rsidRPr="00577862">
        <w:rPr>
          <w:bCs/>
          <w:color w:val="000000"/>
        </w:rPr>
        <w:t>is</w:t>
      </w:r>
      <w:r w:rsidR="00DF684F" w:rsidRPr="00577862">
        <w:rPr>
          <w:bCs/>
          <w:color w:val="000000"/>
        </w:rPr>
        <w:t xml:space="preserve"> </w:t>
      </w:r>
      <w:r w:rsidR="00CB4155" w:rsidRPr="00577862">
        <w:rPr>
          <w:rFonts w:eastAsia="TimesNewRoman"/>
          <w:color w:val="000000"/>
        </w:rPr>
        <w:t xml:space="preserve">a synthetic </w:t>
      </w:r>
      <w:proofErr w:type="spellStart"/>
      <w:r w:rsidR="00CB4155" w:rsidRPr="00577862">
        <w:rPr>
          <w:rFonts w:eastAsia="TimesNewRoman"/>
          <w:color w:val="000000"/>
        </w:rPr>
        <w:t>trifluorinated</w:t>
      </w:r>
      <w:proofErr w:type="spellEnd"/>
      <w:r w:rsidR="00CB4155" w:rsidRPr="00577862">
        <w:rPr>
          <w:rFonts w:eastAsia="TimesNewRoman"/>
          <w:color w:val="000000"/>
        </w:rPr>
        <w:t xml:space="preserve"> </w:t>
      </w:r>
      <w:proofErr w:type="spellStart"/>
      <w:r w:rsidR="00CB4155" w:rsidRPr="00577862">
        <w:rPr>
          <w:rFonts w:eastAsia="TimesNewRoman"/>
          <w:color w:val="000000"/>
        </w:rPr>
        <w:t>glucocorticoid</w:t>
      </w:r>
      <w:proofErr w:type="spellEnd"/>
      <w:r w:rsidR="00CB4155" w:rsidRPr="00577862">
        <w:rPr>
          <w:rFonts w:eastAsia="TimesNewRoman"/>
          <w:color w:val="000000"/>
        </w:rPr>
        <w:t xml:space="preserve"> with potent anti-inflammatory activity in the lungs when </w:t>
      </w:r>
      <w:r w:rsidR="00983F5C" w:rsidRPr="00577862">
        <w:rPr>
          <w:rFonts w:eastAsia="TimesNewRoman"/>
          <w:color w:val="000000"/>
        </w:rPr>
        <w:t>administered</w:t>
      </w:r>
      <w:r w:rsidR="00CB4155" w:rsidRPr="00577862">
        <w:rPr>
          <w:rFonts w:eastAsia="TimesNewRoman"/>
          <w:color w:val="000000"/>
        </w:rPr>
        <w:t xml:space="preserve"> by inhalation. </w:t>
      </w:r>
      <w:r w:rsidR="00DF684F" w:rsidRPr="00577862">
        <w:rPr>
          <w:rFonts w:eastAsia="TimesNewRoman"/>
          <w:color w:val="000000"/>
        </w:rPr>
        <w:t xml:space="preserve"> </w:t>
      </w:r>
      <w:r w:rsidR="00CB4155" w:rsidRPr="00577862">
        <w:rPr>
          <w:rFonts w:eastAsia="TimesNewRoman"/>
          <w:color w:val="000000"/>
        </w:rPr>
        <w:t xml:space="preserve">Fluticasone propionate reduces </w:t>
      </w:r>
      <w:r w:rsidR="00983F5C" w:rsidRPr="00577862">
        <w:rPr>
          <w:rFonts w:eastAsia="TimesNewRoman"/>
          <w:color w:val="000000"/>
        </w:rPr>
        <w:t xml:space="preserve">the </w:t>
      </w:r>
      <w:r w:rsidR="00CB4155" w:rsidRPr="00577862">
        <w:rPr>
          <w:rFonts w:eastAsia="TimesNewRoman"/>
          <w:color w:val="000000"/>
        </w:rPr>
        <w:t>symptoms</w:t>
      </w:r>
      <w:r w:rsidR="002E1665" w:rsidRPr="00577862">
        <w:rPr>
          <w:rFonts w:eastAsia="TimesNewRoman"/>
          <w:color w:val="000000"/>
        </w:rPr>
        <w:t>, improves lung function</w:t>
      </w:r>
      <w:r w:rsidR="00CB4155" w:rsidRPr="00577862">
        <w:rPr>
          <w:rFonts w:eastAsia="TimesNewRoman"/>
          <w:color w:val="000000"/>
        </w:rPr>
        <w:t xml:space="preserve"> and </w:t>
      </w:r>
      <w:r w:rsidR="002E1665" w:rsidRPr="00577862">
        <w:rPr>
          <w:rFonts w:eastAsia="TimesNewRoman"/>
          <w:color w:val="000000"/>
        </w:rPr>
        <w:t xml:space="preserve">prevents </w:t>
      </w:r>
      <w:r w:rsidR="00CB4155" w:rsidRPr="00577862">
        <w:rPr>
          <w:rFonts w:eastAsia="TimesNewRoman"/>
          <w:color w:val="000000"/>
        </w:rPr>
        <w:t>exacerbations of asthma</w:t>
      </w:r>
      <w:r w:rsidR="00983F5C" w:rsidRPr="00577862">
        <w:rPr>
          <w:rFonts w:eastAsia="TimesNewRoman"/>
          <w:color w:val="000000"/>
        </w:rPr>
        <w:t>,</w:t>
      </w:r>
      <w:r w:rsidR="00CB4155" w:rsidRPr="00577862">
        <w:rPr>
          <w:rFonts w:eastAsia="TimesNewRoman"/>
          <w:color w:val="000000"/>
        </w:rPr>
        <w:t xml:space="preserve"> with </w:t>
      </w:r>
      <w:r w:rsidR="00983F5C" w:rsidRPr="00577862">
        <w:rPr>
          <w:rFonts w:eastAsia="TimesNewRoman"/>
          <w:color w:val="000000"/>
        </w:rPr>
        <w:t>fewer</w:t>
      </w:r>
      <w:r w:rsidR="00CB4155" w:rsidRPr="00577862">
        <w:rPr>
          <w:rFonts w:eastAsia="TimesNewRoman"/>
          <w:color w:val="000000"/>
        </w:rPr>
        <w:t xml:space="preserve"> adverse effects than when corticosteroids are administered systemically.</w:t>
      </w:r>
      <w:r w:rsidR="002E1665" w:rsidRPr="00577862">
        <w:rPr>
          <w:rFonts w:eastAsia="TimesNewRoman"/>
          <w:color w:val="000000"/>
        </w:rPr>
        <w:t xml:space="preserve">  The use of an inhaled steroid improves symptomatic control of asthma, should reduce the need for short-acting bronchodilators and may limit the reduction in lung function over time.</w:t>
      </w:r>
    </w:p>
    <w:p w:rsidR="00CB4155" w:rsidRPr="007D7FB2" w:rsidRDefault="00FD44F9" w:rsidP="007F056B">
      <w:pPr>
        <w:autoSpaceDE w:val="0"/>
        <w:autoSpaceDN w:val="0"/>
        <w:adjustRightInd w:val="0"/>
        <w:spacing w:before="100" w:beforeAutospacing="1" w:after="100" w:afterAutospacing="1"/>
        <w:ind w:right="-357"/>
        <w:jc w:val="both"/>
        <w:rPr>
          <w:rFonts w:eastAsia="TimesNewRoman"/>
          <w:color w:val="000000"/>
        </w:rPr>
      </w:pPr>
      <w:proofErr w:type="spellStart"/>
      <w:r w:rsidRPr="00891873">
        <w:rPr>
          <w:bCs/>
          <w:color w:val="000000"/>
        </w:rPr>
        <w:t>Eformoterol</w:t>
      </w:r>
      <w:proofErr w:type="spellEnd"/>
      <w:r w:rsidRPr="00891873">
        <w:rPr>
          <w:bCs/>
          <w:color w:val="000000"/>
        </w:rPr>
        <w:t xml:space="preserve"> </w:t>
      </w:r>
      <w:proofErr w:type="spellStart"/>
      <w:r w:rsidRPr="00891873">
        <w:rPr>
          <w:bCs/>
          <w:color w:val="000000"/>
        </w:rPr>
        <w:t>fumarate</w:t>
      </w:r>
      <w:proofErr w:type="spellEnd"/>
      <w:r w:rsidRPr="005A1752">
        <w:rPr>
          <w:bCs/>
          <w:color w:val="000000"/>
        </w:rPr>
        <w:t xml:space="preserve"> </w:t>
      </w:r>
      <w:r w:rsidR="00983F5C">
        <w:rPr>
          <w:bCs/>
          <w:color w:val="000000"/>
        </w:rPr>
        <w:t xml:space="preserve">is </w:t>
      </w:r>
      <w:r w:rsidR="00CB4155" w:rsidRPr="007D7FB2">
        <w:rPr>
          <w:rFonts w:eastAsia="TimesNewRoman"/>
          <w:color w:val="000000"/>
        </w:rPr>
        <w:t xml:space="preserve">a </w:t>
      </w:r>
      <w:r w:rsidR="002E1665">
        <w:rPr>
          <w:rFonts w:eastAsia="TimesNewRoman"/>
          <w:color w:val="000000"/>
        </w:rPr>
        <w:t xml:space="preserve">potent </w:t>
      </w:r>
      <w:r w:rsidR="00CB4155" w:rsidRPr="007D7FB2">
        <w:rPr>
          <w:rFonts w:eastAsia="TimesNewRoman"/>
          <w:color w:val="000000"/>
        </w:rPr>
        <w:t>long-acting</w:t>
      </w:r>
      <w:r w:rsidR="00983F5C">
        <w:rPr>
          <w:rFonts w:eastAsia="TimesNewRoman"/>
          <w:color w:val="000000"/>
        </w:rPr>
        <w:t>,</w:t>
      </w:r>
      <w:r w:rsidR="00CB4155" w:rsidRPr="007D7FB2">
        <w:rPr>
          <w:rFonts w:eastAsia="TimesNewRoman"/>
          <w:color w:val="000000"/>
        </w:rPr>
        <w:t xml:space="preserve"> selective β</w:t>
      </w:r>
      <w:r w:rsidR="00CB4155" w:rsidRPr="00407B2B">
        <w:rPr>
          <w:rFonts w:eastAsia="TimesNewRoman"/>
          <w:color w:val="000000"/>
          <w:vertAlign w:val="subscript"/>
        </w:rPr>
        <w:t>2</w:t>
      </w:r>
      <w:r w:rsidR="00CB4155" w:rsidRPr="007D7FB2">
        <w:rPr>
          <w:rFonts w:eastAsia="TimesNewRoman"/>
          <w:color w:val="000000"/>
        </w:rPr>
        <w:t xml:space="preserve">-adrenergic receptor agonist. </w:t>
      </w:r>
      <w:r w:rsidR="00983F5C">
        <w:rPr>
          <w:rFonts w:eastAsia="TimesNewRoman"/>
          <w:color w:val="000000"/>
        </w:rPr>
        <w:t xml:space="preserve"> </w:t>
      </w:r>
      <w:r w:rsidR="00CB4155" w:rsidRPr="007D7FB2">
        <w:rPr>
          <w:rFonts w:eastAsia="TimesNewRoman"/>
          <w:color w:val="000000"/>
        </w:rPr>
        <w:t xml:space="preserve">Inhaled </w:t>
      </w:r>
      <w:proofErr w:type="spellStart"/>
      <w:r w:rsidR="00270FC4">
        <w:rPr>
          <w:rFonts w:eastAsia="TimesNewRoman"/>
          <w:color w:val="000000"/>
        </w:rPr>
        <w:t>eformoterol</w:t>
      </w:r>
      <w:proofErr w:type="spellEnd"/>
      <w:r w:rsidR="00CB4155" w:rsidRPr="007D7FB2">
        <w:rPr>
          <w:rFonts w:eastAsia="TimesNewRoman"/>
          <w:color w:val="000000"/>
        </w:rPr>
        <w:t xml:space="preserve"> </w:t>
      </w:r>
      <w:proofErr w:type="spellStart"/>
      <w:r w:rsidR="00CB4155" w:rsidRPr="007D7FB2">
        <w:rPr>
          <w:rFonts w:eastAsia="TimesNewRoman"/>
          <w:color w:val="000000"/>
        </w:rPr>
        <w:t>fumarate</w:t>
      </w:r>
      <w:proofErr w:type="spellEnd"/>
      <w:r w:rsidR="00CB4155" w:rsidRPr="007D7FB2">
        <w:rPr>
          <w:rFonts w:eastAsia="TimesNewRoman"/>
          <w:color w:val="000000"/>
        </w:rPr>
        <w:t xml:space="preserve"> acts locally in the lung</w:t>
      </w:r>
      <w:r w:rsidR="00891873">
        <w:rPr>
          <w:rFonts w:eastAsia="TimesNewRoman"/>
          <w:color w:val="000000"/>
        </w:rPr>
        <w:t>s</w:t>
      </w:r>
      <w:r w:rsidR="00CB4155" w:rsidRPr="007D7FB2">
        <w:rPr>
          <w:rFonts w:eastAsia="TimesNewRoman"/>
          <w:color w:val="000000"/>
        </w:rPr>
        <w:t xml:space="preserve"> as a bronchodilator</w:t>
      </w:r>
      <w:r w:rsidR="002E1665">
        <w:rPr>
          <w:rFonts w:eastAsia="TimesNewRoman"/>
          <w:color w:val="000000"/>
        </w:rPr>
        <w:t>,</w:t>
      </w:r>
      <w:r w:rsidR="00FA6AA2">
        <w:rPr>
          <w:rFonts w:eastAsia="TimesNewRoman"/>
          <w:color w:val="000000"/>
        </w:rPr>
        <w:t xml:space="preserve"> which provides symptomatic relie</w:t>
      </w:r>
      <w:r w:rsidR="002E1665">
        <w:rPr>
          <w:rFonts w:eastAsia="TimesNewRoman"/>
          <w:color w:val="000000"/>
        </w:rPr>
        <w:t>f</w:t>
      </w:r>
      <w:r w:rsidR="00CB4155" w:rsidRPr="007D7FB2">
        <w:rPr>
          <w:rFonts w:eastAsia="TimesNewRoman"/>
          <w:color w:val="000000"/>
        </w:rPr>
        <w:t xml:space="preserve">. </w:t>
      </w:r>
      <w:r w:rsidR="00983F5C">
        <w:rPr>
          <w:rFonts w:eastAsia="TimesNewRoman"/>
          <w:color w:val="000000"/>
        </w:rPr>
        <w:t xml:space="preserve"> A</w:t>
      </w:r>
      <w:r w:rsidR="00983F5C" w:rsidRPr="007D7FB2">
        <w:rPr>
          <w:rFonts w:eastAsia="TimesNewRoman"/>
          <w:color w:val="000000"/>
        </w:rPr>
        <w:t>fter a single dose</w:t>
      </w:r>
      <w:r w:rsidR="00983F5C">
        <w:rPr>
          <w:rFonts w:eastAsia="TimesNewRoman"/>
          <w:color w:val="000000"/>
        </w:rPr>
        <w:t xml:space="preserve">, </w:t>
      </w:r>
      <w:r w:rsidR="00891873">
        <w:rPr>
          <w:rFonts w:eastAsia="TimesNewRoman"/>
          <w:color w:val="000000"/>
        </w:rPr>
        <w:t xml:space="preserve">onset of </w:t>
      </w:r>
      <w:proofErr w:type="spellStart"/>
      <w:r w:rsidR="00CB4155" w:rsidRPr="007D7FB2">
        <w:rPr>
          <w:rFonts w:eastAsia="TimesNewRoman"/>
          <w:color w:val="000000"/>
        </w:rPr>
        <w:t>bronchodilati</w:t>
      </w:r>
      <w:r w:rsidR="00983F5C">
        <w:rPr>
          <w:rFonts w:eastAsia="TimesNewRoman"/>
          <w:color w:val="000000"/>
        </w:rPr>
        <w:t>on</w:t>
      </w:r>
      <w:proofErr w:type="spellEnd"/>
      <w:r w:rsidR="00CB4155" w:rsidRPr="007D7FB2">
        <w:rPr>
          <w:rFonts w:eastAsia="TimesNewRoman"/>
          <w:color w:val="000000"/>
        </w:rPr>
        <w:t xml:space="preserve"> </w:t>
      </w:r>
      <w:r w:rsidR="00983F5C">
        <w:rPr>
          <w:rFonts w:eastAsia="TimesNewRoman"/>
          <w:color w:val="000000"/>
        </w:rPr>
        <w:t>occurs</w:t>
      </w:r>
      <w:r w:rsidR="00CB4155" w:rsidRPr="007D7FB2">
        <w:rPr>
          <w:rFonts w:eastAsia="TimesNewRoman"/>
          <w:color w:val="000000"/>
        </w:rPr>
        <w:t xml:space="preserve"> </w:t>
      </w:r>
      <w:r w:rsidR="002E1665">
        <w:rPr>
          <w:rFonts w:eastAsia="TimesNewRoman"/>
          <w:color w:val="000000"/>
        </w:rPr>
        <w:t xml:space="preserve">rapidly </w:t>
      </w:r>
      <w:r w:rsidR="00CB4155" w:rsidRPr="007D7FB2">
        <w:rPr>
          <w:rFonts w:eastAsia="TimesNewRoman"/>
          <w:color w:val="000000"/>
        </w:rPr>
        <w:t xml:space="preserve">within 1-3 minutes, </w:t>
      </w:r>
      <w:r w:rsidR="00983F5C">
        <w:rPr>
          <w:rFonts w:eastAsia="TimesNewRoman"/>
          <w:color w:val="000000"/>
        </w:rPr>
        <w:t xml:space="preserve">with </w:t>
      </w:r>
      <w:proofErr w:type="gramStart"/>
      <w:r w:rsidR="00074DE3">
        <w:rPr>
          <w:rFonts w:eastAsia="TimesNewRoman"/>
          <w:color w:val="000000"/>
        </w:rPr>
        <w:t xml:space="preserve">a </w:t>
      </w:r>
      <w:r w:rsidR="00CB4155" w:rsidRPr="007D7FB2">
        <w:rPr>
          <w:rFonts w:eastAsia="TimesNewRoman"/>
          <w:color w:val="000000"/>
        </w:rPr>
        <w:t>duration</w:t>
      </w:r>
      <w:proofErr w:type="gramEnd"/>
      <w:r w:rsidR="00CB4155" w:rsidRPr="007D7FB2">
        <w:rPr>
          <w:rFonts w:eastAsia="TimesNewRoman"/>
          <w:color w:val="000000"/>
        </w:rPr>
        <w:t xml:space="preserve"> of effect </w:t>
      </w:r>
      <w:r w:rsidR="00983F5C">
        <w:rPr>
          <w:rFonts w:eastAsia="TimesNewRoman"/>
          <w:color w:val="000000"/>
        </w:rPr>
        <w:t xml:space="preserve">of </w:t>
      </w:r>
      <w:r w:rsidR="00CB4155" w:rsidRPr="007D7FB2">
        <w:rPr>
          <w:rFonts w:eastAsia="TimesNewRoman"/>
          <w:color w:val="000000"/>
        </w:rPr>
        <w:t>at least 12 hours.</w:t>
      </w:r>
    </w:p>
    <w:p w:rsidR="00FD44F9" w:rsidRPr="00CB4155" w:rsidRDefault="00D058BC" w:rsidP="00381D65">
      <w:pPr>
        <w:autoSpaceDE w:val="0"/>
        <w:autoSpaceDN w:val="0"/>
        <w:adjustRightInd w:val="0"/>
        <w:ind w:right="-360"/>
        <w:jc w:val="both"/>
        <w:rPr>
          <w:bCs/>
          <w:color w:val="000000"/>
        </w:rPr>
      </w:pPr>
      <w:r w:rsidRPr="00891873">
        <w:rPr>
          <w:rFonts w:eastAsia="TimesNewRoman"/>
          <w:color w:val="000000"/>
        </w:rPr>
        <w:t>FLUTIFORM</w:t>
      </w:r>
      <w:r w:rsidR="004738A8" w:rsidRPr="006B64DC">
        <w:rPr>
          <w:rFonts w:eastAsia="TimesNewRoman"/>
          <w:color w:val="000000"/>
          <w:vertAlign w:val="superscript"/>
        </w:rPr>
        <w:t>®</w:t>
      </w:r>
      <w:r w:rsidR="00A37A8E" w:rsidRPr="00891873">
        <w:rPr>
          <w:rFonts w:eastAsia="TimesNewRoman"/>
          <w:color w:val="000000"/>
        </w:rPr>
        <w:t xml:space="preserve"> </w:t>
      </w:r>
      <w:r w:rsidR="00381D65">
        <w:rPr>
          <w:rFonts w:eastAsia="TimesNewRoman"/>
          <w:color w:val="000000"/>
        </w:rPr>
        <w:t>inhaler</w:t>
      </w:r>
      <w:r w:rsidR="00381D65" w:rsidRPr="007D7FB2">
        <w:rPr>
          <w:rFonts w:eastAsia="TimesNewRoman"/>
          <w:color w:val="000000"/>
        </w:rPr>
        <w:t xml:space="preserve"> </w:t>
      </w:r>
      <w:r w:rsidR="00FD44F9">
        <w:rPr>
          <w:rFonts w:eastAsia="TimesNewRoman"/>
          <w:color w:val="000000"/>
        </w:rPr>
        <w:t xml:space="preserve">belongs to the </w:t>
      </w:r>
      <w:proofErr w:type="spellStart"/>
      <w:r w:rsidR="00FD44F9">
        <w:rPr>
          <w:rFonts w:eastAsia="TimesNewRoman"/>
          <w:color w:val="000000"/>
        </w:rPr>
        <w:t>p</w:t>
      </w:r>
      <w:r w:rsidR="00FD44F9" w:rsidRPr="007D7FB2">
        <w:rPr>
          <w:rFonts w:eastAsia="TimesNewRoman"/>
          <w:color w:val="000000"/>
        </w:rPr>
        <w:t>harmacotherapeutic</w:t>
      </w:r>
      <w:proofErr w:type="spellEnd"/>
      <w:r w:rsidR="00FD44F9" w:rsidRPr="007D7FB2">
        <w:rPr>
          <w:rFonts w:eastAsia="TimesNewRoman"/>
          <w:color w:val="000000"/>
        </w:rPr>
        <w:t xml:space="preserve"> </w:t>
      </w:r>
      <w:r w:rsidR="00FD44F9">
        <w:rPr>
          <w:rFonts w:eastAsia="TimesNewRoman"/>
          <w:color w:val="000000"/>
        </w:rPr>
        <w:t>g</w:t>
      </w:r>
      <w:r w:rsidR="00FD44F9" w:rsidRPr="007D7FB2">
        <w:rPr>
          <w:rFonts w:eastAsia="TimesNewRoman"/>
          <w:color w:val="000000"/>
        </w:rPr>
        <w:t>roup</w:t>
      </w:r>
      <w:r w:rsidR="00FD44F9">
        <w:rPr>
          <w:rFonts w:eastAsia="TimesNewRoman"/>
          <w:color w:val="000000"/>
        </w:rPr>
        <w:t xml:space="preserve"> ‘</w:t>
      </w:r>
      <w:proofErr w:type="spellStart"/>
      <w:r w:rsidR="00FD44F9">
        <w:rPr>
          <w:rFonts w:eastAsia="TimesNewRoman"/>
          <w:color w:val="000000"/>
        </w:rPr>
        <w:t>a</w:t>
      </w:r>
      <w:r w:rsidR="00FD44F9" w:rsidRPr="007D7FB2">
        <w:rPr>
          <w:rFonts w:eastAsia="TimesNewRoman"/>
          <w:color w:val="000000"/>
        </w:rPr>
        <w:t>drenergics</w:t>
      </w:r>
      <w:proofErr w:type="spellEnd"/>
      <w:r w:rsidR="00FD44F9" w:rsidRPr="007D7FB2">
        <w:rPr>
          <w:rFonts w:eastAsia="TimesNewRoman"/>
          <w:color w:val="000000"/>
        </w:rPr>
        <w:t xml:space="preserve"> and other drugs for obstructive airway diseases</w:t>
      </w:r>
      <w:r w:rsidR="00FD44F9">
        <w:rPr>
          <w:rFonts w:eastAsia="TimesNewRoman"/>
          <w:color w:val="000000"/>
        </w:rPr>
        <w:t>’</w:t>
      </w:r>
      <w:r w:rsidR="00891873">
        <w:rPr>
          <w:rFonts w:eastAsia="TimesNewRoman"/>
          <w:color w:val="000000"/>
        </w:rPr>
        <w:t xml:space="preserve"> (</w:t>
      </w:r>
      <w:r w:rsidR="00FD44F9" w:rsidRPr="00CB4155">
        <w:rPr>
          <w:bCs/>
          <w:color w:val="000000"/>
        </w:rPr>
        <w:t>ATC code</w:t>
      </w:r>
      <w:r w:rsidR="00891873">
        <w:rPr>
          <w:bCs/>
          <w:color w:val="000000"/>
        </w:rPr>
        <w:t xml:space="preserve">: </w:t>
      </w:r>
      <w:r w:rsidR="00FD44F9" w:rsidRPr="00CB4155">
        <w:rPr>
          <w:bCs/>
          <w:color w:val="000000"/>
        </w:rPr>
        <w:t>R03AK07</w:t>
      </w:r>
      <w:r w:rsidR="00891873">
        <w:rPr>
          <w:bCs/>
          <w:color w:val="000000"/>
        </w:rPr>
        <w:t>)</w:t>
      </w:r>
      <w:r w:rsidR="00FD44F9">
        <w:rPr>
          <w:bCs/>
          <w:color w:val="000000"/>
        </w:rPr>
        <w:t xml:space="preserve">.  As with other </w:t>
      </w:r>
      <w:r w:rsidR="00FD44F9">
        <w:rPr>
          <w:rFonts w:eastAsia="TimesNewRoman"/>
          <w:color w:val="000000"/>
        </w:rPr>
        <w:t>combinations of inhaled corticosteroids and long-acting β2</w:t>
      </w:r>
      <w:r w:rsidR="00FD44F9" w:rsidRPr="007D7FB2">
        <w:rPr>
          <w:rFonts w:eastAsia="TimesNewRoman"/>
          <w:color w:val="000000"/>
        </w:rPr>
        <w:t>-adrenergic agonist</w:t>
      </w:r>
      <w:r w:rsidR="00FD44F9">
        <w:rPr>
          <w:rFonts w:eastAsia="TimesNewRoman"/>
          <w:color w:val="000000"/>
        </w:rPr>
        <w:t>s, the a</w:t>
      </w:r>
      <w:r w:rsidR="00FD44F9" w:rsidRPr="007D7FB2">
        <w:rPr>
          <w:rFonts w:eastAsia="TimesNewRoman"/>
          <w:color w:val="000000"/>
        </w:rPr>
        <w:t>dditive effect</w:t>
      </w:r>
      <w:r w:rsidR="00FD44F9">
        <w:rPr>
          <w:rFonts w:eastAsia="TimesNewRoman"/>
          <w:color w:val="000000"/>
        </w:rPr>
        <w:t xml:space="preserve"> produces a </w:t>
      </w:r>
      <w:r w:rsidR="00FD44F9" w:rsidRPr="007D7FB2">
        <w:rPr>
          <w:rFonts w:eastAsia="TimesNewRoman"/>
          <w:color w:val="000000"/>
        </w:rPr>
        <w:t xml:space="preserve">reduction in </w:t>
      </w:r>
      <w:r w:rsidR="00FD44F9">
        <w:rPr>
          <w:rFonts w:eastAsia="TimesNewRoman"/>
          <w:color w:val="000000"/>
        </w:rPr>
        <w:t xml:space="preserve">the </w:t>
      </w:r>
      <w:r w:rsidR="00FD44F9" w:rsidRPr="007D7FB2">
        <w:rPr>
          <w:rFonts w:eastAsia="TimesNewRoman"/>
          <w:color w:val="000000"/>
        </w:rPr>
        <w:t>exacerbation</w:t>
      </w:r>
      <w:r w:rsidR="00FD44F9" w:rsidRPr="006D3D4C">
        <w:rPr>
          <w:rFonts w:eastAsia="TimesNewRoman"/>
          <w:color w:val="000000"/>
        </w:rPr>
        <w:t xml:space="preserve"> </w:t>
      </w:r>
      <w:r w:rsidR="00FD44F9">
        <w:rPr>
          <w:rFonts w:eastAsia="TimesNewRoman"/>
          <w:color w:val="000000"/>
        </w:rPr>
        <w:t xml:space="preserve">of </w:t>
      </w:r>
      <w:r w:rsidR="00FD44F9" w:rsidRPr="007D7FB2">
        <w:rPr>
          <w:rFonts w:eastAsia="TimesNewRoman"/>
          <w:color w:val="000000"/>
        </w:rPr>
        <w:t>asthma</w:t>
      </w:r>
      <w:r w:rsidR="00FD44F9">
        <w:rPr>
          <w:rFonts w:eastAsia="TimesNewRoman"/>
          <w:color w:val="000000"/>
        </w:rPr>
        <w:t>.</w:t>
      </w:r>
      <w:r w:rsidR="00FD44F9" w:rsidRPr="00CB4155">
        <w:rPr>
          <w:bCs/>
          <w:color w:val="000000"/>
        </w:rPr>
        <w:t xml:space="preserve"> </w:t>
      </w:r>
    </w:p>
    <w:p w:rsidR="00CB4155" w:rsidRPr="00F74B3D" w:rsidRDefault="00CB4155" w:rsidP="00F74B3D">
      <w:pPr>
        <w:pStyle w:val="Heading2"/>
      </w:pPr>
      <w:r w:rsidRPr="00F74B3D">
        <w:t>P</w:t>
      </w:r>
      <w:r w:rsidR="00F74B3D">
        <w:t>HARMACOKINETICS</w:t>
      </w:r>
    </w:p>
    <w:p w:rsidR="00CB4155" w:rsidRPr="00577862" w:rsidRDefault="00FD44F9" w:rsidP="00381D65">
      <w:pPr>
        <w:autoSpaceDE w:val="0"/>
        <w:autoSpaceDN w:val="0"/>
        <w:adjustRightInd w:val="0"/>
        <w:ind w:right="-360"/>
        <w:jc w:val="both"/>
        <w:rPr>
          <w:bCs/>
          <w:color w:val="000000"/>
        </w:rPr>
      </w:pPr>
      <w:proofErr w:type="spellStart"/>
      <w:r w:rsidRPr="00577862">
        <w:rPr>
          <w:bCs/>
          <w:i/>
          <w:color w:val="000000"/>
        </w:rPr>
        <w:t>Fluticasone</w:t>
      </w:r>
      <w:proofErr w:type="spellEnd"/>
      <w:r w:rsidRPr="00577862">
        <w:rPr>
          <w:bCs/>
          <w:i/>
          <w:color w:val="000000"/>
        </w:rPr>
        <w:t xml:space="preserve"> propionate</w:t>
      </w:r>
      <w:r w:rsidR="00A12D6E" w:rsidRPr="00577862">
        <w:rPr>
          <w:bCs/>
          <w:color w:val="000000"/>
        </w:rPr>
        <w:t xml:space="preserve">: </w:t>
      </w:r>
      <w:r w:rsidR="00796B58" w:rsidRPr="00577862">
        <w:rPr>
          <w:bCs/>
          <w:color w:val="000000"/>
        </w:rPr>
        <w:t xml:space="preserve">Pharmacokinetic </w:t>
      </w:r>
      <w:r w:rsidR="00983F5C" w:rsidRPr="00577862">
        <w:rPr>
          <w:bCs/>
          <w:color w:val="000000"/>
        </w:rPr>
        <w:t xml:space="preserve">data </w:t>
      </w:r>
      <w:r w:rsidR="000535B6" w:rsidRPr="00577862">
        <w:rPr>
          <w:bCs/>
          <w:color w:val="000000"/>
        </w:rPr>
        <w:t>are</w:t>
      </w:r>
      <w:r w:rsidR="007831DD" w:rsidRPr="00577862">
        <w:rPr>
          <w:bCs/>
          <w:color w:val="000000"/>
        </w:rPr>
        <w:t xml:space="preserve"> available f</w:t>
      </w:r>
      <w:r w:rsidR="00270FC4" w:rsidRPr="00577862">
        <w:rPr>
          <w:bCs/>
          <w:color w:val="000000"/>
        </w:rPr>
        <w:t>o</w:t>
      </w:r>
      <w:r w:rsidR="007831DD" w:rsidRPr="00577862">
        <w:rPr>
          <w:bCs/>
          <w:color w:val="000000"/>
        </w:rPr>
        <w:t xml:space="preserve">r </w:t>
      </w:r>
      <w:r w:rsidR="00064CED" w:rsidRPr="00577862">
        <w:rPr>
          <w:bCs/>
          <w:color w:val="000000"/>
        </w:rPr>
        <w:t xml:space="preserve">the </w:t>
      </w:r>
      <w:r w:rsidR="00983F5C" w:rsidRPr="00577862">
        <w:rPr>
          <w:bCs/>
          <w:color w:val="000000"/>
        </w:rPr>
        <w:t>inhalation and intravenous administration routes</w:t>
      </w:r>
      <w:r w:rsidR="00090C29" w:rsidRPr="00577862">
        <w:rPr>
          <w:bCs/>
          <w:color w:val="000000"/>
        </w:rPr>
        <w:t>.</w:t>
      </w:r>
    </w:p>
    <w:p w:rsidR="00CB4155" w:rsidRPr="007F056B" w:rsidRDefault="00CB4155" w:rsidP="00171713">
      <w:pPr>
        <w:pStyle w:val="Heading3"/>
      </w:pPr>
      <w:r w:rsidRPr="007F056B">
        <w:t>Absorption</w:t>
      </w:r>
    </w:p>
    <w:p w:rsidR="00CB4155" w:rsidRPr="007D7FB2" w:rsidRDefault="00CB4155" w:rsidP="000649D6">
      <w:pPr>
        <w:autoSpaceDE w:val="0"/>
        <w:autoSpaceDN w:val="0"/>
        <w:adjustRightInd w:val="0"/>
        <w:ind w:right="-360"/>
        <w:jc w:val="both"/>
        <w:rPr>
          <w:rFonts w:eastAsia="TimesNewRoman"/>
          <w:color w:val="000000"/>
        </w:rPr>
      </w:pPr>
      <w:r w:rsidRPr="007D7FB2">
        <w:rPr>
          <w:rFonts w:eastAsia="TimesNewRoman"/>
          <w:color w:val="000000"/>
        </w:rPr>
        <w:t>Following inhalation, systemic absorption of fluticasone propionate occurs mainly through the lungs</w:t>
      </w:r>
      <w:r w:rsidR="00983F5C">
        <w:rPr>
          <w:rFonts w:eastAsia="TimesNewRoman"/>
          <w:color w:val="000000"/>
        </w:rPr>
        <w:t xml:space="preserve">.  </w:t>
      </w:r>
      <w:r w:rsidRPr="007D7FB2">
        <w:rPr>
          <w:rFonts w:eastAsia="TimesNewRoman"/>
          <w:color w:val="000000"/>
        </w:rPr>
        <w:t>Absorption is initially rapid then prolonged.</w:t>
      </w:r>
      <w:r w:rsidR="004E189D">
        <w:rPr>
          <w:rFonts w:eastAsia="TimesNewRoman"/>
          <w:color w:val="000000"/>
        </w:rPr>
        <w:t xml:space="preserve">  </w:t>
      </w:r>
      <w:r w:rsidRPr="007D7FB2">
        <w:rPr>
          <w:rFonts w:eastAsia="TimesNewRoman"/>
          <w:color w:val="000000"/>
        </w:rPr>
        <w:t>Published studies using oral dosing of labelled and unlabelled drug have demonstrated that the absolute oral systemic bioavailability of fluticasone propionate is negligible (&lt;1%)</w:t>
      </w:r>
      <w:r w:rsidR="00983F5C">
        <w:rPr>
          <w:rFonts w:eastAsia="TimesNewRoman"/>
          <w:color w:val="000000"/>
        </w:rPr>
        <w:t>,</w:t>
      </w:r>
      <w:r w:rsidRPr="007D7FB2">
        <w:rPr>
          <w:rFonts w:eastAsia="TimesNewRoman"/>
          <w:color w:val="000000"/>
        </w:rPr>
        <w:t xml:space="preserve"> due to a combination of incomplete absorption from the </w:t>
      </w:r>
      <w:r w:rsidR="00983F5C">
        <w:rPr>
          <w:rFonts w:eastAsia="TimesNewRoman"/>
          <w:color w:val="000000"/>
        </w:rPr>
        <w:t xml:space="preserve">gastrointestinal </w:t>
      </w:r>
      <w:r w:rsidRPr="007D7FB2">
        <w:rPr>
          <w:rFonts w:eastAsia="TimesNewRoman"/>
          <w:color w:val="000000"/>
        </w:rPr>
        <w:t>tract and extensive first-pass metabolism.</w:t>
      </w:r>
    </w:p>
    <w:p w:rsidR="00CB4155" w:rsidRPr="007D7FB2" w:rsidRDefault="00CB4155" w:rsidP="00171713">
      <w:pPr>
        <w:pStyle w:val="Heading3"/>
      </w:pPr>
      <w:r w:rsidRPr="007D7FB2">
        <w:t>Distribution</w:t>
      </w:r>
    </w:p>
    <w:p w:rsidR="00CB4155" w:rsidRPr="007D7FB2" w:rsidRDefault="00CB4155" w:rsidP="000649D6">
      <w:pPr>
        <w:autoSpaceDE w:val="0"/>
        <w:autoSpaceDN w:val="0"/>
        <w:adjustRightInd w:val="0"/>
        <w:ind w:right="-360"/>
        <w:jc w:val="both"/>
        <w:rPr>
          <w:rFonts w:eastAsia="TimesNewRoman"/>
          <w:color w:val="000000"/>
        </w:rPr>
      </w:pPr>
      <w:r w:rsidRPr="007D7FB2">
        <w:rPr>
          <w:rFonts w:eastAsia="TimesNewRoman"/>
          <w:color w:val="000000"/>
        </w:rPr>
        <w:t xml:space="preserve">Following intravenous administration, fluticasone propionate is extensively distributed in the body. </w:t>
      </w:r>
      <w:r w:rsidR="00983F5C">
        <w:rPr>
          <w:rFonts w:eastAsia="TimesNewRoman"/>
          <w:color w:val="000000"/>
        </w:rPr>
        <w:t xml:space="preserve"> </w:t>
      </w:r>
      <w:r w:rsidRPr="007D7FB2">
        <w:rPr>
          <w:rFonts w:eastAsia="TimesNewRoman"/>
          <w:color w:val="000000"/>
        </w:rPr>
        <w:t>The initial disposition phase for fluticasone propionate is rapid</w:t>
      </w:r>
      <w:r w:rsidR="00983F5C">
        <w:rPr>
          <w:rFonts w:eastAsia="TimesNewRoman"/>
          <w:color w:val="000000"/>
        </w:rPr>
        <w:t>,</w:t>
      </w:r>
      <w:r w:rsidRPr="007D7FB2">
        <w:rPr>
          <w:rFonts w:eastAsia="TimesNewRoman"/>
          <w:color w:val="000000"/>
        </w:rPr>
        <w:t xml:space="preserve"> consistent with its high lipid solubility and tissue binding. </w:t>
      </w:r>
      <w:r w:rsidR="00983F5C">
        <w:rPr>
          <w:rFonts w:eastAsia="TimesNewRoman"/>
          <w:color w:val="000000"/>
        </w:rPr>
        <w:t xml:space="preserve"> </w:t>
      </w:r>
      <w:r w:rsidRPr="007D7FB2">
        <w:rPr>
          <w:rFonts w:eastAsia="TimesNewRoman"/>
          <w:color w:val="000000"/>
        </w:rPr>
        <w:t xml:space="preserve">The volume of distribution averages 4.2 L/kg. The percentage of fluticasone propionate bound to human plasma proteins averages </w:t>
      </w:r>
      <w:r w:rsidR="000A72E4">
        <w:rPr>
          <w:rFonts w:eastAsia="TimesNewRoman"/>
          <w:color w:val="000000"/>
        </w:rPr>
        <w:t xml:space="preserve">approximately </w:t>
      </w:r>
      <w:r w:rsidRPr="007D7FB2">
        <w:rPr>
          <w:rFonts w:eastAsia="TimesNewRoman"/>
          <w:color w:val="000000"/>
        </w:rPr>
        <w:t>9</w:t>
      </w:r>
      <w:r w:rsidR="000A72E4">
        <w:rPr>
          <w:rFonts w:eastAsia="TimesNewRoman"/>
          <w:color w:val="000000"/>
        </w:rPr>
        <w:t>1</w:t>
      </w:r>
      <w:r w:rsidRPr="007D7FB2">
        <w:rPr>
          <w:rFonts w:eastAsia="TimesNewRoman"/>
          <w:color w:val="000000"/>
        </w:rPr>
        <w:t>%. Fluticasone propionate is weakly and reversibly bound to erythrocytes.</w:t>
      </w:r>
    </w:p>
    <w:p w:rsidR="00CB4155" w:rsidRPr="007D7FB2" w:rsidRDefault="00CB4155" w:rsidP="00171713">
      <w:pPr>
        <w:pStyle w:val="Heading3"/>
      </w:pPr>
      <w:r w:rsidRPr="007D7FB2">
        <w:lastRenderedPageBreak/>
        <w:t>Metabolism</w:t>
      </w:r>
    </w:p>
    <w:p w:rsidR="00CB4155" w:rsidRPr="007D7FB2" w:rsidRDefault="00CB4155" w:rsidP="000649D6">
      <w:pPr>
        <w:autoSpaceDE w:val="0"/>
        <w:autoSpaceDN w:val="0"/>
        <w:adjustRightInd w:val="0"/>
        <w:ind w:right="-360"/>
        <w:jc w:val="both"/>
        <w:rPr>
          <w:rFonts w:eastAsia="TimesNewRoman"/>
          <w:color w:val="000000"/>
        </w:rPr>
      </w:pPr>
      <w:r w:rsidRPr="007D7FB2">
        <w:rPr>
          <w:rFonts w:eastAsia="TimesNewRoman"/>
          <w:color w:val="000000"/>
        </w:rPr>
        <w:t xml:space="preserve">The total clearance of fluticasone propionate is high (average, 1,093 mL/min), with renal clearance accounting for less than 0.02% of the total. </w:t>
      </w:r>
      <w:r w:rsidR="00983F5C">
        <w:rPr>
          <w:rFonts w:eastAsia="TimesNewRoman"/>
          <w:color w:val="000000"/>
        </w:rPr>
        <w:t xml:space="preserve"> </w:t>
      </w:r>
      <w:r w:rsidRPr="007D7FB2">
        <w:rPr>
          <w:rFonts w:eastAsia="TimesNewRoman"/>
          <w:color w:val="000000"/>
        </w:rPr>
        <w:t xml:space="preserve">The very high clearance rate indicates </w:t>
      </w:r>
      <w:r w:rsidR="00983F5C">
        <w:rPr>
          <w:rFonts w:eastAsia="TimesNewRoman"/>
          <w:color w:val="000000"/>
        </w:rPr>
        <w:t xml:space="preserve">an </w:t>
      </w:r>
      <w:r w:rsidRPr="007D7FB2">
        <w:rPr>
          <w:rFonts w:eastAsia="TimesNewRoman"/>
          <w:color w:val="000000"/>
        </w:rPr>
        <w:t xml:space="preserve">extensive hepatic clearance. </w:t>
      </w:r>
      <w:r w:rsidR="00983F5C">
        <w:rPr>
          <w:rFonts w:eastAsia="TimesNewRoman"/>
          <w:color w:val="000000"/>
        </w:rPr>
        <w:t xml:space="preserve"> </w:t>
      </w:r>
      <w:r w:rsidRPr="007D7FB2">
        <w:rPr>
          <w:rFonts w:eastAsia="TimesNewRoman"/>
          <w:color w:val="000000"/>
        </w:rPr>
        <w:t xml:space="preserve">The only circulating metabolite detected in man is the 17β-carboxylic acid derivative of fluticasone propionate, which is formed through the cytochrome P450 3A4 isoform subfamily (CYP 3A4) pathway. </w:t>
      </w:r>
      <w:r w:rsidR="00983F5C">
        <w:rPr>
          <w:rFonts w:eastAsia="TimesNewRoman"/>
          <w:color w:val="000000"/>
        </w:rPr>
        <w:t xml:space="preserve"> </w:t>
      </w:r>
      <w:r w:rsidRPr="007D7FB2">
        <w:rPr>
          <w:rFonts w:eastAsia="TimesNewRoman"/>
          <w:color w:val="000000"/>
        </w:rPr>
        <w:t xml:space="preserve">This metabolite has </w:t>
      </w:r>
      <w:r w:rsidR="00FC3F45">
        <w:rPr>
          <w:rFonts w:eastAsia="TimesNewRoman"/>
          <w:color w:val="000000"/>
        </w:rPr>
        <w:t>only very weak</w:t>
      </w:r>
      <w:r w:rsidR="00833C05">
        <w:rPr>
          <w:rFonts w:eastAsia="TimesNewRoman"/>
          <w:color w:val="000000"/>
        </w:rPr>
        <w:t xml:space="preserve"> </w:t>
      </w:r>
      <w:r w:rsidRPr="007D7FB2">
        <w:rPr>
          <w:rFonts w:eastAsia="TimesNewRoman"/>
          <w:color w:val="000000"/>
        </w:rPr>
        <w:t xml:space="preserve">affinity for the glucocorticoid receptor of human lung </w:t>
      </w:r>
      <w:proofErr w:type="spellStart"/>
      <w:r w:rsidRPr="007D7FB2">
        <w:rPr>
          <w:rFonts w:eastAsia="TimesNewRoman"/>
          <w:color w:val="000000"/>
        </w:rPr>
        <w:t>cytosol</w:t>
      </w:r>
      <w:proofErr w:type="spellEnd"/>
      <w:r w:rsidRPr="007D7FB2">
        <w:rPr>
          <w:rFonts w:eastAsia="TimesNewRoman"/>
          <w:color w:val="000000"/>
        </w:rPr>
        <w:t xml:space="preserve"> </w:t>
      </w:r>
      <w:r w:rsidRPr="007D7FB2">
        <w:rPr>
          <w:i/>
          <w:iCs/>
          <w:color w:val="000000"/>
        </w:rPr>
        <w:t>in vitro</w:t>
      </w:r>
      <w:r w:rsidR="007F056B">
        <w:rPr>
          <w:rFonts w:eastAsia="TimesNewRoman"/>
          <w:color w:val="000000"/>
        </w:rPr>
        <w:t>.</w:t>
      </w:r>
    </w:p>
    <w:p w:rsidR="00CB4155" w:rsidRPr="007D7FB2" w:rsidRDefault="00CB4155" w:rsidP="00171713">
      <w:pPr>
        <w:pStyle w:val="Heading3"/>
      </w:pPr>
      <w:r w:rsidRPr="007D7FB2">
        <w:t>Elimination</w:t>
      </w:r>
    </w:p>
    <w:p w:rsidR="00CB4155" w:rsidRPr="007D7FB2" w:rsidRDefault="00CB4155" w:rsidP="000649D6">
      <w:pPr>
        <w:autoSpaceDE w:val="0"/>
        <w:autoSpaceDN w:val="0"/>
        <w:adjustRightInd w:val="0"/>
        <w:ind w:right="-360"/>
        <w:jc w:val="both"/>
        <w:rPr>
          <w:rFonts w:eastAsia="TimesNewRoman"/>
          <w:color w:val="000000"/>
        </w:rPr>
      </w:pPr>
      <w:r w:rsidRPr="007D7FB2">
        <w:rPr>
          <w:rFonts w:eastAsia="TimesNewRoman"/>
          <w:color w:val="000000"/>
        </w:rPr>
        <w:t xml:space="preserve">87-100% of an oral dose is excreted in the faeces, up to 75% as parent compound. </w:t>
      </w:r>
      <w:r w:rsidR="00983F5C">
        <w:rPr>
          <w:rFonts w:eastAsia="TimesNewRoman"/>
          <w:color w:val="000000"/>
        </w:rPr>
        <w:t xml:space="preserve"> </w:t>
      </w:r>
      <w:r w:rsidRPr="007D7FB2">
        <w:rPr>
          <w:rFonts w:eastAsia="TimesNewRoman"/>
          <w:color w:val="000000"/>
        </w:rPr>
        <w:t>There is also a non-active major metabolite.</w:t>
      </w:r>
      <w:r w:rsidR="004E189D">
        <w:rPr>
          <w:rFonts w:eastAsia="TimesNewRoman"/>
          <w:color w:val="000000"/>
        </w:rPr>
        <w:t xml:space="preserve">  </w:t>
      </w:r>
      <w:r w:rsidRPr="007D7FB2">
        <w:rPr>
          <w:rFonts w:eastAsia="TimesNewRoman"/>
          <w:color w:val="000000"/>
        </w:rPr>
        <w:t xml:space="preserve">Following intravenous dosing, </w:t>
      </w:r>
      <w:proofErr w:type="spellStart"/>
      <w:r w:rsidRPr="007D7FB2">
        <w:rPr>
          <w:rFonts w:eastAsia="TimesNewRoman"/>
          <w:color w:val="000000"/>
        </w:rPr>
        <w:t>fluticasone</w:t>
      </w:r>
      <w:proofErr w:type="spellEnd"/>
      <w:r w:rsidRPr="007D7FB2">
        <w:rPr>
          <w:rFonts w:eastAsia="TimesNewRoman"/>
          <w:color w:val="000000"/>
        </w:rPr>
        <w:t xml:space="preserve"> propionate shows </w:t>
      </w:r>
      <w:proofErr w:type="spellStart"/>
      <w:r w:rsidRPr="007D7FB2">
        <w:rPr>
          <w:rFonts w:eastAsia="TimesNewRoman"/>
          <w:color w:val="000000"/>
        </w:rPr>
        <w:t>polyexponential</w:t>
      </w:r>
      <w:proofErr w:type="spellEnd"/>
      <w:r w:rsidRPr="007D7FB2">
        <w:rPr>
          <w:rFonts w:eastAsia="TimesNewRoman"/>
          <w:color w:val="000000"/>
        </w:rPr>
        <w:t xml:space="preserve"> kinetics and has a terminal elimination half-life of approximately 7.8 hours. </w:t>
      </w:r>
      <w:r w:rsidR="00983F5C">
        <w:rPr>
          <w:rFonts w:eastAsia="TimesNewRoman"/>
          <w:color w:val="000000"/>
        </w:rPr>
        <w:t xml:space="preserve"> </w:t>
      </w:r>
      <w:r w:rsidRPr="007D7FB2">
        <w:rPr>
          <w:rFonts w:eastAsia="TimesNewRoman"/>
          <w:color w:val="000000"/>
        </w:rPr>
        <w:t>Less than 5% of a radiolabelled dose is excreted in the urine as metabolites, and the remainder is excreted in the faeces as parent drug and metabolites.</w:t>
      </w:r>
    </w:p>
    <w:p w:rsidR="007831DD" w:rsidRPr="00577862" w:rsidRDefault="00FD44F9" w:rsidP="007F056B">
      <w:pPr>
        <w:autoSpaceDE w:val="0"/>
        <w:autoSpaceDN w:val="0"/>
        <w:adjustRightInd w:val="0"/>
        <w:spacing w:before="100" w:beforeAutospacing="1" w:after="100" w:afterAutospacing="1"/>
        <w:ind w:right="-357"/>
        <w:jc w:val="both"/>
        <w:rPr>
          <w:i/>
          <w:iCs/>
          <w:color w:val="000000"/>
        </w:rPr>
      </w:pPr>
      <w:proofErr w:type="spellStart"/>
      <w:r w:rsidRPr="00577862">
        <w:rPr>
          <w:bCs/>
          <w:i/>
          <w:color w:val="000000"/>
        </w:rPr>
        <w:t>Eformoterol</w:t>
      </w:r>
      <w:proofErr w:type="spellEnd"/>
      <w:r w:rsidRPr="00577862">
        <w:rPr>
          <w:bCs/>
          <w:i/>
          <w:color w:val="000000"/>
        </w:rPr>
        <w:t xml:space="preserve"> </w:t>
      </w:r>
      <w:proofErr w:type="spellStart"/>
      <w:r w:rsidRPr="00577862">
        <w:rPr>
          <w:bCs/>
          <w:i/>
          <w:color w:val="000000"/>
        </w:rPr>
        <w:t>fumarate</w:t>
      </w:r>
      <w:proofErr w:type="spellEnd"/>
      <w:r w:rsidR="00A12D6E" w:rsidRPr="00577862">
        <w:rPr>
          <w:bCs/>
          <w:color w:val="000000"/>
        </w:rPr>
        <w:t xml:space="preserve">: </w:t>
      </w:r>
      <w:r w:rsidR="00796B58" w:rsidRPr="00577862">
        <w:rPr>
          <w:bCs/>
          <w:color w:val="000000"/>
        </w:rPr>
        <w:t>P</w:t>
      </w:r>
      <w:r w:rsidR="00796B58" w:rsidRPr="00577862">
        <w:rPr>
          <w:rFonts w:eastAsia="TimesNewRoman"/>
          <w:color w:val="000000"/>
        </w:rPr>
        <w:t xml:space="preserve">harmacokinetic </w:t>
      </w:r>
      <w:r w:rsidR="007831DD" w:rsidRPr="00577862">
        <w:rPr>
          <w:rFonts w:eastAsia="TimesNewRoman"/>
          <w:color w:val="000000"/>
        </w:rPr>
        <w:t xml:space="preserve">data </w:t>
      </w:r>
      <w:r w:rsidR="000535B6" w:rsidRPr="00577862">
        <w:rPr>
          <w:rFonts w:eastAsia="TimesNewRoman"/>
          <w:color w:val="000000"/>
        </w:rPr>
        <w:t>are</w:t>
      </w:r>
      <w:r w:rsidR="007831DD" w:rsidRPr="00577862">
        <w:rPr>
          <w:rFonts w:eastAsia="TimesNewRoman"/>
          <w:color w:val="000000"/>
        </w:rPr>
        <w:t xml:space="preserve"> </w:t>
      </w:r>
      <w:r w:rsidR="007831DD" w:rsidRPr="00577862">
        <w:rPr>
          <w:bCs/>
          <w:color w:val="000000"/>
        </w:rPr>
        <w:t>available f</w:t>
      </w:r>
      <w:r w:rsidR="00270FC4" w:rsidRPr="00577862">
        <w:rPr>
          <w:bCs/>
          <w:color w:val="000000"/>
        </w:rPr>
        <w:t>o</w:t>
      </w:r>
      <w:r w:rsidR="007831DD" w:rsidRPr="00577862">
        <w:rPr>
          <w:bCs/>
          <w:color w:val="000000"/>
        </w:rPr>
        <w:t xml:space="preserve">r </w:t>
      </w:r>
      <w:r w:rsidR="007831DD" w:rsidRPr="00577862">
        <w:rPr>
          <w:rFonts w:eastAsia="TimesNewRoman"/>
          <w:color w:val="000000"/>
        </w:rPr>
        <w:t>inhalation</w:t>
      </w:r>
      <w:r w:rsidR="00064CED" w:rsidRPr="00577862">
        <w:rPr>
          <w:rFonts w:eastAsia="TimesNewRoman"/>
          <w:color w:val="000000"/>
        </w:rPr>
        <w:t xml:space="preserve"> of therapeutic dosages</w:t>
      </w:r>
      <w:r w:rsidR="00270FC4" w:rsidRPr="00577862">
        <w:rPr>
          <w:rFonts w:eastAsia="TimesNewRoman"/>
          <w:color w:val="000000"/>
        </w:rPr>
        <w:t xml:space="preserve"> </w:t>
      </w:r>
      <w:r w:rsidR="00064CED" w:rsidRPr="00577862">
        <w:rPr>
          <w:rFonts w:eastAsia="TimesNewRoman"/>
          <w:color w:val="000000"/>
        </w:rPr>
        <w:t>in</w:t>
      </w:r>
      <w:r w:rsidR="00270FC4" w:rsidRPr="00577862">
        <w:rPr>
          <w:rFonts w:eastAsia="TimesNewRoman"/>
          <w:color w:val="000000"/>
        </w:rPr>
        <w:t xml:space="preserve"> COPD patients</w:t>
      </w:r>
      <w:r w:rsidR="007831DD" w:rsidRPr="00577862">
        <w:rPr>
          <w:rFonts w:eastAsia="TimesNewRoman"/>
          <w:color w:val="000000"/>
        </w:rPr>
        <w:t xml:space="preserve">, </w:t>
      </w:r>
      <w:r w:rsidR="00064CED" w:rsidRPr="00577862">
        <w:rPr>
          <w:rFonts w:eastAsia="TimesNewRoman"/>
          <w:color w:val="000000"/>
        </w:rPr>
        <w:t>for inhalation of higher than recommended dosages in</w:t>
      </w:r>
      <w:r w:rsidR="00270FC4" w:rsidRPr="00577862">
        <w:rPr>
          <w:rFonts w:eastAsia="TimesNewRoman"/>
          <w:color w:val="000000"/>
        </w:rPr>
        <w:t xml:space="preserve"> healthy volunteers</w:t>
      </w:r>
      <w:r w:rsidR="00064CED" w:rsidRPr="00577862">
        <w:rPr>
          <w:rFonts w:eastAsia="TimesNewRoman"/>
          <w:color w:val="000000"/>
        </w:rPr>
        <w:t>,</w:t>
      </w:r>
      <w:r w:rsidR="007831DD" w:rsidRPr="00577862">
        <w:rPr>
          <w:rFonts w:eastAsia="TimesNewRoman"/>
          <w:color w:val="000000"/>
        </w:rPr>
        <w:t xml:space="preserve"> </w:t>
      </w:r>
      <w:r w:rsidR="00064CED" w:rsidRPr="00577862">
        <w:rPr>
          <w:rFonts w:eastAsia="TimesNewRoman"/>
          <w:color w:val="000000"/>
        </w:rPr>
        <w:t>and for oral administration in healthy volunteers</w:t>
      </w:r>
      <w:r w:rsidR="00090C29" w:rsidRPr="00577862">
        <w:rPr>
          <w:rFonts w:eastAsia="TimesNewRoman"/>
          <w:color w:val="000000"/>
        </w:rPr>
        <w:t>.</w:t>
      </w:r>
    </w:p>
    <w:p w:rsidR="00CB4155" w:rsidRPr="007D7FB2" w:rsidRDefault="00CB4155" w:rsidP="00171713">
      <w:pPr>
        <w:pStyle w:val="Heading3"/>
      </w:pPr>
      <w:r w:rsidRPr="007D7FB2">
        <w:t>Absorption</w:t>
      </w:r>
    </w:p>
    <w:p w:rsidR="00CB4155" w:rsidRPr="007D7FB2" w:rsidRDefault="00CB4155" w:rsidP="000649D6">
      <w:pPr>
        <w:autoSpaceDE w:val="0"/>
        <w:autoSpaceDN w:val="0"/>
        <w:adjustRightInd w:val="0"/>
        <w:ind w:right="-360"/>
        <w:jc w:val="both"/>
        <w:rPr>
          <w:rFonts w:eastAsia="TimesNewRoman"/>
          <w:color w:val="000000"/>
        </w:rPr>
      </w:pPr>
      <w:r w:rsidRPr="007D7FB2">
        <w:rPr>
          <w:rFonts w:eastAsia="TimesNewRoman"/>
          <w:color w:val="000000"/>
        </w:rPr>
        <w:t xml:space="preserve">Following inhalation of a single 120 </w:t>
      </w:r>
      <w:r w:rsidR="00832BC5">
        <w:rPr>
          <w:rFonts w:eastAsia="TimesNewRoman"/>
          <w:color w:val="000000"/>
        </w:rPr>
        <w:t>micrograms</w:t>
      </w:r>
      <w:r w:rsidR="00E215F3" w:rsidRPr="007D7FB2">
        <w:rPr>
          <w:rFonts w:eastAsia="TimesNewRoman"/>
          <w:color w:val="000000"/>
        </w:rPr>
        <w:t xml:space="preserve"> </w:t>
      </w:r>
      <w:r w:rsidRPr="007D7FB2">
        <w:rPr>
          <w:rFonts w:eastAsia="TimesNewRoman"/>
          <w:color w:val="000000"/>
        </w:rPr>
        <w:t xml:space="preserve">dose of </w:t>
      </w:r>
      <w:proofErr w:type="spellStart"/>
      <w:r w:rsidR="00270FC4">
        <w:rPr>
          <w:rFonts w:eastAsia="TimesNewRoman"/>
          <w:color w:val="000000"/>
        </w:rPr>
        <w:t>eformoterol</w:t>
      </w:r>
      <w:proofErr w:type="spellEnd"/>
      <w:r w:rsidRPr="007D7FB2">
        <w:rPr>
          <w:rFonts w:eastAsia="TimesNewRoman"/>
          <w:color w:val="000000"/>
        </w:rPr>
        <w:t xml:space="preserve"> </w:t>
      </w:r>
      <w:proofErr w:type="spellStart"/>
      <w:r w:rsidRPr="007D7FB2">
        <w:rPr>
          <w:rFonts w:eastAsia="TimesNewRoman"/>
          <w:color w:val="000000"/>
        </w:rPr>
        <w:t>fumarate</w:t>
      </w:r>
      <w:proofErr w:type="spellEnd"/>
      <w:r w:rsidRPr="007D7FB2">
        <w:rPr>
          <w:rFonts w:eastAsia="TimesNewRoman"/>
          <w:color w:val="000000"/>
        </w:rPr>
        <w:t xml:space="preserve"> by healthy volunteers, </w:t>
      </w:r>
      <w:proofErr w:type="spellStart"/>
      <w:r w:rsidR="00270FC4">
        <w:rPr>
          <w:rFonts w:eastAsia="TimesNewRoman"/>
          <w:color w:val="000000"/>
        </w:rPr>
        <w:t>eformoterol</w:t>
      </w:r>
      <w:proofErr w:type="spellEnd"/>
      <w:r w:rsidRPr="007D7FB2">
        <w:rPr>
          <w:rFonts w:eastAsia="TimesNewRoman"/>
          <w:color w:val="000000"/>
        </w:rPr>
        <w:t xml:space="preserve"> was rapidly absorbed into plasma, reaching a maximum concentration </w:t>
      </w:r>
      <w:proofErr w:type="gramStart"/>
      <w:r w:rsidRPr="007D7FB2">
        <w:rPr>
          <w:rFonts w:eastAsia="TimesNewRoman"/>
          <w:color w:val="000000"/>
        </w:rPr>
        <w:t>of</w:t>
      </w:r>
      <w:r w:rsidR="003D1350">
        <w:rPr>
          <w:rFonts w:eastAsia="TimesNewRoman"/>
          <w:color w:val="000000"/>
        </w:rPr>
        <w:t xml:space="preserve"> </w:t>
      </w:r>
      <w:r w:rsidRPr="007D7FB2">
        <w:rPr>
          <w:rFonts w:eastAsia="TimesNewRoman"/>
          <w:color w:val="000000"/>
        </w:rPr>
        <w:t xml:space="preserve">91.6 </w:t>
      </w:r>
      <w:proofErr w:type="spellStart"/>
      <w:r w:rsidRPr="007D7FB2">
        <w:rPr>
          <w:rFonts w:eastAsia="TimesNewRoman"/>
          <w:color w:val="000000"/>
        </w:rPr>
        <w:t>p</w:t>
      </w:r>
      <w:r w:rsidR="00090C29">
        <w:rPr>
          <w:rFonts w:eastAsia="TimesNewRoman"/>
          <w:color w:val="000000"/>
        </w:rPr>
        <w:t>icrogram</w:t>
      </w:r>
      <w:r w:rsidR="00077868">
        <w:rPr>
          <w:rFonts w:eastAsia="TimesNewRoman"/>
          <w:color w:val="000000"/>
        </w:rPr>
        <w:t>s</w:t>
      </w:r>
      <w:proofErr w:type="spellEnd"/>
      <w:r w:rsidRPr="007D7FB2">
        <w:rPr>
          <w:rFonts w:eastAsia="TimesNewRoman"/>
          <w:color w:val="000000"/>
        </w:rPr>
        <w:t>/</w:t>
      </w:r>
      <w:proofErr w:type="spellStart"/>
      <w:r w:rsidRPr="007D7FB2">
        <w:rPr>
          <w:rFonts w:eastAsia="TimesNewRoman"/>
          <w:color w:val="000000"/>
        </w:rPr>
        <w:t>mL</w:t>
      </w:r>
      <w:proofErr w:type="spellEnd"/>
      <w:proofErr w:type="gramEnd"/>
      <w:r w:rsidRPr="007D7FB2">
        <w:rPr>
          <w:rFonts w:eastAsia="TimesNewRoman"/>
          <w:color w:val="000000"/>
        </w:rPr>
        <w:t xml:space="preserve"> within 5 minutes of inhalation. </w:t>
      </w:r>
      <w:r w:rsidR="00270FC4">
        <w:rPr>
          <w:rFonts w:eastAsia="TimesNewRoman"/>
          <w:color w:val="000000"/>
        </w:rPr>
        <w:t xml:space="preserve"> </w:t>
      </w:r>
      <w:r w:rsidRPr="007D7FB2">
        <w:rPr>
          <w:rFonts w:eastAsia="TimesNewRoman"/>
          <w:color w:val="000000"/>
        </w:rPr>
        <w:t xml:space="preserve">In COPD patients treated for 12 weeks with </w:t>
      </w:r>
      <w:proofErr w:type="spellStart"/>
      <w:r w:rsidR="00270FC4">
        <w:rPr>
          <w:rFonts w:eastAsia="TimesNewRoman"/>
          <w:color w:val="000000"/>
        </w:rPr>
        <w:t>eformoterol</w:t>
      </w:r>
      <w:proofErr w:type="spellEnd"/>
      <w:r w:rsidRPr="007D7FB2">
        <w:rPr>
          <w:rFonts w:eastAsia="TimesNewRoman"/>
          <w:color w:val="000000"/>
        </w:rPr>
        <w:t xml:space="preserve"> </w:t>
      </w:r>
      <w:proofErr w:type="spellStart"/>
      <w:r w:rsidRPr="007D7FB2">
        <w:rPr>
          <w:rFonts w:eastAsia="TimesNewRoman"/>
          <w:color w:val="000000"/>
        </w:rPr>
        <w:t>fumarate</w:t>
      </w:r>
      <w:proofErr w:type="spellEnd"/>
      <w:r w:rsidRPr="007D7FB2">
        <w:rPr>
          <w:rFonts w:eastAsia="TimesNewRoman"/>
          <w:color w:val="000000"/>
        </w:rPr>
        <w:t xml:space="preserve"> 12 or 24 microgram</w:t>
      </w:r>
      <w:r w:rsidR="00077868">
        <w:rPr>
          <w:rFonts w:eastAsia="TimesNewRoman"/>
          <w:color w:val="000000"/>
        </w:rPr>
        <w:t>s</w:t>
      </w:r>
      <w:r w:rsidRPr="007D7FB2">
        <w:rPr>
          <w:rFonts w:eastAsia="TimesNewRoman"/>
          <w:color w:val="000000"/>
        </w:rPr>
        <w:t xml:space="preserve"> </w:t>
      </w:r>
      <w:r w:rsidR="00270FC4">
        <w:rPr>
          <w:rFonts w:eastAsia="TimesNewRoman"/>
          <w:color w:val="000000"/>
        </w:rPr>
        <w:t>twice daily,</w:t>
      </w:r>
      <w:r w:rsidRPr="007D7FB2">
        <w:rPr>
          <w:rFonts w:eastAsia="TimesNewRoman"/>
          <w:color w:val="000000"/>
        </w:rPr>
        <w:t xml:space="preserve"> the plasma concentrations of </w:t>
      </w:r>
      <w:proofErr w:type="spellStart"/>
      <w:r w:rsidR="00270FC4">
        <w:rPr>
          <w:rFonts w:eastAsia="TimesNewRoman"/>
          <w:color w:val="000000"/>
        </w:rPr>
        <w:t>eformoterol</w:t>
      </w:r>
      <w:proofErr w:type="spellEnd"/>
      <w:r w:rsidRPr="007D7FB2">
        <w:rPr>
          <w:rFonts w:eastAsia="TimesNewRoman"/>
          <w:color w:val="000000"/>
        </w:rPr>
        <w:t xml:space="preserve"> ranged between 4.0 and 8.9 </w:t>
      </w:r>
      <w:proofErr w:type="spellStart"/>
      <w:r w:rsidRPr="007D7FB2">
        <w:rPr>
          <w:rFonts w:eastAsia="TimesNewRoman"/>
          <w:color w:val="000000"/>
        </w:rPr>
        <w:t>p</w:t>
      </w:r>
      <w:r w:rsidR="001510F0">
        <w:rPr>
          <w:rFonts w:eastAsia="TimesNewRoman"/>
          <w:color w:val="000000"/>
        </w:rPr>
        <w:t>ico</w:t>
      </w:r>
      <w:r w:rsidRPr="007D7FB2">
        <w:rPr>
          <w:rFonts w:eastAsia="TimesNewRoman"/>
          <w:color w:val="000000"/>
        </w:rPr>
        <w:t>g</w:t>
      </w:r>
      <w:r w:rsidR="001510F0">
        <w:rPr>
          <w:rFonts w:eastAsia="TimesNewRoman"/>
          <w:color w:val="000000"/>
        </w:rPr>
        <w:t>ram</w:t>
      </w:r>
      <w:r w:rsidR="00077868">
        <w:rPr>
          <w:rFonts w:eastAsia="TimesNewRoman"/>
          <w:color w:val="000000"/>
        </w:rPr>
        <w:t>s</w:t>
      </w:r>
      <w:proofErr w:type="spellEnd"/>
      <w:r w:rsidRPr="007D7FB2">
        <w:rPr>
          <w:rFonts w:eastAsia="TimesNewRoman"/>
          <w:color w:val="000000"/>
        </w:rPr>
        <w:t>/</w:t>
      </w:r>
      <w:proofErr w:type="spellStart"/>
      <w:r w:rsidRPr="007D7FB2">
        <w:rPr>
          <w:rFonts w:eastAsia="TimesNewRoman"/>
          <w:color w:val="000000"/>
        </w:rPr>
        <w:t>mL</w:t>
      </w:r>
      <w:proofErr w:type="spellEnd"/>
      <w:r w:rsidRPr="007D7FB2">
        <w:rPr>
          <w:rFonts w:eastAsia="TimesNewRoman"/>
          <w:color w:val="000000"/>
        </w:rPr>
        <w:t xml:space="preserve"> and 8.0 and 17.3 </w:t>
      </w:r>
      <w:proofErr w:type="spellStart"/>
      <w:r w:rsidRPr="007D7FB2">
        <w:rPr>
          <w:rFonts w:eastAsia="TimesNewRoman"/>
          <w:color w:val="000000"/>
        </w:rPr>
        <w:t>p</w:t>
      </w:r>
      <w:r w:rsidR="001510F0">
        <w:rPr>
          <w:rFonts w:eastAsia="TimesNewRoman"/>
          <w:color w:val="000000"/>
        </w:rPr>
        <w:t>ico</w:t>
      </w:r>
      <w:r w:rsidRPr="007D7FB2">
        <w:rPr>
          <w:rFonts w:eastAsia="TimesNewRoman"/>
          <w:color w:val="000000"/>
        </w:rPr>
        <w:t>g</w:t>
      </w:r>
      <w:r w:rsidR="001510F0">
        <w:rPr>
          <w:rFonts w:eastAsia="TimesNewRoman"/>
          <w:color w:val="000000"/>
        </w:rPr>
        <w:t>ram</w:t>
      </w:r>
      <w:r w:rsidR="00077868">
        <w:rPr>
          <w:rFonts w:eastAsia="TimesNewRoman"/>
          <w:color w:val="000000"/>
        </w:rPr>
        <w:t>s</w:t>
      </w:r>
      <w:proofErr w:type="spellEnd"/>
      <w:r w:rsidRPr="007D7FB2">
        <w:rPr>
          <w:rFonts w:eastAsia="TimesNewRoman"/>
          <w:color w:val="000000"/>
        </w:rPr>
        <w:t>/</w:t>
      </w:r>
      <w:proofErr w:type="spellStart"/>
      <w:r w:rsidRPr="007D7FB2">
        <w:rPr>
          <w:rFonts w:eastAsia="TimesNewRoman"/>
          <w:color w:val="000000"/>
        </w:rPr>
        <w:t>mL</w:t>
      </w:r>
      <w:proofErr w:type="spellEnd"/>
      <w:r w:rsidRPr="007D7FB2">
        <w:rPr>
          <w:rFonts w:eastAsia="TimesNewRoman"/>
          <w:color w:val="000000"/>
        </w:rPr>
        <w:t xml:space="preserve"> respectively at 10 minutes, </w:t>
      </w:r>
      <w:r w:rsidR="00270FC4">
        <w:rPr>
          <w:rFonts w:eastAsia="TimesNewRoman"/>
          <w:color w:val="000000"/>
        </w:rPr>
        <w:t xml:space="preserve">at </w:t>
      </w:r>
      <w:r w:rsidRPr="007D7FB2">
        <w:rPr>
          <w:rFonts w:eastAsia="TimesNewRoman"/>
          <w:color w:val="000000"/>
        </w:rPr>
        <w:t>2 hours and 6 hours post inhalation.</w:t>
      </w:r>
    </w:p>
    <w:p w:rsidR="00CB4155" w:rsidRPr="007D7FB2" w:rsidRDefault="00270FC4" w:rsidP="00170D00">
      <w:pPr>
        <w:autoSpaceDE w:val="0"/>
        <w:autoSpaceDN w:val="0"/>
        <w:adjustRightInd w:val="0"/>
        <w:spacing w:before="100" w:beforeAutospacing="1" w:after="100" w:afterAutospacing="1"/>
        <w:ind w:right="-357"/>
        <w:jc w:val="both"/>
        <w:rPr>
          <w:rFonts w:eastAsia="TimesNewRoman"/>
          <w:color w:val="000000"/>
        </w:rPr>
      </w:pPr>
      <w:r>
        <w:rPr>
          <w:rFonts w:eastAsia="TimesNewRoman"/>
          <w:color w:val="000000"/>
        </w:rPr>
        <w:t>In s</w:t>
      </w:r>
      <w:r w:rsidR="00CB4155" w:rsidRPr="007D7FB2">
        <w:rPr>
          <w:rFonts w:eastAsia="TimesNewRoman"/>
          <w:color w:val="000000"/>
        </w:rPr>
        <w:t xml:space="preserve">tudies investigating the cumulative urinary excretion of </w:t>
      </w:r>
      <w:proofErr w:type="spellStart"/>
      <w:r>
        <w:rPr>
          <w:rFonts w:eastAsia="TimesNewRoman"/>
          <w:color w:val="000000"/>
        </w:rPr>
        <w:t>eformoterol</w:t>
      </w:r>
      <w:proofErr w:type="spellEnd"/>
      <w:r w:rsidR="00CB4155" w:rsidRPr="007D7FB2">
        <w:rPr>
          <w:rFonts w:eastAsia="TimesNewRoman"/>
          <w:color w:val="000000"/>
        </w:rPr>
        <w:t xml:space="preserve"> and/or its (RR) and</w:t>
      </w:r>
      <w:r>
        <w:rPr>
          <w:rFonts w:eastAsia="TimesNewRoman"/>
          <w:color w:val="000000"/>
        </w:rPr>
        <w:t xml:space="preserve"> </w:t>
      </w:r>
      <w:r w:rsidR="00CB4155" w:rsidRPr="007D7FB2">
        <w:rPr>
          <w:rFonts w:eastAsia="TimesNewRoman"/>
          <w:color w:val="000000"/>
        </w:rPr>
        <w:t xml:space="preserve">(SS)-enantiomers, </w:t>
      </w:r>
      <w:r w:rsidRPr="007D7FB2">
        <w:rPr>
          <w:rFonts w:eastAsia="TimesNewRoman"/>
          <w:color w:val="000000"/>
        </w:rPr>
        <w:t xml:space="preserve">absorption increased linearly with the dose </w:t>
      </w:r>
      <w:r w:rsidR="00CB4155" w:rsidRPr="007D7FB2">
        <w:rPr>
          <w:rFonts w:eastAsia="TimesNewRoman"/>
          <w:color w:val="000000"/>
        </w:rPr>
        <w:t>aft</w:t>
      </w:r>
      <w:r>
        <w:rPr>
          <w:rFonts w:eastAsia="TimesNewRoman"/>
          <w:color w:val="000000"/>
        </w:rPr>
        <w:t xml:space="preserve">er inhalation of 12-96 </w:t>
      </w:r>
      <w:r w:rsidR="00832BC5">
        <w:rPr>
          <w:rFonts w:eastAsia="TimesNewRoman"/>
          <w:color w:val="000000"/>
        </w:rPr>
        <w:t>micrograms</w:t>
      </w:r>
      <w:r w:rsidR="00E215F3">
        <w:rPr>
          <w:rFonts w:eastAsia="TimesNewRoman"/>
          <w:color w:val="000000"/>
        </w:rPr>
        <w:t xml:space="preserve"> </w:t>
      </w:r>
      <w:r w:rsidR="000D4AA8">
        <w:rPr>
          <w:rFonts w:eastAsia="TimesNewRoman"/>
          <w:color w:val="000000"/>
        </w:rPr>
        <w:t xml:space="preserve">of </w:t>
      </w:r>
      <w:r>
        <w:rPr>
          <w:rFonts w:eastAsia="TimesNewRoman"/>
          <w:color w:val="000000"/>
        </w:rPr>
        <w:t xml:space="preserve">dry powder </w:t>
      </w:r>
      <w:r w:rsidR="00CB4155" w:rsidRPr="007D7FB2">
        <w:rPr>
          <w:rFonts w:eastAsia="TimesNewRoman"/>
          <w:color w:val="000000"/>
        </w:rPr>
        <w:t>or aerosol formulations</w:t>
      </w:r>
      <w:r>
        <w:rPr>
          <w:rFonts w:eastAsia="TimesNewRoman"/>
          <w:color w:val="000000"/>
        </w:rPr>
        <w:t>.</w:t>
      </w:r>
      <w:r w:rsidR="00CB4155" w:rsidRPr="007D7FB2">
        <w:rPr>
          <w:rFonts w:eastAsia="TimesNewRoman"/>
          <w:color w:val="000000"/>
        </w:rPr>
        <w:t xml:space="preserve"> </w:t>
      </w:r>
      <w:r>
        <w:rPr>
          <w:rFonts w:eastAsia="TimesNewRoman"/>
          <w:color w:val="000000"/>
        </w:rPr>
        <w:t xml:space="preserve"> </w:t>
      </w:r>
      <w:r w:rsidR="00CB4155" w:rsidRPr="007D7FB2">
        <w:rPr>
          <w:rFonts w:eastAsia="TimesNewRoman"/>
          <w:color w:val="000000"/>
        </w:rPr>
        <w:t>After 12 weeks</w:t>
      </w:r>
      <w:r w:rsidR="00877FF8">
        <w:rPr>
          <w:rFonts w:eastAsia="TimesNewRoman"/>
          <w:color w:val="000000"/>
        </w:rPr>
        <w:t>’</w:t>
      </w:r>
      <w:r w:rsidR="00CB4155" w:rsidRPr="007D7FB2">
        <w:rPr>
          <w:rFonts w:eastAsia="TimesNewRoman"/>
          <w:color w:val="000000"/>
        </w:rPr>
        <w:t xml:space="preserve"> administration of 12</w:t>
      </w:r>
      <w:r>
        <w:rPr>
          <w:rFonts w:eastAsia="TimesNewRoman"/>
          <w:color w:val="000000"/>
        </w:rPr>
        <w:t xml:space="preserve"> </w:t>
      </w:r>
      <w:r w:rsidR="00CB4155" w:rsidRPr="007D7FB2">
        <w:rPr>
          <w:rFonts w:eastAsia="TimesNewRoman"/>
          <w:color w:val="000000"/>
        </w:rPr>
        <w:t xml:space="preserve">or 24 </w:t>
      </w:r>
      <w:r w:rsidR="00832BC5">
        <w:rPr>
          <w:rFonts w:eastAsia="TimesNewRoman"/>
          <w:color w:val="000000"/>
        </w:rPr>
        <w:t>micrograms</w:t>
      </w:r>
      <w:r w:rsidR="00CB4155" w:rsidRPr="007D7FB2">
        <w:rPr>
          <w:rFonts w:eastAsia="TimesNewRoman"/>
          <w:color w:val="000000"/>
        </w:rPr>
        <w:t xml:space="preserve"> </w:t>
      </w:r>
      <w:proofErr w:type="spellStart"/>
      <w:r>
        <w:rPr>
          <w:rFonts w:eastAsia="TimesNewRoman"/>
          <w:color w:val="000000"/>
        </w:rPr>
        <w:t>eformoterol</w:t>
      </w:r>
      <w:proofErr w:type="spellEnd"/>
      <w:r w:rsidR="00CB4155" w:rsidRPr="007D7FB2">
        <w:rPr>
          <w:rFonts w:eastAsia="TimesNewRoman"/>
          <w:color w:val="000000"/>
        </w:rPr>
        <w:t xml:space="preserve"> powder </w:t>
      </w:r>
      <w:r>
        <w:rPr>
          <w:rFonts w:eastAsia="TimesNewRoman"/>
          <w:color w:val="000000"/>
        </w:rPr>
        <w:t>twice daily</w:t>
      </w:r>
      <w:r w:rsidR="00CB4155" w:rsidRPr="007D7FB2">
        <w:rPr>
          <w:rFonts w:eastAsia="TimesNewRoman"/>
          <w:color w:val="000000"/>
        </w:rPr>
        <w:t>, the urinary excretion of uncha</w:t>
      </w:r>
      <w:r>
        <w:rPr>
          <w:rFonts w:eastAsia="TimesNewRoman"/>
          <w:color w:val="000000"/>
        </w:rPr>
        <w:t xml:space="preserve">nged </w:t>
      </w:r>
      <w:proofErr w:type="spellStart"/>
      <w:r>
        <w:rPr>
          <w:rFonts w:eastAsia="TimesNewRoman"/>
          <w:color w:val="000000"/>
        </w:rPr>
        <w:t>eformoterol</w:t>
      </w:r>
      <w:proofErr w:type="spellEnd"/>
      <w:r>
        <w:rPr>
          <w:rFonts w:eastAsia="TimesNewRoman"/>
          <w:color w:val="000000"/>
        </w:rPr>
        <w:t xml:space="preserve"> increased by </w:t>
      </w:r>
      <w:r w:rsidR="00077868">
        <w:rPr>
          <w:rFonts w:eastAsia="TimesNewRoman"/>
          <w:color w:val="000000"/>
        </w:rPr>
        <w:t xml:space="preserve"> </w:t>
      </w:r>
      <w:r>
        <w:rPr>
          <w:rFonts w:eastAsia="TimesNewRoman"/>
          <w:color w:val="000000"/>
        </w:rPr>
        <w:t>63</w:t>
      </w:r>
      <w:r w:rsidR="00CB4155" w:rsidRPr="007D7FB2">
        <w:rPr>
          <w:rFonts w:eastAsia="TimesNewRoman"/>
          <w:color w:val="000000"/>
        </w:rPr>
        <w:t>-73% in adult patients with asthma, by 19-38% in adult patients with COPD and by 18-84% in children</w:t>
      </w:r>
      <w:r>
        <w:rPr>
          <w:rFonts w:eastAsia="TimesNewRoman"/>
          <w:color w:val="000000"/>
        </w:rPr>
        <w:t xml:space="preserve">.  These results </w:t>
      </w:r>
      <w:r w:rsidR="00CB4155" w:rsidRPr="007D7FB2">
        <w:rPr>
          <w:rFonts w:eastAsia="TimesNewRoman"/>
          <w:color w:val="000000"/>
        </w:rPr>
        <w:t>suggest</w:t>
      </w:r>
      <w:r>
        <w:rPr>
          <w:rFonts w:eastAsia="TimesNewRoman"/>
          <w:color w:val="000000"/>
        </w:rPr>
        <w:t>ed</w:t>
      </w:r>
      <w:r w:rsidR="00CB4155" w:rsidRPr="007D7FB2">
        <w:rPr>
          <w:rFonts w:eastAsia="TimesNewRoman"/>
          <w:color w:val="000000"/>
        </w:rPr>
        <w:t xml:space="preserve"> a modest and self-limiting accumulation of </w:t>
      </w:r>
      <w:proofErr w:type="spellStart"/>
      <w:r>
        <w:rPr>
          <w:rFonts w:eastAsia="TimesNewRoman"/>
          <w:color w:val="000000"/>
        </w:rPr>
        <w:t>eformoterol</w:t>
      </w:r>
      <w:proofErr w:type="spellEnd"/>
      <w:r w:rsidR="00CB4155" w:rsidRPr="007D7FB2">
        <w:rPr>
          <w:rFonts w:eastAsia="TimesNewRoman"/>
          <w:color w:val="000000"/>
        </w:rPr>
        <w:t xml:space="preserve"> in plasma after repeated dosing.</w:t>
      </w:r>
    </w:p>
    <w:p w:rsidR="00CB4155" w:rsidRPr="007D7FB2" w:rsidRDefault="00CB4155" w:rsidP="00170D00">
      <w:pPr>
        <w:autoSpaceDE w:val="0"/>
        <w:autoSpaceDN w:val="0"/>
        <w:adjustRightInd w:val="0"/>
        <w:spacing w:before="100" w:beforeAutospacing="1" w:after="100" w:afterAutospacing="1"/>
        <w:ind w:right="-357"/>
        <w:jc w:val="both"/>
        <w:rPr>
          <w:rFonts w:eastAsia="TimesNewRoman"/>
          <w:color w:val="000000"/>
        </w:rPr>
      </w:pPr>
      <w:r w:rsidRPr="007D7FB2">
        <w:rPr>
          <w:rFonts w:eastAsia="TimesNewRoman"/>
          <w:color w:val="000000"/>
        </w:rPr>
        <w:t xml:space="preserve">As reported for other inhaled drugs, it is likely that about 90% of </w:t>
      </w:r>
      <w:proofErr w:type="spellStart"/>
      <w:r w:rsidR="00270FC4">
        <w:rPr>
          <w:rFonts w:eastAsia="TimesNewRoman"/>
          <w:color w:val="000000"/>
        </w:rPr>
        <w:t>eformoterol</w:t>
      </w:r>
      <w:proofErr w:type="spellEnd"/>
      <w:r w:rsidRPr="007D7FB2">
        <w:rPr>
          <w:rFonts w:eastAsia="TimesNewRoman"/>
          <w:color w:val="000000"/>
        </w:rPr>
        <w:t xml:space="preserve"> administered from an inhaler will be swallowed and then absorbed from the gastrointestinal tract. </w:t>
      </w:r>
      <w:r w:rsidR="00270FC4">
        <w:rPr>
          <w:rFonts w:eastAsia="TimesNewRoman"/>
          <w:color w:val="000000"/>
        </w:rPr>
        <w:t xml:space="preserve"> </w:t>
      </w:r>
      <w:r w:rsidRPr="007D7FB2">
        <w:rPr>
          <w:rFonts w:eastAsia="TimesNewRoman"/>
          <w:color w:val="000000"/>
        </w:rPr>
        <w:t xml:space="preserve">This means that the pharmacokinetic characteristics of the oral formulation largely apply to the inhalation powder. </w:t>
      </w:r>
      <w:r w:rsidR="00270FC4">
        <w:rPr>
          <w:rFonts w:eastAsia="TimesNewRoman"/>
          <w:color w:val="000000"/>
        </w:rPr>
        <w:t xml:space="preserve"> </w:t>
      </w:r>
      <w:r w:rsidRPr="007D7FB2">
        <w:rPr>
          <w:rFonts w:eastAsia="TimesNewRoman"/>
          <w:color w:val="000000"/>
        </w:rPr>
        <w:t xml:space="preserve">When 80 </w:t>
      </w:r>
      <w:r w:rsidR="00832BC5">
        <w:rPr>
          <w:rFonts w:eastAsia="TimesNewRoman"/>
          <w:color w:val="000000"/>
        </w:rPr>
        <w:t>micrograms</w:t>
      </w:r>
      <w:r w:rsidRPr="007D7FB2">
        <w:rPr>
          <w:rFonts w:eastAsia="TimesNewRoman"/>
          <w:color w:val="000000"/>
        </w:rPr>
        <w:t xml:space="preserve"> of </w:t>
      </w:r>
      <w:r w:rsidRPr="00B54362">
        <w:rPr>
          <w:rFonts w:eastAsia="TimesNewRoman"/>
          <w:color w:val="000000"/>
          <w:vertAlign w:val="superscript"/>
        </w:rPr>
        <w:t>3</w:t>
      </w:r>
      <w:r w:rsidRPr="007D7FB2">
        <w:rPr>
          <w:rFonts w:eastAsia="TimesNewRoman"/>
          <w:color w:val="000000"/>
        </w:rPr>
        <w:t xml:space="preserve">H-labelled </w:t>
      </w:r>
      <w:proofErr w:type="spellStart"/>
      <w:r w:rsidR="00270FC4">
        <w:rPr>
          <w:rFonts w:eastAsia="TimesNewRoman"/>
          <w:color w:val="000000"/>
        </w:rPr>
        <w:t>eformoterol</w:t>
      </w:r>
      <w:proofErr w:type="spellEnd"/>
      <w:r w:rsidRPr="007D7FB2">
        <w:rPr>
          <w:rFonts w:eastAsia="TimesNewRoman"/>
          <w:color w:val="000000"/>
        </w:rPr>
        <w:t xml:space="preserve"> </w:t>
      </w:r>
      <w:proofErr w:type="spellStart"/>
      <w:r w:rsidRPr="007D7FB2">
        <w:rPr>
          <w:rFonts w:eastAsia="TimesNewRoman"/>
          <w:color w:val="000000"/>
        </w:rPr>
        <w:t>fumarate</w:t>
      </w:r>
      <w:proofErr w:type="spellEnd"/>
      <w:r w:rsidRPr="007D7FB2">
        <w:rPr>
          <w:rFonts w:eastAsia="TimesNewRoman"/>
          <w:color w:val="000000"/>
        </w:rPr>
        <w:t xml:space="preserve"> was orally administered to two healthy volunteers, at least 65% of the drug was absorbed.</w:t>
      </w:r>
    </w:p>
    <w:p w:rsidR="00CB4155" w:rsidRPr="007D7FB2" w:rsidRDefault="00CB4155" w:rsidP="00171713">
      <w:pPr>
        <w:pStyle w:val="Heading3"/>
      </w:pPr>
      <w:r w:rsidRPr="007D7FB2">
        <w:t>Distribution</w:t>
      </w:r>
    </w:p>
    <w:p w:rsidR="00CB4155" w:rsidRPr="007D7FB2" w:rsidRDefault="00CB4155" w:rsidP="000649D6">
      <w:pPr>
        <w:autoSpaceDE w:val="0"/>
        <w:autoSpaceDN w:val="0"/>
        <w:adjustRightInd w:val="0"/>
        <w:ind w:right="-360"/>
        <w:jc w:val="both"/>
        <w:rPr>
          <w:rFonts w:eastAsia="TimesNewRoman"/>
          <w:color w:val="000000"/>
        </w:rPr>
      </w:pPr>
      <w:r w:rsidRPr="007D7FB2">
        <w:rPr>
          <w:rFonts w:eastAsia="TimesNewRoman"/>
          <w:color w:val="000000"/>
        </w:rPr>
        <w:t xml:space="preserve">The plasma protein binding of </w:t>
      </w:r>
      <w:proofErr w:type="spellStart"/>
      <w:r w:rsidR="00270FC4">
        <w:rPr>
          <w:rFonts w:eastAsia="TimesNewRoman"/>
          <w:color w:val="000000"/>
        </w:rPr>
        <w:t>eformoterol</w:t>
      </w:r>
      <w:proofErr w:type="spellEnd"/>
      <w:r w:rsidR="00064CED">
        <w:rPr>
          <w:rFonts w:eastAsia="TimesNewRoman"/>
          <w:color w:val="000000"/>
        </w:rPr>
        <w:t xml:space="preserve"> is 61</w:t>
      </w:r>
      <w:r w:rsidRPr="007D7FB2">
        <w:rPr>
          <w:rFonts w:eastAsia="TimesNewRoman"/>
          <w:color w:val="000000"/>
        </w:rPr>
        <w:t>-64% (34% primarily to albumin).</w:t>
      </w:r>
      <w:r w:rsidR="004E189D">
        <w:rPr>
          <w:rFonts w:eastAsia="TimesNewRoman"/>
          <w:color w:val="000000"/>
        </w:rPr>
        <w:t xml:space="preserve">  </w:t>
      </w:r>
      <w:r w:rsidRPr="007D7FB2">
        <w:rPr>
          <w:rFonts w:eastAsia="TimesNewRoman"/>
          <w:color w:val="000000"/>
        </w:rPr>
        <w:t>There is no saturation of binding sites in the concentration range reached with therapeutic doses.</w:t>
      </w:r>
      <w:r w:rsidR="004E189D">
        <w:rPr>
          <w:rFonts w:eastAsia="TimesNewRoman"/>
          <w:color w:val="000000"/>
        </w:rPr>
        <w:t xml:space="preserve">  </w:t>
      </w:r>
      <w:r w:rsidRPr="007D7FB2">
        <w:rPr>
          <w:rFonts w:eastAsia="TimesNewRoman"/>
          <w:color w:val="000000"/>
        </w:rPr>
        <w:t xml:space="preserve">The </w:t>
      </w:r>
      <w:r w:rsidRPr="007D7FB2">
        <w:rPr>
          <w:rFonts w:eastAsia="TimesNewRoman"/>
          <w:color w:val="000000"/>
        </w:rPr>
        <w:lastRenderedPageBreak/>
        <w:t xml:space="preserve">concentrations of </w:t>
      </w:r>
      <w:proofErr w:type="spellStart"/>
      <w:r w:rsidR="00270FC4">
        <w:rPr>
          <w:rFonts w:eastAsia="TimesNewRoman"/>
          <w:color w:val="000000"/>
        </w:rPr>
        <w:t>eformoterol</w:t>
      </w:r>
      <w:proofErr w:type="spellEnd"/>
      <w:r w:rsidRPr="007D7FB2">
        <w:rPr>
          <w:rFonts w:eastAsia="TimesNewRoman"/>
          <w:color w:val="000000"/>
        </w:rPr>
        <w:t xml:space="preserve"> used to assess the plasma protein binding were higher than those achieved in plasma following inhalation of a single 120 </w:t>
      </w:r>
      <w:r w:rsidR="00832BC5">
        <w:rPr>
          <w:rFonts w:eastAsia="TimesNewRoman"/>
          <w:color w:val="000000"/>
        </w:rPr>
        <w:t>micrograms</w:t>
      </w:r>
      <w:r w:rsidR="00E215F3" w:rsidRPr="007D7FB2">
        <w:rPr>
          <w:rFonts w:eastAsia="TimesNewRoman"/>
          <w:color w:val="000000"/>
        </w:rPr>
        <w:t xml:space="preserve"> </w:t>
      </w:r>
      <w:r w:rsidRPr="007D7FB2">
        <w:rPr>
          <w:rFonts w:eastAsia="TimesNewRoman"/>
          <w:color w:val="000000"/>
        </w:rPr>
        <w:t>dose.</w:t>
      </w:r>
    </w:p>
    <w:p w:rsidR="00CB4155" w:rsidRPr="007D7FB2" w:rsidRDefault="00CB4155" w:rsidP="000B2C91">
      <w:pPr>
        <w:pStyle w:val="Heading3"/>
      </w:pPr>
      <w:r w:rsidRPr="007D7FB2">
        <w:t>Metabolism</w:t>
      </w:r>
    </w:p>
    <w:p w:rsidR="00CB4155" w:rsidRPr="007D7FB2" w:rsidRDefault="00270FC4" w:rsidP="000649D6">
      <w:pPr>
        <w:autoSpaceDE w:val="0"/>
        <w:autoSpaceDN w:val="0"/>
        <w:adjustRightInd w:val="0"/>
        <w:ind w:right="-540"/>
        <w:jc w:val="both"/>
        <w:rPr>
          <w:rFonts w:eastAsia="TimesNewRoman"/>
          <w:color w:val="000000"/>
        </w:rPr>
      </w:pPr>
      <w:proofErr w:type="spellStart"/>
      <w:r>
        <w:rPr>
          <w:rFonts w:eastAsia="TimesNewRoman"/>
          <w:color w:val="000000"/>
        </w:rPr>
        <w:t>Eformoterol</w:t>
      </w:r>
      <w:proofErr w:type="spellEnd"/>
      <w:r w:rsidR="00CB4155" w:rsidRPr="007D7FB2">
        <w:rPr>
          <w:rFonts w:eastAsia="TimesNewRoman"/>
          <w:color w:val="000000"/>
        </w:rPr>
        <w:t xml:space="preserve"> is eliminated primarily by metabolism, direct </w:t>
      </w:r>
      <w:proofErr w:type="spellStart"/>
      <w:r w:rsidR="00CB4155" w:rsidRPr="007D7FB2">
        <w:rPr>
          <w:rFonts w:eastAsia="TimesNewRoman"/>
          <w:color w:val="000000"/>
        </w:rPr>
        <w:t>glucuronidation</w:t>
      </w:r>
      <w:proofErr w:type="spellEnd"/>
      <w:r w:rsidR="00CB4155" w:rsidRPr="007D7FB2">
        <w:rPr>
          <w:rFonts w:eastAsia="TimesNewRoman"/>
          <w:color w:val="000000"/>
        </w:rPr>
        <w:t xml:space="preserve"> being the major pathway of biotransformation, with O-</w:t>
      </w:r>
      <w:proofErr w:type="spellStart"/>
      <w:r w:rsidR="00CB4155" w:rsidRPr="007D7FB2">
        <w:rPr>
          <w:rFonts w:eastAsia="TimesNewRoman"/>
          <w:color w:val="000000"/>
        </w:rPr>
        <w:t>demethylation</w:t>
      </w:r>
      <w:proofErr w:type="spellEnd"/>
      <w:r w:rsidR="00CB4155" w:rsidRPr="007D7FB2">
        <w:rPr>
          <w:rFonts w:eastAsia="TimesNewRoman"/>
          <w:color w:val="000000"/>
        </w:rPr>
        <w:t xml:space="preserve"> followed by further </w:t>
      </w:r>
      <w:proofErr w:type="spellStart"/>
      <w:r w:rsidR="00CB4155" w:rsidRPr="007D7FB2">
        <w:rPr>
          <w:rFonts w:eastAsia="TimesNewRoman"/>
          <w:color w:val="000000"/>
        </w:rPr>
        <w:t>glucuronidation</w:t>
      </w:r>
      <w:proofErr w:type="spellEnd"/>
      <w:r w:rsidR="00CB4155" w:rsidRPr="007D7FB2">
        <w:rPr>
          <w:rFonts w:eastAsia="TimesNewRoman"/>
          <w:color w:val="000000"/>
        </w:rPr>
        <w:t xml:space="preserve"> being another pathway.  Minor pathways involve sulphate conjugation of </w:t>
      </w:r>
      <w:proofErr w:type="spellStart"/>
      <w:r>
        <w:rPr>
          <w:rFonts w:eastAsia="TimesNewRoman"/>
          <w:color w:val="000000"/>
        </w:rPr>
        <w:t>eformoterol</w:t>
      </w:r>
      <w:proofErr w:type="spellEnd"/>
      <w:r w:rsidR="00CB4155" w:rsidRPr="007D7FB2">
        <w:rPr>
          <w:rFonts w:eastAsia="TimesNewRoman"/>
          <w:color w:val="000000"/>
        </w:rPr>
        <w:t xml:space="preserve"> and </w:t>
      </w:r>
      <w:proofErr w:type="spellStart"/>
      <w:r w:rsidR="00CB4155" w:rsidRPr="007D7FB2">
        <w:rPr>
          <w:rFonts w:eastAsia="TimesNewRoman"/>
          <w:color w:val="000000"/>
        </w:rPr>
        <w:t>deformylation</w:t>
      </w:r>
      <w:proofErr w:type="spellEnd"/>
      <w:r w:rsidR="00CB4155" w:rsidRPr="007D7FB2">
        <w:rPr>
          <w:rFonts w:eastAsia="TimesNewRoman"/>
          <w:color w:val="000000"/>
        </w:rPr>
        <w:t xml:space="preserve"> followed by sulphate conjugation. </w:t>
      </w:r>
      <w:r w:rsidR="00064CED">
        <w:rPr>
          <w:rFonts w:eastAsia="TimesNewRoman"/>
          <w:color w:val="000000"/>
        </w:rPr>
        <w:t xml:space="preserve"> </w:t>
      </w:r>
      <w:r w:rsidR="00CB4155" w:rsidRPr="007D7FB2">
        <w:rPr>
          <w:rFonts w:eastAsia="TimesNewRoman"/>
          <w:color w:val="000000"/>
        </w:rPr>
        <w:t xml:space="preserve">Multiple </w:t>
      </w:r>
      <w:proofErr w:type="spellStart"/>
      <w:r w:rsidR="00CB4155" w:rsidRPr="007D7FB2">
        <w:rPr>
          <w:rFonts w:eastAsia="TimesNewRoman"/>
          <w:color w:val="000000"/>
        </w:rPr>
        <w:t>isozymes</w:t>
      </w:r>
      <w:proofErr w:type="spellEnd"/>
      <w:r w:rsidR="00CB4155" w:rsidRPr="007D7FB2">
        <w:rPr>
          <w:rFonts w:eastAsia="TimesNewRoman"/>
          <w:color w:val="000000"/>
        </w:rPr>
        <w:t xml:space="preserve"> cataly</w:t>
      </w:r>
      <w:r w:rsidR="000535B6">
        <w:rPr>
          <w:rFonts w:eastAsia="TimesNewRoman"/>
          <w:color w:val="000000"/>
        </w:rPr>
        <w:t>s</w:t>
      </w:r>
      <w:r w:rsidR="00CB4155" w:rsidRPr="007D7FB2">
        <w:rPr>
          <w:rFonts w:eastAsia="TimesNewRoman"/>
          <w:color w:val="000000"/>
        </w:rPr>
        <w:t xml:space="preserve">e the </w:t>
      </w:r>
      <w:proofErr w:type="spellStart"/>
      <w:r w:rsidR="00CB4155" w:rsidRPr="007D7FB2">
        <w:rPr>
          <w:rFonts w:eastAsia="TimesNewRoman"/>
          <w:color w:val="000000"/>
        </w:rPr>
        <w:t>glucuronidation</w:t>
      </w:r>
      <w:proofErr w:type="spellEnd"/>
      <w:r w:rsidR="00CB4155" w:rsidRPr="007D7FB2">
        <w:rPr>
          <w:rFonts w:eastAsia="TimesNewRoman"/>
          <w:color w:val="000000"/>
        </w:rPr>
        <w:t xml:space="preserve"> (UGT1A1, 1A3, 1A6, 1A7, 1A8, 1A9, 1A10, 2B7 and 2B15) and O-</w:t>
      </w:r>
      <w:proofErr w:type="spellStart"/>
      <w:r w:rsidR="00CB4155" w:rsidRPr="007D7FB2">
        <w:rPr>
          <w:rFonts w:eastAsia="TimesNewRoman"/>
          <w:color w:val="000000"/>
        </w:rPr>
        <w:t>demethylation</w:t>
      </w:r>
      <w:proofErr w:type="spellEnd"/>
      <w:r w:rsidR="00CB4155" w:rsidRPr="007D7FB2">
        <w:rPr>
          <w:rFonts w:eastAsia="TimesNewRoman"/>
          <w:color w:val="000000"/>
        </w:rPr>
        <w:t xml:space="preserve"> (CYP 2D6, 2C19, 2C9 and 2A6) of </w:t>
      </w:r>
      <w:proofErr w:type="spellStart"/>
      <w:r>
        <w:rPr>
          <w:rFonts w:eastAsia="TimesNewRoman"/>
          <w:color w:val="000000"/>
        </w:rPr>
        <w:t>eformoterol</w:t>
      </w:r>
      <w:proofErr w:type="spellEnd"/>
      <w:r w:rsidR="00CB4155" w:rsidRPr="007D7FB2">
        <w:rPr>
          <w:rFonts w:eastAsia="TimesNewRoman"/>
          <w:color w:val="000000"/>
        </w:rPr>
        <w:t>, and consequently</w:t>
      </w:r>
      <w:r w:rsidR="00064CED">
        <w:rPr>
          <w:rFonts w:eastAsia="TimesNewRoman"/>
          <w:color w:val="000000"/>
        </w:rPr>
        <w:t xml:space="preserve"> </w:t>
      </w:r>
      <w:r w:rsidR="00CB4155" w:rsidRPr="007D7FB2">
        <w:rPr>
          <w:rFonts w:eastAsia="TimesNewRoman"/>
          <w:color w:val="000000"/>
        </w:rPr>
        <w:t xml:space="preserve">the potential for metabolic drug-drug interaction is low. </w:t>
      </w:r>
      <w:r w:rsidR="00064CED">
        <w:rPr>
          <w:rFonts w:eastAsia="TimesNewRoman"/>
          <w:color w:val="000000"/>
        </w:rPr>
        <w:t xml:space="preserve"> </w:t>
      </w:r>
      <w:proofErr w:type="spellStart"/>
      <w:r>
        <w:rPr>
          <w:rFonts w:eastAsia="TimesNewRoman"/>
          <w:color w:val="000000"/>
        </w:rPr>
        <w:t>Eformoterol</w:t>
      </w:r>
      <w:proofErr w:type="spellEnd"/>
      <w:r w:rsidR="00CB4155" w:rsidRPr="007D7FB2">
        <w:rPr>
          <w:rFonts w:eastAsia="TimesNewRoman"/>
          <w:color w:val="000000"/>
        </w:rPr>
        <w:t xml:space="preserve"> did not inhibit </w:t>
      </w:r>
      <w:proofErr w:type="spellStart"/>
      <w:r w:rsidR="00CB4155" w:rsidRPr="007D7FB2">
        <w:rPr>
          <w:rFonts w:eastAsia="TimesNewRoman"/>
          <w:color w:val="000000"/>
        </w:rPr>
        <w:t>cytochrome</w:t>
      </w:r>
      <w:proofErr w:type="spellEnd"/>
      <w:r w:rsidR="00CB4155" w:rsidRPr="007D7FB2">
        <w:rPr>
          <w:rFonts w:eastAsia="TimesNewRoman"/>
          <w:color w:val="000000"/>
        </w:rPr>
        <w:t xml:space="preserve"> P450 </w:t>
      </w:r>
      <w:proofErr w:type="spellStart"/>
      <w:r w:rsidR="00CB4155" w:rsidRPr="007D7FB2">
        <w:rPr>
          <w:rFonts w:eastAsia="TimesNewRoman"/>
          <w:color w:val="000000"/>
        </w:rPr>
        <w:t>isozymes</w:t>
      </w:r>
      <w:proofErr w:type="spellEnd"/>
      <w:r w:rsidR="00CB4155" w:rsidRPr="007D7FB2">
        <w:rPr>
          <w:rFonts w:eastAsia="TimesNewRoman"/>
          <w:color w:val="000000"/>
        </w:rPr>
        <w:t xml:space="preserve"> at therapeutically relevant concentrations. </w:t>
      </w:r>
      <w:r w:rsidR="00064CED">
        <w:rPr>
          <w:rFonts w:eastAsia="TimesNewRoman"/>
          <w:color w:val="000000"/>
        </w:rPr>
        <w:t xml:space="preserve"> </w:t>
      </w:r>
      <w:r w:rsidR="00CB4155" w:rsidRPr="007D7FB2">
        <w:rPr>
          <w:rFonts w:eastAsia="TimesNewRoman"/>
          <w:color w:val="000000"/>
        </w:rPr>
        <w:t xml:space="preserve">The kinetics of </w:t>
      </w:r>
      <w:proofErr w:type="spellStart"/>
      <w:r>
        <w:rPr>
          <w:rFonts w:eastAsia="TimesNewRoman"/>
          <w:color w:val="000000"/>
        </w:rPr>
        <w:t>eformoterol</w:t>
      </w:r>
      <w:proofErr w:type="spellEnd"/>
      <w:r w:rsidR="00CB4155" w:rsidRPr="007D7FB2">
        <w:rPr>
          <w:rFonts w:eastAsia="TimesNewRoman"/>
          <w:color w:val="000000"/>
        </w:rPr>
        <w:t xml:space="preserve"> is similar after single and repeated administration, indicating no auto-induction or inhibition of metabolism.</w:t>
      </w:r>
    </w:p>
    <w:p w:rsidR="00CB4155" w:rsidRPr="007D7FB2" w:rsidRDefault="00CB4155" w:rsidP="000B2C91">
      <w:pPr>
        <w:pStyle w:val="Heading3"/>
      </w:pPr>
      <w:r w:rsidRPr="007D7FB2">
        <w:t>Elimination</w:t>
      </w:r>
    </w:p>
    <w:p w:rsidR="00CB4155" w:rsidRPr="007D7FB2" w:rsidRDefault="00CB4155" w:rsidP="000649D6">
      <w:pPr>
        <w:autoSpaceDE w:val="0"/>
        <w:autoSpaceDN w:val="0"/>
        <w:adjustRightInd w:val="0"/>
        <w:ind w:right="-360"/>
        <w:jc w:val="both"/>
        <w:rPr>
          <w:rFonts w:eastAsia="TimesNewRoman"/>
          <w:color w:val="000000"/>
        </w:rPr>
      </w:pPr>
      <w:r w:rsidRPr="007D7FB2">
        <w:rPr>
          <w:rFonts w:eastAsia="TimesNewRoman"/>
          <w:color w:val="000000"/>
        </w:rPr>
        <w:t xml:space="preserve">In asthmatic and COPD patients treated for 12 weeks with 12 or 24 </w:t>
      </w:r>
      <w:r w:rsidR="00832BC5">
        <w:rPr>
          <w:rFonts w:eastAsia="TimesNewRoman"/>
          <w:color w:val="000000"/>
        </w:rPr>
        <w:t>micrograms</w:t>
      </w:r>
      <w:r w:rsidR="00E215F3" w:rsidRPr="007D7FB2">
        <w:rPr>
          <w:rFonts w:eastAsia="TimesNewRoman"/>
          <w:color w:val="000000"/>
        </w:rPr>
        <w:t xml:space="preserve"> </w:t>
      </w:r>
      <w:proofErr w:type="spellStart"/>
      <w:r w:rsidR="00270FC4">
        <w:rPr>
          <w:rFonts w:eastAsia="TimesNewRoman"/>
          <w:color w:val="000000"/>
        </w:rPr>
        <w:t>eformoterol</w:t>
      </w:r>
      <w:proofErr w:type="spellEnd"/>
      <w:r w:rsidRPr="007D7FB2">
        <w:rPr>
          <w:rFonts w:eastAsia="TimesNewRoman"/>
          <w:color w:val="000000"/>
        </w:rPr>
        <w:t xml:space="preserve"> </w:t>
      </w:r>
      <w:proofErr w:type="spellStart"/>
      <w:r w:rsidRPr="007D7FB2">
        <w:rPr>
          <w:rFonts w:eastAsia="TimesNewRoman"/>
          <w:color w:val="000000"/>
        </w:rPr>
        <w:t>fumarate</w:t>
      </w:r>
      <w:proofErr w:type="spellEnd"/>
      <w:r w:rsidRPr="007D7FB2">
        <w:rPr>
          <w:rFonts w:eastAsia="TimesNewRoman"/>
          <w:color w:val="000000"/>
        </w:rPr>
        <w:t xml:space="preserve"> </w:t>
      </w:r>
      <w:r w:rsidR="00064CED">
        <w:rPr>
          <w:rFonts w:eastAsia="TimesNewRoman"/>
          <w:color w:val="000000"/>
        </w:rPr>
        <w:t>twice daily</w:t>
      </w:r>
      <w:r w:rsidRPr="007D7FB2">
        <w:rPr>
          <w:rFonts w:eastAsia="TimesNewRoman"/>
          <w:color w:val="000000"/>
        </w:rPr>
        <w:t xml:space="preserve"> approximately 10% and 7% of the dose, respectively, were recovered in the urine as unchanged </w:t>
      </w:r>
      <w:proofErr w:type="spellStart"/>
      <w:r w:rsidR="00270FC4">
        <w:rPr>
          <w:rFonts w:eastAsia="TimesNewRoman"/>
          <w:color w:val="000000"/>
        </w:rPr>
        <w:t>eformoterol</w:t>
      </w:r>
      <w:proofErr w:type="spellEnd"/>
      <w:r w:rsidRPr="007D7FB2">
        <w:rPr>
          <w:rFonts w:eastAsia="TimesNewRoman"/>
          <w:color w:val="000000"/>
        </w:rPr>
        <w:t xml:space="preserve">. </w:t>
      </w:r>
      <w:r w:rsidR="00064CED">
        <w:rPr>
          <w:rFonts w:eastAsia="TimesNewRoman"/>
          <w:color w:val="000000"/>
        </w:rPr>
        <w:t xml:space="preserve"> </w:t>
      </w:r>
      <w:r w:rsidRPr="007D7FB2">
        <w:rPr>
          <w:rFonts w:eastAsia="TimesNewRoman"/>
          <w:color w:val="000000"/>
        </w:rPr>
        <w:t xml:space="preserve">In asthmatic children, approximately 6% of the dose was recovered in the urine as unchanged </w:t>
      </w:r>
      <w:proofErr w:type="spellStart"/>
      <w:r w:rsidR="00270FC4">
        <w:rPr>
          <w:rFonts w:eastAsia="TimesNewRoman"/>
          <w:color w:val="000000"/>
        </w:rPr>
        <w:t>eformoterol</w:t>
      </w:r>
      <w:proofErr w:type="spellEnd"/>
      <w:r w:rsidRPr="007D7FB2">
        <w:rPr>
          <w:rFonts w:eastAsia="TimesNewRoman"/>
          <w:color w:val="000000"/>
        </w:rPr>
        <w:t xml:space="preserve"> after multiple dosing of 12 and 24 </w:t>
      </w:r>
      <w:r w:rsidR="00832BC5">
        <w:rPr>
          <w:rFonts w:eastAsia="TimesNewRoman"/>
          <w:color w:val="000000"/>
        </w:rPr>
        <w:t>micrograms</w:t>
      </w:r>
      <w:r w:rsidRPr="007D7FB2">
        <w:rPr>
          <w:rFonts w:eastAsia="TimesNewRoman"/>
          <w:color w:val="000000"/>
        </w:rPr>
        <w:t>. The (R,</w:t>
      </w:r>
      <w:r w:rsidR="0080294F">
        <w:rPr>
          <w:rFonts w:eastAsia="TimesNewRoman"/>
          <w:color w:val="000000"/>
        </w:rPr>
        <w:t xml:space="preserve"> </w:t>
      </w:r>
      <w:r w:rsidRPr="007D7FB2">
        <w:rPr>
          <w:rFonts w:eastAsia="TimesNewRoman"/>
          <w:color w:val="000000"/>
        </w:rPr>
        <w:t>R) and (S,</w:t>
      </w:r>
      <w:r w:rsidR="0080294F">
        <w:rPr>
          <w:rFonts w:eastAsia="TimesNewRoman"/>
          <w:color w:val="000000"/>
        </w:rPr>
        <w:t xml:space="preserve"> </w:t>
      </w:r>
      <w:r w:rsidRPr="007D7FB2">
        <w:rPr>
          <w:rFonts w:eastAsia="TimesNewRoman"/>
          <w:color w:val="000000"/>
        </w:rPr>
        <w:t xml:space="preserve">S)-enantiomers accounted for 40% and 60% respectively of urinary recovery of unchanged </w:t>
      </w:r>
      <w:proofErr w:type="spellStart"/>
      <w:r w:rsidR="00270FC4">
        <w:rPr>
          <w:rFonts w:eastAsia="TimesNewRoman"/>
          <w:color w:val="000000"/>
        </w:rPr>
        <w:t>eformoterol</w:t>
      </w:r>
      <w:proofErr w:type="spellEnd"/>
      <w:r w:rsidRPr="007D7FB2">
        <w:rPr>
          <w:rFonts w:eastAsia="TimesNewRoman"/>
          <w:color w:val="000000"/>
        </w:rPr>
        <w:t>, after single doses (12 to 120</w:t>
      </w:r>
      <w:r w:rsidR="00064CED">
        <w:rPr>
          <w:rFonts w:eastAsia="TimesNewRoman"/>
          <w:color w:val="000000"/>
        </w:rPr>
        <w:t xml:space="preserve"> </w:t>
      </w:r>
      <w:r w:rsidR="00832BC5">
        <w:rPr>
          <w:rFonts w:eastAsia="TimesNewRoman"/>
          <w:color w:val="000000"/>
        </w:rPr>
        <w:t>micrograms</w:t>
      </w:r>
      <w:r w:rsidRPr="007D7FB2">
        <w:rPr>
          <w:rFonts w:eastAsia="TimesNewRoman"/>
          <w:color w:val="000000"/>
        </w:rPr>
        <w:t>) in healthy volunteers</w:t>
      </w:r>
      <w:r w:rsidR="00064CED">
        <w:rPr>
          <w:rFonts w:eastAsia="TimesNewRoman"/>
          <w:color w:val="000000"/>
        </w:rPr>
        <w:t>,</w:t>
      </w:r>
      <w:r w:rsidRPr="007D7FB2">
        <w:rPr>
          <w:rFonts w:eastAsia="TimesNewRoman"/>
          <w:color w:val="000000"/>
        </w:rPr>
        <w:t xml:space="preserve"> and after single and repeated doses in asthma patients.</w:t>
      </w:r>
      <w:r w:rsidR="004E189D">
        <w:rPr>
          <w:rFonts w:eastAsia="TimesNewRoman"/>
          <w:color w:val="000000"/>
        </w:rPr>
        <w:t xml:space="preserve">  </w:t>
      </w:r>
      <w:r w:rsidRPr="007D7FB2">
        <w:rPr>
          <w:rFonts w:eastAsia="TimesNewRoman"/>
          <w:color w:val="000000"/>
        </w:rPr>
        <w:t>After a single oral dose of 3H-</w:t>
      </w:r>
      <w:r w:rsidR="00270FC4">
        <w:rPr>
          <w:rFonts w:eastAsia="TimesNewRoman"/>
          <w:color w:val="000000"/>
        </w:rPr>
        <w:t>eformoterol</w:t>
      </w:r>
      <w:r w:rsidRPr="007D7FB2">
        <w:rPr>
          <w:rFonts w:eastAsia="TimesNewRoman"/>
          <w:color w:val="000000"/>
        </w:rPr>
        <w:t xml:space="preserve">, 59-62% of the dose was recovered in the urine and 32-34% in the faeces. </w:t>
      </w:r>
      <w:r w:rsidR="00064CED">
        <w:rPr>
          <w:rFonts w:eastAsia="TimesNewRoman"/>
          <w:color w:val="000000"/>
        </w:rPr>
        <w:t xml:space="preserve"> </w:t>
      </w:r>
      <w:r w:rsidRPr="007D7FB2">
        <w:rPr>
          <w:rFonts w:eastAsia="TimesNewRoman"/>
          <w:color w:val="000000"/>
        </w:rPr>
        <w:t xml:space="preserve">Renal clearance of </w:t>
      </w:r>
      <w:proofErr w:type="spellStart"/>
      <w:r w:rsidR="00270FC4">
        <w:rPr>
          <w:rFonts w:eastAsia="TimesNewRoman"/>
          <w:color w:val="000000"/>
        </w:rPr>
        <w:t>eformoterol</w:t>
      </w:r>
      <w:proofErr w:type="spellEnd"/>
      <w:r w:rsidRPr="007D7FB2">
        <w:rPr>
          <w:rFonts w:eastAsia="TimesNewRoman"/>
          <w:color w:val="000000"/>
        </w:rPr>
        <w:t xml:space="preserve"> is 150 </w:t>
      </w:r>
      <w:proofErr w:type="spellStart"/>
      <w:r w:rsidRPr="007D7FB2">
        <w:rPr>
          <w:rFonts w:eastAsia="TimesNewRoman"/>
          <w:color w:val="000000"/>
        </w:rPr>
        <w:t>mL</w:t>
      </w:r>
      <w:proofErr w:type="spellEnd"/>
      <w:r w:rsidRPr="007D7FB2">
        <w:rPr>
          <w:rFonts w:eastAsia="TimesNewRoman"/>
          <w:color w:val="000000"/>
        </w:rPr>
        <w:t>/min.</w:t>
      </w:r>
    </w:p>
    <w:p w:rsidR="00CB4155" w:rsidRPr="007D7FB2" w:rsidRDefault="00CB4155" w:rsidP="00170D00">
      <w:pPr>
        <w:autoSpaceDE w:val="0"/>
        <w:autoSpaceDN w:val="0"/>
        <w:adjustRightInd w:val="0"/>
        <w:spacing w:before="100" w:beforeAutospacing="1" w:after="100" w:afterAutospacing="1"/>
        <w:ind w:right="-540"/>
        <w:jc w:val="both"/>
        <w:rPr>
          <w:rFonts w:eastAsia="TimesNewRoman"/>
          <w:color w:val="000000"/>
        </w:rPr>
      </w:pPr>
      <w:r w:rsidRPr="007D7FB2">
        <w:rPr>
          <w:rFonts w:eastAsia="TimesNewRoman"/>
          <w:color w:val="000000"/>
        </w:rPr>
        <w:t xml:space="preserve">After inhalation, plasma </w:t>
      </w:r>
      <w:proofErr w:type="spellStart"/>
      <w:r w:rsidR="00270FC4">
        <w:rPr>
          <w:rFonts w:eastAsia="TimesNewRoman"/>
          <w:color w:val="000000"/>
        </w:rPr>
        <w:t>eformoterol</w:t>
      </w:r>
      <w:proofErr w:type="spellEnd"/>
      <w:r w:rsidRPr="007D7FB2">
        <w:rPr>
          <w:rFonts w:eastAsia="TimesNewRoman"/>
          <w:color w:val="000000"/>
        </w:rPr>
        <w:t xml:space="preserve"> kinetics and urinary excretion rate data in healthy volunteers indicate a biphasic elimination, with the terminal elimination half-lives of the (R, R) and (S, S)-enantiomers being 13.9 and 12.3 hours, respectively. </w:t>
      </w:r>
      <w:r w:rsidR="00064CED">
        <w:rPr>
          <w:rFonts w:eastAsia="TimesNewRoman"/>
          <w:color w:val="000000"/>
        </w:rPr>
        <w:t xml:space="preserve"> </w:t>
      </w:r>
      <w:r w:rsidRPr="007D7FB2">
        <w:rPr>
          <w:rFonts w:eastAsia="TimesNewRoman"/>
          <w:color w:val="000000"/>
        </w:rPr>
        <w:t>Peak excretion occurs within 1.5 hours.</w:t>
      </w:r>
      <w:r w:rsidR="004E189D">
        <w:rPr>
          <w:rFonts w:eastAsia="TimesNewRoman"/>
          <w:color w:val="000000"/>
        </w:rPr>
        <w:t xml:space="preserve">  </w:t>
      </w:r>
      <w:r w:rsidRPr="007D7FB2">
        <w:rPr>
          <w:rFonts w:eastAsia="TimesNewRoman"/>
          <w:color w:val="000000"/>
        </w:rPr>
        <w:t xml:space="preserve">Approximately 6.4-8% of the dose was recovered in the urine as unchanged </w:t>
      </w:r>
      <w:proofErr w:type="spellStart"/>
      <w:r w:rsidR="00270FC4">
        <w:rPr>
          <w:rFonts w:eastAsia="TimesNewRoman"/>
          <w:color w:val="000000"/>
        </w:rPr>
        <w:t>eformoterol</w:t>
      </w:r>
      <w:proofErr w:type="spellEnd"/>
      <w:r w:rsidRPr="007D7FB2">
        <w:rPr>
          <w:rFonts w:eastAsia="TimesNewRoman"/>
          <w:color w:val="000000"/>
        </w:rPr>
        <w:t>, with the (R, R) and (S, S)-enantiomers contributing 40% and 60%, respectively.</w:t>
      </w:r>
    </w:p>
    <w:p w:rsidR="00CB4155" w:rsidRPr="00577862" w:rsidRDefault="00FD44F9" w:rsidP="00170D00">
      <w:pPr>
        <w:autoSpaceDE w:val="0"/>
        <w:autoSpaceDN w:val="0"/>
        <w:adjustRightInd w:val="0"/>
        <w:spacing w:before="100" w:beforeAutospacing="1" w:after="100" w:afterAutospacing="1"/>
        <w:ind w:right="-360"/>
        <w:jc w:val="both"/>
        <w:rPr>
          <w:rFonts w:eastAsia="TimesNewRoman"/>
          <w:color w:val="000000"/>
        </w:rPr>
      </w:pPr>
      <w:proofErr w:type="spellStart"/>
      <w:r w:rsidRPr="00577862">
        <w:rPr>
          <w:bCs/>
          <w:i/>
          <w:color w:val="000000"/>
        </w:rPr>
        <w:t>Fluticasone</w:t>
      </w:r>
      <w:proofErr w:type="spellEnd"/>
      <w:r w:rsidRPr="00577862">
        <w:rPr>
          <w:bCs/>
          <w:i/>
          <w:color w:val="000000"/>
        </w:rPr>
        <w:t xml:space="preserve"> propionate/</w:t>
      </w:r>
      <w:proofErr w:type="spellStart"/>
      <w:r w:rsidRPr="00577862">
        <w:rPr>
          <w:bCs/>
          <w:i/>
          <w:color w:val="000000"/>
        </w:rPr>
        <w:t>eformoterol</w:t>
      </w:r>
      <w:proofErr w:type="spellEnd"/>
      <w:r w:rsidRPr="00577862">
        <w:rPr>
          <w:bCs/>
          <w:i/>
          <w:color w:val="000000"/>
        </w:rPr>
        <w:t xml:space="preserve"> </w:t>
      </w:r>
      <w:proofErr w:type="spellStart"/>
      <w:r w:rsidRPr="00577862">
        <w:rPr>
          <w:bCs/>
          <w:i/>
          <w:color w:val="000000"/>
        </w:rPr>
        <w:t>fumarate</w:t>
      </w:r>
      <w:proofErr w:type="spellEnd"/>
      <w:r w:rsidRPr="00577862">
        <w:rPr>
          <w:bCs/>
          <w:i/>
          <w:color w:val="000000"/>
        </w:rPr>
        <w:t xml:space="preserve"> in combination</w:t>
      </w:r>
      <w:r w:rsidR="00A12D6E" w:rsidRPr="00577862">
        <w:rPr>
          <w:bCs/>
          <w:color w:val="000000"/>
        </w:rPr>
        <w:t xml:space="preserve">: </w:t>
      </w:r>
      <w:r w:rsidR="00796B58" w:rsidRPr="00577862">
        <w:rPr>
          <w:bCs/>
          <w:color w:val="000000"/>
        </w:rPr>
        <w:t>A</w:t>
      </w:r>
      <w:r w:rsidR="00796B58" w:rsidRPr="00577862">
        <w:rPr>
          <w:rFonts w:eastAsia="TimesNewRoman"/>
          <w:color w:val="000000"/>
        </w:rPr>
        <w:t xml:space="preserve"> </w:t>
      </w:r>
      <w:r w:rsidR="00CB4155" w:rsidRPr="00577862">
        <w:rPr>
          <w:rFonts w:eastAsia="TimesNewRoman"/>
          <w:color w:val="000000"/>
        </w:rPr>
        <w:t xml:space="preserve">number of studies have examined the pharmacokinetic characteristics of </w:t>
      </w:r>
      <w:proofErr w:type="spellStart"/>
      <w:r w:rsidR="00CB4155" w:rsidRPr="00577862">
        <w:rPr>
          <w:rFonts w:eastAsia="TimesNewRoman"/>
          <w:color w:val="000000"/>
        </w:rPr>
        <w:t>fluticasone</w:t>
      </w:r>
      <w:proofErr w:type="spellEnd"/>
      <w:r w:rsidR="00CB4155" w:rsidRPr="00577862">
        <w:rPr>
          <w:rFonts w:eastAsia="TimesNewRoman"/>
          <w:color w:val="000000"/>
        </w:rPr>
        <w:t xml:space="preserve"> propionate and </w:t>
      </w:r>
      <w:proofErr w:type="spellStart"/>
      <w:r w:rsidR="00270FC4" w:rsidRPr="00577862">
        <w:rPr>
          <w:rFonts w:eastAsia="TimesNewRoman"/>
          <w:color w:val="000000"/>
        </w:rPr>
        <w:t>eformoterol</w:t>
      </w:r>
      <w:proofErr w:type="spellEnd"/>
      <w:r w:rsidR="00CB4155" w:rsidRPr="00577862">
        <w:rPr>
          <w:rFonts w:eastAsia="TimesNewRoman"/>
          <w:color w:val="000000"/>
        </w:rPr>
        <w:t xml:space="preserve"> </w:t>
      </w:r>
      <w:proofErr w:type="spellStart"/>
      <w:r w:rsidR="00CB4155" w:rsidRPr="00577862">
        <w:rPr>
          <w:rFonts w:eastAsia="TimesNewRoman"/>
          <w:color w:val="000000"/>
        </w:rPr>
        <w:t>fumarate</w:t>
      </w:r>
      <w:proofErr w:type="spellEnd"/>
      <w:r w:rsidR="00CB4155" w:rsidRPr="00577862">
        <w:rPr>
          <w:rFonts w:eastAsia="TimesNewRoman"/>
          <w:color w:val="000000"/>
        </w:rPr>
        <w:t xml:space="preserve"> </w:t>
      </w:r>
      <w:r w:rsidR="00064CED" w:rsidRPr="00577862">
        <w:rPr>
          <w:rFonts w:eastAsia="TimesNewRoman"/>
          <w:color w:val="000000"/>
        </w:rPr>
        <w:t>in</w:t>
      </w:r>
      <w:r w:rsidR="00CB4155" w:rsidRPr="00577862">
        <w:rPr>
          <w:rFonts w:eastAsia="TimesNewRoman"/>
          <w:color w:val="000000"/>
        </w:rPr>
        <w:t xml:space="preserve"> </w:t>
      </w:r>
      <w:r w:rsidR="00D058BC" w:rsidRPr="00577862">
        <w:rPr>
          <w:rFonts w:eastAsia="TimesNewRoman"/>
          <w:color w:val="000000"/>
        </w:rPr>
        <w:t>FLUTIFORM</w:t>
      </w:r>
      <w:r w:rsidR="002C6E53" w:rsidRPr="00577862">
        <w:rPr>
          <w:rFonts w:eastAsia="TimesNewRoman"/>
          <w:color w:val="000000"/>
          <w:vertAlign w:val="superscript"/>
        </w:rPr>
        <w:t>®</w:t>
      </w:r>
      <w:r w:rsidR="00A37A8E" w:rsidRPr="00577862">
        <w:rPr>
          <w:rFonts w:eastAsia="TimesNewRoman"/>
          <w:color w:val="000000"/>
        </w:rPr>
        <w:t xml:space="preserve"> </w:t>
      </w:r>
      <w:r w:rsidR="00381D65" w:rsidRPr="00577862">
        <w:rPr>
          <w:rFonts w:eastAsia="TimesNewRoman"/>
          <w:color w:val="000000"/>
        </w:rPr>
        <w:t xml:space="preserve">inhaler </w:t>
      </w:r>
      <w:r w:rsidR="00CB4155" w:rsidRPr="00577862">
        <w:rPr>
          <w:rFonts w:eastAsia="TimesNewRoman"/>
          <w:color w:val="000000"/>
        </w:rPr>
        <w:t xml:space="preserve">compared with the individual components, </w:t>
      </w:r>
      <w:r w:rsidR="00064CED" w:rsidRPr="00577862">
        <w:rPr>
          <w:rFonts w:eastAsia="TimesNewRoman"/>
          <w:color w:val="000000"/>
        </w:rPr>
        <w:t>administered</w:t>
      </w:r>
      <w:r w:rsidR="00CB4155" w:rsidRPr="00577862">
        <w:rPr>
          <w:rFonts w:eastAsia="TimesNewRoman"/>
          <w:color w:val="000000"/>
        </w:rPr>
        <w:t xml:space="preserve"> together and separately.</w:t>
      </w:r>
      <w:r w:rsidR="004E189D" w:rsidRPr="00577862">
        <w:rPr>
          <w:rFonts w:eastAsia="TimesNewRoman"/>
          <w:color w:val="000000"/>
        </w:rPr>
        <w:t xml:space="preserve">  </w:t>
      </w:r>
      <w:r w:rsidR="00CB4155" w:rsidRPr="00577862">
        <w:rPr>
          <w:rFonts w:eastAsia="TimesNewRoman"/>
          <w:color w:val="000000"/>
        </w:rPr>
        <w:t xml:space="preserve">There is a high variability both within and between the pharmacokinetic </w:t>
      </w:r>
      <w:proofErr w:type="gramStart"/>
      <w:r w:rsidR="00CB4155" w:rsidRPr="00577862">
        <w:rPr>
          <w:rFonts w:eastAsia="TimesNewRoman"/>
          <w:color w:val="000000"/>
        </w:rPr>
        <w:t>studies</w:t>
      </w:r>
      <w:r w:rsidR="00064CED" w:rsidRPr="00577862">
        <w:rPr>
          <w:rFonts w:eastAsia="TimesNewRoman"/>
          <w:color w:val="000000"/>
        </w:rPr>
        <w:t>,</w:t>
      </w:r>
      <w:proofErr w:type="gramEnd"/>
      <w:r w:rsidR="00CB4155" w:rsidRPr="00577862">
        <w:rPr>
          <w:rFonts w:eastAsia="TimesNewRoman"/>
          <w:color w:val="000000"/>
        </w:rPr>
        <w:t xml:space="preserve"> however, in general there is a trend for the systemic exposure of </w:t>
      </w:r>
      <w:proofErr w:type="spellStart"/>
      <w:r w:rsidR="00CB4155" w:rsidRPr="00577862">
        <w:rPr>
          <w:rFonts w:eastAsia="TimesNewRoman"/>
          <w:color w:val="000000"/>
        </w:rPr>
        <w:t>fluticasone</w:t>
      </w:r>
      <w:proofErr w:type="spellEnd"/>
      <w:r w:rsidR="00CB4155" w:rsidRPr="00577862">
        <w:rPr>
          <w:rFonts w:eastAsia="TimesNewRoman"/>
          <w:color w:val="000000"/>
        </w:rPr>
        <w:t xml:space="preserve"> and </w:t>
      </w:r>
      <w:proofErr w:type="spellStart"/>
      <w:r w:rsidR="00270FC4" w:rsidRPr="00577862">
        <w:rPr>
          <w:rFonts w:eastAsia="TimesNewRoman"/>
          <w:color w:val="000000"/>
        </w:rPr>
        <w:t>eformoterol</w:t>
      </w:r>
      <w:proofErr w:type="spellEnd"/>
      <w:r w:rsidR="00CB4155" w:rsidRPr="00577862">
        <w:rPr>
          <w:rFonts w:eastAsia="TimesNewRoman"/>
          <w:color w:val="000000"/>
        </w:rPr>
        <w:t xml:space="preserve"> to be less </w:t>
      </w:r>
      <w:r w:rsidR="00064CED" w:rsidRPr="00577862">
        <w:rPr>
          <w:rFonts w:eastAsia="TimesNewRoman"/>
          <w:color w:val="000000"/>
        </w:rPr>
        <w:t>with</w:t>
      </w:r>
      <w:r w:rsidR="00CB4155" w:rsidRPr="00577862">
        <w:rPr>
          <w:rFonts w:eastAsia="TimesNewRoman"/>
          <w:color w:val="000000"/>
        </w:rPr>
        <w:t xml:space="preserve"> </w:t>
      </w:r>
      <w:r w:rsidR="00D058BC" w:rsidRPr="00577862">
        <w:rPr>
          <w:rFonts w:eastAsia="TimesNewRoman"/>
          <w:color w:val="000000"/>
        </w:rPr>
        <w:t>FLUTIFORM</w:t>
      </w:r>
      <w:r w:rsidR="002C6E53" w:rsidRPr="00577862">
        <w:rPr>
          <w:rFonts w:eastAsia="TimesNewRoman"/>
          <w:color w:val="000000"/>
          <w:vertAlign w:val="superscript"/>
        </w:rPr>
        <w:t>®</w:t>
      </w:r>
      <w:r w:rsidR="00A37A8E" w:rsidRPr="00577862">
        <w:rPr>
          <w:rFonts w:eastAsia="TimesNewRoman"/>
          <w:color w:val="000000"/>
        </w:rPr>
        <w:t xml:space="preserve"> </w:t>
      </w:r>
      <w:r w:rsidR="00381D65" w:rsidRPr="00577862">
        <w:rPr>
          <w:rFonts w:eastAsia="TimesNewRoman"/>
          <w:color w:val="000000"/>
        </w:rPr>
        <w:t xml:space="preserve">inhaler </w:t>
      </w:r>
      <w:r w:rsidR="00CB4155" w:rsidRPr="00577862">
        <w:rPr>
          <w:rFonts w:eastAsia="TimesNewRoman"/>
          <w:color w:val="000000"/>
        </w:rPr>
        <w:t xml:space="preserve">than </w:t>
      </w:r>
      <w:r w:rsidR="00064CED" w:rsidRPr="00577862">
        <w:rPr>
          <w:rFonts w:eastAsia="TimesNewRoman"/>
          <w:color w:val="000000"/>
        </w:rPr>
        <w:t>with</w:t>
      </w:r>
      <w:r w:rsidR="00CB4155" w:rsidRPr="00577862">
        <w:rPr>
          <w:rFonts w:eastAsia="TimesNewRoman"/>
          <w:color w:val="000000"/>
        </w:rPr>
        <w:t xml:space="preserve"> the individual components </w:t>
      </w:r>
      <w:r w:rsidR="00064CED" w:rsidRPr="00577862">
        <w:rPr>
          <w:rFonts w:eastAsia="TimesNewRoman"/>
          <w:color w:val="000000"/>
        </w:rPr>
        <w:t>administered</w:t>
      </w:r>
      <w:r w:rsidR="00CB4155" w:rsidRPr="00577862">
        <w:rPr>
          <w:rFonts w:eastAsia="TimesNewRoman"/>
          <w:color w:val="000000"/>
        </w:rPr>
        <w:t xml:space="preserve"> together.</w:t>
      </w:r>
    </w:p>
    <w:p w:rsidR="004E189D" w:rsidRDefault="00CB4155" w:rsidP="002801E7">
      <w:pPr>
        <w:pStyle w:val="Heading3"/>
      </w:pPr>
      <w:r w:rsidRPr="007D7FB2">
        <w:t>Absorption</w:t>
      </w:r>
    </w:p>
    <w:p w:rsidR="00CB4155" w:rsidRPr="007D7FB2" w:rsidRDefault="003B4C5F" w:rsidP="000649D6">
      <w:pPr>
        <w:autoSpaceDE w:val="0"/>
        <w:autoSpaceDN w:val="0"/>
        <w:adjustRightInd w:val="0"/>
        <w:ind w:right="-360"/>
        <w:jc w:val="both"/>
        <w:rPr>
          <w:rFonts w:eastAsia="TimesNewRoman"/>
          <w:color w:val="000000"/>
        </w:rPr>
      </w:pPr>
      <w:r w:rsidRPr="003B4C5F">
        <w:rPr>
          <w:bCs/>
          <w:color w:val="000000"/>
        </w:rPr>
        <w:t>FLUTIFORM</w:t>
      </w:r>
      <w:r w:rsidR="004738A8" w:rsidRPr="006B64DC">
        <w:rPr>
          <w:rFonts w:eastAsia="TimesNewRoman"/>
          <w:color w:val="000000"/>
          <w:vertAlign w:val="superscript"/>
        </w:rPr>
        <w:t>®</w:t>
      </w:r>
      <w:r w:rsidRPr="003B4C5F">
        <w:rPr>
          <w:rFonts w:eastAsia="TimesNewRoman"/>
          <w:color w:val="000000"/>
        </w:rPr>
        <w:t xml:space="preserve"> </w:t>
      </w:r>
      <w:r w:rsidR="00381D65">
        <w:rPr>
          <w:rFonts w:eastAsia="TimesNewRoman"/>
          <w:color w:val="000000"/>
        </w:rPr>
        <w:t>inhaler</w:t>
      </w:r>
      <w:r w:rsidR="00381D65" w:rsidRPr="003B4C5F">
        <w:rPr>
          <w:bCs/>
          <w:color w:val="000000"/>
        </w:rPr>
        <w:t xml:space="preserve"> </w:t>
      </w:r>
      <w:r w:rsidRPr="003B4C5F">
        <w:rPr>
          <w:bCs/>
          <w:color w:val="000000"/>
        </w:rPr>
        <w:t>(fluticasone propionate)</w:t>
      </w:r>
      <w:r>
        <w:rPr>
          <w:bCs/>
          <w:color w:val="000000"/>
        </w:rPr>
        <w:t xml:space="preserve">: </w:t>
      </w:r>
      <w:r w:rsidR="00CB4155" w:rsidRPr="007D7FB2">
        <w:rPr>
          <w:rFonts w:eastAsia="TimesNewRoman"/>
          <w:color w:val="000000"/>
        </w:rPr>
        <w:t>Following inhalation of a single 250</w:t>
      </w:r>
      <w:r w:rsidR="00170D00">
        <w:rPr>
          <w:rFonts w:eastAsia="TimesNewRoman"/>
          <w:color w:val="000000"/>
        </w:rPr>
        <w:t> </w:t>
      </w:r>
      <w:r w:rsidR="00CB4155" w:rsidRPr="007D7FB2">
        <w:rPr>
          <w:rFonts w:eastAsia="TimesNewRoman"/>
          <w:color w:val="000000"/>
        </w:rPr>
        <w:t>microgram</w:t>
      </w:r>
      <w:r w:rsidR="00077868">
        <w:rPr>
          <w:rFonts w:eastAsia="TimesNewRoman"/>
          <w:color w:val="000000"/>
        </w:rPr>
        <w:t>s</w:t>
      </w:r>
      <w:r w:rsidR="00CB4155" w:rsidRPr="007D7FB2">
        <w:rPr>
          <w:rFonts w:eastAsia="TimesNewRoman"/>
          <w:color w:val="000000"/>
        </w:rPr>
        <w:t xml:space="preserve"> dose of </w:t>
      </w:r>
      <w:proofErr w:type="spellStart"/>
      <w:r w:rsidR="00CB4155" w:rsidRPr="007D7FB2">
        <w:rPr>
          <w:rFonts w:eastAsia="TimesNewRoman"/>
          <w:color w:val="000000"/>
        </w:rPr>
        <w:t>fluticasone</w:t>
      </w:r>
      <w:proofErr w:type="spellEnd"/>
      <w:r w:rsidR="00CB4155" w:rsidRPr="007D7FB2">
        <w:rPr>
          <w:rFonts w:eastAsia="TimesNewRoman"/>
          <w:color w:val="000000"/>
        </w:rPr>
        <w:t xml:space="preserve"> propionate from 2 actuations of </w:t>
      </w:r>
      <w:r w:rsidR="00D058BC">
        <w:rPr>
          <w:rFonts w:eastAsia="TimesNewRoman"/>
          <w:color w:val="000000"/>
        </w:rPr>
        <w:t>FLUTIFORM</w:t>
      </w:r>
      <w:r w:rsidR="004738A8" w:rsidRPr="006B64DC">
        <w:rPr>
          <w:rFonts w:eastAsia="TimesNewRoman"/>
          <w:color w:val="000000"/>
          <w:vertAlign w:val="superscript"/>
        </w:rPr>
        <w:t>®</w:t>
      </w:r>
      <w:r w:rsidR="00A37A8E">
        <w:rPr>
          <w:rFonts w:eastAsia="TimesNewRoman"/>
          <w:color w:val="000000"/>
        </w:rPr>
        <w:t xml:space="preserve"> </w:t>
      </w:r>
      <w:r w:rsidR="00381D65">
        <w:rPr>
          <w:rFonts w:eastAsia="TimesNewRoman"/>
          <w:color w:val="000000"/>
        </w:rPr>
        <w:t>inhaler</w:t>
      </w:r>
      <w:r w:rsidR="00381D65" w:rsidRPr="006B64DC">
        <w:rPr>
          <w:rFonts w:eastAsia="TimesNewRoman"/>
          <w:color w:val="000000"/>
        </w:rPr>
        <w:t xml:space="preserve"> </w:t>
      </w:r>
      <w:r w:rsidR="00CB4155" w:rsidRPr="007D7FB2">
        <w:rPr>
          <w:rFonts w:eastAsia="TimesNewRoman"/>
          <w:color w:val="000000"/>
        </w:rPr>
        <w:t>125</w:t>
      </w:r>
      <w:r w:rsidR="00170D00">
        <w:rPr>
          <w:rFonts w:eastAsia="TimesNewRoman"/>
          <w:color w:val="000000"/>
        </w:rPr>
        <w:t> </w:t>
      </w:r>
      <w:r w:rsidR="00CB4155" w:rsidRPr="007D7FB2">
        <w:rPr>
          <w:rFonts w:eastAsia="TimesNewRoman"/>
          <w:color w:val="000000"/>
        </w:rPr>
        <w:t>microgram</w:t>
      </w:r>
      <w:r w:rsidR="00077868">
        <w:rPr>
          <w:rFonts w:eastAsia="TimesNewRoman"/>
          <w:color w:val="000000"/>
        </w:rPr>
        <w:t>s</w:t>
      </w:r>
      <w:r w:rsidR="00CB4155" w:rsidRPr="007D7FB2">
        <w:rPr>
          <w:rFonts w:eastAsia="TimesNewRoman"/>
          <w:color w:val="000000"/>
        </w:rPr>
        <w:t>/5 microgram</w:t>
      </w:r>
      <w:r w:rsidR="00077868">
        <w:rPr>
          <w:rFonts w:eastAsia="TimesNewRoman"/>
          <w:color w:val="000000"/>
        </w:rPr>
        <w:t>s</w:t>
      </w:r>
      <w:r w:rsidR="00CB4155" w:rsidRPr="007D7FB2">
        <w:rPr>
          <w:rFonts w:eastAsia="TimesNewRoman"/>
          <w:color w:val="000000"/>
        </w:rPr>
        <w:t xml:space="preserve"> by healthy volunteers, fluticasone propionate was rapidly absorbed into the plasma, reaching a mean maximum plasma fluticasone concentration </w:t>
      </w:r>
      <w:proofErr w:type="gramStart"/>
      <w:r w:rsidR="00CB4155" w:rsidRPr="007D7FB2">
        <w:rPr>
          <w:rFonts w:eastAsia="TimesNewRoman"/>
          <w:color w:val="000000"/>
        </w:rPr>
        <w:t>of</w:t>
      </w:r>
      <w:r w:rsidR="00077868">
        <w:rPr>
          <w:rFonts w:eastAsia="TimesNewRoman"/>
          <w:color w:val="000000"/>
        </w:rPr>
        <w:t xml:space="preserve"> </w:t>
      </w:r>
      <w:r w:rsidR="00CB4155" w:rsidRPr="007D7FB2">
        <w:rPr>
          <w:rFonts w:eastAsia="TimesNewRoman"/>
          <w:color w:val="000000"/>
        </w:rPr>
        <w:t xml:space="preserve">32.8 </w:t>
      </w:r>
      <w:proofErr w:type="spellStart"/>
      <w:r w:rsidR="00CB4155" w:rsidRPr="007D7FB2">
        <w:rPr>
          <w:rFonts w:eastAsia="TimesNewRoman"/>
          <w:color w:val="000000"/>
        </w:rPr>
        <w:t>p</w:t>
      </w:r>
      <w:r w:rsidR="0080294F">
        <w:rPr>
          <w:rFonts w:eastAsia="TimesNewRoman"/>
          <w:color w:val="000000"/>
        </w:rPr>
        <w:t>ico</w:t>
      </w:r>
      <w:r w:rsidR="00CB4155" w:rsidRPr="007D7FB2">
        <w:rPr>
          <w:rFonts w:eastAsia="TimesNewRoman"/>
          <w:color w:val="000000"/>
        </w:rPr>
        <w:t>g</w:t>
      </w:r>
      <w:r w:rsidR="0080294F">
        <w:rPr>
          <w:rFonts w:eastAsia="TimesNewRoman"/>
          <w:color w:val="000000"/>
        </w:rPr>
        <w:t>ram</w:t>
      </w:r>
      <w:r w:rsidR="00077868">
        <w:rPr>
          <w:rFonts w:eastAsia="TimesNewRoman"/>
          <w:color w:val="000000"/>
        </w:rPr>
        <w:t>s</w:t>
      </w:r>
      <w:proofErr w:type="spellEnd"/>
      <w:r w:rsidR="00CB4155" w:rsidRPr="007D7FB2">
        <w:rPr>
          <w:rFonts w:eastAsia="TimesNewRoman"/>
          <w:color w:val="000000"/>
        </w:rPr>
        <w:t>/</w:t>
      </w:r>
      <w:proofErr w:type="spellStart"/>
      <w:r w:rsidR="00CB4155" w:rsidRPr="007D7FB2">
        <w:rPr>
          <w:rFonts w:eastAsia="TimesNewRoman"/>
          <w:color w:val="000000"/>
        </w:rPr>
        <w:t>mL</w:t>
      </w:r>
      <w:proofErr w:type="spellEnd"/>
      <w:proofErr w:type="gramEnd"/>
      <w:r w:rsidR="00CB4155" w:rsidRPr="007D7FB2">
        <w:rPr>
          <w:rFonts w:eastAsia="TimesNewRoman"/>
          <w:color w:val="000000"/>
        </w:rPr>
        <w:t xml:space="preserve"> within 45 minutes of inhalation. </w:t>
      </w:r>
      <w:r w:rsidR="00064CED">
        <w:rPr>
          <w:rFonts w:eastAsia="TimesNewRoman"/>
          <w:color w:val="000000"/>
        </w:rPr>
        <w:t xml:space="preserve"> </w:t>
      </w:r>
      <w:r w:rsidR="00CB4155" w:rsidRPr="007D7FB2">
        <w:rPr>
          <w:rFonts w:eastAsia="TimesNewRoman"/>
          <w:color w:val="000000"/>
        </w:rPr>
        <w:t xml:space="preserve">In asthma patients who received single doses of fluticasone propionate from </w:t>
      </w:r>
      <w:r w:rsidR="00D058BC">
        <w:rPr>
          <w:rFonts w:eastAsia="TimesNewRoman"/>
          <w:color w:val="000000"/>
        </w:rPr>
        <w:t>FLUTIFORM</w:t>
      </w:r>
      <w:r w:rsidR="006B64DC" w:rsidRPr="006B64DC">
        <w:rPr>
          <w:rFonts w:eastAsia="TimesNewRoman"/>
          <w:color w:val="000000"/>
          <w:vertAlign w:val="superscript"/>
        </w:rPr>
        <w:t>®</w:t>
      </w:r>
      <w:r w:rsidR="00A37A8E">
        <w:rPr>
          <w:rFonts w:eastAsia="TimesNewRoman"/>
          <w:color w:val="000000"/>
        </w:rPr>
        <w:t xml:space="preserve"> </w:t>
      </w:r>
      <w:r w:rsidR="00381D65">
        <w:rPr>
          <w:rFonts w:eastAsia="TimesNewRoman"/>
          <w:color w:val="000000"/>
        </w:rPr>
        <w:t>inhaler</w:t>
      </w:r>
      <w:r w:rsidR="00CB4155" w:rsidRPr="007D7FB2">
        <w:rPr>
          <w:rFonts w:eastAsia="TimesNewRoman"/>
          <w:color w:val="000000"/>
        </w:rPr>
        <w:t xml:space="preserve">, mean maximum plasma concentrations of </w:t>
      </w:r>
      <w:r w:rsidR="00CB4155" w:rsidRPr="007D7FB2">
        <w:rPr>
          <w:rFonts w:eastAsia="TimesNewRoman"/>
          <w:color w:val="000000"/>
        </w:rPr>
        <w:lastRenderedPageBreak/>
        <w:t xml:space="preserve">15.4 </w:t>
      </w:r>
      <w:proofErr w:type="spellStart"/>
      <w:r w:rsidR="00CB4155" w:rsidRPr="007D7FB2">
        <w:rPr>
          <w:rFonts w:eastAsia="TimesNewRoman"/>
          <w:color w:val="000000"/>
        </w:rPr>
        <w:t>p</w:t>
      </w:r>
      <w:r w:rsidR="0080294F">
        <w:rPr>
          <w:rFonts w:eastAsia="TimesNewRoman"/>
          <w:color w:val="000000"/>
        </w:rPr>
        <w:t>ico</w:t>
      </w:r>
      <w:r w:rsidR="00CB4155" w:rsidRPr="007D7FB2">
        <w:rPr>
          <w:rFonts w:eastAsia="TimesNewRoman"/>
          <w:color w:val="000000"/>
        </w:rPr>
        <w:t>g</w:t>
      </w:r>
      <w:r w:rsidR="0080294F">
        <w:rPr>
          <w:rFonts w:eastAsia="TimesNewRoman"/>
          <w:color w:val="000000"/>
        </w:rPr>
        <w:t>ram</w:t>
      </w:r>
      <w:r w:rsidR="00077868">
        <w:rPr>
          <w:rFonts w:eastAsia="TimesNewRoman"/>
          <w:color w:val="000000"/>
        </w:rPr>
        <w:t>s</w:t>
      </w:r>
      <w:proofErr w:type="spellEnd"/>
      <w:r w:rsidR="00CB4155" w:rsidRPr="007D7FB2">
        <w:rPr>
          <w:rFonts w:eastAsia="TimesNewRoman"/>
          <w:color w:val="000000"/>
        </w:rPr>
        <w:t>/</w:t>
      </w:r>
      <w:proofErr w:type="spellStart"/>
      <w:r w:rsidR="00CB4155" w:rsidRPr="007D7FB2">
        <w:rPr>
          <w:rFonts w:eastAsia="TimesNewRoman"/>
          <w:color w:val="000000"/>
        </w:rPr>
        <w:t>mL</w:t>
      </w:r>
      <w:proofErr w:type="spellEnd"/>
      <w:r w:rsidR="00CB4155" w:rsidRPr="007D7FB2">
        <w:rPr>
          <w:rFonts w:eastAsia="TimesNewRoman"/>
          <w:color w:val="000000"/>
        </w:rPr>
        <w:t xml:space="preserve"> and 27.4 </w:t>
      </w:r>
      <w:proofErr w:type="spellStart"/>
      <w:r w:rsidR="00CB4155" w:rsidRPr="007D7FB2">
        <w:rPr>
          <w:rFonts w:eastAsia="TimesNewRoman"/>
          <w:color w:val="000000"/>
        </w:rPr>
        <w:t>p</w:t>
      </w:r>
      <w:r w:rsidR="0080294F">
        <w:rPr>
          <w:rFonts w:eastAsia="TimesNewRoman"/>
          <w:color w:val="000000"/>
        </w:rPr>
        <w:t>ico</w:t>
      </w:r>
      <w:r w:rsidR="00CB4155" w:rsidRPr="007D7FB2">
        <w:rPr>
          <w:rFonts w:eastAsia="TimesNewRoman"/>
          <w:color w:val="000000"/>
        </w:rPr>
        <w:t>g</w:t>
      </w:r>
      <w:r w:rsidR="0080294F">
        <w:rPr>
          <w:rFonts w:eastAsia="TimesNewRoman"/>
          <w:color w:val="000000"/>
        </w:rPr>
        <w:t>ram</w:t>
      </w:r>
      <w:r w:rsidR="00077868">
        <w:rPr>
          <w:rFonts w:eastAsia="TimesNewRoman"/>
          <w:color w:val="000000"/>
        </w:rPr>
        <w:t>s</w:t>
      </w:r>
      <w:proofErr w:type="spellEnd"/>
      <w:r w:rsidR="00CB4155" w:rsidRPr="007D7FB2">
        <w:rPr>
          <w:rFonts w:eastAsia="TimesNewRoman"/>
          <w:color w:val="000000"/>
        </w:rPr>
        <w:t>/</w:t>
      </w:r>
      <w:proofErr w:type="spellStart"/>
      <w:r w:rsidR="00CB4155" w:rsidRPr="007D7FB2">
        <w:rPr>
          <w:rFonts w:eastAsia="TimesNewRoman"/>
          <w:color w:val="000000"/>
        </w:rPr>
        <w:t>mL</w:t>
      </w:r>
      <w:proofErr w:type="spellEnd"/>
      <w:r w:rsidR="00CB4155" w:rsidRPr="007D7FB2">
        <w:rPr>
          <w:rFonts w:eastAsia="TimesNewRoman"/>
          <w:color w:val="000000"/>
        </w:rPr>
        <w:t xml:space="preserve"> were achieved within 20</w:t>
      </w:r>
      <w:r w:rsidR="004E189D">
        <w:rPr>
          <w:rFonts w:eastAsia="TimesNewRoman"/>
          <w:color w:val="000000"/>
        </w:rPr>
        <w:t xml:space="preserve"> </w:t>
      </w:r>
      <w:r w:rsidR="00CB4155" w:rsidRPr="007D7FB2">
        <w:rPr>
          <w:rFonts w:eastAsia="TimesNewRoman"/>
          <w:color w:val="000000"/>
        </w:rPr>
        <w:t>minutes and 30 minutes for 100 microgram</w:t>
      </w:r>
      <w:r w:rsidR="00077868">
        <w:rPr>
          <w:rFonts w:eastAsia="TimesNewRoman"/>
          <w:color w:val="000000"/>
        </w:rPr>
        <w:t>s</w:t>
      </w:r>
      <w:r w:rsidR="00CB4155" w:rsidRPr="007D7FB2">
        <w:rPr>
          <w:rFonts w:eastAsia="TimesNewRoman"/>
          <w:color w:val="000000"/>
        </w:rPr>
        <w:t>/10 microgram</w:t>
      </w:r>
      <w:r w:rsidR="00077868">
        <w:rPr>
          <w:rFonts w:eastAsia="TimesNewRoman"/>
          <w:color w:val="000000"/>
        </w:rPr>
        <w:t>s</w:t>
      </w:r>
      <w:r w:rsidR="00CB4155" w:rsidRPr="007D7FB2">
        <w:rPr>
          <w:rFonts w:eastAsia="TimesNewRoman"/>
          <w:color w:val="000000"/>
        </w:rPr>
        <w:t xml:space="preserve"> (2 actuations of </w:t>
      </w:r>
      <w:r w:rsidR="00D058BC">
        <w:rPr>
          <w:rFonts w:eastAsia="TimesNewRoman"/>
          <w:color w:val="000000"/>
        </w:rPr>
        <w:t>FLUTIFORM</w:t>
      </w:r>
      <w:r w:rsidR="00FD44F9" w:rsidRPr="006B64DC">
        <w:rPr>
          <w:rFonts w:eastAsia="TimesNewRoman"/>
          <w:color w:val="000000"/>
          <w:vertAlign w:val="superscript"/>
        </w:rPr>
        <w:t>®</w:t>
      </w:r>
      <w:r w:rsidR="00CB4155" w:rsidRPr="007D7FB2">
        <w:rPr>
          <w:rFonts w:eastAsia="TimesNewRoman"/>
          <w:color w:val="000000"/>
        </w:rPr>
        <w:t xml:space="preserve"> </w:t>
      </w:r>
      <w:r w:rsidR="00381D65">
        <w:rPr>
          <w:rFonts w:eastAsia="TimesNewRoman"/>
          <w:color w:val="000000"/>
        </w:rPr>
        <w:t>inhaler</w:t>
      </w:r>
      <w:r w:rsidR="00077868">
        <w:rPr>
          <w:rFonts w:eastAsia="TimesNewRoman"/>
          <w:color w:val="000000"/>
        </w:rPr>
        <w:t xml:space="preserve"> </w:t>
      </w:r>
      <w:r w:rsidR="00CB4155" w:rsidRPr="007D7FB2">
        <w:rPr>
          <w:rFonts w:eastAsia="TimesNewRoman"/>
          <w:color w:val="000000"/>
        </w:rPr>
        <w:t>50 microgram</w:t>
      </w:r>
      <w:r w:rsidR="006125BE">
        <w:rPr>
          <w:rFonts w:eastAsia="TimesNewRoman"/>
          <w:color w:val="000000"/>
        </w:rPr>
        <w:t>s</w:t>
      </w:r>
      <w:r w:rsidR="00CB4155" w:rsidRPr="007D7FB2">
        <w:rPr>
          <w:rFonts w:eastAsia="TimesNewRoman"/>
          <w:color w:val="000000"/>
        </w:rPr>
        <w:t>/5 microgram</w:t>
      </w:r>
      <w:r w:rsidR="00077868">
        <w:rPr>
          <w:rFonts w:eastAsia="TimesNewRoman"/>
          <w:color w:val="000000"/>
        </w:rPr>
        <w:t>s</w:t>
      </w:r>
      <w:r w:rsidR="00CB4155" w:rsidRPr="007D7FB2">
        <w:rPr>
          <w:rFonts w:eastAsia="TimesNewRoman"/>
          <w:color w:val="000000"/>
        </w:rPr>
        <w:t>) and 250 microgram</w:t>
      </w:r>
      <w:r w:rsidR="00077868">
        <w:rPr>
          <w:rFonts w:eastAsia="TimesNewRoman"/>
          <w:color w:val="000000"/>
        </w:rPr>
        <w:t>s</w:t>
      </w:r>
      <w:r w:rsidR="00CB4155" w:rsidRPr="007D7FB2">
        <w:rPr>
          <w:rFonts w:eastAsia="TimesNewRoman"/>
          <w:color w:val="000000"/>
        </w:rPr>
        <w:t>/10 microgram</w:t>
      </w:r>
      <w:r w:rsidR="00077868">
        <w:rPr>
          <w:rFonts w:eastAsia="TimesNewRoman"/>
          <w:color w:val="000000"/>
        </w:rPr>
        <w:t>s</w:t>
      </w:r>
      <w:r w:rsidR="00CB4155" w:rsidRPr="007D7FB2">
        <w:rPr>
          <w:rFonts w:eastAsia="TimesNewRoman"/>
          <w:color w:val="000000"/>
        </w:rPr>
        <w:t xml:space="preserve"> (2 actuations of </w:t>
      </w:r>
      <w:r w:rsidR="00D058BC">
        <w:rPr>
          <w:rFonts w:eastAsia="TimesNewRoman"/>
          <w:color w:val="000000"/>
        </w:rPr>
        <w:t>FLUTIFORM</w:t>
      </w:r>
      <w:r w:rsidR="00FD44F9" w:rsidRPr="006B64DC">
        <w:rPr>
          <w:rFonts w:eastAsia="TimesNewRoman"/>
          <w:color w:val="000000"/>
          <w:vertAlign w:val="superscript"/>
        </w:rPr>
        <w:t>®</w:t>
      </w:r>
      <w:r w:rsidR="00CB4155" w:rsidRPr="007D7FB2">
        <w:rPr>
          <w:rFonts w:eastAsia="TimesNewRoman"/>
          <w:color w:val="000000"/>
        </w:rPr>
        <w:t xml:space="preserve"> </w:t>
      </w:r>
      <w:r w:rsidR="00381D65">
        <w:rPr>
          <w:rFonts w:eastAsia="TimesNewRoman"/>
          <w:color w:val="000000"/>
        </w:rPr>
        <w:t>inhaler</w:t>
      </w:r>
      <w:r w:rsidR="00381D65" w:rsidRPr="007D7FB2">
        <w:rPr>
          <w:rFonts w:eastAsia="TimesNewRoman"/>
          <w:color w:val="000000"/>
        </w:rPr>
        <w:t xml:space="preserve"> </w:t>
      </w:r>
      <w:r w:rsidR="00CB4155" w:rsidRPr="007D7FB2">
        <w:rPr>
          <w:rFonts w:eastAsia="TimesNewRoman"/>
          <w:color w:val="000000"/>
        </w:rPr>
        <w:t>125 microgram</w:t>
      </w:r>
      <w:r w:rsidR="00077868">
        <w:rPr>
          <w:rFonts w:eastAsia="TimesNewRoman"/>
          <w:color w:val="000000"/>
        </w:rPr>
        <w:t>s</w:t>
      </w:r>
      <w:r w:rsidR="00CB4155" w:rsidRPr="007D7FB2">
        <w:rPr>
          <w:rFonts w:eastAsia="TimesNewRoman"/>
          <w:color w:val="000000"/>
        </w:rPr>
        <w:t>/5 microgram</w:t>
      </w:r>
      <w:r w:rsidR="00077868">
        <w:rPr>
          <w:rFonts w:eastAsia="TimesNewRoman"/>
          <w:color w:val="000000"/>
        </w:rPr>
        <w:t>s</w:t>
      </w:r>
      <w:r w:rsidR="00CB4155" w:rsidRPr="007D7FB2">
        <w:rPr>
          <w:rFonts w:eastAsia="TimesNewRoman"/>
          <w:color w:val="000000"/>
        </w:rPr>
        <w:t>) doses</w:t>
      </w:r>
      <w:r w:rsidR="00F557DF">
        <w:rPr>
          <w:rFonts w:eastAsia="TimesNewRoman"/>
          <w:color w:val="000000"/>
        </w:rPr>
        <w:t>,</w:t>
      </w:r>
      <w:r w:rsidR="00CB4155" w:rsidRPr="007D7FB2">
        <w:rPr>
          <w:rFonts w:eastAsia="TimesNewRoman"/>
          <w:color w:val="000000"/>
        </w:rPr>
        <w:t xml:space="preserve"> respectively.</w:t>
      </w:r>
    </w:p>
    <w:p w:rsidR="00CB4155" w:rsidRPr="007D7FB2" w:rsidRDefault="00CB4155" w:rsidP="00170D00">
      <w:pPr>
        <w:autoSpaceDE w:val="0"/>
        <w:autoSpaceDN w:val="0"/>
        <w:adjustRightInd w:val="0"/>
        <w:spacing w:before="100" w:beforeAutospacing="1" w:after="100" w:afterAutospacing="1"/>
        <w:ind w:right="-357"/>
        <w:jc w:val="both"/>
        <w:rPr>
          <w:rFonts w:eastAsia="TimesNewRoman"/>
          <w:color w:val="000000"/>
        </w:rPr>
      </w:pPr>
      <w:r w:rsidRPr="007D7FB2">
        <w:rPr>
          <w:rFonts w:eastAsia="TimesNewRoman"/>
          <w:color w:val="000000"/>
        </w:rPr>
        <w:t xml:space="preserve">In multiple dose studies in healthy volunteers, </w:t>
      </w:r>
      <w:r w:rsidR="00D058BC">
        <w:rPr>
          <w:rFonts w:eastAsia="TimesNewRoman"/>
          <w:color w:val="000000"/>
        </w:rPr>
        <w:t>FLUTIFORM</w:t>
      </w:r>
      <w:r w:rsidR="006B64DC" w:rsidRPr="006B64DC">
        <w:rPr>
          <w:rFonts w:eastAsia="TimesNewRoman"/>
          <w:color w:val="000000"/>
          <w:vertAlign w:val="superscript"/>
        </w:rPr>
        <w:t>®</w:t>
      </w:r>
      <w:r w:rsidRPr="007D7FB2">
        <w:rPr>
          <w:rFonts w:eastAsia="TimesNewRoman"/>
          <w:color w:val="000000"/>
        </w:rPr>
        <w:t xml:space="preserve"> </w:t>
      </w:r>
      <w:r w:rsidR="00381D65">
        <w:rPr>
          <w:rFonts w:eastAsia="TimesNewRoman"/>
          <w:color w:val="000000"/>
        </w:rPr>
        <w:t>inhaler</w:t>
      </w:r>
      <w:r w:rsidR="00381D65" w:rsidRPr="007D7FB2">
        <w:rPr>
          <w:rFonts w:eastAsia="TimesNewRoman"/>
          <w:color w:val="000000"/>
        </w:rPr>
        <w:t xml:space="preserve"> </w:t>
      </w:r>
      <w:r w:rsidRPr="007D7FB2">
        <w:rPr>
          <w:rFonts w:eastAsia="TimesNewRoman"/>
          <w:color w:val="000000"/>
        </w:rPr>
        <w:t>doses of 100</w:t>
      </w:r>
      <w:r w:rsidR="00170D00">
        <w:rPr>
          <w:rFonts w:eastAsia="TimesNewRoman"/>
          <w:color w:val="000000"/>
        </w:rPr>
        <w:t> </w:t>
      </w:r>
      <w:r w:rsidRPr="007D7FB2">
        <w:rPr>
          <w:rFonts w:eastAsia="TimesNewRoman"/>
          <w:color w:val="000000"/>
        </w:rPr>
        <w:t>microgram</w:t>
      </w:r>
      <w:r w:rsidR="00077868">
        <w:rPr>
          <w:rFonts w:eastAsia="TimesNewRoman"/>
          <w:color w:val="000000"/>
        </w:rPr>
        <w:t>s</w:t>
      </w:r>
      <w:r w:rsidRPr="007D7FB2">
        <w:rPr>
          <w:rFonts w:eastAsia="TimesNewRoman"/>
          <w:color w:val="000000"/>
        </w:rPr>
        <w:t>/10 microgram</w:t>
      </w:r>
      <w:r w:rsidR="00077868">
        <w:rPr>
          <w:rFonts w:eastAsia="TimesNewRoman"/>
          <w:color w:val="000000"/>
        </w:rPr>
        <w:t>s</w:t>
      </w:r>
      <w:r w:rsidRPr="007D7FB2">
        <w:rPr>
          <w:rFonts w:eastAsia="TimesNewRoman"/>
          <w:color w:val="000000"/>
        </w:rPr>
        <w:t>, 250 microgram</w:t>
      </w:r>
      <w:r w:rsidR="00077868">
        <w:rPr>
          <w:rFonts w:eastAsia="TimesNewRoman"/>
          <w:color w:val="000000"/>
        </w:rPr>
        <w:t>s</w:t>
      </w:r>
      <w:r w:rsidRPr="007D7FB2">
        <w:rPr>
          <w:rFonts w:eastAsia="TimesNewRoman"/>
          <w:color w:val="000000"/>
        </w:rPr>
        <w:t>/10 microgram</w:t>
      </w:r>
      <w:r w:rsidR="00077868">
        <w:rPr>
          <w:rFonts w:eastAsia="TimesNewRoman"/>
          <w:color w:val="000000"/>
        </w:rPr>
        <w:t>s</w:t>
      </w:r>
      <w:r w:rsidRPr="007D7FB2">
        <w:rPr>
          <w:rFonts w:eastAsia="TimesNewRoman"/>
          <w:color w:val="000000"/>
        </w:rPr>
        <w:t xml:space="preserve"> and 500 microgram</w:t>
      </w:r>
      <w:r w:rsidR="00077868">
        <w:rPr>
          <w:rFonts w:eastAsia="TimesNewRoman"/>
          <w:color w:val="000000"/>
        </w:rPr>
        <w:t>s</w:t>
      </w:r>
      <w:r w:rsidRPr="007D7FB2">
        <w:rPr>
          <w:rFonts w:eastAsia="TimesNewRoman"/>
          <w:color w:val="000000"/>
        </w:rPr>
        <w:t>/</w:t>
      </w:r>
      <w:r w:rsidR="00170D00">
        <w:rPr>
          <w:rFonts w:eastAsia="TimesNewRoman"/>
          <w:color w:val="000000"/>
        </w:rPr>
        <w:t> </w:t>
      </w:r>
      <w:r w:rsidRPr="007D7FB2">
        <w:rPr>
          <w:rFonts w:eastAsia="TimesNewRoman"/>
          <w:color w:val="000000"/>
        </w:rPr>
        <w:t>20</w:t>
      </w:r>
      <w:r w:rsidR="00170D00">
        <w:rPr>
          <w:rFonts w:eastAsia="TimesNewRoman"/>
          <w:color w:val="000000"/>
        </w:rPr>
        <w:t> </w:t>
      </w:r>
      <w:r w:rsidRPr="007D7FB2">
        <w:rPr>
          <w:rFonts w:eastAsia="TimesNewRoman"/>
          <w:color w:val="000000"/>
        </w:rPr>
        <w:t>microgram</w:t>
      </w:r>
      <w:r w:rsidR="00077868">
        <w:rPr>
          <w:rFonts w:eastAsia="TimesNewRoman"/>
          <w:color w:val="000000"/>
        </w:rPr>
        <w:t>s</w:t>
      </w:r>
      <w:r w:rsidRPr="007D7FB2">
        <w:rPr>
          <w:rFonts w:eastAsia="TimesNewRoman"/>
          <w:color w:val="000000"/>
        </w:rPr>
        <w:t xml:space="preserve"> resulted in mean maximum plasma fluticasone concentrations of 21.4, 25.9 to 34.2 and </w:t>
      </w:r>
      <w:proofErr w:type="gramStart"/>
      <w:r w:rsidRPr="007D7FB2">
        <w:rPr>
          <w:rFonts w:eastAsia="TimesNewRoman"/>
          <w:color w:val="000000"/>
        </w:rPr>
        <w:t>178</w:t>
      </w:r>
      <w:r w:rsidR="001510F0">
        <w:rPr>
          <w:rFonts w:eastAsia="TimesNewRoman"/>
          <w:color w:val="000000"/>
        </w:rPr>
        <w:t xml:space="preserve"> </w:t>
      </w:r>
      <w:proofErr w:type="spellStart"/>
      <w:r w:rsidRPr="007D7FB2">
        <w:rPr>
          <w:rFonts w:eastAsia="TimesNewRoman"/>
          <w:color w:val="000000"/>
        </w:rPr>
        <w:t>p</w:t>
      </w:r>
      <w:r w:rsidR="001510F0">
        <w:rPr>
          <w:rFonts w:eastAsia="TimesNewRoman"/>
          <w:color w:val="000000"/>
        </w:rPr>
        <w:t>ico</w:t>
      </w:r>
      <w:r w:rsidRPr="007D7FB2">
        <w:rPr>
          <w:rFonts w:eastAsia="TimesNewRoman"/>
          <w:color w:val="000000"/>
        </w:rPr>
        <w:t>g</w:t>
      </w:r>
      <w:r w:rsidR="001510F0">
        <w:rPr>
          <w:rFonts w:eastAsia="TimesNewRoman"/>
          <w:color w:val="000000"/>
        </w:rPr>
        <w:t>ram</w:t>
      </w:r>
      <w:r w:rsidR="00077868">
        <w:rPr>
          <w:rFonts w:eastAsia="TimesNewRoman"/>
          <w:color w:val="000000"/>
        </w:rPr>
        <w:t>s</w:t>
      </w:r>
      <w:proofErr w:type="spellEnd"/>
      <w:r w:rsidRPr="007D7FB2">
        <w:rPr>
          <w:rFonts w:eastAsia="TimesNewRoman"/>
          <w:color w:val="000000"/>
        </w:rPr>
        <w:t>/</w:t>
      </w:r>
      <w:proofErr w:type="spellStart"/>
      <w:r w:rsidRPr="007D7FB2">
        <w:rPr>
          <w:rFonts w:eastAsia="TimesNewRoman"/>
          <w:color w:val="000000"/>
        </w:rPr>
        <w:t>mL</w:t>
      </w:r>
      <w:proofErr w:type="spellEnd"/>
      <w:r w:rsidR="00126AEE">
        <w:rPr>
          <w:rFonts w:eastAsia="TimesNewRoman"/>
          <w:color w:val="000000"/>
        </w:rPr>
        <w:t>,</w:t>
      </w:r>
      <w:r w:rsidRPr="007D7FB2">
        <w:rPr>
          <w:rFonts w:eastAsia="TimesNewRoman"/>
          <w:color w:val="000000"/>
        </w:rPr>
        <w:t xml:space="preserve"> respectively</w:t>
      </w:r>
      <w:proofErr w:type="gramEnd"/>
      <w:r w:rsidRPr="007D7FB2">
        <w:rPr>
          <w:rFonts w:eastAsia="TimesNewRoman"/>
          <w:color w:val="000000"/>
        </w:rPr>
        <w:t xml:space="preserve">. </w:t>
      </w:r>
      <w:r w:rsidR="00064CED">
        <w:rPr>
          <w:rFonts w:eastAsia="TimesNewRoman"/>
          <w:color w:val="000000"/>
        </w:rPr>
        <w:t xml:space="preserve"> </w:t>
      </w:r>
      <w:r w:rsidRPr="007D7FB2">
        <w:rPr>
          <w:rFonts w:eastAsia="TimesNewRoman"/>
          <w:color w:val="000000"/>
        </w:rPr>
        <w:t>The data for the 100 microgram</w:t>
      </w:r>
      <w:r w:rsidR="00077868">
        <w:rPr>
          <w:rFonts w:eastAsia="TimesNewRoman"/>
          <w:color w:val="000000"/>
        </w:rPr>
        <w:t>s</w:t>
      </w:r>
      <w:r w:rsidRPr="007D7FB2">
        <w:rPr>
          <w:rFonts w:eastAsia="TimesNewRoman"/>
          <w:color w:val="000000"/>
        </w:rPr>
        <w:t>/10 microgram</w:t>
      </w:r>
      <w:r w:rsidR="00077868">
        <w:rPr>
          <w:rFonts w:eastAsia="TimesNewRoman"/>
          <w:color w:val="000000"/>
        </w:rPr>
        <w:t>s</w:t>
      </w:r>
      <w:r w:rsidRPr="007D7FB2">
        <w:rPr>
          <w:rFonts w:eastAsia="TimesNewRoman"/>
          <w:color w:val="000000"/>
        </w:rPr>
        <w:t xml:space="preserve"> and 250 microgram</w:t>
      </w:r>
      <w:r w:rsidR="00077868">
        <w:rPr>
          <w:rFonts w:eastAsia="TimesNewRoman"/>
          <w:color w:val="000000"/>
        </w:rPr>
        <w:t>s</w:t>
      </w:r>
      <w:r w:rsidRPr="007D7FB2">
        <w:rPr>
          <w:rFonts w:eastAsia="TimesNewRoman"/>
          <w:color w:val="000000"/>
        </w:rPr>
        <w:t>/10 microgram</w:t>
      </w:r>
      <w:r w:rsidR="00077868">
        <w:rPr>
          <w:rFonts w:eastAsia="TimesNewRoman"/>
          <w:color w:val="000000"/>
        </w:rPr>
        <w:t>s</w:t>
      </w:r>
      <w:r w:rsidRPr="007D7FB2">
        <w:rPr>
          <w:rFonts w:eastAsia="TimesNewRoman"/>
          <w:color w:val="000000"/>
        </w:rPr>
        <w:t xml:space="preserve"> doses were generated by </w:t>
      </w:r>
      <w:r w:rsidR="00064CED">
        <w:rPr>
          <w:rFonts w:eastAsia="TimesNewRoman"/>
          <w:color w:val="000000"/>
        </w:rPr>
        <w:t xml:space="preserve">the </w:t>
      </w:r>
      <w:r w:rsidRPr="007D7FB2">
        <w:rPr>
          <w:rFonts w:eastAsia="TimesNewRoman"/>
          <w:color w:val="000000"/>
        </w:rPr>
        <w:t>use of a device without a spacer</w:t>
      </w:r>
      <w:r w:rsidR="00064CED">
        <w:rPr>
          <w:rFonts w:eastAsia="TimesNewRoman"/>
          <w:color w:val="000000"/>
        </w:rPr>
        <w:t>,</w:t>
      </w:r>
      <w:r w:rsidRPr="007D7FB2">
        <w:rPr>
          <w:rFonts w:eastAsia="TimesNewRoman"/>
          <w:color w:val="000000"/>
        </w:rPr>
        <w:t xml:space="preserve"> and the data for the 500 microgram</w:t>
      </w:r>
      <w:r w:rsidR="00077868">
        <w:rPr>
          <w:rFonts w:eastAsia="TimesNewRoman"/>
          <w:color w:val="000000"/>
        </w:rPr>
        <w:t>s</w:t>
      </w:r>
      <w:r w:rsidRPr="007D7FB2">
        <w:rPr>
          <w:rFonts w:eastAsia="TimesNewRoman"/>
          <w:color w:val="000000"/>
        </w:rPr>
        <w:t>/20 microgram</w:t>
      </w:r>
      <w:r w:rsidR="00077868">
        <w:rPr>
          <w:rFonts w:eastAsia="TimesNewRoman"/>
          <w:color w:val="000000"/>
        </w:rPr>
        <w:t>s</w:t>
      </w:r>
      <w:r w:rsidRPr="007D7FB2">
        <w:rPr>
          <w:rFonts w:eastAsia="TimesNewRoman"/>
          <w:color w:val="000000"/>
        </w:rPr>
        <w:t xml:space="preserve"> dose were generated by </w:t>
      </w:r>
      <w:r w:rsidR="00064CED">
        <w:rPr>
          <w:rFonts w:eastAsia="TimesNewRoman"/>
          <w:color w:val="000000"/>
        </w:rPr>
        <w:t xml:space="preserve">the </w:t>
      </w:r>
      <w:r w:rsidRPr="007D7FB2">
        <w:rPr>
          <w:rFonts w:eastAsia="TimesNewRoman"/>
          <w:color w:val="000000"/>
        </w:rPr>
        <w:t xml:space="preserve">use of a device with a spacer. </w:t>
      </w:r>
      <w:r w:rsidR="00064CED">
        <w:rPr>
          <w:rFonts w:eastAsia="TimesNewRoman"/>
          <w:color w:val="000000"/>
        </w:rPr>
        <w:t xml:space="preserve"> </w:t>
      </w:r>
      <w:r w:rsidRPr="007D7FB2">
        <w:rPr>
          <w:rFonts w:eastAsia="TimesNewRoman"/>
          <w:color w:val="000000"/>
        </w:rPr>
        <w:t xml:space="preserve">Although there are no data directly comparing the exposure of fluticasone from a device with or without a spacer, spacers are known to increase </w:t>
      </w:r>
      <w:r w:rsidR="00064CED">
        <w:rPr>
          <w:rFonts w:eastAsia="TimesNewRoman"/>
          <w:color w:val="000000"/>
        </w:rPr>
        <w:t xml:space="preserve">the </w:t>
      </w:r>
      <w:r w:rsidRPr="007D7FB2">
        <w:rPr>
          <w:rFonts w:eastAsia="TimesNewRoman"/>
          <w:color w:val="000000"/>
        </w:rPr>
        <w:t>systemic exposure of fluticasone, and this may account for some of the difference in the levels achieved between the different doses.</w:t>
      </w:r>
    </w:p>
    <w:p w:rsidR="00CB4155" w:rsidRPr="007D7FB2" w:rsidRDefault="00D058BC" w:rsidP="00170D00">
      <w:pPr>
        <w:autoSpaceDE w:val="0"/>
        <w:autoSpaceDN w:val="0"/>
        <w:adjustRightInd w:val="0"/>
        <w:spacing w:before="100" w:beforeAutospacing="1" w:after="100" w:afterAutospacing="1"/>
        <w:ind w:right="-357"/>
        <w:jc w:val="both"/>
        <w:rPr>
          <w:rFonts w:eastAsia="TimesNewRoman"/>
          <w:color w:val="000000"/>
        </w:rPr>
      </w:pPr>
      <w:r w:rsidRPr="003B4C5F">
        <w:rPr>
          <w:bCs/>
          <w:color w:val="000000"/>
        </w:rPr>
        <w:t>FLUTIFORM</w:t>
      </w:r>
      <w:r w:rsidR="006B64DC" w:rsidRPr="003B4C5F">
        <w:rPr>
          <w:rFonts w:eastAsia="TimesNewRoman"/>
          <w:color w:val="000000"/>
          <w:vertAlign w:val="superscript"/>
        </w:rPr>
        <w:t>®</w:t>
      </w:r>
      <w:r w:rsidR="00031374" w:rsidRPr="003B4C5F">
        <w:rPr>
          <w:rFonts w:eastAsia="TimesNewRoman"/>
          <w:color w:val="000000"/>
        </w:rPr>
        <w:t xml:space="preserve"> </w:t>
      </w:r>
      <w:r w:rsidR="00381D65">
        <w:rPr>
          <w:rFonts w:eastAsia="TimesNewRoman"/>
          <w:color w:val="000000"/>
        </w:rPr>
        <w:t>inhaler</w:t>
      </w:r>
      <w:r w:rsidR="00064CED" w:rsidRPr="003B4C5F">
        <w:rPr>
          <w:bCs/>
          <w:color w:val="000000"/>
        </w:rPr>
        <w:t xml:space="preserve"> </w:t>
      </w:r>
      <w:r w:rsidR="00FD44F9" w:rsidRPr="003B4C5F">
        <w:rPr>
          <w:bCs/>
          <w:color w:val="000000"/>
        </w:rPr>
        <w:t>(</w:t>
      </w:r>
      <w:proofErr w:type="spellStart"/>
      <w:r w:rsidR="00FD44F9" w:rsidRPr="003B4C5F">
        <w:rPr>
          <w:bCs/>
          <w:color w:val="000000"/>
        </w:rPr>
        <w:t>eformoterol</w:t>
      </w:r>
      <w:proofErr w:type="spellEnd"/>
      <w:r w:rsidR="00FD44F9" w:rsidRPr="003B4C5F">
        <w:rPr>
          <w:bCs/>
          <w:color w:val="000000"/>
        </w:rPr>
        <w:t xml:space="preserve"> </w:t>
      </w:r>
      <w:proofErr w:type="spellStart"/>
      <w:r w:rsidR="00FD44F9" w:rsidRPr="003B4C5F">
        <w:rPr>
          <w:bCs/>
          <w:color w:val="000000"/>
        </w:rPr>
        <w:t>fumarate</w:t>
      </w:r>
      <w:proofErr w:type="spellEnd"/>
      <w:r w:rsidR="00FD44F9" w:rsidRPr="003B4C5F">
        <w:rPr>
          <w:bCs/>
          <w:color w:val="000000"/>
        </w:rPr>
        <w:t>)</w:t>
      </w:r>
      <w:r w:rsidR="003B4C5F" w:rsidRPr="003B4C5F">
        <w:rPr>
          <w:bCs/>
          <w:color w:val="000000"/>
        </w:rPr>
        <w:t>:</w:t>
      </w:r>
      <w:r w:rsidR="000D38EC" w:rsidRPr="003B4C5F">
        <w:rPr>
          <w:bCs/>
          <w:color w:val="000000"/>
        </w:rPr>
        <w:t xml:space="preserve"> </w:t>
      </w:r>
      <w:r w:rsidR="00796B58">
        <w:rPr>
          <w:bCs/>
          <w:color w:val="000000"/>
        </w:rPr>
        <w:t>F</w:t>
      </w:r>
      <w:r w:rsidR="00CB4155" w:rsidRPr="007D7FB2">
        <w:rPr>
          <w:rFonts w:eastAsia="TimesNewRoman"/>
          <w:color w:val="000000"/>
        </w:rPr>
        <w:t xml:space="preserve">ollowing a single dose of </w:t>
      </w:r>
      <w:r w:rsidR="00031374">
        <w:rPr>
          <w:rFonts w:eastAsia="TimesNewRoman"/>
          <w:color w:val="000000"/>
        </w:rPr>
        <w:t>FLUTIFORM</w:t>
      </w:r>
      <w:r w:rsidR="006B64DC" w:rsidRPr="006B64DC">
        <w:rPr>
          <w:rFonts w:eastAsia="TimesNewRoman"/>
          <w:color w:val="000000"/>
          <w:vertAlign w:val="superscript"/>
        </w:rPr>
        <w:t>®</w:t>
      </w:r>
      <w:r w:rsidR="00CB4155" w:rsidRPr="007D7FB2">
        <w:rPr>
          <w:rFonts w:eastAsia="TimesNewRoman"/>
          <w:color w:val="000000"/>
        </w:rPr>
        <w:t xml:space="preserve"> </w:t>
      </w:r>
      <w:r w:rsidR="00381D65">
        <w:rPr>
          <w:rFonts w:eastAsia="TimesNewRoman"/>
          <w:color w:val="000000"/>
        </w:rPr>
        <w:t>inhaler</w:t>
      </w:r>
      <w:r w:rsidR="00031374" w:rsidRPr="007D7FB2">
        <w:rPr>
          <w:rFonts w:eastAsia="TimesNewRoman"/>
          <w:color w:val="000000"/>
        </w:rPr>
        <w:t xml:space="preserve"> </w:t>
      </w:r>
      <w:r w:rsidR="00031374">
        <w:rPr>
          <w:rFonts w:eastAsia="TimesNewRoman"/>
          <w:color w:val="000000"/>
        </w:rPr>
        <w:t>i</w:t>
      </w:r>
      <w:r w:rsidR="00CB4155" w:rsidRPr="007D7FB2">
        <w:rPr>
          <w:rFonts w:eastAsia="TimesNewRoman"/>
          <w:color w:val="000000"/>
        </w:rPr>
        <w:t>n healthy volunteers, a dose of 20 microgram</w:t>
      </w:r>
      <w:r w:rsidR="00077868">
        <w:rPr>
          <w:rFonts w:eastAsia="TimesNewRoman"/>
          <w:color w:val="000000"/>
        </w:rPr>
        <w:t>s</w:t>
      </w:r>
      <w:r w:rsidR="00CB4155" w:rsidRPr="007D7FB2">
        <w:rPr>
          <w:rFonts w:eastAsia="TimesNewRoman"/>
          <w:color w:val="000000"/>
        </w:rPr>
        <w:t xml:space="preserve"> of </w:t>
      </w:r>
      <w:proofErr w:type="spellStart"/>
      <w:r w:rsidR="00270FC4">
        <w:rPr>
          <w:rFonts w:eastAsia="TimesNewRoman"/>
          <w:color w:val="000000"/>
        </w:rPr>
        <w:t>eformoterol</w:t>
      </w:r>
      <w:proofErr w:type="spellEnd"/>
      <w:r w:rsidR="00CB4155" w:rsidRPr="007D7FB2">
        <w:rPr>
          <w:rFonts w:eastAsia="TimesNewRoman"/>
          <w:color w:val="000000"/>
        </w:rPr>
        <w:t xml:space="preserve"> </w:t>
      </w:r>
      <w:proofErr w:type="spellStart"/>
      <w:r w:rsidR="00CB4155" w:rsidRPr="007D7FB2">
        <w:rPr>
          <w:rFonts w:eastAsia="TimesNewRoman"/>
          <w:color w:val="000000"/>
        </w:rPr>
        <w:t>fumarate</w:t>
      </w:r>
      <w:proofErr w:type="spellEnd"/>
      <w:r w:rsidR="00CB4155" w:rsidRPr="007D7FB2">
        <w:rPr>
          <w:rFonts w:eastAsia="TimesNewRoman"/>
          <w:color w:val="000000"/>
        </w:rPr>
        <w:t xml:space="preserve"> from 2 actuations of </w:t>
      </w:r>
      <w:r>
        <w:rPr>
          <w:rFonts w:eastAsia="TimesNewRoman"/>
          <w:color w:val="000000"/>
        </w:rPr>
        <w:t>FLUTIFORM</w:t>
      </w:r>
      <w:r w:rsidR="006B64DC" w:rsidRPr="006B64DC">
        <w:rPr>
          <w:rFonts w:eastAsia="TimesNewRoman"/>
          <w:color w:val="000000"/>
          <w:vertAlign w:val="superscript"/>
        </w:rPr>
        <w:t>®</w:t>
      </w:r>
      <w:r w:rsidR="00CB4155" w:rsidRPr="007D7FB2">
        <w:rPr>
          <w:rFonts w:eastAsia="TimesNewRoman"/>
          <w:color w:val="000000"/>
        </w:rPr>
        <w:t xml:space="preserve"> </w:t>
      </w:r>
      <w:r w:rsidR="00381D65">
        <w:rPr>
          <w:rFonts w:eastAsia="TimesNewRoman"/>
          <w:color w:val="000000"/>
        </w:rPr>
        <w:t>inhaler</w:t>
      </w:r>
      <w:r w:rsidR="00031374" w:rsidRPr="007D7FB2">
        <w:rPr>
          <w:rFonts w:eastAsia="TimesNewRoman"/>
          <w:color w:val="000000"/>
        </w:rPr>
        <w:t xml:space="preserve"> </w:t>
      </w:r>
      <w:r w:rsidR="00CB4155" w:rsidRPr="007D7FB2">
        <w:rPr>
          <w:rFonts w:eastAsia="TimesNewRoman"/>
          <w:color w:val="000000"/>
        </w:rPr>
        <w:t>250 microgram</w:t>
      </w:r>
      <w:r w:rsidR="00077868">
        <w:rPr>
          <w:rFonts w:eastAsia="TimesNewRoman"/>
          <w:color w:val="000000"/>
        </w:rPr>
        <w:t>s</w:t>
      </w:r>
      <w:r w:rsidR="00CB4155" w:rsidRPr="007D7FB2">
        <w:rPr>
          <w:rFonts w:eastAsia="TimesNewRoman"/>
          <w:color w:val="000000"/>
        </w:rPr>
        <w:t>/10 microgram</w:t>
      </w:r>
      <w:r w:rsidR="00077868">
        <w:rPr>
          <w:rFonts w:eastAsia="TimesNewRoman"/>
          <w:color w:val="000000"/>
        </w:rPr>
        <w:t>s</w:t>
      </w:r>
      <w:r w:rsidR="00CB4155" w:rsidRPr="007D7FB2">
        <w:rPr>
          <w:rFonts w:eastAsia="TimesNewRoman"/>
          <w:color w:val="000000"/>
        </w:rPr>
        <w:t xml:space="preserve"> resulted in a mean maximum plasma </w:t>
      </w:r>
      <w:proofErr w:type="spellStart"/>
      <w:r w:rsidR="00270FC4">
        <w:rPr>
          <w:rFonts w:eastAsia="TimesNewRoman"/>
          <w:color w:val="000000"/>
        </w:rPr>
        <w:t>eformoterol</w:t>
      </w:r>
      <w:proofErr w:type="spellEnd"/>
      <w:r w:rsidR="00CB4155" w:rsidRPr="007D7FB2">
        <w:rPr>
          <w:rFonts w:eastAsia="TimesNewRoman"/>
          <w:color w:val="000000"/>
        </w:rPr>
        <w:t xml:space="preserve"> concentration </w:t>
      </w:r>
      <w:proofErr w:type="gramStart"/>
      <w:r w:rsidR="00CB4155" w:rsidRPr="007D7FB2">
        <w:rPr>
          <w:rFonts w:eastAsia="TimesNewRoman"/>
          <w:color w:val="000000"/>
        </w:rPr>
        <w:t xml:space="preserve">of 9.92 </w:t>
      </w:r>
      <w:proofErr w:type="spellStart"/>
      <w:r w:rsidR="00CB4155" w:rsidRPr="007D7FB2">
        <w:rPr>
          <w:rFonts w:eastAsia="TimesNewRoman"/>
          <w:color w:val="000000"/>
        </w:rPr>
        <w:t>p</w:t>
      </w:r>
      <w:r w:rsidR="00F557DF">
        <w:rPr>
          <w:rFonts w:eastAsia="TimesNewRoman"/>
          <w:color w:val="000000"/>
        </w:rPr>
        <w:t>ico</w:t>
      </w:r>
      <w:r w:rsidR="00CB4155" w:rsidRPr="007D7FB2">
        <w:rPr>
          <w:rFonts w:eastAsia="TimesNewRoman"/>
          <w:color w:val="000000"/>
        </w:rPr>
        <w:t>g</w:t>
      </w:r>
      <w:r w:rsidR="00F557DF">
        <w:rPr>
          <w:rFonts w:eastAsia="TimesNewRoman"/>
          <w:color w:val="000000"/>
        </w:rPr>
        <w:t>ram</w:t>
      </w:r>
      <w:r w:rsidR="00077868">
        <w:rPr>
          <w:rFonts w:eastAsia="TimesNewRoman"/>
          <w:color w:val="000000"/>
        </w:rPr>
        <w:t>s</w:t>
      </w:r>
      <w:proofErr w:type="spellEnd"/>
      <w:r w:rsidR="00CB4155" w:rsidRPr="007D7FB2">
        <w:rPr>
          <w:rFonts w:eastAsia="TimesNewRoman"/>
          <w:color w:val="000000"/>
        </w:rPr>
        <w:t>/</w:t>
      </w:r>
      <w:proofErr w:type="spellStart"/>
      <w:r w:rsidR="00CB4155" w:rsidRPr="007D7FB2">
        <w:rPr>
          <w:rFonts w:eastAsia="TimesNewRoman"/>
          <w:color w:val="000000"/>
        </w:rPr>
        <w:t>mL</w:t>
      </w:r>
      <w:proofErr w:type="spellEnd"/>
      <w:proofErr w:type="gramEnd"/>
      <w:r w:rsidR="00CB4155" w:rsidRPr="007D7FB2">
        <w:rPr>
          <w:rFonts w:eastAsia="TimesNewRoman"/>
          <w:color w:val="000000"/>
        </w:rPr>
        <w:t xml:space="preserve"> within 6 minutes of inhalation. </w:t>
      </w:r>
      <w:r w:rsidR="00A62F4D">
        <w:rPr>
          <w:rFonts w:eastAsia="TimesNewRoman"/>
          <w:color w:val="000000"/>
        </w:rPr>
        <w:t xml:space="preserve"> </w:t>
      </w:r>
      <w:r w:rsidR="00CB4155" w:rsidRPr="007D7FB2">
        <w:rPr>
          <w:rFonts w:eastAsia="TimesNewRoman"/>
          <w:color w:val="000000"/>
        </w:rPr>
        <w:t>Following multiple doses, 20 microgram</w:t>
      </w:r>
      <w:r w:rsidR="00077868">
        <w:rPr>
          <w:rFonts w:eastAsia="TimesNewRoman"/>
          <w:color w:val="000000"/>
        </w:rPr>
        <w:t>s</w:t>
      </w:r>
      <w:r w:rsidR="00CB4155" w:rsidRPr="007D7FB2">
        <w:rPr>
          <w:rFonts w:eastAsia="TimesNewRoman"/>
          <w:color w:val="000000"/>
        </w:rPr>
        <w:t xml:space="preserve"> of </w:t>
      </w:r>
      <w:proofErr w:type="spellStart"/>
      <w:r w:rsidR="00270FC4">
        <w:rPr>
          <w:rFonts w:eastAsia="TimesNewRoman"/>
          <w:color w:val="000000"/>
        </w:rPr>
        <w:t>eformoterol</w:t>
      </w:r>
      <w:proofErr w:type="spellEnd"/>
      <w:r w:rsidR="00CB4155" w:rsidRPr="007D7FB2">
        <w:rPr>
          <w:rFonts w:eastAsia="TimesNewRoman"/>
          <w:color w:val="000000"/>
        </w:rPr>
        <w:t xml:space="preserve"> </w:t>
      </w:r>
      <w:proofErr w:type="spellStart"/>
      <w:r w:rsidR="00CB4155" w:rsidRPr="007D7FB2">
        <w:rPr>
          <w:rFonts w:eastAsia="TimesNewRoman"/>
          <w:color w:val="000000"/>
        </w:rPr>
        <w:t>fumarate</w:t>
      </w:r>
      <w:proofErr w:type="spellEnd"/>
      <w:r w:rsidR="00CB4155" w:rsidRPr="007D7FB2">
        <w:rPr>
          <w:rFonts w:eastAsia="TimesNewRoman"/>
          <w:color w:val="000000"/>
        </w:rPr>
        <w:t xml:space="preserve"> from 2 actuations of </w:t>
      </w:r>
      <w:r>
        <w:rPr>
          <w:rFonts w:eastAsia="TimesNewRoman"/>
          <w:color w:val="000000"/>
        </w:rPr>
        <w:t>FLUTIFORM</w:t>
      </w:r>
      <w:r w:rsidR="006B64DC" w:rsidRPr="006B64DC">
        <w:rPr>
          <w:rFonts w:eastAsia="TimesNewRoman"/>
          <w:color w:val="000000"/>
          <w:vertAlign w:val="superscript"/>
        </w:rPr>
        <w:t>®</w:t>
      </w:r>
      <w:r w:rsidR="00CB4155" w:rsidRPr="007D7FB2">
        <w:rPr>
          <w:rFonts w:eastAsia="TimesNewRoman"/>
          <w:color w:val="000000"/>
        </w:rPr>
        <w:t xml:space="preserve"> </w:t>
      </w:r>
      <w:r w:rsidR="00381D65">
        <w:rPr>
          <w:rFonts w:eastAsia="TimesNewRoman"/>
          <w:color w:val="000000"/>
        </w:rPr>
        <w:t>inhaler</w:t>
      </w:r>
      <w:r w:rsidR="00031374" w:rsidRPr="007D7FB2">
        <w:rPr>
          <w:rFonts w:eastAsia="TimesNewRoman"/>
          <w:color w:val="000000"/>
        </w:rPr>
        <w:t xml:space="preserve"> </w:t>
      </w:r>
      <w:r w:rsidR="00CB4155" w:rsidRPr="007D7FB2">
        <w:rPr>
          <w:rFonts w:eastAsia="TimesNewRoman"/>
          <w:color w:val="000000"/>
        </w:rPr>
        <w:t>250 microgram</w:t>
      </w:r>
      <w:r w:rsidR="00077868">
        <w:rPr>
          <w:rFonts w:eastAsia="TimesNewRoman"/>
          <w:color w:val="000000"/>
        </w:rPr>
        <w:t>s</w:t>
      </w:r>
      <w:r w:rsidR="00CB4155" w:rsidRPr="007D7FB2">
        <w:rPr>
          <w:rFonts w:eastAsia="TimesNewRoman"/>
          <w:color w:val="000000"/>
        </w:rPr>
        <w:t>/10 microgram</w:t>
      </w:r>
      <w:r w:rsidR="00077868">
        <w:rPr>
          <w:rFonts w:eastAsia="TimesNewRoman"/>
          <w:color w:val="000000"/>
        </w:rPr>
        <w:t>s</w:t>
      </w:r>
      <w:r w:rsidR="00CB4155" w:rsidRPr="007D7FB2">
        <w:rPr>
          <w:rFonts w:eastAsia="TimesNewRoman"/>
          <w:color w:val="000000"/>
        </w:rPr>
        <w:t xml:space="preserve"> resulted in a mean maximum plasma </w:t>
      </w:r>
      <w:proofErr w:type="spellStart"/>
      <w:r w:rsidR="00270FC4">
        <w:rPr>
          <w:rFonts w:eastAsia="TimesNewRoman"/>
          <w:color w:val="000000"/>
        </w:rPr>
        <w:t>eformoterol</w:t>
      </w:r>
      <w:proofErr w:type="spellEnd"/>
      <w:r w:rsidR="00CB4155" w:rsidRPr="007D7FB2">
        <w:rPr>
          <w:rFonts w:eastAsia="TimesNewRoman"/>
          <w:color w:val="000000"/>
        </w:rPr>
        <w:t xml:space="preserve"> concentration </w:t>
      </w:r>
      <w:proofErr w:type="gramStart"/>
      <w:r w:rsidR="00CB4155" w:rsidRPr="007D7FB2">
        <w:rPr>
          <w:rFonts w:eastAsia="TimesNewRoman"/>
          <w:color w:val="000000"/>
        </w:rPr>
        <w:t xml:space="preserve">of 34.4 </w:t>
      </w:r>
      <w:proofErr w:type="spellStart"/>
      <w:r w:rsidR="00CB4155" w:rsidRPr="007D7FB2">
        <w:rPr>
          <w:rFonts w:eastAsia="TimesNewRoman"/>
          <w:color w:val="000000"/>
        </w:rPr>
        <w:t>p</w:t>
      </w:r>
      <w:r w:rsidR="00F557DF">
        <w:rPr>
          <w:rFonts w:eastAsia="TimesNewRoman"/>
          <w:color w:val="000000"/>
        </w:rPr>
        <w:t>ico</w:t>
      </w:r>
      <w:r w:rsidR="00CB4155" w:rsidRPr="007D7FB2">
        <w:rPr>
          <w:rFonts w:eastAsia="TimesNewRoman"/>
          <w:color w:val="000000"/>
        </w:rPr>
        <w:t>g</w:t>
      </w:r>
      <w:r w:rsidR="00F557DF">
        <w:rPr>
          <w:rFonts w:eastAsia="TimesNewRoman"/>
          <w:color w:val="000000"/>
        </w:rPr>
        <w:t>ram</w:t>
      </w:r>
      <w:r w:rsidR="00077868">
        <w:rPr>
          <w:rFonts w:eastAsia="TimesNewRoman"/>
          <w:color w:val="000000"/>
        </w:rPr>
        <w:t>s</w:t>
      </w:r>
      <w:proofErr w:type="spellEnd"/>
      <w:r w:rsidR="00CB4155" w:rsidRPr="007D7FB2">
        <w:rPr>
          <w:rFonts w:eastAsia="TimesNewRoman"/>
          <w:color w:val="000000"/>
        </w:rPr>
        <w:t>/</w:t>
      </w:r>
      <w:proofErr w:type="spellStart"/>
      <w:r w:rsidR="00CB4155" w:rsidRPr="007D7FB2">
        <w:rPr>
          <w:rFonts w:eastAsia="TimesNewRoman"/>
          <w:color w:val="000000"/>
        </w:rPr>
        <w:t>mL</w:t>
      </w:r>
      <w:proofErr w:type="gramEnd"/>
      <w:r w:rsidR="00CB4155" w:rsidRPr="007D7FB2">
        <w:rPr>
          <w:rFonts w:eastAsia="TimesNewRoman"/>
          <w:color w:val="000000"/>
        </w:rPr>
        <w:t>.</w:t>
      </w:r>
      <w:proofErr w:type="spellEnd"/>
    </w:p>
    <w:p w:rsidR="00CB4155" w:rsidRPr="000649D6" w:rsidRDefault="00CB4155" w:rsidP="002801E7">
      <w:pPr>
        <w:pStyle w:val="Heading3"/>
      </w:pPr>
      <w:r w:rsidRPr="000649D6">
        <w:t>Elimination</w:t>
      </w:r>
    </w:p>
    <w:p w:rsidR="00A12D6E" w:rsidRPr="000649D6" w:rsidRDefault="00CB4155" w:rsidP="000649D6">
      <w:pPr>
        <w:autoSpaceDE w:val="0"/>
        <w:autoSpaceDN w:val="0"/>
        <w:adjustRightInd w:val="0"/>
        <w:ind w:right="-360"/>
        <w:jc w:val="both"/>
        <w:rPr>
          <w:rFonts w:eastAsia="TimesNewRoman"/>
        </w:rPr>
      </w:pPr>
      <w:r w:rsidRPr="000649D6">
        <w:rPr>
          <w:rFonts w:eastAsia="TimesNewRoman"/>
        </w:rPr>
        <w:t xml:space="preserve">Following </w:t>
      </w:r>
      <w:r w:rsidR="00A62F4D" w:rsidRPr="000649D6">
        <w:rPr>
          <w:rFonts w:eastAsia="TimesNewRoman"/>
        </w:rPr>
        <w:t xml:space="preserve">the </w:t>
      </w:r>
      <w:r w:rsidRPr="000649D6">
        <w:rPr>
          <w:rFonts w:eastAsia="TimesNewRoman"/>
        </w:rPr>
        <w:t xml:space="preserve">inhalation of fluticasone propionate from 2 actuations of </w:t>
      </w:r>
      <w:r w:rsidR="00031374" w:rsidRPr="000649D6">
        <w:rPr>
          <w:rFonts w:eastAsia="TimesNewRoman"/>
        </w:rPr>
        <w:t>FLUTIFORM</w:t>
      </w:r>
      <w:r w:rsidR="006B64DC" w:rsidRPr="000649D6">
        <w:rPr>
          <w:rFonts w:eastAsia="TimesNewRoman"/>
          <w:vertAlign w:val="superscript"/>
        </w:rPr>
        <w:t>®</w:t>
      </w:r>
      <w:r w:rsidRPr="000649D6">
        <w:rPr>
          <w:rFonts w:eastAsia="TimesNewRoman"/>
        </w:rPr>
        <w:t xml:space="preserve"> </w:t>
      </w:r>
      <w:r w:rsidR="00381D65" w:rsidRPr="000649D6">
        <w:rPr>
          <w:rFonts w:eastAsia="TimesNewRoman"/>
        </w:rPr>
        <w:t>inhaler</w:t>
      </w:r>
      <w:r w:rsidR="00031374" w:rsidRPr="000649D6">
        <w:rPr>
          <w:rFonts w:eastAsia="TimesNewRoman"/>
        </w:rPr>
        <w:t xml:space="preserve"> </w:t>
      </w:r>
      <w:r w:rsidRPr="000649D6">
        <w:rPr>
          <w:rFonts w:eastAsia="TimesNewRoman"/>
        </w:rPr>
        <w:t>250 microgram/10 microgram, fluticasone propionate has a terminal elimination half-life of approximately 14.2 h</w:t>
      </w:r>
      <w:r w:rsidR="002C050B" w:rsidRPr="000649D6">
        <w:rPr>
          <w:rFonts w:eastAsia="TimesNewRoman"/>
        </w:rPr>
        <w:t>ours</w:t>
      </w:r>
      <w:r w:rsidRPr="000649D6">
        <w:rPr>
          <w:rFonts w:eastAsia="TimesNewRoman"/>
        </w:rPr>
        <w:t>.</w:t>
      </w:r>
    </w:p>
    <w:p w:rsidR="003E54BB" w:rsidRPr="000649D6" w:rsidRDefault="00CB4155" w:rsidP="00170D00">
      <w:pPr>
        <w:autoSpaceDE w:val="0"/>
        <w:autoSpaceDN w:val="0"/>
        <w:adjustRightInd w:val="0"/>
        <w:spacing w:before="100" w:beforeAutospacing="1" w:after="100" w:afterAutospacing="1"/>
        <w:ind w:right="-357"/>
        <w:jc w:val="both"/>
        <w:rPr>
          <w:b/>
          <w:bCs/>
        </w:rPr>
      </w:pPr>
      <w:r w:rsidRPr="000649D6">
        <w:rPr>
          <w:rFonts w:eastAsia="TimesNewRoman"/>
        </w:rPr>
        <w:t xml:space="preserve">Following </w:t>
      </w:r>
      <w:r w:rsidR="00A62F4D" w:rsidRPr="000649D6">
        <w:rPr>
          <w:rFonts w:eastAsia="TimesNewRoman"/>
        </w:rPr>
        <w:t xml:space="preserve">the </w:t>
      </w:r>
      <w:r w:rsidRPr="000649D6">
        <w:rPr>
          <w:rFonts w:eastAsia="TimesNewRoman"/>
        </w:rPr>
        <w:t xml:space="preserve">inhalation of </w:t>
      </w:r>
      <w:proofErr w:type="spellStart"/>
      <w:r w:rsidR="00270FC4" w:rsidRPr="000649D6">
        <w:rPr>
          <w:rFonts w:eastAsia="TimesNewRoman"/>
        </w:rPr>
        <w:t>eformoterol</w:t>
      </w:r>
      <w:proofErr w:type="spellEnd"/>
      <w:r w:rsidRPr="000649D6">
        <w:rPr>
          <w:rFonts w:eastAsia="TimesNewRoman"/>
        </w:rPr>
        <w:t xml:space="preserve"> </w:t>
      </w:r>
      <w:proofErr w:type="spellStart"/>
      <w:r w:rsidRPr="000649D6">
        <w:rPr>
          <w:rFonts w:eastAsia="TimesNewRoman"/>
        </w:rPr>
        <w:t>fumarate</w:t>
      </w:r>
      <w:proofErr w:type="spellEnd"/>
      <w:r w:rsidRPr="000649D6">
        <w:rPr>
          <w:rFonts w:eastAsia="TimesNewRoman"/>
        </w:rPr>
        <w:t xml:space="preserve"> from 2 actuations of </w:t>
      </w:r>
      <w:r w:rsidR="00031374" w:rsidRPr="000649D6">
        <w:rPr>
          <w:rFonts w:eastAsia="TimesNewRoman"/>
        </w:rPr>
        <w:t>FLUTIFORM</w:t>
      </w:r>
      <w:r w:rsidR="006B64DC" w:rsidRPr="000649D6">
        <w:rPr>
          <w:rFonts w:eastAsia="TimesNewRoman"/>
          <w:vertAlign w:val="superscript"/>
        </w:rPr>
        <w:t>®</w:t>
      </w:r>
      <w:r w:rsidRPr="000649D6">
        <w:rPr>
          <w:rFonts w:eastAsia="TimesNewRoman"/>
        </w:rPr>
        <w:t xml:space="preserve"> </w:t>
      </w:r>
      <w:r w:rsidR="00381D65" w:rsidRPr="000649D6">
        <w:rPr>
          <w:rFonts w:eastAsia="TimesNewRoman"/>
        </w:rPr>
        <w:t>inhaler</w:t>
      </w:r>
      <w:r w:rsidR="00031374" w:rsidRPr="000649D6">
        <w:rPr>
          <w:rFonts w:eastAsia="TimesNewRoman"/>
        </w:rPr>
        <w:t xml:space="preserve"> </w:t>
      </w:r>
      <w:r w:rsidRPr="000649D6">
        <w:rPr>
          <w:rFonts w:eastAsia="TimesNewRoman"/>
        </w:rPr>
        <w:t>250 microgram/10 microgram,</w:t>
      </w:r>
      <w:r w:rsidR="004E189D" w:rsidRPr="000649D6">
        <w:rPr>
          <w:rFonts w:eastAsia="TimesNewRoman"/>
        </w:rPr>
        <w:t xml:space="preserve"> </w:t>
      </w:r>
      <w:proofErr w:type="spellStart"/>
      <w:r w:rsidR="00270FC4" w:rsidRPr="000649D6">
        <w:rPr>
          <w:rFonts w:eastAsia="TimesNewRoman"/>
        </w:rPr>
        <w:t>eformoterol</w:t>
      </w:r>
      <w:proofErr w:type="spellEnd"/>
      <w:r w:rsidRPr="000649D6">
        <w:rPr>
          <w:rFonts w:eastAsia="TimesNewRoman"/>
        </w:rPr>
        <w:t xml:space="preserve"> </w:t>
      </w:r>
      <w:proofErr w:type="spellStart"/>
      <w:r w:rsidRPr="000649D6">
        <w:rPr>
          <w:rFonts w:eastAsia="TimesNewRoman"/>
        </w:rPr>
        <w:t>fumarate</w:t>
      </w:r>
      <w:proofErr w:type="spellEnd"/>
      <w:r w:rsidRPr="000649D6">
        <w:rPr>
          <w:rFonts w:eastAsia="TimesNewRoman"/>
        </w:rPr>
        <w:t xml:space="preserve"> has a terminal elimination half-life of approximately 6.5 h</w:t>
      </w:r>
      <w:r w:rsidR="002C050B" w:rsidRPr="000649D6">
        <w:rPr>
          <w:rFonts w:eastAsia="TimesNewRoman"/>
        </w:rPr>
        <w:t>ours</w:t>
      </w:r>
      <w:r w:rsidRPr="000649D6">
        <w:rPr>
          <w:rFonts w:eastAsia="TimesNewRoman"/>
        </w:rPr>
        <w:t>.</w:t>
      </w:r>
      <w:r w:rsidR="00A62F4D" w:rsidRPr="000649D6">
        <w:rPr>
          <w:rFonts w:eastAsia="TimesNewRoman"/>
        </w:rPr>
        <w:t xml:space="preserve"> </w:t>
      </w:r>
      <w:r w:rsidRPr="000649D6">
        <w:rPr>
          <w:rFonts w:eastAsia="TimesNewRoman"/>
        </w:rPr>
        <w:t xml:space="preserve"> Less than 2% of a single dose of </w:t>
      </w:r>
      <w:proofErr w:type="spellStart"/>
      <w:r w:rsidR="00270FC4" w:rsidRPr="000649D6">
        <w:rPr>
          <w:rFonts w:eastAsia="TimesNewRoman"/>
        </w:rPr>
        <w:t>eformoterol</w:t>
      </w:r>
      <w:proofErr w:type="spellEnd"/>
      <w:r w:rsidRPr="000649D6">
        <w:rPr>
          <w:rFonts w:eastAsia="TimesNewRoman"/>
        </w:rPr>
        <w:t xml:space="preserve"> </w:t>
      </w:r>
      <w:proofErr w:type="spellStart"/>
      <w:r w:rsidRPr="000649D6">
        <w:rPr>
          <w:rFonts w:eastAsia="TimesNewRoman"/>
        </w:rPr>
        <w:t>fumarate</w:t>
      </w:r>
      <w:proofErr w:type="spellEnd"/>
      <w:r w:rsidRPr="000649D6">
        <w:rPr>
          <w:rFonts w:eastAsia="TimesNewRoman"/>
        </w:rPr>
        <w:t xml:space="preserve"> from </w:t>
      </w:r>
      <w:r w:rsidR="00031374" w:rsidRPr="000649D6">
        <w:rPr>
          <w:rFonts w:eastAsia="TimesNewRoman"/>
        </w:rPr>
        <w:t>FLUTIFORM</w:t>
      </w:r>
      <w:r w:rsidR="006B64DC" w:rsidRPr="000649D6">
        <w:rPr>
          <w:rFonts w:eastAsia="TimesNewRoman"/>
          <w:vertAlign w:val="superscript"/>
        </w:rPr>
        <w:t>®</w:t>
      </w:r>
      <w:r w:rsidRPr="000649D6">
        <w:rPr>
          <w:rFonts w:eastAsia="TimesNewRoman"/>
        </w:rPr>
        <w:t xml:space="preserve"> </w:t>
      </w:r>
      <w:r w:rsidR="00381D65" w:rsidRPr="000649D6">
        <w:rPr>
          <w:rFonts w:eastAsia="TimesNewRoman"/>
        </w:rPr>
        <w:t>inhaler</w:t>
      </w:r>
      <w:r w:rsidR="00031374" w:rsidRPr="000649D6">
        <w:rPr>
          <w:rFonts w:eastAsia="TimesNewRoman"/>
        </w:rPr>
        <w:t xml:space="preserve"> </w:t>
      </w:r>
      <w:r w:rsidRPr="000649D6">
        <w:rPr>
          <w:rFonts w:eastAsia="TimesNewRoman"/>
        </w:rPr>
        <w:t>is excreted in the urine.</w:t>
      </w:r>
    </w:p>
    <w:p w:rsidR="004E189D" w:rsidRPr="00F74B3D" w:rsidRDefault="006B64DC" w:rsidP="002801E7">
      <w:pPr>
        <w:pStyle w:val="Heading2"/>
      </w:pPr>
      <w:r w:rsidRPr="00F74B3D">
        <w:t>C</w:t>
      </w:r>
      <w:r w:rsidR="002801E7">
        <w:t>LINICAL TRIALS</w:t>
      </w:r>
    </w:p>
    <w:p w:rsidR="006F0449" w:rsidRPr="00577862" w:rsidRDefault="006F0449" w:rsidP="002801E7">
      <w:pPr>
        <w:pStyle w:val="Heading3"/>
      </w:pPr>
      <w:r w:rsidRPr="00577862">
        <w:t>Summary of clinical trials</w:t>
      </w:r>
    </w:p>
    <w:p w:rsidR="00A008E9" w:rsidRPr="003F3F57" w:rsidRDefault="008F1D10" w:rsidP="000649D6">
      <w:pPr>
        <w:autoSpaceDE w:val="0"/>
        <w:autoSpaceDN w:val="0"/>
        <w:adjustRightInd w:val="0"/>
        <w:ind w:right="-360"/>
        <w:jc w:val="both"/>
        <w:rPr>
          <w:rFonts w:eastAsia="TimesNewRoman"/>
        </w:rPr>
      </w:pPr>
      <w:r>
        <w:rPr>
          <w:rFonts w:eastAsia="TimesNewRoman"/>
        </w:rPr>
        <w:t>S</w:t>
      </w:r>
      <w:r w:rsidR="00A008E9" w:rsidRPr="003F3F57">
        <w:rPr>
          <w:rFonts w:eastAsia="TimesNewRoman"/>
        </w:rPr>
        <w:t xml:space="preserve">tudies </w:t>
      </w:r>
      <w:r w:rsidR="004B775F" w:rsidRPr="003F3F57">
        <w:rPr>
          <w:rFonts w:eastAsia="TimesNewRoman"/>
        </w:rPr>
        <w:t xml:space="preserve">to compare </w:t>
      </w:r>
      <w:r w:rsidR="0090349E" w:rsidRPr="003F3F57">
        <w:rPr>
          <w:rFonts w:eastAsia="TimesNewRoman"/>
        </w:rPr>
        <w:t>FLUTIFORM</w:t>
      </w:r>
      <w:r w:rsidR="004B775F" w:rsidRPr="003F3F57">
        <w:rPr>
          <w:rFonts w:eastAsia="TimesNewRoman"/>
          <w:vertAlign w:val="superscript"/>
        </w:rPr>
        <w:t>®</w:t>
      </w:r>
      <w:r w:rsidR="004B775F" w:rsidRPr="003F3F57">
        <w:rPr>
          <w:rFonts w:eastAsia="TimesNewRoman"/>
        </w:rPr>
        <w:t xml:space="preserve"> inhaler with combination treatments (i.e. </w:t>
      </w:r>
      <w:proofErr w:type="spellStart"/>
      <w:r w:rsidR="004B775F" w:rsidRPr="003F3F57">
        <w:rPr>
          <w:rFonts w:eastAsia="TimesNewRoman"/>
        </w:rPr>
        <w:t>fluticasone</w:t>
      </w:r>
      <w:proofErr w:type="spellEnd"/>
      <w:r w:rsidR="004B775F" w:rsidRPr="003F3F57">
        <w:rPr>
          <w:rFonts w:eastAsia="TimesNewRoman"/>
        </w:rPr>
        <w:t xml:space="preserve"> plus </w:t>
      </w:r>
      <w:proofErr w:type="spellStart"/>
      <w:r w:rsidR="004B775F" w:rsidRPr="003F3F57">
        <w:rPr>
          <w:rFonts w:eastAsia="TimesNewRoman"/>
        </w:rPr>
        <w:t>eformoterol</w:t>
      </w:r>
      <w:proofErr w:type="spellEnd"/>
      <w:r w:rsidR="004B775F" w:rsidRPr="003F3F57">
        <w:rPr>
          <w:rFonts w:eastAsia="TimesNewRoman"/>
        </w:rPr>
        <w:t xml:space="preserve">, or </w:t>
      </w:r>
      <w:proofErr w:type="spellStart"/>
      <w:r w:rsidR="004B775F" w:rsidRPr="003F3F57">
        <w:rPr>
          <w:rFonts w:eastAsia="TimesNewRoman"/>
        </w:rPr>
        <w:t>Seretide</w:t>
      </w:r>
      <w:proofErr w:type="spellEnd"/>
      <w:r w:rsidR="003324BD" w:rsidRPr="003F3F57">
        <w:rPr>
          <w:rFonts w:eastAsia="TimesNewRoman"/>
          <w:vertAlign w:val="superscript"/>
        </w:rPr>
        <w:t>®</w:t>
      </w:r>
      <w:r w:rsidR="004B775F" w:rsidRPr="003F3F57">
        <w:rPr>
          <w:rFonts w:eastAsia="TimesNewRoman"/>
        </w:rPr>
        <w:t xml:space="preserve"> inhaler</w:t>
      </w:r>
      <w:r w:rsidR="00E90640" w:rsidRPr="003F3F57">
        <w:rPr>
          <w:rFonts w:eastAsia="TimesNewRoman"/>
        </w:rPr>
        <w:t xml:space="preserve"> consisting of </w:t>
      </w:r>
      <w:proofErr w:type="spellStart"/>
      <w:r w:rsidR="00E90640" w:rsidRPr="003F3F57">
        <w:rPr>
          <w:rFonts w:eastAsia="TimesNewRoman"/>
        </w:rPr>
        <w:t>fluticasone</w:t>
      </w:r>
      <w:proofErr w:type="spellEnd"/>
      <w:r w:rsidR="00E90640" w:rsidRPr="003F3F57">
        <w:rPr>
          <w:rFonts w:eastAsia="TimesNewRoman"/>
        </w:rPr>
        <w:t xml:space="preserve"> plus </w:t>
      </w:r>
      <w:proofErr w:type="spellStart"/>
      <w:r w:rsidR="00E90640" w:rsidRPr="003F3F57">
        <w:rPr>
          <w:rFonts w:eastAsia="TimesNewRoman"/>
        </w:rPr>
        <w:t>salmeterol</w:t>
      </w:r>
      <w:proofErr w:type="spellEnd"/>
      <w:r w:rsidR="004B775F" w:rsidRPr="003F3F57">
        <w:rPr>
          <w:rFonts w:eastAsia="TimesNewRoman"/>
        </w:rPr>
        <w:t>), or with its individual components administered separately, or administered with and without a spacer</w:t>
      </w:r>
      <w:r>
        <w:rPr>
          <w:rFonts w:eastAsia="TimesNewRoman"/>
        </w:rPr>
        <w:t xml:space="preserve"> were conducted</w:t>
      </w:r>
      <w:r w:rsidR="004C50BF" w:rsidRPr="003F3F57">
        <w:rPr>
          <w:rFonts w:eastAsia="TimesNewRoman"/>
        </w:rPr>
        <w:t xml:space="preserve">.  </w:t>
      </w:r>
      <w:r w:rsidR="004B775F" w:rsidRPr="003F3F57">
        <w:rPr>
          <w:rFonts w:eastAsia="TimesNewRoman"/>
        </w:rPr>
        <w:t>F</w:t>
      </w:r>
      <w:r w:rsidR="00091AC7" w:rsidRPr="003F3F57">
        <w:rPr>
          <w:rFonts w:eastAsia="TimesNewRoman"/>
        </w:rPr>
        <w:t xml:space="preserve">our of </w:t>
      </w:r>
      <w:r w:rsidR="004B775F" w:rsidRPr="003F3F57">
        <w:rPr>
          <w:rFonts w:eastAsia="TimesNewRoman"/>
        </w:rPr>
        <w:t xml:space="preserve">these studies </w:t>
      </w:r>
      <w:r w:rsidR="00091AC7" w:rsidRPr="003F3F57">
        <w:rPr>
          <w:rFonts w:eastAsia="TimesNewRoman"/>
        </w:rPr>
        <w:t>were pivotal</w:t>
      </w:r>
      <w:r w:rsidR="004B775F" w:rsidRPr="003F3F57">
        <w:rPr>
          <w:rFonts w:eastAsia="TimesNewRoman"/>
        </w:rPr>
        <w:t>, randomised, double-blind, parallel</w:t>
      </w:r>
      <w:r w:rsidR="00C179B2" w:rsidRPr="003F3F57">
        <w:rPr>
          <w:rFonts w:eastAsia="TimesNewRoman"/>
        </w:rPr>
        <w:t>-</w:t>
      </w:r>
      <w:r w:rsidR="004B775F" w:rsidRPr="003F3F57">
        <w:rPr>
          <w:rFonts w:eastAsia="TimesNewRoman"/>
        </w:rPr>
        <w:t>group, stratified and active comparator controlled studies</w:t>
      </w:r>
      <w:r w:rsidR="00091AC7" w:rsidRPr="003F3F57">
        <w:rPr>
          <w:rFonts w:eastAsia="TimesNewRoman"/>
        </w:rPr>
        <w:t>,</w:t>
      </w:r>
      <w:r w:rsidR="00A008E9" w:rsidRPr="003F3F57">
        <w:rPr>
          <w:rFonts w:eastAsia="TimesNewRoman"/>
        </w:rPr>
        <w:t xml:space="preserve"> </w:t>
      </w:r>
      <w:r w:rsidR="004B775F" w:rsidRPr="003F3F57">
        <w:rPr>
          <w:rFonts w:eastAsia="TimesNewRoman"/>
        </w:rPr>
        <w:t>two of which included a placebo control</w:t>
      </w:r>
      <w:r w:rsidR="00A575C3" w:rsidRPr="003F3F57">
        <w:rPr>
          <w:rFonts w:eastAsia="TimesNewRoman"/>
        </w:rPr>
        <w:t xml:space="preserve">.  </w:t>
      </w:r>
      <w:r w:rsidR="002302B3">
        <w:rPr>
          <w:rFonts w:eastAsia="TimesNewRoman"/>
        </w:rPr>
        <w:t>A</w:t>
      </w:r>
      <w:r w:rsidR="00390985">
        <w:rPr>
          <w:rFonts w:eastAsia="TimesNewRoman"/>
        </w:rPr>
        <w:t xml:space="preserve"> </w:t>
      </w:r>
      <w:r w:rsidR="00442B73">
        <w:rPr>
          <w:rFonts w:eastAsia="TimesNewRoman"/>
        </w:rPr>
        <w:t xml:space="preserve">dose </w:t>
      </w:r>
      <w:r w:rsidR="00390985">
        <w:rPr>
          <w:rFonts w:eastAsia="TimesNewRoman"/>
        </w:rPr>
        <w:t>re</w:t>
      </w:r>
      <w:r w:rsidR="009619CB">
        <w:rPr>
          <w:rFonts w:eastAsia="TimesNewRoman"/>
        </w:rPr>
        <w:t xml:space="preserve">sponse relationship </w:t>
      </w:r>
      <w:r w:rsidR="002302B3">
        <w:rPr>
          <w:rFonts w:eastAsia="TimesNewRoman"/>
        </w:rPr>
        <w:t xml:space="preserve">was not demonstrated </w:t>
      </w:r>
      <w:r w:rsidR="009619CB">
        <w:rPr>
          <w:rFonts w:eastAsia="TimesNewRoman"/>
        </w:rPr>
        <w:t>for FLUTIF</w:t>
      </w:r>
      <w:r w:rsidR="00390985">
        <w:rPr>
          <w:rFonts w:eastAsia="TimesNewRoman"/>
        </w:rPr>
        <w:t>ORM</w:t>
      </w:r>
      <w:r w:rsidR="00390985" w:rsidRPr="003F3F57">
        <w:rPr>
          <w:rFonts w:eastAsia="TimesNewRoman"/>
          <w:vertAlign w:val="superscript"/>
        </w:rPr>
        <w:t>®</w:t>
      </w:r>
      <w:r w:rsidR="00390985">
        <w:rPr>
          <w:rFonts w:eastAsia="TimesNewRoman"/>
        </w:rPr>
        <w:t xml:space="preserve"> inhaler for subjects with moderate to severe asthma.</w:t>
      </w:r>
    </w:p>
    <w:p w:rsidR="00C85ACA" w:rsidRPr="002801E7" w:rsidRDefault="001500AC" w:rsidP="002801E7">
      <w:pPr>
        <w:pStyle w:val="Heading3"/>
      </w:pPr>
      <w:r w:rsidRPr="002801E7">
        <w:lastRenderedPageBreak/>
        <w:t>Phase 3 studies</w:t>
      </w:r>
    </w:p>
    <w:p w:rsidR="00A94F47" w:rsidRPr="003F3F57" w:rsidRDefault="00D70453" w:rsidP="002801E7">
      <w:pPr>
        <w:pStyle w:val="Heading4"/>
        <w:rPr>
          <w:rFonts w:eastAsia="TimesNewRoman"/>
        </w:rPr>
      </w:pPr>
      <w:r w:rsidRPr="003F3F57">
        <w:rPr>
          <w:rFonts w:eastAsia="TimesNewRoman"/>
        </w:rPr>
        <w:t xml:space="preserve">1. </w:t>
      </w:r>
      <w:r w:rsidR="0090349E" w:rsidRPr="003F3F57">
        <w:rPr>
          <w:rFonts w:eastAsia="TimesNewRoman"/>
        </w:rPr>
        <w:t>FLUTIFORM</w:t>
      </w:r>
      <w:r w:rsidR="0090349E" w:rsidRPr="003F3F57">
        <w:rPr>
          <w:rFonts w:eastAsia="TimesNewRoman"/>
          <w:vertAlign w:val="superscript"/>
        </w:rPr>
        <w:t>®</w:t>
      </w:r>
      <w:r w:rsidR="0090349E" w:rsidRPr="003F3F57">
        <w:rPr>
          <w:rFonts w:eastAsia="TimesNewRoman"/>
        </w:rPr>
        <w:t xml:space="preserve"> inhaler</w:t>
      </w:r>
      <w:r w:rsidR="00A94F47" w:rsidRPr="003F3F57">
        <w:rPr>
          <w:rFonts w:eastAsia="TimesNewRoman"/>
        </w:rPr>
        <w:t xml:space="preserve"> </w:t>
      </w:r>
      <w:proofErr w:type="spellStart"/>
      <w:r w:rsidR="00A94F47" w:rsidRPr="003F3F57">
        <w:rPr>
          <w:rFonts w:eastAsia="TimesNewRoman"/>
        </w:rPr>
        <w:t>vs</w:t>
      </w:r>
      <w:proofErr w:type="spellEnd"/>
      <w:r w:rsidR="00A94F47" w:rsidRPr="003F3F57">
        <w:rPr>
          <w:rFonts w:eastAsia="TimesNewRoman"/>
        </w:rPr>
        <w:t xml:space="preserve"> concurrent therapy</w:t>
      </w:r>
      <w:r w:rsidR="003400C6" w:rsidRPr="003F3F57">
        <w:rPr>
          <w:rFonts w:eastAsia="TimesNewRoman"/>
        </w:rPr>
        <w:t xml:space="preserve"> (combination </w:t>
      </w:r>
      <w:proofErr w:type="spellStart"/>
      <w:r w:rsidR="00774529" w:rsidRPr="003F3F57">
        <w:rPr>
          <w:rFonts w:eastAsia="TimesNewRoman"/>
        </w:rPr>
        <w:t>fluticasone</w:t>
      </w:r>
      <w:proofErr w:type="spellEnd"/>
      <w:r w:rsidR="00774529" w:rsidRPr="003F3F57">
        <w:rPr>
          <w:rFonts w:eastAsia="TimesNewRoman"/>
        </w:rPr>
        <w:t xml:space="preserve"> and </w:t>
      </w:r>
      <w:proofErr w:type="spellStart"/>
      <w:r w:rsidR="00774529" w:rsidRPr="003F3F57">
        <w:rPr>
          <w:rFonts w:eastAsia="TimesNewRoman"/>
        </w:rPr>
        <w:t>eformoterol</w:t>
      </w:r>
      <w:proofErr w:type="spellEnd"/>
      <w:r w:rsidR="003400C6" w:rsidRPr="003F3F57">
        <w:rPr>
          <w:rFonts w:eastAsia="TimesNewRoman"/>
        </w:rPr>
        <w:t>)</w:t>
      </w:r>
    </w:p>
    <w:p w:rsidR="006F0449" w:rsidRPr="003F3F57" w:rsidRDefault="00BB399A" w:rsidP="000649D6">
      <w:pPr>
        <w:autoSpaceDE w:val="0"/>
        <w:autoSpaceDN w:val="0"/>
        <w:adjustRightInd w:val="0"/>
        <w:ind w:right="-360"/>
        <w:jc w:val="both"/>
        <w:rPr>
          <w:bCs/>
        </w:rPr>
      </w:pPr>
      <w:r w:rsidRPr="003F3F57">
        <w:rPr>
          <w:bCs/>
        </w:rPr>
        <w:t xml:space="preserve">In study FLT3503, </w:t>
      </w:r>
      <w:r w:rsidR="005B54DC" w:rsidRPr="003F3F57">
        <w:rPr>
          <w:bCs/>
        </w:rPr>
        <w:t xml:space="preserve">two strengths of </w:t>
      </w:r>
      <w:r w:rsidRPr="003F3F57">
        <w:rPr>
          <w:bCs/>
        </w:rPr>
        <w:t>FLUTIFORM</w:t>
      </w:r>
      <w:r w:rsidRPr="003F3F57">
        <w:rPr>
          <w:rFonts w:eastAsia="TimesNewRoman"/>
          <w:vertAlign w:val="superscript"/>
        </w:rPr>
        <w:t>®</w:t>
      </w:r>
      <w:r w:rsidRPr="003F3F57">
        <w:rPr>
          <w:bCs/>
        </w:rPr>
        <w:t xml:space="preserve"> inhalers</w:t>
      </w:r>
      <w:r w:rsidR="005B54DC" w:rsidRPr="003F3F57">
        <w:rPr>
          <w:bCs/>
        </w:rPr>
        <w:t xml:space="preserve">, </w:t>
      </w:r>
      <w:r w:rsidR="00390985">
        <w:rPr>
          <w:bCs/>
        </w:rPr>
        <w:t>2 x 50/5</w:t>
      </w:r>
      <w:r w:rsidR="003400C6" w:rsidRPr="003F3F57">
        <w:rPr>
          <w:bCs/>
        </w:rPr>
        <w:t xml:space="preserve"> and</w:t>
      </w:r>
      <w:r w:rsidR="007F1B66">
        <w:rPr>
          <w:bCs/>
        </w:rPr>
        <w:t xml:space="preserve"> </w:t>
      </w:r>
      <w:r w:rsidR="00390985">
        <w:rPr>
          <w:bCs/>
        </w:rPr>
        <w:t>2 x 250/10</w:t>
      </w:r>
      <w:r w:rsidR="003400C6" w:rsidRPr="003F3F57">
        <w:rPr>
          <w:bCs/>
        </w:rPr>
        <w:t xml:space="preserve"> </w:t>
      </w:r>
      <w:r w:rsidR="00832BC5" w:rsidRPr="003F3F57">
        <w:rPr>
          <w:bCs/>
        </w:rPr>
        <w:t>micrograms</w:t>
      </w:r>
      <w:r w:rsidR="005B54DC" w:rsidRPr="003F3F57">
        <w:rPr>
          <w:bCs/>
        </w:rPr>
        <w:t>,</w:t>
      </w:r>
      <w:r w:rsidR="003400C6" w:rsidRPr="003F3F57">
        <w:rPr>
          <w:bCs/>
        </w:rPr>
        <w:t xml:space="preserve"> were compared with combination t</w:t>
      </w:r>
      <w:r w:rsidR="00774529" w:rsidRPr="003F3F57">
        <w:rPr>
          <w:bCs/>
        </w:rPr>
        <w:t>herapy</w:t>
      </w:r>
      <w:r w:rsidR="005B54DC" w:rsidRPr="003F3F57">
        <w:rPr>
          <w:bCs/>
        </w:rPr>
        <w:t xml:space="preserve"> </w:t>
      </w:r>
      <w:r w:rsidR="003400C6" w:rsidRPr="003F3F57">
        <w:rPr>
          <w:bCs/>
        </w:rPr>
        <w:t xml:space="preserve">fluticasone </w:t>
      </w:r>
      <w:r w:rsidR="00390985">
        <w:rPr>
          <w:bCs/>
        </w:rPr>
        <w:t>2 x 250</w:t>
      </w:r>
      <w:r w:rsidR="003400C6" w:rsidRPr="003F3F57">
        <w:rPr>
          <w:bCs/>
        </w:rPr>
        <w:t xml:space="preserve"> </w:t>
      </w:r>
      <w:r w:rsidR="00832BC5" w:rsidRPr="003F3F57">
        <w:rPr>
          <w:bCs/>
        </w:rPr>
        <w:t>micrograms</w:t>
      </w:r>
      <w:r w:rsidR="003400C6" w:rsidRPr="003F3F57">
        <w:rPr>
          <w:bCs/>
        </w:rPr>
        <w:t xml:space="preserve"> + </w:t>
      </w:r>
      <w:proofErr w:type="spellStart"/>
      <w:r w:rsidR="003400C6" w:rsidRPr="003F3F57">
        <w:rPr>
          <w:bCs/>
        </w:rPr>
        <w:t>eformoterol</w:t>
      </w:r>
      <w:proofErr w:type="spellEnd"/>
      <w:r w:rsidR="003400C6" w:rsidRPr="003F3F57">
        <w:rPr>
          <w:bCs/>
        </w:rPr>
        <w:t xml:space="preserve"> </w:t>
      </w:r>
      <w:r w:rsidR="00390985">
        <w:rPr>
          <w:bCs/>
        </w:rPr>
        <w:t>2 x 12</w:t>
      </w:r>
      <w:r w:rsidR="003400C6" w:rsidRPr="003F3F57">
        <w:rPr>
          <w:bCs/>
        </w:rPr>
        <w:t xml:space="preserve"> </w:t>
      </w:r>
      <w:r w:rsidR="00832BC5" w:rsidRPr="003F3F57">
        <w:rPr>
          <w:bCs/>
        </w:rPr>
        <w:t>micrograms</w:t>
      </w:r>
      <w:r w:rsidR="005B54DC" w:rsidRPr="003F3F57">
        <w:rPr>
          <w:bCs/>
        </w:rPr>
        <w:t>,</w:t>
      </w:r>
      <w:r w:rsidR="00620533" w:rsidRPr="003F3F57">
        <w:rPr>
          <w:bCs/>
        </w:rPr>
        <w:t xml:space="preserve"> and with fluticasone </w:t>
      </w:r>
      <w:r w:rsidR="00390985">
        <w:rPr>
          <w:bCs/>
        </w:rPr>
        <w:t>2 x 250</w:t>
      </w:r>
      <w:r w:rsidR="00620533" w:rsidRPr="003F3F57">
        <w:rPr>
          <w:bCs/>
        </w:rPr>
        <w:t xml:space="preserve"> </w:t>
      </w:r>
      <w:r w:rsidR="00832BC5" w:rsidRPr="003F3F57">
        <w:rPr>
          <w:bCs/>
        </w:rPr>
        <w:t>micrograms</w:t>
      </w:r>
      <w:r w:rsidRPr="003F3F57">
        <w:rPr>
          <w:bCs/>
        </w:rPr>
        <w:t>.</w:t>
      </w:r>
      <w:r w:rsidR="00390985">
        <w:rPr>
          <w:bCs/>
        </w:rPr>
        <w:t xml:space="preserve">  Each treatment was taken twice daily.</w:t>
      </w:r>
      <w:r w:rsidR="003400C6" w:rsidRPr="003F3F57">
        <w:rPr>
          <w:bCs/>
        </w:rPr>
        <w:t xml:space="preserve"> </w:t>
      </w:r>
      <w:r w:rsidRPr="003F3F57">
        <w:rPr>
          <w:bCs/>
        </w:rPr>
        <w:t xml:space="preserve"> </w:t>
      </w:r>
      <w:r w:rsidR="00194BF9" w:rsidRPr="003F3F57">
        <w:rPr>
          <w:bCs/>
        </w:rPr>
        <w:t>Th</w:t>
      </w:r>
      <w:r w:rsidR="001500AC" w:rsidRPr="003F3F57">
        <w:rPr>
          <w:bCs/>
        </w:rPr>
        <w:t>is</w:t>
      </w:r>
      <w:r w:rsidR="00194BF9" w:rsidRPr="003F3F57">
        <w:rPr>
          <w:bCs/>
        </w:rPr>
        <w:t xml:space="preserve"> </w:t>
      </w:r>
      <w:r w:rsidR="001500AC" w:rsidRPr="003F3F57">
        <w:rPr>
          <w:bCs/>
        </w:rPr>
        <w:t>randomised, double-blind, parallel</w:t>
      </w:r>
      <w:r w:rsidR="00EA20ED" w:rsidRPr="003F3F57">
        <w:rPr>
          <w:bCs/>
        </w:rPr>
        <w:t>-</w:t>
      </w:r>
      <w:r w:rsidR="001500AC" w:rsidRPr="003F3F57">
        <w:rPr>
          <w:bCs/>
        </w:rPr>
        <w:t>group,  active-controlled study</w:t>
      </w:r>
      <w:r w:rsidR="00194BF9" w:rsidRPr="003F3F57">
        <w:rPr>
          <w:bCs/>
        </w:rPr>
        <w:t xml:space="preserve"> was 8</w:t>
      </w:r>
      <w:r w:rsidRPr="003F3F57">
        <w:rPr>
          <w:bCs/>
        </w:rPr>
        <w:t xml:space="preserve"> </w:t>
      </w:r>
      <w:r w:rsidR="00194BF9" w:rsidRPr="003F3F57">
        <w:rPr>
          <w:bCs/>
        </w:rPr>
        <w:t xml:space="preserve">weeks </w:t>
      </w:r>
      <w:r w:rsidR="00EA20ED" w:rsidRPr="003F3F57">
        <w:rPr>
          <w:bCs/>
        </w:rPr>
        <w:t xml:space="preserve">in </w:t>
      </w:r>
      <w:r w:rsidR="00194BF9" w:rsidRPr="003F3F57">
        <w:rPr>
          <w:bCs/>
        </w:rPr>
        <w:t xml:space="preserve">duration, and </w:t>
      </w:r>
      <w:r w:rsidRPr="003F3F57">
        <w:rPr>
          <w:bCs/>
        </w:rPr>
        <w:t xml:space="preserve">enrolled </w:t>
      </w:r>
      <w:r w:rsidR="006372C9" w:rsidRPr="003F3F57">
        <w:rPr>
          <w:bCs/>
        </w:rPr>
        <w:t xml:space="preserve">620 </w:t>
      </w:r>
      <w:r w:rsidR="00194BF9" w:rsidRPr="003F3F57">
        <w:rPr>
          <w:bCs/>
        </w:rPr>
        <w:t>patients</w:t>
      </w:r>
      <w:r w:rsidR="001500AC" w:rsidRPr="003F3F57">
        <w:rPr>
          <w:bCs/>
        </w:rPr>
        <w:t>:</w:t>
      </w:r>
      <w:r w:rsidR="00194BF9" w:rsidRPr="003F3F57">
        <w:rPr>
          <w:bCs/>
        </w:rPr>
        <w:t xml:space="preserve"> </w:t>
      </w:r>
      <w:r w:rsidR="006372C9" w:rsidRPr="003F3F57">
        <w:rPr>
          <w:bCs/>
        </w:rPr>
        <w:t>155</w:t>
      </w:r>
      <w:r w:rsidR="00194BF9" w:rsidRPr="003F3F57">
        <w:rPr>
          <w:bCs/>
        </w:rPr>
        <w:t xml:space="preserve"> on </w:t>
      </w:r>
      <w:r w:rsidR="0090349E" w:rsidRPr="003F3F57">
        <w:rPr>
          <w:bCs/>
        </w:rPr>
        <w:t>FLUTIFORM</w:t>
      </w:r>
      <w:r w:rsidR="0090349E" w:rsidRPr="003F3F57">
        <w:rPr>
          <w:rFonts w:eastAsia="TimesNewRoman"/>
          <w:vertAlign w:val="superscript"/>
        </w:rPr>
        <w:t>®</w:t>
      </w:r>
      <w:r w:rsidR="0090349E" w:rsidRPr="003F3F57">
        <w:rPr>
          <w:rFonts w:eastAsia="TimesNewRoman"/>
        </w:rPr>
        <w:t xml:space="preserve"> inhaler</w:t>
      </w:r>
      <w:r w:rsidRPr="003F3F57">
        <w:rPr>
          <w:bCs/>
        </w:rPr>
        <w:t xml:space="preserve"> lower dose, </w:t>
      </w:r>
      <w:r w:rsidR="006372C9" w:rsidRPr="003F3F57">
        <w:rPr>
          <w:bCs/>
        </w:rPr>
        <w:t>154</w:t>
      </w:r>
      <w:r w:rsidRPr="003F3F57">
        <w:rPr>
          <w:bCs/>
        </w:rPr>
        <w:t xml:space="preserve"> on </w:t>
      </w:r>
      <w:r w:rsidR="0090349E" w:rsidRPr="003F3F57">
        <w:rPr>
          <w:bCs/>
        </w:rPr>
        <w:t>FLUTIFORM</w:t>
      </w:r>
      <w:r w:rsidR="0090349E" w:rsidRPr="003F3F57">
        <w:rPr>
          <w:rFonts w:eastAsia="TimesNewRoman"/>
          <w:vertAlign w:val="superscript"/>
        </w:rPr>
        <w:t>®</w:t>
      </w:r>
      <w:r w:rsidR="0090349E" w:rsidRPr="003F3F57">
        <w:rPr>
          <w:rFonts w:eastAsia="TimesNewRoman"/>
        </w:rPr>
        <w:t xml:space="preserve"> inhaler</w:t>
      </w:r>
      <w:r w:rsidR="00194BF9" w:rsidRPr="003F3F57">
        <w:rPr>
          <w:bCs/>
        </w:rPr>
        <w:t xml:space="preserve"> higher dose, </w:t>
      </w:r>
      <w:r w:rsidR="006372C9" w:rsidRPr="003F3F57">
        <w:rPr>
          <w:bCs/>
        </w:rPr>
        <w:t>156</w:t>
      </w:r>
      <w:r w:rsidR="00194BF9" w:rsidRPr="003F3F57">
        <w:rPr>
          <w:bCs/>
        </w:rPr>
        <w:t xml:space="preserve"> on </w:t>
      </w:r>
      <w:proofErr w:type="spellStart"/>
      <w:r w:rsidR="00194BF9" w:rsidRPr="003F3F57">
        <w:rPr>
          <w:bCs/>
        </w:rPr>
        <w:t>fluticasone</w:t>
      </w:r>
      <w:proofErr w:type="spellEnd"/>
      <w:r w:rsidR="00194BF9" w:rsidRPr="003F3F57">
        <w:rPr>
          <w:bCs/>
        </w:rPr>
        <w:t xml:space="preserve"> + </w:t>
      </w:r>
      <w:proofErr w:type="spellStart"/>
      <w:r w:rsidR="00194BF9" w:rsidRPr="003F3F57">
        <w:rPr>
          <w:bCs/>
        </w:rPr>
        <w:t>eformoterol</w:t>
      </w:r>
      <w:proofErr w:type="spellEnd"/>
      <w:r w:rsidR="00194BF9" w:rsidRPr="003F3F57">
        <w:rPr>
          <w:bCs/>
        </w:rPr>
        <w:t xml:space="preserve"> and </w:t>
      </w:r>
      <w:r w:rsidR="006A5EED" w:rsidRPr="003F3F57">
        <w:rPr>
          <w:bCs/>
        </w:rPr>
        <w:t>155</w:t>
      </w:r>
      <w:r w:rsidR="00194BF9" w:rsidRPr="003F3F57">
        <w:rPr>
          <w:bCs/>
        </w:rPr>
        <w:t xml:space="preserve"> on fluticasone alone. </w:t>
      </w:r>
      <w:r w:rsidR="005E5259" w:rsidRPr="003F3F57">
        <w:rPr>
          <w:bCs/>
        </w:rPr>
        <w:t xml:space="preserve"> </w:t>
      </w:r>
      <w:r w:rsidR="005B54DC" w:rsidRPr="003F3F57">
        <w:rPr>
          <w:bCs/>
        </w:rPr>
        <w:t xml:space="preserve">The primary objective was to show non-inferiority </w:t>
      </w:r>
      <w:r w:rsidR="00722D41" w:rsidRPr="003F3F57">
        <w:rPr>
          <w:bCs/>
        </w:rPr>
        <w:t xml:space="preserve">in the efficacy </w:t>
      </w:r>
      <w:r w:rsidR="005B54DC" w:rsidRPr="003F3F57">
        <w:rPr>
          <w:bCs/>
        </w:rPr>
        <w:t>of FLUTIFORM</w:t>
      </w:r>
      <w:r w:rsidR="005B54DC" w:rsidRPr="003F3F57">
        <w:rPr>
          <w:rFonts w:eastAsia="TimesNewRoman"/>
          <w:vertAlign w:val="superscript"/>
        </w:rPr>
        <w:t>®</w:t>
      </w:r>
      <w:r w:rsidR="005B54DC" w:rsidRPr="003F3F57">
        <w:rPr>
          <w:bCs/>
        </w:rPr>
        <w:t xml:space="preserve"> inhaler </w:t>
      </w:r>
      <w:r w:rsidR="005B54DC" w:rsidRPr="003F3F57">
        <w:rPr>
          <w:bCs/>
          <w:i/>
        </w:rPr>
        <w:t>versus</w:t>
      </w:r>
      <w:r w:rsidR="005B54DC" w:rsidRPr="003F3F57">
        <w:rPr>
          <w:bCs/>
        </w:rPr>
        <w:t xml:space="preserve"> </w:t>
      </w:r>
      <w:proofErr w:type="spellStart"/>
      <w:r w:rsidR="005B54DC" w:rsidRPr="003F3F57">
        <w:rPr>
          <w:bCs/>
        </w:rPr>
        <w:t>fluticasone</w:t>
      </w:r>
      <w:proofErr w:type="spellEnd"/>
      <w:r w:rsidR="005B54DC" w:rsidRPr="003F3F57">
        <w:rPr>
          <w:bCs/>
        </w:rPr>
        <w:t xml:space="preserve"> and </w:t>
      </w:r>
      <w:proofErr w:type="spellStart"/>
      <w:r w:rsidR="005B54DC" w:rsidRPr="003F3F57">
        <w:rPr>
          <w:bCs/>
        </w:rPr>
        <w:t>eformoterol</w:t>
      </w:r>
      <w:proofErr w:type="spellEnd"/>
      <w:r w:rsidR="001500AC" w:rsidRPr="003F3F57">
        <w:rPr>
          <w:bCs/>
        </w:rPr>
        <w:t xml:space="preserve"> administered concurrently in adult </w:t>
      </w:r>
      <w:r w:rsidR="005E5259" w:rsidRPr="003F3F57">
        <w:rPr>
          <w:bCs/>
        </w:rPr>
        <w:t>patients with moderate to severe, persistent asthma (FEV</w:t>
      </w:r>
      <w:r w:rsidR="005E5259" w:rsidRPr="003F3F57">
        <w:rPr>
          <w:bCs/>
          <w:vertAlign w:val="subscript"/>
        </w:rPr>
        <w:t>1</w:t>
      </w:r>
      <w:r w:rsidR="005E5259" w:rsidRPr="003F3F57">
        <w:rPr>
          <w:bCs/>
        </w:rPr>
        <w:t xml:space="preserve"> ≥ 40% to ≤ 80% for predicted normal values).  Two secondary objectives were to show superiority in the efficacy of </w:t>
      </w:r>
      <w:r w:rsidR="005E5259" w:rsidRPr="003F3F57">
        <w:rPr>
          <w:rFonts w:eastAsia="TimesNewRoman"/>
        </w:rPr>
        <w:t>FLUTIFORM</w:t>
      </w:r>
      <w:r w:rsidR="005E5259" w:rsidRPr="003F3F57">
        <w:rPr>
          <w:rFonts w:eastAsia="TimesNewRoman"/>
          <w:vertAlign w:val="superscript"/>
        </w:rPr>
        <w:t>®</w:t>
      </w:r>
      <w:r w:rsidR="005E5259" w:rsidRPr="003F3F57">
        <w:rPr>
          <w:rFonts w:eastAsia="TimesNewRoman"/>
        </w:rPr>
        <w:t xml:space="preserve"> inhaler high dose </w:t>
      </w:r>
      <w:r w:rsidR="005E5259" w:rsidRPr="003F3F57">
        <w:rPr>
          <w:rFonts w:eastAsia="TimesNewRoman"/>
          <w:i/>
        </w:rPr>
        <w:t>versus</w:t>
      </w:r>
      <w:r w:rsidR="005E5259" w:rsidRPr="003F3F57">
        <w:rPr>
          <w:rFonts w:eastAsia="TimesNewRoman"/>
        </w:rPr>
        <w:t xml:space="preserve"> fluticasone alone, and to show</w:t>
      </w:r>
      <w:r w:rsidR="005E5259" w:rsidRPr="003F3F57">
        <w:rPr>
          <w:bCs/>
        </w:rPr>
        <w:t xml:space="preserve"> superiority in the efficacy of</w:t>
      </w:r>
      <w:r w:rsidR="00E56595" w:rsidRPr="003F3F57">
        <w:rPr>
          <w:bCs/>
        </w:rPr>
        <w:t xml:space="preserve"> </w:t>
      </w:r>
      <w:r w:rsidR="004725E2" w:rsidRPr="003F3F57">
        <w:rPr>
          <w:rFonts w:eastAsia="TimesNewRoman"/>
        </w:rPr>
        <w:t>FLUTIFORM</w:t>
      </w:r>
      <w:r w:rsidR="004725E2" w:rsidRPr="003F3F57">
        <w:rPr>
          <w:rFonts w:eastAsia="TimesNewRoman"/>
          <w:vertAlign w:val="superscript"/>
        </w:rPr>
        <w:t>®</w:t>
      </w:r>
      <w:r w:rsidR="004725E2" w:rsidRPr="003F3F57">
        <w:rPr>
          <w:rFonts w:eastAsia="TimesNewRoman"/>
        </w:rPr>
        <w:t xml:space="preserve"> inhaler high dose </w:t>
      </w:r>
      <w:r w:rsidR="004725E2" w:rsidRPr="003F3F57">
        <w:rPr>
          <w:rFonts w:eastAsia="TimesNewRoman"/>
          <w:i/>
        </w:rPr>
        <w:t>versus</w:t>
      </w:r>
      <w:r w:rsidR="004725E2" w:rsidRPr="003F3F57">
        <w:rPr>
          <w:rFonts w:eastAsia="TimesNewRoman"/>
        </w:rPr>
        <w:t xml:space="preserve"> FLUTIFORM</w:t>
      </w:r>
      <w:r w:rsidR="004725E2" w:rsidRPr="003F3F57">
        <w:rPr>
          <w:rFonts w:eastAsia="TimesNewRoman"/>
          <w:vertAlign w:val="superscript"/>
        </w:rPr>
        <w:t>®</w:t>
      </w:r>
      <w:r w:rsidR="000158BA">
        <w:rPr>
          <w:rFonts w:eastAsia="TimesNewRoman"/>
        </w:rPr>
        <w:t xml:space="preserve"> inhaler low dose.</w:t>
      </w:r>
    </w:p>
    <w:p w:rsidR="00722D41" w:rsidRDefault="00F626C8" w:rsidP="000158BA">
      <w:pPr>
        <w:autoSpaceDE w:val="0"/>
        <w:autoSpaceDN w:val="0"/>
        <w:adjustRightInd w:val="0"/>
        <w:spacing w:before="100" w:beforeAutospacing="1" w:after="100" w:afterAutospacing="1"/>
        <w:ind w:right="-357"/>
        <w:jc w:val="both"/>
        <w:rPr>
          <w:bCs/>
        </w:rPr>
      </w:pPr>
      <w:r w:rsidRPr="00577862">
        <w:rPr>
          <w:bCs/>
        </w:rPr>
        <w:t xml:space="preserve">The primary efficacy endpoint was the </w:t>
      </w:r>
      <w:r w:rsidR="005B54DC" w:rsidRPr="00577862">
        <w:rPr>
          <w:bCs/>
        </w:rPr>
        <w:t xml:space="preserve">mean </w:t>
      </w:r>
      <w:r w:rsidRPr="00577862">
        <w:rPr>
          <w:bCs/>
        </w:rPr>
        <w:t xml:space="preserve">change in </w:t>
      </w:r>
      <w:r w:rsidR="005B54DC" w:rsidRPr="00577862">
        <w:rPr>
          <w:bCs/>
        </w:rPr>
        <w:t xml:space="preserve">pre-morning dose </w:t>
      </w:r>
      <w:r w:rsidRPr="00577862">
        <w:rPr>
          <w:bCs/>
        </w:rPr>
        <w:t>FEV</w:t>
      </w:r>
      <w:r w:rsidRPr="00577862">
        <w:rPr>
          <w:bCs/>
          <w:vertAlign w:val="subscript"/>
        </w:rPr>
        <w:t>1</w:t>
      </w:r>
      <w:r w:rsidRPr="00577862">
        <w:rPr>
          <w:bCs/>
        </w:rPr>
        <w:t xml:space="preserve"> from </w:t>
      </w:r>
      <w:r w:rsidR="00722D41" w:rsidRPr="00577862">
        <w:rPr>
          <w:bCs/>
        </w:rPr>
        <w:t>b</w:t>
      </w:r>
      <w:r w:rsidRPr="00577862">
        <w:rPr>
          <w:bCs/>
        </w:rPr>
        <w:t xml:space="preserve">aseline to </w:t>
      </w:r>
      <w:r w:rsidR="005B54DC" w:rsidRPr="00577862">
        <w:rPr>
          <w:bCs/>
        </w:rPr>
        <w:t>the end of treatment</w:t>
      </w:r>
      <w:r w:rsidRPr="00577862">
        <w:rPr>
          <w:bCs/>
        </w:rPr>
        <w:t xml:space="preserve">.  The co-primary endpoint </w:t>
      </w:r>
      <w:r w:rsidR="00BB399A" w:rsidRPr="00577862">
        <w:rPr>
          <w:bCs/>
        </w:rPr>
        <w:t xml:space="preserve">was the </w:t>
      </w:r>
      <w:r w:rsidR="00722D41" w:rsidRPr="00577862">
        <w:rPr>
          <w:bCs/>
        </w:rPr>
        <w:t xml:space="preserve">mean </w:t>
      </w:r>
      <w:r w:rsidR="00BB399A" w:rsidRPr="00577862">
        <w:rPr>
          <w:bCs/>
        </w:rPr>
        <w:t>change in FEV</w:t>
      </w:r>
      <w:r w:rsidR="00BB399A" w:rsidRPr="00577862">
        <w:rPr>
          <w:bCs/>
          <w:vertAlign w:val="subscript"/>
        </w:rPr>
        <w:t>1</w:t>
      </w:r>
      <w:r w:rsidR="00BB399A" w:rsidRPr="00577862">
        <w:rPr>
          <w:bCs/>
        </w:rPr>
        <w:t xml:space="preserve"> from </w:t>
      </w:r>
      <w:r w:rsidR="004725E2" w:rsidRPr="00577862">
        <w:rPr>
          <w:bCs/>
        </w:rPr>
        <w:t xml:space="preserve">pre-morning </w:t>
      </w:r>
      <w:r w:rsidR="004725E2" w:rsidRPr="003F3F57">
        <w:rPr>
          <w:bCs/>
        </w:rPr>
        <w:t xml:space="preserve">dose at </w:t>
      </w:r>
      <w:r w:rsidR="00722D41" w:rsidRPr="003F3F57">
        <w:rPr>
          <w:bCs/>
        </w:rPr>
        <w:t>b</w:t>
      </w:r>
      <w:r w:rsidR="00BB399A" w:rsidRPr="003F3F57">
        <w:rPr>
          <w:bCs/>
        </w:rPr>
        <w:t>aseline to 2</w:t>
      </w:r>
      <w:r w:rsidR="00722D41" w:rsidRPr="003F3F57">
        <w:rPr>
          <w:bCs/>
        </w:rPr>
        <w:t>-</w:t>
      </w:r>
      <w:r w:rsidR="00BB399A" w:rsidRPr="003F3F57">
        <w:rPr>
          <w:bCs/>
        </w:rPr>
        <w:t>hour post-</w:t>
      </w:r>
      <w:r w:rsidR="00722D41" w:rsidRPr="003F3F57">
        <w:rPr>
          <w:bCs/>
        </w:rPr>
        <w:t xml:space="preserve">morning </w:t>
      </w:r>
      <w:r w:rsidR="00BB399A" w:rsidRPr="003F3F57">
        <w:rPr>
          <w:bCs/>
        </w:rPr>
        <w:t xml:space="preserve">dose at </w:t>
      </w:r>
      <w:r w:rsidR="00722D41" w:rsidRPr="003F3F57">
        <w:rPr>
          <w:bCs/>
        </w:rPr>
        <w:t>the end of treatment</w:t>
      </w:r>
      <w:r w:rsidRPr="003F3F57">
        <w:rPr>
          <w:bCs/>
        </w:rPr>
        <w:t>.</w:t>
      </w:r>
    </w:p>
    <w:p w:rsidR="00BE6E89" w:rsidRPr="003F3F57" w:rsidRDefault="00ED0586" w:rsidP="000649D6">
      <w:pPr>
        <w:autoSpaceDE w:val="0"/>
        <w:autoSpaceDN w:val="0"/>
        <w:adjustRightInd w:val="0"/>
        <w:ind w:right="-360"/>
        <w:jc w:val="both"/>
        <w:rPr>
          <w:bCs/>
        </w:rPr>
      </w:pPr>
      <w:r w:rsidRPr="003F3F57">
        <w:rPr>
          <w:bCs/>
        </w:rPr>
        <w:t xml:space="preserve">The </w:t>
      </w:r>
      <w:r w:rsidR="00EE2F2B" w:rsidRPr="003F3F57">
        <w:rPr>
          <w:bCs/>
        </w:rPr>
        <w:t xml:space="preserve">LS </w:t>
      </w:r>
      <w:r w:rsidR="00E64D88" w:rsidRPr="003F3F57">
        <w:rPr>
          <w:bCs/>
        </w:rPr>
        <w:t>mean change in pre-morning dose FEV</w:t>
      </w:r>
      <w:r w:rsidR="00E64D88" w:rsidRPr="003F3F57">
        <w:rPr>
          <w:bCs/>
          <w:vertAlign w:val="subscript"/>
        </w:rPr>
        <w:t>1</w:t>
      </w:r>
      <w:r w:rsidR="00E64D88" w:rsidRPr="003F3F57">
        <w:rPr>
          <w:bCs/>
        </w:rPr>
        <w:t xml:space="preserve"> from </w:t>
      </w:r>
      <w:r w:rsidR="00EE2F2B" w:rsidRPr="003F3F57">
        <w:rPr>
          <w:bCs/>
        </w:rPr>
        <w:t>baseline to end of treatment</w:t>
      </w:r>
      <w:r w:rsidR="00E64D88" w:rsidRPr="003F3F57">
        <w:rPr>
          <w:bCs/>
        </w:rPr>
        <w:t xml:space="preserve"> was </w:t>
      </w:r>
      <w:r w:rsidR="00EE2F2B" w:rsidRPr="003F3F57">
        <w:rPr>
          <w:bCs/>
        </w:rPr>
        <w:t>0.345 L</w:t>
      </w:r>
      <w:r w:rsidR="00E64D88" w:rsidRPr="003F3F57">
        <w:rPr>
          <w:bCs/>
        </w:rPr>
        <w:t xml:space="preserve"> in the </w:t>
      </w:r>
      <w:r w:rsidR="0090349E" w:rsidRPr="003F3F57">
        <w:rPr>
          <w:bCs/>
        </w:rPr>
        <w:t>FLUTIFORM</w:t>
      </w:r>
      <w:r w:rsidR="00BB399A" w:rsidRPr="003F3F57">
        <w:rPr>
          <w:rFonts w:eastAsia="TimesNewRoman"/>
          <w:vertAlign w:val="superscript"/>
        </w:rPr>
        <w:t>®</w:t>
      </w:r>
      <w:r w:rsidRPr="003F3F57">
        <w:rPr>
          <w:bCs/>
        </w:rPr>
        <w:t xml:space="preserve"> </w:t>
      </w:r>
      <w:r w:rsidR="00BB399A" w:rsidRPr="003F3F57">
        <w:rPr>
          <w:bCs/>
        </w:rPr>
        <w:t xml:space="preserve">inhaler </w:t>
      </w:r>
      <w:r w:rsidRPr="003F3F57">
        <w:rPr>
          <w:bCs/>
        </w:rPr>
        <w:t>high</w:t>
      </w:r>
      <w:r w:rsidR="00833C05" w:rsidRPr="003F3F57">
        <w:rPr>
          <w:bCs/>
        </w:rPr>
        <w:t>-</w:t>
      </w:r>
      <w:r w:rsidRPr="003F3F57">
        <w:rPr>
          <w:bCs/>
        </w:rPr>
        <w:t xml:space="preserve">dose </w:t>
      </w:r>
      <w:r w:rsidR="00E64D88" w:rsidRPr="003F3F57">
        <w:rPr>
          <w:bCs/>
        </w:rPr>
        <w:t xml:space="preserve">group </w:t>
      </w:r>
      <w:r w:rsidR="00EE2F2B" w:rsidRPr="003F3F57">
        <w:rPr>
          <w:bCs/>
        </w:rPr>
        <w:t>and 0.28</w:t>
      </w:r>
      <w:r w:rsidR="004350CF" w:rsidRPr="003F3F57">
        <w:rPr>
          <w:bCs/>
        </w:rPr>
        <w:t>4</w:t>
      </w:r>
      <w:r w:rsidR="00EE2F2B" w:rsidRPr="003F3F57">
        <w:rPr>
          <w:bCs/>
        </w:rPr>
        <w:t xml:space="preserve"> L</w:t>
      </w:r>
      <w:r w:rsidR="00E64D88" w:rsidRPr="003F3F57">
        <w:rPr>
          <w:bCs/>
        </w:rPr>
        <w:t xml:space="preserve"> in the </w:t>
      </w:r>
      <w:proofErr w:type="spellStart"/>
      <w:r w:rsidR="00E64D88" w:rsidRPr="003F3F57">
        <w:rPr>
          <w:bCs/>
        </w:rPr>
        <w:t>fluticasone</w:t>
      </w:r>
      <w:proofErr w:type="spellEnd"/>
      <w:r w:rsidR="00E64D88" w:rsidRPr="003F3F57">
        <w:rPr>
          <w:bCs/>
        </w:rPr>
        <w:t xml:space="preserve"> + </w:t>
      </w:r>
      <w:proofErr w:type="spellStart"/>
      <w:r w:rsidR="006B28F6" w:rsidRPr="003F3F57">
        <w:rPr>
          <w:bCs/>
        </w:rPr>
        <w:t>e</w:t>
      </w:r>
      <w:r w:rsidR="00E64D88" w:rsidRPr="003F3F57">
        <w:rPr>
          <w:bCs/>
        </w:rPr>
        <w:t>formoterol</w:t>
      </w:r>
      <w:proofErr w:type="spellEnd"/>
      <w:r w:rsidR="00E64D88" w:rsidRPr="003F3F57">
        <w:rPr>
          <w:bCs/>
        </w:rPr>
        <w:t xml:space="preserve"> group.  The treatment difference was 0.060 L (95% CI: -0.059 to 0.180</w:t>
      </w:r>
      <w:r w:rsidR="00FC213F" w:rsidRPr="003F3F57">
        <w:rPr>
          <w:bCs/>
        </w:rPr>
        <w:t>)</w:t>
      </w:r>
      <w:r w:rsidR="00EE2F2B" w:rsidRPr="003F3F57">
        <w:rPr>
          <w:bCs/>
        </w:rPr>
        <w:t>.</w:t>
      </w:r>
      <w:r w:rsidR="0064350E" w:rsidRPr="003F3F57">
        <w:rPr>
          <w:bCs/>
        </w:rPr>
        <w:t xml:space="preserve">  The LS mean change in FEV</w:t>
      </w:r>
      <w:r w:rsidR="0064350E" w:rsidRPr="003F3F57">
        <w:rPr>
          <w:bCs/>
          <w:vertAlign w:val="subscript"/>
        </w:rPr>
        <w:t>1</w:t>
      </w:r>
      <w:r w:rsidR="0064350E" w:rsidRPr="003F3F57">
        <w:rPr>
          <w:bCs/>
        </w:rPr>
        <w:t xml:space="preserve"> from pre-morning dose at baseline to 2-hour post-morning dose at the end of treatment was 0.518 L in the </w:t>
      </w:r>
      <w:r w:rsidR="0064350E" w:rsidRPr="003F3F57">
        <w:rPr>
          <w:rFonts w:eastAsia="TimesNewRoman"/>
        </w:rPr>
        <w:t>FLUTIFORM</w:t>
      </w:r>
      <w:r w:rsidR="0064350E" w:rsidRPr="003F3F57">
        <w:rPr>
          <w:rFonts w:eastAsia="TimesNewRoman"/>
          <w:vertAlign w:val="superscript"/>
        </w:rPr>
        <w:t>®</w:t>
      </w:r>
      <w:r w:rsidR="0064350E" w:rsidRPr="003F3F57">
        <w:rPr>
          <w:rFonts w:eastAsia="TimesNewRoman"/>
        </w:rPr>
        <w:t xml:space="preserve"> inhaler</w:t>
      </w:r>
      <w:r w:rsidR="0064350E" w:rsidRPr="003F3F57">
        <w:rPr>
          <w:bCs/>
        </w:rPr>
        <w:t xml:space="preserve"> high-dose group and </w:t>
      </w:r>
      <w:r w:rsidR="00BE6E89" w:rsidRPr="003F3F57">
        <w:rPr>
          <w:bCs/>
        </w:rPr>
        <w:t xml:space="preserve">0.500 L in the </w:t>
      </w:r>
      <w:proofErr w:type="spellStart"/>
      <w:r w:rsidR="00BE6E89" w:rsidRPr="003F3F57">
        <w:rPr>
          <w:bCs/>
        </w:rPr>
        <w:t>fluticasone</w:t>
      </w:r>
      <w:proofErr w:type="spellEnd"/>
      <w:r w:rsidR="00BE6E89" w:rsidRPr="003F3F57">
        <w:rPr>
          <w:bCs/>
        </w:rPr>
        <w:t xml:space="preserve"> + </w:t>
      </w:r>
      <w:proofErr w:type="spellStart"/>
      <w:r w:rsidR="00BE6E89" w:rsidRPr="003F3F57">
        <w:rPr>
          <w:bCs/>
        </w:rPr>
        <w:t>eformoterol</w:t>
      </w:r>
      <w:proofErr w:type="spellEnd"/>
      <w:r w:rsidR="00BE6E89" w:rsidRPr="003F3F57">
        <w:rPr>
          <w:bCs/>
        </w:rPr>
        <w:t xml:space="preserve"> group.  The treatment difference was 0.018 L (95% CI: -0.098 to 0.135).  Non-inferiority of FLUTIFORM</w:t>
      </w:r>
      <w:r w:rsidR="00E6260F" w:rsidRPr="003F3F57">
        <w:rPr>
          <w:rFonts w:eastAsia="TimesNewRoman"/>
          <w:vertAlign w:val="superscript"/>
        </w:rPr>
        <w:t>®</w:t>
      </w:r>
      <w:r w:rsidR="00BE6E89" w:rsidRPr="003F3F57">
        <w:rPr>
          <w:bCs/>
        </w:rPr>
        <w:t xml:space="preserve"> inhaler high dose to </w:t>
      </w:r>
      <w:proofErr w:type="spellStart"/>
      <w:r w:rsidR="00BE6E89" w:rsidRPr="003F3F57">
        <w:rPr>
          <w:bCs/>
        </w:rPr>
        <w:t>fluti</w:t>
      </w:r>
      <w:r w:rsidR="00720E91" w:rsidRPr="003F3F57">
        <w:rPr>
          <w:bCs/>
        </w:rPr>
        <w:t>ca</w:t>
      </w:r>
      <w:r w:rsidR="00BE6E89" w:rsidRPr="003F3F57">
        <w:rPr>
          <w:bCs/>
        </w:rPr>
        <w:t>sone</w:t>
      </w:r>
      <w:proofErr w:type="spellEnd"/>
      <w:r w:rsidR="00BE6E89" w:rsidRPr="003F3F57">
        <w:rPr>
          <w:bCs/>
        </w:rPr>
        <w:t xml:space="preserve"> + </w:t>
      </w:r>
      <w:proofErr w:type="spellStart"/>
      <w:r w:rsidR="00BE6E89" w:rsidRPr="003F3F57">
        <w:rPr>
          <w:bCs/>
        </w:rPr>
        <w:t>eformoterol</w:t>
      </w:r>
      <w:proofErr w:type="spellEnd"/>
      <w:r w:rsidR="00BE6E89" w:rsidRPr="003F3F57">
        <w:rPr>
          <w:bCs/>
        </w:rPr>
        <w:t xml:space="preserve"> was demonstrated</w:t>
      </w:r>
      <w:r w:rsidR="00EE2F2B" w:rsidRPr="003F3F57">
        <w:rPr>
          <w:bCs/>
        </w:rPr>
        <w:t xml:space="preserve"> for both co-primary endpoints</w:t>
      </w:r>
      <w:r w:rsidR="00BE6E89" w:rsidRPr="003F3F57">
        <w:rPr>
          <w:bCs/>
        </w:rPr>
        <w:t>, as the lower limit of the 95% C</w:t>
      </w:r>
      <w:r w:rsidR="00E6260F" w:rsidRPr="003F3F57">
        <w:rPr>
          <w:bCs/>
        </w:rPr>
        <w:t>I for the treatment</w:t>
      </w:r>
      <w:r w:rsidR="00BE6E89" w:rsidRPr="003F3F57">
        <w:rPr>
          <w:bCs/>
        </w:rPr>
        <w:t xml:space="preserve"> difference exceeded the non-inferiority acceptance limit of -0.2 L (</w:t>
      </w:r>
      <w:r w:rsidR="000F466C" w:rsidRPr="003F3F57">
        <w:rPr>
          <w:bCs/>
        </w:rPr>
        <w:t>p</w:t>
      </w:r>
      <w:r w:rsidR="00BE6E89" w:rsidRPr="003F3F57">
        <w:rPr>
          <w:bCs/>
        </w:rPr>
        <w:t>&lt;0.001).</w:t>
      </w:r>
      <w:r w:rsidR="00EE2F2B" w:rsidRPr="003F3F57">
        <w:rPr>
          <w:bCs/>
        </w:rPr>
        <w:t xml:space="preserve"> </w:t>
      </w:r>
      <w:r w:rsidR="009039B7">
        <w:rPr>
          <w:bCs/>
        </w:rPr>
        <w:t xml:space="preserve"> </w:t>
      </w:r>
      <w:r w:rsidR="005D0BDE" w:rsidRPr="003F3F57">
        <w:rPr>
          <w:bCs/>
        </w:rPr>
        <w:t xml:space="preserve">All secondary </w:t>
      </w:r>
      <w:proofErr w:type="spellStart"/>
      <w:r w:rsidR="005D0BDE" w:rsidRPr="003F3F57">
        <w:rPr>
          <w:bCs/>
        </w:rPr>
        <w:t>spirometric</w:t>
      </w:r>
      <w:proofErr w:type="spellEnd"/>
      <w:r w:rsidR="005D0BDE" w:rsidRPr="003F3F57">
        <w:rPr>
          <w:bCs/>
        </w:rPr>
        <w:t xml:space="preserve"> and symptom-based endpoints demonstrated no statistically significant or clinically relevant differences between </w:t>
      </w:r>
      <w:r w:rsidR="005D0BDE" w:rsidRPr="003F3F57">
        <w:rPr>
          <w:rFonts w:eastAsia="TimesNewRoman"/>
        </w:rPr>
        <w:t>FLUTIFORM</w:t>
      </w:r>
      <w:r w:rsidR="005D0BDE" w:rsidRPr="003F3F57">
        <w:rPr>
          <w:rFonts w:eastAsia="TimesNewRoman"/>
          <w:vertAlign w:val="superscript"/>
        </w:rPr>
        <w:t>®</w:t>
      </w:r>
      <w:r w:rsidR="005D0BDE" w:rsidRPr="003F3F57">
        <w:rPr>
          <w:rFonts w:eastAsia="TimesNewRoman"/>
        </w:rPr>
        <w:t xml:space="preserve"> inhaler high-dose and </w:t>
      </w:r>
      <w:proofErr w:type="spellStart"/>
      <w:r w:rsidR="005D0BDE" w:rsidRPr="003F3F57">
        <w:rPr>
          <w:rFonts w:eastAsia="TimesNewRoman"/>
        </w:rPr>
        <w:t>fluticasone</w:t>
      </w:r>
      <w:proofErr w:type="spellEnd"/>
      <w:r w:rsidR="005D0BDE" w:rsidRPr="003F3F57">
        <w:rPr>
          <w:rFonts w:eastAsia="TimesNewRoman"/>
        </w:rPr>
        <w:t xml:space="preserve"> + </w:t>
      </w:r>
      <w:proofErr w:type="spellStart"/>
      <w:r w:rsidR="005D0BDE" w:rsidRPr="003F3F57">
        <w:rPr>
          <w:rFonts w:eastAsia="TimesNewRoman"/>
        </w:rPr>
        <w:t>eformoterol</w:t>
      </w:r>
      <w:proofErr w:type="spellEnd"/>
      <w:r w:rsidR="005D0BDE" w:rsidRPr="003F3F57">
        <w:rPr>
          <w:rFonts w:eastAsia="TimesNewRoman"/>
        </w:rPr>
        <w:t>.</w:t>
      </w:r>
      <w:r w:rsidR="009039B7">
        <w:rPr>
          <w:rFonts w:eastAsia="TimesNewRoman"/>
        </w:rPr>
        <w:t xml:space="preserve">  This study was not designed to assess the relative efficacy of high and low dose FLUTIFORM</w:t>
      </w:r>
      <w:r w:rsidR="009039B7" w:rsidRPr="003F3F57">
        <w:rPr>
          <w:rFonts w:eastAsia="TimesNewRoman"/>
          <w:vertAlign w:val="superscript"/>
        </w:rPr>
        <w:t>®</w:t>
      </w:r>
      <w:r w:rsidR="009619CB">
        <w:rPr>
          <w:rFonts w:eastAsia="TimesNewRoman"/>
          <w:vertAlign w:val="superscript"/>
        </w:rPr>
        <w:t xml:space="preserve"> </w:t>
      </w:r>
      <w:r w:rsidR="009619CB" w:rsidRPr="009619CB">
        <w:rPr>
          <w:rFonts w:eastAsia="TimesNewRoman"/>
        </w:rPr>
        <w:t>inhaler</w:t>
      </w:r>
      <w:r w:rsidR="009039B7" w:rsidRPr="009619CB">
        <w:rPr>
          <w:rFonts w:eastAsia="TimesNewRoman"/>
        </w:rPr>
        <w:t>,</w:t>
      </w:r>
      <w:r w:rsidR="009039B7">
        <w:rPr>
          <w:rFonts w:eastAsia="TimesNewRoman"/>
        </w:rPr>
        <w:t xml:space="preserve"> however differences in mean change from baseline FEV</w:t>
      </w:r>
      <w:r w:rsidR="009039B7">
        <w:rPr>
          <w:rFonts w:eastAsia="TimesNewRoman"/>
          <w:vertAlign w:val="subscript"/>
        </w:rPr>
        <w:t>1</w:t>
      </w:r>
      <w:r w:rsidR="009039B7">
        <w:rPr>
          <w:rFonts w:eastAsia="TimesNewRoman"/>
        </w:rPr>
        <w:t xml:space="preserve"> at the end of treatment in subjects taking low dose FLUTIFORM</w:t>
      </w:r>
      <w:r w:rsidR="009039B7" w:rsidRPr="003F3F57">
        <w:rPr>
          <w:rFonts w:eastAsia="TimesNewRoman"/>
          <w:vertAlign w:val="superscript"/>
        </w:rPr>
        <w:t>®</w:t>
      </w:r>
      <w:r w:rsidR="009039B7">
        <w:rPr>
          <w:rFonts w:eastAsia="TimesNewRoman"/>
        </w:rPr>
        <w:t xml:space="preserve"> </w:t>
      </w:r>
      <w:r w:rsidR="009619CB">
        <w:rPr>
          <w:rFonts w:eastAsia="TimesNewRoman"/>
        </w:rPr>
        <w:t xml:space="preserve">inhaler </w:t>
      </w:r>
      <w:r w:rsidR="009039B7">
        <w:rPr>
          <w:rFonts w:eastAsia="TimesNewRoman"/>
        </w:rPr>
        <w:t>were similar to those achieved in subjects taking high dose FLUTIFORM</w:t>
      </w:r>
      <w:r w:rsidR="009039B7" w:rsidRPr="003F3F57">
        <w:rPr>
          <w:rFonts w:eastAsia="TimesNewRoman"/>
          <w:vertAlign w:val="superscript"/>
        </w:rPr>
        <w:t>®</w:t>
      </w:r>
      <w:r w:rsidR="009619CB">
        <w:rPr>
          <w:rFonts w:eastAsia="TimesNewRoman"/>
        </w:rPr>
        <w:t xml:space="preserve"> inhaler</w:t>
      </w:r>
      <w:r w:rsidR="009039B7">
        <w:rPr>
          <w:rFonts w:eastAsia="TimesNewRoman"/>
        </w:rPr>
        <w:t>.</w:t>
      </w:r>
    </w:p>
    <w:p w:rsidR="00D70453" w:rsidRPr="003F3F57" w:rsidRDefault="00D70453" w:rsidP="00A32CC3">
      <w:pPr>
        <w:pStyle w:val="Heading4"/>
        <w:spacing w:before="100" w:beforeAutospacing="1"/>
      </w:pPr>
      <w:r w:rsidRPr="003F3F57">
        <w:t>2. FLUTIFORM</w:t>
      </w:r>
      <w:r w:rsidRPr="003F3F57">
        <w:rPr>
          <w:rFonts w:eastAsia="TimesNewRoman"/>
          <w:vertAlign w:val="superscript"/>
        </w:rPr>
        <w:t>®</w:t>
      </w:r>
      <w:r w:rsidRPr="003F3F57">
        <w:t xml:space="preserve"> inhaler vs. </w:t>
      </w:r>
      <w:proofErr w:type="spellStart"/>
      <w:r w:rsidRPr="003F3F57">
        <w:t>fluticasone</w:t>
      </w:r>
      <w:proofErr w:type="spellEnd"/>
      <w:r w:rsidRPr="003F3F57">
        <w:t xml:space="preserve"> or </w:t>
      </w:r>
      <w:proofErr w:type="spellStart"/>
      <w:r w:rsidRPr="003F3F57">
        <w:t>eformoterol</w:t>
      </w:r>
      <w:proofErr w:type="spellEnd"/>
      <w:r w:rsidRPr="003F3F57">
        <w:t xml:space="preserve"> alone</w:t>
      </w:r>
    </w:p>
    <w:p w:rsidR="00951A4E" w:rsidRPr="003F3F57" w:rsidRDefault="00774529" w:rsidP="000649D6">
      <w:pPr>
        <w:autoSpaceDE w:val="0"/>
        <w:autoSpaceDN w:val="0"/>
        <w:adjustRightInd w:val="0"/>
        <w:ind w:right="-360"/>
        <w:jc w:val="both"/>
        <w:rPr>
          <w:bCs/>
        </w:rPr>
      </w:pPr>
      <w:r w:rsidRPr="003F3F57">
        <w:rPr>
          <w:bCs/>
        </w:rPr>
        <w:t xml:space="preserve">Three pivotal </w:t>
      </w:r>
      <w:r w:rsidR="00822516" w:rsidRPr="003F3F57">
        <w:rPr>
          <w:bCs/>
        </w:rPr>
        <w:t xml:space="preserve">randomised, double-blind, active-controlled, parallel-group, studies, two of which were also placebo-controlled, </w:t>
      </w:r>
      <w:r w:rsidRPr="003F3F57">
        <w:rPr>
          <w:bCs/>
        </w:rPr>
        <w:t xml:space="preserve">were conducted to compare </w:t>
      </w:r>
      <w:r w:rsidR="0090349E" w:rsidRPr="003F3F57">
        <w:rPr>
          <w:bCs/>
        </w:rPr>
        <w:t>FLUTIFORM</w:t>
      </w:r>
      <w:r w:rsidR="005366E3" w:rsidRPr="003F3F57">
        <w:rPr>
          <w:rFonts w:eastAsia="TimesNewRoman"/>
          <w:vertAlign w:val="superscript"/>
        </w:rPr>
        <w:t>®</w:t>
      </w:r>
      <w:r w:rsidRPr="003F3F57">
        <w:rPr>
          <w:bCs/>
        </w:rPr>
        <w:t xml:space="preserve"> </w:t>
      </w:r>
      <w:r w:rsidR="00E63A9D" w:rsidRPr="003F3F57">
        <w:rPr>
          <w:bCs/>
        </w:rPr>
        <w:t xml:space="preserve">inhaler </w:t>
      </w:r>
      <w:r w:rsidRPr="003F3F57">
        <w:rPr>
          <w:bCs/>
        </w:rPr>
        <w:t>with its individual components</w:t>
      </w:r>
      <w:r w:rsidR="00CE4540" w:rsidRPr="003F3F57">
        <w:rPr>
          <w:bCs/>
        </w:rPr>
        <w:t xml:space="preserve"> administered separately</w:t>
      </w:r>
      <w:r w:rsidR="00CF04F0" w:rsidRPr="003F3F57">
        <w:rPr>
          <w:bCs/>
        </w:rPr>
        <w:t>.</w:t>
      </w:r>
      <w:r w:rsidR="009B7782" w:rsidRPr="003F3F57">
        <w:rPr>
          <w:bCs/>
        </w:rPr>
        <w:t xml:space="preserve">  The primary objective </w:t>
      </w:r>
      <w:r w:rsidR="00045FEC">
        <w:rPr>
          <w:bCs/>
        </w:rPr>
        <w:t xml:space="preserve">of each study </w:t>
      </w:r>
      <w:r w:rsidR="009B7782" w:rsidRPr="003F3F57">
        <w:rPr>
          <w:bCs/>
        </w:rPr>
        <w:t>was to demonstrate the efficacy of FLUTIFORM</w:t>
      </w:r>
      <w:r w:rsidR="009B7782" w:rsidRPr="003F3F57">
        <w:rPr>
          <w:rFonts w:eastAsia="TimesNewRoman"/>
          <w:vertAlign w:val="superscript"/>
        </w:rPr>
        <w:t>®</w:t>
      </w:r>
      <w:r w:rsidR="009B7782" w:rsidRPr="003F3F57">
        <w:rPr>
          <w:bCs/>
        </w:rPr>
        <w:t xml:space="preserve"> inhaler compared with </w:t>
      </w:r>
      <w:proofErr w:type="spellStart"/>
      <w:r w:rsidR="009B7782" w:rsidRPr="003F3F57">
        <w:rPr>
          <w:bCs/>
        </w:rPr>
        <w:t>fluticasone</w:t>
      </w:r>
      <w:proofErr w:type="spellEnd"/>
      <w:r w:rsidR="009B7782" w:rsidRPr="003F3F57">
        <w:rPr>
          <w:bCs/>
        </w:rPr>
        <w:t xml:space="preserve"> and </w:t>
      </w:r>
      <w:proofErr w:type="spellStart"/>
      <w:r w:rsidR="009B7782" w:rsidRPr="003F3F57">
        <w:rPr>
          <w:bCs/>
        </w:rPr>
        <w:t>eformoterol</w:t>
      </w:r>
      <w:proofErr w:type="spellEnd"/>
      <w:r w:rsidR="009B7782" w:rsidRPr="003F3F57">
        <w:rPr>
          <w:bCs/>
        </w:rPr>
        <w:t xml:space="preserve"> alone and placebo when administered over 12 weeks.</w:t>
      </w:r>
    </w:p>
    <w:p w:rsidR="005D7299" w:rsidRPr="003F3F57" w:rsidRDefault="0090349E" w:rsidP="00F14E5F">
      <w:pPr>
        <w:autoSpaceDE w:val="0"/>
        <w:autoSpaceDN w:val="0"/>
        <w:adjustRightInd w:val="0"/>
        <w:spacing w:before="100" w:beforeAutospacing="1" w:after="100" w:afterAutospacing="1"/>
        <w:ind w:right="-357"/>
        <w:jc w:val="both"/>
        <w:rPr>
          <w:bCs/>
        </w:rPr>
      </w:pPr>
      <w:r w:rsidRPr="003F3F57">
        <w:rPr>
          <w:bCs/>
        </w:rPr>
        <w:t>FLUTIFORM</w:t>
      </w:r>
      <w:r w:rsidR="005366E3" w:rsidRPr="003F3F57">
        <w:rPr>
          <w:rFonts w:eastAsia="TimesNewRoman"/>
          <w:vertAlign w:val="superscript"/>
        </w:rPr>
        <w:t>®</w:t>
      </w:r>
      <w:r w:rsidR="003400C6" w:rsidRPr="003F3F57">
        <w:rPr>
          <w:bCs/>
        </w:rPr>
        <w:t xml:space="preserve"> </w:t>
      </w:r>
      <w:r w:rsidR="00E63A9D" w:rsidRPr="003F3F57">
        <w:rPr>
          <w:bCs/>
        </w:rPr>
        <w:t xml:space="preserve">inhaler </w:t>
      </w:r>
      <w:r w:rsidR="0093317A">
        <w:rPr>
          <w:bCs/>
        </w:rPr>
        <w:t>2 x 50/5</w:t>
      </w:r>
      <w:r w:rsidR="003400C6" w:rsidRPr="003F3F57">
        <w:rPr>
          <w:bCs/>
        </w:rPr>
        <w:t xml:space="preserve"> </w:t>
      </w:r>
      <w:r w:rsidR="00832BC5" w:rsidRPr="003F3F57">
        <w:rPr>
          <w:bCs/>
        </w:rPr>
        <w:t>micrograms</w:t>
      </w:r>
      <w:r w:rsidR="003400C6" w:rsidRPr="003F3F57">
        <w:rPr>
          <w:bCs/>
        </w:rPr>
        <w:t xml:space="preserve"> was compared</w:t>
      </w:r>
      <w:r w:rsidR="00AB0D88" w:rsidRPr="003F3F57">
        <w:rPr>
          <w:bCs/>
        </w:rPr>
        <w:t xml:space="preserve"> with </w:t>
      </w:r>
      <w:r w:rsidR="005D7299" w:rsidRPr="003F3F57">
        <w:rPr>
          <w:bCs/>
        </w:rPr>
        <w:t xml:space="preserve">fluticasone </w:t>
      </w:r>
      <w:r w:rsidR="0093317A">
        <w:rPr>
          <w:bCs/>
        </w:rPr>
        <w:t>2 x 50</w:t>
      </w:r>
      <w:r w:rsidR="005D7299" w:rsidRPr="003F3F57">
        <w:rPr>
          <w:bCs/>
        </w:rPr>
        <w:t xml:space="preserve"> </w:t>
      </w:r>
      <w:r w:rsidR="00832BC5" w:rsidRPr="003F3F57">
        <w:rPr>
          <w:bCs/>
        </w:rPr>
        <w:t>micrograms</w:t>
      </w:r>
      <w:r w:rsidR="005D7299" w:rsidRPr="003F3F57">
        <w:rPr>
          <w:bCs/>
        </w:rPr>
        <w:t xml:space="preserve">, </w:t>
      </w:r>
      <w:proofErr w:type="spellStart"/>
      <w:r w:rsidR="005D7299" w:rsidRPr="003F3F57">
        <w:rPr>
          <w:bCs/>
        </w:rPr>
        <w:t>eformoterol</w:t>
      </w:r>
      <w:proofErr w:type="spellEnd"/>
      <w:r w:rsidR="005D7299" w:rsidRPr="003F3F57">
        <w:rPr>
          <w:bCs/>
        </w:rPr>
        <w:t xml:space="preserve"> </w:t>
      </w:r>
      <w:r w:rsidR="0093317A">
        <w:rPr>
          <w:bCs/>
        </w:rPr>
        <w:t>2 x 5</w:t>
      </w:r>
      <w:r w:rsidR="005D7299" w:rsidRPr="003F3F57">
        <w:rPr>
          <w:bCs/>
        </w:rPr>
        <w:t xml:space="preserve"> </w:t>
      </w:r>
      <w:r w:rsidR="00832BC5" w:rsidRPr="003F3F57">
        <w:rPr>
          <w:bCs/>
        </w:rPr>
        <w:t>micrograms</w:t>
      </w:r>
      <w:r w:rsidR="005D7299" w:rsidRPr="003F3F57">
        <w:rPr>
          <w:bCs/>
        </w:rPr>
        <w:t xml:space="preserve"> and placebo</w:t>
      </w:r>
      <w:r w:rsidR="0033506B" w:rsidRPr="003F3F57">
        <w:rPr>
          <w:bCs/>
        </w:rPr>
        <w:t xml:space="preserve">.  </w:t>
      </w:r>
      <w:r w:rsidR="0093317A">
        <w:rPr>
          <w:bCs/>
        </w:rPr>
        <w:t xml:space="preserve">All treatments were taken twice daily.  </w:t>
      </w:r>
      <w:r w:rsidR="00194BF9" w:rsidRPr="003F3F57">
        <w:rPr>
          <w:bCs/>
        </w:rPr>
        <w:t xml:space="preserve">The study enrolled a total of 475 </w:t>
      </w:r>
      <w:r w:rsidR="00822516" w:rsidRPr="003F3F57">
        <w:rPr>
          <w:bCs/>
        </w:rPr>
        <w:t xml:space="preserve">adolescents and adult subjects with mild to moderate asthma (the number </w:t>
      </w:r>
      <w:r w:rsidR="00822516" w:rsidRPr="003F3F57">
        <w:rPr>
          <w:bCs/>
        </w:rPr>
        <w:lastRenderedPageBreak/>
        <w:t xml:space="preserve">of subjects randomised to each group was </w:t>
      </w:r>
      <w:r w:rsidR="00194BF9" w:rsidRPr="003F3F57">
        <w:rPr>
          <w:bCs/>
        </w:rPr>
        <w:t>118, 119, 120 and 1</w:t>
      </w:r>
      <w:r w:rsidR="006C0437" w:rsidRPr="003F3F57">
        <w:rPr>
          <w:bCs/>
        </w:rPr>
        <w:t>18</w:t>
      </w:r>
      <w:r w:rsidR="00194BF9" w:rsidRPr="003F3F57">
        <w:rPr>
          <w:bCs/>
        </w:rPr>
        <w:t xml:space="preserve">, respectively). </w:t>
      </w:r>
      <w:r w:rsidR="00CE4540" w:rsidRPr="003F3F57">
        <w:rPr>
          <w:bCs/>
        </w:rPr>
        <w:t xml:space="preserve"> </w:t>
      </w:r>
      <w:r w:rsidR="00822516" w:rsidRPr="003F3F57">
        <w:rPr>
          <w:bCs/>
        </w:rPr>
        <w:t>The three co-primary endpoints</w:t>
      </w:r>
      <w:r w:rsidR="0093317A">
        <w:rPr>
          <w:bCs/>
        </w:rPr>
        <w:t xml:space="preserve"> were:</w:t>
      </w:r>
      <w:r w:rsidR="003524C4">
        <w:rPr>
          <w:bCs/>
        </w:rPr>
        <w:t xml:space="preserve"> </w:t>
      </w:r>
      <w:r w:rsidR="0093317A">
        <w:rPr>
          <w:bCs/>
        </w:rPr>
        <w:t xml:space="preserve"> mean change in FEV</w:t>
      </w:r>
      <w:r w:rsidR="0093317A">
        <w:rPr>
          <w:bCs/>
          <w:vertAlign w:val="subscript"/>
        </w:rPr>
        <w:t>1</w:t>
      </w:r>
      <w:r w:rsidR="0093317A">
        <w:rPr>
          <w:bCs/>
        </w:rPr>
        <w:t xml:space="preserve"> from morning </w:t>
      </w:r>
      <w:proofErr w:type="spellStart"/>
      <w:r w:rsidR="0093317A">
        <w:rPr>
          <w:bCs/>
        </w:rPr>
        <w:t>predose</w:t>
      </w:r>
      <w:proofErr w:type="spellEnd"/>
      <w:r w:rsidR="0093317A">
        <w:rPr>
          <w:bCs/>
        </w:rPr>
        <w:t xml:space="preserve"> at baseline to </w:t>
      </w:r>
      <w:proofErr w:type="spellStart"/>
      <w:r w:rsidR="0093317A">
        <w:rPr>
          <w:bCs/>
        </w:rPr>
        <w:t>predose</w:t>
      </w:r>
      <w:proofErr w:type="spellEnd"/>
      <w:r w:rsidR="0093317A">
        <w:rPr>
          <w:bCs/>
        </w:rPr>
        <w:t xml:space="preserve"> at Week 12 (to determine efficacy vs. fluticasone alone</w:t>
      </w:r>
      <w:r w:rsidR="003524C4">
        <w:rPr>
          <w:bCs/>
        </w:rPr>
        <w:t>)</w:t>
      </w:r>
      <w:r w:rsidR="0093317A">
        <w:rPr>
          <w:bCs/>
        </w:rPr>
        <w:t>, the mean change in FEV</w:t>
      </w:r>
      <w:r w:rsidR="0093317A">
        <w:rPr>
          <w:bCs/>
          <w:vertAlign w:val="subscript"/>
        </w:rPr>
        <w:t>1</w:t>
      </w:r>
      <w:r w:rsidR="0093317A">
        <w:rPr>
          <w:bCs/>
        </w:rPr>
        <w:t xml:space="preserve"> from </w:t>
      </w:r>
      <w:proofErr w:type="spellStart"/>
      <w:r w:rsidR="00B76CAA">
        <w:rPr>
          <w:bCs/>
        </w:rPr>
        <w:t>predose</w:t>
      </w:r>
      <w:proofErr w:type="spellEnd"/>
      <w:r w:rsidR="00B76CAA">
        <w:rPr>
          <w:bCs/>
        </w:rPr>
        <w:t xml:space="preserve"> at baseline to 2 hours </w:t>
      </w:r>
      <w:proofErr w:type="spellStart"/>
      <w:r w:rsidR="00B76CAA">
        <w:rPr>
          <w:bCs/>
        </w:rPr>
        <w:t>postdose</w:t>
      </w:r>
      <w:proofErr w:type="spellEnd"/>
      <w:r w:rsidR="00B76CAA" w:rsidRPr="00B76CAA">
        <w:rPr>
          <w:bCs/>
        </w:rPr>
        <w:t xml:space="preserve"> </w:t>
      </w:r>
      <w:r w:rsidR="00B76CAA">
        <w:rPr>
          <w:bCs/>
        </w:rPr>
        <w:t xml:space="preserve">at Week 12 (to determine efficacy vs. </w:t>
      </w:r>
      <w:proofErr w:type="spellStart"/>
      <w:r w:rsidR="00B76CAA">
        <w:rPr>
          <w:bCs/>
        </w:rPr>
        <w:t>eformoterol</w:t>
      </w:r>
      <w:proofErr w:type="spellEnd"/>
      <w:r w:rsidR="00B76CAA">
        <w:rPr>
          <w:bCs/>
        </w:rPr>
        <w:t xml:space="preserve"> alone) and discontinuations due to lack of efficacy (to determine efficacy </w:t>
      </w:r>
      <w:proofErr w:type="spellStart"/>
      <w:r w:rsidR="00B76CAA">
        <w:rPr>
          <w:bCs/>
        </w:rPr>
        <w:t>vs</w:t>
      </w:r>
      <w:proofErr w:type="spellEnd"/>
      <w:r w:rsidR="00B76CAA">
        <w:rPr>
          <w:bCs/>
        </w:rPr>
        <w:t>, placebo).  FLUTIFORM</w:t>
      </w:r>
      <w:r w:rsidR="009619CB" w:rsidRPr="003F3F57">
        <w:rPr>
          <w:rFonts w:eastAsia="TimesNewRoman"/>
          <w:vertAlign w:val="superscript"/>
        </w:rPr>
        <w:t>®</w:t>
      </w:r>
      <w:r w:rsidR="00B76CAA">
        <w:rPr>
          <w:bCs/>
        </w:rPr>
        <w:t xml:space="preserve"> </w:t>
      </w:r>
      <w:r w:rsidR="009619CB">
        <w:rPr>
          <w:bCs/>
        </w:rPr>
        <w:t xml:space="preserve">inhaler </w:t>
      </w:r>
      <w:r w:rsidR="00B76CAA">
        <w:rPr>
          <w:bCs/>
        </w:rPr>
        <w:t>was superior to each of its comparators for each if the co-primary endpoints.  The least squares</w:t>
      </w:r>
      <w:r w:rsidR="00822516" w:rsidRPr="003F3F57">
        <w:rPr>
          <w:bCs/>
        </w:rPr>
        <w:t xml:space="preserve"> mean difference</w:t>
      </w:r>
      <w:r w:rsidR="00B76CAA">
        <w:rPr>
          <w:bCs/>
        </w:rPr>
        <w:t xml:space="preserve"> in mean change</w:t>
      </w:r>
      <w:r w:rsidR="00B76CAA" w:rsidRPr="00B76CAA">
        <w:rPr>
          <w:bCs/>
        </w:rPr>
        <w:t xml:space="preserve"> </w:t>
      </w:r>
      <w:r w:rsidR="00B76CAA">
        <w:rPr>
          <w:bCs/>
        </w:rPr>
        <w:t>in FEV</w:t>
      </w:r>
      <w:r w:rsidR="00B76CAA">
        <w:rPr>
          <w:bCs/>
          <w:vertAlign w:val="subscript"/>
        </w:rPr>
        <w:t>1</w:t>
      </w:r>
      <w:r w:rsidR="00B76CAA">
        <w:rPr>
          <w:bCs/>
        </w:rPr>
        <w:t xml:space="preserve"> from morning </w:t>
      </w:r>
      <w:proofErr w:type="spellStart"/>
      <w:r w:rsidR="00B76CAA">
        <w:rPr>
          <w:bCs/>
        </w:rPr>
        <w:t>predose</w:t>
      </w:r>
      <w:proofErr w:type="spellEnd"/>
      <w:r w:rsidR="00B76CAA">
        <w:rPr>
          <w:bCs/>
        </w:rPr>
        <w:t xml:space="preserve"> at baseline to </w:t>
      </w:r>
      <w:proofErr w:type="spellStart"/>
      <w:r w:rsidR="00B76CAA">
        <w:rPr>
          <w:bCs/>
        </w:rPr>
        <w:t>predose</w:t>
      </w:r>
      <w:proofErr w:type="spellEnd"/>
      <w:r w:rsidR="00B76CAA">
        <w:rPr>
          <w:bCs/>
        </w:rPr>
        <w:t xml:space="preserve"> at Week 12 was</w:t>
      </w:r>
      <w:r w:rsidR="00822516" w:rsidRPr="003F3F57">
        <w:rPr>
          <w:bCs/>
        </w:rPr>
        <w:t xml:space="preserve"> 0.101 L</w:t>
      </w:r>
      <w:r w:rsidR="003524C4">
        <w:rPr>
          <w:bCs/>
        </w:rPr>
        <w:t xml:space="preserve"> (</w:t>
      </w:r>
      <w:r w:rsidR="00822516" w:rsidRPr="003F3F57">
        <w:rPr>
          <w:bCs/>
        </w:rPr>
        <w:t>95%CI: 0.002 to 0.199; p = 0.045).  T</w:t>
      </w:r>
      <w:r w:rsidR="00B76CAA">
        <w:rPr>
          <w:bCs/>
        </w:rPr>
        <w:t>he least squares</w:t>
      </w:r>
      <w:r w:rsidR="00B76CAA" w:rsidRPr="003F3F57">
        <w:rPr>
          <w:bCs/>
        </w:rPr>
        <w:t xml:space="preserve"> mean difference</w:t>
      </w:r>
      <w:r w:rsidR="00B76CAA">
        <w:rPr>
          <w:bCs/>
        </w:rPr>
        <w:t xml:space="preserve"> in mean change</w:t>
      </w:r>
      <w:r w:rsidR="00B76CAA" w:rsidRPr="00B76CAA">
        <w:rPr>
          <w:bCs/>
        </w:rPr>
        <w:t xml:space="preserve"> </w:t>
      </w:r>
      <w:r w:rsidR="00B76CAA">
        <w:rPr>
          <w:bCs/>
        </w:rPr>
        <w:t>in FEV</w:t>
      </w:r>
      <w:r w:rsidR="00B76CAA">
        <w:rPr>
          <w:bCs/>
          <w:vertAlign w:val="subscript"/>
        </w:rPr>
        <w:t>1</w:t>
      </w:r>
      <w:r w:rsidR="00B76CAA">
        <w:rPr>
          <w:bCs/>
        </w:rPr>
        <w:t xml:space="preserve"> from morning </w:t>
      </w:r>
      <w:proofErr w:type="spellStart"/>
      <w:r w:rsidR="00B76CAA">
        <w:rPr>
          <w:bCs/>
        </w:rPr>
        <w:t>predose</w:t>
      </w:r>
      <w:proofErr w:type="spellEnd"/>
      <w:r w:rsidR="00B76CAA">
        <w:rPr>
          <w:bCs/>
        </w:rPr>
        <w:t xml:space="preserve"> at baseline to 2 hours </w:t>
      </w:r>
      <w:proofErr w:type="spellStart"/>
      <w:r w:rsidR="00B76CAA">
        <w:rPr>
          <w:bCs/>
        </w:rPr>
        <w:t>postdose</w:t>
      </w:r>
      <w:proofErr w:type="spellEnd"/>
      <w:r w:rsidR="00B76CAA">
        <w:rPr>
          <w:bCs/>
        </w:rPr>
        <w:t xml:space="preserve"> at Week 12 was</w:t>
      </w:r>
      <w:r w:rsidR="00822516" w:rsidRPr="003F3F57">
        <w:rPr>
          <w:bCs/>
        </w:rPr>
        <w:t xml:space="preserve"> 0.200 L</w:t>
      </w:r>
      <w:r w:rsidR="003524C4">
        <w:rPr>
          <w:bCs/>
        </w:rPr>
        <w:t xml:space="preserve"> (</w:t>
      </w:r>
      <w:r w:rsidR="00822516" w:rsidRPr="003F3F57">
        <w:rPr>
          <w:bCs/>
        </w:rPr>
        <w:t xml:space="preserve">95%CI: 0.109 to 0.292, p&lt; 0.001).  7 (6.1%) </w:t>
      </w:r>
      <w:r w:rsidR="00DE7FC3">
        <w:rPr>
          <w:bCs/>
        </w:rPr>
        <w:t xml:space="preserve">subjects given </w:t>
      </w:r>
      <w:r w:rsidR="00822516" w:rsidRPr="003F3F57">
        <w:rPr>
          <w:bCs/>
        </w:rPr>
        <w:t>FLUTIFORM</w:t>
      </w:r>
      <w:r w:rsidR="00822516" w:rsidRPr="003F3F57">
        <w:rPr>
          <w:rFonts w:eastAsia="TimesNewRoman"/>
          <w:vertAlign w:val="superscript"/>
        </w:rPr>
        <w:t>®</w:t>
      </w:r>
      <w:r w:rsidR="00822516" w:rsidRPr="003F3F57">
        <w:rPr>
          <w:bCs/>
        </w:rPr>
        <w:t xml:space="preserve"> inhaler, 9 (7.7%) </w:t>
      </w:r>
      <w:r w:rsidR="00DE7FC3">
        <w:rPr>
          <w:bCs/>
        </w:rPr>
        <w:t>given</w:t>
      </w:r>
      <w:r w:rsidR="00822516" w:rsidRPr="003F3F57">
        <w:rPr>
          <w:bCs/>
        </w:rPr>
        <w:t xml:space="preserve"> fluticasone, 13 (11.2%) </w:t>
      </w:r>
      <w:r w:rsidR="00DE7FC3">
        <w:rPr>
          <w:bCs/>
        </w:rPr>
        <w:t xml:space="preserve">given </w:t>
      </w:r>
      <w:proofErr w:type="spellStart"/>
      <w:r w:rsidR="00822516" w:rsidRPr="003F3F57">
        <w:rPr>
          <w:bCs/>
        </w:rPr>
        <w:t>eformoterol</w:t>
      </w:r>
      <w:proofErr w:type="spellEnd"/>
      <w:r w:rsidR="00822516" w:rsidRPr="003F3F57">
        <w:rPr>
          <w:bCs/>
        </w:rPr>
        <w:t xml:space="preserve"> and 18 (16.2%) </w:t>
      </w:r>
      <w:r w:rsidR="00DE7FC3">
        <w:rPr>
          <w:bCs/>
        </w:rPr>
        <w:t>given</w:t>
      </w:r>
      <w:r w:rsidR="00822516" w:rsidRPr="003F3F57">
        <w:rPr>
          <w:bCs/>
        </w:rPr>
        <w:t xml:space="preserve"> placebo</w:t>
      </w:r>
      <w:r w:rsidR="00DE7FC3">
        <w:rPr>
          <w:bCs/>
        </w:rPr>
        <w:t xml:space="preserve"> discontinued prematurely due to lack of efficacy</w:t>
      </w:r>
      <w:r w:rsidR="00822516" w:rsidRPr="003F3F57">
        <w:rPr>
          <w:bCs/>
        </w:rPr>
        <w:t>.</w:t>
      </w:r>
    </w:p>
    <w:p w:rsidR="003E7363" w:rsidRPr="003F3F57" w:rsidRDefault="0090349E" w:rsidP="000649D6">
      <w:pPr>
        <w:autoSpaceDE w:val="0"/>
        <w:autoSpaceDN w:val="0"/>
        <w:adjustRightInd w:val="0"/>
        <w:ind w:right="-360"/>
        <w:jc w:val="both"/>
        <w:rPr>
          <w:bCs/>
        </w:rPr>
      </w:pPr>
      <w:r w:rsidRPr="003F3F57">
        <w:rPr>
          <w:bCs/>
        </w:rPr>
        <w:t>FLUTIFORM</w:t>
      </w:r>
      <w:r w:rsidR="005366E3" w:rsidRPr="003F3F57">
        <w:rPr>
          <w:rFonts w:eastAsia="TimesNewRoman"/>
          <w:vertAlign w:val="superscript"/>
        </w:rPr>
        <w:t>®</w:t>
      </w:r>
      <w:r w:rsidR="005D7299" w:rsidRPr="003F3F57">
        <w:rPr>
          <w:bCs/>
        </w:rPr>
        <w:t xml:space="preserve"> </w:t>
      </w:r>
      <w:r w:rsidR="00E63A9D" w:rsidRPr="003F3F57">
        <w:rPr>
          <w:bCs/>
        </w:rPr>
        <w:t xml:space="preserve">inhaler </w:t>
      </w:r>
      <w:r w:rsidR="00DE7FC3">
        <w:rPr>
          <w:bCs/>
        </w:rPr>
        <w:t>2 x 50/5</w:t>
      </w:r>
      <w:r w:rsidR="005D7299" w:rsidRPr="003F3F57">
        <w:rPr>
          <w:bCs/>
        </w:rPr>
        <w:t xml:space="preserve"> </w:t>
      </w:r>
      <w:r w:rsidR="00832BC5" w:rsidRPr="003F3F57">
        <w:rPr>
          <w:bCs/>
        </w:rPr>
        <w:t>micrograms</w:t>
      </w:r>
      <w:r w:rsidR="005D7299" w:rsidRPr="003F3F57">
        <w:rPr>
          <w:bCs/>
        </w:rPr>
        <w:t xml:space="preserve"> was compared with fluticasone </w:t>
      </w:r>
      <w:r w:rsidR="00DE7FC3">
        <w:rPr>
          <w:bCs/>
        </w:rPr>
        <w:t>2 x 50</w:t>
      </w:r>
      <w:r w:rsidR="005D7299" w:rsidRPr="003F3F57">
        <w:rPr>
          <w:bCs/>
        </w:rPr>
        <w:t xml:space="preserve"> </w:t>
      </w:r>
      <w:r w:rsidR="00832BC5" w:rsidRPr="003F3F57">
        <w:rPr>
          <w:bCs/>
        </w:rPr>
        <w:t>micrograms</w:t>
      </w:r>
      <w:r w:rsidR="005D7299" w:rsidRPr="003F3F57">
        <w:rPr>
          <w:bCs/>
        </w:rPr>
        <w:t xml:space="preserve"> and </w:t>
      </w:r>
      <w:proofErr w:type="spellStart"/>
      <w:r w:rsidR="005D7299" w:rsidRPr="003F3F57">
        <w:rPr>
          <w:bCs/>
        </w:rPr>
        <w:t>eformoterol</w:t>
      </w:r>
      <w:proofErr w:type="spellEnd"/>
      <w:r w:rsidR="005D7299" w:rsidRPr="003F3F57">
        <w:rPr>
          <w:bCs/>
        </w:rPr>
        <w:t xml:space="preserve"> </w:t>
      </w:r>
      <w:r w:rsidR="00DE7FC3">
        <w:rPr>
          <w:bCs/>
        </w:rPr>
        <w:t>2 x 5</w:t>
      </w:r>
      <w:r w:rsidR="005D7299" w:rsidRPr="003F3F57">
        <w:rPr>
          <w:bCs/>
        </w:rPr>
        <w:t xml:space="preserve"> </w:t>
      </w:r>
      <w:r w:rsidR="00832BC5" w:rsidRPr="003F3F57">
        <w:rPr>
          <w:bCs/>
        </w:rPr>
        <w:t>micrograms</w:t>
      </w:r>
      <w:r w:rsidR="0033506B" w:rsidRPr="003F3F57">
        <w:rPr>
          <w:bCs/>
        </w:rPr>
        <w:t xml:space="preserve">.  </w:t>
      </w:r>
      <w:r w:rsidR="00DE7FC3">
        <w:rPr>
          <w:bCs/>
        </w:rPr>
        <w:t xml:space="preserve">All treatments were taken twice daily.  </w:t>
      </w:r>
      <w:r w:rsidR="00194BF9" w:rsidRPr="003F3F57">
        <w:rPr>
          <w:bCs/>
        </w:rPr>
        <w:t>The study enrolled a total of 35</w:t>
      </w:r>
      <w:r w:rsidR="006A5EED" w:rsidRPr="003F3F57">
        <w:rPr>
          <w:bCs/>
        </w:rPr>
        <w:t>7</w:t>
      </w:r>
      <w:r w:rsidR="00194BF9" w:rsidRPr="003F3F57">
        <w:rPr>
          <w:bCs/>
        </w:rPr>
        <w:t xml:space="preserve"> </w:t>
      </w:r>
      <w:r w:rsidR="00E916B9" w:rsidRPr="003F3F57">
        <w:rPr>
          <w:bCs/>
        </w:rPr>
        <w:t>adolescents and adult subjects with mild to moderate asthma</w:t>
      </w:r>
      <w:r w:rsidR="00DE7FC3">
        <w:rPr>
          <w:bCs/>
        </w:rPr>
        <w:t>.</w:t>
      </w:r>
      <w:r w:rsidR="00E916B9" w:rsidRPr="003F3F57">
        <w:rPr>
          <w:bCs/>
        </w:rPr>
        <w:t xml:space="preserve"> </w:t>
      </w:r>
      <w:r w:rsidR="00DE7FC3">
        <w:rPr>
          <w:bCs/>
        </w:rPr>
        <w:t xml:space="preserve"> T</w:t>
      </w:r>
      <w:r w:rsidR="00E916B9" w:rsidRPr="003F3F57">
        <w:rPr>
          <w:bCs/>
        </w:rPr>
        <w:t>he number of subjects randomised to each group was 119, 119 and 119, respectively.  The two co-primary endpoints</w:t>
      </w:r>
      <w:r w:rsidR="003524C4">
        <w:rPr>
          <w:bCs/>
        </w:rPr>
        <w:t xml:space="preserve"> were:  mean change in FEV</w:t>
      </w:r>
      <w:r w:rsidR="003524C4">
        <w:rPr>
          <w:bCs/>
          <w:vertAlign w:val="subscript"/>
        </w:rPr>
        <w:t>1</w:t>
      </w:r>
      <w:r w:rsidR="003524C4">
        <w:rPr>
          <w:bCs/>
        </w:rPr>
        <w:t xml:space="preserve"> from morning </w:t>
      </w:r>
      <w:proofErr w:type="spellStart"/>
      <w:r w:rsidR="003524C4">
        <w:rPr>
          <w:bCs/>
        </w:rPr>
        <w:t>predose</w:t>
      </w:r>
      <w:proofErr w:type="spellEnd"/>
      <w:r w:rsidR="003524C4">
        <w:rPr>
          <w:bCs/>
        </w:rPr>
        <w:t xml:space="preserve"> at baseline to </w:t>
      </w:r>
      <w:proofErr w:type="spellStart"/>
      <w:r w:rsidR="003524C4">
        <w:rPr>
          <w:bCs/>
        </w:rPr>
        <w:t>predose</w:t>
      </w:r>
      <w:proofErr w:type="spellEnd"/>
      <w:r w:rsidR="003524C4">
        <w:rPr>
          <w:bCs/>
        </w:rPr>
        <w:t xml:space="preserve"> at Week 12 (to determine efficacy vs. fluticasone alone), the mean change in FEV</w:t>
      </w:r>
      <w:r w:rsidR="003524C4">
        <w:rPr>
          <w:bCs/>
          <w:vertAlign w:val="subscript"/>
        </w:rPr>
        <w:t>1</w:t>
      </w:r>
      <w:r w:rsidR="003524C4">
        <w:rPr>
          <w:bCs/>
        </w:rPr>
        <w:t xml:space="preserve"> from </w:t>
      </w:r>
      <w:proofErr w:type="spellStart"/>
      <w:r w:rsidR="003524C4">
        <w:rPr>
          <w:bCs/>
        </w:rPr>
        <w:t>predose</w:t>
      </w:r>
      <w:proofErr w:type="spellEnd"/>
      <w:r w:rsidR="003524C4">
        <w:rPr>
          <w:bCs/>
        </w:rPr>
        <w:t xml:space="preserve"> at baseline to 2 hours </w:t>
      </w:r>
      <w:proofErr w:type="spellStart"/>
      <w:r w:rsidR="003524C4">
        <w:rPr>
          <w:bCs/>
        </w:rPr>
        <w:t>postdose</w:t>
      </w:r>
      <w:proofErr w:type="spellEnd"/>
      <w:r w:rsidR="003524C4" w:rsidRPr="00B76CAA">
        <w:rPr>
          <w:bCs/>
        </w:rPr>
        <w:t xml:space="preserve"> </w:t>
      </w:r>
      <w:r w:rsidR="003524C4">
        <w:rPr>
          <w:bCs/>
        </w:rPr>
        <w:t xml:space="preserve">at Week 12 (to determine efficacy vs. </w:t>
      </w:r>
      <w:proofErr w:type="spellStart"/>
      <w:r w:rsidR="003524C4">
        <w:rPr>
          <w:bCs/>
        </w:rPr>
        <w:t>eformoterol</w:t>
      </w:r>
      <w:proofErr w:type="spellEnd"/>
      <w:r w:rsidR="003524C4">
        <w:rPr>
          <w:bCs/>
        </w:rPr>
        <w:t xml:space="preserve"> alone) and discontinuations due to lack of efficacy (to determine efficacy </w:t>
      </w:r>
      <w:proofErr w:type="spellStart"/>
      <w:r w:rsidR="003524C4">
        <w:rPr>
          <w:bCs/>
        </w:rPr>
        <w:t>vs</w:t>
      </w:r>
      <w:proofErr w:type="spellEnd"/>
      <w:r w:rsidR="003524C4">
        <w:rPr>
          <w:bCs/>
        </w:rPr>
        <w:t>, placebo).  FLUTIFORM was superior to each of its comparator</w:t>
      </w:r>
      <w:r w:rsidR="00CB6932">
        <w:rPr>
          <w:bCs/>
        </w:rPr>
        <w:t>s for each o</w:t>
      </w:r>
      <w:r w:rsidR="003524C4">
        <w:rPr>
          <w:bCs/>
        </w:rPr>
        <w:t xml:space="preserve">f the co-primary </w:t>
      </w:r>
      <w:proofErr w:type="spellStart"/>
      <w:r w:rsidR="003524C4">
        <w:rPr>
          <w:bCs/>
        </w:rPr>
        <w:t>endpoints.The</w:t>
      </w:r>
      <w:proofErr w:type="spellEnd"/>
      <w:r w:rsidR="003524C4">
        <w:rPr>
          <w:bCs/>
        </w:rPr>
        <w:t xml:space="preserve"> least squares</w:t>
      </w:r>
      <w:r w:rsidR="00E916B9" w:rsidRPr="003F3F57">
        <w:rPr>
          <w:bCs/>
        </w:rPr>
        <w:t xml:space="preserve"> mean difference </w:t>
      </w:r>
      <w:r w:rsidR="003524C4">
        <w:rPr>
          <w:bCs/>
        </w:rPr>
        <w:t>in mean change in FEV</w:t>
      </w:r>
      <w:r w:rsidR="003524C4">
        <w:rPr>
          <w:bCs/>
          <w:vertAlign w:val="subscript"/>
        </w:rPr>
        <w:t>1</w:t>
      </w:r>
      <w:r w:rsidR="003524C4">
        <w:rPr>
          <w:bCs/>
        </w:rPr>
        <w:t xml:space="preserve"> from morning </w:t>
      </w:r>
      <w:proofErr w:type="spellStart"/>
      <w:r w:rsidR="003524C4">
        <w:rPr>
          <w:bCs/>
        </w:rPr>
        <w:t>predose</w:t>
      </w:r>
      <w:proofErr w:type="spellEnd"/>
      <w:r w:rsidR="003524C4">
        <w:rPr>
          <w:bCs/>
        </w:rPr>
        <w:t xml:space="preserve"> at baseline to </w:t>
      </w:r>
      <w:proofErr w:type="spellStart"/>
      <w:r w:rsidR="003524C4">
        <w:rPr>
          <w:bCs/>
        </w:rPr>
        <w:t>predose</w:t>
      </w:r>
      <w:proofErr w:type="spellEnd"/>
      <w:r w:rsidR="003524C4">
        <w:rPr>
          <w:bCs/>
        </w:rPr>
        <w:t xml:space="preserve"> at Week 12 was</w:t>
      </w:r>
      <w:r w:rsidR="00E916B9" w:rsidRPr="003F3F57">
        <w:rPr>
          <w:bCs/>
        </w:rPr>
        <w:t xml:space="preserve"> 0.118 L</w:t>
      </w:r>
      <w:r w:rsidR="003524C4">
        <w:rPr>
          <w:bCs/>
        </w:rPr>
        <w:t xml:space="preserve"> (</w:t>
      </w:r>
      <w:r w:rsidR="00E916B9" w:rsidRPr="003F3F57">
        <w:rPr>
          <w:bCs/>
        </w:rPr>
        <w:t xml:space="preserve">95%CI: 0.034 to 0.201; p = 0.006).  </w:t>
      </w:r>
      <w:r w:rsidR="003524C4">
        <w:rPr>
          <w:bCs/>
        </w:rPr>
        <w:t>The least squares mean difference in mean change in FEV</w:t>
      </w:r>
      <w:r w:rsidR="003524C4">
        <w:rPr>
          <w:bCs/>
          <w:vertAlign w:val="subscript"/>
        </w:rPr>
        <w:t>1</w:t>
      </w:r>
      <w:r w:rsidR="003524C4">
        <w:rPr>
          <w:bCs/>
        </w:rPr>
        <w:t xml:space="preserve"> from </w:t>
      </w:r>
      <w:proofErr w:type="spellStart"/>
      <w:r w:rsidR="003524C4">
        <w:rPr>
          <w:bCs/>
        </w:rPr>
        <w:t>predose</w:t>
      </w:r>
      <w:proofErr w:type="spellEnd"/>
      <w:r w:rsidR="003524C4">
        <w:rPr>
          <w:bCs/>
        </w:rPr>
        <w:t xml:space="preserve"> at baseline to 2 hours </w:t>
      </w:r>
      <w:proofErr w:type="spellStart"/>
      <w:r w:rsidR="003524C4">
        <w:rPr>
          <w:bCs/>
        </w:rPr>
        <w:t>postdose</w:t>
      </w:r>
      <w:proofErr w:type="spellEnd"/>
      <w:r w:rsidR="003524C4" w:rsidRPr="00B76CAA">
        <w:rPr>
          <w:bCs/>
        </w:rPr>
        <w:t xml:space="preserve"> </w:t>
      </w:r>
      <w:r w:rsidR="003524C4">
        <w:rPr>
          <w:bCs/>
        </w:rPr>
        <w:t xml:space="preserve">at Week 12 </w:t>
      </w:r>
      <w:r w:rsidR="00E916B9" w:rsidRPr="003F3F57">
        <w:rPr>
          <w:bCs/>
        </w:rPr>
        <w:t xml:space="preserve">The </w:t>
      </w:r>
      <w:r w:rsidR="003524C4">
        <w:rPr>
          <w:bCs/>
        </w:rPr>
        <w:t xml:space="preserve">least squares </w:t>
      </w:r>
      <w:r w:rsidR="00E916B9" w:rsidRPr="003F3F57">
        <w:rPr>
          <w:bCs/>
        </w:rPr>
        <w:t xml:space="preserve">mean difference </w:t>
      </w:r>
      <w:r w:rsidR="003524C4">
        <w:rPr>
          <w:bCs/>
        </w:rPr>
        <w:t>in mean change in FEV</w:t>
      </w:r>
      <w:r w:rsidR="003524C4">
        <w:rPr>
          <w:bCs/>
          <w:vertAlign w:val="subscript"/>
        </w:rPr>
        <w:t>1</w:t>
      </w:r>
      <w:r w:rsidR="003524C4">
        <w:rPr>
          <w:bCs/>
        </w:rPr>
        <w:t xml:space="preserve"> from </w:t>
      </w:r>
      <w:proofErr w:type="spellStart"/>
      <w:r w:rsidR="003524C4">
        <w:rPr>
          <w:bCs/>
        </w:rPr>
        <w:t>predose</w:t>
      </w:r>
      <w:proofErr w:type="spellEnd"/>
      <w:r w:rsidR="003524C4">
        <w:rPr>
          <w:bCs/>
        </w:rPr>
        <w:t xml:space="preserve"> at baseline to 2 hours </w:t>
      </w:r>
      <w:proofErr w:type="spellStart"/>
      <w:r w:rsidR="003524C4">
        <w:rPr>
          <w:bCs/>
        </w:rPr>
        <w:t>postdose</w:t>
      </w:r>
      <w:proofErr w:type="spellEnd"/>
      <w:r w:rsidR="003524C4" w:rsidRPr="00B76CAA">
        <w:rPr>
          <w:bCs/>
        </w:rPr>
        <w:t xml:space="preserve"> </w:t>
      </w:r>
      <w:r w:rsidR="003524C4">
        <w:rPr>
          <w:bCs/>
        </w:rPr>
        <w:t xml:space="preserve">at Week 12 </w:t>
      </w:r>
      <w:r w:rsidR="00A10E07">
        <w:rPr>
          <w:bCs/>
        </w:rPr>
        <w:t>was</w:t>
      </w:r>
      <w:r w:rsidR="00E916B9" w:rsidRPr="003F3F57">
        <w:rPr>
          <w:bCs/>
        </w:rPr>
        <w:t xml:space="preserve"> 0.122 L</w:t>
      </w:r>
      <w:r w:rsidR="00A10E07">
        <w:rPr>
          <w:bCs/>
        </w:rPr>
        <w:t xml:space="preserve"> (</w:t>
      </w:r>
      <w:r w:rsidR="00E916B9" w:rsidRPr="003F3F57">
        <w:rPr>
          <w:bCs/>
        </w:rPr>
        <w:t>95%CI: 0.04</w:t>
      </w:r>
      <w:r w:rsidR="00A54FA9">
        <w:rPr>
          <w:bCs/>
        </w:rPr>
        <w:t>0 to 0.204, p = 0.004).</w:t>
      </w:r>
    </w:p>
    <w:p w:rsidR="003E7363" w:rsidRPr="003F3F57" w:rsidRDefault="0090349E" w:rsidP="00A54FA9">
      <w:pPr>
        <w:autoSpaceDE w:val="0"/>
        <w:autoSpaceDN w:val="0"/>
        <w:adjustRightInd w:val="0"/>
        <w:spacing w:before="100" w:beforeAutospacing="1" w:after="100" w:afterAutospacing="1"/>
        <w:ind w:right="-357"/>
        <w:jc w:val="both"/>
        <w:rPr>
          <w:bCs/>
        </w:rPr>
      </w:pPr>
      <w:r w:rsidRPr="003F3F57">
        <w:rPr>
          <w:bCs/>
        </w:rPr>
        <w:t>FLUTIFORM</w:t>
      </w:r>
      <w:r w:rsidR="00610823" w:rsidRPr="003F3F57">
        <w:rPr>
          <w:rFonts w:eastAsia="TimesNewRoman"/>
          <w:vertAlign w:val="superscript"/>
        </w:rPr>
        <w:t>®</w:t>
      </w:r>
      <w:r w:rsidR="005D7299" w:rsidRPr="003F3F57">
        <w:rPr>
          <w:bCs/>
        </w:rPr>
        <w:t xml:space="preserve"> </w:t>
      </w:r>
      <w:r w:rsidR="00E63A9D" w:rsidRPr="003F3F57">
        <w:rPr>
          <w:bCs/>
        </w:rPr>
        <w:t xml:space="preserve">inhaler </w:t>
      </w:r>
      <w:r w:rsidR="00097EC9">
        <w:rPr>
          <w:bCs/>
        </w:rPr>
        <w:t>2 x 50/5</w:t>
      </w:r>
      <w:r w:rsidR="005D7299" w:rsidRPr="003F3F57">
        <w:rPr>
          <w:bCs/>
        </w:rPr>
        <w:t xml:space="preserve"> and </w:t>
      </w:r>
      <w:r w:rsidR="00097EC9">
        <w:rPr>
          <w:bCs/>
        </w:rPr>
        <w:t>2 x 125/5</w:t>
      </w:r>
      <w:r w:rsidR="005D7299" w:rsidRPr="003F3F57">
        <w:rPr>
          <w:bCs/>
        </w:rPr>
        <w:t xml:space="preserve"> </w:t>
      </w:r>
      <w:r w:rsidR="00832BC5" w:rsidRPr="003F3F57">
        <w:rPr>
          <w:bCs/>
        </w:rPr>
        <w:t>micrograms</w:t>
      </w:r>
      <w:r w:rsidR="005D7299" w:rsidRPr="003F3F57">
        <w:rPr>
          <w:bCs/>
        </w:rPr>
        <w:t xml:space="preserve"> were compared with fluticasone </w:t>
      </w:r>
      <w:r w:rsidR="00097EC9">
        <w:rPr>
          <w:bCs/>
        </w:rPr>
        <w:t>2 x 125</w:t>
      </w:r>
      <w:r w:rsidR="005D7299" w:rsidRPr="003F3F57">
        <w:rPr>
          <w:bCs/>
        </w:rPr>
        <w:t xml:space="preserve"> </w:t>
      </w:r>
      <w:r w:rsidR="00832BC5" w:rsidRPr="003F3F57">
        <w:rPr>
          <w:bCs/>
        </w:rPr>
        <w:t>micrograms</w:t>
      </w:r>
      <w:r w:rsidR="005D7299" w:rsidRPr="003F3F57">
        <w:rPr>
          <w:bCs/>
        </w:rPr>
        <w:t xml:space="preserve">, </w:t>
      </w:r>
      <w:proofErr w:type="spellStart"/>
      <w:r w:rsidR="005D7299" w:rsidRPr="003F3F57">
        <w:rPr>
          <w:bCs/>
        </w:rPr>
        <w:t>eformoterol</w:t>
      </w:r>
      <w:proofErr w:type="spellEnd"/>
      <w:r w:rsidR="005D7299" w:rsidRPr="003F3F57">
        <w:rPr>
          <w:bCs/>
        </w:rPr>
        <w:t xml:space="preserve"> </w:t>
      </w:r>
      <w:r w:rsidR="00097EC9">
        <w:rPr>
          <w:bCs/>
        </w:rPr>
        <w:t>2 x 5</w:t>
      </w:r>
      <w:r w:rsidR="005D7299" w:rsidRPr="003F3F57">
        <w:rPr>
          <w:bCs/>
        </w:rPr>
        <w:t xml:space="preserve"> </w:t>
      </w:r>
      <w:r w:rsidR="00832BC5" w:rsidRPr="003F3F57">
        <w:rPr>
          <w:bCs/>
        </w:rPr>
        <w:t>micrograms</w:t>
      </w:r>
      <w:r w:rsidR="005D7299" w:rsidRPr="003F3F57">
        <w:rPr>
          <w:bCs/>
        </w:rPr>
        <w:t xml:space="preserve"> and placebo</w:t>
      </w:r>
      <w:r w:rsidR="0033506B" w:rsidRPr="003F3F57">
        <w:rPr>
          <w:bCs/>
        </w:rPr>
        <w:t xml:space="preserve">. </w:t>
      </w:r>
      <w:r w:rsidR="00194BF9" w:rsidRPr="003F3F57">
        <w:rPr>
          <w:bCs/>
        </w:rPr>
        <w:t xml:space="preserve"> </w:t>
      </w:r>
      <w:r w:rsidR="00097EC9">
        <w:rPr>
          <w:bCs/>
        </w:rPr>
        <w:t xml:space="preserve">All treatments were taken twice daily.  </w:t>
      </w:r>
      <w:r w:rsidR="00194BF9" w:rsidRPr="003F3F57">
        <w:rPr>
          <w:bCs/>
        </w:rPr>
        <w:t xml:space="preserve">The study enrolled a total of 557 </w:t>
      </w:r>
      <w:r w:rsidR="00E916B9" w:rsidRPr="003F3F57">
        <w:rPr>
          <w:bCs/>
        </w:rPr>
        <w:t>adolescents and adult subjects with mild to moderate asthma</w:t>
      </w:r>
      <w:r w:rsidR="00097EC9">
        <w:rPr>
          <w:bCs/>
        </w:rPr>
        <w:t>.</w:t>
      </w:r>
      <w:r w:rsidR="00E916B9" w:rsidRPr="003F3F57">
        <w:rPr>
          <w:bCs/>
        </w:rPr>
        <w:t xml:space="preserve"> </w:t>
      </w:r>
      <w:r w:rsidR="00097EC9">
        <w:rPr>
          <w:bCs/>
        </w:rPr>
        <w:t xml:space="preserve"> T</w:t>
      </w:r>
      <w:r w:rsidR="00E916B9" w:rsidRPr="003F3F57">
        <w:rPr>
          <w:bCs/>
        </w:rPr>
        <w:t>he number of subjects randomised to each group was</w:t>
      </w:r>
      <w:r w:rsidR="00E916B9" w:rsidRPr="003F3F57" w:rsidDel="00E916B9">
        <w:rPr>
          <w:bCs/>
        </w:rPr>
        <w:t xml:space="preserve"> </w:t>
      </w:r>
      <w:r w:rsidR="00194BF9" w:rsidRPr="003F3F57">
        <w:rPr>
          <w:bCs/>
        </w:rPr>
        <w:t>110, 114, 113</w:t>
      </w:r>
      <w:r w:rsidR="00D86851" w:rsidRPr="003F3F57">
        <w:rPr>
          <w:bCs/>
        </w:rPr>
        <w:t>, 111</w:t>
      </w:r>
      <w:r w:rsidR="00A54FA9">
        <w:rPr>
          <w:bCs/>
        </w:rPr>
        <w:t xml:space="preserve"> and 109, respectively.</w:t>
      </w:r>
    </w:p>
    <w:p w:rsidR="00AA771F" w:rsidRDefault="00B02CAA" w:rsidP="00A54FA9">
      <w:pPr>
        <w:autoSpaceDE w:val="0"/>
        <w:autoSpaceDN w:val="0"/>
        <w:adjustRightInd w:val="0"/>
        <w:ind w:right="-360"/>
        <w:jc w:val="both"/>
        <w:rPr>
          <w:bCs/>
          <w:color w:val="000000"/>
        </w:rPr>
      </w:pPr>
      <w:r w:rsidRPr="00577862">
        <w:rPr>
          <w:bCs/>
        </w:rPr>
        <w:t>T</w:t>
      </w:r>
      <w:r w:rsidR="00AA771F" w:rsidRPr="003F3F57">
        <w:rPr>
          <w:bCs/>
        </w:rPr>
        <w:t xml:space="preserve">he three co-primary endpoints </w:t>
      </w:r>
      <w:r w:rsidR="00097EC9">
        <w:rPr>
          <w:bCs/>
        </w:rPr>
        <w:t xml:space="preserve">were for the comparison of the 250/10 dose to its components and to placebo.  These endpoints were: </w:t>
      </w:r>
      <w:r w:rsidR="00097EC9" w:rsidRPr="00097EC9">
        <w:rPr>
          <w:bCs/>
        </w:rPr>
        <w:t xml:space="preserve"> </w:t>
      </w:r>
      <w:r w:rsidR="00097EC9">
        <w:rPr>
          <w:bCs/>
        </w:rPr>
        <w:t>mean change in FEV</w:t>
      </w:r>
      <w:r w:rsidR="00097EC9">
        <w:rPr>
          <w:bCs/>
          <w:vertAlign w:val="subscript"/>
        </w:rPr>
        <w:t>1</w:t>
      </w:r>
      <w:r w:rsidR="00097EC9">
        <w:rPr>
          <w:bCs/>
        </w:rPr>
        <w:t xml:space="preserve"> from morning </w:t>
      </w:r>
      <w:proofErr w:type="spellStart"/>
      <w:r w:rsidR="00097EC9">
        <w:rPr>
          <w:bCs/>
        </w:rPr>
        <w:t>predose</w:t>
      </w:r>
      <w:proofErr w:type="spellEnd"/>
      <w:r w:rsidR="00097EC9">
        <w:rPr>
          <w:bCs/>
        </w:rPr>
        <w:t xml:space="preserve"> at baseline to </w:t>
      </w:r>
      <w:proofErr w:type="spellStart"/>
      <w:r w:rsidR="00097EC9">
        <w:rPr>
          <w:bCs/>
        </w:rPr>
        <w:t>predose</w:t>
      </w:r>
      <w:proofErr w:type="spellEnd"/>
      <w:r w:rsidR="00097EC9">
        <w:rPr>
          <w:bCs/>
        </w:rPr>
        <w:t xml:space="preserve"> at Week 12 (to determine efficacy vs. fluticasone alone), the mean change in FEV</w:t>
      </w:r>
      <w:r w:rsidR="00097EC9">
        <w:rPr>
          <w:bCs/>
          <w:vertAlign w:val="subscript"/>
        </w:rPr>
        <w:t>1</w:t>
      </w:r>
      <w:r w:rsidR="00097EC9">
        <w:rPr>
          <w:bCs/>
        </w:rPr>
        <w:t xml:space="preserve"> from </w:t>
      </w:r>
      <w:proofErr w:type="spellStart"/>
      <w:r w:rsidR="00097EC9">
        <w:rPr>
          <w:bCs/>
        </w:rPr>
        <w:t>predose</w:t>
      </w:r>
      <w:proofErr w:type="spellEnd"/>
      <w:r w:rsidR="00097EC9">
        <w:rPr>
          <w:bCs/>
        </w:rPr>
        <w:t xml:space="preserve"> at baseline to 2 hours </w:t>
      </w:r>
      <w:proofErr w:type="spellStart"/>
      <w:r w:rsidR="00097EC9">
        <w:rPr>
          <w:bCs/>
        </w:rPr>
        <w:t>postdose</w:t>
      </w:r>
      <w:proofErr w:type="spellEnd"/>
      <w:r w:rsidR="00097EC9" w:rsidRPr="00B76CAA">
        <w:rPr>
          <w:bCs/>
        </w:rPr>
        <w:t xml:space="preserve"> </w:t>
      </w:r>
      <w:r w:rsidR="00097EC9">
        <w:rPr>
          <w:bCs/>
        </w:rPr>
        <w:t xml:space="preserve">at Week 12 (to determine efficacy vs. </w:t>
      </w:r>
      <w:proofErr w:type="spellStart"/>
      <w:r w:rsidR="00097EC9">
        <w:rPr>
          <w:bCs/>
        </w:rPr>
        <w:t>eformoterol</w:t>
      </w:r>
      <w:proofErr w:type="spellEnd"/>
      <w:r w:rsidR="00097EC9">
        <w:rPr>
          <w:bCs/>
        </w:rPr>
        <w:t xml:space="preserve"> alone) and discontinuations due to lack of efficacy (to determine efficacy </w:t>
      </w:r>
      <w:proofErr w:type="spellStart"/>
      <w:r w:rsidR="00097EC9">
        <w:rPr>
          <w:bCs/>
        </w:rPr>
        <w:t>vs</w:t>
      </w:r>
      <w:proofErr w:type="spellEnd"/>
      <w:r w:rsidR="00097EC9">
        <w:rPr>
          <w:bCs/>
        </w:rPr>
        <w:t>, placebo).</w:t>
      </w:r>
      <w:r w:rsidR="00C316CA">
        <w:rPr>
          <w:bCs/>
        </w:rPr>
        <w:t xml:space="preserve">  FLUTIFORM</w:t>
      </w:r>
      <w:r w:rsidR="00C316CA" w:rsidRPr="003F3F57">
        <w:rPr>
          <w:rFonts w:eastAsia="TimesNewRoman"/>
          <w:vertAlign w:val="superscript"/>
        </w:rPr>
        <w:t>®</w:t>
      </w:r>
      <w:r w:rsidR="00C316CA">
        <w:rPr>
          <w:rFonts w:eastAsia="TimesNewRoman"/>
        </w:rPr>
        <w:t xml:space="preserve"> </w:t>
      </w:r>
      <w:r w:rsidR="00B87DDD">
        <w:rPr>
          <w:rFonts w:eastAsia="TimesNewRoman"/>
        </w:rPr>
        <w:t xml:space="preserve">inhaler </w:t>
      </w:r>
      <w:r w:rsidR="00C316CA">
        <w:rPr>
          <w:rFonts w:eastAsia="TimesNewRoman"/>
        </w:rPr>
        <w:t>250/10 was</w:t>
      </w:r>
      <w:r w:rsidR="00AA771F" w:rsidRPr="003F3F57">
        <w:rPr>
          <w:bCs/>
        </w:rPr>
        <w:t xml:space="preserve"> superior</w:t>
      </w:r>
      <w:r w:rsidR="007312E5" w:rsidRPr="003F3F57">
        <w:rPr>
          <w:bCs/>
        </w:rPr>
        <w:t xml:space="preserve"> </w:t>
      </w:r>
      <w:r w:rsidR="00C316CA">
        <w:rPr>
          <w:bCs/>
        </w:rPr>
        <w:t>to each of</w:t>
      </w:r>
      <w:r w:rsidR="00545759" w:rsidRPr="003F3F57">
        <w:rPr>
          <w:bCs/>
        </w:rPr>
        <w:t xml:space="preserve"> </w:t>
      </w:r>
      <w:r w:rsidR="00AA771F" w:rsidRPr="003F3F57">
        <w:rPr>
          <w:bCs/>
        </w:rPr>
        <w:t>its components and to placebo</w:t>
      </w:r>
      <w:r w:rsidR="00C316CA">
        <w:rPr>
          <w:bCs/>
        </w:rPr>
        <w:t xml:space="preserve"> for each of the co-primary endpoints</w:t>
      </w:r>
      <w:r w:rsidR="00AA771F" w:rsidRPr="003F3F57">
        <w:rPr>
          <w:bCs/>
        </w:rPr>
        <w:t xml:space="preserve">.  </w:t>
      </w:r>
      <w:r w:rsidR="00C316CA">
        <w:rPr>
          <w:bCs/>
        </w:rPr>
        <w:t xml:space="preserve">The least squares </w:t>
      </w:r>
      <w:r w:rsidR="00AA771F" w:rsidRPr="003F3F57">
        <w:rPr>
          <w:bCs/>
        </w:rPr>
        <w:t xml:space="preserve"> mean difference </w:t>
      </w:r>
      <w:r w:rsidR="00C316CA">
        <w:rPr>
          <w:bCs/>
        </w:rPr>
        <w:t>in mean change in FEV</w:t>
      </w:r>
      <w:r w:rsidR="00C316CA">
        <w:rPr>
          <w:bCs/>
          <w:vertAlign w:val="subscript"/>
        </w:rPr>
        <w:t>1</w:t>
      </w:r>
      <w:r w:rsidR="00C316CA">
        <w:rPr>
          <w:bCs/>
        </w:rPr>
        <w:t xml:space="preserve"> from morning </w:t>
      </w:r>
      <w:proofErr w:type="spellStart"/>
      <w:r w:rsidR="00C316CA">
        <w:rPr>
          <w:bCs/>
        </w:rPr>
        <w:t>predose</w:t>
      </w:r>
      <w:proofErr w:type="spellEnd"/>
      <w:r w:rsidR="00C316CA">
        <w:rPr>
          <w:bCs/>
        </w:rPr>
        <w:t xml:space="preserve"> at baseline to </w:t>
      </w:r>
      <w:proofErr w:type="spellStart"/>
      <w:r w:rsidR="00C316CA">
        <w:rPr>
          <w:bCs/>
        </w:rPr>
        <w:t>predose</w:t>
      </w:r>
      <w:proofErr w:type="spellEnd"/>
      <w:r w:rsidR="00C316CA">
        <w:rPr>
          <w:bCs/>
        </w:rPr>
        <w:t xml:space="preserve"> at Week 12 was</w:t>
      </w:r>
      <w:r w:rsidR="00AA771F" w:rsidRPr="003F3F57">
        <w:rPr>
          <w:bCs/>
        </w:rPr>
        <w:t xml:space="preserve"> 0.1</w:t>
      </w:r>
      <w:r w:rsidR="007312E5" w:rsidRPr="003F3F57">
        <w:rPr>
          <w:bCs/>
        </w:rPr>
        <w:t>89</w:t>
      </w:r>
      <w:r w:rsidR="00AA771F" w:rsidRPr="003F3F57">
        <w:rPr>
          <w:bCs/>
        </w:rPr>
        <w:t xml:space="preserve"> L</w:t>
      </w:r>
      <w:r w:rsidR="00C316CA">
        <w:rPr>
          <w:bCs/>
        </w:rPr>
        <w:t xml:space="preserve"> (</w:t>
      </w:r>
      <w:r w:rsidR="00AA771F" w:rsidRPr="003F3F57">
        <w:rPr>
          <w:bCs/>
        </w:rPr>
        <w:t xml:space="preserve"> </w:t>
      </w:r>
      <w:r w:rsidR="00C03460">
        <w:rPr>
          <w:bCs/>
        </w:rPr>
        <w:t>(</w:t>
      </w:r>
      <w:r w:rsidR="00AA771F" w:rsidRPr="003F3F57">
        <w:rPr>
          <w:bCs/>
        </w:rPr>
        <w:t>p</w:t>
      </w:r>
      <w:r w:rsidR="007312E5" w:rsidRPr="003F3F57">
        <w:rPr>
          <w:bCs/>
        </w:rPr>
        <w:t>&lt;0.001</w:t>
      </w:r>
      <w:r w:rsidR="00AA771F" w:rsidRPr="003F3F57">
        <w:rPr>
          <w:bCs/>
        </w:rPr>
        <w:t xml:space="preserve">).  </w:t>
      </w:r>
      <w:r w:rsidR="00C316CA">
        <w:rPr>
          <w:bCs/>
        </w:rPr>
        <w:t>The least squares</w:t>
      </w:r>
      <w:r w:rsidR="00AA771F" w:rsidRPr="003F3F57">
        <w:rPr>
          <w:bCs/>
        </w:rPr>
        <w:t xml:space="preserve"> mean difference </w:t>
      </w:r>
      <w:r w:rsidR="00C316CA">
        <w:rPr>
          <w:bCs/>
        </w:rPr>
        <w:t>in mean change in FEV</w:t>
      </w:r>
      <w:r w:rsidR="00C316CA">
        <w:rPr>
          <w:bCs/>
          <w:vertAlign w:val="subscript"/>
        </w:rPr>
        <w:t>1</w:t>
      </w:r>
      <w:r w:rsidR="00C316CA">
        <w:rPr>
          <w:bCs/>
        </w:rPr>
        <w:t xml:space="preserve"> from </w:t>
      </w:r>
      <w:proofErr w:type="spellStart"/>
      <w:r w:rsidR="00C316CA">
        <w:rPr>
          <w:bCs/>
        </w:rPr>
        <w:t>predose</w:t>
      </w:r>
      <w:proofErr w:type="spellEnd"/>
      <w:r w:rsidR="00C316CA">
        <w:rPr>
          <w:bCs/>
        </w:rPr>
        <w:t xml:space="preserve"> at baseline to 2 hours </w:t>
      </w:r>
      <w:proofErr w:type="spellStart"/>
      <w:r w:rsidR="00C316CA">
        <w:rPr>
          <w:bCs/>
        </w:rPr>
        <w:t>postdose</w:t>
      </w:r>
      <w:proofErr w:type="spellEnd"/>
      <w:r w:rsidR="00C316CA" w:rsidRPr="00B76CAA">
        <w:rPr>
          <w:bCs/>
        </w:rPr>
        <w:t xml:space="preserve"> </w:t>
      </w:r>
      <w:r w:rsidR="00C316CA">
        <w:rPr>
          <w:bCs/>
        </w:rPr>
        <w:t>at Week 12 was</w:t>
      </w:r>
      <w:r w:rsidR="00AA771F" w:rsidRPr="003F3F57">
        <w:rPr>
          <w:bCs/>
        </w:rPr>
        <w:t xml:space="preserve"> 0.</w:t>
      </w:r>
      <w:r w:rsidR="006506BE" w:rsidRPr="003F3F57">
        <w:rPr>
          <w:bCs/>
        </w:rPr>
        <w:t>146</w:t>
      </w:r>
      <w:r w:rsidR="00AA771F" w:rsidRPr="003F3F57">
        <w:rPr>
          <w:bCs/>
        </w:rPr>
        <w:t xml:space="preserve"> L, </w:t>
      </w:r>
      <w:r w:rsidR="00C03460">
        <w:rPr>
          <w:bCs/>
        </w:rPr>
        <w:t>(</w:t>
      </w:r>
      <w:r w:rsidR="00AA771F" w:rsidRPr="003F3F57">
        <w:rPr>
          <w:bCs/>
        </w:rPr>
        <w:t>p</w:t>
      </w:r>
      <w:r w:rsidR="006506BE" w:rsidRPr="003F3F57">
        <w:rPr>
          <w:bCs/>
        </w:rPr>
        <w:t>= 0.006</w:t>
      </w:r>
      <w:r w:rsidR="00AA771F" w:rsidRPr="003F3F57">
        <w:rPr>
          <w:bCs/>
        </w:rPr>
        <w:t xml:space="preserve">).  </w:t>
      </w:r>
      <w:r w:rsidR="00003A13" w:rsidRPr="00003A13">
        <w:rPr>
          <w:bCs/>
        </w:rPr>
        <w:t xml:space="preserve">7 (6.1%) subjects given FLUTIFORM, 9 (7.7%) given fluticasone, 13 (11.2%) given </w:t>
      </w:r>
      <w:proofErr w:type="spellStart"/>
      <w:r w:rsidR="00003A13" w:rsidRPr="00003A13">
        <w:rPr>
          <w:bCs/>
        </w:rPr>
        <w:t>eformoterol</w:t>
      </w:r>
      <w:proofErr w:type="spellEnd"/>
      <w:r w:rsidR="00003A13" w:rsidRPr="00003A13">
        <w:rPr>
          <w:bCs/>
        </w:rPr>
        <w:t xml:space="preserve"> and 18 (16.2%) given </w:t>
      </w:r>
      <w:proofErr w:type="spellStart"/>
      <w:r w:rsidR="00003A13" w:rsidRPr="00003A13">
        <w:rPr>
          <w:bCs/>
        </w:rPr>
        <w:t>placeo</w:t>
      </w:r>
      <w:proofErr w:type="spellEnd"/>
      <w:r w:rsidR="00003A13" w:rsidRPr="00003A13">
        <w:rPr>
          <w:bCs/>
        </w:rPr>
        <w:t xml:space="preserve"> discontinued prematurely due to lack </w:t>
      </w:r>
      <w:r w:rsidR="00003A13" w:rsidRPr="00003A13">
        <w:rPr>
          <w:bCs/>
        </w:rPr>
        <w:lastRenderedPageBreak/>
        <w:t>of efficacy</w:t>
      </w:r>
      <w:r w:rsidR="00003A13">
        <w:rPr>
          <w:bCs/>
        </w:rPr>
        <w:t>.</w:t>
      </w:r>
      <w:r w:rsidR="00003A13" w:rsidRPr="00003A13">
        <w:rPr>
          <w:bCs/>
        </w:rPr>
        <w:t xml:space="preserve"> </w:t>
      </w:r>
      <w:r w:rsidR="00003A13">
        <w:rPr>
          <w:bCs/>
        </w:rPr>
        <w:t xml:space="preserve"> </w:t>
      </w:r>
      <w:r w:rsidR="00257AE3" w:rsidRPr="003F3F57">
        <w:rPr>
          <w:bCs/>
        </w:rPr>
        <w:t xml:space="preserve">The number of subjects who discontinued prematurely due to lack of efficacy was </w:t>
      </w:r>
      <w:r w:rsidR="006506BE" w:rsidRPr="003F3F57">
        <w:rPr>
          <w:bCs/>
        </w:rPr>
        <w:t>11</w:t>
      </w:r>
      <w:r w:rsidR="00AA771F" w:rsidRPr="003F3F57">
        <w:rPr>
          <w:bCs/>
        </w:rPr>
        <w:t xml:space="preserve"> </w:t>
      </w:r>
      <w:r w:rsidR="002E6AD3" w:rsidRPr="003F3F57">
        <w:rPr>
          <w:bCs/>
        </w:rPr>
        <w:t>(</w:t>
      </w:r>
      <w:r w:rsidR="006506BE" w:rsidRPr="003F3F57">
        <w:rPr>
          <w:bCs/>
        </w:rPr>
        <w:t>10.2</w:t>
      </w:r>
      <w:r w:rsidR="00AA771F" w:rsidRPr="003F3F57">
        <w:rPr>
          <w:bCs/>
        </w:rPr>
        <w:t>%</w:t>
      </w:r>
      <w:r w:rsidR="002E6AD3" w:rsidRPr="003F3F57">
        <w:rPr>
          <w:bCs/>
        </w:rPr>
        <w:t>)</w:t>
      </w:r>
      <w:r w:rsidR="00AA771F" w:rsidRPr="003F3F57">
        <w:rPr>
          <w:bCs/>
        </w:rPr>
        <w:t xml:space="preserve"> for </w:t>
      </w:r>
      <w:r w:rsidR="0090349E" w:rsidRPr="003F3F57">
        <w:rPr>
          <w:bCs/>
        </w:rPr>
        <w:t>FLUTIFORM</w:t>
      </w:r>
      <w:r w:rsidR="00E95428" w:rsidRPr="003F3F57">
        <w:rPr>
          <w:rFonts w:eastAsia="TimesNewRoman"/>
          <w:vertAlign w:val="superscript"/>
        </w:rPr>
        <w:t>®</w:t>
      </w:r>
      <w:r w:rsidR="00D20CEB" w:rsidRPr="003F3F57">
        <w:rPr>
          <w:bCs/>
        </w:rPr>
        <w:t xml:space="preserve"> </w:t>
      </w:r>
      <w:r w:rsidR="00C8615A">
        <w:rPr>
          <w:bCs/>
        </w:rPr>
        <w:t xml:space="preserve">250/10 </w:t>
      </w:r>
      <w:r w:rsidR="00D20CEB" w:rsidRPr="003F3F57">
        <w:rPr>
          <w:bCs/>
        </w:rPr>
        <w:t>inhaler,</w:t>
      </w:r>
      <w:r w:rsidR="00AA771F" w:rsidRPr="003F3F57">
        <w:rPr>
          <w:bCs/>
        </w:rPr>
        <w:t xml:space="preserve"> </w:t>
      </w:r>
      <w:r w:rsidR="006506BE" w:rsidRPr="003F3F57">
        <w:rPr>
          <w:bCs/>
        </w:rPr>
        <w:t>14 (12.8%</w:t>
      </w:r>
      <w:r w:rsidR="002E6AD3" w:rsidRPr="003F3F57">
        <w:rPr>
          <w:bCs/>
        </w:rPr>
        <w:t>)</w:t>
      </w:r>
      <w:r w:rsidR="006506BE" w:rsidRPr="003F3F57">
        <w:rPr>
          <w:bCs/>
        </w:rPr>
        <w:t xml:space="preserve"> </w:t>
      </w:r>
      <w:r w:rsidR="00AA771F" w:rsidRPr="003F3F57">
        <w:rPr>
          <w:bCs/>
        </w:rPr>
        <w:t xml:space="preserve">for fluticasone, </w:t>
      </w:r>
      <w:r w:rsidR="006506BE" w:rsidRPr="003F3F57">
        <w:rPr>
          <w:bCs/>
        </w:rPr>
        <w:t xml:space="preserve">23 </w:t>
      </w:r>
      <w:r w:rsidR="002E6AD3" w:rsidRPr="003F3F57">
        <w:rPr>
          <w:bCs/>
        </w:rPr>
        <w:t>(</w:t>
      </w:r>
      <w:r w:rsidR="006506BE" w:rsidRPr="003F3F57">
        <w:rPr>
          <w:bCs/>
        </w:rPr>
        <w:t>20.9%</w:t>
      </w:r>
      <w:r w:rsidR="002E6AD3" w:rsidRPr="003F3F57">
        <w:rPr>
          <w:bCs/>
        </w:rPr>
        <w:t>)</w:t>
      </w:r>
      <w:r w:rsidR="006506BE" w:rsidRPr="003F3F57">
        <w:rPr>
          <w:bCs/>
        </w:rPr>
        <w:t xml:space="preserve"> </w:t>
      </w:r>
      <w:r w:rsidR="00AA771F" w:rsidRPr="003F3F57">
        <w:rPr>
          <w:bCs/>
        </w:rPr>
        <w:t xml:space="preserve">for </w:t>
      </w:r>
      <w:proofErr w:type="spellStart"/>
      <w:r w:rsidR="00AA771F" w:rsidRPr="003F3F57">
        <w:rPr>
          <w:bCs/>
        </w:rPr>
        <w:t>eformoterol</w:t>
      </w:r>
      <w:proofErr w:type="spellEnd"/>
      <w:r w:rsidR="00AA771F" w:rsidRPr="003F3F57">
        <w:rPr>
          <w:bCs/>
        </w:rPr>
        <w:t xml:space="preserve"> and </w:t>
      </w:r>
      <w:r w:rsidR="006506BE" w:rsidRPr="003F3F57">
        <w:rPr>
          <w:bCs/>
        </w:rPr>
        <w:t xml:space="preserve">41 </w:t>
      </w:r>
      <w:r w:rsidR="002E6AD3" w:rsidRPr="003F3F57">
        <w:rPr>
          <w:bCs/>
        </w:rPr>
        <w:t>(</w:t>
      </w:r>
      <w:r w:rsidR="006506BE" w:rsidRPr="003F3F57">
        <w:rPr>
          <w:bCs/>
        </w:rPr>
        <w:t>39.0</w:t>
      </w:r>
      <w:r w:rsidR="00257AE3" w:rsidRPr="003F3F57">
        <w:rPr>
          <w:bCs/>
        </w:rPr>
        <w:t>%) for placebo groups.</w:t>
      </w:r>
    </w:p>
    <w:p w:rsidR="003E7363" w:rsidRDefault="00B87DDD" w:rsidP="00A54FA9">
      <w:pPr>
        <w:autoSpaceDE w:val="0"/>
        <w:autoSpaceDN w:val="0"/>
        <w:adjustRightInd w:val="0"/>
        <w:spacing w:before="100" w:beforeAutospacing="1" w:after="100" w:afterAutospacing="1"/>
        <w:ind w:right="-357"/>
        <w:jc w:val="both"/>
        <w:rPr>
          <w:bCs/>
          <w:color w:val="000000"/>
        </w:rPr>
      </w:pPr>
      <w:r>
        <w:rPr>
          <w:rFonts w:eastAsia="TimesNewRoman"/>
        </w:rPr>
        <w:t>T</w:t>
      </w:r>
      <w:bookmarkStart w:id="0" w:name="_GoBack"/>
      <w:bookmarkEnd w:id="0"/>
      <w:r>
        <w:rPr>
          <w:rFonts w:eastAsia="TimesNewRoman"/>
        </w:rPr>
        <w:t>his study was not designed to assess the relative efficacy of the two FLUTIFORM</w:t>
      </w:r>
      <w:r w:rsidRPr="003F3F57">
        <w:rPr>
          <w:rFonts w:eastAsia="TimesNewRoman"/>
          <w:vertAlign w:val="superscript"/>
        </w:rPr>
        <w:t>®</w:t>
      </w:r>
      <w:r>
        <w:rPr>
          <w:rFonts w:eastAsia="TimesNewRoman"/>
          <w:vertAlign w:val="superscript"/>
        </w:rPr>
        <w:t xml:space="preserve"> </w:t>
      </w:r>
      <w:r w:rsidRPr="009619CB">
        <w:rPr>
          <w:rFonts w:eastAsia="TimesNewRoman"/>
        </w:rPr>
        <w:t>inhaler</w:t>
      </w:r>
      <w:r>
        <w:rPr>
          <w:rFonts w:eastAsia="TimesNewRoman"/>
        </w:rPr>
        <w:t xml:space="preserve"> doses (250/10 and 100/10 micrograms)</w:t>
      </w:r>
      <w:r w:rsidRPr="009619CB">
        <w:rPr>
          <w:rFonts w:eastAsia="TimesNewRoman"/>
        </w:rPr>
        <w:t>,</w:t>
      </w:r>
      <w:r>
        <w:rPr>
          <w:rFonts w:eastAsia="TimesNewRoman"/>
        </w:rPr>
        <w:t xml:space="preserve"> however FLUTIFORM</w:t>
      </w:r>
      <w:r w:rsidRPr="003F3F57">
        <w:rPr>
          <w:rFonts w:eastAsia="TimesNewRoman"/>
          <w:vertAlign w:val="superscript"/>
        </w:rPr>
        <w:t>®</w:t>
      </w:r>
      <w:r>
        <w:rPr>
          <w:rFonts w:eastAsia="TimesNewRoman"/>
        </w:rPr>
        <w:t xml:space="preserve"> inhaler 100/10 appeared to show similar results to the 250/10 dose.</w:t>
      </w:r>
    </w:p>
    <w:p w:rsidR="00A94F47" w:rsidRPr="003F3F57" w:rsidRDefault="00C85ACA" w:rsidP="00A54FA9">
      <w:pPr>
        <w:pStyle w:val="Heading4"/>
      </w:pPr>
      <w:r w:rsidRPr="003F3F57">
        <w:t xml:space="preserve">3 </w:t>
      </w:r>
      <w:r w:rsidR="00A94F47" w:rsidRPr="003F3F57">
        <w:t>Long-term efficacy</w:t>
      </w:r>
    </w:p>
    <w:p w:rsidR="00EB1C86" w:rsidRPr="003F3F57" w:rsidRDefault="000D6B15" w:rsidP="000649D6">
      <w:pPr>
        <w:autoSpaceDE w:val="0"/>
        <w:autoSpaceDN w:val="0"/>
        <w:adjustRightInd w:val="0"/>
        <w:ind w:right="-360"/>
        <w:jc w:val="both"/>
        <w:rPr>
          <w:bCs/>
        </w:rPr>
      </w:pPr>
      <w:r>
        <w:rPr>
          <w:bCs/>
        </w:rPr>
        <w:t>Efficacy was assessed as a secondary objective i</w:t>
      </w:r>
      <w:r w:rsidR="00E26A21" w:rsidRPr="003F3F57">
        <w:rPr>
          <w:bCs/>
        </w:rPr>
        <w:t xml:space="preserve">n </w:t>
      </w:r>
      <w:r>
        <w:rPr>
          <w:bCs/>
        </w:rPr>
        <w:t>a</w:t>
      </w:r>
      <w:r w:rsidR="00E26A21" w:rsidRPr="003F3F57">
        <w:rPr>
          <w:bCs/>
        </w:rPr>
        <w:t xml:space="preserve"> long-term</w:t>
      </w:r>
      <w:r w:rsidR="00876247" w:rsidRPr="003F3F57">
        <w:rPr>
          <w:bCs/>
        </w:rPr>
        <w:t>, open-label</w:t>
      </w:r>
      <w:r w:rsidR="00E26A21" w:rsidRPr="003F3F57">
        <w:rPr>
          <w:bCs/>
        </w:rPr>
        <w:t xml:space="preserve"> safety study (SKY2028-3-003)</w:t>
      </w:r>
      <w:r>
        <w:rPr>
          <w:bCs/>
        </w:rPr>
        <w:t>.</w:t>
      </w:r>
      <w:r w:rsidR="00E26A21" w:rsidRPr="003F3F57">
        <w:rPr>
          <w:bCs/>
        </w:rPr>
        <w:t xml:space="preserve"> </w:t>
      </w:r>
      <w:r>
        <w:rPr>
          <w:bCs/>
        </w:rPr>
        <w:t xml:space="preserve"> S</w:t>
      </w:r>
      <w:r w:rsidR="00052FC2" w:rsidRPr="003F3F57">
        <w:rPr>
          <w:bCs/>
        </w:rPr>
        <w:t>ubjects were assigned to a 6</w:t>
      </w:r>
      <w:r w:rsidR="00545759" w:rsidRPr="003F3F57">
        <w:rPr>
          <w:bCs/>
        </w:rPr>
        <w:t>-</w:t>
      </w:r>
      <w:r w:rsidR="00052FC2" w:rsidRPr="003F3F57">
        <w:rPr>
          <w:bCs/>
        </w:rPr>
        <w:t xml:space="preserve"> or 12</w:t>
      </w:r>
      <w:r w:rsidR="00545759" w:rsidRPr="003F3F57">
        <w:rPr>
          <w:bCs/>
        </w:rPr>
        <w:t>-</w:t>
      </w:r>
      <w:r w:rsidR="00052FC2" w:rsidRPr="003F3F57">
        <w:rPr>
          <w:bCs/>
        </w:rPr>
        <w:t>month treatment duration subset.  The change from baseline to each visit in pre-dose and post-dose FEV</w:t>
      </w:r>
      <w:r w:rsidR="00052FC2" w:rsidRPr="003F3F57">
        <w:rPr>
          <w:bCs/>
          <w:vertAlign w:val="subscript"/>
        </w:rPr>
        <w:t>1</w:t>
      </w:r>
      <w:r w:rsidR="00545759" w:rsidRPr="003F3F57">
        <w:rPr>
          <w:bCs/>
          <w:vertAlign w:val="subscript"/>
        </w:rPr>
        <w:t>,</w:t>
      </w:r>
      <w:r w:rsidR="00052FC2" w:rsidRPr="003F3F57">
        <w:rPr>
          <w:bCs/>
        </w:rPr>
        <w:t xml:space="preserve"> FEV</w:t>
      </w:r>
      <w:r w:rsidR="00052FC2" w:rsidRPr="003F3F57">
        <w:rPr>
          <w:bCs/>
          <w:vertAlign w:val="subscript"/>
        </w:rPr>
        <w:t>1</w:t>
      </w:r>
      <w:r w:rsidR="00052FC2" w:rsidRPr="003F3F57">
        <w:rPr>
          <w:bCs/>
        </w:rPr>
        <w:t xml:space="preserve">% predicted, FVC and PEFR was summarised for the two subsets, and changes within each dose group were analysed using </w:t>
      </w:r>
      <w:r w:rsidR="00545759" w:rsidRPr="003F3F57">
        <w:rPr>
          <w:bCs/>
        </w:rPr>
        <w:t xml:space="preserve">the </w:t>
      </w:r>
      <w:r w:rsidR="00052FC2" w:rsidRPr="003F3F57">
        <w:rPr>
          <w:bCs/>
        </w:rPr>
        <w:t>paired t-test.</w:t>
      </w:r>
    </w:p>
    <w:p w:rsidR="00356ACF" w:rsidRPr="003F3F57" w:rsidRDefault="00EB1C86" w:rsidP="00A54FA9">
      <w:pPr>
        <w:autoSpaceDE w:val="0"/>
        <w:autoSpaceDN w:val="0"/>
        <w:adjustRightInd w:val="0"/>
        <w:spacing w:before="100" w:beforeAutospacing="1" w:after="100" w:afterAutospacing="1"/>
        <w:ind w:right="-360"/>
        <w:jc w:val="both"/>
        <w:rPr>
          <w:bCs/>
        </w:rPr>
      </w:pPr>
      <w:r w:rsidRPr="003F3F57">
        <w:rPr>
          <w:bCs/>
        </w:rPr>
        <w:t xml:space="preserve">Clinically important improvements at </w:t>
      </w:r>
      <w:proofErr w:type="gramStart"/>
      <w:r w:rsidRPr="003F3F57">
        <w:rPr>
          <w:bCs/>
        </w:rPr>
        <w:t>the α</w:t>
      </w:r>
      <w:proofErr w:type="gramEnd"/>
      <w:r w:rsidRPr="003F3F57">
        <w:rPr>
          <w:bCs/>
        </w:rPr>
        <w:t xml:space="preserve"> = 0</w:t>
      </w:r>
      <w:r w:rsidR="006A5EED" w:rsidRPr="003F3F57">
        <w:rPr>
          <w:bCs/>
        </w:rPr>
        <w:t>.</w:t>
      </w:r>
      <w:r w:rsidRPr="003F3F57">
        <w:rPr>
          <w:bCs/>
        </w:rPr>
        <w:t xml:space="preserve">001 level were observed for all </w:t>
      </w:r>
      <w:r w:rsidR="00356ACF" w:rsidRPr="003F3F57">
        <w:rPr>
          <w:bCs/>
        </w:rPr>
        <w:t xml:space="preserve">the </w:t>
      </w:r>
      <w:r w:rsidRPr="003F3F57">
        <w:rPr>
          <w:bCs/>
        </w:rPr>
        <w:t>efficacy assessments</w:t>
      </w:r>
      <w:r w:rsidR="00356ACF" w:rsidRPr="003F3F57">
        <w:rPr>
          <w:bCs/>
        </w:rPr>
        <w:t xml:space="preserve"> </w:t>
      </w:r>
      <w:r w:rsidRPr="003F3F57">
        <w:rPr>
          <w:bCs/>
        </w:rPr>
        <w:t xml:space="preserve">for </w:t>
      </w:r>
      <w:r w:rsidR="0090349E" w:rsidRPr="003F3F57">
        <w:rPr>
          <w:bCs/>
        </w:rPr>
        <w:t>FLUTIFORM</w:t>
      </w:r>
      <w:r w:rsidR="005E6401" w:rsidRPr="003F3F57">
        <w:rPr>
          <w:bCs/>
          <w:vertAlign w:val="superscript"/>
        </w:rPr>
        <w:t>®</w:t>
      </w:r>
      <w:r w:rsidRPr="003F3F57">
        <w:rPr>
          <w:bCs/>
        </w:rPr>
        <w:t xml:space="preserve"> </w:t>
      </w:r>
      <w:r w:rsidR="005E6401" w:rsidRPr="003F3F57">
        <w:rPr>
          <w:bCs/>
        </w:rPr>
        <w:t>inhal</w:t>
      </w:r>
      <w:r w:rsidR="00713C99" w:rsidRPr="003F3F57">
        <w:rPr>
          <w:bCs/>
        </w:rPr>
        <w:t>er</w:t>
      </w:r>
      <w:r w:rsidR="005E6401" w:rsidRPr="003F3F57">
        <w:rPr>
          <w:bCs/>
        </w:rPr>
        <w:t xml:space="preserve"> </w:t>
      </w:r>
      <w:r w:rsidRPr="003F3F57">
        <w:rPr>
          <w:bCs/>
        </w:rPr>
        <w:t xml:space="preserve">treatment overall and for each dose group (100/10 and 250/10 </w:t>
      </w:r>
      <w:r w:rsidR="00832BC5" w:rsidRPr="003F3F57">
        <w:rPr>
          <w:bCs/>
        </w:rPr>
        <w:t>micrograms</w:t>
      </w:r>
      <w:r w:rsidRPr="003F3F57">
        <w:rPr>
          <w:bCs/>
        </w:rPr>
        <w:t>) at every assessment time point.  These</w:t>
      </w:r>
      <w:r w:rsidR="005E6401" w:rsidRPr="003F3F57">
        <w:rPr>
          <w:bCs/>
        </w:rPr>
        <w:t xml:space="preserve"> i</w:t>
      </w:r>
      <w:r w:rsidRPr="003F3F57">
        <w:rPr>
          <w:bCs/>
        </w:rPr>
        <w:t>ncluded</w:t>
      </w:r>
      <w:r w:rsidR="005E6401" w:rsidRPr="003F3F57">
        <w:rPr>
          <w:bCs/>
        </w:rPr>
        <w:t>: (</w:t>
      </w:r>
      <w:proofErr w:type="spellStart"/>
      <w:r w:rsidR="005E6401" w:rsidRPr="003F3F57">
        <w:rPr>
          <w:bCs/>
        </w:rPr>
        <w:t>i</w:t>
      </w:r>
      <w:proofErr w:type="spellEnd"/>
      <w:r w:rsidR="005E6401" w:rsidRPr="003F3F57">
        <w:rPr>
          <w:bCs/>
        </w:rPr>
        <w:t>) the m</w:t>
      </w:r>
      <w:r w:rsidRPr="003F3F57">
        <w:rPr>
          <w:bCs/>
        </w:rPr>
        <w:t xml:space="preserve">ean changes from baseline to pre-dose assessment at Week 2, at Week 4, </w:t>
      </w:r>
      <w:r w:rsidR="005E6401" w:rsidRPr="003F3F57">
        <w:rPr>
          <w:bCs/>
        </w:rPr>
        <w:t>monthly thereafter</w:t>
      </w:r>
      <w:r w:rsidRPr="003F3F57">
        <w:rPr>
          <w:bCs/>
        </w:rPr>
        <w:t xml:space="preserve"> and at the </w:t>
      </w:r>
      <w:r w:rsidR="00356ACF" w:rsidRPr="003F3F57">
        <w:rPr>
          <w:bCs/>
        </w:rPr>
        <w:t>Fi</w:t>
      </w:r>
      <w:r w:rsidRPr="003F3F57">
        <w:rPr>
          <w:bCs/>
        </w:rPr>
        <w:t xml:space="preserve">nal </w:t>
      </w:r>
      <w:r w:rsidR="00356ACF" w:rsidRPr="003F3F57">
        <w:rPr>
          <w:bCs/>
        </w:rPr>
        <w:t>V</w:t>
      </w:r>
      <w:r w:rsidRPr="003F3F57">
        <w:rPr>
          <w:bCs/>
        </w:rPr>
        <w:t>isit</w:t>
      </w:r>
      <w:r w:rsidR="005E6401" w:rsidRPr="003F3F57">
        <w:rPr>
          <w:bCs/>
        </w:rPr>
        <w:t>; (ii) the m</w:t>
      </w:r>
      <w:r w:rsidRPr="003F3F57">
        <w:rPr>
          <w:bCs/>
        </w:rPr>
        <w:t>ean changes from baseline to the 1-hour post-dose assess</w:t>
      </w:r>
      <w:r w:rsidR="00356ACF" w:rsidRPr="003F3F57">
        <w:rPr>
          <w:bCs/>
        </w:rPr>
        <w:t>ment at Week 2, Week 4, Month 2 and</w:t>
      </w:r>
      <w:r w:rsidRPr="003F3F57">
        <w:rPr>
          <w:bCs/>
        </w:rPr>
        <w:t xml:space="preserve"> Month 3</w:t>
      </w:r>
      <w:r w:rsidR="005E6401" w:rsidRPr="003F3F57">
        <w:rPr>
          <w:bCs/>
        </w:rPr>
        <w:t>; and (iii) the improved m</w:t>
      </w:r>
      <w:r w:rsidR="00356ACF" w:rsidRPr="003F3F57">
        <w:rPr>
          <w:bCs/>
        </w:rPr>
        <w:t>ean pre-dose FEV</w:t>
      </w:r>
      <w:r w:rsidR="00356ACF" w:rsidRPr="003F3F57">
        <w:rPr>
          <w:bCs/>
          <w:vertAlign w:val="subscript"/>
        </w:rPr>
        <w:t>1</w:t>
      </w:r>
      <w:r w:rsidR="00356ACF" w:rsidRPr="003F3F57">
        <w:rPr>
          <w:bCs/>
        </w:rPr>
        <w:t xml:space="preserve"> values for both </w:t>
      </w:r>
      <w:r w:rsidR="0090349E" w:rsidRPr="003F3F57">
        <w:rPr>
          <w:bCs/>
        </w:rPr>
        <w:t>FLUTIFORM</w:t>
      </w:r>
      <w:r w:rsidR="005E6401" w:rsidRPr="003F3F57">
        <w:rPr>
          <w:bCs/>
          <w:vertAlign w:val="superscript"/>
        </w:rPr>
        <w:t>®</w:t>
      </w:r>
      <w:r w:rsidR="00356ACF" w:rsidRPr="003F3F57">
        <w:rPr>
          <w:bCs/>
        </w:rPr>
        <w:t xml:space="preserve"> </w:t>
      </w:r>
      <w:r w:rsidR="005E6401" w:rsidRPr="003F3F57">
        <w:rPr>
          <w:bCs/>
        </w:rPr>
        <w:t xml:space="preserve">inhaler </w:t>
      </w:r>
      <w:r w:rsidR="00356ACF" w:rsidRPr="003F3F57">
        <w:rPr>
          <w:bCs/>
        </w:rPr>
        <w:t>doses</w:t>
      </w:r>
      <w:r w:rsidR="002C3FBE" w:rsidRPr="003F3F57">
        <w:rPr>
          <w:bCs/>
        </w:rPr>
        <w:t>,</w:t>
      </w:r>
      <w:r w:rsidR="00356ACF" w:rsidRPr="003F3F57">
        <w:rPr>
          <w:bCs/>
        </w:rPr>
        <w:t xml:space="preserve"> </w:t>
      </w:r>
      <w:r w:rsidR="005E6401" w:rsidRPr="003F3F57">
        <w:rPr>
          <w:bCs/>
        </w:rPr>
        <w:t>that</w:t>
      </w:r>
      <w:r w:rsidR="00356ACF" w:rsidRPr="003F3F57">
        <w:rPr>
          <w:bCs/>
        </w:rPr>
        <w:t xml:space="preserve"> were sustained throughout the 12-month treatment period</w:t>
      </w:r>
      <w:r w:rsidR="00B02CAA" w:rsidRPr="003F3F57">
        <w:rPr>
          <w:bCs/>
        </w:rPr>
        <w:t>.</w:t>
      </w:r>
    </w:p>
    <w:p w:rsidR="00B02CAA" w:rsidRPr="003F3F57" w:rsidRDefault="00257AE3" w:rsidP="00A54FA9">
      <w:pPr>
        <w:autoSpaceDE w:val="0"/>
        <w:autoSpaceDN w:val="0"/>
        <w:adjustRightInd w:val="0"/>
        <w:spacing w:before="100" w:beforeAutospacing="1" w:after="100" w:afterAutospacing="1"/>
        <w:jc w:val="both"/>
        <w:rPr>
          <w:bCs/>
        </w:rPr>
      </w:pPr>
      <w:r w:rsidRPr="003F3F57">
        <w:rPr>
          <w:bCs/>
        </w:rPr>
        <w:t>The data presented in Figure 1 below represents that from 175 patients who had data available at Month 1 and Month 12.  These data demonstrates that pre-dose FEV</w:t>
      </w:r>
      <w:r w:rsidRPr="003F3F57">
        <w:rPr>
          <w:bCs/>
          <w:vertAlign w:val="subscript"/>
        </w:rPr>
        <w:t>1</w:t>
      </w:r>
      <w:r w:rsidRPr="003F3F57">
        <w:rPr>
          <w:bCs/>
        </w:rPr>
        <w:t xml:space="preserve"> improved over the first 4 weeks and was then sustained over the entire 12 months treatment period.</w:t>
      </w:r>
    </w:p>
    <w:p w:rsidR="005026FF" w:rsidRPr="00434F6F" w:rsidRDefault="00257AE3" w:rsidP="00713C99">
      <w:pPr>
        <w:autoSpaceDE w:val="0"/>
        <w:autoSpaceDN w:val="0"/>
        <w:adjustRightInd w:val="0"/>
        <w:ind w:right="-360"/>
        <w:rPr>
          <w:rFonts w:ascii="Arial" w:eastAsia="TimesNewRoman" w:hAnsi="Arial" w:cs="Arial"/>
          <w:b/>
          <w:sz w:val="20"/>
          <w:szCs w:val="20"/>
        </w:rPr>
      </w:pPr>
      <w:r w:rsidRPr="00434F6F">
        <w:rPr>
          <w:rFonts w:eastAsia="TimesNewRoman"/>
          <w:sz w:val="22"/>
          <w:szCs w:val="22"/>
        </w:rPr>
        <w:t xml:space="preserve">Figure 1:  </w:t>
      </w:r>
      <w:r w:rsidRPr="00434F6F">
        <w:rPr>
          <w:rFonts w:cs="Arial"/>
          <w:bCs/>
          <w:sz w:val="20"/>
          <w:szCs w:val="20"/>
          <w:lang w:val="en-GB" w:eastAsia="en-GB"/>
        </w:rPr>
        <w:t>Pre-dose FEV</w:t>
      </w:r>
      <w:r w:rsidRPr="00434F6F">
        <w:rPr>
          <w:rFonts w:cs="Arial"/>
          <w:bCs/>
          <w:sz w:val="20"/>
          <w:szCs w:val="20"/>
          <w:vertAlign w:val="subscript"/>
          <w:lang w:val="en-GB" w:eastAsia="en-GB"/>
        </w:rPr>
        <w:t>1</w:t>
      </w:r>
      <w:r w:rsidRPr="00434F6F">
        <w:rPr>
          <w:rFonts w:cs="Arial"/>
          <w:bCs/>
          <w:sz w:val="20"/>
          <w:szCs w:val="20"/>
          <w:lang w:val="en-GB" w:eastAsia="en-GB"/>
        </w:rPr>
        <w:t xml:space="preserve"> values from Day 1 to Month 12 for patients that reached Month 12</w:t>
      </w:r>
      <w:r w:rsidRPr="00434F6F">
        <w:rPr>
          <w:rFonts w:eastAsia="TimesNewRoman"/>
          <w:sz w:val="22"/>
          <w:szCs w:val="22"/>
        </w:rPr>
        <w:t>.</w:t>
      </w:r>
    </w:p>
    <w:p w:rsidR="00BC33EF" w:rsidRDefault="00713C99" w:rsidP="00091AC7">
      <w:pPr>
        <w:autoSpaceDE w:val="0"/>
        <w:autoSpaceDN w:val="0"/>
        <w:adjustRightInd w:val="0"/>
        <w:ind w:right="-360"/>
        <w:rPr>
          <w:rFonts w:eastAsia="TimesNewRoman"/>
          <w:color w:val="000000"/>
          <w:u w:val="single"/>
        </w:rPr>
      </w:pPr>
      <w:r w:rsidRPr="000649D6">
        <w:rPr>
          <w:rFonts w:eastAsia="TimesNewRoman"/>
          <w:noProof/>
          <w:color w:val="000000"/>
          <w:u w:val="single"/>
          <w:lang w:eastAsia="en-AU"/>
        </w:rPr>
        <w:drawing>
          <wp:inline distT="0" distB="0" distL="0" distR="0">
            <wp:extent cx="5146964" cy="2493818"/>
            <wp:effectExtent l="19050" t="0" r="0" b="0"/>
            <wp:docPr id="74" name="Picture 74" descr="Figure 1:  Pre-dose FEV1 values from Day 1 to Month 12 for patients that reached Mont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1186" b="-21186"/>
                    <a:stretch/>
                  </pic:blipFill>
                  <pic:spPr bwMode="auto">
                    <a:xfrm>
                      <a:off x="0" y="0"/>
                      <a:ext cx="5146675" cy="24936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74B3D" w:rsidRDefault="00F74B3D">
      <w:pPr>
        <w:rPr>
          <w:b/>
        </w:rPr>
      </w:pPr>
      <w:r>
        <w:br w:type="page"/>
      </w:r>
    </w:p>
    <w:p w:rsidR="005728FA" w:rsidRPr="007F1B66" w:rsidRDefault="00FF1B3D" w:rsidP="00F74B3D">
      <w:pPr>
        <w:pStyle w:val="Heading2"/>
      </w:pPr>
      <w:r w:rsidRPr="007D7FB2">
        <w:lastRenderedPageBreak/>
        <w:t>INDICATIONS</w:t>
      </w:r>
    </w:p>
    <w:p w:rsidR="008A3034" w:rsidRPr="008A3034" w:rsidRDefault="0090349E" w:rsidP="000649D6">
      <w:pPr>
        <w:autoSpaceDE w:val="0"/>
        <w:autoSpaceDN w:val="0"/>
        <w:adjustRightInd w:val="0"/>
        <w:ind w:right="-360"/>
        <w:jc w:val="both"/>
        <w:rPr>
          <w:bCs/>
          <w:color w:val="000000"/>
        </w:rPr>
      </w:pPr>
      <w:r>
        <w:rPr>
          <w:rFonts w:eastAsia="TimesNewRoman"/>
          <w:color w:val="000000"/>
        </w:rPr>
        <w:t>FLUTIFORM</w:t>
      </w:r>
      <w:r w:rsidR="004E189D">
        <w:rPr>
          <w:rFonts w:eastAsia="TimesNewRoman"/>
          <w:color w:val="000000"/>
          <w:vertAlign w:val="superscript"/>
        </w:rPr>
        <w:t>®</w:t>
      </w:r>
      <w:r w:rsidR="005728FA" w:rsidRPr="007D7FB2">
        <w:rPr>
          <w:rFonts w:eastAsia="TimesNewRoman"/>
          <w:color w:val="000000"/>
        </w:rPr>
        <w:t xml:space="preserve"> </w:t>
      </w:r>
      <w:r w:rsidR="00381D65">
        <w:rPr>
          <w:rFonts w:eastAsia="TimesNewRoman"/>
          <w:color w:val="000000"/>
        </w:rPr>
        <w:t>inhaler</w:t>
      </w:r>
      <w:r w:rsidR="00031374">
        <w:rPr>
          <w:rFonts w:eastAsia="TimesNewRoman"/>
          <w:color w:val="000000"/>
        </w:rPr>
        <w:t xml:space="preserve"> </w:t>
      </w:r>
      <w:r w:rsidR="005728FA" w:rsidRPr="007D7FB2">
        <w:rPr>
          <w:rFonts w:eastAsia="TimesNewRoman"/>
          <w:color w:val="000000"/>
        </w:rPr>
        <w:t xml:space="preserve">is indicated </w:t>
      </w:r>
      <w:r w:rsidR="004F40BD">
        <w:rPr>
          <w:rFonts w:eastAsia="TimesNewRoman"/>
          <w:color w:val="000000"/>
        </w:rPr>
        <w:t xml:space="preserve">for </w:t>
      </w:r>
      <w:r w:rsidR="005728FA" w:rsidRPr="007D7FB2">
        <w:rPr>
          <w:rFonts w:eastAsia="TimesNewRoman"/>
          <w:color w:val="000000"/>
        </w:rPr>
        <w:t xml:space="preserve">the regular </w:t>
      </w:r>
      <w:r w:rsidR="008A3034">
        <w:rPr>
          <w:rFonts w:eastAsia="TimesNewRoman"/>
          <w:color w:val="000000"/>
        </w:rPr>
        <w:t xml:space="preserve">maintenance </w:t>
      </w:r>
      <w:r w:rsidR="005728FA" w:rsidRPr="007D7FB2">
        <w:rPr>
          <w:rFonts w:eastAsia="TimesNewRoman"/>
          <w:color w:val="000000"/>
        </w:rPr>
        <w:t>treatment of asthma where the use of a combination product (an inhaled</w:t>
      </w:r>
      <w:r w:rsidR="003E54BB" w:rsidRPr="007D7FB2">
        <w:rPr>
          <w:rFonts w:eastAsia="TimesNewRoman"/>
          <w:color w:val="000000"/>
        </w:rPr>
        <w:t xml:space="preserve"> </w:t>
      </w:r>
      <w:r w:rsidR="005728FA" w:rsidRPr="007D7FB2">
        <w:rPr>
          <w:rFonts w:eastAsia="TimesNewRoman"/>
          <w:color w:val="000000"/>
        </w:rPr>
        <w:t xml:space="preserve">corticosteroid and a long-acting β2 agonist) is </w:t>
      </w:r>
      <w:proofErr w:type="gramStart"/>
      <w:r w:rsidR="005728FA" w:rsidRPr="007D7FB2">
        <w:rPr>
          <w:rFonts w:eastAsia="TimesNewRoman"/>
          <w:color w:val="000000"/>
        </w:rPr>
        <w:t>appropriate</w:t>
      </w:r>
      <w:proofErr w:type="gramEnd"/>
      <w:r w:rsidR="004F40BD">
        <w:rPr>
          <w:rFonts w:eastAsia="TimesNewRoman"/>
          <w:color w:val="000000"/>
        </w:rPr>
        <w:t xml:space="preserve">.  It is appropriate both for </w:t>
      </w:r>
      <w:r w:rsidR="005728FA" w:rsidRPr="007D7FB2">
        <w:rPr>
          <w:rFonts w:eastAsia="TimesNewRoman"/>
          <w:color w:val="000000"/>
        </w:rPr>
        <w:t>patients not adequately controlled with inhaled corticosteroids and i</w:t>
      </w:r>
      <w:r w:rsidR="004F40BD">
        <w:rPr>
          <w:rFonts w:eastAsia="TimesNewRoman"/>
          <w:color w:val="000000"/>
        </w:rPr>
        <w:t>nhaled short-acting β2 agonist</w:t>
      </w:r>
      <w:r w:rsidR="004F40BD" w:rsidRPr="004F40BD">
        <w:rPr>
          <w:rFonts w:eastAsia="TimesNewRoman"/>
          <w:color w:val="000000"/>
        </w:rPr>
        <w:t xml:space="preserve"> </w:t>
      </w:r>
      <w:r w:rsidR="004F40BD">
        <w:rPr>
          <w:rFonts w:eastAsia="TimesNewRoman"/>
          <w:color w:val="000000"/>
        </w:rPr>
        <w:t>on an “</w:t>
      </w:r>
      <w:r w:rsidR="004F40BD" w:rsidRPr="007D7FB2">
        <w:rPr>
          <w:rFonts w:eastAsia="TimesNewRoman"/>
          <w:color w:val="000000"/>
        </w:rPr>
        <w:t>as required</w:t>
      </w:r>
      <w:r w:rsidR="004F40BD">
        <w:rPr>
          <w:rFonts w:eastAsia="TimesNewRoman"/>
          <w:color w:val="000000"/>
        </w:rPr>
        <w:t>” basis, and f</w:t>
      </w:r>
      <w:r w:rsidR="005728FA" w:rsidRPr="007D7FB2">
        <w:rPr>
          <w:rFonts w:eastAsia="TimesNewRoman"/>
          <w:color w:val="000000"/>
        </w:rPr>
        <w:t>or patients already adequately controlled on both an inhaled corticosteroid and a long-acting β2 agonist.</w:t>
      </w:r>
    </w:p>
    <w:p w:rsidR="005728FA" w:rsidRPr="007D7FB2" w:rsidRDefault="00CB4155" w:rsidP="00F74B3D">
      <w:pPr>
        <w:pStyle w:val="Heading2"/>
      </w:pPr>
      <w:r w:rsidRPr="007D7FB2">
        <w:t>CONTRAINDICATIONS</w:t>
      </w:r>
    </w:p>
    <w:p w:rsidR="005728FA" w:rsidRPr="007D7FB2" w:rsidRDefault="00031374" w:rsidP="000649D6">
      <w:pPr>
        <w:autoSpaceDE w:val="0"/>
        <w:autoSpaceDN w:val="0"/>
        <w:adjustRightInd w:val="0"/>
        <w:ind w:right="-360"/>
        <w:jc w:val="both"/>
        <w:rPr>
          <w:rFonts w:eastAsia="TimesNewRoman"/>
          <w:color w:val="000000"/>
        </w:rPr>
      </w:pPr>
      <w:r>
        <w:rPr>
          <w:rFonts w:eastAsia="TimesNewRoman"/>
          <w:color w:val="000000"/>
        </w:rPr>
        <w:t>FLUTIFORM</w:t>
      </w:r>
      <w:r w:rsidR="006B64DC" w:rsidRPr="006B64DC">
        <w:rPr>
          <w:rFonts w:eastAsia="TimesNewRoman"/>
          <w:color w:val="000000"/>
          <w:vertAlign w:val="superscript"/>
        </w:rPr>
        <w:t>®</w:t>
      </w:r>
      <w:r w:rsidR="005728FA" w:rsidRPr="007D7FB2">
        <w:rPr>
          <w:rFonts w:eastAsia="TimesNewRoman"/>
          <w:color w:val="000000"/>
        </w:rPr>
        <w:t xml:space="preserve"> </w:t>
      </w:r>
      <w:r w:rsidR="00381D65">
        <w:rPr>
          <w:rFonts w:eastAsia="TimesNewRoman"/>
          <w:color w:val="000000"/>
        </w:rPr>
        <w:t>inhaler</w:t>
      </w:r>
      <w:r>
        <w:rPr>
          <w:rFonts w:eastAsia="TimesNewRoman"/>
          <w:color w:val="000000"/>
        </w:rPr>
        <w:t xml:space="preserve"> </w:t>
      </w:r>
      <w:r w:rsidR="005728FA" w:rsidRPr="007D7FB2">
        <w:rPr>
          <w:rFonts w:eastAsia="TimesNewRoman"/>
          <w:color w:val="000000"/>
        </w:rPr>
        <w:t>is contraindicated in patients with hypersensitivity to any of the active substances or to the</w:t>
      </w:r>
      <w:r w:rsidR="00F6670B" w:rsidRPr="007D7FB2">
        <w:rPr>
          <w:rFonts w:eastAsia="TimesNewRoman"/>
          <w:color w:val="000000"/>
        </w:rPr>
        <w:t xml:space="preserve"> </w:t>
      </w:r>
      <w:r w:rsidR="006B64DC">
        <w:rPr>
          <w:rFonts w:eastAsia="TimesNewRoman"/>
          <w:color w:val="000000"/>
        </w:rPr>
        <w:t>excipients</w:t>
      </w:r>
      <w:r w:rsidR="005728FA" w:rsidRPr="007D7FB2">
        <w:rPr>
          <w:rFonts w:eastAsia="TimesNewRoman"/>
          <w:color w:val="000000"/>
        </w:rPr>
        <w:t>.</w:t>
      </w:r>
    </w:p>
    <w:p w:rsidR="005728FA" w:rsidRPr="007D7FB2" w:rsidRDefault="00CB4155" w:rsidP="00F74B3D">
      <w:pPr>
        <w:pStyle w:val="Heading2"/>
      </w:pPr>
      <w:r w:rsidRPr="007D7FB2">
        <w:t>PRECAUTIONS</w:t>
      </w:r>
    </w:p>
    <w:p w:rsidR="00A14002" w:rsidRPr="00025FA0" w:rsidRDefault="00A14002" w:rsidP="00A32CC3">
      <w:pPr>
        <w:pStyle w:val="Heading3"/>
      </w:pPr>
      <w:r w:rsidRPr="007F1B66">
        <w:t>Treatment guidelines</w:t>
      </w:r>
    </w:p>
    <w:p w:rsidR="00F94CAB" w:rsidRPr="00577862" w:rsidRDefault="00D058BC" w:rsidP="000649D6">
      <w:pPr>
        <w:autoSpaceDE w:val="0"/>
        <w:autoSpaceDN w:val="0"/>
        <w:adjustRightInd w:val="0"/>
        <w:ind w:right="-360"/>
        <w:jc w:val="both"/>
        <w:rPr>
          <w:rFonts w:eastAsia="TimesNewRoman"/>
          <w:color w:val="000000"/>
        </w:rPr>
      </w:pPr>
      <w:r w:rsidRPr="00577862">
        <w:rPr>
          <w:rFonts w:eastAsia="TimesNewRoman"/>
          <w:color w:val="000000"/>
        </w:rPr>
        <w:t>FLUTIFORM</w:t>
      </w:r>
      <w:r w:rsidR="006B64DC" w:rsidRPr="00577862">
        <w:rPr>
          <w:rFonts w:eastAsia="TimesNewRoman"/>
          <w:color w:val="000000"/>
          <w:vertAlign w:val="superscript"/>
        </w:rPr>
        <w:t>®</w:t>
      </w:r>
      <w:r w:rsidR="00A14002" w:rsidRPr="00577862">
        <w:rPr>
          <w:rFonts w:eastAsia="TimesNewRoman"/>
          <w:color w:val="000000"/>
        </w:rPr>
        <w:t xml:space="preserve"> </w:t>
      </w:r>
      <w:r w:rsidR="00381D65" w:rsidRPr="00577862">
        <w:rPr>
          <w:rFonts w:eastAsia="TimesNewRoman"/>
          <w:color w:val="000000"/>
        </w:rPr>
        <w:t>inhaler</w:t>
      </w:r>
      <w:r w:rsidR="00031374" w:rsidRPr="00577862">
        <w:rPr>
          <w:rFonts w:eastAsia="TimesNewRoman"/>
          <w:color w:val="000000"/>
        </w:rPr>
        <w:t xml:space="preserve"> </w:t>
      </w:r>
      <w:r w:rsidR="00A14002" w:rsidRPr="00577862">
        <w:rPr>
          <w:rFonts w:eastAsia="TimesNewRoman"/>
          <w:color w:val="000000"/>
        </w:rPr>
        <w:t xml:space="preserve">should not be used as the first treatment for asthma.  </w:t>
      </w:r>
      <w:r w:rsidR="00FA6AA2" w:rsidRPr="00577862">
        <w:rPr>
          <w:rFonts w:eastAsia="TimesNewRoman"/>
          <w:color w:val="000000"/>
        </w:rPr>
        <w:t xml:space="preserve">It is indicated for adolescents over 12 years and adults over 18 years.  </w:t>
      </w:r>
      <w:r w:rsidR="005728FA" w:rsidRPr="00577862">
        <w:rPr>
          <w:rFonts w:eastAsia="TimesNewRoman"/>
          <w:color w:val="000000"/>
        </w:rPr>
        <w:t>The management of asthma should normally follow a stepwise programme and patients’ responses should</w:t>
      </w:r>
      <w:r w:rsidR="00F6670B" w:rsidRPr="00577862">
        <w:rPr>
          <w:rFonts w:eastAsia="TimesNewRoman"/>
          <w:color w:val="000000"/>
        </w:rPr>
        <w:t xml:space="preserve"> </w:t>
      </w:r>
      <w:r w:rsidR="005728FA" w:rsidRPr="00577862">
        <w:rPr>
          <w:rFonts w:eastAsia="TimesNewRoman"/>
          <w:color w:val="000000"/>
        </w:rPr>
        <w:t xml:space="preserve">be monitored clinically and </w:t>
      </w:r>
      <w:r w:rsidR="00E00FAD" w:rsidRPr="00577862">
        <w:rPr>
          <w:rFonts w:eastAsia="TimesNewRoman"/>
          <w:color w:val="000000"/>
        </w:rPr>
        <w:t xml:space="preserve">with </w:t>
      </w:r>
      <w:r w:rsidR="005728FA" w:rsidRPr="00577862">
        <w:rPr>
          <w:rFonts w:eastAsia="TimesNewRoman"/>
          <w:color w:val="000000"/>
        </w:rPr>
        <w:t>lung function tests.</w:t>
      </w:r>
    </w:p>
    <w:p w:rsidR="005728FA" w:rsidRPr="00577862" w:rsidRDefault="00031374" w:rsidP="00A32CC3">
      <w:pPr>
        <w:autoSpaceDE w:val="0"/>
        <w:autoSpaceDN w:val="0"/>
        <w:adjustRightInd w:val="0"/>
        <w:spacing w:before="100" w:beforeAutospacing="1" w:after="100" w:afterAutospacing="1"/>
        <w:ind w:right="-360"/>
        <w:jc w:val="both"/>
        <w:rPr>
          <w:rFonts w:eastAsia="TimesNewRoman"/>
          <w:color w:val="000000"/>
        </w:rPr>
      </w:pPr>
      <w:r w:rsidRPr="00577862">
        <w:rPr>
          <w:rFonts w:eastAsia="TimesNewRoman"/>
          <w:color w:val="000000"/>
        </w:rPr>
        <w:t>FLUTIFORM</w:t>
      </w:r>
      <w:r w:rsidR="006B64DC" w:rsidRPr="00577862">
        <w:rPr>
          <w:rFonts w:eastAsia="TimesNewRoman"/>
          <w:color w:val="000000"/>
          <w:vertAlign w:val="superscript"/>
        </w:rPr>
        <w:t>®</w:t>
      </w:r>
      <w:r w:rsidR="005728FA" w:rsidRPr="00577862">
        <w:rPr>
          <w:rFonts w:eastAsia="TimesNewRoman"/>
          <w:color w:val="000000"/>
        </w:rPr>
        <w:t xml:space="preserve"> </w:t>
      </w:r>
      <w:r w:rsidR="00381D65" w:rsidRPr="00577862">
        <w:rPr>
          <w:rFonts w:eastAsia="TimesNewRoman"/>
          <w:color w:val="000000"/>
        </w:rPr>
        <w:t>inhaler</w:t>
      </w:r>
      <w:r w:rsidRPr="00577862">
        <w:rPr>
          <w:rFonts w:eastAsia="TimesNewRoman"/>
          <w:color w:val="000000"/>
        </w:rPr>
        <w:t xml:space="preserve"> </w:t>
      </w:r>
      <w:r w:rsidR="005728FA" w:rsidRPr="00577862">
        <w:rPr>
          <w:rFonts w:eastAsia="TimesNewRoman"/>
          <w:color w:val="000000"/>
        </w:rPr>
        <w:t>should not be used to treat acute asthma symptoms</w:t>
      </w:r>
      <w:r w:rsidR="008A3034" w:rsidRPr="00577862">
        <w:rPr>
          <w:rFonts w:eastAsia="TimesNewRoman"/>
          <w:color w:val="000000"/>
        </w:rPr>
        <w:t>,</w:t>
      </w:r>
      <w:r w:rsidR="005728FA" w:rsidRPr="00577862">
        <w:rPr>
          <w:rFonts w:eastAsia="TimesNewRoman"/>
          <w:color w:val="000000"/>
        </w:rPr>
        <w:t xml:space="preserve"> for which a fast and short-acting bronchodilator</w:t>
      </w:r>
      <w:r w:rsidR="00F6670B" w:rsidRPr="00577862">
        <w:rPr>
          <w:rFonts w:eastAsia="TimesNewRoman"/>
          <w:color w:val="000000"/>
        </w:rPr>
        <w:t xml:space="preserve"> </w:t>
      </w:r>
      <w:r w:rsidR="005728FA" w:rsidRPr="00577862">
        <w:rPr>
          <w:rFonts w:eastAsia="TimesNewRoman"/>
          <w:color w:val="000000"/>
        </w:rPr>
        <w:t>is required.</w:t>
      </w:r>
      <w:r w:rsidR="00A14002" w:rsidRPr="00577862">
        <w:rPr>
          <w:rFonts w:eastAsia="TimesNewRoman"/>
          <w:color w:val="000000"/>
        </w:rPr>
        <w:t xml:space="preserve">  </w:t>
      </w:r>
      <w:r w:rsidR="0090349E" w:rsidRPr="00577862">
        <w:rPr>
          <w:rFonts w:eastAsia="TimesNewRoman"/>
          <w:color w:val="000000"/>
        </w:rPr>
        <w:t>FLUTIFORM</w:t>
      </w:r>
      <w:r w:rsidR="008A3034" w:rsidRPr="00577862">
        <w:rPr>
          <w:bCs/>
          <w:color w:val="000000"/>
          <w:vertAlign w:val="superscript"/>
        </w:rPr>
        <w:t>®</w:t>
      </w:r>
      <w:r w:rsidR="008A3034" w:rsidRPr="00577862">
        <w:rPr>
          <w:rFonts w:eastAsia="TimesNewRoman"/>
          <w:color w:val="000000"/>
        </w:rPr>
        <w:t xml:space="preserve"> inhaler should not be used to transfer patients from oral to inhaled corticosteroids.  </w:t>
      </w:r>
      <w:r w:rsidR="005728FA" w:rsidRPr="00577862">
        <w:rPr>
          <w:rFonts w:eastAsia="TimesNewRoman"/>
          <w:color w:val="000000"/>
        </w:rPr>
        <w:t>Patients should be advised to have their medicine</w:t>
      </w:r>
      <w:r w:rsidR="00A14002" w:rsidRPr="00577862">
        <w:rPr>
          <w:rFonts w:eastAsia="TimesNewRoman"/>
          <w:color w:val="000000"/>
        </w:rPr>
        <w:t xml:space="preserve"> available at all times</w:t>
      </w:r>
      <w:r w:rsidR="005728FA" w:rsidRPr="00577862">
        <w:rPr>
          <w:rFonts w:eastAsia="TimesNewRoman"/>
          <w:color w:val="000000"/>
        </w:rPr>
        <w:t xml:space="preserve"> for relief </w:t>
      </w:r>
      <w:r w:rsidR="00E00FAD" w:rsidRPr="00577862">
        <w:rPr>
          <w:rFonts w:eastAsia="TimesNewRoman"/>
          <w:color w:val="000000"/>
        </w:rPr>
        <w:t xml:space="preserve">during </w:t>
      </w:r>
      <w:r w:rsidR="005728FA" w:rsidRPr="00577862">
        <w:rPr>
          <w:rFonts w:eastAsia="TimesNewRoman"/>
          <w:color w:val="000000"/>
        </w:rPr>
        <w:t>an acute asthma</w:t>
      </w:r>
      <w:r w:rsidR="00F6670B" w:rsidRPr="00577862">
        <w:rPr>
          <w:rFonts w:eastAsia="TimesNewRoman"/>
          <w:color w:val="000000"/>
        </w:rPr>
        <w:t xml:space="preserve"> </w:t>
      </w:r>
      <w:r w:rsidR="005728FA" w:rsidRPr="00577862">
        <w:rPr>
          <w:rFonts w:eastAsia="TimesNewRoman"/>
          <w:color w:val="000000"/>
        </w:rPr>
        <w:t>attack.</w:t>
      </w:r>
    </w:p>
    <w:p w:rsidR="005728FA" w:rsidRPr="00577862" w:rsidRDefault="005728FA" w:rsidP="00A32CC3">
      <w:pPr>
        <w:autoSpaceDE w:val="0"/>
        <w:autoSpaceDN w:val="0"/>
        <w:adjustRightInd w:val="0"/>
        <w:spacing w:before="100" w:beforeAutospacing="1" w:after="100" w:afterAutospacing="1"/>
        <w:ind w:right="-360"/>
        <w:jc w:val="both"/>
        <w:rPr>
          <w:rFonts w:eastAsia="TimesNewRoman"/>
          <w:color w:val="000000"/>
        </w:rPr>
      </w:pPr>
      <w:r w:rsidRPr="00577862">
        <w:rPr>
          <w:rFonts w:eastAsia="TimesNewRoman"/>
          <w:color w:val="000000"/>
        </w:rPr>
        <w:t xml:space="preserve">Patients should not be initiated on </w:t>
      </w:r>
      <w:r w:rsidR="00031374" w:rsidRPr="00577862">
        <w:rPr>
          <w:rFonts w:eastAsia="TimesNewRoman"/>
          <w:color w:val="000000"/>
        </w:rPr>
        <w:t>FLUTIFORM</w:t>
      </w:r>
      <w:r w:rsidR="006B64DC" w:rsidRPr="00577862">
        <w:rPr>
          <w:rFonts w:eastAsia="TimesNewRoman"/>
          <w:color w:val="000000"/>
          <w:vertAlign w:val="superscript"/>
        </w:rPr>
        <w:t>®</w:t>
      </w:r>
      <w:r w:rsidRPr="00577862">
        <w:rPr>
          <w:rFonts w:eastAsia="TimesNewRoman"/>
          <w:color w:val="000000"/>
        </w:rPr>
        <w:t xml:space="preserve"> </w:t>
      </w:r>
      <w:r w:rsidR="00381D65" w:rsidRPr="00577862">
        <w:rPr>
          <w:rFonts w:eastAsia="TimesNewRoman"/>
          <w:color w:val="000000"/>
        </w:rPr>
        <w:t>inhaler</w:t>
      </w:r>
      <w:r w:rsidR="00031374" w:rsidRPr="00577862">
        <w:rPr>
          <w:rFonts w:eastAsia="TimesNewRoman"/>
          <w:color w:val="000000"/>
        </w:rPr>
        <w:t xml:space="preserve"> </w:t>
      </w:r>
      <w:r w:rsidRPr="00577862">
        <w:rPr>
          <w:rFonts w:eastAsia="TimesNewRoman"/>
          <w:color w:val="000000"/>
        </w:rPr>
        <w:t>during an exacerbation, or if they have significantly worsening</w:t>
      </w:r>
      <w:r w:rsidR="00F6670B" w:rsidRPr="00577862">
        <w:rPr>
          <w:rFonts w:eastAsia="TimesNewRoman"/>
          <w:color w:val="000000"/>
        </w:rPr>
        <w:t xml:space="preserve"> </w:t>
      </w:r>
      <w:r w:rsidRPr="00577862">
        <w:rPr>
          <w:rFonts w:eastAsia="TimesNewRoman"/>
          <w:color w:val="000000"/>
        </w:rPr>
        <w:t>or acutely deteriorating asthma.</w:t>
      </w:r>
      <w:r w:rsidR="00A14002" w:rsidRPr="00577862">
        <w:rPr>
          <w:rFonts w:eastAsia="TimesNewRoman"/>
          <w:color w:val="000000"/>
        </w:rPr>
        <w:t xml:space="preserve">  </w:t>
      </w:r>
      <w:r w:rsidRPr="00577862">
        <w:rPr>
          <w:rFonts w:eastAsia="TimesNewRoman"/>
          <w:color w:val="000000"/>
        </w:rPr>
        <w:t xml:space="preserve">Serious asthma-related adverse events and exacerbations may occur during treatment with </w:t>
      </w:r>
      <w:r w:rsidR="00031374" w:rsidRPr="00577862">
        <w:rPr>
          <w:rFonts w:eastAsia="TimesNewRoman"/>
          <w:color w:val="000000"/>
        </w:rPr>
        <w:t>FLUTIFORM</w:t>
      </w:r>
      <w:r w:rsidR="006B64DC" w:rsidRPr="00577862">
        <w:rPr>
          <w:rFonts w:eastAsia="TimesNewRoman"/>
          <w:color w:val="000000"/>
          <w:vertAlign w:val="superscript"/>
        </w:rPr>
        <w:t>®</w:t>
      </w:r>
      <w:r w:rsidR="00381D65" w:rsidRPr="00577862">
        <w:rPr>
          <w:rFonts w:eastAsia="TimesNewRoman"/>
          <w:color w:val="000000"/>
          <w:vertAlign w:val="superscript"/>
        </w:rPr>
        <w:t xml:space="preserve"> </w:t>
      </w:r>
      <w:r w:rsidR="00381D65" w:rsidRPr="00577862">
        <w:rPr>
          <w:rFonts w:eastAsia="TimesNewRoman"/>
          <w:color w:val="000000"/>
        </w:rPr>
        <w:t>inhaler</w:t>
      </w:r>
      <w:r w:rsidR="00074DE3" w:rsidRPr="00577862">
        <w:rPr>
          <w:rFonts w:eastAsia="TimesNewRoman"/>
          <w:color w:val="000000"/>
        </w:rPr>
        <w:t>.</w:t>
      </w:r>
      <w:r w:rsidRPr="00577862">
        <w:rPr>
          <w:rFonts w:eastAsia="TimesNewRoman"/>
          <w:color w:val="000000"/>
        </w:rPr>
        <w:t xml:space="preserve"> </w:t>
      </w:r>
      <w:r w:rsidR="00A62F4D" w:rsidRPr="00577862">
        <w:rPr>
          <w:rFonts w:eastAsia="TimesNewRoman"/>
          <w:color w:val="000000"/>
        </w:rPr>
        <w:t xml:space="preserve"> </w:t>
      </w:r>
      <w:r w:rsidRPr="00577862">
        <w:rPr>
          <w:rFonts w:eastAsia="TimesNewRoman"/>
          <w:color w:val="000000"/>
        </w:rPr>
        <w:t>Patients</w:t>
      </w:r>
      <w:r w:rsidR="00F6670B" w:rsidRPr="00577862">
        <w:rPr>
          <w:rFonts w:eastAsia="TimesNewRoman"/>
          <w:color w:val="000000"/>
        </w:rPr>
        <w:t xml:space="preserve"> </w:t>
      </w:r>
      <w:r w:rsidRPr="00577862">
        <w:rPr>
          <w:rFonts w:eastAsia="TimesNewRoman"/>
          <w:color w:val="000000"/>
        </w:rPr>
        <w:t>should be asked to continue treatment but to seek medical advice if asthma symptoms remain uncontrolled</w:t>
      </w:r>
      <w:r w:rsidR="00F6670B" w:rsidRPr="00577862">
        <w:rPr>
          <w:rFonts w:eastAsia="TimesNewRoman"/>
          <w:color w:val="000000"/>
        </w:rPr>
        <w:t xml:space="preserve"> </w:t>
      </w:r>
      <w:r w:rsidRPr="00577862">
        <w:rPr>
          <w:rFonts w:eastAsia="TimesNewRoman"/>
          <w:color w:val="000000"/>
        </w:rPr>
        <w:t xml:space="preserve">or worsen after initiation on </w:t>
      </w:r>
      <w:r w:rsidR="00031374" w:rsidRPr="00577862">
        <w:rPr>
          <w:rFonts w:eastAsia="TimesNewRoman"/>
          <w:color w:val="000000"/>
        </w:rPr>
        <w:t>FLUTIFORM</w:t>
      </w:r>
      <w:r w:rsidR="006B64DC" w:rsidRPr="00577862">
        <w:rPr>
          <w:rFonts w:eastAsia="TimesNewRoman"/>
          <w:color w:val="000000"/>
          <w:vertAlign w:val="superscript"/>
        </w:rPr>
        <w:t>®</w:t>
      </w:r>
      <w:r w:rsidR="00031374" w:rsidRPr="00577862">
        <w:rPr>
          <w:rFonts w:eastAsia="TimesNewRoman"/>
          <w:color w:val="000000"/>
        </w:rPr>
        <w:t xml:space="preserve"> </w:t>
      </w:r>
      <w:r w:rsidR="00381D65" w:rsidRPr="00577862">
        <w:rPr>
          <w:rFonts w:eastAsia="TimesNewRoman"/>
          <w:color w:val="000000"/>
        </w:rPr>
        <w:t>inhaler</w:t>
      </w:r>
      <w:r w:rsidR="00031374" w:rsidRPr="00577862">
        <w:rPr>
          <w:rFonts w:eastAsia="TimesNewRoman"/>
          <w:color w:val="000000"/>
        </w:rPr>
        <w:t>.</w:t>
      </w:r>
    </w:p>
    <w:p w:rsidR="005728FA" w:rsidRPr="00577862" w:rsidRDefault="00B85395" w:rsidP="00A32CC3">
      <w:pPr>
        <w:autoSpaceDE w:val="0"/>
        <w:autoSpaceDN w:val="0"/>
        <w:adjustRightInd w:val="0"/>
        <w:spacing w:before="100" w:beforeAutospacing="1" w:after="100" w:afterAutospacing="1"/>
        <w:ind w:right="-540"/>
        <w:jc w:val="both"/>
        <w:rPr>
          <w:rFonts w:eastAsia="TimesNewRoman"/>
          <w:color w:val="000000"/>
        </w:rPr>
      </w:pPr>
      <w:r w:rsidRPr="00577862">
        <w:rPr>
          <w:rFonts w:eastAsia="TimesNewRoman"/>
          <w:color w:val="000000"/>
        </w:rPr>
        <w:t xml:space="preserve">Increasing use of short-acting bronchodilators to relieve asthma symptoms indicates </w:t>
      </w:r>
      <w:r w:rsidR="00A62F4D" w:rsidRPr="00577862">
        <w:rPr>
          <w:rFonts w:eastAsia="TimesNewRoman"/>
          <w:color w:val="000000"/>
        </w:rPr>
        <w:t xml:space="preserve">a </w:t>
      </w:r>
      <w:r w:rsidRPr="00577862">
        <w:rPr>
          <w:rFonts w:eastAsia="TimesNewRoman"/>
          <w:color w:val="000000"/>
        </w:rPr>
        <w:t>deterioration of asthma control</w:t>
      </w:r>
      <w:r w:rsidR="00A62F4D" w:rsidRPr="00577862">
        <w:rPr>
          <w:rFonts w:eastAsia="TimesNewRoman"/>
          <w:color w:val="000000"/>
        </w:rPr>
        <w:t>,</w:t>
      </w:r>
      <w:r w:rsidRPr="00577862">
        <w:rPr>
          <w:rFonts w:eastAsia="TimesNewRoman"/>
          <w:color w:val="000000"/>
        </w:rPr>
        <w:t xml:space="preserve"> and </w:t>
      </w:r>
      <w:r w:rsidR="00A62F4D" w:rsidRPr="00577862">
        <w:rPr>
          <w:rFonts w:eastAsia="TimesNewRoman"/>
          <w:color w:val="000000"/>
        </w:rPr>
        <w:t xml:space="preserve">these </w:t>
      </w:r>
      <w:r w:rsidRPr="00577862">
        <w:rPr>
          <w:rFonts w:eastAsia="TimesNewRoman"/>
          <w:color w:val="000000"/>
        </w:rPr>
        <w:t xml:space="preserve">patients should be reviewed by a physician.  </w:t>
      </w:r>
      <w:r w:rsidR="005728FA" w:rsidRPr="00577862">
        <w:rPr>
          <w:rFonts w:eastAsia="TimesNewRoman"/>
          <w:color w:val="000000"/>
        </w:rPr>
        <w:t xml:space="preserve">Sudden and progressive deterioration in </w:t>
      </w:r>
      <w:r w:rsidR="00A62F4D" w:rsidRPr="00577862">
        <w:rPr>
          <w:rFonts w:eastAsia="TimesNewRoman"/>
          <w:color w:val="000000"/>
        </w:rPr>
        <w:t xml:space="preserve">the </w:t>
      </w:r>
      <w:r w:rsidR="005728FA" w:rsidRPr="00577862">
        <w:rPr>
          <w:rFonts w:eastAsia="TimesNewRoman"/>
          <w:color w:val="000000"/>
        </w:rPr>
        <w:t xml:space="preserve">control of asthma is potentially life-threatening and </w:t>
      </w:r>
      <w:r w:rsidR="00A62F4D" w:rsidRPr="00577862">
        <w:rPr>
          <w:rFonts w:eastAsia="TimesNewRoman"/>
          <w:color w:val="000000"/>
        </w:rPr>
        <w:t xml:space="preserve">these </w:t>
      </w:r>
      <w:r w:rsidR="005728FA" w:rsidRPr="00577862">
        <w:rPr>
          <w:rFonts w:eastAsia="TimesNewRoman"/>
          <w:color w:val="000000"/>
        </w:rPr>
        <w:t>patient</w:t>
      </w:r>
      <w:r w:rsidR="00A62F4D" w:rsidRPr="00577862">
        <w:rPr>
          <w:rFonts w:eastAsia="TimesNewRoman"/>
          <w:color w:val="000000"/>
        </w:rPr>
        <w:t>s</w:t>
      </w:r>
      <w:r w:rsidR="00F6670B" w:rsidRPr="00577862">
        <w:rPr>
          <w:rFonts w:eastAsia="TimesNewRoman"/>
          <w:color w:val="000000"/>
        </w:rPr>
        <w:t xml:space="preserve"> </w:t>
      </w:r>
      <w:r w:rsidR="00A62F4D" w:rsidRPr="00577862">
        <w:rPr>
          <w:rFonts w:eastAsia="TimesNewRoman"/>
          <w:color w:val="000000"/>
        </w:rPr>
        <w:t>require</w:t>
      </w:r>
      <w:r w:rsidR="005728FA" w:rsidRPr="00577862">
        <w:rPr>
          <w:rFonts w:eastAsia="TimesNewRoman"/>
          <w:color w:val="000000"/>
        </w:rPr>
        <w:t xml:space="preserve"> urgent medical assessment. </w:t>
      </w:r>
      <w:r w:rsidR="00A62F4D" w:rsidRPr="00577862">
        <w:rPr>
          <w:rFonts w:eastAsia="TimesNewRoman"/>
          <w:color w:val="000000"/>
        </w:rPr>
        <w:t xml:space="preserve"> P</w:t>
      </w:r>
      <w:r w:rsidR="005728FA" w:rsidRPr="00577862">
        <w:rPr>
          <w:rFonts w:eastAsia="TimesNewRoman"/>
          <w:color w:val="000000"/>
        </w:rPr>
        <w:t>atient</w:t>
      </w:r>
      <w:r w:rsidR="00A62F4D" w:rsidRPr="00577862">
        <w:rPr>
          <w:rFonts w:eastAsia="TimesNewRoman"/>
          <w:color w:val="000000"/>
        </w:rPr>
        <w:t>s</w:t>
      </w:r>
      <w:r w:rsidR="005728FA" w:rsidRPr="00577862">
        <w:rPr>
          <w:rFonts w:eastAsia="TimesNewRoman"/>
          <w:color w:val="000000"/>
        </w:rPr>
        <w:t xml:space="preserve"> should be medically reviewed when the</w:t>
      </w:r>
      <w:r w:rsidR="00A62F4D" w:rsidRPr="00577862">
        <w:rPr>
          <w:rFonts w:eastAsia="TimesNewRoman"/>
          <w:color w:val="000000"/>
        </w:rPr>
        <w:t>ir</w:t>
      </w:r>
      <w:r w:rsidR="005728FA" w:rsidRPr="00577862">
        <w:rPr>
          <w:rFonts w:eastAsia="TimesNewRoman"/>
          <w:color w:val="000000"/>
        </w:rPr>
        <w:t xml:space="preserve"> current dosage of </w:t>
      </w:r>
      <w:r w:rsidR="00975E6C" w:rsidRPr="00577862">
        <w:rPr>
          <w:rFonts w:eastAsia="TimesNewRoman"/>
          <w:color w:val="000000"/>
        </w:rPr>
        <w:t>FLUTIFORM</w:t>
      </w:r>
      <w:r w:rsidR="006B64DC" w:rsidRPr="00577862">
        <w:rPr>
          <w:rFonts w:eastAsia="TimesNewRoman"/>
          <w:color w:val="000000"/>
          <w:vertAlign w:val="superscript"/>
        </w:rPr>
        <w:t>®</w:t>
      </w:r>
      <w:r w:rsidR="005728FA" w:rsidRPr="00577862">
        <w:rPr>
          <w:rFonts w:eastAsia="TimesNewRoman"/>
          <w:color w:val="000000"/>
        </w:rPr>
        <w:t xml:space="preserve"> fail</w:t>
      </w:r>
      <w:r w:rsidR="00A62F4D" w:rsidRPr="00577862">
        <w:rPr>
          <w:rFonts w:eastAsia="TimesNewRoman"/>
          <w:color w:val="000000"/>
        </w:rPr>
        <w:t xml:space="preserve">s </w:t>
      </w:r>
      <w:r w:rsidR="005728FA" w:rsidRPr="00577862">
        <w:rPr>
          <w:rFonts w:eastAsia="TimesNewRoman"/>
          <w:color w:val="000000"/>
        </w:rPr>
        <w:t>to</w:t>
      </w:r>
      <w:r w:rsidR="00F6670B" w:rsidRPr="00577862">
        <w:rPr>
          <w:rFonts w:eastAsia="TimesNewRoman"/>
          <w:color w:val="000000"/>
        </w:rPr>
        <w:t xml:space="preserve"> </w:t>
      </w:r>
      <w:r w:rsidR="005728FA" w:rsidRPr="00577862">
        <w:rPr>
          <w:rFonts w:eastAsia="TimesNewRoman"/>
          <w:color w:val="000000"/>
        </w:rPr>
        <w:t xml:space="preserve">give adequate control of asthma. </w:t>
      </w:r>
      <w:r w:rsidR="00F6670B" w:rsidRPr="00577862">
        <w:rPr>
          <w:rFonts w:eastAsia="TimesNewRoman"/>
          <w:color w:val="000000"/>
        </w:rPr>
        <w:t xml:space="preserve"> C</w:t>
      </w:r>
      <w:r w:rsidR="005728FA" w:rsidRPr="00577862">
        <w:rPr>
          <w:rFonts w:eastAsia="TimesNewRoman"/>
          <w:color w:val="000000"/>
        </w:rPr>
        <w:t xml:space="preserve">onsideration should be given to </w:t>
      </w:r>
      <w:r w:rsidR="00A62F4D" w:rsidRPr="00577862">
        <w:rPr>
          <w:rFonts w:eastAsia="TimesNewRoman"/>
          <w:color w:val="000000"/>
        </w:rPr>
        <w:t xml:space="preserve">either increasing, or to </w:t>
      </w:r>
      <w:r w:rsidR="005728FA" w:rsidRPr="00577862">
        <w:rPr>
          <w:rFonts w:eastAsia="TimesNewRoman"/>
          <w:color w:val="000000"/>
        </w:rPr>
        <w:t>additional corticosteroid therapies.</w:t>
      </w:r>
      <w:r w:rsidR="00025FA0">
        <w:rPr>
          <w:rFonts w:eastAsia="TimesNewRoman"/>
          <w:color w:val="000000"/>
        </w:rPr>
        <w:t xml:space="preserve">  </w:t>
      </w:r>
      <w:r w:rsidR="005728FA" w:rsidRPr="00577862">
        <w:rPr>
          <w:rFonts w:eastAsia="TimesNewRoman"/>
          <w:color w:val="000000"/>
        </w:rPr>
        <w:t>The lowest effective dose of</w:t>
      </w:r>
      <w:r w:rsidR="00F6670B" w:rsidRPr="00577862">
        <w:rPr>
          <w:rFonts w:eastAsia="TimesNewRoman"/>
          <w:color w:val="000000"/>
        </w:rPr>
        <w:t xml:space="preserve"> </w:t>
      </w:r>
      <w:r w:rsidR="00975E6C" w:rsidRPr="00577862">
        <w:rPr>
          <w:rFonts w:eastAsia="TimesNewRoman"/>
          <w:color w:val="000000"/>
        </w:rPr>
        <w:t>FLUTIFORM</w:t>
      </w:r>
      <w:r w:rsidR="006B64DC" w:rsidRPr="00577862">
        <w:rPr>
          <w:rFonts w:eastAsia="TimesNewRoman"/>
          <w:color w:val="000000"/>
          <w:vertAlign w:val="superscript"/>
        </w:rPr>
        <w:t>®</w:t>
      </w:r>
      <w:r w:rsidR="005728FA" w:rsidRPr="00577862">
        <w:rPr>
          <w:rFonts w:eastAsia="TimesNewRoman"/>
          <w:color w:val="000000"/>
        </w:rPr>
        <w:t xml:space="preserve"> </w:t>
      </w:r>
      <w:r w:rsidR="00381D65" w:rsidRPr="00577862">
        <w:rPr>
          <w:rFonts w:eastAsia="TimesNewRoman"/>
          <w:color w:val="000000"/>
        </w:rPr>
        <w:t>inhaler</w:t>
      </w:r>
      <w:r w:rsidR="00975E6C" w:rsidRPr="00577862">
        <w:rPr>
          <w:rFonts w:eastAsia="TimesNewRoman"/>
          <w:color w:val="000000"/>
        </w:rPr>
        <w:t xml:space="preserve"> </w:t>
      </w:r>
      <w:r w:rsidR="006B64DC" w:rsidRPr="00577862">
        <w:rPr>
          <w:rFonts w:eastAsia="TimesNewRoman"/>
          <w:color w:val="000000"/>
        </w:rPr>
        <w:t>should be used</w:t>
      </w:r>
      <w:r w:rsidR="005728FA" w:rsidRPr="00577862">
        <w:rPr>
          <w:rFonts w:eastAsia="TimesNewRoman"/>
          <w:color w:val="000000"/>
        </w:rPr>
        <w:t>.</w:t>
      </w:r>
      <w:r w:rsidR="00A14002" w:rsidRPr="00577862">
        <w:rPr>
          <w:rFonts w:eastAsia="TimesNewRoman"/>
          <w:color w:val="000000"/>
        </w:rPr>
        <w:t xml:space="preserve">  T</w:t>
      </w:r>
      <w:r w:rsidR="005728FA" w:rsidRPr="00577862">
        <w:rPr>
          <w:rFonts w:eastAsia="TimesNewRoman"/>
          <w:color w:val="000000"/>
        </w:rPr>
        <w:t xml:space="preserve">reatment with </w:t>
      </w:r>
      <w:r w:rsidR="00975E6C" w:rsidRPr="00577862">
        <w:rPr>
          <w:rFonts w:eastAsia="TimesNewRoman"/>
          <w:color w:val="000000"/>
        </w:rPr>
        <w:t>FLUTIFORM</w:t>
      </w:r>
      <w:r w:rsidR="006B64DC" w:rsidRPr="00577862">
        <w:rPr>
          <w:rFonts w:eastAsia="TimesNewRoman"/>
          <w:color w:val="000000"/>
          <w:vertAlign w:val="superscript"/>
        </w:rPr>
        <w:t>®</w:t>
      </w:r>
      <w:r w:rsidR="005728FA" w:rsidRPr="00577862">
        <w:rPr>
          <w:rFonts w:eastAsia="TimesNewRoman"/>
          <w:color w:val="000000"/>
        </w:rPr>
        <w:t xml:space="preserve"> </w:t>
      </w:r>
      <w:r w:rsidR="002E78E4" w:rsidRPr="00577862">
        <w:rPr>
          <w:rFonts w:eastAsia="TimesNewRoman"/>
          <w:color w:val="000000"/>
        </w:rPr>
        <w:t>s</w:t>
      </w:r>
      <w:r w:rsidR="005728FA" w:rsidRPr="00577862">
        <w:rPr>
          <w:rFonts w:eastAsia="TimesNewRoman"/>
          <w:color w:val="000000"/>
        </w:rPr>
        <w:t>hould not be stopped abruptly in patients with asthma</w:t>
      </w:r>
      <w:r w:rsidR="00A62F4D" w:rsidRPr="00577862">
        <w:rPr>
          <w:rFonts w:eastAsia="TimesNewRoman"/>
          <w:color w:val="000000"/>
        </w:rPr>
        <w:t>,</w:t>
      </w:r>
      <w:r w:rsidR="005728FA" w:rsidRPr="00577862">
        <w:rPr>
          <w:rFonts w:eastAsia="TimesNewRoman"/>
          <w:color w:val="000000"/>
        </w:rPr>
        <w:t xml:space="preserve"> due to risk of exacerbation.</w:t>
      </w:r>
      <w:r w:rsidR="00F6670B" w:rsidRPr="00577862">
        <w:rPr>
          <w:rFonts w:eastAsia="TimesNewRoman"/>
          <w:color w:val="000000"/>
        </w:rPr>
        <w:t xml:space="preserve">  </w:t>
      </w:r>
      <w:r w:rsidR="005728FA" w:rsidRPr="00577862">
        <w:rPr>
          <w:rFonts w:eastAsia="TimesNewRoman"/>
          <w:color w:val="000000"/>
        </w:rPr>
        <w:t>Therapy should be down-titrated under the supervision of a</w:t>
      </w:r>
      <w:r w:rsidR="00A14002" w:rsidRPr="00577862">
        <w:rPr>
          <w:rFonts w:eastAsia="TimesNewRoman"/>
          <w:color w:val="000000"/>
        </w:rPr>
        <w:t xml:space="preserve"> physician</w:t>
      </w:r>
      <w:r w:rsidR="005728FA" w:rsidRPr="00577862">
        <w:rPr>
          <w:rFonts w:eastAsia="TimesNewRoman"/>
          <w:color w:val="000000"/>
        </w:rPr>
        <w:t>.</w:t>
      </w:r>
    </w:p>
    <w:p w:rsidR="00025FA0" w:rsidRDefault="003E2FB8" w:rsidP="00A32CC3">
      <w:pPr>
        <w:pStyle w:val="Heading4"/>
        <w:rPr>
          <w:rFonts w:eastAsia="TimesNewRoman"/>
        </w:rPr>
      </w:pPr>
      <w:r w:rsidRPr="007F1B66">
        <w:rPr>
          <w:rFonts w:eastAsia="TimesNewRoman"/>
        </w:rPr>
        <w:t>To avoid overtreatment and unnecessary adverse events</w:t>
      </w:r>
      <w:r>
        <w:rPr>
          <w:rFonts w:eastAsia="TimesNewRoman"/>
        </w:rPr>
        <w:t>:</w:t>
      </w:r>
    </w:p>
    <w:p w:rsidR="00025FA0" w:rsidRDefault="003E2FB8" w:rsidP="000649D6">
      <w:pPr>
        <w:autoSpaceDE w:val="0"/>
        <w:autoSpaceDN w:val="0"/>
        <w:adjustRightInd w:val="0"/>
        <w:ind w:right="-360"/>
        <w:jc w:val="both"/>
        <w:rPr>
          <w:rFonts w:eastAsia="TimesNewRoman"/>
          <w:color w:val="000000"/>
        </w:rPr>
      </w:pPr>
      <w:r>
        <w:rPr>
          <w:rFonts w:eastAsia="TimesNewRoman"/>
          <w:color w:val="000000"/>
        </w:rPr>
        <w:t xml:space="preserve">Initiate therapy with sufficient medication to achieve best lung function promptly, and after about 3 months of good control (which is characterised by few symptoms, minimal use of short-acting </w:t>
      </w:r>
      <w:r w:rsidR="00687B56">
        <w:rPr>
          <w:rFonts w:eastAsia="TimesNewRoman"/>
          <w:color w:val="000000"/>
        </w:rPr>
        <w:t>beta</w:t>
      </w:r>
      <w:r>
        <w:rPr>
          <w:rFonts w:eastAsia="TimesNewRoman"/>
          <w:color w:val="000000"/>
        </w:rPr>
        <w:t>2</w:t>
      </w:r>
      <w:r w:rsidR="00687B56">
        <w:rPr>
          <w:rFonts w:eastAsia="TimesNewRoman"/>
          <w:color w:val="000000"/>
        </w:rPr>
        <w:t>-</w:t>
      </w:r>
      <w:r>
        <w:rPr>
          <w:rFonts w:eastAsia="TimesNewRoman"/>
          <w:color w:val="000000"/>
        </w:rPr>
        <w:t>agonists and no exercise limitation), reduce inhaled corticosteroids to the minimum dose needed to maintain adequate asthma control (‘stepping down’).</w:t>
      </w:r>
    </w:p>
    <w:p w:rsidR="00A14002" w:rsidRPr="00A32CC3" w:rsidRDefault="00A14002" w:rsidP="00A32CC3">
      <w:pPr>
        <w:pStyle w:val="Heading3"/>
      </w:pPr>
      <w:r w:rsidRPr="00A32CC3">
        <w:lastRenderedPageBreak/>
        <w:t>Precautions for use</w:t>
      </w:r>
    </w:p>
    <w:p w:rsidR="00687B56" w:rsidRDefault="00687B56" w:rsidP="000649D6">
      <w:pPr>
        <w:autoSpaceDE w:val="0"/>
        <w:autoSpaceDN w:val="0"/>
        <w:adjustRightInd w:val="0"/>
        <w:ind w:right="-360"/>
        <w:jc w:val="both"/>
        <w:rPr>
          <w:rFonts w:eastAsia="TimesNewRoman"/>
          <w:color w:val="000000"/>
        </w:rPr>
      </w:pPr>
      <w:r>
        <w:rPr>
          <w:rFonts w:eastAsia="TimesNewRoman"/>
          <w:color w:val="000000"/>
        </w:rPr>
        <w:t>FLUTIFORM</w:t>
      </w:r>
      <w:r w:rsidRPr="00577862">
        <w:rPr>
          <w:rFonts w:eastAsia="TimesNewRoman"/>
          <w:color w:val="000000"/>
          <w:vertAlign w:val="superscript"/>
        </w:rPr>
        <w:t>®</w:t>
      </w:r>
      <w:r>
        <w:rPr>
          <w:rFonts w:eastAsia="TimesNewRoman"/>
          <w:color w:val="000000"/>
        </w:rPr>
        <w:t xml:space="preserve"> inhaler should not be used more often than recommended, at higher doses than recommended or in combination with other medications containing long-acting beta2-agonists.</w:t>
      </w:r>
    </w:p>
    <w:p w:rsidR="00F94CAB" w:rsidRDefault="005728FA" w:rsidP="00A32CC3">
      <w:pPr>
        <w:autoSpaceDE w:val="0"/>
        <w:autoSpaceDN w:val="0"/>
        <w:adjustRightInd w:val="0"/>
        <w:ind w:right="-360"/>
        <w:jc w:val="both"/>
        <w:rPr>
          <w:rFonts w:eastAsia="TimesNewRoman"/>
          <w:color w:val="000000"/>
        </w:rPr>
      </w:pPr>
      <w:r w:rsidRPr="00577862">
        <w:rPr>
          <w:rFonts w:eastAsia="TimesNewRoman"/>
          <w:color w:val="000000"/>
        </w:rPr>
        <w:t xml:space="preserve">As with all inhaled medication containing corticosteroids, </w:t>
      </w:r>
      <w:r w:rsidR="00D058BC" w:rsidRPr="00577862">
        <w:rPr>
          <w:rFonts w:eastAsia="TimesNewRoman"/>
          <w:color w:val="000000"/>
        </w:rPr>
        <w:t>FLUTIFORM</w:t>
      </w:r>
      <w:r w:rsidR="00975E6C" w:rsidRPr="00577862">
        <w:rPr>
          <w:rFonts w:eastAsia="TimesNewRoman"/>
          <w:color w:val="000000"/>
          <w:vertAlign w:val="superscript"/>
        </w:rPr>
        <w:t>®</w:t>
      </w:r>
      <w:r w:rsidR="00D058BC" w:rsidRPr="00577862">
        <w:rPr>
          <w:rFonts w:eastAsia="TimesNewRoman"/>
          <w:color w:val="000000"/>
        </w:rPr>
        <w:t xml:space="preserve"> </w:t>
      </w:r>
      <w:r w:rsidR="00381D65" w:rsidRPr="00577862">
        <w:rPr>
          <w:rFonts w:eastAsia="TimesNewRoman"/>
          <w:color w:val="000000"/>
        </w:rPr>
        <w:t>inhaler</w:t>
      </w:r>
      <w:r w:rsidRPr="00577862">
        <w:rPr>
          <w:rFonts w:eastAsia="TimesNewRoman"/>
          <w:color w:val="000000"/>
        </w:rPr>
        <w:t xml:space="preserve"> should be administered with caution in</w:t>
      </w:r>
      <w:r w:rsidR="00F6670B" w:rsidRPr="00577862">
        <w:rPr>
          <w:rFonts w:eastAsia="TimesNewRoman"/>
          <w:color w:val="000000"/>
        </w:rPr>
        <w:t xml:space="preserve"> </w:t>
      </w:r>
      <w:r w:rsidRPr="00577862">
        <w:rPr>
          <w:rFonts w:eastAsia="TimesNewRoman"/>
          <w:color w:val="000000"/>
        </w:rPr>
        <w:t>patients with pulmonary tuberculosis.</w:t>
      </w:r>
    </w:p>
    <w:p w:rsidR="00FB3F9D" w:rsidRPr="00D402D2" w:rsidRDefault="00FB3F9D" w:rsidP="00A32CC3">
      <w:pPr>
        <w:pStyle w:val="Heading3"/>
      </w:pPr>
      <w:r w:rsidRPr="007F1B66">
        <w:t>Cardiovascular effects</w:t>
      </w:r>
    </w:p>
    <w:p w:rsidR="00FB3F9D" w:rsidRDefault="00FB3F9D" w:rsidP="000649D6">
      <w:pPr>
        <w:autoSpaceDE w:val="0"/>
        <w:autoSpaceDN w:val="0"/>
        <w:adjustRightInd w:val="0"/>
        <w:ind w:right="-540"/>
        <w:jc w:val="both"/>
        <w:rPr>
          <w:rFonts w:eastAsia="TimesNewRoman"/>
          <w:color w:val="000000"/>
        </w:rPr>
      </w:pPr>
      <w:r>
        <w:rPr>
          <w:rFonts w:eastAsia="TimesNewRoman"/>
          <w:color w:val="000000"/>
        </w:rPr>
        <w:t>Cardiovascular effects, such as increases in systolic blood pressure and hear</w:t>
      </w:r>
      <w:r w:rsidR="00CB6932">
        <w:rPr>
          <w:rFonts w:eastAsia="TimesNewRoman"/>
          <w:color w:val="000000"/>
        </w:rPr>
        <w:t>t</w:t>
      </w:r>
      <w:r>
        <w:rPr>
          <w:rFonts w:eastAsia="TimesNewRoman"/>
          <w:color w:val="000000"/>
        </w:rPr>
        <w:t xml:space="preserve"> rate, may occasionally be seen with all sympathomimetic drugs, especially at higher than therapeutic doses.  For this reason, </w:t>
      </w:r>
      <w:r w:rsidR="00D058BC">
        <w:rPr>
          <w:rFonts w:eastAsia="TimesNewRoman"/>
          <w:color w:val="000000"/>
        </w:rPr>
        <w:t>FLUTIFORM</w:t>
      </w:r>
      <w:r w:rsidR="006B64DC" w:rsidRPr="006B64DC">
        <w:rPr>
          <w:rFonts w:eastAsia="TimesNewRoman"/>
          <w:color w:val="000000"/>
          <w:vertAlign w:val="superscript"/>
        </w:rPr>
        <w:t>®</w:t>
      </w:r>
      <w:r w:rsidR="005728FA" w:rsidRPr="007D7FB2">
        <w:rPr>
          <w:rFonts w:eastAsia="TimesNewRoman"/>
          <w:color w:val="000000"/>
        </w:rPr>
        <w:t xml:space="preserve"> </w:t>
      </w:r>
      <w:r w:rsidR="00381D65">
        <w:rPr>
          <w:rFonts w:eastAsia="TimesNewRoman"/>
          <w:color w:val="000000"/>
        </w:rPr>
        <w:t>inhaler</w:t>
      </w:r>
      <w:r w:rsidR="00975E6C">
        <w:rPr>
          <w:rFonts w:eastAsia="TimesNewRoman"/>
          <w:color w:val="000000"/>
        </w:rPr>
        <w:t xml:space="preserve"> </w:t>
      </w:r>
      <w:r w:rsidR="005728FA" w:rsidRPr="007D7FB2">
        <w:rPr>
          <w:rFonts w:eastAsia="TimesNewRoman"/>
          <w:color w:val="000000"/>
        </w:rPr>
        <w:t xml:space="preserve">should be used with caution in patients with </w:t>
      </w:r>
      <w:r>
        <w:rPr>
          <w:rFonts w:eastAsia="TimesNewRoman"/>
          <w:color w:val="000000"/>
        </w:rPr>
        <w:t>pre-existing</w:t>
      </w:r>
      <w:r w:rsidR="005728FA" w:rsidRPr="007D7FB2">
        <w:rPr>
          <w:rFonts w:eastAsia="TimesNewRoman"/>
          <w:color w:val="000000"/>
        </w:rPr>
        <w:t xml:space="preserve"> cardiovascular dis</w:t>
      </w:r>
      <w:r w:rsidR="00A32CC3">
        <w:rPr>
          <w:rFonts w:eastAsia="TimesNewRoman"/>
          <w:color w:val="000000"/>
        </w:rPr>
        <w:t>ease.</w:t>
      </w:r>
    </w:p>
    <w:p w:rsidR="00F94CAB" w:rsidRDefault="00FB3F9D" w:rsidP="00A32CC3">
      <w:pPr>
        <w:autoSpaceDE w:val="0"/>
        <w:autoSpaceDN w:val="0"/>
        <w:adjustRightInd w:val="0"/>
        <w:spacing w:before="100" w:beforeAutospacing="1" w:after="100" w:afterAutospacing="1"/>
        <w:ind w:right="-540"/>
        <w:jc w:val="both"/>
        <w:rPr>
          <w:rFonts w:eastAsia="TimesNewRoman"/>
          <w:color w:val="000000"/>
        </w:rPr>
      </w:pPr>
      <w:r>
        <w:rPr>
          <w:rFonts w:eastAsia="TimesNewRoman"/>
          <w:color w:val="000000"/>
        </w:rPr>
        <w:t xml:space="preserve">A transient increase in </w:t>
      </w:r>
      <w:r w:rsidR="005728FA" w:rsidRPr="007D7FB2">
        <w:rPr>
          <w:rFonts w:eastAsia="TimesNewRoman"/>
          <w:color w:val="000000"/>
        </w:rPr>
        <w:t>serum potassium</w:t>
      </w:r>
      <w:r>
        <w:rPr>
          <w:rFonts w:eastAsia="TimesNewRoman"/>
          <w:color w:val="000000"/>
        </w:rPr>
        <w:t xml:space="preserve"> may be seen with all sympathomimetic drugs at higher therapeutic doses</w:t>
      </w:r>
      <w:r w:rsidR="005728FA" w:rsidRPr="007D7FB2">
        <w:rPr>
          <w:rFonts w:eastAsia="TimesNewRoman"/>
          <w:color w:val="000000"/>
        </w:rPr>
        <w:t>.</w:t>
      </w:r>
    </w:p>
    <w:p w:rsidR="00C102A1" w:rsidRDefault="00C102A1" w:rsidP="00A32CC3">
      <w:pPr>
        <w:autoSpaceDE w:val="0"/>
        <w:autoSpaceDN w:val="0"/>
        <w:adjustRightInd w:val="0"/>
        <w:spacing w:before="100" w:beforeAutospacing="1" w:after="100" w:afterAutospacing="1"/>
        <w:ind w:right="-540"/>
        <w:jc w:val="both"/>
        <w:rPr>
          <w:rFonts w:eastAsia="TimesNewRoman"/>
          <w:color w:val="000000"/>
        </w:rPr>
      </w:pPr>
      <w:r>
        <w:rPr>
          <w:rFonts w:eastAsia="TimesNewRoman"/>
          <w:color w:val="000000"/>
        </w:rPr>
        <w:t>FLUTIFORM</w:t>
      </w:r>
      <w:r w:rsidRPr="006B64DC">
        <w:rPr>
          <w:rFonts w:eastAsia="TimesNewRoman"/>
          <w:color w:val="000000"/>
          <w:vertAlign w:val="superscript"/>
        </w:rPr>
        <w:t>®</w:t>
      </w:r>
      <w:r>
        <w:rPr>
          <w:rFonts w:eastAsia="TimesNewRoman"/>
          <w:color w:val="000000"/>
        </w:rPr>
        <w:t xml:space="preserve"> inhaler</w:t>
      </w:r>
      <w:r w:rsidRPr="00C102A1">
        <w:rPr>
          <w:rFonts w:eastAsia="TimesNewRoman"/>
          <w:color w:val="000000"/>
        </w:rPr>
        <w:t xml:space="preserve"> </w:t>
      </w:r>
      <w:r w:rsidRPr="007D7FB2">
        <w:rPr>
          <w:rFonts w:eastAsia="TimesNewRoman"/>
          <w:color w:val="000000"/>
        </w:rPr>
        <w:t>should be used with caution in patients with</w:t>
      </w:r>
      <w:r>
        <w:rPr>
          <w:rFonts w:eastAsia="TimesNewRoman"/>
          <w:color w:val="000000"/>
        </w:rPr>
        <w:t xml:space="preserve"> a history of diabetes mellitus, thyrotoxicosis, uncorrected hypokalaemia or patients predisposed to low levels of serum potassium.</w:t>
      </w:r>
    </w:p>
    <w:p w:rsidR="005728FA" w:rsidRPr="007D7FB2" w:rsidRDefault="005728FA" w:rsidP="00A32CC3">
      <w:pPr>
        <w:autoSpaceDE w:val="0"/>
        <w:autoSpaceDN w:val="0"/>
        <w:adjustRightInd w:val="0"/>
        <w:spacing w:before="100" w:beforeAutospacing="1" w:after="100" w:afterAutospacing="1"/>
        <w:ind w:right="-360"/>
        <w:jc w:val="both"/>
        <w:rPr>
          <w:rFonts w:eastAsia="TimesNewRoman"/>
          <w:color w:val="000000"/>
        </w:rPr>
      </w:pPr>
      <w:r w:rsidRPr="007D7FB2">
        <w:rPr>
          <w:rFonts w:eastAsia="TimesNewRoman"/>
          <w:color w:val="000000"/>
        </w:rPr>
        <w:t xml:space="preserve">Care should be taken when transferring patients to </w:t>
      </w:r>
      <w:r w:rsidR="00D058BC">
        <w:rPr>
          <w:rFonts w:eastAsia="TimesNewRoman"/>
          <w:color w:val="000000"/>
        </w:rPr>
        <w:t>FLUTIFORM</w:t>
      </w:r>
      <w:r w:rsidR="006B64DC" w:rsidRPr="006B64DC">
        <w:rPr>
          <w:rFonts w:eastAsia="TimesNewRoman"/>
          <w:color w:val="000000"/>
          <w:vertAlign w:val="superscript"/>
        </w:rPr>
        <w:t>®</w:t>
      </w:r>
      <w:r w:rsidRPr="007D7FB2">
        <w:rPr>
          <w:rFonts w:eastAsia="TimesNewRoman"/>
          <w:color w:val="000000"/>
        </w:rPr>
        <w:t xml:space="preserve"> </w:t>
      </w:r>
      <w:r w:rsidR="00381D65">
        <w:rPr>
          <w:rFonts w:eastAsia="TimesNewRoman"/>
          <w:color w:val="000000"/>
        </w:rPr>
        <w:t>inhaler</w:t>
      </w:r>
      <w:r w:rsidR="00975E6C">
        <w:rPr>
          <w:rFonts w:eastAsia="TimesNewRoman"/>
          <w:color w:val="000000"/>
        </w:rPr>
        <w:t xml:space="preserve"> </w:t>
      </w:r>
      <w:r w:rsidRPr="007D7FB2">
        <w:rPr>
          <w:rFonts w:eastAsia="TimesNewRoman"/>
          <w:color w:val="000000"/>
        </w:rPr>
        <w:t>therapy, particularly if there is any reason to</w:t>
      </w:r>
      <w:r w:rsidR="00F6670B" w:rsidRPr="007D7FB2">
        <w:rPr>
          <w:rFonts w:eastAsia="TimesNewRoman"/>
          <w:color w:val="000000"/>
        </w:rPr>
        <w:t xml:space="preserve"> </w:t>
      </w:r>
      <w:r w:rsidRPr="007D7FB2">
        <w:rPr>
          <w:rFonts w:eastAsia="TimesNewRoman"/>
          <w:color w:val="000000"/>
        </w:rPr>
        <w:t>suppose that adrenal function is impaired from previous systemic steroid therapy.</w:t>
      </w:r>
    </w:p>
    <w:p w:rsidR="005728FA" w:rsidRPr="007D7FB2" w:rsidRDefault="005728FA" w:rsidP="00A32CC3">
      <w:pPr>
        <w:autoSpaceDE w:val="0"/>
        <w:autoSpaceDN w:val="0"/>
        <w:adjustRightInd w:val="0"/>
        <w:spacing w:before="100" w:beforeAutospacing="1" w:after="100" w:afterAutospacing="1"/>
        <w:ind w:right="-360"/>
        <w:jc w:val="both"/>
        <w:rPr>
          <w:rFonts w:eastAsia="TimesNewRoman"/>
          <w:color w:val="000000"/>
        </w:rPr>
      </w:pPr>
      <w:r w:rsidRPr="007D7FB2">
        <w:rPr>
          <w:rFonts w:eastAsia="TimesNewRoman"/>
          <w:color w:val="000000"/>
        </w:rPr>
        <w:t>As with other inhalation therapy paradoxical bronchospasm may occur</w:t>
      </w:r>
      <w:r w:rsidR="00A62F4D">
        <w:rPr>
          <w:rFonts w:eastAsia="TimesNewRoman"/>
          <w:color w:val="000000"/>
        </w:rPr>
        <w:t>,</w:t>
      </w:r>
      <w:r w:rsidRPr="007D7FB2">
        <w:rPr>
          <w:rFonts w:eastAsia="TimesNewRoman"/>
          <w:color w:val="000000"/>
        </w:rPr>
        <w:t xml:space="preserve"> with an immediate increase in</w:t>
      </w:r>
      <w:r w:rsidR="00F6670B" w:rsidRPr="007D7FB2">
        <w:rPr>
          <w:rFonts w:eastAsia="TimesNewRoman"/>
          <w:color w:val="000000"/>
        </w:rPr>
        <w:t xml:space="preserve"> </w:t>
      </w:r>
      <w:r w:rsidRPr="007D7FB2">
        <w:rPr>
          <w:rFonts w:eastAsia="TimesNewRoman"/>
          <w:color w:val="000000"/>
        </w:rPr>
        <w:t xml:space="preserve">wheezing after dosing. </w:t>
      </w:r>
      <w:r w:rsidR="00A62F4D">
        <w:rPr>
          <w:rFonts w:eastAsia="TimesNewRoman"/>
          <w:color w:val="000000"/>
        </w:rPr>
        <w:t xml:space="preserve"> </w:t>
      </w:r>
      <w:r w:rsidR="00D058BC">
        <w:rPr>
          <w:rFonts w:eastAsia="TimesNewRoman"/>
          <w:color w:val="000000"/>
        </w:rPr>
        <w:t>FLUTIFORM</w:t>
      </w:r>
      <w:r w:rsidR="006B64DC" w:rsidRPr="006B64DC">
        <w:rPr>
          <w:rFonts w:eastAsia="TimesNewRoman"/>
          <w:color w:val="000000"/>
          <w:vertAlign w:val="superscript"/>
        </w:rPr>
        <w:t>®</w:t>
      </w:r>
      <w:r w:rsidRPr="007D7FB2">
        <w:rPr>
          <w:rFonts w:eastAsia="TimesNewRoman"/>
          <w:color w:val="000000"/>
        </w:rPr>
        <w:t xml:space="preserve"> </w:t>
      </w:r>
      <w:r w:rsidR="00381D65">
        <w:rPr>
          <w:rFonts w:eastAsia="TimesNewRoman"/>
          <w:color w:val="000000"/>
        </w:rPr>
        <w:t>inhaler</w:t>
      </w:r>
      <w:r w:rsidR="00975E6C">
        <w:rPr>
          <w:rFonts w:eastAsia="TimesNewRoman"/>
          <w:color w:val="000000"/>
        </w:rPr>
        <w:t xml:space="preserve"> </w:t>
      </w:r>
      <w:r w:rsidRPr="007D7FB2">
        <w:rPr>
          <w:rFonts w:eastAsia="TimesNewRoman"/>
          <w:color w:val="000000"/>
        </w:rPr>
        <w:t>should be discontinued immediately, the patient assessed and alternative</w:t>
      </w:r>
      <w:r w:rsidR="00F6670B" w:rsidRPr="007D7FB2">
        <w:rPr>
          <w:rFonts w:eastAsia="TimesNewRoman"/>
          <w:color w:val="000000"/>
        </w:rPr>
        <w:t xml:space="preserve"> </w:t>
      </w:r>
      <w:r w:rsidRPr="007D7FB2">
        <w:rPr>
          <w:rFonts w:eastAsia="TimesNewRoman"/>
          <w:color w:val="000000"/>
        </w:rPr>
        <w:t xml:space="preserve">therapy instituted if </w:t>
      </w:r>
      <w:r w:rsidR="00A62F4D">
        <w:rPr>
          <w:rFonts w:eastAsia="TimesNewRoman"/>
          <w:color w:val="000000"/>
        </w:rPr>
        <w:t>required</w:t>
      </w:r>
      <w:r w:rsidRPr="007D7FB2">
        <w:rPr>
          <w:rFonts w:eastAsia="TimesNewRoman"/>
          <w:color w:val="000000"/>
        </w:rPr>
        <w:t>.</w:t>
      </w:r>
    </w:p>
    <w:p w:rsidR="001E2545" w:rsidRPr="00C0556B" w:rsidRDefault="001E2545" w:rsidP="00A32CC3">
      <w:pPr>
        <w:pStyle w:val="Heading3"/>
      </w:pPr>
      <w:r w:rsidRPr="007F1B66">
        <w:t>Possible systemic effects, including adrenocortical function, bone density and growth</w:t>
      </w:r>
    </w:p>
    <w:p w:rsidR="006F2A72" w:rsidRDefault="001E2545" w:rsidP="000649D6">
      <w:pPr>
        <w:autoSpaceDE w:val="0"/>
        <w:autoSpaceDN w:val="0"/>
        <w:adjustRightInd w:val="0"/>
        <w:ind w:right="-360"/>
        <w:jc w:val="both"/>
        <w:rPr>
          <w:rFonts w:eastAsia="TimesNewRoman"/>
          <w:color w:val="000000"/>
        </w:rPr>
      </w:pPr>
      <w:r w:rsidRPr="0077306C">
        <w:rPr>
          <w:rFonts w:eastAsia="TimesNewRoman"/>
          <w:color w:val="000000"/>
        </w:rPr>
        <w:t>Inhaled corticosteroids</w:t>
      </w:r>
      <w:r>
        <w:rPr>
          <w:rFonts w:eastAsia="TimesNewRoman"/>
          <w:b/>
          <w:color w:val="000000"/>
        </w:rPr>
        <w:t xml:space="preserve"> </w:t>
      </w:r>
      <w:r w:rsidRPr="001E2545">
        <w:rPr>
          <w:rFonts w:eastAsia="TimesNewRoman"/>
          <w:color w:val="000000"/>
        </w:rPr>
        <w:t>are designed to direct</w:t>
      </w:r>
      <w:r>
        <w:rPr>
          <w:rFonts w:eastAsia="TimesNewRoman"/>
          <w:color w:val="000000"/>
        </w:rPr>
        <w:t xml:space="preserve"> glucocorticoid delivery to the lungs in order to reduce the overall</w:t>
      </w:r>
      <w:r>
        <w:rPr>
          <w:rFonts w:eastAsia="TimesNewRoman"/>
          <w:b/>
          <w:color w:val="000000"/>
        </w:rPr>
        <w:t xml:space="preserve"> </w:t>
      </w:r>
      <w:r w:rsidRPr="001E2545">
        <w:rPr>
          <w:rFonts w:eastAsia="TimesNewRoman"/>
          <w:color w:val="000000"/>
        </w:rPr>
        <w:t>s</w:t>
      </w:r>
      <w:r w:rsidR="005728FA" w:rsidRPr="007D7FB2">
        <w:rPr>
          <w:rFonts w:eastAsia="TimesNewRoman"/>
          <w:color w:val="000000"/>
        </w:rPr>
        <w:t xml:space="preserve">ystemic </w:t>
      </w:r>
      <w:proofErr w:type="spellStart"/>
      <w:r>
        <w:rPr>
          <w:rFonts w:eastAsia="TimesNewRoman"/>
          <w:color w:val="000000"/>
        </w:rPr>
        <w:t>glucorticoid</w:t>
      </w:r>
      <w:proofErr w:type="spellEnd"/>
      <w:r>
        <w:rPr>
          <w:rFonts w:eastAsia="TimesNewRoman"/>
          <w:color w:val="000000"/>
        </w:rPr>
        <w:t xml:space="preserve"> exposure and side </w:t>
      </w:r>
      <w:r w:rsidR="005728FA" w:rsidRPr="007D7FB2">
        <w:rPr>
          <w:rFonts w:eastAsia="TimesNewRoman"/>
          <w:color w:val="000000"/>
        </w:rPr>
        <w:t>effects</w:t>
      </w:r>
      <w:r>
        <w:rPr>
          <w:rFonts w:eastAsia="TimesNewRoman"/>
          <w:color w:val="000000"/>
        </w:rPr>
        <w:t>.  With sufficient doses, however, all</w:t>
      </w:r>
      <w:r w:rsidR="005728FA" w:rsidRPr="007D7FB2">
        <w:rPr>
          <w:rFonts w:eastAsia="TimesNewRoman"/>
          <w:color w:val="000000"/>
        </w:rPr>
        <w:t xml:space="preserve"> inhaled steroid</w:t>
      </w:r>
      <w:r>
        <w:rPr>
          <w:rFonts w:eastAsia="TimesNewRoman"/>
          <w:color w:val="000000"/>
        </w:rPr>
        <w:t>s can have adverse effects:</w:t>
      </w:r>
      <w:r w:rsidR="005728FA" w:rsidRPr="007D7FB2">
        <w:rPr>
          <w:rFonts w:eastAsia="TimesNewRoman"/>
          <w:color w:val="000000"/>
        </w:rPr>
        <w:t xml:space="preserve"> </w:t>
      </w:r>
      <w:r w:rsidR="00A62F4D">
        <w:rPr>
          <w:rFonts w:eastAsia="TimesNewRoman"/>
          <w:color w:val="000000"/>
        </w:rPr>
        <w:t xml:space="preserve"> </w:t>
      </w:r>
      <w:r>
        <w:rPr>
          <w:rFonts w:eastAsia="TimesNewRoman"/>
          <w:color w:val="000000"/>
        </w:rPr>
        <w:t>p</w:t>
      </w:r>
      <w:r w:rsidR="005728FA" w:rsidRPr="007D7FB2">
        <w:rPr>
          <w:rFonts w:eastAsia="TimesNewRoman"/>
          <w:color w:val="000000"/>
        </w:rPr>
        <w:t>ossible systemic</w:t>
      </w:r>
      <w:r w:rsidR="00F6670B" w:rsidRPr="007D7FB2">
        <w:rPr>
          <w:rFonts w:eastAsia="TimesNewRoman"/>
          <w:color w:val="000000"/>
        </w:rPr>
        <w:t xml:space="preserve"> </w:t>
      </w:r>
      <w:r w:rsidR="005728FA" w:rsidRPr="007D7FB2">
        <w:rPr>
          <w:rFonts w:eastAsia="TimesNewRoman"/>
          <w:color w:val="000000"/>
        </w:rPr>
        <w:t xml:space="preserve">effects include Cushing's syndrome, </w:t>
      </w:r>
      <w:proofErr w:type="spellStart"/>
      <w:r w:rsidR="005728FA" w:rsidRPr="007D7FB2">
        <w:rPr>
          <w:rFonts w:eastAsia="TimesNewRoman"/>
          <w:color w:val="000000"/>
        </w:rPr>
        <w:t>Cushingoid</w:t>
      </w:r>
      <w:proofErr w:type="spellEnd"/>
      <w:r w:rsidR="005728FA" w:rsidRPr="007D7FB2">
        <w:rPr>
          <w:rFonts w:eastAsia="TimesNewRoman"/>
          <w:color w:val="000000"/>
        </w:rPr>
        <w:t xml:space="preserve"> features, </w:t>
      </w:r>
      <w:r>
        <w:rPr>
          <w:rFonts w:eastAsia="TimesNewRoman"/>
          <w:color w:val="000000"/>
        </w:rPr>
        <w:t xml:space="preserve">depression of the hypothalamic-pituitary </w:t>
      </w:r>
      <w:r w:rsidR="005728FA" w:rsidRPr="007D7FB2">
        <w:rPr>
          <w:rFonts w:eastAsia="TimesNewRoman"/>
          <w:color w:val="000000"/>
        </w:rPr>
        <w:t xml:space="preserve">adrenal </w:t>
      </w:r>
      <w:r>
        <w:rPr>
          <w:rFonts w:eastAsia="TimesNewRoman"/>
          <w:color w:val="000000"/>
        </w:rPr>
        <w:t>(HPA) axis</w:t>
      </w:r>
      <w:r w:rsidR="005728FA" w:rsidRPr="007D7FB2">
        <w:rPr>
          <w:rFonts w:eastAsia="TimesNewRoman"/>
          <w:color w:val="000000"/>
        </w:rPr>
        <w:t>,</w:t>
      </w:r>
      <w:r>
        <w:rPr>
          <w:rFonts w:eastAsia="TimesNewRoman"/>
          <w:color w:val="000000"/>
        </w:rPr>
        <w:t xml:space="preserve"> reduction of bone mineral density, cataract, glaucoma and</w:t>
      </w:r>
      <w:r w:rsidR="005728FA" w:rsidRPr="007D7FB2">
        <w:rPr>
          <w:rFonts w:eastAsia="TimesNewRoman"/>
          <w:color w:val="000000"/>
        </w:rPr>
        <w:t xml:space="preserve"> retardation </w:t>
      </w:r>
      <w:r>
        <w:rPr>
          <w:rFonts w:eastAsia="TimesNewRoman"/>
          <w:color w:val="000000"/>
        </w:rPr>
        <w:t xml:space="preserve">of growth rate </w:t>
      </w:r>
      <w:r w:rsidR="005728FA" w:rsidRPr="007D7FB2">
        <w:rPr>
          <w:rFonts w:eastAsia="TimesNewRoman"/>
          <w:color w:val="000000"/>
        </w:rPr>
        <w:t>in</w:t>
      </w:r>
      <w:r w:rsidR="00F6670B" w:rsidRPr="007D7FB2">
        <w:rPr>
          <w:rFonts w:eastAsia="TimesNewRoman"/>
          <w:color w:val="000000"/>
        </w:rPr>
        <w:t xml:space="preserve"> </w:t>
      </w:r>
      <w:r w:rsidR="005728FA" w:rsidRPr="007D7FB2">
        <w:rPr>
          <w:rFonts w:eastAsia="TimesNewRoman"/>
          <w:color w:val="000000"/>
        </w:rPr>
        <w:t>children and adolescents</w:t>
      </w:r>
      <w:r w:rsidR="006F2A72">
        <w:rPr>
          <w:rFonts w:eastAsia="TimesNewRoman"/>
          <w:color w:val="000000"/>
        </w:rPr>
        <w:t xml:space="preserve"> (see OVERDOSAGE)</w:t>
      </w:r>
      <w:r w:rsidR="00A32CC3">
        <w:rPr>
          <w:rFonts w:eastAsia="TimesNewRoman"/>
          <w:color w:val="000000"/>
        </w:rPr>
        <w:t>.</w:t>
      </w:r>
    </w:p>
    <w:p w:rsidR="00274943" w:rsidRDefault="006F2A72" w:rsidP="00A32CC3">
      <w:pPr>
        <w:autoSpaceDE w:val="0"/>
        <w:autoSpaceDN w:val="0"/>
        <w:adjustRightInd w:val="0"/>
        <w:spacing w:before="100" w:beforeAutospacing="1" w:after="100" w:afterAutospacing="1"/>
        <w:ind w:right="-357"/>
        <w:jc w:val="both"/>
        <w:rPr>
          <w:rFonts w:eastAsia="TimesNewRoman"/>
          <w:color w:val="000000"/>
        </w:rPr>
      </w:pPr>
      <w:r>
        <w:rPr>
          <w:rFonts w:eastAsia="TimesNewRoman"/>
          <w:color w:val="000000"/>
        </w:rPr>
        <w:t>T</w:t>
      </w:r>
      <w:r w:rsidR="005728FA" w:rsidRPr="007D7FB2">
        <w:rPr>
          <w:rFonts w:eastAsia="TimesNewRoman"/>
          <w:color w:val="000000"/>
        </w:rPr>
        <w:t xml:space="preserve">he </w:t>
      </w:r>
      <w:r>
        <w:rPr>
          <w:rFonts w:eastAsia="TimesNewRoman"/>
          <w:color w:val="000000"/>
        </w:rPr>
        <w:t xml:space="preserve">lowest </w:t>
      </w:r>
      <w:r w:rsidR="005728FA" w:rsidRPr="007D7FB2">
        <w:rPr>
          <w:rFonts w:eastAsia="TimesNewRoman"/>
          <w:color w:val="000000"/>
        </w:rPr>
        <w:t xml:space="preserve">dose of inhaled </w:t>
      </w:r>
      <w:r>
        <w:rPr>
          <w:rFonts w:eastAsia="TimesNewRoman"/>
          <w:color w:val="000000"/>
        </w:rPr>
        <w:t>fluticasone that causes suppression of the HPA axis (as</w:t>
      </w:r>
      <w:r w:rsidR="00C0556B">
        <w:rPr>
          <w:rFonts w:eastAsia="TimesNewRoman"/>
          <w:color w:val="000000"/>
        </w:rPr>
        <w:t xml:space="preserve"> indicated by the 24 hour urinary cortisol concentrations, effects on bone mineral density or growth</w:t>
      </w:r>
      <w:r w:rsidR="00C0556B" w:rsidRPr="007D7FB2">
        <w:rPr>
          <w:rFonts w:eastAsia="TimesNewRoman"/>
          <w:color w:val="000000"/>
        </w:rPr>
        <w:t xml:space="preserve"> retardation</w:t>
      </w:r>
      <w:r w:rsidR="00C0556B">
        <w:rPr>
          <w:rFonts w:eastAsia="TimesNewRoman"/>
          <w:color w:val="000000"/>
        </w:rPr>
        <w:t xml:space="preserve"> </w:t>
      </w:r>
      <w:r w:rsidR="00C0556B" w:rsidRPr="007D7FB2">
        <w:rPr>
          <w:rFonts w:eastAsia="TimesNewRoman"/>
          <w:color w:val="000000"/>
        </w:rPr>
        <w:t>in children</w:t>
      </w:r>
      <w:r w:rsidR="00C0556B">
        <w:rPr>
          <w:rFonts w:eastAsia="TimesNewRoman"/>
          <w:color w:val="000000"/>
        </w:rPr>
        <w:t xml:space="preserve"> has not yet been established.  Some depression of plasma </w:t>
      </w:r>
      <w:r w:rsidR="00083E0B">
        <w:rPr>
          <w:rFonts w:eastAsia="TimesNewRoman"/>
          <w:color w:val="000000"/>
        </w:rPr>
        <w:t xml:space="preserve">cortisol may occur in a small number of adult patients on higher doses (e.g. &gt;1 mg/day).  However, adrenal function and adrenal reserve usually remain within the normal range on inhaled </w:t>
      </w:r>
      <w:proofErr w:type="spellStart"/>
      <w:r w:rsidR="00083E0B">
        <w:rPr>
          <w:rFonts w:eastAsia="TimesNewRoman"/>
          <w:color w:val="000000"/>
        </w:rPr>
        <w:t>fluticasone</w:t>
      </w:r>
      <w:proofErr w:type="spellEnd"/>
      <w:r w:rsidR="00083E0B">
        <w:rPr>
          <w:rFonts w:eastAsia="TimesNewRoman"/>
          <w:color w:val="000000"/>
        </w:rPr>
        <w:t xml:space="preserve"> propionate therapy</w:t>
      </w:r>
      <w:r w:rsidR="005728FA" w:rsidRPr="007D7FB2">
        <w:rPr>
          <w:rFonts w:eastAsia="TimesNewRoman"/>
          <w:color w:val="000000"/>
        </w:rPr>
        <w:t>.</w:t>
      </w:r>
    </w:p>
    <w:p w:rsidR="00EB148C" w:rsidRDefault="00EB148C" w:rsidP="00A32CC3">
      <w:pPr>
        <w:autoSpaceDE w:val="0"/>
        <w:autoSpaceDN w:val="0"/>
        <w:adjustRightInd w:val="0"/>
        <w:spacing w:before="100" w:beforeAutospacing="1" w:after="100" w:afterAutospacing="1"/>
        <w:ind w:right="-357"/>
        <w:jc w:val="both"/>
        <w:rPr>
          <w:rFonts w:eastAsia="TimesNewRoman"/>
          <w:color w:val="000000"/>
        </w:rPr>
      </w:pPr>
      <w:r>
        <w:rPr>
          <w:rFonts w:eastAsia="TimesNewRoman"/>
          <w:color w:val="000000"/>
        </w:rPr>
        <w:t>Data regarding the effect of long-term use of inhaled fluticasone on bone mineral density in elderly patients are limited.</w:t>
      </w:r>
    </w:p>
    <w:p w:rsidR="00EB148C" w:rsidRDefault="000D49AB" w:rsidP="000649D6">
      <w:pPr>
        <w:autoSpaceDE w:val="0"/>
        <w:autoSpaceDN w:val="0"/>
        <w:adjustRightInd w:val="0"/>
        <w:ind w:right="-360"/>
        <w:jc w:val="both"/>
        <w:rPr>
          <w:rFonts w:eastAsia="TimesNewRoman"/>
          <w:color w:val="000000"/>
        </w:rPr>
      </w:pPr>
      <w:r>
        <w:rPr>
          <w:rFonts w:eastAsia="TimesNewRoman"/>
          <w:color w:val="000000"/>
        </w:rPr>
        <w:lastRenderedPageBreak/>
        <w:t>Pat</w:t>
      </w:r>
      <w:r w:rsidR="00EB148C">
        <w:rPr>
          <w:rFonts w:eastAsia="TimesNewRoman"/>
          <w:color w:val="000000"/>
        </w:rPr>
        <w:t>i</w:t>
      </w:r>
      <w:r>
        <w:rPr>
          <w:rFonts w:eastAsia="TimesNewRoman"/>
          <w:color w:val="000000"/>
        </w:rPr>
        <w:t>e</w:t>
      </w:r>
      <w:r w:rsidR="00EB148C">
        <w:rPr>
          <w:rFonts w:eastAsia="TimesNewRoman"/>
          <w:color w:val="000000"/>
        </w:rPr>
        <w:t>nts in a medical or surgical emergency, who in the past have required high doses of inhaled corticosteroids and/or intermittent treatment with oral steroids, remain at risk of impaired adrenal reserve for a considerable time.  The extent of adrenal impairment may require specialist advice before elective procedures.  The possibility of residual impaired adrenal response should always be born in mind in emergency and elective situations likely to produce stress, and appropriate corticosteroid treatment must be considered.</w:t>
      </w:r>
    </w:p>
    <w:p w:rsidR="00E1570D" w:rsidRDefault="00E1570D" w:rsidP="00A32CC3">
      <w:pPr>
        <w:autoSpaceDE w:val="0"/>
        <w:autoSpaceDN w:val="0"/>
        <w:adjustRightInd w:val="0"/>
        <w:spacing w:before="100" w:beforeAutospacing="1" w:after="100" w:afterAutospacing="1"/>
        <w:ind w:right="-540"/>
        <w:jc w:val="both"/>
        <w:rPr>
          <w:rFonts w:eastAsia="TimesNewRoman"/>
          <w:color w:val="000000"/>
        </w:rPr>
      </w:pPr>
      <w:r w:rsidRPr="003F3F57">
        <w:rPr>
          <w:rFonts w:eastAsia="TimesNewRoman"/>
        </w:rPr>
        <w:t xml:space="preserve">In rare cases, inhaled therapy may unmask underlying </w:t>
      </w:r>
      <w:proofErr w:type="spellStart"/>
      <w:r w:rsidRPr="003F3F57">
        <w:rPr>
          <w:rFonts w:eastAsia="TimesNewRoman"/>
        </w:rPr>
        <w:t>eosinophilic</w:t>
      </w:r>
      <w:proofErr w:type="spellEnd"/>
      <w:r w:rsidRPr="003F3F57">
        <w:rPr>
          <w:rFonts w:eastAsia="TimesNewRoman"/>
        </w:rPr>
        <w:t xml:space="preserve"> conditions (e.g. </w:t>
      </w:r>
      <w:proofErr w:type="spellStart"/>
      <w:r w:rsidRPr="003F3F57">
        <w:rPr>
          <w:rFonts w:eastAsia="TimesNewRoman"/>
        </w:rPr>
        <w:t>Churg</w:t>
      </w:r>
      <w:proofErr w:type="spellEnd"/>
      <w:r w:rsidRPr="003F3F57">
        <w:rPr>
          <w:rFonts w:eastAsia="TimesNewRoman"/>
        </w:rPr>
        <w:t xml:space="preserve"> Strauss </w:t>
      </w:r>
      <w:r w:rsidR="003F3F57" w:rsidRPr="003F3F57">
        <w:rPr>
          <w:rFonts w:eastAsia="TimesNewRoman"/>
        </w:rPr>
        <w:t>syndrome</w:t>
      </w:r>
      <w:r w:rsidR="003F3F57">
        <w:rPr>
          <w:rFonts w:eastAsia="TimesNewRoman"/>
        </w:rPr>
        <w:t>.</w:t>
      </w:r>
      <w:r w:rsidRPr="003F3F57">
        <w:rPr>
          <w:rFonts w:eastAsia="TimesNewRoman"/>
        </w:rPr>
        <w:t xml:space="preserve">  These cases have usually been associated with reduction or withdrawal o</w:t>
      </w:r>
      <w:r w:rsidR="00E00FAD" w:rsidRPr="003F3F57">
        <w:rPr>
          <w:rFonts w:eastAsia="TimesNewRoman"/>
        </w:rPr>
        <w:t>f</w:t>
      </w:r>
      <w:r w:rsidRPr="003F3F57">
        <w:rPr>
          <w:rFonts w:eastAsia="TimesNewRoman"/>
        </w:rPr>
        <w:t xml:space="preserve"> oral corticosteroid th</w:t>
      </w:r>
      <w:r>
        <w:rPr>
          <w:rFonts w:eastAsia="TimesNewRoman"/>
          <w:color w:val="000000"/>
        </w:rPr>
        <w:t>erapy.  A direct causal relationship has not been established.</w:t>
      </w:r>
    </w:p>
    <w:p w:rsidR="005728FA" w:rsidRDefault="005728FA" w:rsidP="00A32CC3">
      <w:pPr>
        <w:autoSpaceDE w:val="0"/>
        <w:autoSpaceDN w:val="0"/>
        <w:adjustRightInd w:val="0"/>
        <w:spacing w:before="100" w:beforeAutospacing="1" w:after="100" w:afterAutospacing="1"/>
        <w:ind w:right="-360"/>
        <w:jc w:val="both"/>
        <w:rPr>
          <w:rFonts w:eastAsia="TimesNewRoman"/>
          <w:color w:val="000000"/>
        </w:rPr>
      </w:pPr>
      <w:r w:rsidRPr="007D7FB2">
        <w:rPr>
          <w:rFonts w:eastAsia="TimesNewRoman"/>
          <w:color w:val="000000"/>
        </w:rPr>
        <w:t>Additional systemic corticosteroid treatment should be considered during periods of stress or elective</w:t>
      </w:r>
      <w:r w:rsidR="00F6670B" w:rsidRPr="007D7FB2">
        <w:rPr>
          <w:rFonts w:eastAsia="TimesNewRoman"/>
          <w:color w:val="000000"/>
        </w:rPr>
        <w:t xml:space="preserve"> </w:t>
      </w:r>
      <w:r w:rsidRPr="007D7FB2">
        <w:rPr>
          <w:rFonts w:eastAsia="TimesNewRoman"/>
          <w:color w:val="000000"/>
        </w:rPr>
        <w:t>surgery.</w:t>
      </w:r>
    </w:p>
    <w:p w:rsidR="00EB148C" w:rsidRPr="00075653" w:rsidRDefault="00EB148C" w:rsidP="00075653">
      <w:pPr>
        <w:pStyle w:val="Heading3"/>
      </w:pPr>
      <w:r w:rsidRPr="00075653">
        <w:t>Spacer devices</w:t>
      </w:r>
    </w:p>
    <w:p w:rsidR="00EB148C" w:rsidRDefault="003670F5" w:rsidP="000649D6">
      <w:pPr>
        <w:autoSpaceDE w:val="0"/>
        <w:autoSpaceDN w:val="0"/>
        <w:adjustRightInd w:val="0"/>
        <w:ind w:right="-360"/>
        <w:jc w:val="both"/>
        <w:rPr>
          <w:rFonts w:eastAsia="TimesNewRoman"/>
          <w:color w:val="000000"/>
        </w:rPr>
      </w:pPr>
      <w:r>
        <w:rPr>
          <w:rFonts w:eastAsia="TimesNewRoman"/>
          <w:color w:val="000000"/>
        </w:rPr>
        <w:t>Most pat</w:t>
      </w:r>
      <w:r w:rsidR="000D49AB">
        <w:rPr>
          <w:rFonts w:eastAsia="TimesNewRoman"/>
          <w:color w:val="000000"/>
        </w:rPr>
        <w:t>i</w:t>
      </w:r>
      <w:r>
        <w:rPr>
          <w:rFonts w:eastAsia="TimesNewRoman"/>
          <w:color w:val="000000"/>
        </w:rPr>
        <w:t>ents will benefit from the consistent use of a spacer device with their metered dose inhaler (MDI or ‘puffer’), particularly those with poor inhaler technique.  Use of a spacer will also decrease the amount of drug deposited in the mouth and at the back of the throat, and therefore reduce the incidence of local side effects such as ‘thrush’ and a hoarse voice.</w:t>
      </w:r>
    </w:p>
    <w:p w:rsidR="003670F5" w:rsidRDefault="003670F5" w:rsidP="00075653">
      <w:pPr>
        <w:autoSpaceDE w:val="0"/>
        <w:autoSpaceDN w:val="0"/>
        <w:adjustRightInd w:val="0"/>
        <w:spacing w:before="100" w:beforeAutospacing="1" w:after="100" w:afterAutospacing="1"/>
        <w:ind w:right="-357"/>
        <w:jc w:val="both"/>
        <w:rPr>
          <w:rFonts w:eastAsia="TimesNewRoman"/>
          <w:color w:val="000000"/>
        </w:rPr>
      </w:pPr>
      <w:r>
        <w:rPr>
          <w:rFonts w:eastAsia="TimesNewRoman"/>
          <w:color w:val="000000"/>
        </w:rPr>
        <w:t xml:space="preserve">A change in the make of spacer may be associated with alterations in the amount of drug delivered to the lungs.  The clinical significance of these alterations is uncertain.  However, in these situations, the person should be monitored for any loss of asthma control.  If using a spacer, the patient should be instructed to actuate the inhaler into the spacer and then slowly breathe in as far as possible.  </w:t>
      </w:r>
      <w:r w:rsidR="00CF4739">
        <w:rPr>
          <w:rFonts w:eastAsia="TimesNewRoman"/>
          <w:color w:val="000000"/>
        </w:rPr>
        <w:t>The b</w:t>
      </w:r>
      <w:r>
        <w:rPr>
          <w:rFonts w:eastAsia="TimesNewRoman"/>
          <w:color w:val="000000"/>
        </w:rPr>
        <w:t>reath</w:t>
      </w:r>
      <w:r w:rsidR="00CF4739">
        <w:rPr>
          <w:rFonts w:eastAsia="TimesNewRoman"/>
          <w:color w:val="000000"/>
        </w:rPr>
        <w:t xml:space="preserve"> should be held</w:t>
      </w:r>
      <w:r>
        <w:rPr>
          <w:rFonts w:eastAsia="TimesNewRoman"/>
          <w:color w:val="000000"/>
        </w:rPr>
        <w:t xml:space="preserve"> for as long as comfortable, before breathing out slowly.  This should be repeated for each actuation of the drug into the spacer.  Any delays between actuation and inhalation should be kept to a minimum.</w:t>
      </w:r>
    </w:p>
    <w:p w:rsidR="003670F5" w:rsidRDefault="003670F5" w:rsidP="00075653">
      <w:pPr>
        <w:autoSpaceDE w:val="0"/>
        <w:autoSpaceDN w:val="0"/>
        <w:adjustRightInd w:val="0"/>
        <w:spacing w:before="100" w:beforeAutospacing="1" w:after="100" w:afterAutospacing="1"/>
        <w:ind w:right="-357"/>
        <w:jc w:val="both"/>
        <w:rPr>
          <w:rFonts w:eastAsia="TimesNewRoman"/>
          <w:color w:val="000000"/>
        </w:rPr>
      </w:pPr>
      <w:r>
        <w:rPr>
          <w:rFonts w:eastAsia="TimesNewRoman"/>
          <w:color w:val="000000"/>
        </w:rPr>
        <w:t>Static on the walls of the spacer may cause variability in drug delivery.  Patients should be instructed to wash the spacer in warm water and detergent, and allow it to air dry without rinsing or drying with a cloth.  This should be performed before the initial use of the spacer and at least monthly thereafter.</w:t>
      </w:r>
    </w:p>
    <w:p w:rsidR="00752F5A" w:rsidRPr="007F1B66" w:rsidRDefault="00752F5A" w:rsidP="00075653">
      <w:pPr>
        <w:pStyle w:val="Heading3"/>
      </w:pPr>
      <w:r w:rsidRPr="007F1B66">
        <w:t>Driving and operating dangerous machinery</w:t>
      </w:r>
    </w:p>
    <w:p w:rsidR="00F6670B" w:rsidRPr="00577862" w:rsidRDefault="00D058BC" w:rsidP="000649D6">
      <w:pPr>
        <w:autoSpaceDE w:val="0"/>
        <w:autoSpaceDN w:val="0"/>
        <w:adjustRightInd w:val="0"/>
        <w:ind w:right="-540"/>
        <w:jc w:val="both"/>
        <w:rPr>
          <w:rFonts w:eastAsia="TimesNewRoman"/>
          <w:color w:val="000000"/>
        </w:rPr>
      </w:pPr>
      <w:r w:rsidRPr="00577862">
        <w:rPr>
          <w:rFonts w:eastAsia="TimesNewRoman"/>
          <w:color w:val="000000"/>
        </w:rPr>
        <w:t>FLUTIFORM</w:t>
      </w:r>
      <w:r w:rsidR="006B64DC" w:rsidRPr="00577862">
        <w:rPr>
          <w:rFonts w:eastAsia="TimesNewRoman"/>
          <w:color w:val="000000"/>
          <w:vertAlign w:val="superscript"/>
        </w:rPr>
        <w:t>®</w:t>
      </w:r>
      <w:r w:rsidR="00975E6C" w:rsidRPr="00577862">
        <w:rPr>
          <w:rFonts w:eastAsia="TimesNewRoman"/>
          <w:color w:val="000000"/>
          <w:vertAlign w:val="superscript"/>
        </w:rPr>
        <w:t xml:space="preserve"> </w:t>
      </w:r>
      <w:r w:rsidR="00E650C9" w:rsidRPr="00577862">
        <w:rPr>
          <w:bCs/>
          <w:color w:val="000000"/>
        </w:rPr>
        <w:t>inhaler</w:t>
      </w:r>
      <w:r w:rsidR="00E650C9" w:rsidRPr="00577862">
        <w:rPr>
          <w:rFonts w:eastAsia="TimesNewRoman"/>
          <w:color w:val="000000"/>
        </w:rPr>
        <w:t xml:space="preserve"> </w:t>
      </w:r>
      <w:r w:rsidR="00752F5A" w:rsidRPr="00577862">
        <w:rPr>
          <w:rFonts w:eastAsia="TimesNewRoman"/>
          <w:color w:val="000000"/>
        </w:rPr>
        <w:t xml:space="preserve">is unlikely to have an effect on the ability to drive and operate </w:t>
      </w:r>
      <w:r w:rsidR="00A62F4D" w:rsidRPr="00577862">
        <w:rPr>
          <w:rFonts w:eastAsia="TimesNewRoman"/>
          <w:color w:val="000000"/>
        </w:rPr>
        <w:t>m</w:t>
      </w:r>
      <w:r w:rsidR="00752F5A" w:rsidRPr="00577862">
        <w:rPr>
          <w:rFonts w:eastAsia="TimesNewRoman"/>
          <w:color w:val="000000"/>
        </w:rPr>
        <w:t>achines.</w:t>
      </w:r>
    </w:p>
    <w:p w:rsidR="00C91F35" w:rsidRPr="007F1B66" w:rsidRDefault="00C91F35" w:rsidP="00075653">
      <w:pPr>
        <w:pStyle w:val="Heading3"/>
      </w:pPr>
      <w:r w:rsidRPr="007F1B66">
        <w:t>Effects on fertility</w:t>
      </w:r>
    </w:p>
    <w:p w:rsidR="0069686F" w:rsidRPr="00577862" w:rsidRDefault="0069686F" w:rsidP="000649D6">
      <w:pPr>
        <w:autoSpaceDE w:val="0"/>
        <w:autoSpaceDN w:val="0"/>
        <w:adjustRightInd w:val="0"/>
        <w:ind w:right="-360"/>
        <w:jc w:val="both"/>
        <w:rPr>
          <w:rFonts w:eastAsia="TimesNewRoman"/>
          <w:color w:val="000000"/>
        </w:rPr>
      </w:pPr>
      <w:r w:rsidRPr="00577862">
        <w:rPr>
          <w:rFonts w:eastAsia="TimesNewRoman"/>
          <w:color w:val="000000"/>
        </w:rPr>
        <w:t xml:space="preserve">No animal studies have been conducted with </w:t>
      </w:r>
      <w:proofErr w:type="spellStart"/>
      <w:r w:rsidRPr="00577862">
        <w:rPr>
          <w:rFonts w:eastAsia="TimesNewRoman"/>
          <w:color w:val="000000"/>
        </w:rPr>
        <w:t>fluticasone</w:t>
      </w:r>
      <w:proofErr w:type="spellEnd"/>
      <w:r w:rsidRPr="00577862">
        <w:rPr>
          <w:rFonts w:eastAsia="TimesNewRoman"/>
          <w:color w:val="000000"/>
        </w:rPr>
        <w:t xml:space="preserve"> propionate and </w:t>
      </w:r>
      <w:proofErr w:type="spellStart"/>
      <w:r w:rsidRPr="00577862">
        <w:rPr>
          <w:rFonts w:eastAsia="TimesNewRoman"/>
          <w:color w:val="000000"/>
        </w:rPr>
        <w:t>eformoterol</w:t>
      </w:r>
      <w:proofErr w:type="spellEnd"/>
      <w:r w:rsidRPr="00577862">
        <w:rPr>
          <w:rFonts w:eastAsia="TimesNewRoman"/>
          <w:color w:val="000000"/>
        </w:rPr>
        <w:t xml:space="preserve"> </w:t>
      </w:r>
      <w:proofErr w:type="spellStart"/>
      <w:r w:rsidRPr="00577862">
        <w:rPr>
          <w:rFonts w:eastAsia="TimesNewRoman"/>
          <w:color w:val="000000"/>
        </w:rPr>
        <w:t>fumarate</w:t>
      </w:r>
      <w:proofErr w:type="spellEnd"/>
      <w:r w:rsidRPr="00577862">
        <w:rPr>
          <w:rFonts w:eastAsia="TimesNewRoman"/>
          <w:color w:val="000000"/>
        </w:rPr>
        <w:t xml:space="preserve"> in combination to evaluate effects on fertility. Studies in rats with the individual active components showed no evidence o</w:t>
      </w:r>
      <w:r w:rsidR="00CF35F3" w:rsidRPr="00577862">
        <w:rPr>
          <w:rFonts w:eastAsia="TimesNewRoman"/>
          <w:color w:val="000000"/>
        </w:rPr>
        <w:t>f impairment of</w:t>
      </w:r>
      <w:r w:rsidRPr="00577862">
        <w:rPr>
          <w:rFonts w:eastAsia="TimesNewRoman"/>
          <w:color w:val="000000"/>
        </w:rPr>
        <w:t xml:space="preserve"> fertility with fluticasone propionate at subcutaneous doses up to 50 </w:t>
      </w:r>
      <w:r w:rsidR="00832BC5" w:rsidRPr="00577862">
        <w:rPr>
          <w:rFonts w:eastAsia="TimesNewRoman"/>
          <w:color w:val="000000"/>
        </w:rPr>
        <w:t>micrograms</w:t>
      </w:r>
      <w:r w:rsidRPr="00577862">
        <w:rPr>
          <w:rFonts w:eastAsia="TimesNewRoman"/>
          <w:color w:val="000000"/>
        </w:rPr>
        <w:t>/kg/day (approximately half the maximum recommended human dose [MRHD]</w:t>
      </w:r>
      <w:r w:rsidR="00CF35F3" w:rsidRPr="00577862">
        <w:rPr>
          <w:rFonts w:eastAsia="TimesNewRoman"/>
          <w:color w:val="000000"/>
        </w:rPr>
        <w:t xml:space="preserve"> on a </w:t>
      </w:r>
      <w:r w:rsidR="00832BC5" w:rsidRPr="00577862">
        <w:rPr>
          <w:rFonts w:eastAsia="TimesNewRoman"/>
          <w:color w:val="000000"/>
        </w:rPr>
        <w:t>micrograms</w:t>
      </w:r>
      <w:r w:rsidR="00CF35F3" w:rsidRPr="00577862">
        <w:rPr>
          <w:rFonts w:eastAsia="TimesNewRoman"/>
          <w:color w:val="000000"/>
        </w:rPr>
        <w:t>/m</w:t>
      </w:r>
      <w:r w:rsidR="00CF35F3" w:rsidRPr="00577862">
        <w:rPr>
          <w:rFonts w:eastAsia="TimesNewRoman"/>
          <w:color w:val="000000"/>
          <w:vertAlign w:val="superscript"/>
        </w:rPr>
        <w:t>2</w:t>
      </w:r>
      <w:r w:rsidR="00CF35F3" w:rsidRPr="00577862">
        <w:rPr>
          <w:rFonts w:eastAsia="TimesNewRoman"/>
          <w:color w:val="000000"/>
        </w:rPr>
        <w:t xml:space="preserve"> body surface area basis), nor with </w:t>
      </w:r>
      <w:proofErr w:type="spellStart"/>
      <w:r w:rsidRPr="00577862">
        <w:rPr>
          <w:rFonts w:eastAsia="TimesNewRoman"/>
          <w:color w:val="000000"/>
        </w:rPr>
        <w:t>eformoterol</w:t>
      </w:r>
      <w:proofErr w:type="spellEnd"/>
      <w:r w:rsidRPr="00577862">
        <w:rPr>
          <w:rFonts w:eastAsia="TimesNewRoman"/>
          <w:color w:val="000000"/>
        </w:rPr>
        <w:t xml:space="preserve"> </w:t>
      </w:r>
      <w:proofErr w:type="spellStart"/>
      <w:r w:rsidRPr="00577862">
        <w:rPr>
          <w:rFonts w:eastAsia="TimesNewRoman"/>
          <w:color w:val="000000"/>
        </w:rPr>
        <w:t>fumarate</w:t>
      </w:r>
      <w:proofErr w:type="spellEnd"/>
      <w:r w:rsidR="00CF35F3" w:rsidRPr="00577862">
        <w:rPr>
          <w:rFonts w:eastAsia="TimesNewRoman"/>
          <w:color w:val="000000"/>
        </w:rPr>
        <w:t xml:space="preserve"> at oral doses up to 60 mg/kg/day.</w:t>
      </w:r>
    </w:p>
    <w:p w:rsidR="00075653" w:rsidRDefault="00075653">
      <w:pPr>
        <w:rPr>
          <w:rFonts w:eastAsia="TimesNewRoman"/>
          <w:b/>
          <w:color w:val="000000"/>
        </w:rPr>
      </w:pPr>
      <w:r>
        <w:br w:type="page"/>
      </w:r>
    </w:p>
    <w:p w:rsidR="005728FA" w:rsidRPr="007F1B66" w:rsidRDefault="00CB4155" w:rsidP="00075653">
      <w:pPr>
        <w:pStyle w:val="Heading3"/>
      </w:pPr>
      <w:r w:rsidRPr="007F1B66">
        <w:lastRenderedPageBreak/>
        <w:t>Use in p</w:t>
      </w:r>
      <w:r w:rsidR="005728FA" w:rsidRPr="007F1B66">
        <w:t>regnancy</w:t>
      </w:r>
    </w:p>
    <w:p w:rsidR="005728FA" w:rsidRPr="000649D6" w:rsidRDefault="003F3F57" w:rsidP="000649D6">
      <w:pPr>
        <w:autoSpaceDE w:val="0"/>
        <w:autoSpaceDN w:val="0"/>
        <w:adjustRightInd w:val="0"/>
        <w:ind w:right="-360"/>
        <w:jc w:val="both"/>
        <w:rPr>
          <w:rFonts w:eastAsia="TimesNewRoman"/>
          <w:color w:val="000000"/>
        </w:rPr>
      </w:pPr>
      <w:proofErr w:type="gramStart"/>
      <w:r w:rsidRPr="00577862">
        <w:rPr>
          <w:rFonts w:eastAsia="TimesNewRoman"/>
        </w:rPr>
        <w:t>Australian Pregnancy</w:t>
      </w:r>
      <w:r w:rsidR="00F74EC4" w:rsidRPr="00577862">
        <w:rPr>
          <w:rFonts w:eastAsia="TimesNewRoman"/>
        </w:rPr>
        <w:t xml:space="preserve"> </w:t>
      </w:r>
      <w:r w:rsidR="00C276E1" w:rsidRPr="00577862">
        <w:rPr>
          <w:rFonts w:eastAsia="TimesNewRoman"/>
        </w:rPr>
        <w:t>Categorisation</w:t>
      </w:r>
      <w:r w:rsidR="00C276E1" w:rsidRPr="00577862" w:rsidDel="00C276E1">
        <w:rPr>
          <w:rFonts w:eastAsia="TimesNewRoman"/>
        </w:rPr>
        <w:t xml:space="preserve"> </w:t>
      </w:r>
      <w:r w:rsidR="00F74EC4" w:rsidRPr="00577862">
        <w:rPr>
          <w:rFonts w:eastAsia="TimesNewRoman"/>
        </w:rPr>
        <w:t>B3.</w:t>
      </w:r>
      <w:proofErr w:type="gramEnd"/>
      <w:r w:rsidR="00F74EC4" w:rsidRPr="00577862">
        <w:rPr>
          <w:rFonts w:eastAsia="TimesNewRoman"/>
        </w:rPr>
        <w:t xml:space="preserve">  </w:t>
      </w:r>
      <w:r w:rsidR="005728FA" w:rsidRPr="00577862">
        <w:rPr>
          <w:rFonts w:eastAsia="TimesNewRoman"/>
        </w:rPr>
        <w:t xml:space="preserve">There are no adequate and well-controlled studies with </w:t>
      </w:r>
      <w:r w:rsidR="00D058BC" w:rsidRPr="00577862">
        <w:rPr>
          <w:rFonts w:eastAsia="TimesNewRoman"/>
        </w:rPr>
        <w:t>FLUTIFORM</w:t>
      </w:r>
      <w:r w:rsidR="00975E6C" w:rsidRPr="00577862">
        <w:rPr>
          <w:rFonts w:eastAsia="TimesNewRoman"/>
          <w:vertAlign w:val="superscript"/>
        </w:rPr>
        <w:t>®</w:t>
      </w:r>
      <w:r w:rsidR="00D058BC" w:rsidRPr="00577862">
        <w:rPr>
          <w:rFonts w:eastAsia="TimesNewRoman"/>
        </w:rPr>
        <w:t xml:space="preserve"> </w:t>
      </w:r>
      <w:r w:rsidR="006C1857" w:rsidRPr="00577862">
        <w:rPr>
          <w:rFonts w:eastAsia="TimesNewRoman"/>
        </w:rPr>
        <w:t xml:space="preserve">inhaler </w:t>
      </w:r>
      <w:r w:rsidR="005728FA" w:rsidRPr="00577862">
        <w:rPr>
          <w:rFonts w:eastAsia="TimesNewRoman"/>
        </w:rPr>
        <w:t>in pregnant or breastfeeding women.</w:t>
      </w:r>
      <w:r w:rsidR="00752F5A" w:rsidRPr="00577862">
        <w:rPr>
          <w:rFonts w:eastAsia="TimesNewRoman"/>
        </w:rPr>
        <w:t xml:space="preserve">  </w:t>
      </w:r>
      <w:r w:rsidR="005728FA" w:rsidRPr="00577862">
        <w:rPr>
          <w:rFonts w:eastAsia="TimesNewRoman"/>
        </w:rPr>
        <w:t>.</w:t>
      </w:r>
      <w:r w:rsidR="004520B9" w:rsidRPr="00577862">
        <w:rPr>
          <w:rFonts w:eastAsia="TimesNewRoman"/>
        </w:rPr>
        <w:t xml:space="preserve"> In pregnant rabbits, treatment with </w:t>
      </w:r>
      <w:proofErr w:type="spellStart"/>
      <w:r w:rsidR="004520B9" w:rsidRPr="00577862">
        <w:rPr>
          <w:rFonts w:eastAsia="TimesNewRoman"/>
        </w:rPr>
        <w:t>fluticasone</w:t>
      </w:r>
      <w:proofErr w:type="spellEnd"/>
      <w:r w:rsidR="004520B9" w:rsidRPr="00577862">
        <w:rPr>
          <w:rFonts w:eastAsia="TimesNewRoman"/>
        </w:rPr>
        <w:t xml:space="preserve"> propionate and </w:t>
      </w:r>
      <w:proofErr w:type="spellStart"/>
      <w:r w:rsidR="004520B9" w:rsidRPr="00577862">
        <w:rPr>
          <w:rFonts w:eastAsia="TimesNewRoman"/>
        </w:rPr>
        <w:t>eformoterol</w:t>
      </w:r>
      <w:proofErr w:type="spellEnd"/>
      <w:r w:rsidR="004520B9" w:rsidRPr="00577862">
        <w:rPr>
          <w:rFonts w:eastAsia="TimesNewRoman"/>
        </w:rPr>
        <w:t xml:space="preserve"> </w:t>
      </w:r>
      <w:proofErr w:type="spellStart"/>
      <w:r w:rsidR="004520B9" w:rsidRPr="00577862">
        <w:rPr>
          <w:rFonts w:eastAsia="TimesNewRoman"/>
        </w:rPr>
        <w:t>fumarate</w:t>
      </w:r>
      <w:proofErr w:type="spellEnd"/>
      <w:r w:rsidR="004520B9" w:rsidRPr="00577862">
        <w:rPr>
          <w:rFonts w:eastAsia="TimesNewRoman"/>
        </w:rPr>
        <w:t xml:space="preserve"> in combination by inhalation during the period of organogenesis (doses of 2/0.2 to 40/4 </w:t>
      </w:r>
      <w:r w:rsidR="00832BC5" w:rsidRPr="00577862">
        <w:rPr>
          <w:rFonts w:eastAsia="TimesNewRoman"/>
        </w:rPr>
        <w:t>micrograms</w:t>
      </w:r>
      <w:r w:rsidR="004520B9" w:rsidRPr="00577862">
        <w:rPr>
          <w:rFonts w:eastAsia="TimesNewRoman"/>
        </w:rPr>
        <w:t xml:space="preserve">/kg/day </w:t>
      </w:r>
      <w:proofErr w:type="spellStart"/>
      <w:r w:rsidR="004520B9" w:rsidRPr="00577862">
        <w:rPr>
          <w:rFonts w:eastAsia="TimesNewRoman"/>
        </w:rPr>
        <w:t>fluticasone</w:t>
      </w:r>
      <w:proofErr w:type="spellEnd"/>
      <w:r w:rsidR="004520B9" w:rsidRPr="00577862">
        <w:rPr>
          <w:rFonts w:eastAsia="TimesNewRoman"/>
        </w:rPr>
        <w:t xml:space="preserve"> propionate/</w:t>
      </w:r>
      <w:proofErr w:type="spellStart"/>
      <w:r w:rsidR="004520B9" w:rsidRPr="00577862">
        <w:rPr>
          <w:rFonts w:eastAsia="TimesNewRoman"/>
        </w:rPr>
        <w:t>eformoterol</w:t>
      </w:r>
      <w:proofErr w:type="spellEnd"/>
      <w:r w:rsidR="004520B9" w:rsidRPr="00577862">
        <w:rPr>
          <w:rFonts w:eastAsia="TimesNewRoman"/>
        </w:rPr>
        <w:t xml:space="preserve"> </w:t>
      </w:r>
      <w:proofErr w:type="spellStart"/>
      <w:r w:rsidR="004520B9" w:rsidRPr="00577862">
        <w:rPr>
          <w:rFonts w:eastAsia="TimesNewRoman"/>
        </w:rPr>
        <w:t>fumarate</w:t>
      </w:r>
      <w:proofErr w:type="spellEnd"/>
      <w:r w:rsidR="004520B9" w:rsidRPr="00577862">
        <w:rPr>
          <w:rFonts w:eastAsia="TimesNewRoman"/>
        </w:rPr>
        <w:t>) caused ser</w:t>
      </w:r>
      <w:r w:rsidR="001B25D6" w:rsidRPr="00577862">
        <w:rPr>
          <w:rFonts w:eastAsia="TimesNewRoman"/>
        </w:rPr>
        <w:t xml:space="preserve">ious adverse effects on </w:t>
      </w:r>
      <w:proofErr w:type="spellStart"/>
      <w:r w:rsidR="001B25D6" w:rsidRPr="00577862">
        <w:rPr>
          <w:rFonts w:eastAsia="TimesNewRoman"/>
        </w:rPr>
        <w:t>embryof</w:t>
      </w:r>
      <w:r w:rsidR="004520B9" w:rsidRPr="00577862">
        <w:rPr>
          <w:rFonts w:eastAsia="TimesNewRoman"/>
        </w:rPr>
        <w:t>etal</w:t>
      </w:r>
      <w:proofErr w:type="spellEnd"/>
      <w:r w:rsidR="004520B9" w:rsidRPr="00577862">
        <w:rPr>
          <w:rFonts w:eastAsia="TimesNewRoman"/>
        </w:rPr>
        <w:t xml:space="preserve"> development including increased post-implantation loss and malformations (cleft palate).  These occurred in the absence o</w:t>
      </w:r>
      <w:r w:rsidR="004520B9" w:rsidRPr="00577862">
        <w:rPr>
          <w:rFonts w:eastAsia="TimesNewRoman"/>
          <w:color w:val="000000"/>
        </w:rPr>
        <w:t xml:space="preserve">f </w:t>
      </w:r>
      <w:proofErr w:type="spellStart"/>
      <w:r w:rsidR="004520B9" w:rsidRPr="000649D6">
        <w:rPr>
          <w:rFonts w:eastAsia="TimesNewRoman"/>
          <w:color w:val="000000"/>
        </w:rPr>
        <w:t>maternotoxicity</w:t>
      </w:r>
      <w:proofErr w:type="spellEnd"/>
      <w:r w:rsidR="004520B9" w:rsidRPr="000649D6">
        <w:rPr>
          <w:rFonts w:eastAsia="TimesNewRoman"/>
          <w:color w:val="000000"/>
        </w:rPr>
        <w:t xml:space="preserve"> and at doses yielding exposure to the two drugs (plasma and AUC) less than that expected in</w:t>
      </w:r>
      <w:r w:rsidR="001B25D6" w:rsidRPr="000649D6">
        <w:rPr>
          <w:rFonts w:eastAsia="TimesNewRoman"/>
          <w:color w:val="000000"/>
        </w:rPr>
        <w:t xml:space="preserve"> patients at MRHD.  Decreased </w:t>
      </w:r>
      <w:proofErr w:type="spellStart"/>
      <w:r w:rsidR="001B25D6" w:rsidRPr="000649D6">
        <w:rPr>
          <w:rFonts w:eastAsia="TimesNewRoman"/>
          <w:color w:val="000000"/>
        </w:rPr>
        <w:t>f</w:t>
      </w:r>
      <w:r w:rsidR="004520B9" w:rsidRPr="000649D6">
        <w:rPr>
          <w:rFonts w:eastAsia="TimesNewRoman"/>
          <w:color w:val="000000"/>
        </w:rPr>
        <w:t>etal</w:t>
      </w:r>
      <w:proofErr w:type="spellEnd"/>
      <w:r w:rsidR="004520B9" w:rsidRPr="000649D6">
        <w:rPr>
          <w:rFonts w:eastAsia="TimesNewRoman"/>
          <w:color w:val="000000"/>
        </w:rPr>
        <w:t xml:space="preserve">  weigh</w:t>
      </w:r>
      <w:r w:rsidR="001B25D6" w:rsidRPr="000649D6">
        <w:rPr>
          <w:rFonts w:eastAsia="TimesNewRoman"/>
          <w:color w:val="000000"/>
        </w:rPr>
        <w:t xml:space="preserve">t and increased incidences of </w:t>
      </w:r>
      <w:proofErr w:type="spellStart"/>
      <w:r w:rsidR="001B25D6" w:rsidRPr="000649D6">
        <w:rPr>
          <w:rFonts w:eastAsia="TimesNewRoman"/>
          <w:color w:val="000000"/>
        </w:rPr>
        <w:t>f</w:t>
      </w:r>
      <w:r w:rsidR="004520B9" w:rsidRPr="000649D6">
        <w:rPr>
          <w:rFonts w:eastAsia="TimesNewRoman"/>
          <w:color w:val="000000"/>
        </w:rPr>
        <w:t>etal</w:t>
      </w:r>
      <w:proofErr w:type="spellEnd"/>
      <w:r w:rsidR="004520B9" w:rsidRPr="000649D6">
        <w:rPr>
          <w:rFonts w:eastAsia="TimesNewRoman"/>
          <w:color w:val="000000"/>
        </w:rPr>
        <w:t xml:space="preserve"> skeletal variations and retarded ossification were observed in a corresponding study in rats in which treatment (doses up to 160/16 </w:t>
      </w:r>
      <w:r w:rsidR="00832BC5" w:rsidRPr="000649D6">
        <w:rPr>
          <w:rFonts w:eastAsia="TimesNewRoman"/>
          <w:color w:val="000000"/>
        </w:rPr>
        <w:t>micrograms</w:t>
      </w:r>
      <w:r w:rsidR="004520B9" w:rsidRPr="000649D6">
        <w:rPr>
          <w:rFonts w:eastAsia="TimesNewRoman"/>
          <w:color w:val="000000"/>
        </w:rPr>
        <w:t xml:space="preserve">/kg/day </w:t>
      </w:r>
      <w:proofErr w:type="spellStart"/>
      <w:r w:rsidR="004520B9" w:rsidRPr="000649D6">
        <w:rPr>
          <w:rFonts w:eastAsia="TimesNewRoman"/>
          <w:color w:val="000000"/>
        </w:rPr>
        <w:t>fluticasone</w:t>
      </w:r>
      <w:proofErr w:type="spellEnd"/>
      <w:r w:rsidR="004520B9" w:rsidRPr="000649D6">
        <w:rPr>
          <w:rFonts w:eastAsia="TimesNewRoman"/>
          <w:color w:val="000000"/>
        </w:rPr>
        <w:t xml:space="preserve"> propionate/</w:t>
      </w:r>
      <w:proofErr w:type="spellStart"/>
      <w:r w:rsidR="004520B9" w:rsidRPr="000649D6">
        <w:rPr>
          <w:rFonts w:eastAsia="TimesNewRoman"/>
          <w:color w:val="000000"/>
        </w:rPr>
        <w:t>eformoterol</w:t>
      </w:r>
      <w:proofErr w:type="spellEnd"/>
      <w:r w:rsidR="004520B9" w:rsidRPr="000649D6">
        <w:rPr>
          <w:rFonts w:eastAsia="TimesNewRoman"/>
          <w:color w:val="000000"/>
        </w:rPr>
        <w:t xml:space="preserve"> </w:t>
      </w:r>
      <w:proofErr w:type="spellStart"/>
      <w:r w:rsidR="004520B9" w:rsidRPr="000649D6">
        <w:rPr>
          <w:rFonts w:eastAsia="TimesNewRoman"/>
          <w:color w:val="000000"/>
        </w:rPr>
        <w:t>fumarate</w:t>
      </w:r>
      <w:proofErr w:type="spellEnd"/>
      <w:r w:rsidR="004520B9" w:rsidRPr="000649D6">
        <w:rPr>
          <w:rFonts w:eastAsia="TimesNewRoman"/>
          <w:color w:val="000000"/>
        </w:rPr>
        <w:t xml:space="preserve">) yielded drug exposure up to </w:t>
      </w:r>
      <w:r w:rsidR="00D20CEB" w:rsidRPr="000649D6">
        <w:rPr>
          <w:rFonts w:eastAsia="TimesNewRoman"/>
          <w:color w:val="000000"/>
        </w:rPr>
        <w:t xml:space="preserve">four </w:t>
      </w:r>
      <w:r w:rsidR="004520B9" w:rsidRPr="000649D6">
        <w:rPr>
          <w:rFonts w:eastAsia="TimesNewRoman"/>
          <w:color w:val="000000"/>
        </w:rPr>
        <w:t xml:space="preserve">times (fluticasone propionate) or </w:t>
      </w:r>
      <w:r w:rsidR="00D20CEB" w:rsidRPr="000649D6">
        <w:rPr>
          <w:rFonts w:eastAsia="TimesNewRoman"/>
          <w:color w:val="000000"/>
        </w:rPr>
        <w:t xml:space="preserve">six </w:t>
      </w:r>
      <w:r w:rsidR="004520B9" w:rsidRPr="000649D6">
        <w:rPr>
          <w:rFonts w:eastAsia="TimesNewRoman"/>
          <w:color w:val="000000"/>
        </w:rPr>
        <w:t>times (</w:t>
      </w:r>
      <w:proofErr w:type="spellStart"/>
      <w:r w:rsidR="004520B9" w:rsidRPr="000649D6">
        <w:rPr>
          <w:rFonts w:eastAsia="TimesNewRoman"/>
          <w:color w:val="000000"/>
        </w:rPr>
        <w:t>eformoterol</w:t>
      </w:r>
      <w:proofErr w:type="spellEnd"/>
      <w:r w:rsidR="004520B9" w:rsidRPr="000649D6">
        <w:rPr>
          <w:rFonts w:eastAsia="TimesNewRoman"/>
          <w:color w:val="000000"/>
        </w:rPr>
        <w:t xml:space="preserve"> </w:t>
      </w:r>
      <w:proofErr w:type="spellStart"/>
      <w:r w:rsidR="004520B9" w:rsidRPr="000649D6">
        <w:rPr>
          <w:rFonts w:eastAsia="TimesNewRoman"/>
          <w:color w:val="000000"/>
        </w:rPr>
        <w:t>fumarate</w:t>
      </w:r>
      <w:proofErr w:type="spellEnd"/>
      <w:r w:rsidR="004520B9" w:rsidRPr="000649D6">
        <w:rPr>
          <w:rFonts w:eastAsia="TimesNewRoman"/>
          <w:color w:val="000000"/>
        </w:rPr>
        <w:t>) the clinical AUC at the MRHD.  These findings are compatible with those of previous studies conducted with the indiv</w:t>
      </w:r>
      <w:r w:rsidR="001B25D6" w:rsidRPr="000649D6">
        <w:rPr>
          <w:rFonts w:eastAsia="TimesNewRoman"/>
          <w:color w:val="000000"/>
        </w:rPr>
        <w:t>id</w:t>
      </w:r>
      <w:r w:rsidR="004520B9" w:rsidRPr="000649D6">
        <w:rPr>
          <w:rFonts w:eastAsia="TimesNewRoman"/>
          <w:color w:val="000000"/>
        </w:rPr>
        <w:t>ual drugs.  Cortic</w:t>
      </w:r>
      <w:r w:rsidR="001B25D6" w:rsidRPr="000649D6">
        <w:rPr>
          <w:rFonts w:eastAsia="TimesNewRoman"/>
          <w:color w:val="000000"/>
        </w:rPr>
        <w:t xml:space="preserve">osteroids are known to induce </w:t>
      </w:r>
      <w:proofErr w:type="spellStart"/>
      <w:r w:rsidR="001B25D6" w:rsidRPr="000649D6">
        <w:rPr>
          <w:rFonts w:eastAsia="TimesNewRoman"/>
          <w:color w:val="000000"/>
        </w:rPr>
        <w:t>f</w:t>
      </w:r>
      <w:r w:rsidR="004520B9" w:rsidRPr="000649D6">
        <w:rPr>
          <w:rFonts w:eastAsia="TimesNewRoman"/>
          <w:color w:val="000000"/>
        </w:rPr>
        <w:t>etotoxicity</w:t>
      </w:r>
      <w:proofErr w:type="spellEnd"/>
      <w:r w:rsidR="004520B9" w:rsidRPr="000649D6">
        <w:rPr>
          <w:rFonts w:eastAsia="TimesNewRoman"/>
          <w:color w:val="000000"/>
        </w:rPr>
        <w:t xml:space="preserve"> and </w:t>
      </w:r>
      <w:proofErr w:type="spellStart"/>
      <w:r w:rsidR="004520B9" w:rsidRPr="000649D6">
        <w:rPr>
          <w:rFonts w:eastAsia="TimesNewRoman"/>
          <w:color w:val="000000"/>
        </w:rPr>
        <w:t>teratogenicity</w:t>
      </w:r>
      <w:proofErr w:type="spellEnd"/>
      <w:r w:rsidR="004520B9" w:rsidRPr="000649D6">
        <w:rPr>
          <w:rFonts w:eastAsia="TimesNewRoman"/>
          <w:color w:val="000000"/>
        </w:rPr>
        <w:t xml:space="preserve"> in animal</w:t>
      </w:r>
      <w:r w:rsidR="001B25D6" w:rsidRPr="000649D6">
        <w:rPr>
          <w:rFonts w:eastAsia="TimesNewRoman"/>
          <w:color w:val="000000"/>
        </w:rPr>
        <w:t>s</w:t>
      </w:r>
      <w:r w:rsidR="004520B9" w:rsidRPr="000649D6">
        <w:rPr>
          <w:rFonts w:eastAsia="TimesNewRoman"/>
          <w:color w:val="000000"/>
        </w:rPr>
        <w:t>, but these results may not be relevant to human therapy.</w:t>
      </w:r>
      <w:r w:rsidR="009A5618">
        <w:rPr>
          <w:rFonts w:eastAsia="TimesNewRoman"/>
          <w:color w:val="000000"/>
        </w:rPr>
        <w:t xml:space="preserve">  </w:t>
      </w:r>
      <w:r w:rsidR="005728FA" w:rsidRPr="000649D6">
        <w:rPr>
          <w:rFonts w:eastAsia="TimesNewRoman"/>
          <w:color w:val="000000"/>
        </w:rPr>
        <w:t xml:space="preserve">Administration of </w:t>
      </w:r>
      <w:r w:rsidR="00D058BC" w:rsidRPr="000649D6">
        <w:rPr>
          <w:rFonts w:eastAsia="TimesNewRoman"/>
          <w:color w:val="000000"/>
        </w:rPr>
        <w:t>FLUTIFORM</w:t>
      </w:r>
      <w:r w:rsidR="00975E6C" w:rsidRPr="000649D6">
        <w:rPr>
          <w:rFonts w:eastAsia="TimesNewRoman"/>
          <w:color w:val="000000"/>
          <w:vertAlign w:val="superscript"/>
        </w:rPr>
        <w:t>®</w:t>
      </w:r>
      <w:r w:rsidR="00975E6C" w:rsidRPr="000649D6">
        <w:rPr>
          <w:rFonts w:eastAsia="TimesNewRoman"/>
          <w:color w:val="000000"/>
        </w:rPr>
        <w:t xml:space="preserve"> </w:t>
      </w:r>
      <w:r w:rsidR="005728FA" w:rsidRPr="000649D6">
        <w:rPr>
          <w:rFonts w:eastAsia="TimesNewRoman"/>
          <w:color w:val="000000"/>
        </w:rPr>
        <w:t>is not recommended during pregnancy, and should only be considered if</w:t>
      </w:r>
      <w:r w:rsidR="009A0E88" w:rsidRPr="000649D6">
        <w:rPr>
          <w:rFonts w:eastAsia="TimesNewRoman"/>
          <w:color w:val="000000"/>
        </w:rPr>
        <w:t xml:space="preserve"> </w:t>
      </w:r>
      <w:r w:rsidR="005728FA" w:rsidRPr="000649D6">
        <w:rPr>
          <w:rFonts w:eastAsia="TimesNewRoman"/>
          <w:color w:val="000000"/>
        </w:rPr>
        <w:t xml:space="preserve">expected benefit to the mother is greater than any possible risk to the </w:t>
      </w:r>
      <w:proofErr w:type="spellStart"/>
      <w:r w:rsidR="005728FA" w:rsidRPr="000649D6">
        <w:rPr>
          <w:rFonts w:eastAsia="TimesNewRoman"/>
          <w:color w:val="000000"/>
        </w:rPr>
        <w:t>fetus</w:t>
      </w:r>
      <w:proofErr w:type="spellEnd"/>
      <w:r w:rsidR="005728FA" w:rsidRPr="000649D6">
        <w:rPr>
          <w:rFonts w:eastAsia="TimesNewRoman"/>
          <w:color w:val="000000"/>
        </w:rPr>
        <w:t>.</w:t>
      </w:r>
      <w:r w:rsidR="00752F5A" w:rsidRPr="000649D6">
        <w:rPr>
          <w:rFonts w:eastAsia="TimesNewRoman"/>
          <w:color w:val="000000"/>
        </w:rPr>
        <w:t xml:space="preserve">  </w:t>
      </w:r>
      <w:r w:rsidR="005728FA" w:rsidRPr="000649D6">
        <w:rPr>
          <w:rFonts w:eastAsia="TimesNewRoman"/>
          <w:color w:val="000000"/>
        </w:rPr>
        <w:t xml:space="preserve">Because of the potential for beta-agonist interference with uterine contractility, use of </w:t>
      </w:r>
      <w:r w:rsidR="00D058BC" w:rsidRPr="000649D6">
        <w:rPr>
          <w:rFonts w:eastAsia="TimesNewRoman"/>
          <w:color w:val="000000"/>
        </w:rPr>
        <w:t>FLUTIFORM</w:t>
      </w:r>
      <w:r w:rsidR="00975E6C" w:rsidRPr="000649D6">
        <w:rPr>
          <w:rFonts w:eastAsia="TimesNewRoman"/>
          <w:color w:val="000000"/>
          <w:vertAlign w:val="superscript"/>
        </w:rPr>
        <w:t>®</w:t>
      </w:r>
      <w:r w:rsidR="00D058BC" w:rsidRPr="000649D6">
        <w:rPr>
          <w:rFonts w:eastAsia="TimesNewRoman"/>
          <w:color w:val="000000"/>
        </w:rPr>
        <w:t xml:space="preserve"> </w:t>
      </w:r>
      <w:r w:rsidR="00381D65" w:rsidRPr="000649D6">
        <w:rPr>
          <w:rFonts w:eastAsia="TimesNewRoman"/>
          <w:color w:val="000000"/>
        </w:rPr>
        <w:t>inhaler</w:t>
      </w:r>
      <w:r w:rsidR="005728FA" w:rsidRPr="000649D6">
        <w:rPr>
          <w:rFonts w:eastAsia="TimesNewRoman"/>
          <w:color w:val="000000"/>
        </w:rPr>
        <w:t xml:space="preserve"> for</w:t>
      </w:r>
      <w:r w:rsidR="009A0E88" w:rsidRPr="000649D6">
        <w:rPr>
          <w:rFonts w:eastAsia="TimesNewRoman"/>
          <w:color w:val="000000"/>
        </w:rPr>
        <w:t xml:space="preserve"> </w:t>
      </w:r>
      <w:r w:rsidR="005728FA" w:rsidRPr="000649D6">
        <w:rPr>
          <w:rFonts w:eastAsia="TimesNewRoman"/>
          <w:color w:val="000000"/>
        </w:rPr>
        <w:t>management of asthma during labour should be restricted to those patients in whom the benefit outweighs</w:t>
      </w:r>
      <w:r w:rsidR="009A0E88" w:rsidRPr="000649D6">
        <w:rPr>
          <w:rFonts w:eastAsia="TimesNewRoman"/>
          <w:color w:val="000000"/>
        </w:rPr>
        <w:t xml:space="preserve"> </w:t>
      </w:r>
      <w:r w:rsidR="005728FA" w:rsidRPr="000649D6">
        <w:rPr>
          <w:rFonts w:eastAsia="TimesNewRoman"/>
          <w:color w:val="000000"/>
        </w:rPr>
        <w:t>the risks.</w:t>
      </w:r>
    </w:p>
    <w:p w:rsidR="00CB4155" w:rsidRPr="009A5618" w:rsidRDefault="00CB4155" w:rsidP="00075653">
      <w:pPr>
        <w:pStyle w:val="Heading3"/>
      </w:pPr>
      <w:r w:rsidRPr="007F1B66">
        <w:t>Use in lactation</w:t>
      </w:r>
    </w:p>
    <w:p w:rsidR="005728FA" w:rsidRPr="000649D6" w:rsidRDefault="005728FA" w:rsidP="000649D6">
      <w:pPr>
        <w:autoSpaceDE w:val="0"/>
        <w:autoSpaceDN w:val="0"/>
        <w:adjustRightInd w:val="0"/>
        <w:ind w:right="-360"/>
        <w:jc w:val="both"/>
        <w:rPr>
          <w:rFonts w:eastAsia="TimesNewRoman"/>
          <w:color w:val="000000"/>
        </w:rPr>
      </w:pPr>
      <w:r w:rsidRPr="000649D6">
        <w:rPr>
          <w:rFonts w:eastAsia="TimesNewRoman"/>
          <w:color w:val="000000"/>
        </w:rPr>
        <w:t xml:space="preserve">It is not known whether </w:t>
      </w:r>
      <w:proofErr w:type="spellStart"/>
      <w:r w:rsidRPr="000649D6">
        <w:rPr>
          <w:rFonts w:eastAsia="TimesNewRoman"/>
          <w:color w:val="000000"/>
        </w:rPr>
        <w:t>fluticasone</w:t>
      </w:r>
      <w:proofErr w:type="spellEnd"/>
      <w:r w:rsidRPr="000649D6">
        <w:rPr>
          <w:rFonts w:eastAsia="TimesNewRoman"/>
          <w:color w:val="000000"/>
        </w:rPr>
        <w:t xml:space="preserve"> propionate or </w:t>
      </w:r>
      <w:proofErr w:type="spellStart"/>
      <w:r w:rsidR="00270FC4" w:rsidRPr="000649D6">
        <w:rPr>
          <w:rFonts w:eastAsia="TimesNewRoman"/>
          <w:color w:val="000000"/>
        </w:rPr>
        <w:t>eformoterol</w:t>
      </w:r>
      <w:proofErr w:type="spellEnd"/>
      <w:r w:rsidRPr="000649D6">
        <w:rPr>
          <w:rFonts w:eastAsia="TimesNewRoman"/>
          <w:color w:val="000000"/>
        </w:rPr>
        <w:t xml:space="preserve"> </w:t>
      </w:r>
      <w:proofErr w:type="spellStart"/>
      <w:r w:rsidRPr="000649D6">
        <w:rPr>
          <w:rFonts w:eastAsia="TimesNewRoman"/>
          <w:color w:val="000000"/>
        </w:rPr>
        <w:t>fumarate</w:t>
      </w:r>
      <w:proofErr w:type="spellEnd"/>
      <w:r w:rsidR="002E1665" w:rsidRPr="000649D6">
        <w:rPr>
          <w:rFonts w:eastAsia="TimesNewRoman"/>
          <w:color w:val="000000"/>
        </w:rPr>
        <w:t>, or their metabolites, are</w:t>
      </w:r>
      <w:r w:rsidRPr="000649D6">
        <w:rPr>
          <w:rFonts w:eastAsia="TimesNewRoman"/>
          <w:color w:val="000000"/>
        </w:rPr>
        <w:t xml:space="preserve"> excreted in human breast milk.</w:t>
      </w:r>
      <w:r w:rsidR="00E15A9D" w:rsidRPr="000649D6">
        <w:rPr>
          <w:rFonts w:eastAsia="TimesNewRoman"/>
          <w:color w:val="000000"/>
        </w:rPr>
        <w:t xml:space="preserve">  Such excretion has been demonstrated for both drugs in lactating rats.  In addition, growth and survival of pups were found to be decreased when lactating</w:t>
      </w:r>
      <w:r w:rsidR="00D20CEB" w:rsidRPr="000649D6">
        <w:rPr>
          <w:rFonts w:eastAsia="TimesNewRoman"/>
          <w:color w:val="000000"/>
        </w:rPr>
        <w:t xml:space="preserve"> rats were given </w:t>
      </w:r>
      <w:proofErr w:type="spellStart"/>
      <w:r w:rsidR="00D20CEB" w:rsidRPr="000649D6">
        <w:rPr>
          <w:rFonts w:eastAsia="TimesNewRoman"/>
          <w:color w:val="000000"/>
        </w:rPr>
        <w:t>eformoterol</w:t>
      </w:r>
      <w:proofErr w:type="spellEnd"/>
      <w:r w:rsidR="00D20CEB" w:rsidRPr="000649D6">
        <w:rPr>
          <w:rFonts w:eastAsia="TimesNewRoman"/>
          <w:color w:val="000000"/>
        </w:rPr>
        <w:t xml:space="preserve"> </w:t>
      </w:r>
      <w:proofErr w:type="spellStart"/>
      <w:r w:rsidR="00D20CEB" w:rsidRPr="000649D6">
        <w:rPr>
          <w:rFonts w:eastAsia="TimesNewRoman"/>
          <w:color w:val="000000"/>
        </w:rPr>
        <w:t>fum</w:t>
      </w:r>
      <w:r w:rsidR="00E15A9D" w:rsidRPr="000649D6">
        <w:rPr>
          <w:rFonts w:eastAsia="TimesNewRoman"/>
          <w:color w:val="000000"/>
        </w:rPr>
        <w:t>arate</w:t>
      </w:r>
      <w:proofErr w:type="spellEnd"/>
      <w:r w:rsidR="00E15A9D" w:rsidRPr="000649D6">
        <w:rPr>
          <w:rFonts w:eastAsia="TimesNewRoman"/>
          <w:color w:val="000000"/>
        </w:rPr>
        <w:t xml:space="preserve"> at oral doses greater than 1 mg/kg/day.</w:t>
      </w:r>
      <w:r w:rsidR="009A0E88" w:rsidRPr="000649D6">
        <w:rPr>
          <w:rFonts w:eastAsia="TimesNewRoman"/>
          <w:color w:val="000000"/>
        </w:rPr>
        <w:t xml:space="preserve">  </w:t>
      </w:r>
      <w:r w:rsidRPr="000649D6">
        <w:rPr>
          <w:rFonts w:eastAsia="TimesNewRoman"/>
          <w:color w:val="000000"/>
        </w:rPr>
        <w:t xml:space="preserve">Therefore, the administration of </w:t>
      </w:r>
      <w:r w:rsidR="00D058BC" w:rsidRPr="000649D6">
        <w:rPr>
          <w:rFonts w:eastAsia="TimesNewRoman"/>
          <w:color w:val="000000"/>
        </w:rPr>
        <w:t>FLUTIFORM</w:t>
      </w:r>
      <w:r w:rsidR="00975E6C" w:rsidRPr="000649D6">
        <w:rPr>
          <w:rFonts w:eastAsia="TimesNewRoman"/>
          <w:color w:val="000000"/>
          <w:vertAlign w:val="superscript"/>
        </w:rPr>
        <w:t>®</w:t>
      </w:r>
      <w:r w:rsidR="00D058BC" w:rsidRPr="000649D6">
        <w:rPr>
          <w:rFonts w:eastAsia="TimesNewRoman"/>
          <w:color w:val="000000"/>
        </w:rPr>
        <w:t xml:space="preserve"> </w:t>
      </w:r>
      <w:r w:rsidRPr="000649D6">
        <w:rPr>
          <w:rFonts w:eastAsia="TimesNewRoman"/>
          <w:color w:val="000000"/>
        </w:rPr>
        <w:t>to women who are breastfeeding should only be considered if the</w:t>
      </w:r>
      <w:r w:rsidR="009A0E88" w:rsidRPr="000649D6">
        <w:rPr>
          <w:rFonts w:eastAsia="TimesNewRoman"/>
          <w:color w:val="000000"/>
        </w:rPr>
        <w:t xml:space="preserve"> </w:t>
      </w:r>
      <w:r w:rsidRPr="000649D6">
        <w:rPr>
          <w:rFonts w:eastAsia="TimesNewRoman"/>
          <w:color w:val="000000"/>
        </w:rPr>
        <w:t>expected benefit to the mother is greater than any possible risk to the child.</w:t>
      </w:r>
    </w:p>
    <w:p w:rsidR="00FC3F45" w:rsidRPr="009A5618" w:rsidRDefault="002722C4" w:rsidP="00075653">
      <w:pPr>
        <w:pStyle w:val="Heading3"/>
      </w:pPr>
      <w:r>
        <w:t>U</w:t>
      </w:r>
      <w:r w:rsidR="00FC3F45" w:rsidRPr="000D49AB">
        <w:t>se</w:t>
      </w:r>
      <w:r>
        <w:t xml:space="preserve"> in children</w:t>
      </w:r>
    </w:p>
    <w:p w:rsidR="00FC3F45" w:rsidRPr="000649D6" w:rsidRDefault="00FC3F45" w:rsidP="000649D6">
      <w:pPr>
        <w:autoSpaceDE w:val="0"/>
        <w:autoSpaceDN w:val="0"/>
        <w:adjustRightInd w:val="0"/>
        <w:ind w:right="-360"/>
        <w:jc w:val="both"/>
        <w:rPr>
          <w:rFonts w:eastAsia="TimesNewRoman"/>
          <w:color w:val="000000"/>
        </w:rPr>
      </w:pPr>
      <w:r w:rsidRPr="000649D6">
        <w:rPr>
          <w:rFonts w:eastAsia="TimesNewRoman"/>
          <w:color w:val="000000"/>
        </w:rPr>
        <w:t>Only limited data are available for FLUTIFORM</w:t>
      </w:r>
      <w:r w:rsidRPr="000649D6">
        <w:rPr>
          <w:rFonts w:eastAsia="TimesNewRoman"/>
          <w:color w:val="000000"/>
          <w:vertAlign w:val="superscript"/>
        </w:rPr>
        <w:t xml:space="preserve">® </w:t>
      </w:r>
      <w:r w:rsidRPr="000649D6">
        <w:rPr>
          <w:rFonts w:eastAsia="TimesNewRoman"/>
          <w:color w:val="000000"/>
        </w:rPr>
        <w:t>inhaler in children under 12 years of age.  Therefore</w:t>
      </w:r>
      <w:r w:rsidR="00D20CEB" w:rsidRPr="000649D6">
        <w:rPr>
          <w:rFonts w:eastAsia="TimesNewRoman"/>
          <w:color w:val="000000"/>
        </w:rPr>
        <w:t>,</w:t>
      </w:r>
      <w:r w:rsidRPr="000649D6">
        <w:rPr>
          <w:rFonts w:eastAsia="TimesNewRoman"/>
          <w:color w:val="000000"/>
        </w:rPr>
        <w:t xml:space="preserve"> FLUTIFORM</w:t>
      </w:r>
      <w:r w:rsidRPr="000649D6">
        <w:rPr>
          <w:rFonts w:eastAsia="TimesNewRoman"/>
          <w:color w:val="000000"/>
          <w:vertAlign w:val="superscript"/>
        </w:rPr>
        <w:t>®</w:t>
      </w:r>
      <w:r w:rsidRPr="000649D6">
        <w:rPr>
          <w:rFonts w:eastAsia="TimesNewRoman"/>
          <w:color w:val="000000"/>
        </w:rPr>
        <w:t xml:space="preserve"> inhaler is not recommended for children under 12 years until further data become available.</w:t>
      </w:r>
    </w:p>
    <w:p w:rsidR="0076669E" w:rsidRPr="009A5618" w:rsidRDefault="0076669E" w:rsidP="00075653">
      <w:pPr>
        <w:pStyle w:val="Heading3"/>
      </w:pPr>
      <w:r w:rsidRPr="007F1B66">
        <w:t>Use in the elderly</w:t>
      </w:r>
    </w:p>
    <w:p w:rsidR="0076669E" w:rsidRPr="000649D6" w:rsidRDefault="0076669E" w:rsidP="000649D6">
      <w:pPr>
        <w:autoSpaceDE w:val="0"/>
        <w:autoSpaceDN w:val="0"/>
        <w:adjustRightInd w:val="0"/>
        <w:ind w:right="-360"/>
        <w:jc w:val="both"/>
        <w:rPr>
          <w:rFonts w:eastAsia="TimesNewRoman"/>
          <w:color w:val="000000"/>
        </w:rPr>
      </w:pPr>
      <w:r w:rsidRPr="000649D6">
        <w:rPr>
          <w:rFonts w:eastAsia="TimesNewRoman"/>
          <w:color w:val="000000"/>
        </w:rPr>
        <w:t xml:space="preserve">There is no need to adjust the dose in elderly patients.  No data </w:t>
      </w:r>
      <w:r w:rsidR="00D20CEB" w:rsidRPr="000649D6">
        <w:rPr>
          <w:rFonts w:eastAsia="TimesNewRoman"/>
          <w:color w:val="000000"/>
        </w:rPr>
        <w:t>are</w:t>
      </w:r>
      <w:r w:rsidRPr="000649D6">
        <w:rPr>
          <w:rFonts w:eastAsia="TimesNewRoman"/>
          <w:color w:val="000000"/>
        </w:rPr>
        <w:t xml:space="preserve"> available on the use of FLUTIFORM</w:t>
      </w:r>
      <w:r w:rsidRPr="000649D6">
        <w:rPr>
          <w:rFonts w:eastAsia="TimesNewRoman"/>
          <w:color w:val="000000"/>
          <w:vertAlign w:val="superscript"/>
        </w:rPr>
        <w:t>®</w:t>
      </w:r>
      <w:r w:rsidRPr="000649D6">
        <w:rPr>
          <w:rFonts w:eastAsia="TimesNewRoman"/>
          <w:color w:val="000000"/>
        </w:rPr>
        <w:t xml:space="preserve"> inhaler in patients with hepatic or renal impairment.</w:t>
      </w:r>
    </w:p>
    <w:p w:rsidR="00901F72" w:rsidRPr="009A5618" w:rsidRDefault="00901F72" w:rsidP="00075653">
      <w:pPr>
        <w:pStyle w:val="Heading3"/>
      </w:pPr>
      <w:proofErr w:type="spellStart"/>
      <w:r w:rsidRPr="007F1B66">
        <w:t>Genotoxicity</w:t>
      </w:r>
      <w:proofErr w:type="spellEnd"/>
    </w:p>
    <w:p w:rsidR="00FB650A" w:rsidRPr="000649D6" w:rsidRDefault="00FB650A" w:rsidP="000649D6">
      <w:pPr>
        <w:autoSpaceDE w:val="0"/>
        <w:autoSpaceDN w:val="0"/>
        <w:adjustRightInd w:val="0"/>
        <w:ind w:right="-360"/>
        <w:jc w:val="both"/>
        <w:rPr>
          <w:rFonts w:eastAsia="TimesNewRoman"/>
          <w:color w:val="000000"/>
        </w:rPr>
      </w:pPr>
      <w:r w:rsidRPr="000649D6">
        <w:rPr>
          <w:rFonts w:eastAsia="TimesNewRoman"/>
          <w:color w:val="000000"/>
        </w:rPr>
        <w:t>The</w:t>
      </w:r>
      <w:r w:rsidR="00901F72" w:rsidRPr="000649D6">
        <w:rPr>
          <w:rFonts w:eastAsia="TimesNewRoman"/>
          <w:color w:val="000000"/>
        </w:rPr>
        <w:t xml:space="preserve"> </w:t>
      </w:r>
      <w:r w:rsidRPr="000649D6">
        <w:rPr>
          <w:rFonts w:eastAsia="TimesNewRoman"/>
          <w:color w:val="000000"/>
        </w:rPr>
        <w:t xml:space="preserve">potential </w:t>
      </w:r>
      <w:proofErr w:type="spellStart"/>
      <w:r w:rsidRPr="000649D6">
        <w:rPr>
          <w:rFonts w:eastAsia="TimesNewRoman"/>
          <w:color w:val="000000"/>
        </w:rPr>
        <w:t>genotoxicity</w:t>
      </w:r>
      <w:proofErr w:type="spellEnd"/>
      <w:r w:rsidRPr="000649D6">
        <w:rPr>
          <w:rFonts w:eastAsia="TimesNewRoman"/>
          <w:color w:val="000000"/>
        </w:rPr>
        <w:t xml:space="preserve"> of </w:t>
      </w:r>
      <w:proofErr w:type="spellStart"/>
      <w:r w:rsidRPr="000649D6">
        <w:rPr>
          <w:rFonts w:eastAsia="TimesNewRoman"/>
          <w:color w:val="000000"/>
        </w:rPr>
        <w:t>fluticasone</w:t>
      </w:r>
      <w:proofErr w:type="spellEnd"/>
      <w:r w:rsidRPr="000649D6">
        <w:rPr>
          <w:rFonts w:eastAsia="TimesNewRoman"/>
          <w:color w:val="000000"/>
        </w:rPr>
        <w:t xml:space="preserve"> propionate and </w:t>
      </w:r>
      <w:proofErr w:type="spellStart"/>
      <w:r w:rsidRPr="000649D6">
        <w:rPr>
          <w:rFonts w:eastAsia="TimesNewRoman"/>
          <w:color w:val="000000"/>
        </w:rPr>
        <w:t>eformoterol</w:t>
      </w:r>
      <w:proofErr w:type="spellEnd"/>
      <w:r w:rsidRPr="000649D6">
        <w:rPr>
          <w:rFonts w:eastAsia="TimesNewRoman"/>
          <w:color w:val="000000"/>
        </w:rPr>
        <w:t xml:space="preserve"> </w:t>
      </w:r>
      <w:proofErr w:type="spellStart"/>
      <w:r w:rsidRPr="000649D6">
        <w:rPr>
          <w:rFonts w:eastAsia="TimesNewRoman"/>
          <w:color w:val="000000"/>
        </w:rPr>
        <w:t>fumarate</w:t>
      </w:r>
      <w:proofErr w:type="spellEnd"/>
      <w:r w:rsidRPr="000649D6">
        <w:rPr>
          <w:rFonts w:eastAsia="TimesNewRoman"/>
          <w:color w:val="000000"/>
        </w:rPr>
        <w:t xml:space="preserve"> in combination has not been studied.  Individually, the two agents exhibited no mutagenic or </w:t>
      </w:r>
      <w:proofErr w:type="spellStart"/>
      <w:r w:rsidRPr="000649D6">
        <w:rPr>
          <w:rFonts w:eastAsia="TimesNewRoman"/>
          <w:color w:val="000000"/>
        </w:rPr>
        <w:t>clastogenic</w:t>
      </w:r>
      <w:proofErr w:type="spellEnd"/>
      <w:r w:rsidRPr="000649D6">
        <w:rPr>
          <w:rFonts w:eastAsia="TimesNewRoman"/>
          <w:color w:val="000000"/>
        </w:rPr>
        <w:t xml:space="preserve"> effects in a battery of </w:t>
      </w:r>
      <w:r w:rsidRPr="000649D6">
        <w:rPr>
          <w:rFonts w:eastAsia="TimesNewRoman"/>
          <w:i/>
          <w:color w:val="000000"/>
        </w:rPr>
        <w:t>in vitro</w:t>
      </w:r>
      <w:r w:rsidRPr="000649D6">
        <w:rPr>
          <w:rFonts w:eastAsia="TimesNewRoman"/>
          <w:color w:val="000000"/>
        </w:rPr>
        <w:t xml:space="preserve"> and </w:t>
      </w:r>
      <w:r w:rsidRPr="000649D6">
        <w:rPr>
          <w:rFonts w:eastAsia="TimesNewRoman"/>
          <w:i/>
          <w:color w:val="000000"/>
        </w:rPr>
        <w:t>in vivo</w:t>
      </w:r>
      <w:r w:rsidRPr="000649D6">
        <w:rPr>
          <w:rFonts w:eastAsia="TimesNewRoman"/>
          <w:color w:val="000000"/>
        </w:rPr>
        <w:t xml:space="preserve"> tests.</w:t>
      </w:r>
    </w:p>
    <w:p w:rsidR="00075653" w:rsidRDefault="00075653">
      <w:pPr>
        <w:rPr>
          <w:rFonts w:eastAsia="TimesNewRoman"/>
          <w:b/>
          <w:color w:val="000000"/>
        </w:rPr>
      </w:pPr>
      <w:r>
        <w:br w:type="page"/>
      </w:r>
    </w:p>
    <w:p w:rsidR="00901F72" w:rsidRPr="009A5618" w:rsidRDefault="00901F72" w:rsidP="00075653">
      <w:pPr>
        <w:pStyle w:val="Heading3"/>
      </w:pPr>
      <w:r w:rsidRPr="007F1B66">
        <w:lastRenderedPageBreak/>
        <w:t>Carcinogenicity</w:t>
      </w:r>
    </w:p>
    <w:p w:rsidR="00901F72" w:rsidRPr="000649D6" w:rsidRDefault="00901F72" w:rsidP="000649D6">
      <w:pPr>
        <w:autoSpaceDE w:val="0"/>
        <w:autoSpaceDN w:val="0"/>
        <w:adjustRightInd w:val="0"/>
        <w:ind w:right="-360"/>
        <w:jc w:val="both"/>
        <w:rPr>
          <w:rFonts w:eastAsia="TimesNewRoman"/>
          <w:color w:val="000000"/>
        </w:rPr>
      </w:pPr>
      <w:r w:rsidRPr="000649D6">
        <w:rPr>
          <w:rFonts w:eastAsia="TimesNewRoman"/>
          <w:color w:val="000000"/>
        </w:rPr>
        <w:t xml:space="preserve">No carcinogenic studies with </w:t>
      </w:r>
      <w:proofErr w:type="spellStart"/>
      <w:r w:rsidR="00FB650A" w:rsidRPr="000649D6">
        <w:rPr>
          <w:rFonts w:eastAsia="TimesNewRoman"/>
          <w:color w:val="000000"/>
        </w:rPr>
        <w:t>fluticasone</w:t>
      </w:r>
      <w:proofErr w:type="spellEnd"/>
      <w:r w:rsidR="00FB650A" w:rsidRPr="000649D6">
        <w:rPr>
          <w:rFonts w:eastAsia="TimesNewRoman"/>
          <w:color w:val="000000"/>
        </w:rPr>
        <w:t xml:space="preserve"> propionate and </w:t>
      </w:r>
      <w:proofErr w:type="spellStart"/>
      <w:r w:rsidR="00FB650A" w:rsidRPr="000649D6">
        <w:rPr>
          <w:rFonts w:eastAsia="TimesNewRoman"/>
          <w:color w:val="000000"/>
        </w:rPr>
        <w:t>eformoterol</w:t>
      </w:r>
      <w:proofErr w:type="spellEnd"/>
      <w:r w:rsidR="00FB650A" w:rsidRPr="000649D6">
        <w:rPr>
          <w:rFonts w:eastAsia="TimesNewRoman"/>
          <w:color w:val="000000"/>
        </w:rPr>
        <w:t xml:space="preserve"> </w:t>
      </w:r>
      <w:proofErr w:type="spellStart"/>
      <w:r w:rsidR="00FB650A" w:rsidRPr="000649D6">
        <w:rPr>
          <w:rFonts w:eastAsia="TimesNewRoman"/>
          <w:color w:val="000000"/>
        </w:rPr>
        <w:t>fumarate</w:t>
      </w:r>
      <w:proofErr w:type="spellEnd"/>
      <w:r w:rsidR="00FB650A" w:rsidRPr="000649D6">
        <w:rPr>
          <w:rFonts w:eastAsia="TimesNewRoman"/>
          <w:color w:val="000000"/>
        </w:rPr>
        <w:t xml:space="preserve"> in combination have been conducted.  Long-term rodent studies have been performed </w:t>
      </w:r>
      <w:r w:rsidR="008D3F77" w:rsidRPr="000649D6">
        <w:rPr>
          <w:rFonts w:eastAsia="TimesNewRoman"/>
          <w:color w:val="000000"/>
        </w:rPr>
        <w:t>with</w:t>
      </w:r>
      <w:r w:rsidR="00FB650A" w:rsidRPr="000649D6">
        <w:rPr>
          <w:rFonts w:eastAsia="TimesNewRoman"/>
          <w:color w:val="000000"/>
        </w:rPr>
        <w:t xml:space="preserve"> the individual active component</w:t>
      </w:r>
      <w:r w:rsidR="008D3F77" w:rsidRPr="000649D6">
        <w:rPr>
          <w:rFonts w:eastAsia="TimesNewRoman"/>
          <w:color w:val="000000"/>
        </w:rPr>
        <w:t>s</w:t>
      </w:r>
      <w:r w:rsidR="00FB650A" w:rsidRPr="000649D6">
        <w:rPr>
          <w:rFonts w:eastAsia="TimesNewRoman"/>
          <w:color w:val="000000"/>
        </w:rPr>
        <w:t>.</w:t>
      </w:r>
    </w:p>
    <w:p w:rsidR="00901F72" w:rsidRPr="000649D6" w:rsidRDefault="00901F72" w:rsidP="00075653">
      <w:pPr>
        <w:autoSpaceDE w:val="0"/>
        <w:autoSpaceDN w:val="0"/>
        <w:adjustRightInd w:val="0"/>
        <w:spacing w:before="100" w:beforeAutospacing="1" w:after="100" w:afterAutospacing="1"/>
        <w:ind w:right="-357"/>
        <w:jc w:val="both"/>
        <w:rPr>
          <w:rFonts w:eastAsia="TimesNewRoman"/>
        </w:rPr>
      </w:pPr>
      <w:proofErr w:type="spellStart"/>
      <w:r w:rsidRPr="000649D6">
        <w:rPr>
          <w:bCs/>
          <w:i/>
          <w:color w:val="000000"/>
        </w:rPr>
        <w:t>Fluticasone</w:t>
      </w:r>
      <w:proofErr w:type="spellEnd"/>
      <w:r w:rsidRPr="000649D6">
        <w:rPr>
          <w:bCs/>
          <w:i/>
          <w:color w:val="000000"/>
        </w:rPr>
        <w:t xml:space="preserve"> propionate</w:t>
      </w:r>
      <w:r w:rsidRPr="000649D6">
        <w:rPr>
          <w:bCs/>
          <w:color w:val="000000"/>
        </w:rPr>
        <w:t>:</w:t>
      </w:r>
      <w:r w:rsidRPr="000649D6">
        <w:rPr>
          <w:rFonts w:eastAsia="TimesNewRoman"/>
          <w:color w:val="000000"/>
        </w:rPr>
        <w:t xml:space="preserve"> </w:t>
      </w:r>
      <w:r w:rsidR="00FB650A" w:rsidRPr="000649D6">
        <w:rPr>
          <w:rFonts w:eastAsia="TimesNewRoman"/>
          <w:color w:val="000000"/>
        </w:rPr>
        <w:t>N</w:t>
      </w:r>
      <w:r w:rsidRPr="000649D6">
        <w:rPr>
          <w:rFonts w:eastAsia="TimesNewRoman"/>
          <w:color w:val="000000"/>
        </w:rPr>
        <w:t xml:space="preserve">o </w:t>
      </w:r>
      <w:r w:rsidR="00FB650A" w:rsidRPr="000649D6">
        <w:rPr>
          <w:rFonts w:eastAsia="TimesNewRoman"/>
          <w:color w:val="000000"/>
        </w:rPr>
        <w:t xml:space="preserve">evidence of </w:t>
      </w:r>
      <w:proofErr w:type="spellStart"/>
      <w:r w:rsidRPr="000649D6">
        <w:rPr>
          <w:rFonts w:eastAsia="TimesNewRoman"/>
          <w:color w:val="000000"/>
        </w:rPr>
        <w:t>tumo</w:t>
      </w:r>
      <w:r w:rsidR="00D20CEB" w:rsidRPr="000649D6">
        <w:rPr>
          <w:rFonts w:eastAsia="TimesNewRoman"/>
          <w:color w:val="000000"/>
        </w:rPr>
        <w:t>u</w:t>
      </w:r>
      <w:r w:rsidRPr="000649D6">
        <w:rPr>
          <w:rFonts w:eastAsia="TimesNewRoman"/>
          <w:color w:val="000000"/>
        </w:rPr>
        <w:t>rigenic</w:t>
      </w:r>
      <w:proofErr w:type="spellEnd"/>
      <w:r w:rsidRPr="000649D6">
        <w:rPr>
          <w:rFonts w:eastAsia="TimesNewRoman"/>
          <w:color w:val="000000"/>
        </w:rPr>
        <w:t xml:space="preserve"> </w:t>
      </w:r>
      <w:r w:rsidR="00FB650A" w:rsidRPr="000649D6">
        <w:rPr>
          <w:rFonts w:eastAsia="TimesNewRoman"/>
          <w:color w:val="000000"/>
        </w:rPr>
        <w:t xml:space="preserve">activity was observed with fluticasone propionate </w:t>
      </w:r>
      <w:r w:rsidRPr="000649D6">
        <w:rPr>
          <w:rFonts w:eastAsia="TimesNewRoman"/>
          <w:color w:val="000000"/>
        </w:rPr>
        <w:t xml:space="preserve">in </w:t>
      </w:r>
      <w:r w:rsidR="00FB650A" w:rsidRPr="000649D6">
        <w:rPr>
          <w:rFonts w:eastAsia="TimesNewRoman"/>
          <w:color w:val="000000"/>
        </w:rPr>
        <w:t xml:space="preserve">an 18-month study in </w:t>
      </w:r>
      <w:r w:rsidRPr="000649D6">
        <w:rPr>
          <w:rFonts w:eastAsia="TimesNewRoman"/>
          <w:color w:val="000000"/>
        </w:rPr>
        <w:t xml:space="preserve">mice </w:t>
      </w:r>
      <w:r w:rsidR="00FB650A" w:rsidRPr="000649D6">
        <w:rPr>
          <w:rFonts w:eastAsia="TimesNewRoman"/>
          <w:color w:val="000000"/>
        </w:rPr>
        <w:t xml:space="preserve">treated </w:t>
      </w:r>
      <w:r w:rsidRPr="000649D6">
        <w:rPr>
          <w:rFonts w:eastAsia="TimesNewRoman"/>
          <w:color w:val="000000"/>
        </w:rPr>
        <w:t xml:space="preserve">at oral doses up to 1,000 </w:t>
      </w:r>
      <w:r w:rsidR="00832BC5" w:rsidRPr="000649D6">
        <w:rPr>
          <w:rFonts w:eastAsia="TimesNewRoman"/>
          <w:color w:val="000000"/>
        </w:rPr>
        <w:t>micrograms</w:t>
      </w:r>
      <w:r w:rsidRPr="000649D6">
        <w:rPr>
          <w:rFonts w:eastAsia="TimesNewRoman"/>
          <w:color w:val="000000"/>
        </w:rPr>
        <w:t xml:space="preserve">/kg </w:t>
      </w:r>
      <w:r w:rsidRPr="000649D6">
        <w:rPr>
          <w:rFonts w:eastAsia="TimesNewRoman"/>
        </w:rPr>
        <w:t>(approximately 5 times the MR</w:t>
      </w:r>
      <w:r w:rsidR="00FB650A" w:rsidRPr="000649D6">
        <w:rPr>
          <w:rFonts w:eastAsia="TimesNewRoman"/>
        </w:rPr>
        <w:t>H</w:t>
      </w:r>
      <w:r w:rsidRPr="000649D6">
        <w:rPr>
          <w:rFonts w:eastAsia="TimesNewRoman"/>
        </w:rPr>
        <w:t xml:space="preserve">D in adults and children, on a </w:t>
      </w:r>
      <w:r w:rsidR="00832BC5" w:rsidRPr="000649D6">
        <w:rPr>
          <w:rFonts w:eastAsia="TimesNewRoman"/>
        </w:rPr>
        <w:t>micrograms</w:t>
      </w:r>
      <w:r w:rsidRPr="000649D6">
        <w:rPr>
          <w:rFonts w:eastAsia="TimesNewRoman"/>
        </w:rPr>
        <w:t>/m</w:t>
      </w:r>
      <w:r w:rsidRPr="000649D6">
        <w:rPr>
          <w:rFonts w:eastAsia="TimesNewRoman"/>
          <w:vertAlign w:val="superscript"/>
        </w:rPr>
        <w:t>2</w:t>
      </w:r>
      <w:r w:rsidR="00FB650A" w:rsidRPr="000649D6">
        <w:rPr>
          <w:rFonts w:eastAsia="TimesNewRoman"/>
        </w:rPr>
        <w:t xml:space="preserve"> basis) </w:t>
      </w:r>
      <w:r w:rsidRPr="000649D6">
        <w:rPr>
          <w:rFonts w:eastAsia="TimesNewRoman"/>
        </w:rPr>
        <w:t xml:space="preserve">or </w:t>
      </w:r>
      <w:r w:rsidR="00FB650A" w:rsidRPr="000649D6">
        <w:rPr>
          <w:rFonts w:eastAsia="TimesNewRoman"/>
        </w:rPr>
        <w:t xml:space="preserve">in a 2-year study in rats given </w:t>
      </w:r>
      <w:r w:rsidRPr="000649D6">
        <w:rPr>
          <w:rFonts w:eastAsia="TimesNewRoman"/>
        </w:rPr>
        <w:t xml:space="preserve">doses up to 57 </w:t>
      </w:r>
      <w:r w:rsidR="00832BC5" w:rsidRPr="000649D6">
        <w:rPr>
          <w:rFonts w:eastAsia="TimesNewRoman"/>
        </w:rPr>
        <w:t>micrograms</w:t>
      </w:r>
      <w:r w:rsidRPr="000649D6">
        <w:rPr>
          <w:rFonts w:eastAsia="TimesNewRoman"/>
        </w:rPr>
        <w:t>/kg (less than the MR</w:t>
      </w:r>
      <w:r w:rsidR="00FB650A" w:rsidRPr="000649D6">
        <w:rPr>
          <w:rFonts w:eastAsia="TimesNewRoman"/>
        </w:rPr>
        <w:t>H</w:t>
      </w:r>
      <w:r w:rsidRPr="000649D6">
        <w:rPr>
          <w:rFonts w:eastAsia="TimesNewRoman"/>
        </w:rPr>
        <w:t xml:space="preserve">D in adults and children, on a </w:t>
      </w:r>
      <w:r w:rsidR="00832BC5" w:rsidRPr="000649D6">
        <w:rPr>
          <w:rFonts w:eastAsia="TimesNewRoman"/>
        </w:rPr>
        <w:t>micrograms</w:t>
      </w:r>
      <w:r w:rsidRPr="000649D6">
        <w:rPr>
          <w:rFonts w:eastAsia="TimesNewRoman"/>
        </w:rPr>
        <w:t>/m</w:t>
      </w:r>
      <w:r w:rsidRPr="000649D6">
        <w:rPr>
          <w:rFonts w:eastAsia="TimesNewRoman"/>
          <w:vertAlign w:val="superscript"/>
        </w:rPr>
        <w:t>2</w:t>
      </w:r>
      <w:r w:rsidR="00FB650A" w:rsidRPr="000649D6">
        <w:rPr>
          <w:rFonts w:eastAsia="TimesNewRoman"/>
        </w:rPr>
        <w:t xml:space="preserve"> basis)</w:t>
      </w:r>
      <w:r w:rsidRPr="000649D6">
        <w:rPr>
          <w:rFonts w:eastAsia="TimesNewRoman"/>
        </w:rPr>
        <w:t xml:space="preserve">.  </w:t>
      </w:r>
    </w:p>
    <w:p w:rsidR="008D3F77" w:rsidRPr="000649D6" w:rsidRDefault="00901F72" w:rsidP="000649D6">
      <w:pPr>
        <w:autoSpaceDE w:val="0"/>
        <w:autoSpaceDN w:val="0"/>
        <w:adjustRightInd w:val="0"/>
        <w:ind w:right="-360"/>
        <w:jc w:val="both"/>
        <w:rPr>
          <w:rFonts w:eastAsia="TimesNewRoman"/>
        </w:rPr>
      </w:pPr>
      <w:proofErr w:type="spellStart"/>
      <w:r w:rsidRPr="003F3F57">
        <w:rPr>
          <w:bCs/>
          <w:i/>
        </w:rPr>
        <w:t>Eformoterol</w:t>
      </w:r>
      <w:proofErr w:type="spellEnd"/>
      <w:r w:rsidRPr="003F3F57">
        <w:rPr>
          <w:bCs/>
          <w:i/>
        </w:rPr>
        <w:t xml:space="preserve"> </w:t>
      </w:r>
      <w:proofErr w:type="spellStart"/>
      <w:r w:rsidRPr="003F3F57">
        <w:rPr>
          <w:bCs/>
          <w:i/>
        </w:rPr>
        <w:t>fumarate</w:t>
      </w:r>
      <w:proofErr w:type="spellEnd"/>
      <w:r w:rsidRPr="003F3F57">
        <w:rPr>
          <w:bCs/>
        </w:rPr>
        <w:t>:</w:t>
      </w:r>
      <w:r w:rsidRPr="003F3F57">
        <w:rPr>
          <w:rFonts w:eastAsia="TimesNewRoman"/>
        </w:rPr>
        <w:t xml:space="preserve"> </w:t>
      </w:r>
      <w:r w:rsidR="008D3F77" w:rsidRPr="003F3F57">
        <w:rPr>
          <w:rFonts w:eastAsia="TimesNewRoman"/>
        </w:rPr>
        <w:t xml:space="preserve"> I</w:t>
      </w:r>
      <w:r w:rsidR="008D3F77" w:rsidRPr="000649D6">
        <w:rPr>
          <w:rFonts w:eastAsia="TimesNewRoman"/>
        </w:rPr>
        <w:t xml:space="preserve">n 2-year studies in mice and rats, treatment with </w:t>
      </w:r>
      <w:proofErr w:type="spellStart"/>
      <w:r w:rsidRPr="000649D6">
        <w:rPr>
          <w:rFonts w:eastAsia="TimesNewRoman"/>
        </w:rPr>
        <w:t>eformoterol</w:t>
      </w:r>
      <w:proofErr w:type="spellEnd"/>
      <w:r w:rsidRPr="000649D6">
        <w:rPr>
          <w:rFonts w:eastAsia="TimesNewRoman"/>
        </w:rPr>
        <w:t xml:space="preserve"> </w:t>
      </w:r>
      <w:proofErr w:type="spellStart"/>
      <w:r w:rsidRPr="000649D6">
        <w:rPr>
          <w:rFonts w:eastAsia="TimesNewRoman"/>
        </w:rPr>
        <w:t>fumarate</w:t>
      </w:r>
      <w:proofErr w:type="spellEnd"/>
      <w:r w:rsidR="008D3F77" w:rsidRPr="000649D6">
        <w:rPr>
          <w:rFonts w:eastAsia="TimesNewRoman"/>
        </w:rPr>
        <w:t xml:space="preserve">, given </w:t>
      </w:r>
      <w:r w:rsidR="008D3F77" w:rsidRPr="000649D6">
        <w:rPr>
          <w:rFonts w:eastAsia="TimesNewRoman"/>
          <w:i/>
        </w:rPr>
        <w:t>via</w:t>
      </w:r>
      <w:r w:rsidR="008D3F77" w:rsidRPr="000649D6">
        <w:rPr>
          <w:rFonts w:eastAsia="TimesNewRoman"/>
        </w:rPr>
        <w:t xml:space="preserve"> the diet or drinking water at very high doses, was associated with increases in several tumour types.  In mice, these included</w:t>
      </w:r>
      <w:r w:rsidR="001A4286" w:rsidRPr="000649D6">
        <w:rPr>
          <w:rFonts w:eastAsia="TimesNewRoman"/>
        </w:rPr>
        <w:t xml:space="preserve"> hepato</w:t>
      </w:r>
      <w:r w:rsidR="008D3F77" w:rsidRPr="000649D6">
        <w:rPr>
          <w:rFonts w:eastAsia="TimesNewRoman"/>
        </w:rPr>
        <w:t xml:space="preserve">cellular adenoma and carcinomas (≥2 mg/kg/day), </w:t>
      </w:r>
      <w:proofErr w:type="spellStart"/>
      <w:r w:rsidR="008D3F77" w:rsidRPr="000649D6">
        <w:rPr>
          <w:rFonts w:eastAsia="TimesNewRoman"/>
        </w:rPr>
        <w:t>leiomyomas</w:t>
      </w:r>
      <w:proofErr w:type="spellEnd"/>
      <w:r w:rsidR="008D3F77" w:rsidRPr="000649D6">
        <w:rPr>
          <w:rFonts w:eastAsia="TimesNewRoman"/>
        </w:rPr>
        <w:t xml:space="preserve"> and </w:t>
      </w:r>
      <w:proofErr w:type="spellStart"/>
      <w:r w:rsidR="008D3F77" w:rsidRPr="000649D6">
        <w:rPr>
          <w:rFonts w:eastAsia="TimesNewRoman"/>
        </w:rPr>
        <w:t>leiomyosarcomas</w:t>
      </w:r>
      <w:proofErr w:type="spellEnd"/>
      <w:r w:rsidR="008D3F77" w:rsidRPr="000649D6">
        <w:rPr>
          <w:rFonts w:eastAsia="TimesNewRoman"/>
        </w:rPr>
        <w:t xml:space="preserve"> in the female reproductive tract (≥2 mg/kg/day</w:t>
      </w:r>
      <w:r w:rsidR="003F39B0" w:rsidRPr="000649D6">
        <w:rPr>
          <w:rFonts w:eastAsia="TimesNewRoman"/>
        </w:rPr>
        <w:t>)</w:t>
      </w:r>
      <w:r w:rsidR="008D3F77" w:rsidRPr="000649D6">
        <w:rPr>
          <w:rFonts w:eastAsia="TimesNewRoman"/>
        </w:rPr>
        <w:t xml:space="preserve"> and</w:t>
      </w:r>
      <w:r w:rsidR="003F39B0" w:rsidRPr="000649D6">
        <w:rPr>
          <w:rFonts w:eastAsia="TimesNewRoman"/>
        </w:rPr>
        <w:t xml:space="preserve"> adrenal </w:t>
      </w:r>
      <w:proofErr w:type="spellStart"/>
      <w:r w:rsidR="003F39B0" w:rsidRPr="000649D6">
        <w:rPr>
          <w:rFonts w:eastAsia="TimesNewRoman"/>
        </w:rPr>
        <w:t>subcapsular</w:t>
      </w:r>
      <w:proofErr w:type="spellEnd"/>
      <w:r w:rsidR="003F39B0" w:rsidRPr="000649D6">
        <w:rPr>
          <w:rFonts w:eastAsia="TimesNewRoman"/>
        </w:rPr>
        <w:t xml:space="preserve"> cell tumours (≥66 mg/kg/day).  In rats, treatment was associated with benign </w:t>
      </w:r>
      <w:proofErr w:type="spellStart"/>
      <w:r w:rsidR="003F39B0" w:rsidRPr="000649D6">
        <w:rPr>
          <w:rFonts w:eastAsia="TimesNewRoman"/>
        </w:rPr>
        <w:t>granulosa</w:t>
      </w:r>
      <w:proofErr w:type="spellEnd"/>
      <w:r w:rsidR="003F39B0" w:rsidRPr="000649D6">
        <w:rPr>
          <w:rFonts w:eastAsia="TimesNewRoman"/>
        </w:rPr>
        <w:t>/</w:t>
      </w:r>
      <w:r w:rsidR="001A4286" w:rsidRPr="000649D6">
        <w:rPr>
          <w:rFonts w:eastAsia="TimesNewRoman"/>
        </w:rPr>
        <w:t xml:space="preserve">theca </w:t>
      </w:r>
      <w:r w:rsidR="003F39B0" w:rsidRPr="000649D6">
        <w:rPr>
          <w:rFonts w:eastAsia="TimesNewRoman"/>
        </w:rPr>
        <w:t>cell tumo</w:t>
      </w:r>
      <w:r w:rsidR="00C854B5" w:rsidRPr="000649D6">
        <w:rPr>
          <w:rFonts w:eastAsia="TimesNewRoman"/>
        </w:rPr>
        <w:t>u</w:t>
      </w:r>
      <w:r w:rsidR="003F39B0" w:rsidRPr="000649D6">
        <w:rPr>
          <w:rFonts w:eastAsia="TimesNewRoman"/>
        </w:rPr>
        <w:t xml:space="preserve">rs in the ovaries (≥0.5 mg/kg/day), </w:t>
      </w:r>
      <w:proofErr w:type="spellStart"/>
      <w:r w:rsidR="003F39B0" w:rsidRPr="000649D6">
        <w:rPr>
          <w:rFonts w:eastAsia="TimesNewRoman"/>
        </w:rPr>
        <w:t>mesovarian</w:t>
      </w:r>
      <w:proofErr w:type="spellEnd"/>
      <w:r w:rsidR="003F39B0" w:rsidRPr="000649D6">
        <w:rPr>
          <w:rFonts w:eastAsia="TimesNewRoman"/>
        </w:rPr>
        <w:t xml:space="preserve"> </w:t>
      </w:r>
      <w:proofErr w:type="spellStart"/>
      <w:r w:rsidR="003F39B0" w:rsidRPr="000649D6">
        <w:rPr>
          <w:rFonts w:eastAsia="TimesNewRoman"/>
        </w:rPr>
        <w:t>leiomyomas</w:t>
      </w:r>
      <w:proofErr w:type="spellEnd"/>
      <w:r w:rsidR="003F39B0" w:rsidRPr="000649D6">
        <w:rPr>
          <w:rFonts w:eastAsia="TimesNewRoman"/>
        </w:rPr>
        <w:t xml:space="preserve"> </w:t>
      </w:r>
      <w:r w:rsidR="00042D58" w:rsidRPr="000649D6">
        <w:rPr>
          <w:rFonts w:eastAsia="TimesNewRoman"/>
        </w:rPr>
        <w:t xml:space="preserve">          </w:t>
      </w:r>
      <w:r w:rsidR="003F39B0" w:rsidRPr="000649D6">
        <w:rPr>
          <w:rFonts w:eastAsia="TimesNewRoman"/>
        </w:rPr>
        <w:t>(≥18 mg/kg/day), mammary adenocarcinomas (≥36 mg/kg/day) and thyroid C-cell neoplasms (46 mg/kg/day.  A</w:t>
      </w:r>
      <w:r w:rsidR="001A4286" w:rsidRPr="000649D6">
        <w:rPr>
          <w:rFonts w:eastAsia="TimesNewRoman"/>
        </w:rPr>
        <w:t xml:space="preserve"> </w:t>
      </w:r>
      <w:proofErr w:type="spellStart"/>
      <w:r w:rsidR="003F39B0" w:rsidRPr="000649D6">
        <w:rPr>
          <w:rFonts w:eastAsia="TimesNewRoman"/>
        </w:rPr>
        <w:t>mesovarian</w:t>
      </w:r>
      <w:proofErr w:type="spellEnd"/>
      <w:r w:rsidR="003F39B0" w:rsidRPr="000649D6">
        <w:rPr>
          <w:rFonts w:eastAsia="TimesNewRoman"/>
        </w:rPr>
        <w:t xml:space="preserve"> </w:t>
      </w:r>
      <w:proofErr w:type="spellStart"/>
      <w:r w:rsidR="003F39B0" w:rsidRPr="000649D6">
        <w:rPr>
          <w:rFonts w:eastAsia="TimesNewRoman"/>
        </w:rPr>
        <w:t>leiomyoma</w:t>
      </w:r>
      <w:proofErr w:type="spellEnd"/>
      <w:r w:rsidR="003F39B0" w:rsidRPr="000649D6">
        <w:rPr>
          <w:rFonts w:eastAsia="TimesNewRoman"/>
        </w:rPr>
        <w:t xml:space="preserve"> was also observed in a female rat do</w:t>
      </w:r>
      <w:r w:rsidR="001A4286" w:rsidRPr="000649D6">
        <w:rPr>
          <w:rFonts w:eastAsia="TimesNewRoman"/>
        </w:rPr>
        <w:t>s</w:t>
      </w:r>
      <w:r w:rsidR="003F39B0" w:rsidRPr="000649D6">
        <w:rPr>
          <w:rFonts w:eastAsia="TimesNewRoman"/>
        </w:rPr>
        <w:t>e</w:t>
      </w:r>
      <w:r w:rsidR="001A4286" w:rsidRPr="000649D6">
        <w:rPr>
          <w:rFonts w:eastAsia="TimesNewRoman"/>
        </w:rPr>
        <w:t>d</w:t>
      </w:r>
      <w:r w:rsidR="003F39B0" w:rsidRPr="000649D6">
        <w:rPr>
          <w:rFonts w:eastAsia="TimesNewRoman"/>
        </w:rPr>
        <w:t xml:space="preserve"> by inhalation at 130 </w:t>
      </w:r>
      <w:r w:rsidR="00832BC5" w:rsidRPr="000649D6">
        <w:rPr>
          <w:rFonts w:eastAsia="TimesNewRoman"/>
        </w:rPr>
        <w:t>micrograms</w:t>
      </w:r>
      <w:r w:rsidR="003F39B0" w:rsidRPr="000649D6">
        <w:rPr>
          <w:rFonts w:eastAsia="TimesNewRoman"/>
        </w:rPr>
        <w:t xml:space="preserve">/kg/day for </w:t>
      </w:r>
      <w:r w:rsidR="00C854B5" w:rsidRPr="000649D6">
        <w:rPr>
          <w:rFonts w:eastAsia="TimesNewRoman"/>
        </w:rPr>
        <w:t xml:space="preserve">two </w:t>
      </w:r>
      <w:r w:rsidR="003F39B0" w:rsidRPr="000649D6">
        <w:rPr>
          <w:rFonts w:eastAsia="TimesNewRoman"/>
        </w:rPr>
        <w:t xml:space="preserve">years (approximately 30-47 times the MRHD in adults and children on a </w:t>
      </w:r>
      <w:r w:rsidR="00832BC5" w:rsidRPr="000649D6">
        <w:rPr>
          <w:rFonts w:eastAsia="TimesNewRoman"/>
        </w:rPr>
        <w:t>micrograms</w:t>
      </w:r>
      <w:r w:rsidR="003F39B0" w:rsidRPr="000649D6">
        <w:rPr>
          <w:rFonts w:eastAsia="TimesNewRoman"/>
        </w:rPr>
        <w:t>/m</w:t>
      </w:r>
      <w:r w:rsidR="003F39B0" w:rsidRPr="000649D6">
        <w:rPr>
          <w:rFonts w:eastAsia="TimesNewRoman"/>
          <w:vertAlign w:val="superscript"/>
        </w:rPr>
        <w:t xml:space="preserve">2 </w:t>
      </w:r>
      <w:r w:rsidR="003F39B0" w:rsidRPr="000649D6">
        <w:rPr>
          <w:rFonts w:eastAsia="TimesNewRoman"/>
        </w:rPr>
        <w:t>basis).  Ma</w:t>
      </w:r>
      <w:r w:rsidR="001A4286" w:rsidRPr="000649D6">
        <w:rPr>
          <w:rFonts w:eastAsia="TimesNewRoman"/>
        </w:rPr>
        <w:t>mm</w:t>
      </w:r>
      <w:r w:rsidR="003F39B0" w:rsidRPr="000649D6">
        <w:rPr>
          <w:rFonts w:eastAsia="TimesNewRoman"/>
        </w:rPr>
        <w:t>ary adenocarcinomas, smooth muscle tumours in the femal</w:t>
      </w:r>
      <w:r w:rsidR="001A4286" w:rsidRPr="000649D6">
        <w:rPr>
          <w:rFonts w:eastAsia="TimesNewRoman"/>
        </w:rPr>
        <w:t>e</w:t>
      </w:r>
      <w:r w:rsidR="003F39B0" w:rsidRPr="000649D6">
        <w:rPr>
          <w:rFonts w:eastAsia="TimesNewRoman"/>
        </w:rPr>
        <w:t xml:space="preserve"> reproductive tract and effects on the ovary have been reported </w:t>
      </w:r>
      <w:r w:rsidR="001A4286" w:rsidRPr="000649D6">
        <w:rPr>
          <w:rFonts w:eastAsia="TimesNewRoman"/>
        </w:rPr>
        <w:t xml:space="preserve">in rats and mice treated </w:t>
      </w:r>
      <w:r w:rsidR="003F39B0" w:rsidRPr="000649D6">
        <w:rPr>
          <w:rFonts w:eastAsia="TimesNewRoman"/>
        </w:rPr>
        <w:t xml:space="preserve">with </w:t>
      </w:r>
      <w:r w:rsidR="008D3F77" w:rsidRPr="000649D6">
        <w:rPr>
          <w:rFonts w:eastAsia="TimesNewRoman"/>
        </w:rPr>
        <w:t>other β</w:t>
      </w:r>
      <w:r w:rsidR="001A4286" w:rsidRPr="000649D6">
        <w:rPr>
          <w:rFonts w:eastAsia="TimesNewRoman"/>
          <w:vertAlign w:val="subscript"/>
        </w:rPr>
        <w:t>2</w:t>
      </w:r>
      <w:r w:rsidR="003F39B0" w:rsidRPr="000649D6">
        <w:rPr>
          <w:rFonts w:eastAsia="TimesNewRoman"/>
        </w:rPr>
        <w:t>-</w:t>
      </w:r>
      <w:r w:rsidR="001A4286" w:rsidRPr="000649D6">
        <w:rPr>
          <w:rFonts w:eastAsia="TimesNewRoman"/>
        </w:rPr>
        <w:t xml:space="preserve"> </w:t>
      </w:r>
      <w:proofErr w:type="spellStart"/>
      <w:r w:rsidR="001A4286" w:rsidRPr="000649D6">
        <w:rPr>
          <w:rFonts w:eastAsia="TimesNewRoman"/>
        </w:rPr>
        <w:t>adrenoreceptor</w:t>
      </w:r>
      <w:proofErr w:type="spellEnd"/>
      <w:r w:rsidR="001A4286" w:rsidRPr="000649D6">
        <w:rPr>
          <w:rFonts w:eastAsia="TimesNewRoman"/>
        </w:rPr>
        <w:t xml:space="preserve"> </w:t>
      </w:r>
      <w:r w:rsidR="003F39B0" w:rsidRPr="000649D6">
        <w:rPr>
          <w:rFonts w:eastAsia="TimesNewRoman"/>
        </w:rPr>
        <w:t>agonists and are likely to be secondary to prolonged stimulation of β</w:t>
      </w:r>
      <w:r w:rsidR="003F39B0" w:rsidRPr="000649D6">
        <w:rPr>
          <w:rFonts w:eastAsia="TimesNewRoman"/>
          <w:vertAlign w:val="subscript"/>
        </w:rPr>
        <w:t>2</w:t>
      </w:r>
      <w:r w:rsidR="00C854B5" w:rsidRPr="000649D6">
        <w:rPr>
          <w:rFonts w:eastAsia="TimesNewRoman"/>
        </w:rPr>
        <w:t>-adrenorecept</w:t>
      </w:r>
      <w:r w:rsidR="003F39B0" w:rsidRPr="000649D6">
        <w:rPr>
          <w:rFonts w:eastAsia="TimesNewRoman"/>
        </w:rPr>
        <w:t>ors in these tissues</w:t>
      </w:r>
      <w:r w:rsidR="008D3F77" w:rsidRPr="000649D6">
        <w:rPr>
          <w:rFonts w:eastAsia="TimesNewRoman"/>
        </w:rPr>
        <w:t>.</w:t>
      </w:r>
    </w:p>
    <w:p w:rsidR="00752F5A" w:rsidRPr="009A5618" w:rsidRDefault="00752F5A" w:rsidP="00207AF5">
      <w:pPr>
        <w:pStyle w:val="Heading2"/>
        <w:rPr>
          <w:rFonts w:eastAsia="TimesNewRoman"/>
        </w:rPr>
      </w:pPr>
      <w:r w:rsidRPr="007F1B66">
        <w:t>I</w:t>
      </w:r>
      <w:r w:rsidR="00901F72" w:rsidRPr="007F1B66">
        <w:t>NTERACTIONS WITH OTHER MEDICINES</w:t>
      </w:r>
    </w:p>
    <w:p w:rsidR="00752F5A" w:rsidRPr="000649D6" w:rsidRDefault="00752F5A" w:rsidP="000649D6">
      <w:pPr>
        <w:autoSpaceDE w:val="0"/>
        <w:autoSpaceDN w:val="0"/>
        <w:adjustRightInd w:val="0"/>
        <w:ind w:right="-360"/>
        <w:jc w:val="both"/>
        <w:rPr>
          <w:rFonts w:eastAsia="TimesNewRoman"/>
        </w:rPr>
      </w:pPr>
      <w:r w:rsidRPr="000649D6">
        <w:rPr>
          <w:rFonts w:eastAsia="TimesNewRoman"/>
        </w:rPr>
        <w:t xml:space="preserve">No formal drug interaction studies have been performed with </w:t>
      </w:r>
      <w:r w:rsidR="00D058BC" w:rsidRPr="000649D6">
        <w:rPr>
          <w:rFonts w:eastAsia="TimesNewRoman"/>
        </w:rPr>
        <w:t>FLUTIFORM</w:t>
      </w:r>
      <w:r w:rsidR="00975E6C" w:rsidRPr="000649D6">
        <w:rPr>
          <w:rFonts w:eastAsia="TimesNewRoman"/>
          <w:vertAlign w:val="superscript"/>
        </w:rPr>
        <w:t>®</w:t>
      </w:r>
      <w:r w:rsidR="00D058BC" w:rsidRPr="000649D6">
        <w:rPr>
          <w:rFonts w:eastAsia="TimesNewRoman"/>
        </w:rPr>
        <w:t xml:space="preserve"> </w:t>
      </w:r>
      <w:r w:rsidR="00381D65" w:rsidRPr="000649D6">
        <w:rPr>
          <w:rFonts w:eastAsia="TimesNewRoman"/>
        </w:rPr>
        <w:t>inhaler</w:t>
      </w:r>
      <w:r w:rsidRPr="000649D6">
        <w:rPr>
          <w:rFonts w:eastAsia="TimesNewRoman"/>
        </w:rPr>
        <w:t>.</w:t>
      </w:r>
    </w:p>
    <w:p w:rsidR="00752F5A" w:rsidRPr="000649D6" w:rsidRDefault="00752F5A" w:rsidP="00207AF5">
      <w:pPr>
        <w:pStyle w:val="Heading3"/>
      </w:pPr>
      <w:r w:rsidRPr="000649D6">
        <w:t>CYP34A inhibitors</w:t>
      </w:r>
    </w:p>
    <w:p w:rsidR="00752F5A" w:rsidRPr="000649D6" w:rsidRDefault="00752F5A" w:rsidP="000649D6">
      <w:pPr>
        <w:autoSpaceDE w:val="0"/>
        <w:autoSpaceDN w:val="0"/>
        <w:adjustRightInd w:val="0"/>
        <w:ind w:right="-360"/>
        <w:jc w:val="both"/>
        <w:rPr>
          <w:rFonts w:eastAsia="TimesNewRoman"/>
        </w:rPr>
      </w:pPr>
      <w:r w:rsidRPr="000649D6">
        <w:rPr>
          <w:rFonts w:eastAsia="TimesNewRoman"/>
        </w:rPr>
        <w:t xml:space="preserve">There is an increased risk of systemic side-effects when combining fluticasone propionate with potent CYP3A4 inhibitors.  Fluticasone propionate, an individual component of </w:t>
      </w:r>
      <w:r w:rsidR="00D058BC" w:rsidRPr="000649D6">
        <w:rPr>
          <w:rFonts w:eastAsia="TimesNewRoman"/>
        </w:rPr>
        <w:t>FLUTIFORM</w:t>
      </w:r>
      <w:r w:rsidR="00F720FF" w:rsidRPr="000649D6">
        <w:rPr>
          <w:rFonts w:eastAsia="TimesNewRoman"/>
          <w:vertAlign w:val="superscript"/>
        </w:rPr>
        <w:t>®</w:t>
      </w:r>
      <w:r w:rsidR="00D058BC" w:rsidRPr="000649D6">
        <w:rPr>
          <w:rFonts w:eastAsia="TimesNewRoman"/>
        </w:rPr>
        <w:t xml:space="preserve"> </w:t>
      </w:r>
      <w:r w:rsidR="00381D65" w:rsidRPr="000649D6">
        <w:rPr>
          <w:rFonts w:eastAsia="TimesNewRoman"/>
        </w:rPr>
        <w:t>inhaler</w:t>
      </w:r>
      <w:r w:rsidRPr="000649D6">
        <w:rPr>
          <w:rFonts w:eastAsia="TimesNewRoman"/>
        </w:rPr>
        <w:t xml:space="preserve">, is a substrate of CYP 3A4. </w:t>
      </w:r>
      <w:r w:rsidR="005B6769" w:rsidRPr="000649D6">
        <w:rPr>
          <w:rFonts w:eastAsia="TimesNewRoman"/>
        </w:rPr>
        <w:t>C</w:t>
      </w:r>
      <w:r w:rsidRPr="000649D6">
        <w:rPr>
          <w:rFonts w:eastAsia="TimesNewRoman"/>
        </w:rPr>
        <w:t>o</w:t>
      </w:r>
      <w:r w:rsidR="006F0449" w:rsidRPr="000649D6">
        <w:rPr>
          <w:rFonts w:eastAsia="TimesNewRoman"/>
        </w:rPr>
        <w:t>-</w:t>
      </w:r>
      <w:r w:rsidRPr="000649D6">
        <w:rPr>
          <w:rFonts w:eastAsia="TimesNewRoman"/>
        </w:rPr>
        <w:t xml:space="preserve">medication of </w:t>
      </w:r>
      <w:r w:rsidR="006F0449" w:rsidRPr="000649D6">
        <w:rPr>
          <w:rFonts w:eastAsia="TimesNewRoman"/>
        </w:rPr>
        <w:t xml:space="preserve">strong CYP3A4 inhibitors (e.g. </w:t>
      </w:r>
      <w:proofErr w:type="spellStart"/>
      <w:r w:rsidRPr="000649D6">
        <w:rPr>
          <w:rFonts w:eastAsia="TimesNewRoman"/>
        </w:rPr>
        <w:t>ritonavir</w:t>
      </w:r>
      <w:proofErr w:type="spellEnd"/>
      <w:r w:rsidR="006F0449" w:rsidRPr="000649D6">
        <w:rPr>
          <w:rFonts w:eastAsia="TimesNewRoman"/>
        </w:rPr>
        <w:t xml:space="preserve">, </w:t>
      </w:r>
      <w:proofErr w:type="spellStart"/>
      <w:r w:rsidR="006F0449" w:rsidRPr="000649D6">
        <w:rPr>
          <w:rFonts w:eastAsia="TimesNewRoman"/>
        </w:rPr>
        <w:t>atazanavir</w:t>
      </w:r>
      <w:proofErr w:type="spellEnd"/>
      <w:r w:rsidR="006F0449" w:rsidRPr="000649D6">
        <w:rPr>
          <w:rFonts w:eastAsia="TimesNewRoman"/>
        </w:rPr>
        <w:t xml:space="preserve">, </w:t>
      </w:r>
      <w:proofErr w:type="spellStart"/>
      <w:r w:rsidR="006F0449" w:rsidRPr="000649D6">
        <w:rPr>
          <w:rFonts w:eastAsia="TimesNewRoman"/>
        </w:rPr>
        <w:t>clarithromycin</w:t>
      </w:r>
      <w:proofErr w:type="spellEnd"/>
      <w:r w:rsidR="006F0449" w:rsidRPr="000649D6">
        <w:rPr>
          <w:rFonts w:eastAsia="TimesNewRoman"/>
        </w:rPr>
        <w:t xml:space="preserve">, </w:t>
      </w:r>
      <w:proofErr w:type="spellStart"/>
      <w:r w:rsidR="006F0449" w:rsidRPr="000649D6">
        <w:rPr>
          <w:rFonts w:eastAsia="TimesNewRoman"/>
        </w:rPr>
        <w:t>indinavir</w:t>
      </w:r>
      <w:proofErr w:type="spellEnd"/>
      <w:r w:rsidR="006F0449" w:rsidRPr="000649D6">
        <w:rPr>
          <w:rFonts w:eastAsia="TimesNewRoman"/>
        </w:rPr>
        <w:t xml:space="preserve">, </w:t>
      </w:r>
      <w:proofErr w:type="spellStart"/>
      <w:r w:rsidR="006F0449" w:rsidRPr="000649D6">
        <w:rPr>
          <w:rFonts w:eastAsia="TimesNewRoman"/>
        </w:rPr>
        <w:t>itraconazole</w:t>
      </w:r>
      <w:proofErr w:type="spellEnd"/>
      <w:r w:rsidR="006F0449" w:rsidRPr="000649D6">
        <w:rPr>
          <w:rFonts w:eastAsia="TimesNewRoman"/>
        </w:rPr>
        <w:t xml:space="preserve">, </w:t>
      </w:r>
      <w:proofErr w:type="spellStart"/>
      <w:r w:rsidR="006F0449" w:rsidRPr="000649D6">
        <w:rPr>
          <w:rFonts w:eastAsia="TimesNewRoman"/>
        </w:rPr>
        <w:t>saquinavir</w:t>
      </w:r>
      <w:proofErr w:type="spellEnd"/>
      <w:r w:rsidR="006F0449" w:rsidRPr="000649D6">
        <w:rPr>
          <w:rFonts w:eastAsia="TimesNewRoman"/>
        </w:rPr>
        <w:t xml:space="preserve">, </w:t>
      </w:r>
      <w:proofErr w:type="spellStart"/>
      <w:r w:rsidR="006F0449" w:rsidRPr="000649D6">
        <w:rPr>
          <w:rFonts w:eastAsia="TimesNewRoman"/>
        </w:rPr>
        <w:t>ketaconazole</w:t>
      </w:r>
      <w:proofErr w:type="spellEnd"/>
      <w:r w:rsidR="006F0449" w:rsidRPr="000649D6">
        <w:rPr>
          <w:rFonts w:eastAsia="TimesNewRoman"/>
        </w:rPr>
        <w:t xml:space="preserve">) together with </w:t>
      </w:r>
      <w:r w:rsidR="0090349E" w:rsidRPr="000649D6">
        <w:rPr>
          <w:rFonts w:eastAsia="TimesNewRoman"/>
        </w:rPr>
        <w:t>FLUTIFORM</w:t>
      </w:r>
      <w:r w:rsidR="00AF2FA2" w:rsidRPr="000649D6">
        <w:rPr>
          <w:rFonts w:eastAsia="TimesNewRoman"/>
          <w:vertAlign w:val="superscript"/>
        </w:rPr>
        <w:t>®</w:t>
      </w:r>
      <w:r w:rsidR="006F0449" w:rsidRPr="000649D6">
        <w:rPr>
          <w:rFonts w:eastAsia="TimesNewRoman"/>
        </w:rPr>
        <w:t xml:space="preserve"> inhaler </w:t>
      </w:r>
      <w:r w:rsidRPr="000649D6">
        <w:rPr>
          <w:rFonts w:eastAsia="TimesNewRoman"/>
        </w:rPr>
        <w:t>should be avoided unless the benefit outweighs the increased risk</w:t>
      </w:r>
      <w:r w:rsidR="006F0449" w:rsidRPr="000649D6">
        <w:rPr>
          <w:rFonts w:eastAsia="TimesNewRoman"/>
        </w:rPr>
        <w:t>s</w:t>
      </w:r>
      <w:r w:rsidRPr="000649D6">
        <w:rPr>
          <w:rFonts w:eastAsia="TimesNewRoman"/>
        </w:rPr>
        <w:t xml:space="preserve">. Information about this interaction is lacking for inhaled fluticasone propionate, but a marked increase in fluticasone propionate plasma levels </w:t>
      </w:r>
      <w:r w:rsidR="006F0449" w:rsidRPr="000649D6">
        <w:rPr>
          <w:rFonts w:eastAsia="TimesNewRoman"/>
        </w:rPr>
        <w:t>would be</w:t>
      </w:r>
      <w:r w:rsidRPr="000649D6">
        <w:rPr>
          <w:rFonts w:eastAsia="TimesNewRoman"/>
        </w:rPr>
        <w:t xml:space="preserve"> expected. Cases of Cushing's syndrome and adrenal suppression have been reported.</w:t>
      </w:r>
    </w:p>
    <w:p w:rsidR="00752F5A" w:rsidRPr="000649D6" w:rsidRDefault="00752F5A" w:rsidP="00207AF5">
      <w:pPr>
        <w:pStyle w:val="Heading3"/>
      </w:pPr>
      <w:r w:rsidRPr="000649D6">
        <w:t>Non-potassium sparing diuretics</w:t>
      </w:r>
    </w:p>
    <w:p w:rsidR="00427AA0" w:rsidRPr="000649D6" w:rsidRDefault="00752F5A" w:rsidP="000649D6">
      <w:pPr>
        <w:autoSpaceDE w:val="0"/>
        <w:autoSpaceDN w:val="0"/>
        <w:adjustRightInd w:val="0"/>
        <w:ind w:right="-360"/>
        <w:jc w:val="both"/>
        <w:rPr>
          <w:rFonts w:eastAsia="TimesNewRoman"/>
        </w:rPr>
      </w:pPr>
      <w:r w:rsidRPr="000649D6">
        <w:rPr>
          <w:rFonts w:eastAsia="TimesNewRoman"/>
        </w:rPr>
        <w:t>The ECG changes and/or hypokalaemia that may result from the administration of non-potassium sparing diuretics (such as loop or thiazide diuretics) can be acutely worsened by β-agonists, especially when the recommended dose of the β-agonist is exceeded. Although the clinical significance of these effects is not known, caution is advised in the co-administration of a β-agonist with no</w:t>
      </w:r>
      <w:r w:rsidR="00207AF5">
        <w:rPr>
          <w:rFonts w:eastAsia="TimesNewRoman"/>
        </w:rPr>
        <w:t>n-potassium sparing diuretics.</w:t>
      </w:r>
    </w:p>
    <w:p w:rsidR="00427AA0" w:rsidRPr="000649D6" w:rsidRDefault="00427AA0" w:rsidP="000649D6">
      <w:pPr>
        <w:autoSpaceDE w:val="0"/>
        <w:autoSpaceDN w:val="0"/>
        <w:adjustRightInd w:val="0"/>
        <w:ind w:right="-360"/>
        <w:jc w:val="both"/>
        <w:rPr>
          <w:rFonts w:eastAsia="TimesNewRoman"/>
        </w:rPr>
      </w:pPr>
    </w:p>
    <w:p w:rsidR="000D0BC2" w:rsidRPr="000649D6" w:rsidRDefault="00752F5A" w:rsidP="00207AF5">
      <w:pPr>
        <w:pStyle w:val="Heading3"/>
      </w:pPr>
      <w:proofErr w:type="spellStart"/>
      <w:r w:rsidRPr="000649D6">
        <w:lastRenderedPageBreak/>
        <w:t>Xanthine</w:t>
      </w:r>
      <w:proofErr w:type="spellEnd"/>
      <w:r w:rsidRPr="000649D6">
        <w:t xml:space="preserve"> derivat</w:t>
      </w:r>
      <w:r w:rsidR="00C854B5" w:rsidRPr="000649D6">
        <w:t>iv</w:t>
      </w:r>
      <w:r w:rsidRPr="000649D6">
        <w:t>es</w:t>
      </w:r>
      <w:r w:rsidR="0030001B" w:rsidRPr="000649D6">
        <w:t xml:space="preserve"> and </w:t>
      </w:r>
      <w:proofErr w:type="spellStart"/>
      <w:r w:rsidR="0030001B" w:rsidRPr="000649D6">
        <w:t>glucocorticosteroids</w:t>
      </w:r>
      <w:proofErr w:type="spellEnd"/>
    </w:p>
    <w:p w:rsidR="00752F5A" w:rsidRPr="000649D6" w:rsidRDefault="0030001B" w:rsidP="000649D6">
      <w:pPr>
        <w:autoSpaceDE w:val="0"/>
        <w:autoSpaceDN w:val="0"/>
        <w:adjustRightInd w:val="0"/>
        <w:ind w:right="-360"/>
        <w:jc w:val="both"/>
        <w:rPr>
          <w:rFonts w:eastAsia="TimesNewRoman"/>
        </w:rPr>
      </w:pPr>
      <w:proofErr w:type="spellStart"/>
      <w:r w:rsidRPr="000649D6">
        <w:rPr>
          <w:rFonts w:eastAsia="TimesNewRoman"/>
        </w:rPr>
        <w:t>Xanthine</w:t>
      </w:r>
      <w:proofErr w:type="spellEnd"/>
      <w:r w:rsidRPr="000649D6">
        <w:rPr>
          <w:rFonts w:eastAsia="TimesNewRoman"/>
        </w:rPr>
        <w:t xml:space="preserve"> derivat</w:t>
      </w:r>
      <w:r w:rsidR="00C854B5" w:rsidRPr="000649D6">
        <w:rPr>
          <w:rFonts w:eastAsia="TimesNewRoman"/>
        </w:rPr>
        <w:t>iv</w:t>
      </w:r>
      <w:r w:rsidRPr="000649D6">
        <w:rPr>
          <w:rFonts w:eastAsia="TimesNewRoman"/>
        </w:rPr>
        <w:t xml:space="preserve">es </w:t>
      </w:r>
      <w:r w:rsidR="00752F5A" w:rsidRPr="000649D6">
        <w:rPr>
          <w:rFonts w:eastAsia="TimesNewRoman"/>
        </w:rPr>
        <w:t xml:space="preserve">and </w:t>
      </w:r>
      <w:proofErr w:type="spellStart"/>
      <w:r w:rsidR="00752F5A" w:rsidRPr="000649D6">
        <w:rPr>
          <w:rFonts w:eastAsia="TimesNewRoman"/>
        </w:rPr>
        <w:t>g</w:t>
      </w:r>
      <w:r w:rsidRPr="000649D6">
        <w:rPr>
          <w:rFonts w:eastAsia="TimesNewRoman"/>
        </w:rPr>
        <w:t>lucocorticosteroids</w:t>
      </w:r>
      <w:proofErr w:type="spellEnd"/>
      <w:r w:rsidRPr="000649D6">
        <w:rPr>
          <w:rFonts w:eastAsia="TimesNewRoman"/>
        </w:rPr>
        <w:t xml:space="preserve"> may add to the</w:t>
      </w:r>
      <w:r w:rsidR="00752F5A" w:rsidRPr="000649D6">
        <w:rPr>
          <w:rFonts w:eastAsia="TimesNewRoman"/>
        </w:rPr>
        <w:t xml:space="preserve"> poss</w:t>
      </w:r>
      <w:r w:rsidR="002D2008" w:rsidRPr="000649D6">
        <w:rPr>
          <w:rFonts w:eastAsia="TimesNewRoman"/>
        </w:rPr>
        <w:t xml:space="preserve">ible </w:t>
      </w:r>
      <w:proofErr w:type="spellStart"/>
      <w:r w:rsidR="002D2008" w:rsidRPr="000649D6">
        <w:rPr>
          <w:rFonts w:eastAsia="TimesNewRoman"/>
        </w:rPr>
        <w:t>hypokalaemic</w:t>
      </w:r>
      <w:proofErr w:type="spellEnd"/>
      <w:r w:rsidR="002D2008" w:rsidRPr="000649D6">
        <w:rPr>
          <w:rFonts w:eastAsia="TimesNewRoman"/>
        </w:rPr>
        <w:t xml:space="preserve"> effect of </w:t>
      </w:r>
      <w:r w:rsidR="00427AA0" w:rsidRPr="000649D6">
        <w:rPr>
          <w:rFonts w:eastAsia="TimesNewRoman"/>
        </w:rPr>
        <w:t>β</w:t>
      </w:r>
      <w:r w:rsidR="00752F5A" w:rsidRPr="000649D6">
        <w:rPr>
          <w:rFonts w:eastAsia="TimesNewRoman"/>
        </w:rPr>
        <w:t>-agonists</w:t>
      </w:r>
      <w:r w:rsidRPr="000649D6">
        <w:rPr>
          <w:rFonts w:eastAsia="TimesNewRoman"/>
        </w:rPr>
        <w:t xml:space="preserve"> discussed above</w:t>
      </w:r>
      <w:r w:rsidR="00752F5A" w:rsidRPr="000649D6">
        <w:rPr>
          <w:rFonts w:eastAsia="TimesNewRoman"/>
        </w:rPr>
        <w:t>.</w:t>
      </w:r>
    </w:p>
    <w:p w:rsidR="00752F5A" w:rsidRPr="000649D6" w:rsidRDefault="00752F5A" w:rsidP="00207AF5">
      <w:pPr>
        <w:pStyle w:val="Heading3"/>
        <w:rPr>
          <w:u w:val="single"/>
        </w:rPr>
      </w:pPr>
      <w:r w:rsidRPr="000649D6">
        <w:t xml:space="preserve">Drugs known to prolong </w:t>
      </w:r>
      <w:proofErr w:type="spellStart"/>
      <w:r w:rsidRPr="000649D6">
        <w:t>QTc</w:t>
      </w:r>
      <w:proofErr w:type="spellEnd"/>
      <w:r w:rsidRPr="000649D6">
        <w:t xml:space="preserve"> interval</w:t>
      </w:r>
    </w:p>
    <w:p w:rsidR="00752F5A" w:rsidRPr="000649D6" w:rsidRDefault="00270FC4" w:rsidP="000649D6">
      <w:pPr>
        <w:autoSpaceDE w:val="0"/>
        <w:autoSpaceDN w:val="0"/>
        <w:adjustRightInd w:val="0"/>
        <w:ind w:right="-360"/>
        <w:jc w:val="both"/>
        <w:rPr>
          <w:rFonts w:eastAsia="TimesNewRoman"/>
        </w:rPr>
      </w:pPr>
      <w:proofErr w:type="spellStart"/>
      <w:r w:rsidRPr="000649D6">
        <w:rPr>
          <w:rFonts w:eastAsia="TimesNewRoman"/>
        </w:rPr>
        <w:t>Eformoterol</w:t>
      </w:r>
      <w:proofErr w:type="spellEnd"/>
      <w:r w:rsidR="00752F5A" w:rsidRPr="000649D6">
        <w:rPr>
          <w:rFonts w:eastAsia="TimesNewRoman"/>
        </w:rPr>
        <w:t xml:space="preserve"> </w:t>
      </w:r>
      <w:proofErr w:type="spellStart"/>
      <w:r w:rsidR="00752F5A" w:rsidRPr="000649D6">
        <w:rPr>
          <w:rFonts w:eastAsia="TimesNewRoman"/>
        </w:rPr>
        <w:t>fumarate</w:t>
      </w:r>
      <w:proofErr w:type="spellEnd"/>
      <w:r w:rsidR="00752F5A" w:rsidRPr="000649D6">
        <w:rPr>
          <w:rFonts w:eastAsia="TimesNewRoman"/>
        </w:rPr>
        <w:t>, as with other β</w:t>
      </w:r>
      <w:r w:rsidR="00752F5A" w:rsidRPr="000649D6">
        <w:rPr>
          <w:rFonts w:eastAsia="TimesNewRoman"/>
          <w:vertAlign w:val="subscript"/>
        </w:rPr>
        <w:t>2</w:t>
      </w:r>
      <w:r w:rsidR="00752F5A" w:rsidRPr="000649D6">
        <w:rPr>
          <w:rFonts w:eastAsia="TimesNewRoman"/>
        </w:rPr>
        <w:t xml:space="preserve">-agonists, should be administered with extreme caution to patients being treated with monoamine oxidase inhibitors or tricyclic antidepressants (or within two weeks of their discontinuation), or drugs known to prolong the electrocardiographic </w:t>
      </w:r>
      <w:proofErr w:type="spellStart"/>
      <w:r w:rsidR="00752F5A" w:rsidRPr="000649D6">
        <w:rPr>
          <w:rFonts w:eastAsia="TimesNewRoman"/>
        </w:rPr>
        <w:t>QTc</w:t>
      </w:r>
      <w:proofErr w:type="spellEnd"/>
      <w:r w:rsidR="00752F5A" w:rsidRPr="000649D6">
        <w:rPr>
          <w:rFonts w:eastAsia="TimesNewRoman"/>
        </w:rPr>
        <w:t xml:space="preserve"> interval such as </w:t>
      </w:r>
      <w:proofErr w:type="spellStart"/>
      <w:r w:rsidR="00752F5A" w:rsidRPr="000649D6">
        <w:rPr>
          <w:rFonts w:eastAsia="TimesNewRoman"/>
        </w:rPr>
        <w:t>quinidine</w:t>
      </w:r>
      <w:proofErr w:type="spellEnd"/>
      <w:r w:rsidR="00752F5A" w:rsidRPr="000649D6">
        <w:rPr>
          <w:rFonts w:eastAsia="TimesNewRoman"/>
        </w:rPr>
        <w:t xml:space="preserve">, </w:t>
      </w:r>
      <w:proofErr w:type="spellStart"/>
      <w:r w:rsidR="00752F5A" w:rsidRPr="000649D6">
        <w:rPr>
          <w:rFonts w:eastAsia="TimesNewRoman"/>
        </w:rPr>
        <w:t>disopyramide</w:t>
      </w:r>
      <w:proofErr w:type="spellEnd"/>
      <w:r w:rsidR="00752F5A" w:rsidRPr="000649D6">
        <w:rPr>
          <w:rFonts w:eastAsia="TimesNewRoman"/>
        </w:rPr>
        <w:t xml:space="preserve">, </w:t>
      </w:r>
      <w:proofErr w:type="spellStart"/>
      <w:r w:rsidR="00752F5A" w:rsidRPr="000649D6">
        <w:rPr>
          <w:rFonts w:eastAsia="TimesNewRoman"/>
        </w:rPr>
        <w:t>procainamide</w:t>
      </w:r>
      <w:proofErr w:type="spellEnd"/>
      <w:r w:rsidR="00752F5A" w:rsidRPr="000649D6">
        <w:rPr>
          <w:rFonts w:eastAsia="TimesNewRoman"/>
        </w:rPr>
        <w:t xml:space="preserve">, </w:t>
      </w:r>
      <w:proofErr w:type="spellStart"/>
      <w:r w:rsidR="00752F5A" w:rsidRPr="000649D6">
        <w:rPr>
          <w:rFonts w:eastAsia="TimesNewRoman"/>
        </w:rPr>
        <w:t>phenothiazines</w:t>
      </w:r>
      <w:proofErr w:type="spellEnd"/>
      <w:r w:rsidR="00752F5A" w:rsidRPr="000649D6">
        <w:rPr>
          <w:rFonts w:eastAsia="TimesNewRoman"/>
        </w:rPr>
        <w:t xml:space="preserve"> and antihistamines. Drugs that are known to prolong the </w:t>
      </w:r>
      <w:proofErr w:type="spellStart"/>
      <w:r w:rsidR="00752F5A" w:rsidRPr="000649D6">
        <w:rPr>
          <w:rFonts w:eastAsia="TimesNewRoman"/>
        </w:rPr>
        <w:t>QTc</w:t>
      </w:r>
      <w:proofErr w:type="spellEnd"/>
      <w:r w:rsidR="00752F5A" w:rsidRPr="000649D6">
        <w:rPr>
          <w:rFonts w:eastAsia="TimesNewRoman"/>
        </w:rPr>
        <w:t xml:space="preserve"> interval increase </w:t>
      </w:r>
      <w:r w:rsidR="00C854B5" w:rsidRPr="000649D6">
        <w:rPr>
          <w:rFonts w:eastAsia="TimesNewRoman"/>
        </w:rPr>
        <w:t xml:space="preserve">the </w:t>
      </w:r>
      <w:r w:rsidR="00752F5A" w:rsidRPr="000649D6">
        <w:rPr>
          <w:rFonts w:eastAsia="TimesNewRoman"/>
        </w:rPr>
        <w:t>risk of ventricular arrhythmias.</w:t>
      </w:r>
    </w:p>
    <w:p w:rsidR="00752F5A" w:rsidRPr="000649D6" w:rsidRDefault="00CB7236" w:rsidP="00207AF5">
      <w:pPr>
        <w:pStyle w:val="Heading3"/>
      </w:pPr>
      <w:r w:rsidRPr="000649D6">
        <w:t>Adrenergic drugs</w:t>
      </w:r>
    </w:p>
    <w:p w:rsidR="00CB7236" w:rsidRPr="000649D6" w:rsidRDefault="00752F5A" w:rsidP="000649D6">
      <w:pPr>
        <w:autoSpaceDE w:val="0"/>
        <w:autoSpaceDN w:val="0"/>
        <w:adjustRightInd w:val="0"/>
        <w:ind w:right="-360"/>
        <w:jc w:val="both"/>
        <w:rPr>
          <w:rFonts w:eastAsia="TimesNewRoman"/>
        </w:rPr>
      </w:pPr>
      <w:r w:rsidRPr="000649D6">
        <w:rPr>
          <w:rFonts w:eastAsia="TimesNewRoman"/>
        </w:rPr>
        <w:t xml:space="preserve">If additional adrenergic drugs are to be administered by any route, they should be used with caution, because the pharmacologically predictable sympathetic effects of </w:t>
      </w:r>
      <w:proofErr w:type="spellStart"/>
      <w:r w:rsidR="00270FC4" w:rsidRPr="000649D6">
        <w:rPr>
          <w:rFonts w:eastAsia="TimesNewRoman"/>
        </w:rPr>
        <w:t>eformoterol</w:t>
      </w:r>
      <w:proofErr w:type="spellEnd"/>
      <w:r w:rsidR="00207AF5">
        <w:rPr>
          <w:rFonts w:eastAsia="TimesNewRoman"/>
        </w:rPr>
        <w:t xml:space="preserve"> may be potentiated.</w:t>
      </w:r>
    </w:p>
    <w:p w:rsidR="00CB7236" w:rsidRPr="000649D6" w:rsidRDefault="00CB7236" w:rsidP="00207AF5">
      <w:pPr>
        <w:pStyle w:val="Heading3"/>
      </w:pPr>
      <w:proofErr w:type="gramStart"/>
      <w:r w:rsidRPr="000649D6">
        <w:t>β-blockers</w:t>
      </w:r>
      <w:proofErr w:type="gramEnd"/>
    </w:p>
    <w:p w:rsidR="00752F5A" w:rsidRPr="000649D6" w:rsidRDefault="00752F5A" w:rsidP="000649D6">
      <w:pPr>
        <w:autoSpaceDE w:val="0"/>
        <w:autoSpaceDN w:val="0"/>
        <w:adjustRightInd w:val="0"/>
        <w:ind w:right="-360"/>
        <w:jc w:val="both"/>
        <w:rPr>
          <w:rFonts w:eastAsia="TimesNewRoman"/>
          <w:u w:val="single"/>
        </w:rPr>
      </w:pPr>
      <w:r w:rsidRPr="000649D6">
        <w:rPr>
          <w:rFonts w:eastAsia="TimesNewRoman"/>
        </w:rPr>
        <w:t xml:space="preserve">Beta-adrenergic receptor antagonists (β-blockers) and </w:t>
      </w:r>
      <w:proofErr w:type="spellStart"/>
      <w:r w:rsidR="00270FC4" w:rsidRPr="000649D6">
        <w:rPr>
          <w:rFonts w:eastAsia="TimesNewRoman"/>
        </w:rPr>
        <w:t>eformoterol</w:t>
      </w:r>
      <w:proofErr w:type="spellEnd"/>
      <w:r w:rsidRPr="000649D6">
        <w:rPr>
          <w:rFonts w:eastAsia="TimesNewRoman"/>
        </w:rPr>
        <w:t xml:space="preserve"> </w:t>
      </w:r>
      <w:proofErr w:type="spellStart"/>
      <w:r w:rsidRPr="000649D6">
        <w:rPr>
          <w:rFonts w:eastAsia="TimesNewRoman"/>
        </w:rPr>
        <w:t>fumarate</w:t>
      </w:r>
      <w:proofErr w:type="spellEnd"/>
      <w:r w:rsidRPr="000649D6">
        <w:rPr>
          <w:rFonts w:eastAsia="TimesNewRoman"/>
        </w:rPr>
        <w:t xml:space="preserve"> may inhibit the effect of each other when administered concurrently. </w:t>
      </w:r>
      <w:proofErr w:type="gramStart"/>
      <w:r w:rsidRPr="000649D6">
        <w:rPr>
          <w:rFonts w:eastAsia="TimesNewRoman"/>
        </w:rPr>
        <w:t>β-blockers</w:t>
      </w:r>
      <w:proofErr w:type="gramEnd"/>
      <w:r w:rsidRPr="000649D6">
        <w:rPr>
          <w:rFonts w:eastAsia="TimesNewRoman"/>
        </w:rPr>
        <w:t xml:space="preserve"> may also produce severe bronchospasm in asthmatic patients. Therefore, patients with asthma should not normally be treated with β-blockers. However, under certain circumstances, e.g. as prophylaxis after myocardial infarction, there may be no acceptable alternatives to the use of β-blockers in patients with asthma. In this setting, </w:t>
      </w:r>
      <w:proofErr w:type="spellStart"/>
      <w:r w:rsidRPr="000649D6">
        <w:rPr>
          <w:rFonts w:eastAsia="TimesNewRoman"/>
        </w:rPr>
        <w:t>cardioselective</w:t>
      </w:r>
      <w:proofErr w:type="spellEnd"/>
      <w:r w:rsidRPr="000649D6">
        <w:rPr>
          <w:rFonts w:eastAsia="TimesNewRoman"/>
        </w:rPr>
        <w:t xml:space="preserve"> β-blockers could be considered, although they should be administered with caution.</w:t>
      </w:r>
    </w:p>
    <w:p w:rsidR="00752F5A" w:rsidRPr="000649D6" w:rsidRDefault="00752F5A" w:rsidP="00207AF5">
      <w:pPr>
        <w:pStyle w:val="Heading3"/>
      </w:pPr>
      <w:r w:rsidRPr="000649D6">
        <w:t xml:space="preserve">Sodium </w:t>
      </w:r>
      <w:proofErr w:type="spellStart"/>
      <w:r w:rsidRPr="000649D6">
        <w:t>cromogl</w:t>
      </w:r>
      <w:r w:rsidR="00975E6C" w:rsidRPr="000649D6">
        <w:t>y</w:t>
      </w:r>
      <w:r w:rsidRPr="000649D6">
        <w:t>cate</w:t>
      </w:r>
      <w:proofErr w:type="spellEnd"/>
    </w:p>
    <w:p w:rsidR="009A0E88" w:rsidRPr="000649D6" w:rsidRDefault="00D058BC" w:rsidP="000649D6">
      <w:pPr>
        <w:autoSpaceDE w:val="0"/>
        <w:autoSpaceDN w:val="0"/>
        <w:adjustRightInd w:val="0"/>
        <w:ind w:right="-360"/>
        <w:jc w:val="both"/>
        <w:rPr>
          <w:b/>
          <w:bCs/>
        </w:rPr>
      </w:pPr>
      <w:r w:rsidRPr="000649D6">
        <w:rPr>
          <w:rFonts w:eastAsia="TimesNewRoman"/>
        </w:rPr>
        <w:t>FLUTIFORM</w:t>
      </w:r>
      <w:r w:rsidR="00975E6C" w:rsidRPr="000649D6">
        <w:rPr>
          <w:rFonts w:eastAsia="TimesNewRoman"/>
          <w:vertAlign w:val="superscript"/>
        </w:rPr>
        <w:t>®</w:t>
      </w:r>
      <w:r w:rsidRPr="000649D6">
        <w:rPr>
          <w:rFonts w:eastAsia="TimesNewRoman"/>
        </w:rPr>
        <w:t xml:space="preserve"> </w:t>
      </w:r>
      <w:r w:rsidR="00381D65" w:rsidRPr="000649D6">
        <w:rPr>
          <w:rFonts w:eastAsia="TimesNewRoman"/>
        </w:rPr>
        <w:t>inhaler</w:t>
      </w:r>
      <w:r w:rsidR="00975E6C" w:rsidRPr="000649D6">
        <w:rPr>
          <w:rFonts w:eastAsia="TimesNewRoman"/>
        </w:rPr>
        <w:t xml:space="preserve"> contains sodium </w:t>
      </w:r>
      <w:proofErr w:type="spellStart"/>
      <w:r w:rsidR="00975E6C" w:rsidRPr="000649D6">
        <w:rPr>
          <w:rFonts w:eastAsia="TimesNewRoman"/>
        </w:rPr>
        <w:t>cromogly</w:t>
      </w:r>
      <w:r w:rsidR="00752F5A" w:rsidRPr="000649D6">
        <w:rPr>
          <w:rFonts w:eastAsia="TimesNewRoman"/>
        </w:rPr>
        <w:t>cate</w:t>
      </w:r>
      <w:proofErr w:type="spellEnd"/>
      <w:r w:rsidR="00752F5A" w:rsidRPr="000649D6">
        <w:rPr>
          <w:rFonts w:eastAsia="TimesNewRoman"/>
        </w:rPr>
        <w:t xml:space="preserve"> at non-pharmacological levels. Patients sho</w:t>
      </w:r>
      <w:r w:rsidR="00975E6C" w:rsidRPr="000649D6">
        <w:rPr>
          <w:rFonts w:eastAsia="TimesNewRoman"/>
        </w:rPr>
        <w:t xml:space="preserve">uld not discontinue any </w:t>
      </w:r>
      <w:proofErr w:type="spellStart"/>
      <w:r w:rsidR="00975E6C" w:rsidRPr="000649D6">
        <w:rPr>
          <w:rFonts w:eastAsia="TimesNewRoman"/>
        </w:rPr>
        <w:t>cromogly</w:t>
      </w:r>
      <w:r w:rsidR="00752F5A" w:rsidRPr="000649D6">
        <w:rPr>
          <w:rFonts w:eastAsia="TimesNewRoman"/>
        </w:rPr>
        <w:t>cate</w:t>
      </w:r>
      <w:proofErr w:type="spellEnd"/>
      <w:r w:rsidR="0054429C" w:rsidRPr="000649D6">
        <w:rPr>
          <w:rFonts w:eastAsia="TimesNewRoman"/>
        </w:rPr>
        <w:t>-</w:t>
      </w:r>
      <w:r w:rsidR="00752F5A" w:rsidRPr="000649D6">
        <w:rPr>
          <w:rFonts w:eastAsia="TimesNewRoman"/>
        </w:rPr>
        <w:t>containing medication</w:t>
      </w:r>
      <w:r w:rsidR="007B52AF" w:rsidRPr="000649D6">
        <w:rPr>
          <w:rFonts w:eastAsia="TimesNewRoman"/>
        </w:rPr>
        <w:t>.</w:t>
      </w:r>
    </w:p>
    <w:p w:rsidR="005728FA" w:rsidRPr="003F3F57" w:rsidRDefault="00CB4155" w:rsidP="00207AF5">
      <w:pPr>
        <w:pStyle w:val="Heading2"/>
      </w:pPr>
      <w:r w:rsidRPr="003F3F57">
        <w:t xml:space="preserve">ADVERSE </w:t>
      </w:r>
      <w:r w:rsidR="00D21866" w:rsidRPr="003F3F57">
        <w:t>EFFECTS</w:t>
      </w:r>
    </w:p>
    <w:p w:rsidR="007B1E88" w:rsidRPr="000649D6" w:rsidRDefault="0099502F" w:rsidP="00207AF5">
      <w:pPr>
        <w:autoSpaceDE w:val="0"/>
        <w:autoSpaceDN w:val="0"/>
        <w:adjustRightInd w:val="0"/>
        <w:spacing w:after="100" w:afterAutospacing="1"/>
        <w:ind w:right="-357"/>
        <w:jc w:val="both"/>
        <w:rPr>
          <w:rFonts w:eastAsia="TimesNewRoman"/>
          <w:u w:val="single"/>
        </w:rPr>
      </w:pPr>
      <w:r w:rsidRPr="003F3F57">
        <w:rPr>
          <w:rFonts w:eastAsia="TimesNewRoman"/>
        </w:rPr>
        <w:t>Adverse</w:t>
      </w:r>
      <w:r w:rsidR="005728FA" w:rsidRPr="003F3F57">
        <w:rPr>
          <w:rFonts w:eastAsia="TimesNewRoman"/>
        </w:rPr>
        <w:t xml:space="preserve"> effects with </w:t>
      </w:r>
      <w:proofErr w:type="spellStart"/>
      <w:r w:rsidR="005728FA" w:rsidRPr="003F3F57">
        <w:rPr>
          <w:rFonts w:eastAsia="TimesNewRoman"/>
        </w:rPr>
        <w:t>fluticasone</w:t>
      </w:r>
      <w:proofErr w:type="spellEnd"/>
      <w:r w:rsidR="005728FA" w:rsidRPr="003F3F57">
        <w:rPr>
          <w:rFonts w:eastAsia="TimesNewRoman"/>
        </w:rPr>
        <w:t xml:space="preserve"> propionate and </w:t>
      </w:r>
      <w:proofErr w:type="spellStart"/>
      <w:r w:rsidR="00270FC4" w:rsidRPr="003F3F57">
        <w:rPr>
          <w:rFonts w:eastAsia="TimesNewRoman"/>
        </w:rPr>
        <w:t>eformoterol</w:t>
      </w:r>
      <w:proofErr w:type="spellEnd"/>
      <w:r w:rsidR="005728FA" w:rsidRPr="003F3F57">
        <w:rPr>
          <w:rFonts w:eastAsia="TimesNewRoman"/>
        </w:rPr>
        <w:t xml:space="preserve"> </w:t>
      </w:r>
      <w:r w:rsidRPr="003F3F57">
        <w:rPr>
          <w:rFonts w:eastAsia="TimesNewRoman"/>
        </w:rPr>
        <w:t xml:space="preserve">in </w:t>
      </w:r>
      <w:r w:rsidR="00D058BC" w:rsidRPr="003F3F57">
        <w:rPr>
          <w:rFonts w:eastAsia="TimesNewRoman"/>
        </w:rPr>
        <w:t>FLUTIFORM</w:t>
      </w:r>
      <w:r w:rsidR="00975E6C" w:rsidRPr="003F3F57">
        <w:rPr>
          <w:rFonts w:eastAsia="TimesNewRoman"/>
          <w:vertAlign w:val="superscript"/>
        </w:rPr>
        <w:t>®</w:t>
      </w:r>
      <w:r w:rsidR="00D058BC" w:rsidRPr="003F3F57">
        <w:rPr>
          <w:rFonts w:eastAsia="TimesNewRoman"/>
        </w:rPr>
        <w:t xml:space="preserve"> </w:t>
      </w:r>
      <w:proofErr w:type="gramStart"/>
      <w:r w:rsidR="00381D65" w:rsidRPr="003F3F57">
        <w:rPr>
          <w:rFonts w:eastAsia="TimesNewRoman"/>
        </w:rPr>
        <w:t>inhaler</w:t>
      </w:r>
      <w:r w:rsidR="005728FA" w:rsidRPr="003F3F57">
        <w:rPr>
          <w:rFonts w:eastAsia="TimesNewRoman"/>
        </w:rPr>
        <w:t xml:space="preserve">  are</w:t>
      </w:r>
      <w:proofErr w:type="gramEnd"/>
      <w:r w:rsidR="005728FA" w:rsidRPr="003F3F57">
        <w:rPr>
          <w:rFonts w:eastAsia="TimesNewRoman"/>
        </w:rPr>
        <w:t xml:space="preserve"> </w:t>
      </w:r>
      <w:r w:rsidR="00975E6C" w:rsidRPr="003F3F57">
        <w:rPr>
          <w:rFonts w:eastAsia="TimesNewRoman"/>
        </w:rPr>
        <w:t>listed</w:t>
      </w:r>
      <w:r w:rsidR="005728FA" w:rsidRPr="003F3F57">
        <w:rPr>
          <w:rFonts w:eastAsia="TimesNewRoman"/>
        </w:rPr>
        <w:t xml:space="preserve"> </w:t>
      </w:r>
      <w:r w:rsidRPr="003F3F57">
        <w:rPr>
          <w:rFonts w:eastAsia="TimesNewRoman"/>
        </w:rPr>
        <w:t>by system organ class</w:t>
      </w:r>
      <w:r w:rsidR="00BE5490" w:rsidRPr="003F3F57">
        <w:rPr>
          <w:rFonts w:eastAsia="TimesNewRoman"/>
        </w:rPr>
        <w:t xml:space="preserve"> (SOC)</w:t>
      </w:r>
      <w:r w:rsidR="008D73EB" w:rsidRPr="003F3F57">
        <w:rPr>
          <w:rFonts w:eastAsia="TimesNewRoman"/>
        </w:rPr>
        <w:t>,</w:t>
      </w:r>
      <w:r w:rsidRPr="003F3F57">
        <w:rPr>
          <w:rFonts w:eastAsia="TimesNewRoman"/>
        </w:rPr>
        <w:t xml:space="preserve"> </w:t>
      </w:r>
      <w:r w:rsidR="008D73EB" w:rsidRPr="003F3F57">
        <w:rPr>
          <w:rFonts w:eastAsia="TimesNewRoman"/>
        </w:rPr>
        <w:t>in order of decreasing seriousness</w:t>
      </w:r>
      <w:r w:rsidR="008972D0" w:rsidRPr="003F3F57">
        <w:rPr>
          <w:rFonts w:eastAsia="TimesNewRoman"/>
        </w:rPr>
        <w:t xml:space="preserve"> </w:t>
      </w:r>
      <w:r w:rsidR="00C276E1" w:rsidRPr="003F3F57">
        <w:rPr>
          <w:rFonts w:eastAsia="TimesNewRoman"/>
        </w:rPr>
        <w:t>within each SOC in Table 1</w:t>
      </w:r>
      <w:r w:rsidR="005728FA" w:rsidRPr="003F3F57">
        <w:rPr>
          <w:rFonts w:eastAsia="TimesNew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3960"/>
        <w:gridCol w:w="1368"/>
      </w:tblGrid>
      <w:tr w:rsidR="000649D6" w:rsidRPr="000649D6" w:rsidTr="00861C34">
        <w:tc>
          <w:tcPr>
            <w:tcW w:w="8856" w:type="dxa"/>
            <w:gridSpan w:val="3"/>
          </w:tcPr>
          <w:p w:rsidR="007B1E88" w:rsidRPr="000649D6" w:rsidRDefault="004A6668" w:rsidP="00F75C4F">
            <w:pPr>
              <w:autoSpaceDE w:val="0"/>
              <w:autoSpaceDN w:val="0"/>
              <w:adjustRightInd w:val="0"/>
              <w:ind w:right="-360"/>
              <w:rPr>
                <w:b/>
                <w:sz w:val="20"/>
                <w:szCs w:val="20"/>
                <w:u w:val="single"/>
              </w:rPr>
            </w:pPr>
            <w:r w:rsidRPr="000649D6">
              <w:rPr>
                <w:b/>
                <w:sz w:val="20"/>
                <w:szCs w:val="20"/>
              </w:rPr>
              <w:t>Table 1: Adverse effects which have been associated with FLUTIFORM</w:t>
            </w:r>
            <w:r w:rsidRPr="000649D6">
              <w:rPr>
                <w:rFonts w:eastAsia="TimesNewRoman"/>
                <w:vertAlign w:val="superscript"/>
              </w:rPr>
              <w:t>®</w:t>
            </w:r>
            <w:r w:rsidRPr="000649D6">
              <w:rPr>
                <w:rFonts w:eastAsia="TimesNewRoman"/>
                <w:sz w:val="20"/>
                <w:szCs w:val="20"/>
              </w:rPr>
              <w:t xml:space="preserve"> </w:t>
            </w:r>
            <w:r w:rsidRPr="000649D6">
              <w:rPr>
                <w:rFonts w:eastAsia="TimesNewRoman"/>
                <w:b/>
                <w:sz w:val="20"/>
                <w:szCs w:val="20"/>
              </w:rPr>
              <w:t>inhaler</w:t>
            </w:r>
            <w:r w:rsidRPr="000649D6" w:rsidDel="004A6668">
              <w:rPr>
                <w:b/>
                <w:sz w:val="20"/>
                <w:szCs w:val="20"/>
              </w:rPr>
              <w:t xml:space="preserve"> </w:t>
            </w:r>
          </w:p>
        </w:tc>
      </w:tr>
      <w:tr w:rsidR="000649D6" w:rsidRPr="000649D6" w:rsidTr="00E1570D">
        <w:tc>
          <w:tcPr>
            <w:tcW w:w="3528" w:type="dxa"/>
          </w:tcPr>
          <w:p w:rsidR="00074DE3" w:rsidRPr="000649D6" w:rsidRDefault="00642DB8" w:rsidP="004E1040">
            <w:pPr>
              <w:autoSpaceDE w:val="0"/>
              <w:autoSpaceDN w:val="0"/>
              <w:adjustRightInd w:val="0"/>
              <w:ind w:right="-360"/>
              <w:rPr>
                <w:b/>
                <w:sz w:val="20"/>
                <w:szCs w:val="20"/>
              </w:rPr>
            </w:pPr>
            <w:r w:rsidRPr="000649D6">
              <w:rPr>
                <w:b/>
                <w:sz w:val="20"/>
                <w:szCs w:val="20"/>
              </w:rPr>
              <w:t>System Organ Class</w:t>
            </w:r>
          </w:p>
        </w:tc>
        <w:tc>
          <w:tcPr>
            <w:tcW w:w="3960" w:type="dxa"/>
          </w:tcPr>
          <w:p w:rsidR="00642DB8" w:rsidRPr="000649D6" w:rsidRDefault="00642DB8" w:rsidP="00406EB8">
            <w:pPr>
              <w:autoSpaceDE w:val="0"/>
              <w:autoSpaceDN w:val="0"/>
              <w:adjustRightInd w:val="0"/>
              <w:ind w:right="-360"/>
              <w:rPr>
                <w:rFonts w:eastAsia="TimesNewRoman"/>
                <w:b/>
                <w:sz w:val="20"/>
                <w:szCs w:val="20"/>
              </w:rPr>
            </w:pPr>
            <w:r w:rsidRPr="000649D6">
              <w:rPr>
                <w:b/>
                <w:sz w:val="20"/>
                <w:szCs w:val="20"/>
              </w:rPr>
              <w:t xml:space="preserve">Adverse </w:t>
            </w:r>
            <w:r w:rsidR="00406EB8" w:rsidRPr="000649D6">
              <w:rPr>
                <w:b/>
                <w:sz w:val="20"/>
                <w:szCs w:val="20"/>
              </w:rPr>
              <w:t>Effect</w:t>
            </w:r>
          </w:p>
        </w:tc>
        <w:tc>
          <w:tcPr>
            <w:tcW w:w="1368" w:type="dxa"/>
          </w:tcPr>
          <w:p w:rsidR="00642DB8" w:rsidRPr="000649D6" w:rsidRDefault="00642DB8" w:rsidP="004E1040">
            <w:pPr>
              <w:autoSpaceDE w:val="0"/>
              <w:autoSpaceDN w:val="0"/>
              <w:adjustRightInd w:val="0"/>
              <w:ind w:right="-360"/>
              <w:rPr>
                <w:b/>
                <w:sz w:val="20"/>
                <w:szCs w:val="20"/>
              </w:rPr>
            </w:pPr>
            <w:r w:rsidRPr="000649D6">
              <w:rPr>
                <w:b/>
                <w:sz w:val="20"/>
                <w:szCs w:val="20"/>
              </w:rPr>
              <w:t>Frequency</w:t>
            </w:r>
          </w:p>
        </w:tc>
      </w:tr>
      <w:tr w:rsidR="000649D6" w:rsidRPr="000649D6" w:rsidTr="004B247E">
        <w:trPr>
          <w:trHeight w:val="470"/>
        </w:trPr>
        <w:tc>
          <w:tcPr>
            <w:tcW w:w="3528" w:type="dxa"/>
          </w:tcPr>
          <w:p w:rsidR="004B247E" w:rsidRPr="000649D6" w:rsidRDefault="004B247E" w:rsidP="004E1040">
            <w:pPr>
              <w:autoSpaceDE w:val="0"/>
              <w:autoSpaceDN w:val="0"/>
              <w:adjustRightInd w:val="0"/>
              <w:rPr>
                <w:rFonts w:eastAsia="TimesNewRoman"/>
                <w:sz w:val="20"/>
                <w:szCs w:val="20"/>
              </w:rPr>
            </w:pPr>
            <w:r w:rsidRPr="000649D6">
              <w:rPr>
                <w:rFonts w:eastAsia="TimesNewRoman"/>
                <w:sz w:val="20"/>
                <w:szCs w:val="20"/>
              </w:rPr>
              <w:t xml:space="preserve">Infections and infestations </w:t>
            </w:r>
          </w:p>
        </w:tc>
        <w:tc>
          <w:tcPr>
            <w:tcW w:w="3960" w:type="dxa"/>
          </w:tcPr>
          <w:p w:rsidR="004B247E" w:rsidRPr="000649D6" w:rsidRDefault="004B247E" w:rsidP="004E1040">
            <w:pPr>
              <w:autoSpaceDE w:val="0"/>
              <w:autoSpaceDN w:val="0"/>
              <w:adjustRightInd w:val="0"/>
              <w:ind w:right="-360"/>
              <w:rPr>
                <w:rFonts w:eastAsia="TimesNewRoman"/>
                <w:sz w:val="20"/>
                <w:szCs w:val="20"/>
              </w:rPr>
            </w:pPr>
            <w:r w:rsidRPr="000649D6">
              <w:rPr>
                <w:rFonts w:eastAsia="TimesNewRoman"/>
                <w:sz w:val="20"/>
                <w:szCs w:val="20"/>
              </w:rPr>
              <w:t>Oral candidiasis</w:t>
            </w:r>
          </w:p>
          <w:p w:rsidR="004B247E" w:rsidRPr="000649D6" w:rsidRDefault="004B247E" w:rsidP="004E1040">
            <w:pPr>
              <w:ind w:right="-360"/>
              <w:rPr>
                <w:rFonts w:eastAsia="TimesNewRoman"/>
                <w:sz w:val="20"/>
                <w:szCs w:val="20"/>
              </w:rPr>
            </w:pPr>
            <w:r w:rsidRPr="000649D6">
              <w:rPr>
                <w:rFonts w:eastAsia="TimesNewRoman"/>
                <w:sz w:val="20"/>
                <w:szCs w:val="20"/>
              </w:rPr>
              <w:t xml:space="preserve">Acute sinusitis </w:t>
            </w:r>
          </w:p>
        </w:tc>
        <w:tc>
          <w:tcPr>
            <w:tcW w:w="1368" w:type="dxa"/>
          </w:tcPr>
          <w:p w:rsidR="004B247E" w:rsidRPr="000649D6" w:rsidRDefault="004B247E" w:rsidP="004E1040">
            <w:pPr>
              <w:autoSpaceDE w:val="0"/>
              <w:autoSpaceDN w:val="0"/>
              <w:adjustRightInd w:val="0"/>
              <w:ind w:right="-360"/>
              <w:rPr>
                <w:rFonts w:eastAsia="TimesNewRoman"/>
                <w:sz w:val="20"/>
                <w:szCs w:val="20"/>
              </w:rPr>
            </w:pPr>
            <w:r w:rsidRPr="000649D6">
              <w:rPr>
                <w:rFonts w:eastAsia="TimesNewRoman"/>
                <w:sz w:val="20"/>
                <w:szCs w:val="20"/>
              </w:rPr>
              <w:t>Rare</w:t>
            </w:r>
          </w:p>
        </w:tc>
      </w:tr>
      <w:tr w:rsidR="000649D6" w:rsidRPr="000649D6" w:rsidTr="00E1570D">
        <w:tc>
          <w:tcPr>
            <w:tcW w:w="3528" w:type="dxa"/>
          </w:tcPr>
          <w:p w:rsidR="00642DB8" w:rsidRPr="000649D6" w:rsidRDefault="00642DB8" w:rsidP="001319C5">
            <w:pPr>
              <w:autoSpaceDE w:val="0"/>
              <w:autoSpaceDN w:val="0"/>
              <w:adjustRightInd w:val="0"/>
              <w:rPr>
                <w:rFonts w:eastAsia="TimesNewRoman"/>
                <w:sz w:val="20"/>
                <w:szCs w:val="20"/>
              </w:rPr>
            </w:pPr>
            <w:r w:rsidRPr="000649D6">
              <w:rPr>
                <w:rFonts w:eastAsia="TimesNewRoman"/>
                <w:sz w:val="20"/>
                <w:szCs w:val="20"/>
              </w:rPr>
              <w:t>Metaboli</w:t>
            </w:r>
            <w:r w:rsidR="00074DE3" w:rsidRPr="000649D6">
              <w:rPr>
                <w:rFonts w:eastAsia="TimesNewRoman"/>
                <w:sz w:val="20"/>
                <w:szCs w:val="20"/>
              </w:rPr>
              <w:t>sm and</w:t>
            </w:r>
            <w:r w:rsidRPr="000649D6">
              <w:rPr>
                <w:rFonts w:eastAsia="TimesNewRoman"/>
                <w:sz w:val="20"/>
                <w:szCs w:val="20"/>
              </w:rPr>
              <w:t xml:space="preserve"> nutrition</w:t>
            </w:r>
            <w:r w:rsidR="001319C5" w:rsidRPr="000649D6">
              <w:rPr>
                <w:rFonts w:eastAsia="TimesNewRoman"/>
                <w:sz w:val="20"/>
                <w:szCs w:val="20"/>
              </w:rPr>
              <w:t xml:space="preserve"> disorders</w:t>
            </w:r>
          </w:p>
        </w:tc>
        <w:tc>
          <w:tcPr>
            <w:tcW w:w="3960" w:type="dxa"/>
          </w:tcPr>
          <w:p w:rsidR="00642DB8" w:rsidRPr="000649D6" w:rsidRDefault="00642DB8" w:rsidP="004E1040">
            <w:pPr>
              <w:ind w:right="-360"/>
              <w:rPr>
                <w:sz w:val="20"/>
                <w:szCs w:val="20"/>
              </w:rPr>
            </w:pPr>
            <w:r w:rsidRPr="000649D6">
              <w:rPr>
                <w:rFonts w:eastAsia="TimesNewRoman"/>
                <w:sz w:val="20"/>
                <w:szCs w:val="20"/>
              </w:rPr>
              <w:t xml:space="preserve">Hyperglycaemia </w:t>
            </w:r>
          </w:p>
        </w:tc>
        <w:tc>
          <w:tcPr>
            <w:tcW w:w="1368" w:type="dxa"/>
          </w:tcPr>
          <w:p w:rsidR="00642DB8" w:rsidRPr="000649D6" w:rsidRDefault="00642DB8" w:rsidP="004E1040">
            <w:pPr>
              <w:ind w:right="-360"/>
              <w:rPr>
                <w:sz w:val="20"/>
                <w:szCs w:val="20"/>
              </w:rPr>
            </w:pPr>
            <w:r w:rsidRPr="000649D6">
              <w:rPr>
                <w:rFonts w:eastAsia="TimesNewRoman"/>
                <w:sz w:val="20"/>
                <w:szCs w:val="20"/>
              </w:rPr>
              <w:t>Uncommon</w:t>
            </w:r>
          </w:p>
        </w:tc>
      </w:tr>
      <w:tr w:rsidR="000649D6" w:rsidRPr="000649D6" w:rsidTr="004B247E">
        <w:trPr>
          <w:trHeight w:val="710"/>
        </w:trPr>
        <w:tc>
          <w:tcPr>
            <w:tcW w:w="3528" w:type="dxa"/>
            <w:vMerge w:val="restart"/>
          </w:tcPr>
          <w:p w:rsidR="004B247E" w:rsidRPr="000649D6" w:rsidRDefault="00B761B2" w:rsidP="00B761B2">
            <w:pPr>
              <w:autoSpaceDE w:val="0"/>
              <w:autoSpaceDN w:val="0"/>
              <w:adjustRightInd w:val="0"/>
              <w:rPr>
                <w:rFonts w:eastAsia="TimesNewRoman"/>
                <w:sz w:val="20"/>
                <w:szCs w:val="20"/>
              </w:rPr>
            </w:pPr>
            <w:r>
              <w:rPr>
                <w:rFonts w:eastAsia="TimesNewRoman"/>
                <w:sz w:val="20"/>
                <w:szCs w:val="20"/>
              </w:rPr>
              <w:t>Psychiatric disorders</w:t>
            </w:r>
          </w:p>
        </w:tc>
        <w:tc>
          <w:tcPr>
            <w:tcW w:w="3960" w:type="dxa"/>
          </w:tcPr>
          <w:p w:rsidR="004B247E" w:rsidRPr="000649D6" w:rsidRDefault="004B247E" w:rsidP="004E1040">
            <w:pPr>
              <w:ind w:right="-360"/>
              <w:rPr>
                <w:sz w:val="20"/>
                <w:szCs w:val="20"/>
              </w:rPr>
            </w:pPr>
            <w:r w:rsidRPr="000649D6">
              <w:rPr>
                <w:rFonts w:eastAsia="TimesNewRoman"/>
                <w:sz w:val="20"/>
                <w:szCs w:val="20"/>
              </w:rPr>
              <w:t xml:space="preserve">Abnormal dreams </w:t>
            </w:r>
          </w:p>
          <w:p w:rsidR="004B247E" w:rsidRPr="000649D6" w:rsidRDefault="004B247E" w:rsidP="004E1040">
            <w:pPr>
              <w:ind w:right="-360"/>
              <w:rPr>
                <w:rFonts w:eastAsia="TimesNewRoman"/>
                <w:sz w:val="20"/>
                <w:szCs w:val="20"/>
              </w:rPr>
            </w:pPr>
            <w:r w:rsidRPr="000649D6">
              <w:rPr>
                <w:rFonts w:eastAsia="TimesNewRoman"/>
                <w:sz w:val="20"/>
                <w:szCs w:val="20"/>
              </w:rPr>
              <w:t>Agitation</w:t>
            </w:r>
          </w:p>
          <w:p w:rsidR="004B247E" w:rsidRPr="000649D6" w:rsidRDefault="004B247E" w:rsidP="00EF1B8E">
            <w:pPr>
              <w:ind w:right="-360"/>
              <w:rPr>
                <w:sz w:val="20"/>
                <w:szCs w:val="20"/>
              </w:rPr>
            </w:pPr>
            <w:r w:rsidRPr="000649D6">
              <w:rPr>
                <w:rFonts w:eastAsia="TimesNewRoman"/>
                <w:sz w:val="20"/>
                <w:szCs w:val="20"/>
              </w:rPr>
              <w:t>Insomnia</w:t>
            </w:r>
          </w:p>
        </w:tc>
        <w:tc>
          <w:tcPr>
            <w:tcW w:w="1368" w:type="dxa"/>
          </w:tcPr>
          <w:p w:rsidR="004B247E" w:rsidRPr="000649D6" w:rsidRDefault="004B247E" w:rsidP="004E1040">
            <w:pPr>
              <w:ind w:right="-360"/>
              <w:rPr>
                <w:sz w:val="20"/>
                <w:szCs w:val="20"/>
              </w:rPr>
            </w:pPr>
            <w:r w:rsidRPr="000649D6">
              <w:rPr>
                <w:rFonts w:eastAsia="TimesNewRoman"/>
                <w:sz w:val="20"/>
                <w:szCs w:val="20"/>
              </w:rPr>
              <w:t>Rare</w:t>
            </w:r>
          </w:p>
          <w:p w:rsidR="004B247E" w:rsidRPr="000649D6" w:rsidRDefault="004B247E" w:rsidP="004B247E">
            <w:pPr>
              <w:ind w:right="-360"/>
              <w:rPr>
                <w:sz w:val="20"/>
                <w:szCs w:val="20"/>
              </w:rPr>
            </w:pPr>
          </w:p>
        </w:tc>
      </w:tr>
      <w:tr w:rsidR="000649D6" w:rsidRPr="000649D6" w:rsidTr="00E1570D">
        <w:tc>
          <w:tcPr>
            <w:tcW w:w="3528" w:type="dxa"/>
            <w:vMerge/>
          </w:tcPr>
          <w:p w:rsidR="00642DB8" w:rsidRPr="000649D6" w:rsidRDefault="00642DB8" w:rsidP="004E1040">
            <w:pPr>
              <w:autoSpaceDE w:val="0"/>
              <w:autoSpaceDN w:val="0"/>
              <w:adjustRightInd w:val="0"/>
              <w:rPr>
                <w:rFonts w:eastAsia="TimesNewRoman"/>
                <w:sz w:val="20"/>
                <w:szCs w:val="20"/>
              </w:rPr>
            </w:pPr>
          </w:p>
        </w:tc>
        <w:tc>
          <w:tcPr>
            <w:tcW w:w="3960" w:type="dxa"/>
          </w:tcPr>
          <w:p w:rsidR="00EF1B8E" w:rsidRPr="000649D6" w:rsidRDefault="00EF1B8E" w:rsidP="00EF1B8E">
            <w:pPr>
              <w:ind w:right="-360"/>
              <w:rPr>
                <w:rFonts w:eastAsia="TimesNewRoman"/>
                <w:sz w:val="20"/>
                <w:szCs w:val="20"/>
              </w:rPr>
            </w:pPr>
            <w:r w:rsidRPr="000649D6">
              <w:rPr>
                <w:rFonts w:eastAsia="TimesNewRoman"/>
                <w:sz w:val="20"/>
                <w:szCs w:val="20"/>
              </w:rPr>
              <w:t>Psychomotor hyperactivity, anxiety,</w:t>
            </w:r>
          </w:p>
          <w:p w:rsidR="00EF1B8E" w:rsidRPr="000649D6" w:rsidRDefault="00EF1B8E" w:rsidP="00EF1B8E">
            <w:pPr>
              <w:ind w:right="-360"/>
              <w:rPr>
                <w:rFonts w:eastAsia="TimesNewRoman"/>
                <w:sz w:val="20"/>
                <w:szCs w:val="20"/>
              </w:rPr>
            </w:pPr>
            <w:r w:rsidRPr="000649D6">
              <w:rPr>
                <w:rFonts w:eastAsia="TimesNewRoman"/>
                <w:sz w:val="20"/>
                <w:szCs w:val="20"/>
              </w:rPr>
              <w:t>depression, aggression, behavioural changes</w:t>
            </w:r>
          </w:p>
          <w:p w:rsidR="00642DB8" w:rsidRPr="000649D6" w:rsidRDefault="00EF1B8E" w:rsidP="00EF1B8E">
            <w:pPr>
              <w:ind w:right="-360"/>
              <w:rPr>
                <w:sz w:val="20"/>
                <w:szCs w:val="20"/>
              </w:rPr>
            </w:pPr>
            <w:r w:rsidRPr="000649D6">
              <w:rPr>
                <w:rFonts w:eastAsia="TimesNewRoman"/>
                <w:sz w:val="20"/>
                <w:szCs w:val="20"/>
              </w:rPr>
              <w:t>(predominantly in children)</w:t>
            </w:r>
          </w:p>
        </w:tc>
        <w:tc>
          <w:tcPr>
            <w:tcW w:w="1368" w:type="dxa"/>
          </w:tcPr>
          <w:p w:rsidR="00642DB8" w:rsidRPr="000649D6" w:rsidRDefault="00EF1B8E" w:rsidP="004E1040">
            <w:pPr>
              <w:ind w:right="-360"/>
              <w:rPr>
                <w:sz w:val="20"/>
                <w:szCs w:val="20"/>
              </w:rPr>
            </w:pPr>
            <w:r w:rsidRPr="000649D6">
              <w:rPr>
                <w:sz w:val="20"/>
                <w:szCs w:val="20"/>
              </w:rPr>
              <w:t>Not known</w:t>
            </w:r>
          </w:p>
        </w:tc>
      </w:tr>
      <w:tr w:rsidR="000649D6" w:rsidRPr="000649D6" w:rsidTr="00E1570D">
        <w:tc>
          <w:tcPr>
            <w:tcW w:w="3528" w:type="dxa"/>
          </w:tcPr>
          <w:p w:rsidR="004B247E" w:rsidRPr="000649D6" w:rsidRDefault="004B247E" w:rsidP="004E1040">
            <w:pPr>
              <w:autoSpaceDE w:val="0"/>
              <w:autoSpaceDN w:val="0"/>
              <w:adjustRightInd w:val="0"/>
              <w:rPr>
                <w:rFonts w:eastAsia="TimesNewRoman"/>
                <w:sz w:val="20"/>
                <w:szCs w:val="20"/>
              </w:rPr>
            </w:pPr>
            <w:r w:rsidRPr="000649D6">
              <w:rPr>
                <w:rFonts w:eastAsia="TimesNewRoman"/>
                <w:sz w:val="20"/>
                <w:szCs w:val="20"/>
              </w:rPr>
              <w:t>Nervous system disorders</w:t>
            </w:r>
          </w:p>
        </w:tc>
        <w:tc>
          <w:tcPr>
            <w:tcW w:w="3960" w:type="dxa"/>
          </w:tcPr>
          <w:p w:rsidR="004B247E" w:rsidRPr="000649D6" w:rsidRDefault="004B247E" w:rsidP="004B247E">
            <w:pPr>
              <w:autoSpaceDE w:val="0"/>
              <w:autoSpaceDN w:val="0"/>
              <w:adjustRightInd w:val="0"/>
              <w:ind w:right="-360"/>
              <w:rPr>
                <w:rFonts w:eastAsia="TimesNewRoman"/>
                <w:sz w:val="20"/>
                <w:szCs w:val="20"/>
              </w:rPr>
            </w:pPr>
            <w:r w:rsidRPr="000649D6">
              <w:rPr>
                <w:rFonts w:eastAsia="TimesNewRoman"/>
                <w:sz w:val="20"/>
                <w:szCs w:val="20"/>
              </w:rPr>
              <w:t>Headache</w:t>
            </w:r>
          </w:p>
          <w:p w:rsidR="004B247E" w:rsidRPr="000649D6" w:rsidRDefault="004B247E" w:rsidP="004B247E">
            <w:pPr>
              <w:autoSpaceDE w:val="0"/>
              <w:autoSpaceDN w:val="0"/>
              <w:adjustRightInd w:val="0"/>
              <w:ind w:right="-360"/>
              <w:rPr>
                <w:rFonts w:eastAsia="TimesNewRoman"/>
                <w:sz w:val="20"/>
                <w:szCs w:val="20"/>
              </w:rPr>
            </w:pPr>
            <w:r w:rsidRPr="000649D6">
              <w:rPr>
                <w:rFonts w:eastAsia="TimesNewRoman"/>
                <w:sz w:val="20"/>
                <w:szCs w:val="20"/>
              </w:rPr>
              <w:t>Tremor</w:t>
            </w:r>
          </w:p>
          <w:p w:rsidR="004B247E" w:rsidRPr="000649D6" w:rsidRDefault="004B247E" w:rsidP="004B247E">
            <w:pPr>
              <w:autoSpaceDE w:val="0"/>
              <w:autoSpaceDN w:val="0"/>
              <w:adjustRightInd w:val="0"/>
              <w:ind w:right="-360"/>
              <w:rPr>
                <w:rFonts w:eastAsia="TimesNewRoman"/>
                <w:sz w:val="20"/>
                <w:szCs w:val="20"/>
              </w:rPr>
            </w:pPr>
            <w:proofErr w:type="spellStart"/>
            <w:r w:rsidRPr="000649D6">
              <w:rPr>
                <w:rFonts w:eastAsia="TimesNewRoman"/>
                <w:sz w:val="20"/>
                <w:szCs w:val="20"/>
              </w:rPr>
              <w:t>Ddizziness</w:t>
            </w:r>
            <w:proofErr w:type="spellEnd"/>
          </w:p>
          <w:p w:rsidR="004B247E" w:rsidRPr="000649D6" w:rsidRDefault="004B247E" w:rsidP="004B247E">
            <w:pPr>
              <w:autoSpaceDE w:val="0"/>
              <w:autoSpaceDN w:val="0"/>
              <w:adjustRightInd w:val="0"/>
              <w:ind w:right="-360"/>
              <w:rPr>
                <w:rFonts w:eastAsia="TimesNewRoman"/>
                <w:sz w:val="20"/>
                <w:szCs w:val="20"/>
              </w:rPr>
            </w:pPr>
            <w:proofErr w:type="spellStart"/>
            <w:r w:rsidRPr="000649D6">
              <w:rPr>
                <w:rFonts w:eastAsia="TimesNewRoman"/>
                <w:sz w:val="20"/>
                <w:szCs w:val="20"/>
              </w:rPr>
              <w:lastRenderedPageBreak/>
              <w:t>Dysgeusia</w:t>
            </w:r>
            <w:proofErr w:type="spellEnd"/>
          </w:p>
        </w:tc>
        <w:tc>
          <w:tcPr>
            <w:tcW w:w="1368" w:type="dxa"/>
          </w:tcPr>
          <w:p w:rsidR="004B247E" w:rsidRPr="000649D6" w:rsidRDefault="004B247E" w:rsidP="004E1040">
            <w:pPr>
              <w:autoSpaceDE w:val="0"/>
              <w:autoSpaceDN w:val="0"/>
              <w:adjustRightInd w:val="0"/>
              <w:ind w:right="-360"/>
              <w:rPr>
                <w:rFonts w:eastAsia="TimesNewRoman"/>
                <w:sz w:val="20"/>
                <w:szCs w:val="20"/>
              </w:rPr>
            </w:pPr>
            <w:r w:rsidRPr="000649D6">
              <w:rPr>
                <w:rFonts w:eastAsia="TimesNewRoman"/>
                <w:sz w:val="20"/>
                <w:szCs w:val="20"/>
              </w:rPr>
              <w:lastRenderedPageBreak/>
              <w:t>Uncommon</w:t>
            </w:r>
          </w:p>
        </w:tc>
      </w:tr>
      <w:tr w:rsidR="000649D6" w:rsidRPr="000649D6" w:rsidTr="00E1570D">
        <w:tc>
          <w:tcPr>
            <w:tcW w:w="3528" w:type="dxa"/>
          </w:tcPr>
          <w:p w:rsidR="00642DB8" w:rsidRPr="000649D6" w:rsidRDefault="00642DB8" w:rsidP="00553E08">
            <w:pPr>
              <w:rPr>
                <w:sz w:val="20"/>
                <w:szCs w:val="20"/>
              </w:rPr>
            </w:pPr>
            <w:r w:rsidRPr="000649D6">
              <w:rPr>
                <w:rFonts w:eastAsia="TimesNewRoman"/>
                <w:sz w:val="20"/>
                <w:szCs w:val="20"/>
              </w:rPr>
              <w:lastRenderedPageBreak/>
              <w:t xml:space="preserve">Ear </w:t>
            </w:r>
            <w:r w:rsidR="00553E08" w:rsidRPr="000649D6">
              <w:rPr>
                <w:rFonts w:eastAsia="TimesNewRoman"/>
                <w:sz w:val="20"/>
                <w:szCs w:val="20"/>
              </w:rPr>
              <w:t>and</w:t>
            </w:r>
            <w:r w:rsidRPr="000649D6">
              <w:rPr>
                <w:rFonts w:eastAsia="TimesNewRoman"/>
                <w:sz w:val="20"/>
                <w:szCs w:val="20"/>
              </w:rPr>
              <w:t xml:space="preserve"> labyrinth disorders </w:t>
            </w:r>
          </w:p>
        </w:tc>
        <w:tc>
          <w:tcPr>
            <w:tcW w:w="3960" w:type="dxa"/>
          </w:tcPr>
          <w:p w:rsidR="00642DB8" w:rsidRPr="000649D6" w:rsidRDefault="00642DB8" w:rsidP="004E1040">
            <w:pPr>
              <w:ind w:right="-360"/>
              <w:rPr>
                <w:sz w:val="20"/>
                <w:szCs w:val="20"/>
              </w:rPr>
            </w:pPr>
            <w:r w:rsidRPr="000649D6">
              <w:rPr>
                <w:rFonts w:eastAsia="TimesNewRoman"/>
                <w:sz w:val="20"/>
                <w:szCs w:val="20"/>
              </w:rPr>
              <w:t xml:space="preserve">Vertigo </w:t>
            </w:r>
          </w:p>
        </w:tc>
        <w:tc>
          <w:tcPr>
            <w:tcW w:w="1368" w:type="dxa"/>
          </w:tcPr>
          <w:p w:rsidR="00642DB8" w:rsidRPr="000649D6" w:rsidRDefault="00642DB8" w:rsidP="004E1040">
            <w:pPr>
              <w:ind w:right="-360"/>
              <w:rPr>
                <w:sz w:val="20"/>
                <w:szCs w:val="20"/>
              </w:rPr>
            </w:pPr>
            <w:r w:rsidRPr="000649D6">
              <w:rPr>
                <w:rFonts w:eastAsia="TimesNewRoman"/>
                <w:sz w:val="20"/>
                <w:szCs w:val="20"/>
              </w:rPr>
              <w:t>Rare</w:t>
            </w:r>
          </w:p>
        </w:tc>
      </w:tr>
      <w:tr w:rsidR="000649D6" w:rsidRPr="000649D6" w:rsidTr="00E1570D">
        <w:tc>
          <w:tcPr>
            <w:tcW w:w="3528" w:type="dxa"/>
            <w:vMerge w:val="restart"/>
          </w:tcPr>
          <w:p w:rsidR="00642DB8" w:rsidRPr="000649D6" w:rsidRDefault="00642DB8" w:rsidP="004E1040">
            <w:pPr>
              <w:autoSpaceDE w:val="0"/>
              <w:autoSpaceDN w:val="0"/>
              <w:adjustRightInd w:val="0"/>
              <w:rPr>
                <w:rFonts w:eastAsia="TimesNewRoman"/>
                <w:sz w:val="20"/>
                <w:szCs w:val="20"/>
              </w:rPr>
            </w:pPr>
            <w:r w:rsidRPr="000649D6">
              <w:rPr>
                <w:rFonts w:eastAsia="TimesNewRoman"/>
                <w:sz w:val="20"/>
                <w:szCs w:val="20"/>
              </w:rPr>
              <w:t xml:space="preserve">Cardiac disorders </w:t>
            </w:r>
          </w:p>
          <w:p w:rsidR="00642DB8" w:rsidRPr="000649D6" w:rsidRDefault="00642DB8" w:rsidP="004E1040">
            <w:pPr>
              <w:autoSpaceDE w:val="0"/>
              <w:autoSpaceDN w:val="0"/>
              <w:adjustRightInd w:val="0"/>
              <w:rPr>
                <w:rFonts w:eastAsia="TimesNewRoman"/>
                <w:sz w:val="20"/>
                <w:szCs w:val="20"/>
              </w:rPr>
            </w:pPr>
          </w:p>
        </w:tc>
        <w:tc>
          <w:tcPr>
            <w:tcW w:w="3960" w:type="dxa"/>
          </w:tcPr>
          <w:p w:rsidR="004B247E" w:rsidRPr="000649D6" w:rsidRDefault="00642DB8" w:rsidP="004B247E">
            <w:pPr>
              <w:autoSpaceDE w:val="0"/>
              <w:autoSpaceDN w:val="0"/>
              <w:adjustRightInd w:val="0"/>
              <w:ind w:right="-360"/>
              <w:rPr>
                <w:rFonts w:eastAsia="TimesNewRoman"/>
                <w:sz w:val="20"/>
                <w:szCs w:val="20"/>
              </w:rPr>
            </w:pPr>
            <w:r w:rsidRPr="000649D6">
              <w:rPr>
                <w:rFonts w:eastAsia="TimesNewRoman"/>
                <w:sz w:val="20"/>
                <w:szCs w:val="20"/>
              </w:rPr>
              <w:t>Palpitations</w:t>
            </w:r>
          </w:p>
          <w:p w:rsidR="00642DB8" w:rsidRPr="000649D6" w:rsidRDefault="004B247E" w:rsidP="004B247E">
            <w:pPr>
              <w:autoSpaceDE w:val="0"/>
              <w:autoSpaceDN w:val="0"/>
              <w:adjustRightInd w:val="0"/>
              <w:ind w:right="-360"/>
              <w:rPr>
                <w:rFonts w:eastAsia="TimesNewRoman"/>
                <w:sz w:val="20"/>
                <w:szCs w:val="20"/>
              </w:rPr>
            </w:pPr>
            <w:r w:rsidRPr="000649D6">
              <w:rPr>
                <w:rFonts w:eastAsia="TimesNewRoman"/>
                <w:sz w:val="20"/>
                <w:szCs w:val="20"/>
              </w:rPr>
              <w:t>V</w:t>
            </w:r>
            <w:r w:rsidR="00642DB8" w:rsidRPr="000649D6">
              <w:rPr>
                <w:rFonts w:eastAsia="TimesNewRoman"/>
                <w:sz w:val="20"/>
                <w:szCs w:val="20"/>
              </w:rPr>
              <w:t xml:space="preserve">entricular </w:t>
            </w:r>
            <w:proofErr w:type="spellStart"/>
            <w:r w:rsidR="00642DB8" w:rsidRPr="000649D6">
              <w:rPr>
                <w:rFonts w:eastAsia="TimesNewRoman"/>
                <w:sz w:val="20"/>
                <w:szCs w:val="20"/>
              </w:rPr>
              <w:t>extrasystoles</w:t>
            </w:r>
            <w:proofErr w:type="spellEnd"/>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Uncommon</w:t>
            </w:r>
          </w:p>
        </w:tc>
      </w:tr>
      <w:tr w:rsidR="000649D6" w:rsidRPr="000649D6" w:rsidTr="00E1570D">
        <w:tc>
          <w:tcPr>
            <w:tcW w:w="3528" w:type="dxa"/>
            <w:vMerge/>
          </w:tcPr>
          <w:p w:rsidR="00642DB8" w:rsidRPr="000649D6" w:rsidRDefault="00642DB8" w:rsidP="004E1040">
            <w:pPr>
              <w:autoSpaceDE w:val="0"/>
              <w:autoSpaceDN w:val="0"/>
              <w:adjustRightInd w:val="0"/>
              <w:rPr>
                <w:rFonts w:eastAsia="TimesNewRoman"/>
                <w:sz w:val="20"/>
                <w:szCs w:val="20"/>
              </w:rPr>
            </w:pPr>
          </w:p>
        </w:tc>
        <w:tc>
          <w:tcPr>
            <w:tcW w:w="3960" w:type="dxa"/>
          </w:tcPr>
          <w:p w:rsidR="004B247E" w:rsidRPr="000649D6" w:rsidRDefault="00642DB8" w:rsidP="004B247E">
            <w:pPr>
              <w:autoSpaceDE w:val="0"/>
              <w:autoSpaceDN w:val="0"/>
              <w:adjustRightInd w:val="0"/>
              <w:ind w:right="-360"/>
              <w:rPr>
                <w:rFonts w:eastAsia="TimesNewRoman"/>
                <w:sz w:val="20"/>
                <w:szCs w:val="20"/>
              </w:rPr>
            </w:pPr>
            <w:r w:rsidRPr="000649D6">
              <w:rPr>
                <w:rFonts w:eastAsia="TimesNewRoman"/>
                <w:sz w:val="20"/>
                <w:szCs w:val="20"/>
              </w:rPr>
              <w:t>Angina pectoris</w:t>
            </w:r>
          </w:p>
          <w:p w:rsidR="00642DB8" w:rsidRPr="000649D6" w:rsidRDefault="004B247E" w:rsidP="004B247E">
            <w:pPr>
              <w:autoSpaceDE w:val="0"/>
              <w:autoSpaceDN w:val="0"/>
              <w:adjustRightInd w:val="0"/>
              <w:ind w:right="-360"/>
              <w:rPr>
                <w:rFonts w:eastAsia="TimesNewRoman"/>
                <w:sz w:val="20"/>
                <w:szCs w:val="20"/>
              </w:rPr>
            </w:pPr>
            <w:r w:rsidRPr="000649D6">
              <w:rPr>
                <w:rFonts w:eastAsia="TimesNewRoman"/>
                <w:sz w:val="20"/>
                <w:szCs w:val="20"/>
              </w:rPr>
              <w:t>T</w:t>
            </w:r>
            <w:r w:rsidR="00642DB8" w:rsidRPr="000649D6">
              <w:rPr>
                <w:rFonts w:eastAsia="TimesNewRoman"/>
                <w:sz w:val="20"/>
                <w:szCs w:val="20"/>
              </w:rPr>
              <w:t xml:space="preserve">achycardia </w:t>
            </w: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Rare</w:t>
            </w:r>
          </w:p>
        </w:tc>
      </w:tr>
      <w:tr w:rsidR="000649D6" w:rsidRPr="000649D6" w:rsidTr="00E1570D">
        <w:tc>
          <w:tcPr>
            <w:tcW w:w="3528" w:type="dxa"/>
          </w:tcPr>
          <w:p w:rsidR="00642DB8" w:rsidRPr="000649D6" w:rsidRDefault="00642DB8" w:rsidP="004E1040">
            <w:pPr>
              <w:autoSpaceDE w:val="0"/>
              <w:autoSpaceDN w:val="0"/>
              <w:adjustRightInd w:val="0"/>
              <w:rPr>
                <w:rFonts w:eastAsia="TimesNewRoman"/>
                <w:sz w:val="20"/>
                <w:szCs w:val="20"/>
              </w:rPr>
            </w:pPr>
            <w:r w:rsidRPr="000649D6">
              <w:rPr>
                <w:rFonts w:eastAsia="TimesNewRoman"/>
                <w:sz w:val="20"/>
                <w:szCs w:val="20"/>
              </w:rPr>
              <w:t xml:space="preserve">Vascular disorders </w:t>
            </w:r>
          </w:p>
        </w:tc>
        <w:tc>
          <w:tcPr>
            <w:tcW w:w="3960"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Hypertension</w:t>
            </w: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Rare</w:t>
            </w:r>
          </w:p>
        </w:tc>
      </w:tr>
      <w:tr w:rsidR="000649D6" w:rsidRPr="000649D6" w:rsidTr="00E1570D">
        <w:tc>
          <w:tcPr>
            <w:tcW w:w="3528" w:type="dxa"/>
            <w:vMerge w:val="restart"/>
          </w:tcPr>
          <w:p w:rsidR="00642DB8" w:rsidRPr="000649D6" w:rsidRDefault="00642DB8" w:rsidP="00553E08">
            <w:pPr>
              <w:autoSpaceDE w:val="0"/>
              <w:autoSpaceDN w:val="0"/>
              <w:adjustRightInd w:val="0"/>
              <w:rPr>
                <w:rFonts w:eastAsia="TimesNewRoman"/>
                <w:sz w:val="20"/>
                <w:szCs w:val="20"/>
              </w:rPr>
            </w:pPr>
            <w:r w:rsidRPr="000649D6">
              <w:rPr>
                <w:rFonts w:eastAsia="TimesNewRoman"/>
                <w:sz w:val="20"/>
                <w:szCs w:val="20"/>
              </w:rPr>
              <w:t xml:space="preserve">Respiratory, thoracic </w:t>
            </w:r>
            <w:r w:rsidR="00553E08" w:rsidRPr="000649D6">
              <w:rPr>
                <w:rFonts w:eastAsia="TimesNewRoman"/>
                <w:sz w:val="20"/>
                <w:szCs w:val="20"/>
              </w:rPr>
              <w:t xml:space="preserve">and </w:t>
            </w:r>
            <w:proofErr w:type="spellStart"/>
            <w:r w:rsidRPr="000649D6">
              <w:rPr>
                <w:rFonts w:eastAsia="TimesNewRoman"/>
                <w:sz w:val="20"/>
                <w:szCs w:val="20"/>
              </w:rPr>
              <w:t>mediastinal</w:t>
            </w:r>
            <w:proofErr w:type="spellEnd"/>
            <w:r w:rsidRPr="000649D6">
              <w:rPr>
                <w:rFonts w:eastAsia="TimesNewRoman"/>
                <w:sz w:val="20"/>
                <w:szCs w:val="20"/>
              </w:rPr>
              <w:t xml:space="preserve"> disorders</w:t>
            </w:r>
          </w:p>
        </w:tc>
        <w:tc>
          <w:tcPr>
            <w:tcW w:w="3960" w:type="dxa"/>
          </w:tcPr>
          <w:p w:rsidR="004B247E"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Exacerbation of asthma</w:t>
            </w:r>
          </w:p>
          <w:p w:rsidR="00E1570D" w:rsidRPr="000649D6" w:rsidRDefault="004B247E" w:rsidP="004E1040">
            <w:pPr>
              <w:autoSpaceDE w:val="0"/>
              <w:autoSpaceDN w:val="0"/>
              <w:adjustRightInd w:val="0"/>
              <w:ind w:right="-360"/>
              <w:rPr>
                <w:rFonts w:eastAsia="TimesNewRoman"/>
                <w:sz w:val="20"/>
                <w:szCs w:val="20"/>
              </w:rPr>
            </w:pPr>
            <w:r w:rsidRPr="000649D6">
              <w:rPr>
                <w:rFonts w:eastAsia="TimesNewRoman"/>
                <w:sz w:val="20"/>
                <w:szCs w:val="20"/>
              </w:rPr>
              <w:t>D</w:t>
            </w:r>
            <w:r w:rsidR="00642DB8" w:rsidRPr="000649D6">
              <w:rPr>
                <w:rFonts w:eastAsia="TimesNewRoman"/>
                <w:sz w:val="20"/>
                <w:szCs w:val="20"/>
              </w:rPr>
              <w:t xml:space="preserve">ysphonia </w:t>
            </w:r>
          </w:p>
          <w:p w:rsidR="00642DB8" w:rsidRPr="000649D6" w:rsidRDefault="004B247E" w:rsidP="004B247E">
            <w:pPr>
              <w:autoSpaceDE w:val="0"/>
              <w:autoSpaceDN w:val="0"/>
              <w:adjustRightInd w:val="0"/>
              <w:ind w:right="-360"/>
              <w:rPr>
                <w:rFonts w:eastAsia="TimesNewRoman"/>
                <w:sz w:val="20"/>
                <w:szCs w:val="20"/>
              </w:rPr>
            </w:pPr>
            <w:r w:rsidRPr="000649D6">
              <w:rPr>
                <w:rFonts w:eastAsia="TimesNewRoman"/>
                <w:sz w:val="20"/>
                <w:szCs w:val="20"/>
              </w:rPr>
              <w:t>T</w:t>
            </w:r>
            <w:r w:rsidR="00642DB8" w:rsidRPr="000649D6">
              <w:rPr>
                <w:rFonts w:eastAsia="TimesNewRoman"/>
                <w:sz w:val="20"/>
                <w:szCs w:val="20"/>
              </w:rPr>
              <w:t>hroat irritation</w:t>
            </w: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Uncommon</w:t>
            </w:r>
          </w:p>
        </w:tc>
      </w:tr>
      <w:tr w:rsidR="000649D6" w:rsidRPr="000649D6" w:rsidTr="00E1570D">
        <w:tc>
          <w:tcPr>
            <w:tcW w:w="3528" w:type="dxa"/>
            <w:vMerge/>
          </w:tcPr>
          <w:p w:rsidR="00642DB8" w:rsidRPr="000649D6" w:rsidRDefault="00642DB8" w:rsidP="004E1040">
            <w:pPr>
              <w:autoSpaceDE w:val="0"/>
              <w:autoSpaceDN w:val="0"/>
              <w:adjustRightInd w:val="0"/>
              <w:rPr>
                <w:rFonts w:eastAsia="TimesNewRoman"/>
                <w:sz w:val="20"/>
                <w:szCs w:val="20"/>
              </w:rPr>
            </w:pPr>
          </w:p>
        </w:tc>
        <w:tc>
          <w:tcPr>
            <w:tcW w:w="3960" w:type="dxa"/>
          </w:tcPr>
          <w:p w:rsidR="004B247E" w:rsidRPr="000649D6" w:rsidRDefault="00EF1B8E" w:rsidP="004B247E">
            <w:pPr>
              <w:autoSpaceDE w:val="0"/>
              <w:autoSpaceDN w:val="0"/>
              <w:adjustRightInd w:val="0"/>
              <w:ind w:right="-360"/>
              <w:rPr>
                <w:rFonts w:eastAsia="TimesNewRoman"/>
                <w:sz w:val="20"/>
                <w:szCs w:val="20"/>
              </w:rPr>
            </w:pPr>
            <w:r w:rsidRPr="000649D6">
              <w:rPr>
                <w:rFonts w:eastAsia="TimesNewRoman"/>
                <w:sz w:val="20"/>
                <w:szCs w:val="20"/>
              </w:rPr>
              <w:t>D</w:t>
            </w:r>
            <w:r w:rsidR="00642DB8" w:rsidRPr="000649D6">
              <w:rPr>
                <w:rFonts w:eastAsia="TimesNewRoman"/>
                <w:sz w:val="20"/>
                <w:szCs w:val="20"/>
              </w:rPr>
              <w:t>yspnoea</w:t>
            </w:r>
          </w:p>
          <w:p w:rsidR="00642DB8" w:rsidRPr="000649D6" w:rsidRDefault="004B247E" w:rsidP="004B247E">
            <w:pPr>
              <w:autoSpaceDE w:val="0"/>
              <w:autoSpaceDN w:val="0"/>
              <w:adjustRightInd w:val="0"/>
              <w:ind w:right="-360"/>
              <w:rPr>
                <w:rFonts w:eastAsia="TimesNewRoman"/>
                <w:sz w:val="20"/>
                <w:szCs w:val="20"/>
              </w:rPr>
            </w:pPr>
            <w:r w:rsidRPr="000649D6">
              <w:rPr>
                <w:rFonts w:eastAsia="TimesNewRoman"/>
                <w:sz w:val="20"/>
                <w:szCs w:val="20"/>
              </w:rPr>
              <w:t>C</w:t>
            </w:r>
            <w:r w:rsidR="00642DB8" w:rsidRPr="000649D6">
              <w:rPr>
                <w:rFonts w:eastAsia="TimesNewRoman"/>
                <w:sz w:val="20"/>
                <w:szCs w:val="20"/>
              </w:rPr>
              <w:t>ough</w:t>
            </w: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Rare</w:t>
            </w:r>
          </w:p>
        </w:tc>
      </w:tr>
      <w:tr w:rsidR="000649D6" w:rsidRPr="000649D6" w:rsidTr="00E1570D">
        <w:tc>
          <w:tcPr>
            <w:tcW w:w="3528" w:type="dxa"/>
            <w:vMerge w:val="restart"/>
          </w:tcPr>
          <w:p w:rsidR="00642DB8" w:rsidRPr="000649D6" w:rsidRDefault="00642DB8" w:rsidP="004E1040">
            <w:pPr>
              <w:autoSpaceDE w:val="0"/>
              <w:autoSpaceDN w:val="0"/>
              <w:adjustRightInd w:val="0"/>
              <w:rPr>
                <w:rFonts w:eastAsia="TimesNewRoman"/>
                <w:sz w:val="20"/>
                <w:szCs w:val="20"/>
              </w:rPr>
            </w:pPr>
            <w:r w:rsidRPr="000649D6">
              <w:rPr>
                <w:rFonts w:eastAsia="TimesNewRoman"/>
                <w:sz w:val="20"/>
                <w:szCs w:val="20"/>
              </w:rPr>
              <w:t xml:space="preserve">Gastrointestinal disorders </w:t>
            </w:r>
          </w:p>
        </w:tc>
        <w:tc>
          <w:tcPr>
            <w:tcW w:w="3960"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Dry mouth</w:t>
            </w: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Uncommon</w:t>
            </w:r>
          </w:p>
        </w:tc>
      </w:tr>
      <w:tr w:rsidR="000649D6" w:rsidRPr="000649D6" w:rsidTr="00E1570D">
        <w:tc>
          <w:tcPr>
            <w:tcW w:w="3528" w:type="dxa"/>
            <w:vMerge/>
          </w:tcPr>
          <w:p w:rsidR="00642DB8" w:rsidRPr="000649D6" w:rsidRDefault="00642DB8" w:rsidP="004E1040">
            <w:pPr>
              <w:autoSpaceDE w:val="0"/>
              <w:autoSpaceDN w:val="0"/>
              <w:adjustRightInd w:val="0"/>
              <w:rPr>
                <w:rFonts w:eastAsia="TimesNewRoman"/>
                <w:sz w:val="20"/>
                <w:szCs w:val="20"/>
              </w:rPr>
            </w:pPr>
          </w:p>
        </w:tc>
        <w:tc>
          <w:tcPr>
            <w:tcW w:w="3960" w:type="dxa"/>
          </w:tcPr>
          <w:p w:rsidR="004B247E" w:rsidRPr="000649D6" w:rsidRDefault="00642DB8" w:rsidP="004B247E">
            <w:pPr>
              <w:autoSpaceDE w:val="0"/>
              <w:autoSpaceDN w:val="0"/>
              <w:adjustRightInd w:val="0"/>
              <w:ind w:right="-360"/>
              <w:rPr>
                <w:rFonts w:eastAsia="TimesNewRoman"/>
                <w:sz w:val="20"/>
                <w:szCs w:val="20"/>
              </w:rPr>
            </w:pPr>
            <w:r w:rsidRPr="000649D6">
              <w:rPr>
                <w:rFonts w:eastAsia="TimesNewRoman"/>
                <w:sz w:val="20"/>
                <w:szCs w:val="20"/>
              </w:rPr>
              <w:t>Diarrhoea</w:t>
            </w:r>
          </w:p>
          <w:p w:rsidR="00642DB8" w:rsidRPr="000649D6" w:rsidRDefault="004B247E" w:rsidP="004B247E">
            <w:pPr>
              <w:autoSpaceDE w:val="0"/>
              <w:autoSpaceDN w:val="0"/>
              <w:adjustRightInd w:val="0"/>
              <w:ind w:right="-360"/>
              <w:rPr>
                <w:rFonts w:eastAsia="TimesNewRoman"/>
                <w:sz w:val="20"/>
                <w:szCs w:val="20"/>
              </w:rPr>
            </w:pPr>
            <w:r w:rsidRPr="000649D6">
              <w:rPr>
                <w:rFonts w:eastAsia="TimesNewRoman"/>
                <w:sz w:val="20"/>
                <w:szCs w:val="20"/>
              </w:rPr>
              <w:t>D</w:t>
            </w:r>
            <w:r w:rsidR="00642DB8" w:rsidRPr="000649D6">
              <w:rPr>
                <w:rFonts w:eastAsia="TimesNewRoman"/>
                <w:sz w:val="20"/>
                <w:szCs w:val="20"/>
              </w:rPr>
              <w:t>yspepsia</w:t>
            </w: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Rare</w:t>
            </w:r>
          </w:p>
        </w:tc>
      </w:tr>
      <w:tr w:rsidR="000649D6" w:rsidRPr="000649D6" w:rsidTr="00E96876">
        <w:trPr>
          <w:trHeight w:val="179"/>
        </w:trPr>
        <w:tc>
          <w:tcPr>
            <w:tcW w:w="3528" w:type="dxa"/>
          </w:tcPr>
          <w:p w:rsidR="00642DB8" w:rsidRPr="000649D6" w:rsidRDefault="00642DB8" w:rsidP="004E1040">
            <w:pPr>
              <w:autoSpaceDE w:val="0"/>
              <w:autoSpaceDN w:val="0"/>
              <w:adjustRightInd w:val="0"/>
              <w:rPr>
                <w:rFonts w:eastAsia="TimesNewRoman"/>
                <w:sz w:val="20"/>
                <w:szCs w:val="20"/>
              </w:rPr>
            </w:pPr>
            <w:r w:rsidRPr="000649D6">
              <w:rPr>
                <w:rFonts w:eastAsia="TimesNewRoman"/>
                <w:sz w:val="20"/>
                <w:szCs w:val="20"/>
              </w:rPr>
              <w:t>Skin and subcutaneous tissue disorders</w:t>
            </w:r>
          </w:p>
        </w:tc>
        <w:tc>
          <w:tcPr>
            <w:tcW w:w="3960"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Rash</w:t>
            </w: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Rare</w:t>
            </w:r>
          </w:p>
        </w:tc>
      </w:tr>
      <w:tr w:rsidR="000649D6" w:rsidRPr="000649D6" w:rsidTr="00E1570D">
        <w:tc>
          <w:tcPr>
            <w:tcW w:w="3528" w:type="dxa"/>
          </w:tcPr>
          <w:p w:rsidR="00642DB8" w:rsidRPr="000649D6" w:rsidRDefault="00642DB8" w:rsidP="004E1040">
            <w:pPr>
              <w:autoSpaceDE w:val="0"/>
              <w:autoSpaceDN w:val="0"/>
              <w:adjustRightInd w:val="0"/>
              <w:rPr>
                <w:rFonts w:eastAsia="TimesNewRoman"/>
                <w:sz w:val="20"/>
                <w:szCs w:val="20"/>
              </w:rPr>
            </w:pPr>
            <w:r w:rsidRPr="000649D6">
              <w:rPr>
                <w:rFonts w:eastAsia="TimesNewRoman"/>
                <w:sz w:val="20"/>
                <w:szCs w:val="20"/>
              </w:rPr>
              <w:t>Musculoskeletal connective tissue disorders</w:t>
            </w:r>
          </w:p>
        </w:tc>
        <w:tc>
          <w:tcPr>
            <w:tcW w:w="3960"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Muscle spasms</w:t>
            </w:r>
          </w:p>
          <w:p w:rsidR="00642DB8" w:rsidRPr="000649D6" w:rsidRDefault="00642DB8" w:rsidP="004E1040">
            <w:pPr>
              <w:autoSpaceDE w:val="0"/>
              <w:autoSpaceDN w:val="0"/>
              <w:adjustRightInd w:val="0"/>
              <w:ind w:right="-360"/>
              <w:rPr>
                <w:rFonts w:eastAsia="TimesNewRoman"/>
                <w:sz w:val="20"/>
                <w:szCs w:val="20"/>
              </w:rPr>
            </w:pPr>
          </w:p>
        </w:tc>
        <w:tc>
          <w:tcPr>
            <w:tcW w:w="1368" w:type="dxa"/>
          </w:tcPr>
          <w:p w:rsidR="00642DB8" w:rsidRPr="000649D6" w:rsidRDefault="00642DB8" w:rsidP="004E1040">
            <w:pPr>
              <w:autoSpaceDE w:val="0"/>
              <w:autoSpaceDN w:val="0"/>
              <w:adjustRightInd w:val="0"/>
              <w:ind w:right="-360"/>
              <w:rPr>
                <w:rFonts w:eastAsia="TimesNewRoman"/>
                <w:sz w:val="20"/>
                <w:szCs w:val="20"/>
              </w:rPr>
            </w:pPr>
            <w:r w:rsidRPr="000649D6">
              <w:rPr>
                <w:rFonts w:eastAsia="TimesNewRoman"/>
                <w:sz w:val="20"/>
                <w:szCs w:val="20"/>
              </w:rPr>
              <w:t>Rare</w:t>
            </w:r>
          </w:p>
        </w:tc>
      </w:tr>
      <w:tr w:rsidR="000649D6" w:rsidRPr="000649D6" w:rsidTr="00E1570D">
        <w:tc>
          <w:tcPr>
            <w:tcW w:w="3528" w:type="dxa"/>
            <w:vMerge w:val="restart"/>
          </w:tcPr>
          <w:p w:rsidR="00406EB8" w:rsidRPr="000649D6" w:rsidRDefault="00406EB8" w:rsidP="00553E08">
            <w:pPr>
              <w:autoSpaceDE w:val="0"/>
              <w:autoSpaceDN w:val="0"/>
              <w:adjustRightInd w:val="0"/>
              <w:rPr>
                <w:rFonts w:eastAsia="TimesNewRoman"/>
                <w:sz w:val="20"/>
                <w:szCs w:val="20"/>
              </w:rPr>
            </w:pPr>
            <w:r w:rsidRPr="000649D6">
              <w:rPr>
                <w:rFonts w:eastAsia="TimesNewRoman"/>
                <w:sz w:val="20"/>
                <w:szCs w:val="20"/>
              </w:rPr>
              <w:t>General and administration site disorders</w:t>
            </w:r>
          </w:p>
        </w:tc>
        <w:tc>
          <w:tcPr>
            <w:tcW w:w="3960" w:type="dxa"/>
          </w:tcPr>
          <w:p w:rsidR="00406EB8" w:rsidRPr="000649D6" w:rsidRDefault="00406EB8" w:rsidP="004E1040">
            <w:pPr>
              <w:autoSpaceDE w:val="0"/>
              <w:autoSpaceDN w:val="0"/>
              <w:adjustRightInd w:val="0"/>
              <w:ind w:right="-360"/>
              <w:rPr>
                <w:rFonts w:eastAsia="TimesNewRoman"/>
                <w:sz w:val="20"/>
                <w:szCs w:val="20"/>
              </w:rPr>
            </w:pPr>
            <w:r w:rsidRPr="000649D6">
              <w:rPr>
                <w:rFonts w:eastAsia="TimesNewRoman"/>
                <w:sz w:val="20"/>
                <w:szCs w:val="20"/>
              </w:rPr>
              <w:t>Peripheral oedema</w:t>
            </w:r>
          </w:p>
        </w:tc>
        <w:tc>
          <w:tcPr>
            <w:tcW w:w="1368" w:type="dxa"/>
          </w:tcPr>
          <w:p w:rsidR="00406EB8" w:rsidRPr="000649D6" w:rsidRDefault="00406EB8" w:rsidP="00EF1B8E">
            <w:pPr>
              <w:autoSpaceDE w:val="0"/>
              <w:autoSpaceDN w:val="0"/>
              <w:adjustRightInd w:val="0"/>
              <w:ind w:right="-360"/>
              <w:rPr>
                <w:rFonts w:eastAsia="TimesNewRoman"/>
                <w:sz w:val="20"/>
                <w:szCs w:val="20"/>
              </w:rPr>
            </w:pPr>
            <w:r w:rsidRPr="000649D6">
              <w:rPr>
                <w:rFonts w:eastAsia="TimesNewRoman"/>
                <w:sz w:val="20"/>
                <w:szCs w:val="20"/>
              </w:rPr>
              <w:t>Uncommon</w:t>
            </w:r>
          </w:p>
        </w:tc>
      </w:tr>
      <w:tr w:rsidR="000649D6" w:rsidRPr="000649D6" w:rsidTr="00E1570D">
        <w:tc>
          <w:tcPr>
            <w:tcW w:w="3528" w:type="dxa"/>
            <w:vMerge/>
          </w:tcPr>
          <w:p w:rsidR="00406EB8" w:rsidRPr="000649D6" w:rsidRDefault="00406EB8" w:rsidP="00553E08">
            <w:pPr>
              <w:autoSpaceDE w:val="0"/>
              <w:autoSpaceDN w:val="0"/>
              <w:adjustRightInd w:val="0"/>
              <w:rPr>
                <w:rFonts w:eastAsia="TimesNewRoman"/>
                <w:sz w:val="20"/>
                <w:szCs w:val="20"/>
              </w:rPr>
            </w:pPr>
          </w:p>
        </w:tc>
        <w:tc>
          <w:tcPr>
            <w:tcW w:w="3960" w:type="dxa"/>
          </w:tcPr>
          <w:p w:rsidR="00406EB8" w:rsidRPr="000649D6" w:rsidRDefault="00406EB8" w:rsidP="004E1040">
            <w:pPr>
              <w:autoSpaceDE w:val="0"/>
              <w:autoSpaceDN w:val="0"/>
              <w:adjustRightInd w:val="0"/>
              <w:ind w:right="-360"/>
              <w:rPr>
                <w:rFonts w:eastAsia="TimesNewRoman"/>
                <w:sz w:val="20"/>
                <w:szCs w:val="20"/>
              </w:rPr>
            </w:pPr>
            <w:r w:rsidRPr="000649D6">
              <w:rPr>
                <w:rFonts w:eastAsia="TimesNewRoman"/>
                <w:sz w:val="20"/>
                <w:szCs w:val="20"/>
              </w:rPr>
              <w:t>Asthenia</w:t>
            </w:r>
          </w:p>
        </w:tc>
        <w:tc>
          <w:tcPr>
            <w:tcW w:w="1368" w:type="dxa"/>
          </w:tcPr>
          <w:p w:rsidR="00406EB8" w:rsidRPr="000649D6" w:rsidRDefault="00406EB8" w:rsidP="00EF1B8E">
            <w:pPr>
              <w:autoSpaceDE w:val="0"/>
              <w:autoSpaceDN w:val="0"/>
              <w:adjustRightInd w:val="0"/>
              <w:ind w:right="-360"/>
              <w:rPr>
                <w:rFonts w:eastAsia="TimesNewRoman"/>
                <w:sz w:val="20"/>
                <w:szCs w:val="20"/>
              </w:rPr>
            </w:pPr>
            <w:r w:rsidRPr="000649D6">
              <w:rPr>
                <w:rFonts w:eastAsia="TimesNewRoman"/>
                <w:sz w:val="20"/>
                <w:szCs w:val="20"/>
              </w:rPr>
              <w:t>Rare</w:t>
            </w:r>
          </w:p>
        </w:tc>
      </w:tr>
    </w:tbl>
    <w:p w:rsidR="00642DB8" w:rsidRPr="001319C5" w:rsidRDefault="0099502F" w:rsidP="00381D65">
      <w:pPr>
        <w:autoSpaceDE w:val="0"/>
        <w:autoSpaceDN w:val="0"/>
        <w:adjustRightInd w:val="0"/>
        <w:ind w:right="-360"/>
        <w:jc w:val="both"/>
        <w:rPr>
          <w:rFonts w:eastAsia="TimesNewRoman"/>
          <w:color w:val="000000"/>
          <w:sz w:val="20"/>
          <w:szCs w:val="20"/>
        </w:rPr>
      </w:pPr>
      <w:r w:rsidRPr="001319C5">
        <w:rPr>
          <w:rFonts w:eastAsia="TimesNewRoman"/>
          <w:i/>
          <w:color w:val="000000"/>
          <w:sz w:val="20"/>
          <w:szCs w:val="20"/>
          <w:u w:val="single"/>
        </w:rPr>
        <w:t>Frequency</w:t>
      </w:r>
      <w:r w:rsidRPr="001319C5">
        <w:rPr>
          <w:rFonts w:eastAsia="TimesNewRoman"/>
          <w:color w:val="000000"/>
          <w:sz w:val="20"/>
          <w:szCs w:val="20"/>
        </w:rPr>
        <w:t>: very common (≥1/10); common (≥1/100 and &lt;1/10); uncommon (≥1/1,000 and &lt;1/100); rare (≥1/10,000 &lt; 1/1,000); very rare (&lt;1/10,000 including isolated reports)</w:t>
      </w:r>
      <w:r w:rsidR="00406EB8">
        <w:rPr>
          <w:rFonts w:eastAsia="TimesNewRoman"/>
          <w:color w:val="000000"/>
          <w:sz w:val="20"/>
          <w:szCs w:val="20"/>
        </w:rPr>
        <w:t>; not known (cannot be estimated from the available data)</w:t>
      </w:r>
      <w:r w:rsidRPr="001319C5">
        <w:rPr>
          <w:rFonts w:eastAsia="TimesNewRoman"/>
          <w:color w:val="000000"/>
          <w:sz w:val="20"/>
          <w:szCs w:val="20"/>
        </w:rPr>
        <w:t>.</w:t>
      </w:r>
    </w:p>
    <w:p w:rsidR="00EF1B8E" w:rsidRPr="000649D6" w:rsidRDefault="00EF1B8E" w:rsidP="00B761B2">
      <w:pPr>
        <w:autoSpaceDE w:val="0"/>
        <w:autoSpaceDN w:val="0"/>
        <w:adjustRightInd w:val="0"/>
        <w:spacing w:before="100" w:beforeAutospacing="1" w:after="100" w:afterAutospacing="1"/>
        <w:jc w:val="both"/>
        <w:rPr>
          <w:rFonts w:eastAsia="TimesNewRoman"/>
        </w:rPr>
      </w:pPr>
      <w:r w:rsidRPr="000649D6">
        <w:rPr>
          <w:rFonts w:eastAsia="TimesNewRoman"/>
        </w:rPr>
        <w:t xml:space="preserve">As with other inhalation therapy, paradoxical bronchospasm may occur with an immediate increase in wheezing and shortness of breath after dosing. Paradoxical bronchospasm responds to a rapid-acting inhaled bronchodilator and should be treated </w:t>
      </w:r>
      <w:r w:rsidR="00C854B5" w:rsidRPr="000649D6">
        <w:rPr>
          <w:rFonts w:eastAsia="TimesNewRoman"/>
        </w:rPr>
        <w:t>immediately</w:t>
      </w:r>
      <w:r w:rsidRPr="000649D6">
        <w:rPr>
          <w:rFonts w:eastAsia="TimesNewRoman"/>
        </w:rPr>
        <w:t xml:space="preserve">. </w:t>
      </w:r>
      <w:r w:rsidR="00C92931" w:rsidRPr="000649D6">
        <w:rPr>
          <w:rFonts w:eastAsia="TimesNewRoman"/>
        </w:rPr>
        <w:t>Inhalation therapy</w:t>
      </w:r>
      <w:r w:rsidRPr="000649D6">
        <w:rPr>
          <w:rFonts w:eastAsia="TimesNewRoman"/>
        </w:rPr>
        <w:t xml:space="preserve"> should be discontinued immediately, the patient assessed and alternative therapy instituted if necessary.</w:t>
      </w:r>
    </w:p>
    <w:p w:rsidR="00AF2FA2" w:rsidRPr="000649D6" w:rsidRDefault="00AF2FA2" w:rsidP="00B761B2">
      <w:pPr>
        <w:autoSpaceDE w:val="0"/>
        <w:autoSpaceDN w:val="0"/>
        <w:adjustRightInd w:val="0"/>
        <w:spacing w:before="100" w:beforeAutospacing="1" w:after="100" w:afterAutospacing="1"/>
        <w:ind w:right="-360"/>
        <w:jc w:val="both"/>
        <w:rPr>
          <w:bCs/>
        </w:rPr>
      </w:pPr>
      <w:r w:rsidRPr="003F3F57">
        <w:rPr>
          <w:bCs/>
        </w:rPr>
        <w:t xml:space="preserve">The common adverse </w:t>
      </w:r>
      <w:r w:rsidR="00274A9E" w:rsidRPr="003F3F57">
        <w:rPr>
          <w:bCs/>
        </w:rPr>
        <w:t>events</w:t>
      </w:r>
      <w:r w:rsidRPr="003F3F57">
        <w:rPr>
          <w:bCs/>
        </w:rPr>
        <w:t xml:space="preserve"> </w:t>
      </w:r>
      <w:r w:rsidR="008D73EB" w:rsidRPr="003F3F57">
        <w:rPr>
          <w:bCs/>
        </w:rPr>
        <w:t xml:space="preserve">reported for </w:t>
      </w:r>
      <w:r w:rsidR="004350CF" w:rsidRPr="003F3F57">
        <w:rPr>
          <w:rFonts w:eastAsia="TimesNewRoman"/>
          <w:sz w:val="20"/>
          <w:szCs w:val="20"/>
        </w:rPr>
        <w:t>≥</w:t>
      </w:r>
      <w:r w:rsidR="006E2112" w:rsidRPr="003F3F57">
        <w:rPr>
          <w:bCs/>
        </w:rPr>
        <w:t xml:space="preserve"> </w:t>
      </w:r>
      <w:r w:rsidR="008D73EB" w:rsidRPr="003F3F57">
        <w:rPr>
          <w:bCs/>
        </w:rPr>
        <w:t>1.0% of subjects in any treatment group</w:t>
      </w:r>
      <w:r w:rsidR="006E2112" w:rsidRPr="003F3F57">
        <w:rPr>
          <w:bCs/>
        </w:rPr>
        <w:t xml:space="preserve"> in</w:t>
      </w:r>
      <w:r w:rsidR="008D73EB" w:rsidRPr="003F3F57">
        <w:rPr>
          <w:bCs/>
        </w:rPr>
        <w:t xml:space="preserve"> the po</w:t>
      </w:r>
      <w:r w:rsidR="00757E16" w:rsidRPr="003F3F57">
        <w:rPr>
          <w:bCs/>
        </w:rPr>
        <w:t xml:space="preserve">oled </w:t>
      </w:r>
      <w:r w:rsidR="008D73EB" w:rsidRPr="003F3F57">
        <w:rPr>
          <w:bCs/>
        </w:rPr>
        <w:t xml:space="preserve">safety </w:t>
      </w:r>
      <w:r w:rsidR="00757E16" w:rsidRPr="003F3F57">
        <w:rPr>
          <w:bCs/>
        </w:rPr>
        <w:t xml:space="preserve">analysis </w:t>
      </w:r>
      <w:r w:rsidR="008D73EB" w:rsidRPr="003F3F57">
        <w:rPr>
          <w:bCs/>
        </w:rPr>
        <w:t>are presented</w:t>
      </w:r>
      <w:r w:rsidR="008174EE" w:rsidRPr="003F3F57">
        <w:rPr>
          <w:bCs/>
        </w:rPr>
        <w:t xml:space="preserve"> </w:t>
      </w:r>
      <w:r w:rsidR="00274A9E" w:rsidRPr="003F3F57">
        <w:rPr>
          <w:bCs/>
        </w:rPr>
        <w:t xml:space="preserve">in Table 2 </w:t>
      </w:r>
      <w:r w:rsidR="008174EE" w:rsidRPr="003F3F57">
        <w:rPr>
          <w:bCs/>
        </w:rPr>
        <w:t>below</w:t>
      </w:r>
      <w:r w:rsidR="008D73EB" w:rsidRPr="003F3F57">
        <w:rPr>
          <w:bCs/>
        </w:rPr>
        <w:t xml:space="preserve">.  The adverse </w:t>
      </w:r>
      <w:r w:rsidR="00274A9E" w:rsidRPr="003F3F57">
        <w:rPr>
          <w:bCs/>
        </w:rPr>
        <w:t>event</w:t>
      </w:r>
      <w:r w:rsidR="008D73EB" w:rsidRPr="003F3F57">
        <w:rPr>
          <w:bCs/>
        </w:rPr>
        <w:t xml:space="preserve"> profile was generally comparable amongst all the treatment groups, </w:t>
      </w:r>
      <w:r w:rsidR="00904D97" w:rsidRPr="003F3F57">
        <w:rPr>
          <w:bCs/>
        </w:rPr>
        <w:t>but</w:t>
      </w:r>
      <w:r w:rsidR="008D73EB" w:rsidRPr="003F3F57">
        <w:rPr>
          <w:bCs/>
        </w:rPr>
        <w:t xml:space="preserve"> the longer exposure time in the </w:t>
      </w:r>
      <w:r w:rsidR="0090349E" w:rsidRPr="003F3F57">
        <w:rPr>
          <w:bCs/>
        </w:rPr>
        <w:t>FLUTIFORM</w:t>
      </w:r>
      <w:r w:rsidR="003D6633" w:rsidRPr="003F3F57">
        <w:rPr>
          <w:bCs/>
          <w:vertAlign w:val="superscript"/>
        </w:rPr>
        <w:t>®</w:t>
      </w:r>
      <w:r w:rsidR="008D73EB" w:rsidRPr="003F3F57">
        <w:rPr>
          <w:bCs/>
        </w:rPr>
        <w:t xml:space="preserve"> </w:t>
      </w:r>
      <w:r w:rsidR="00C854B5" w:rsidRPr="003F3F57">
        <w:rPr>
          <w:bCs/>
        </w:rPr>
        <w:t xml:space="preserve">inhaler </w:t>
      </w:r>
      <w:r w:rsidR="008D73EB" w:rsidRPr="003F3F57">
        <w:rPr>
          <w:bCs/>
        </w:rPr>
        <w:t xml:space="preserve">group </w:t>
      </w:r>
      <w:r w:rsidR="009539C2" w:rsidRPr="003F3F57">
        <w:rPr>
          <w:bCs/>
        </w:rPr>
        <w:t xml:space="preserve">compared with other </w:t>
      </w:r>
      <w:r w:rsidR="00904D97" w:rsidRPr="003F3F57">
        <w:rPr>
          <w:bCs/>
        </w:rPr>
        <w:t>comparator g</w:t>
      </w:r>
      <w:r w:rsidR="009539C2" w:rsidRPr="003F3F57">
        <w:rPr>
          <w:bCs/>
        </w:rPr>
        <w:t xml:space="preserve">roups </w:t>
      </w:r>
      <w:r w:rsidR="006E2112" w:rsidRPr="003F3F57">
        <w:rPr>
          <w:bCs/>
        </w:rPr>
        <w:t>c</w:t>
      </w:r>
      <w:r w:rsidR="006E2112" w:rsidRPr="000649D6">
        <w:rPr>
          <w:bCs/>
        </w:rPr>
        <w:t>ould be expected to</w:t>
      </w:r>
      <w:r w:rsidR="008D73EB" w:rsidRPr="000649D6">
        <w:rPr>
          <w:bCs/>
        </w:rPr>
        <w:t xml:space="preserve"> influence the rates.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090"/>
        <w:gridCol w:w="1244"/>
        <w:gridCol w:w="1244"/>
        <w:gridCol w:w="1100"/>
        <w:gridCol w:w="1134"/>
        <w:gridCol w:w="1134"/>
      </w:tblGrid>
      <w:tr w:rsidR="00E7783B" w:rsidRPr="00332436" w:rsidTr="002C3E27">
        <w:tc>
          <w:tcPr>
            <w:tcW w:w="9464" w:type="dxa"/>
            <w:gridSpan w:val="7"/>
            <w:shd w:val="clear" w:color="auto" w:fill="auto"/>
          </w:tcPr>
          <w:p w:rsidR="00E7783B" w:rsidRPr="007B52AF" w:rsidRDefault="00E7783B" w:rsidP="002C3E27">
            <w:pPr>
              <w:autoSpaceDE w:val="0"/>
              <w:autoSpaceDN w:val="0"/>
              <w:adjustRightInd w:val="0"/>
              <w:rPr>
                <w:b/>
                <w:bCs/>
                <w:sz w:val="20"/>
                <w:szCs w:val="20"/>
              </w:rPr>
            </w:pPr>
            <w:r>
              <w:rPr>
                <w:b/>
                <w:bCs/>
                <w:sz w:val="20"/>
                <w:szCs w:val="20"/>
              </w:rPr>
              <w:t>Table 2: Pooled safety data (</w:t>
            </w:r>
            <w:r w:rsidR="00533FDD">
              <w:rPr>
                <w:b/>
                <w:bCs/>
                <w:sz w:val="20"/>
                <w:szCs w:val="20"/>
              </w:rPr>
              <w:t>8</w:t>
            </w:r>
            <w:r>
              <w:rPr>
                <w:b/>
                <w:bCs/>
                <w:sz w:val="20"/>
                <w:szCs w:val="20"/>
              </w:rPr>
              <w:t xml:space="preserve"> Phase 3 studies) adverse </w:t>
            </w:r>
            <w:r w:rsidR="00274A9E">
              <w:rPr>
                <w:b/>
                <w:bCs/>
                <w:sz w:val="20"/>
                <w:szCs w:val="20"/>
              </w:rPr>
              <w:t>events</w:t>
            </w:r>
            <w:r>
              <w:rPr>
                <w:b/>
                <w:bCs/>
                <w:sz w:val="20"/>
                <w:szCs w:val="20"/>
              </w:rPr>
              <w:t xml:space="preserve"> for </w:t>
            </w:r>
            <w:r w:rsidR="004350CF" w:rsidRPr="001319C5">
              <w:rPr>
                <w:rFonts w:eastAsia="TimesNewRoman"/>
                <w:color w:val="000000"/>
                <w:sz w:val="20"/>
                <w:szCs w:val="20"/>
              </w:rPr>
              <w:t>≥</w:t>
            </w:r>
            <w:r>
              <w:rPr>
                <w:b/>
                <w:bCs/>
                <w:sz w:val="20"/>
                <w:szCs w:val="20"/>
              </w:rPr>
              <w:t>1.0% of subjects in any treatment group</w:t>
            </w:r>
          </w:p>
        </w:tc>
      </w:tr>
      <w:tr w:rsidR="00E7783B" w:rsidRPr="00332436" w:rsidTr="002C3E27">
        <w:tc>
          <w:tcPr>
            <w:tcW w:w="2518" w:type="dxa"/>
            <w:shd w:val="clear" w:color="auto" w:fill="auto"/>
          </w:tcPr>
          <w:p w:rsidR="00E7783B" w:rsidRPr="00AE2C90" w:rsidRDefault="00E7783B" w:rsidP="00E7783B">
            <w:pPr>
              <w:autoSpaceDE w:val="0"/>
              <w:autoSpaceDN w:val="0"/>
              <w:adjustRightInd w:val="0"/>
              <w:rPr>
                <w:b/>
                <w:bCs/>
                <w:sz w:val="20"/>
                <w:szCs w:val="20"/>
              </w:rPr>
            </w:pPr>
            <w:r w:rsidRPr="00AE2C90">
              <w:rPr>
                <w:b/>
                <w:bCs/>
                <w:sz w:val="20"/>
                <w:szCs w:val="20"/>
              </w:rPr>
              <w:t>System Organ Class</w:t>
            </w:r>
          </w:p>
          <w:p w:rsidR="00E7783B" w:rsidRPr="00AE2C90" w:rsidRDefault="00E7783B" w:rsidP="00E7783B">
            <w:pPr>
              <w:autoSpaceDE w:val="0"/>
              <w:autoSpaceDN w:val="0"/>
              <w:adjustRightInd w:val="0"/>
              <w:rPr>
                <w:b/>
                <w:bCs/>
                <w:sz w:val="20"/>
                <w:szCs w:val="20"/>
              </w:rPr>
            </w:pPr>
            <w:r w:rsidRPr="00AE2C90">
              <w:rPr>
                <w:sz w:val="20"/>
                <w:szCs w:val="20"/>
              </w:rPr>
              <w:t xml:space="preserve">  Preferred Term</w:t>
            </w:r>
          </w:p>
        </w:tc>
        <w:tc>
          <w:tcPr>
            <w:tcW w:w="1090"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FLT</w:t>
            </w:r>
          </w:p>
          <w:p w:rsidR="00E7783B" w:rsidRPr="00AE2C90" w:rsidRDefault="00E7783B" w:rsidP="00E7783B">
            <w:pPr>
              <w:autoSpaceDE w:val="0"/>
              <w:autoSpaceDN w:val="0"/>
              <w:adjustRightInd w:val="0"/>
              <w:jc w:val="center"/>
              <w:rPr>
                <w:b/>
                <w:bCs/>
                <w:sz w:val="20"/>
                <w:szCs w:val="20"/>
              </w:rPr>
            </w:pPr>
            <w:r w:rsidRPr="00AE2C90">
              <w:rPr>
                <w:b/>
                <w:bCs/>
                <w:sz w:val="20"/>
                <w:szCs w:val="20"/>
              </w:rPr>
              <w:t>N = 1</w:t>
            </w:r>
            <w:r w:rsidR="00D83A78">
              <w:rPr>
                <w:b/>
                <w:bCs/>
                <w:sz w:val="20"/>
                <w:szCs w:val="20"/>
              </w:rPr>
              <w:t>746</w:t>
            </w:r>
          </w:p>
          <w:p w:rsidR="00E7783B" w:rsidRPr="00AE2C90" w:rsidRDefault="00E7783B" w:rsidP="00E7783B">
            <w:pPr>
              <w:autoSpaceDE w:val="0"/>
              <w:autoSpaceDN w:val="0"/>
              <w:adjustRightInd w:val="0"/>
              <w:jc w:val="center"/>
              <w:rPr>
                <w:b/>
                <w:bCs/>
                <w:sz w:val="20"/>
                <w:szCs w:val="20"/>
              </w:rPr>
            </w:pPr>
            <w:proofErr w:type="gramStart"/>
            <w:r w:rsidRPr="00AE2C90">
              <w:rPr>
                <w:bCs/>
                <w:sz w:val="20"/>
                <w:szCs w:val="20"/>
              </w:rPr>
              <w:t>n</w:t>
            </w:r>
            <w:proofErr w:type="gramEnd"/>
            <w:r w:rsidRPr="00AE2C90">
              <w:rPr>
                <w:bCs/>
                <w:sz w:val="20"/>
                <w:szCs w:val="20"/>
              </w:rPr>
              <w:t xml:space="preserve"> (%)</w:t>
            </w:r>
          </w:p>
        </w:tc>
        <w:tc>
          <w:tcPr>
            <w:tcW w:w="124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FP + FF</w:t>
            </w:r>
          </w:p>
          <w:p w:rsidR="00E7783B" w:rsidRPr="00AE2C90" w:rsidRDefault="00E7783B" w:rsidP="00E7783B">
            <w:pPr>
              <w:autoSpaceDE w:val="0"/>
              <w:autoSpaceDN w:val="0"/>
              <w:adjustRightInd w:val="0"/>
              <w:jc w:val="center"/>
              <w:rPr>
                <w:b/>
                <w:bCs/>
                <w:sz w:val="20"/>
                <w:szCs w:val="20"/>
              </w:rPr>
            </w:pPr>
            <w:r w:rsidRPr="00AE2C90">
              <w:rPr>
                <w:b/>
                <w:bCs/>
                <w:sz w:val="20"/>
                <w:szCs w:val="20"/>
              </w:rPr>
              <w:t>N = 345</w:t>
            </w:r>
          </w:p>
          <w:p w:rsidR="00E7783B" w:rsidRPr="00AE2C90" w:rsidRDefault="00E7783B" w:rsidP="00E7783B">
            <w:pPr>
              <w:autoSpaceDE w:val="0"/>
              <w:autoSpaceDN w:val="0"/>
              <w:adjustRightInd w:val="0"/>
              <w:jc w:val="center"/>
              <w:rPr>
                <w:bCs/>
                <w:sz w:val="20"/>
                <w:szCs w:val="20"/>
              </w:rPr>
            </w:pPr>
            <w:proofErr w:type="gramStart"/>
            <w:r w:rsidRPr="00AE2C90">
              <w:rPr>
                <w:bCs/>
                <w:sz w:val="20"/>
                <w:szCs w:val="20"/>
              </w:rPr>
              <w:t>n</w:t>
            </w:r>
            <w:proofErr w:type="gramEnd"/>
            <w:r w:rsidRPr="00AE2C90">
              <w:rPr>
                <w:bCs/>
                <w:sz w:val="20"/>
                <w:szCs w:val="20"/>
              </w:rPr>
              <w:t xml:space="preserve"> (%)</w:t>
            </w:r>
          </w:p>
        </w:tc>
        <w:tc>
          <w:tcPr>
            <w:tcW w:w="124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SER</w:t>
            </w:r>
          </w:p>
          <w:p w:rsidR="00E7783B" w:rsidRPr="00AE2C90" w:rsidRDefault="00E7783B" w:rsidP="00E7783B">
            <w:pPr>
              <w:autoSpaceDE w:val="0"/>
              <w:autoSpaceDN w:val="0"/>
              <w:adjustRightInd w:val="0"/>
              <w:jc w:val="center"/>
              <w:rPr>
                <w:b/>
                <w:bCs/>
                <w:sz w:val="20"/>
                <w:szCs w:val="20"/>
              </w:rPr>
            </w:pPr>
            <w:r w:rsidRPr="00AE2C90">
              <w:rPr>
                <w:b/>
                <w:bCs/>
                <w:sz w:val="20"/>
                <w:szCs w:val="20"/>
              </w:rPr>
              <w:t>N = 100</w:t>
            </w:r>
          </w:p>
          <w:p w:rsidR="00E7783B" w:rsidRPr="00AE2C90" w:rsidRDefault="00E7783B" w:rsidP="00E7783B">
            <w:pPr>
              <w:autoSpaceDE w:val="0"/>
              <w:autoSpaceDN w:val="0"/>
              <w:adjustRightInd w:val="0"/>
              <w:jc w:val="center"/>
              <w:rPr>
                <w:bCs/>
                <w:sz w:val="20"/>
                <w:szCs w:val="20"/>
              </w:rPr>
            </w:pPr>
            <w:proofErr w:type="gramStart"/>
            <w:r w:rsidRPr="00AE2C90">
              <w:rPr>
                <w:bCs/>
                <w:sz w:val="20"/>
                <w:szCs w:val="20"/>
              </w:rPr>
              <w:t>n</w:t>
            </w:r>
            <w:proofErr w:type="gramEnd"/>
            <w:r w:rsidRPr="00AE2C90">
              <w:rPr>
                <w:bCs/>
                <w:sz w:val="20"/>
                <w:szCs w:val="20"/>
              </w:rPr>
              <w:t xml:space="preserve"> (%)</w:t>
            </w:r>
          </w:p>
        </w:tc>
        <w:tc>
          <w:tcPr>
            <w:tcW w:w="1100"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FP</w:t>
            </w:r>
          </w:p>
          <w:p w:rsidR="00E7783B" w:rsidRPr="00AE2C90" w:rsidRDefault="00D83A78" w:rsidP="00E7783B">
            <w:pPr>
              <w:autoSpaceDE w:val="0"/>
              <w:autoSpaceDN w:val="0"/>
              <w:adjustRightInd w:val="0"/>
              <w:jc w:val="center"/>
              <w:rPr>
                <w:b/>
                <w:bCs/>
                <w:sz w:val="20"/>
                <w:szCs w:val="20"/>
              </w:rPr>
            </w:pPr>
            <w:r>
              <w:rPr>
                <w:b/>
                <w:bCs/>
                <w:sz w:val="20"/>
                <w:szCs w:val="20"/>
              </w:rPr>
              <w:t>N = 995</w:t>
            </w:r>
          </w:p>
          <w:p w:rsidR="00E7783B" w:rsidRPr="00AE2C90" w:rsidRDefault="00E7783B" w:rsidP="00E7783B">
            <w:pPr>
              <w:autoSpaceDE w:val="0"/>
              <w:autoSpaceDN w:val="0"/>
              <w:adjustRightInd w:val="0"/>
              <w:jc w:val="center"/>
              <w:rPr>
                <w:bCs/>
                <w:sz w:val="20"/>
                <w:szCs w:val="20"/>
              </w:rPr>
            </w:pPr>
            <w:proofErr w:type="gramStart"/>
            <w:r w:rsidRPr="00AE2C90">
              <w:rPr>
                <w:bCs/>
                <w:sz w:val="20"/>
                <w:szCs w:val="20"/>
              </w:rPr>
              <w:t>n</w:t>
            </w:r>
            <w:proofErr w:type="gramEnd"/>
            <w:r w:rsidRPr="00AE2C90">
              <w:rPr>
                <w:bCs/>
                <w:sz w:val="20"/>
                <w:szCs w:val="20"/>
              </w:rPr>
              <w:t xml:space="preserve"> (%)</w:t>
            </w:r>
          </w:p>
        </w:tc>
        <w:tc>
          <w:tcPr>
            <w:tcW w:w="113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FF</w:t>
            </w:r>
          </w:p>
          <w:p w:rsidR="00E7783B" w:rsidRPr="00AE2C90" w:rsidRDefault="00E7783B" w:rsidP="00E7783B">
            <w:pPr>
              <w:autoSpaceDE w:val="0"/>
              <w:autoSpaceDN w:val="0"/>
              <w:adjustRightInd w:val="0"/>
              <w:jc w:val="center"/>
              <w:rPr>
                <w:b/>
                <w:bCs/>
                <w:sz w:val="20"/>
                <w:szCs w:val="20"/>
              </w:rPr>
            </w:pPr>
            <w:r w:rsidRPr="00AE2C90">
              <w:rPr>
                <w:b/>
                <w:bCs/>
                <w:sz w:val="20"/>
                <w:szCs w:val="20"/>
              </w:rPr>
              <w:t>N = 349</w:t>
            </w:r>
          </w:p>
          <w:p w:rsidR="00E7783B" w:rsidRPr="00AE2C90" w:rsidRDefault="00E7783B" w:rsidP="00E7783B">
            <w:pPr>
              <w:autoSpaceDE w:val="0"/>
              <w:autoSpaceDN w:val="0"/>
              <w:adjustRightInd w:val="0"/>
              <w:jc w:val="center"/>
              <w:rPr>
                <w:bCs/>
                <w:sz w:val="20"/>
                <w:szCs w:val="20"/>
              </w:rPr>
            </w:pPr>
            <w:proofErr w:type="gramStart"/>
            <w:r w:rsidRPr="00AE2C90">
              <w:rPr>
                <w:bCs/>
                <w:sz w:val="20"/>
                <w:szCs w:val="20"/>
              </w:rPr>
              <w:t>n</w:t>
            </w:r>
            <w:proofErr w:type="gramEnd"/>
            <w:r w:rsidRPr="00AE2C90">
              <w:rPr>
                <w:bCs/>
                <w:sz w:val="20"/>
                <w:szCs w:val="20"/>
              </w:rPr>
              <w:t xml:space="preserve"> (%)</w:t>
            </w:r>
          </w:p>
        </w:tc>
        <w:tc>
          <w:tcPr>
            <w:tcW w:w="113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PB</w:t>
            </w:r>
            <w:r w:rsidR="00533FDD">
              <w:rPr>
                <w:b/>
                <w:bCs/>
                <w:sz w:val="20"/>
                <w:szCs w:val="20"/>
              </w:rPr>
              <w:t>O</w:t>
            </w:r>
          </w:p>
          <w:p w:rsidR="00E7783B" w:rsidRPr="00AE2C90" w:rsidRDefault="00E7783B" w:rsidP="00E7783B">
            <w:pPr>
              <w:autoSpaceDE w:val="0"/>
              <w:autoSpaceDN w:val="0"/>
              <w:adjustRightInd w:val="0"/>
              <w:jc w:val="center"/>
              <w:rPr>
                <w:b/>
                <w:bCs/>
                <w:sz w:val="20"/>
                <w:szCs w:val="20"/>
              </w:rPr>
            </w:pPr>
            <w:r w:rsidRPr="00AE2C90">
              <w:rPr>
                <w:b/>
                <w:bCs/>
                <w:sz w:val="20"/>
                <w:szCs w:val="20"/>
              </w:rPr>
              <w:t>N = 223</w:t>
            </w:r>
          </w:p>
          <w:p w:rsidR="00E7783B" w:rsidRPr="00AE2C90" w:rsidRDefault="00E7783B" w:rsidP="00E7783B">
            <w:pPr>
              <w:autoSpaceDE w:val="0"/>
              <w:autoSpaceDN w:val="0"/>
              <w:adjustRightInd w:val="0"/>
              <w:jc w:val="center"/>
              <w:rPr>
                <w:b/>
                <w:bCs/>
                <w:sz w:val="20"/>
                <w:szCs w:val="20"/>
              </w:rPr>
            </w:pPr>
            <w:proofErr w:type="gramStart"/>
            <w:r w:rsidRPr="00AE2C90">
              <w:rPr>
                <w:bCs/>
                <w:sz w:val="20"/>
                <w:szCs w:val="20"/>
              </w:rPr>
              <w:t>n</w:t>
            </w:r>
            <w:proofErr w:type="gramEnd"/>
            <w:r w:rsidRPr="00AE2C90">
              <w:rPr>
                <w:bCs/>
                <w:sz w:val="20"/>
                <w:szCs w:val="20"/>
              </w:rPr>
              <w:t xml:space="preserve"> (%)</w:t>
            </w:r>
          </w:p>
        </w:tc>
      </w:tr>
      <w:tr w:rsidR="00E7783B" w:rsidRPr="00332436" w:rsidTr="002C3E27">
        <w:tc>
          <w:tcPr>
            <w:tcW w:w="2518" w:type="dxa"/>
            <w:shd w:val="clear" w:color="auto" w:fill="auto"/>
          </w:tcPr>
          <w:p w:rsidR="00E7783B" w:rsidRPr="00AE2C90" w:rsidRDefault="00E7783B" w:rsidP="00E7783B">
            <w:pPr>
              <w:autoSpaceDE w:val="0"/>
              <w:autoSpaceDN w:val="0"/>
              <w:adjustRightInd w:val="0"/>
              <w:rPr>
                <w:sz w:val="20"/>
                <w:szCs w:val="20"/>
              </w:rPr>
            </w:pPr>
            <w:r w:rsidRPr="00AE2C90">
              <w:rPr>
                <w:sz w:val="20"/>
                <w:szCs w:val="20"/>
              </w:rPr>
              <w:t>Sub</w:t>
            </w:r>
            <w:r w:rsidR="00D83A78">
              <w:rPr>
                <w:sz w:val="20"/>
                <w:szCs w:val="20"/>
              </w:rPr>
              <w:t>jects with any adverse reaction</w:t>
            </w:r>
            <w:r w:rsidRPr="00AE2C90">
              <w:rPr>
                <w:sz w:val="20"/>
                <w:szCs w:val="20"/>
              </w:rPr>
              <w:t xml:space="preserve">   </w:t>
            </w:r>
          </w:p>
        </w:tc>
        <w:tc>
          <w:tcPr>
            <w:tcW w:w="1090" w:type="dxa"/>
            <w:shd w:val="clear" w:color="auto" w:fill="auto"/>
          </w:tcPr>
          <w:p w:rsidR="00E7783B" w:rsidRPr="00AE2C90" w:rsidRDefault="00D83A78" w:rsidP="00D83A78">
            <w:pPr>
              <w:autoSpaceDE w:val="0"/>
              <w:autoSpaceDN w:val="0"/>
              <w:adjustRightInd w:val="0"/>
              <w:jc w:val="center"/>
              <w:rPr>
                <w:bCs/>
                <w:sz w:val="20"/>
                <w:szCs w:val="20"/>
              </w:rPr>
            </w:pPr>
            <w:r>
              <w:rPr>
                <w:sz w:val="20"/>
                <w:szCs w:val="20"/>
              </w:rPr>
              <w:t>545</w:t>
            </w:r>
            <w:r w:rsidR="00E7783B" w:rsidRPr="00AE2C90">
              <w:rPr>
                <w:sz w:val="20"/>
                <w:szCs w:val="20"/>
              </w:rPr>
              <w:t xml:space="preserve"> (31.</w:t>
            </w:r>
            <w:r>
              <w:rPr>
                <w:sz w:val="20"/>
                <w:szCs w:val="20"/>
              </w:rPr>
              <w:t>2</w:t>
            </w:r>
            <w:r w:rsidR="00E7783B" w:rsidRPr="00AE2C90">
              <w:rPr>
                <w:sz w:val="20"/>
                <w:szCs w:val="20"/>
              </w:rPr>
              <w:t>)</w:t>
            </w:r>
          </w:p>
        </w:tc>
        <w:tc>
          <w:tcPr>
            <w:tcW w:w="1244" w:type="dxa"/>
            <w:shd w:val="clear" w:color="auto" w:fill="auto"/>
          </w:tcPr>
          <w:p w:rsidR="00E7783B" w:rsidRPr="00AE2C90" w:rsidRDefault="00E7783B" w:rsidP="00E7783B">
            <w:pPr>
              <w:autoSpaceDE w:val="0"/>
              <w:autoSpaceDN w:val="0"/>
              <w:adjustRightInd w:val="0"/>
              <w:jc w:val="center"/>
              <w:rPr>
                <w:bCs/>
                <w:sz w:val="20"/>
                <w:szCs w:val="20"/>
              </w:rPr>
            </w:pPr>
            <w:r w:rsidRPr="00AE2C90">
              <w:rPr>
                <w:sz w:val="20"/>
                <w:szCs w:val="20"/>
              </w:rPr>
              <w:t>88 (25.5)</w:t>
            </w:r>
          </w:p>
        </w:tc>
        <w:tc>
          <w:tcPr>
            <w:tcW w:w="1244" w:type="dxa"/>
            <w:shd w:val="clear" w:color="auto" w:fill="auto"/>
          </w:tcPr>
          <w:p w:rsidR="00E7783B" w:rsidRPr="00AE2C90" w:rsidRDefault="00E7783B" w:rsidP="00E7783B">
            <w:pPr>
              <w:autoSpaceDE w:val="0"/>
              <w:autoSpaceDN w:val="0"/>
              <w:adjustRightInd w:val="0"/>
              <w:jc w:val="center"/>
              <w:rPr>
                <w:bCs/>
                <w:sz w:val="20"/>
                <w:szCs w:val="20"/>
              </w:rPr>
            </w:pPr>
            <w:r w:rsidRPr="00AE2C90">
              <w:rPr>
                <w:sz w:val="20"/>
                <w:szCs w:val="20"/>
              </w:rPr>
              <w:t>24 (24.0)</w:t>
            </w:r>
          </w:p>
        </w:tc>
        <w:tc>
          <w:tcPr>
            <w:tcW w:w="1100" w:type="dxa"/>
            <w:shd w:val="clear" w:color="auto" w:fill="auto"/>
          </w:tcPr>
          <w:p w:rsidR="00E7783B" w:rsidRPr="00AE2C90" w:rsidRDefault="00D83A78" w:rsidP="00D83A78">
            <w:pPr>
              <w:autoSpaceDE w:val="0"/>
              <w:autoSpaceDN w:val="0"/>
              <w:adjustRightInd w:val="0"/>
              <w:jc w:val="center"/>
              <w:rPr>
                <w:bCs/>
                <w:sz w:val="20"/>
                <w:szCs w:val="20"/>
              </w:rPr>
            </w:pPr>
            <w:r>
              <w:rPr>
                <w:sz w:val="20"/>
                <w:szCs w:val="20"/>
              </w:rPr>
              <w:t>351 (35</w:t>
            </w:r>
            <w:r w:rsidR="00E7783B" w:rsidRPr="00AE2C90">
              <w:rPr>
                <w:sz w:val="20"/>
                <w:szCs w:val="20"/>
              </w:rPr>
              <w:t>.</w:t>
            </w:r>
            <w:r>
              <w:rPr>
                <w:sz w:val="20"/>
                <w:szCs w:val="20"/>
              </w:rPr>
              <w:t>3</w:t>
            </w:r>
            <w:r w:rsidR="00E7783B" w:rsidRPr="00AE2C90">
              <w:rPr>
                <w:sz w:val="20"/>
                <w:szCs w:val="20"/>
              </w:rPr>
              <w:t>)</w:t>
            </w:r>
          </w:p>
        </w:tc>
        <w:tc>
          <w:tcPr>
            <w:tcW w:w="1134" w:type="dxa"/>
            <w:shd w:val="clear" w:color="auto" w:fill="auto"/>
          </w:tcPr>
          <w:p w:rsidR="00E7783B" w:rsidRPr="00AE2C90" w:rsidRDefault="00E7783B" w:rsidP="00E7783B">
            <w:pPr>
              <w:autoSpaceDE w:val="0"/>
              <w:autoSpaceDN w:val="0"/>
              <w:adjustRightInd w:val="0"/>
              <w:jc w:val="center"/>
              <w:rPr>
                <w:bCs/>
                <w:sz w:val="20"/>
                <w:szCs w:val="20"/>
              </w:rPr>
            </w:pPr>
            <w:r w:rsidRPr="00AE2C90">
              <w:rPr>
                <w:sz w:val="20"/>
                <w:szCs w:val="20"/>
              </w:rPr>
              <w:t>144 (41.3)</w:t>
            </w:r>
          </w:p>
        </w:tc>
        <w:tc>
          <w:tcPr>
            <w:tcW w:w="1134" w:type="dxa"/>
            <w:shd w:val="clear" w:color="auto" w:fill="auto"/>
          </w:tcPr>
          <w:p w:rsidR="00E7783B" w:rsidRPr="00AE2C90" w:rsidRDefault="00E7783B" w:rsidP="00E7783B">
            <w:pPr>
              <w:autoSpaceDE w:val="0"/>
              <w:autoSpaceDN w:val="0"/>
              <w:adjustRightInd w:val="0"/>
              <w:jc w:val="center"/>
              <w:rPr>
                <w:bCs/>
                <w:sz w:val="20"/>
                <w:szCs w:val="20"/>
              </w:rPr>
            </w:pPr>
            <w:r w:rsidRPr="00AE2C90">
              <w:rPr>
                <w:sz w:val="20"/>
                <w:szCs w:val="20"/>
              </w:rPr>
              <w:t>98 (43.9)</w:t>
            </w:r>
          </w:p>
        </w:tc>
      </w:tr>
      <w:tr w:rsidR="00E7783B" w:rsidRPr="00332436" w:rsidTr="002C3E27">
        <w:tc>
          <w:tcPr>
            <w:tcW w:w="2518" w:type="dxa"/>
            <w:shd w:val="clear" w:color="auto" w:fill="auto"/>
          </w:tcPr>
          <w:p w:rsidR="00E7783B" w:rsidRPr="00AE2C90" w:rsidRDefault="00E7783B" w:rsidP="00E7783B">
            <w:pPr>
              <w:autoSpaceDE w:val="0"/>
              <w:autoSpaceDN w:val="0"/>
              <w:adjustRightInd w:val="0"/>
              <w:rPr>
                <w:b/>
                <w:bCs/>
                <w:sz w:val="20"/>
                <w:szCs w:val="20"/>
              </w:rPr>
            </w:pPr>
            <w:r w:rsidRPr="00AE2C90">
              <w:rPr>
                <w:b/>
                <w:bCs/>
                <w:sz w:val="20"/>
                <w:szCs w:val="20"/>
              </w:rPr>
              <w:t>Infections</w:t>
            </w:r>
            <w:r>
              <w:rPr>
                <w:b/>
                <w:bCs/>
                <w:sz w:val="20"/>
                <w:szCs w:val="20"/>
              </w:rPr>
              <w:t xml:space="preserve"> and infestations</w:t>
            </w:r>
          </w:p>
        </w:tc>
        <w:tc>
          <w:tcPr>
            <w:tcW w:w="1090" w:type="dxa"/>
            <w:shd w:val="clear" w:color="auto" w:fill="auto"/>
          </w:tcPr>
          <w:p w:rsidR="00E7783B" w:rsidRPr="00AE2C90" w:rsidRDefault="00D83A78" w:rsidP="00D83A78">
            <w:pPr>
              <w:autoSpaceDE w:val="0"/>
              <w:autoSpaceDN w:val="0"/>
              <w:adjustRightInd w:val="0"/>
              <w:rPr>
                <w:b/>
                <w:bCs/>
                <w:sz w:val="20"/>
                <w:szCs w:val="20"/>
              </w:rPr>
            </w:pPr>
            <w:r>
              <w:rPr>
                <w:b/>
                <w:bCs/>
                <w:sz w:val="20"/>
                <w:szCs w:val="20"/>
              </w:rPr>
              <w:t>322</w:t>
            </w:r>
            <w:r w:rsidR="00E7783B" w:rsidRPr="00AE2C90">
              <w:rPr>
                <w:b/>
                <w:bCs/>
                <w:sz w:val="20"/>
                <w:szCs w:val="20"/>
              </w:rPr>
              <w:t xml:space="preserve"> (18.</w:t>
            </w:r>
            <w:r>
              <w:rPr>
                <w:b/>
                <w:bCs/>
                <w:sz w:val="20"/>
                <w:szCs w:val="20"/>
              </w:rPr>
              <w:t>4</w:t>
            </w:r>
            <w:r w:rsidR="00E7783B" w:rsidRPr="00AE2C90">
              <w:rPr>
                <w:b/>
                <w:bCs/>
                <w:sz w:val="20"/>
                <w:szCs w:val="20"/>
              </w:rPr>
              <w:t>)</w:t>
            </w:r>
          </w:p>
        </w:tc>
        <w:tc>
          <w:tcPr>
            <w:tcW w:w="124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41 (11.9)</w:t>
            </w:r>
          </w:p>
        </w:tc>
        <w:tc>
          <w:tcPr>
            <w:tcW w:w="124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13 (13.0)</w:t>
            </w:r>
          </w:p>
        </w:tc>
        <w:tc>
          <w:tcPr>
            <w:tcW w:w="1100" w:type="dxa"/>
            <w:shd w:val="clear" w:color="auto" w:fill="auto"/>
          </w:tcPr>
          <w:p w:rsidR="00E7783B" w:rsidRPr="00AE2C90" w:rsidRDefault="00E7783B" w:rsidP="00D468A5">
            <w:pPr>
              <w:autoSpaceDE w:val="0"/>
              <w:autoSpaceDN w:val="0"/>
              <w:adjustRightInd w:val="0"/>
              <w:jc w:val="center"/>
              <w:rPr>
                <w:b/>
                <w:bCs/>
                <w:sz w:val="20"/>
                <w:szCs w:val="20"/>
              </w:rPr>
            </w:pPr>
            <w:r w:rsidRPr="00AE2C90">
              <w:rPr>
                <w:b/>
                <w:bCs/>
                <w:sz w:val="20"/>
                <w:szCs w:val="20"/>
              </w:rPr>
              <w:t>1</w:t>
            </w:r>
            <w:r w:rsidR="00D468A5">
              <w:rPr>
                <w:b/>
                <w:bCs/>
                <w:sz w:val="20"/>
                <w:szCs w:val="20"/>
              </w:rPr>
              <w:t>85</w:t>
            </w:r>
            <w:r w:rsidRPr="00AE2C90">
              <w:rPr>
                <w:b/>
                <w:bCs/>
                <w:sz w:val="20"/>
                <w:szCs w:val="20"/>
              </w:rPr>
              <w:t xml:space="preserve"> (1</w:t>
            </w:r>
            <w:r w:rsidR="00D468A5">
              <w:rPr>
                <w:b/>
                <w:bCs/>
                <w:sz w:val="20"/>
                <w:szCs w:val="20"/>
              </w:rPr>
              <w:t>8.</w:t>
            </w:r>
            <w:r w:rsidRPr="00AE2C90">
              <w:rPr>
                <w:b/>
                <w:bCs/>
                <w:sz w:val="20"/>
                <w:szCs w:val="20"/>
              </w:rPr>
              <w:t>6)</w:t>
            </w:r>
          </w:p>
        </w:tc>
        <w:tc>
          <w:tcPr>
            <w:tcW w:w="113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65 (18.6)</w:t>
            </w:r>
          </w:p>
        </w:tc>
        <w:tc>
          <w:tcPr>
            <w:tcW w:w="1134" w:type="dxa"/>
            <w:shd w:val="clear" w:color="auto" w:fill="auto"/>
          </w:tcPr>
          <w:p w:rsidR="00E7783B" w:rsidRPr="00AE2C90" w:rsidRDefault="00E7783B" w:rsidP="00E7783B">
            <w:pPr>
              <w:autoSpaceDE w:val="0"/>
              <w:autoSpaceDN w:val="0"/>
              <w:adjustRightInd w:val="0"/>
              <w:jc w:val="center"/>
              <w:rPr>
                <w:b/>
                <w:bCs/>
                <w:sz w:val="20"/>
                <w:szCs w:val="20"/>
              </w:rPr>
            </w:pPr>
            <w:r w:rsidRPr="00AE2C90">
              <w:rPr>
                <w:b/>
                <w:bCs/>
                <w:sz w:val="20"/>
                <w:szCs w:val="20"/>
              </w:rPr>
              <w:t>34 (15.2)</w:t>
            </w:r>
          </w:p>
        </w:tc>
      </w:tr>
      <w:tr w:rsidR="007637E6" w:rsidRPr="00332436" w:rsidTr="002C3E27">
        <w:tc>
          <w:tcPr>
            <w:tcW w:w="2518" w:type="dxa"/>
            <w:shd w:val="clear" w:color="auto" w:fill="auto"/>
          </w:tcPr>
          <w:p w:rsidR="007637E6" w:rsidRPr="00AE2C90" w:rsidRDefault="007637E6" w:rsidP="00E7783B">
            <w:pPr>
              <w:autoSpaceDE w:val="0"/>
              <w:autoSpaceDN w:val="0"/>
              <w:adjustRightInd w:val="0"/>
              <w:rPr>
                <w:sz w:val="20"/>
                <w:szCs w:val="20"/>
              </w:rPr>
            </w:pPr>
            <w:r w:rsidRPr="00AE2C90">
              <w:rPr>
                <w:sz w:val="20"/>
                <w:szCs w:val="20"/>
              </w:rPr>
              <w:t xml:space="preserve">  Bronchitis</w:t>
            </w:r>
          </w:p>
        </w:tc>
        <w:tc>
          <w:tcPr>
            <w:tcW w:w="1090"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3</w:t>
            </w:r>
            <w:r>
              <w:rPr>
                <w:sz w:val="20"/>
                <w:szCs w:val="20"/>
              </w:rPr>
              <w:t>5</w:t>
            </w:r>
            <w:r w:rsidRPr="00AE2C90">
              <w:rPr>
                <w:sz w:val="20"/>
                <w:szCs w:val="20"/>
              </w:rPr>
              <w:t xml:space="preserve"> (2.</w:t>
            </w:r>
            <w:r>
              <w:rPr>
                <w:sz w:val="20"/>
                <w:szCs w:val="20"/>
              </w:rPr>
              <w:t>0</w:t>
            </w:r>
            <w:r w:rsidRPr="00AE2C90">
              <w:rPr>
                <w:sz w:val="20"/>
                <w:szCs w:val="20"/>
              </w:rPr>
              <w:t>)</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1 (0.3)</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1 (1.0)</w:t>
            </w:r>
          </w:p>
        </w:tc>
        <w:tc>
          <w:tcPr>
            <w:tcW w:w="110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15</w:t>
            </w:r>
            <w:r w:rsidRPr="00AE2C90">
              <w:rPr>
                <w:sz w:val="20"/>
                <w:szCs w:val="20"/>
              </w:rPr>
              <w:t xml:space="preserve"> (</w:t>
            </w:r>
            <w:r>
              <w:rPr>
                <w:sz w:val="20"/>
                <w:szCs w:val="20"/>
              </w:rPr>
              <w:t>1.5</w:t>
            </w:r>
            <w:r w:rsidRPr="00AE2C90">
              <w:rPr>
                <w:sz w:val="20"/>
                <w:szCs w:val="20"/>
              </w:rPr>
              <w:t>)</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3 (0.9)</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3 (1.3)</w:t>
            </w:r>
          </w:p>
        </w:tc>
      </w:tr>
      <w:tr w:rsidR="007637E6" w:rsidRPr="00332436" w:rsidTr="002C3E27">
        <w:tc>
          <w:tcPr>
            <w:tcW w:w="2518" w:type="dxa"/>
            <w:shd w:val="clear" w:color="auto" w:fill="auto"/>
          </w:tcPr>
          <w:p w:rsidR="007637E6" w:rsidRPr="00AE2C90" w:rsidRDefault="007637E6" w:rsidP="00E7783B">
            <w:pPr>
              <w:autoSpaceDE w:val="0"/>
              <w:autoSpaceDN w:val="0"/>
              <w:adjustRightInd w:val="0"/>
              <w:rPr>
                <w:sz w:val="20"/>
                <w:szCs w:val="20"/>
              </w:rPr>
            </w:pPr>
            <w:r>
              <w:rPr>
                <w:sz w:val="20"/>
                <w:szCs w:val="20"/>
              </w:rPr>
              <w:t xml:space="preserve">  Ear infection</w:t>
            </w:r>
          </w:p>
        </w:tc>
        <w:tc>
          <w:tcPr>
            <w:tcW w:w="109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1 (0.1)</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0 (0.0)</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1 (1.0)</w:t>
            </w:r>
          </w:p>
        </w:tc>
        <w:tc>
          <w:tcPr>
            <w:tcW w:w="110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3 (0.3)</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C27CBB">
              <w:rPr>
                <w:sz w:val="20"/>
                <w:szCs w:val="20"/>
              </w:rPr>
              <w:t>0 (0.0</w:t>
            </w:r>
            <w:r>
              <w:rPr>
                <w:sz w:val="20"/>
                <w:szCs w:val="20"/>
              </w:rPr>
              <w:t>0</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C27CBB">
              <w:rPr>
                <w:sz w:val="20"/>
                <w:szCs w:val="20"/>
              </w:rPr>
              <w:t>0 (0.0)</w:t>
            </w:r>
          </w:p>
        </w:tc>
      </w:tr>
      <w:tr w:rsidR="007637E6" w:rsidRPr="00332436" w:rsidTr="002C3E27">
        <w:tc>
          <w:tcPr>
            <w:tcW w:w="2518" w:type="dxa"/>
            <w:shd w:val="clear" w:color="auto" w:fill="auto"/>
          </w:tcPr>
          <w:p w:rsidR="007637E6" w:rsidRPr="00AE2C90" w:rsidRDefault="007637E6" w:rsidP="00E7783B">
            <w:pPr>
              <w:autoSpaceDE w:val="0"/>
              <w:autoSpaceDN w:val="0"/>
              <w:adjustRightInd w:val="0"/>
              <w:rPr>
                <w:sz w:val="20"/>
                <w:szCs w:val="20"/>
              </w:rPr>
            </w:pPr>
            <w:r w:rsidRPr="00AE2C90">
              <w:rPr>
                <w:sz w:val="20"/>
                <w:szCs w:val="20"/>
              </w:rPr>
              <w:t xml:space="preserve">  Gastroenteritis viral</w:t>
            </w:r>
          </w:p>
        </w:tc>
        <w:tc>
          <w:tcPr>
            <w:tcW w:w="1090"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4 (0.2)</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0 (0.0)</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0 (0.0)</w:t>
            </w:r>
          </w:p>
        </w:tc>
        <w:tc>
          <w:tcPr>
            <w:tcW w:w="1100" w:type="dxa"/>
            <w:shd w:val="clear" w:color="auto" w:fill="auto"/>
          </w:tcPr>
          <w:p w:rsidR="007637E6" w:rsidRPr="00AE2C90" w:rsidRDefault="007637E6" w:rsidP="00096F3F">
            <w:pPr>
              <w:autoSpaceDE w:val="0"/>
              <w:autoSpaceDN w:val="0"/>
              <w:adjustRightInd w:val="0"/>
              <w:jc w:val="center"/>
              <w:rPr>
                <w:sz w:val="20"/>
                <w:szCs w:val="20"/>
              </w:rPr>
            </w:pPr>
            <w:r w:rsidRPr="00AE2C90">
              <w:rPr>
                <w:sz w:val="20"/>
                <w:szCs w:val="20"/>
              </w:rPr>
              <w:t>3 (0.</w:t>
            </w:r>
            <w:r w:rsidR="00096F3F">
              <w:rPr>
                <w:sz w:val="20"/>
                <w:szCs w:val="20"/>
              </w:rPr>
              <w:t>3</w:t>
            </w:r>
            <w:r w:rsidRPr="00AE2C90">
              <w:rPr>
                <w:sz w:val="20"/>
                <w:szCs w:val="20"/>
              </w:rPr>
              <w:t>)</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5 (1.4)</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0 (0.0)</w:t>
            </w:r>
          </w:p>
        </w:tc>
      </w:tr>
      <w:tr w:rsidR="007637E6" w:rsidRPr="00332436" w:rsidTr="002C3E27">
        <w:tc>
          <w:tcPr>
            <w:tcW w:w="2518" w:type="dxa"/>
            <w:shd w:val="clear" w:color="auto" w:fill="auto"/>
          </w:tcPr>
          <w:p w:rsidR="007637E6" w:rsidRPr="00AE2C90" w:rsidRDefault="007637E6" w:rsidP="00E7783B">
            <w:pPr>
              <w:autoSpaceDE w:val="0"/>
              <w:autoSpaceDN w:val="0"/>
              <w:adjustRightInd w:val="0"/>
              <w:rPr>
                <w:sz w:val="20"/>
                <w:szCs w:val="20"/>
              </w:rPr>
            </w:pPr>
            <w:r>
              <w:rPr>
                <w:sz w:val="20"/>
                <w:szCs w:val="20"/>
              </w:rPr>
              <w:t xml:space="preserve">  Influenza</w:t>
            </w:r>
          </w:p>
        </w:tc>
        <w:tc>
          <w:tcPr>
            <w:tcW w:w="109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11 (0.6)</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2 (0.6)</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0 (0.0)</w:t>
            </w:r>
          </w:p>
        </w:tc>
        <w:tc>
          <w:tcPr>
            <w:tcW w:w="110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12 (1.2)</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2 (0.6)</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0 (0.0)</w:t>
            </w:r>
          </w:p>
        </w:tc>
      </w:tr>
      <w:tr w:rsidR="007637E6" w:rsidRPr="00332436" w:rsidTr="002C3E27">
        <w:tc>
          <w:tcPr>
            <w:tcW w:w="2518" w:type="dxa"/>
            <w:shd w:val="clear" w:color="auto" w:fill="auto"/>
          </w:tcPr>
          <w:p w:rsidR="007637E6" w:rsidRPr="00AE2C90" w:rsidRDefault="007637E6" w:rsidP="00E7783B">
            <w:pPr>
              <w:autoSpaceDE w:val="0"/>
              <w:autoSpaceDN w:val="0"/>
              <w:adjustRightInd w:val="0"/>
              <w:rPr>
                <w:sz w:val="20"/>
                <w:szCs w:val="20"/>
              </w:rPr>
            </w:pPr>
            <w:r w:rsidRPr="00AE2C90">
              <w:rPr>
                <w:sz w:val="20"/>
                <w:szCs w:val="20"/>
              </w:rPr>
              <w:t xml:space="preserve">  Laryngitis</w:t>
            </w:r>
          </w:p>
        </w:tc>
        <w:tc>
          <w:tcPr>
            <w:tcW w:w="1090"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2 (0.1)</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3 (0.9)</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1 (1.0)</w:t>
            </w:r>
          </w:p>
        </w:tc>
        <w:tc>
          <w:tcPr>
            <w:tcW w:w="1100" w:type="dxa"/>
            <w:shd w:val="clear" w:color="auto" w:fill="auto"/>
          </w:tcPr>
          <w:p w:rsidR="007637E6" w:rsidRPr="00AE2C90" w:rsidRDefault="00096F3F" w:rsidP="00E7783B">
            <w:pPr>
              <w:autoSpaceDE w:val="0"/>
              <w:autoSpaceDN w:val="0"/>
              <w:adjustRightInd w:val="0"/>
              <w:jc w:val="center"/>
              <w:rPr>
                <w:sz w:val="20"/>
                <w:szCs w:val="20"/>
              </w:rPr>
            </w:pPr>
            <w:r>
              <w:rPr>
                <w:sz w:val="20"/>
                <w:szCs w:val="20"/>
              </w:rPr>
              <w:t>3</w:t>
            </w:r>
            <w:r w:rsidR="007637E6" w:rsidRPr="00AE2C90">
              <w:rPr>
                <w:sz w:val="20"/>
                <w:szCs w:val="20"/>
              </w:rPr>
              <w:t xml:space="preserve"> (0.3)</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2 (0.6)</w:t>
            </w:r>
          </w:p>
        </w:tc>
        <w:tc>
          <w:tcPr>
            <w:tcW w:w="1134" w:type="dxa"/>
            <w:shd w:val="clear" w:color="auto" w:fill="auto"/>
          </w:tcPr>
          <w:p w:rsidR="007637E6" w:rsidRPr="00AE2C90" w:rsidRDefault="00096F3F" w:rsidP="00E7783B">
            <w:pPr>
              <w:autoSpaceDE w:val="0"/>
              <w:autoSpaceDN w:val="0"/>
              <w:adjustRightInd w:val="0"/>
              <w:jc w:val="center"/>
              <w:rPr>
                <w:sz w:val="20"/>
                <w:szCs w:val="20"/>
              </w:rPr>
            </w:pPr>
            <w:r>
              <w:rPr>
                <w:sz w:val="20"/>
                <w:szCs w:val="20"/>
              </w:rPr>
              <w:t>0 (0.0)</w:t>
            </w:r>
          </w:p>
        </w:tc>
      </w:tr>
      <w:tr w:rsidR="007637E6" w:rsidRPr="00332436" w:rsidTr="002C3E27">
        <w:tc>
          <w:tcPr>
            <w:tcW w:w="2518" w:type="dxa"/>
            <w:shd w:val="clear" w:color="auto" w:fill="auto"/>
          </w:tcPr>
          <w:p w:rsidR="007637E6" w:rsidRPr="00AE2C90" w:rsidRDefault="007637E6" w:rsidP="00E7783B">
            <w:pPr>
              <w:autoSpaceDE w:val="0"/>
              <w:autoSpaceDN w:val="0"/>
              <w:adjustRightInd w:val="0"/>
              <w:rPr>
                <w:sz w:val="20"/>
                <w:szCs w:val="20"/>
              </w:rPr>
            </w:pPr>
            <w:r>
              <w:rPr>
                <w:sz w:val="20"/>
                <w:szCs w:val="20"/>
              </w:rPr>
              <w:t xml:space="preserve">  </w:t>
            </w:r>
            <w:proofErr w:type="spellStart"/>
            <w:r>
              <w:rPr>
                <w:sz w:val="20"/>
                <w:szCs w:val="20"/>
              </w:rPr>
              <w:t>Nasopharyngitis</w:t>
            </w:r>
            <w:proofErr w:type="spellEnd"/>
          </w:p>
        </w:tc>
        <w:tc>
          <w:tcPr>
            <w:tcW w:w="109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95 (5.4)</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6 (1.7)</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4 (4.0)</w:t>
            </w:r>
          </w:p>
        </w:tc>
        <w:tc>
          <w:tcPr>
            <w:tcW w:w="110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45 (4.5)</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10 (2.9)</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6 (2.7)</w:t>
            </w:r>
          </w:p>
        </w:tc>
      </w:tr>
      <w:tr w:rsidR="007637E6" w:rsidRPr="00332436" w:rsidTr="002C3E27">
        <w:tc>
          <w:tcPr>
            <w:tcW w:w="2518" w:type="dxa"/>
            <w:shd w:val="clear" w:color="auto" w:fill="auto"/>
          </w:tcPr>
          <w:p w:rsidR="007637E6" w:rsidRPr="00AE2C90" w:rsidRDefault="007637E6" w:rsidP="00E7783B">
            <w:pPr>
              <w:autoSpaceDE w:val="0"/>
              <w:autoSpaceDN w:val="0"/>
              <w:adjustRightInd w:val="0"/>
              <w:rPr>
                <w:sz w:val="20"/>
                <w:szCs w:val="20"/>
              </w:rPr>
            </w:pPr>
            <w:r w:rsidRPr="00AE2C90">
              <w:rPr>
                <w:sz w:val="20"/>
                <w:szCs w:val="20"/>
              </w:rPr>
              <w:t xml:space="preserve">  Pharyngitis</w:t>
            </w:r>
          </w:p>
        </w:tc>
        <w:tc>
          <w:tcPr>
            <w:tcW w:w="109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30</w:t>
            </w:r>
            <w:r w:rsidRPr="00AE2C90">
              <w:rPr>
                <w:sz w:val="20"/>
                <w:szCs w:val="20"/>
              </w:rPr>
              <w:t xml:space="preserve"> (1.</w:t>
            </w:r>
            <w:r>
              <w:rPr>
                <w:sz w:val="20"/>
                <w:szCs w:val="20"/>
              </w:rPr>
              <w:t>7</w:t>
            </w:r>
            <w:r w:rsidRPr="00AE2C90">
              <w:rPr>
                <w:sz w:val="20"/>
                <w:szCs w:val="20"/>
              </w:rPr>
              <w:t>)</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7 (2.0)</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1 (1.0)</w:t>
            </w:r>
          </w:p>
        </w:tc>
        <w:tc>
          <w:tcPr>
            <w:tcW w:w="1100" w:type="dxa"/>
            <w:shd w:val="clear" w:color="auto" w:fill="auto"/>
          </w:tcPr>
          <w:p w:rsidR="007637E6" w:rsidRPr="00AE2C90" w:rsidRDefault="00096F3F" w:rsidP="00096F3F">
            <w:pPr>
              <w:autoSpaceDE w:val="0"/>
              <w:autoSpaceDN w:val="0"/>
              <w:adjustRightInd w:val="0"/>
              <w:jc w:val="center"/>
              <w:rPr>
                <w:sz w:val="20"/>
                <w:szCs w:val="20"/>
              </w:rPr>
            </w:pPr>
            <w:r>
              <w:rPr>
                <w:sz w:val="20"/>
                <w:szCs w:val="20"/>
              </w:rPr>
              <w:t>15</w:t>
            </w:r>
            <w:r w:rsidR="007637E6" w:rsidRPr="00AE2C90">
              <w:rPr>
                <w:sz w:val="20"/>
                <w:szCs w:val="20"/>
              </w:rPr>
              <w:t xml:space="preserve"> (</w:t>
            </w:r>
            <w:r>
              <w:rPr>
                <w:sz w:val="20"/>
                <w:szCs w:val="20"/>
              </w:rPr>
              <w:t>1</w:t>
            </w:r>
            <w:r w:rsidR="007637E6" w:rsidRPr="00AE2C90">
              <w:rPr>
                <w:sz w:val="20"/>
                <w:szCs w:val="20"/>
              </w:rPr>
              <w:t>.</w:t>
            </w:r>
            <w:r>
              <w:rPr>
                <w:sz w:val="20"/>
                <w:szCs w:val="20"/>
              </w:rPr>
              <w:t>5</w:t>
            </w:r>
            <w:r w:rsidR="007637E6" w:rsidRPr="00AE2C90">
              <w:rPr>
                <w:sz w:val="20"/>
                <w:szCs w:val="20"/>
              </w:rPr>
              <w:t>)</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1 (0.3)</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sidRPr="00AE2C90">
              <w:rPr>
                <w:sz w:val="20"/>
                <w:szCs w:val="20"/>
              </w:rPr>
              <w:t>2 (0.9)</w:t>
            </w:r>
          </w:p>
        </w:tc>
      </w:tr>
      <w:tr w:rsidR="007637E6" w:rsidRPr="00332436" w:rsidTr="002C3E27">
        <w:tc>
          <w:tcPr>
            <w:tcW w:w="2518" w:type="dxa"/>
            <w:shd w:val="clear" w:color="auto" w:fill="auto"/>
          </w:tcPr>
          <w:p w:rsidR="007637E6" w:rsidRDefault="007637E6" w:rsidP="007637E6">
            <w:pPr>
              <w:autoSpaceDE w:val="0"/>
              <w:autoSpaceDN w:val="0"/>
              <w:adjustRightInd w:val="0"/>
              <w:rPr>
                <w:sz w:val="20"/>
                <w:szCs w:val="20"/>
              </w:rPr>
            </w:pPr>
            <w:r>
              <w:rPr>
                <w:sz w:val="20"/>
                <w:szCs w:val="20"/>
              </w:rPr>
              <w:t xml:space="preserve">  Pneumonia </w:t>
            </w:r>
          </w:p>
          <w:p w:rsidR="007637E6" w:rsidRPr="00AE2C90" w:rsidRDefault="007637E6" w:rsidP="00E7783B">
            <w:pPr>
              <w:autoSpaceDE w:val="0"/>
              <w:autoSpaceDN w:val="0"/>
              <w:adjustRightInd w:val="0"/>
              <w:rPr>
                <w:sz w:val="20"/>
                <w:szCs w:val="20"/>
              </w:rPr>
            </w:pPr>
            <w:r>
              <w:rPr>
                <w:sz w:val="20"/>
                <w:szCs w:val="20"/>
              </w:rPr>
              <w:t xml:space="preserve">  pneumococcal</w:t>
            </w:r>
          </w:p>
        </w:tc>
        <w:tc>
          <w:tcPr>
            <w:tcW w:w="1090"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0 (0.0)</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0 (0.0)</w:t>
            </w:r>
          </w:p>
        </w:tc>
        <w:tc>
          <w:tcPr>
            <w:tcW w:w="124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1</w:t>
            </w:r>
            <w:r w:rsidRPr="00FB16D3">
              <w:rPr>
                <w:sz w:val="20"/>
                <w:szCs w:val="20"/>
              </w:rPr>
              <w:t xml:space="preserve"> (</w:t>
            </w:r>
            <w:r>
              <w:rPr>
                <w:sz w:val="20"/>
                <w:szCs w:val="20"/>
              </w:rPr>
              <w:t>1</w:t>
            </w:r>
            <w:r w:rsidRPr="00FB16D3">
              <w:rPr>
                <w:sz w:val="20"/>
                <w:szCs w:val="20"/>
              </w:rPr>
              <w:t>.0)</w:t>
            </w:r>
          </w:p>
        </w:tc>
        <w:tc>
          <w:tcPr>
            <w:tcW w:w="1100" w:type="dxa"/>
            <w:shd w:val="clear" w:color="auto" w:fill="auto"/>
          </w:tcPr>
          <w:p w:rsidR="007637E6" w:rsidRPr="00AE2C90" w:rsidRDefault="007637E6" w:rsidP="00E7783B">
            <w:pPr>
              <w:autoSpaceDE w:val="0"/>
              <w:autoSpaceDN w:val="0"/>
              <w:adjustRightInd w:val="0"/>
              <w:jc w:val="center"/>
              <w:rPr>
                <w:sz w:val="20"/>
                <w:szCs w:val="20"/>
              </w:rPr>
            </w:pPr>
            <w:r w:rsidRPr="00FB16D3">
              <w:rPr>
                <w:sz w:val="20"/>
                <w:szCs w:val="20"/>
              </w:rPr>
              <w:t>0 (0.0)</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0 (0.0)</w:t>
            </w:r>
          </w:p>
        </w:tc>
        <w:tc>
          <w:tcPr>
            <w:tcW w:w="1134" w:type="dxa"/>
            <w:shd w:val="clear" w:color="auto" w:fill="auto"/>
          </w:tcPr>
          <w:p w:rsidR="007637E6" w:rsidRPr="00AE2C90" w:rsidRDefault="007637E6" w:rsidP="00E7783B">
            <w:pPr>
              <w:autoSpaceDE w:val="0"/>
              <w:autoSpaceDN w:val="0"/>
              <w:adjustRightInd w:val="0"/>
              <w:jc w:val="center"/>
              <w:rPr>
                <w:sz w:val="20"/>
                <w:szCs w:val="20"/>
              </w:rPr>
            </w:pPr>
            <w:r>
              <w:rPr>
                <w:sz w:val="20"/>
                <w:szCs w:val="20"/>
              </w:rPr>
              <w:t>0 (0.0)</w:t>
            </w:r>
          </w:p>
        </w:tc>
      </w:tr>
      <w:tr w:rsidR="00E7783B" w:rsidRPr="00332436" w:rsidTr="002C3E27">
        <w:tc>
          <w:tcPr>
            <w:tcW w:w="2518" w:type="dxa"/>
            <w:shd w:val="clear" w:color="auto" w:fill="auto"/>
          </w:tcPr>
          <w:p w:rsidR="004F2C81" w:rsidRDefault="004F2C81" w:rsidP="00E7783B">
            <w:pPr>
              <w:autoSpaceDE w:val="0"/>
              <w:autoSpaceDN w:val="0"/>
              <w:adjustRightInd w:val="0"/>
              <w:rPr>
                <w:bCs/>
                <w:sz w:val="20"/>
                <w:szCs w:val="20"/>
              </w:rPr>
            </w:pPr>
            <w:r>
              <w:rPr>
                <w:bCs/>
                <w:sz w:val="20"/>
                <w:szCs w:val="20"/>
              </w:rPr>
              <w:lastRenderedPageBreak/>
              <w:t xml:space="preserve">  </w:t>
            </w:r>
            <w:r w:rsidR="007637E6">
              <w:rPr>
                <w:bCs/>
                <w:sz w:val="20"/>
                <w:szCs w:val="20"/>
              </w:rPr>
              <w:t xml:space="preserve">Respiratory tract </w:t>
            </w:r>
          </w:p>
          <w:p w:rsidR="00E7783B" w:rsidRPr="00AE2C90" w:rsidRDefault="004F2C81" w:rsidP="00E7783B">
            <w:pPr>
              <w:autoSpaceDE w:val="0"/>
              <w:autoSpaceDN w:val="0"/>
              <w:adjustRightInd w:val="0"/>
              <w:rPr>
                <w:bCs/>
                <w:sz w:val="20"/>
                <w:szCs w:val="20"/>
              </w:rPr>
            </w:pPr>
            <w:r>
              <w:rPr>
                <w:bCs/>
                <w:sz w:val="20"/>
                <w:szCs w:val="20"/>
              </w:rPr>
              <w:t xml:space="preserve">  </w:t>
            </w:r>
            <w:r w:rsidR="007637E6">
              <w:rPr>
                <w:bCs/>
                <w:sz w:val="20"/>
                <w:szCs w:val="20"/>
              </w:rPr>
              <w:t>infection</w:t>
            </w:r>
          </w:p>
        </w:tc>
        <w:tc>
          <w:tcPr>
            <w:tcW w:w="1090" w:type="dxa"/>
            <w:shd w:val="clear" w:color="auto" w:fill="auto"/>
          </w:tcPr>
          <w:p w:rsidR="00E7783B" w:rsidRPr="00AE2C90" w:rsidRDefault="007637E6" w:rsidP="00E7783B">
            <w:pPr>
              <w:autoSpaceDE w:val="0"/>
              <w:autoSpaceDN w:val="0"/>
              <w:adjustRightInd w:val="0"/>
              <w:jc w:val="center"/>
              <w:rPr>
                <w:sz w:val="20"/>
                <w:szCs w:val="20"/>
              </w:rPr>
            </w:pPr>
            <w:r>
              <w:rPr>
                <w:sz w:val="20"/>
                <w:szCs w:val="20"/>
              </w:rPr>
              <w:t xml:space="preserve">15 </w:t>
            </w:r>
            <w:r w:rsidR="004F2C81">
              <w:rPr>
                <w:sz w:val="20"/>
                <w:szCs w:val="20"/>
              </w:rPr>
              <w:t>(0.9)</w:t>
            </w:r>
          </w:p>
        </w:tc>
        <w:tc>
          <w:tcPr>
            <w:tcW w:w="1244" w:type="dxa"/>
            <w:shd w:val="clear" w:color="auto" w:fill="auto"/>
          </w:tcPr>
          <w:p w:rsidR="00E7783B" w:rsidRPr="00AE2C90" w:rsidRDefault="004F2C81" w:rsidP="004F2C81">
            <w:pPr>
              <w:autoSpaceDE w:val="0"/>
              <w:autoSpaceDN w:val="0"/>
              <w:adjustRightInd w:val="0"/>
              <w:jc w:val="center"/>
              <w:rPr>
                <w:bCs/>
                <w:sz w:val="20"/>
                <w:szCs w:val="20"/>
              </w:rPr>
            </w:pPr>
            <w:r>
              <w:rPr>
                <w:bCs/>
                <w:sz w:val="20"/>
                <w:szCs w:val="20"/>
              </w:rPr>
              <w:t>2 (0.6)</w:t>
            </w:r>
          </w:p>
        </w:tc>
        <w:tc>
          <w:tcPr>
            <w:tcW w:w="1244" w:type="dxa"/>
            <w:shd w:val="clear" w:color="auto" w:fill="auto"/>
          </w:tcPr>
          <w:p w:rsidR="00E7783B" w:rsidRPr="00AE2C90" w:rsidRDefault="004F2C81" w:rsidP="004F2C81">
            <w:pPr>
              <w:autoSpaceDE w:val="0"/>
              <w:autoSpaceDN w:val="0"/>
              <w:adjustRightInd w:val="0"/>
              <w:jc w:val="center"/>
              <w:rPr>
                <w:bCs/>
                <w:sz w:val="20"/>
                <w:szCs w:val="20"/>
              </w:rPr>
            </w:pPr>
            <w:r>
              <w:rPr>
                <w:bCs/>
                <w:sz w:val="20"/>
                <w:szCs w:val="20"/>
              </w:rPr>
              <w:t>1 (1.0)</w:t>
            </w:r>
          </w:p>
        </w:tc>
        <w:tc>
          <w:tcPr>
            <w:tcW w:w="1100" w:type="dxa"/>
            <w:shd w:val="clear" w:color="auto" w:fill="auto"/>
          </w:tcPr>
          <w:p w:rsidR="00E7783B" w:rsidRPr="00AE2C90" w:rsidRDefault="004F2C81" w:rsidP="00E7783B">
            <w:pPr>
              <w:autoSpaceDE w:val="0"/>
              <w:autoSpaceDN w:val="0"/>
              <w:adjustRightInd w:val="0"/>
              <w:jc w:val="center"/>
              <w:rPr>
                <w:bCs/>
                <w:sz w:val="20"/>
                <w:szCs w:val="20"/>
              </w:rPr>
            </w:pPr>
            <w:r>
              <w:rPr>
                <w:bCs/>
                <w:sz w:val="20"/>
                <w:szCs w:val="20"/>
              </w:rPr>
              <w:t>4 (0.4)</w:t>
            </w:r>
          </w:p>
        </w:tc>
        <w:tc>
          <w:tcPr>
            <w:tcW w:w="1134" w:type="dxa"/>
            <w:shd w:val="clear" w:color="auto" w:fill="auto"/>
          </w:tcPr>
          <w:p w:rsidR="00E7783B" w:rsidRPr="00AE2C90" w:rsidRDefault="004F2C81" w:rsidP="00E7783B">
            <w:pPr>
              <w:autoSpaceDE w:val="0"/>
              <w:autoSpaceDN w:val="0"/>
              <w:adjustRightInd w:val="0"/>
              <w:jc w:val="center"/>
              <w:rPr>
                <w:bCs/>
                <w:sz w:val="20"/>
                <w:szCs w:val="20"/>
              </w:rPr>
            </w:pPr>
            <w:r>
              <w:rPr>
                <w:bCs/>
                <w:sz w:val="20"/>
                <w:szCs w:val="20"/>
              </w:rPr>
              <w:t>1 (0.3)</w:t>
            </w:r>
          </w:p>
        </w:tc>
        <w:tc>
          <w:tcPr>
            <w:tcW w:w="1134" w:type="dxa"/>
            <w:shd w:val="clear" w:color="auto" w:fill="auto"/>
          </w:tcPr>
          <w:p w:rsidR="00E7783B" w:rsidRPr="00AE2C90" w:rsidRDefault="004F2C81" w:rsidP="00E7783B">
            <w:pPr>
              <w:autoSpaceDE w:val="0"/>
              <w:autoSpaceDN w:val="0"/>
              <w:adjustRightInd w:val="0"/>
              <w:jc w:val="center"/>
              <w:rPr>
                <w:bCs/>
                <w:sz w:val="20"/>
                <w:szCs w:val="20"/>
              </w:rPr>
            </w:pPr>
            <w:r>
              <w:rPr>
                <w:bCs/>
                <w:sz w:val="20"/>
                <w:szCs w:val="20"/>
              </w:rPr>
              <w:t>1 (0.4)</w:t>
            </w:r>
          </w:p>
        </w:tc>
      </w:tr>
      <w:tr w:rsidR="004F2C81" w:rsidRPr="00332436" w:rsidTr="002C3E27">
        <w:tc>
          <w:tcPr>
            <w:tcW w:w="2518" w:type="dxa"/>
            <w:shd w:val="clear" w:color="auto" w:fill="auto"/>
          </w:tcPr>
          <w:p w:rsidR="004F2C81" w:rsidRPr="00AE2C90" w:rsidRDefault="004F2C81" w:rsidP="00E7783B">
            <w:pPr>
              <w:autoSpaceDE w:val="0"/>
              <w:autoSpaceDN w:val="0"/>
              <w:adjustRightInd w:val="0"/>
              <w:rPr>
                <w:bCs/>
                <w:sz w:val="20"/>
                <w:szCs w:val="20"/>
              </w:rPr>
            </w:pPr>
            <w:r>
              <w:rPr>
                <w:sz w:val="20"/>
                <w:szCs w:val="20"/>
              </w:rPr>
              <w:t xml:space="preserve">  Rhinitis</w:t>
            </w:r>
          </w:p>
        </w:tc>
        <w:tc>
          <w:tcPr>
            <w:tcW w:w="1090" w:type="dxa"/>
            <w:shd w:val="clear" w:color="auto" w:fill="auto"/>
          </w:tcPr>
          <w:p w:rsidR="004F2C81" w:rsidRPr="00AE2C90" w:rsidRDefault="004F2C81" w:rsidP="00A36F7D">
            <w:pPr>
              <w:autoSpaceDE w:val="0"/>
              <w:autoSpaceDN w:val="0"/>
              <w:adjustRightInd w:val="0"/>
              <w:jc w:val="center"/>
              <w:rPr>
                <w:sz w:val="20"/>
                <w:szCs w:val="20"/>
              </w:rPr>
            </w:pPr>
            <w:r>
              <w:rPr>
                <w:sz w:val="20"/>
                <w:szCs w:val="20"/>
              </w:rPr>
              <w:t>13 (0.7)</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1 (0.3)</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0 (0.0)</w:t>
            </w:r>
          </w:p>
        </w:tc>
        <w:tc>
          <w:tcPr>
            <w:tcW w:w="1100" w:type="dxa"/>
            <w:shd w:val="clear" w:color="auto" w:fill="auto"/>
          </w:tcPr>
          <w:p w:rsidR="004F2C81" w:rsidRPr="00AE2C90" w:rsidRDefault="004F2C81" w:rsidP="00A36F7D">
            <w:pPr>
              <w:autoSpaceDE w:val="0"/>
              <w:autoSpaceDN w:val="0"/>
              <w:adjustRightInd w:val="0"/>
              <w:jc w:val="center"/>
              <w:rPr>
                <w:bCs/>
                <w:sz w:val="20"/>
                <w:szCs w:val="20"/>
              </w:rPr>
            </w:pPr>
            <w:r>
              <w:rPr>
                <w:sz w:val="20"/>
                <w:szCs w:val="20"/>
              </w:rPr>
              <w:t>10 (1.0)</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0 (0.0)</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0 (0.0)</w:t>
            </w:r>
          </w:p>
        </w:tc>
      </w:tr>
      <w:tr w:rsidR="004F2C81" w:rsidRPr="00332436" w:rsidTr="002C3E27">
        <w:tc>
          <w:tcPr>
            <w:tcW w:w="2518" w:type="dxa"/>
            <w:shd w:val="clear" w:color="auto" w:fill="auto"/>
          </w:tcPr>
          <w:p w:rsidR="004F2C81" w:rsidRPr="00AE2C90" w:rsidRDefault="004F2C81" w:rsidP="00E7783B">
            <w:pPr>
              <w:autoSpaceDE w:val="0"/>
              <w:autoSpaceDN w:val="0"/>
              <w:adjustRightInd w:val="0"/>
              <w:rPr>
                <w:bCs/>
                <w:sz w:val="20"/>
                <w:szCs w:val="20"/>
              </w:rPr>
            </w:pPr>
            <w:r w:rsidRPr="00AE2C90">
              <w:rPr>
                <w:sz w:val="20"/>
                <w:szCs w:val="20"/>
              </w:rPr>
              <w:t xml:space="preserve">  Sinusitis</w:t>
            </w:r>
          </w:p>
        </w:tc>
        <w:tc>
          <w:tcPr>
            <w:tcW w:w="1090" w:type="dxa"/>
            <w:shd w:val="clear" w:color="auto" w:fill="auto"/>
          </w:tcPr>
          <w:p w:rsidR="004F2C81" w:rsidRPr="00AE2C90" w:rsidRDefault="004F2C81" w:rsidP="00FE2331">
            <w:pPr>
              <w:autoSpaceDE w:val="0"/>
              <w:autoSpaceDN w:val="0"/>
              <w:adjustRightInd w:val="0"/>
              <w:jc w:val="center"/>
              <w:rPr>
                <w:sz w:val="20"/>
                <w:szCs w:val="20"/>
              </w:rPr>
            </w:pPr>
            <w:r w:rsidRPr="00AE2C90">
              <w:rPr>
                <w:sz w:val="20"/>
                <w:szCs w:val="20"/>
              </w:rPr>
              <w:t>1</w:t>
            </w:r>
            <w:r>
              <w:rPr>
                <w:sz w:val="20"/>
                <w:szCs w:val="20"/>
              </w:rPr>
              <w:t>7</w:t>
            </w:r>
            <w:r w:rsidRPr="00AE2C90">
              <w:rPr>
                <w:sz w:val="20"/>
                <w:szCs w:val="20"/>
              </w:rPr>
              <w:t xml:space="preserve"> (</w:t>
            </w:r>
            <w:r>
              <w:rPr>
                <w:sz w:val="20"/>
                <w:szCs w:val="20"/>
              </w:rPr>
              <w:t>1.</w:t>
            </w:r>
            <w:r w:rsidRPr="00AE2C90">
              <w:rPr>
                <w:sz w:val="20"/>
                <w:szCs w:val="20"/>
              </w:rPr>
              <w:t>0)</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2 (0.6)</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0 (0.0)</w:t>
            </w:r>
          </w:p>
        </w:tc>
        <w:tc>
          <w:tcPr>
            <w:tcW w:w="1100" w:type="dxa"/>
            <w:shd w:val="clear" w:color="auto" w:fill="auto"/>
          </w:tcPr>
          <w:p w:rsidR="004F2C81" w:rsidRPr="00AE2C90" w:rsidRDefault="004F2C81" w:rsidP="00096F3F">
            <w:pPr>
              <w:autoSpaceDE w:val="0"/>
              <w:autoSpaceDN w:val="0"/>
              <w:adjustRightInd w:val="0"/>
              <w:jc w:val="center"/>
              <w:rPr>
                <w:bCs/>
                <w:sz w:val="20"/>
                <w:szCs w:val="20"/>
              </w:rPr>
            </w:pPr>
            <w:r w:rsidRPr="00AE2C90">
              <w:rPr>
                <w:sz w:val="20"/>
                <w:szCs w:val="20"/>
              </w:rPr>
              <w:t>1</w:t>
            </w:r>
            <w:r w:rsidR="00096F3F">
              <w:rPr>
                <w:sz w:val="20"/>
                <w:szCs w:val="20"/>
              </w:rPr>
              <w:t>2</w:t>
            </w:r>
            <w:r w:rsidRPr="00AE2C90">
              <w:rPr>
                <w:sz w:val="20"/>
                <w:szCs w:val="20"/>
              </w:rPr>
              <w:t xml:space="preserve"> (1.</w:t>
            </w:r>
            <w:r w:rsidR="00096F3F">
              <w:rPr>
                <w:sz w:val="20"/>
                <w:szCs w:val="20"/>
              </w:rPr>
              <w:t>2</w:t>
            </w:r>
            <w:r w:rsidRPr="00AE2C90">
              <w:rPr>
                <w:sz w:val="20"/>
                <w:szCs w:val="20"/>
              </w:rPr>
              <w:t>)</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3 (0.9)</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5 (2.2)</w:t>
            </w:r>
          </w:p>
        </w:tc>
      </w:tr>
      <w:tr w:rsidR="004F2C81" w:rsidRPr="00332436" w:rsidTr="002C3E27">
        <w:tc>
          <w:tcPr>
            <w:tcW w:w="2518" w:type="dxa"/>
            <w:shd w:val="clear" w:color="auto" w:fill="auto"/>
          </w:tcPr>
          <w:p w:rsidR="004F2C81" w:rsidRPr="00AE2C90" w:rsidRDefault="004F2C81" w:rsidP="00E7783B">
            <w:pPr>
              <w:autoSpaceDE w:val="0"/>
              <w:autoSpaceDN w:val="0"/>
              <w:adjustRightInd w:val="0"/>
              <w:rPr>
                <w:bCs/>
                <w:sz w:val="20"/>
                <w:szCs w:val="20"/>
              </w:rPr>
            </w:pPr>
            <w:r>
              <w:rPr>
                <w:sz w:val="20"/>
                <w:szCs w:val="20"/>
              </w:rPr>
              <w:t xml:space="preserve">  </w:t>
            </w:r>
            <w:proofErr w:type="spellStart"/>
            <w:r>
              <w:rPr>
                <w:sz w:val="20"/>
                <w:szCs w:val="20"/>
              </w:rPr>
              <w:t>Tonsilitis</w:t>
            </w:r>
            <w:proofErr w:type="spellEnd"/>
          </w:p>
        </w:tc>
        <w:tc>
          <w:tcPr>
            <w:tcW w:w="1090" w:type="dxa"/>
            <w:shd w:val="clear" w:color="auto" w:fill="auto"/>
          </w:tcPr>
          <w:p w:rsidR="004F2C81" w:rsidRPr="00AE2C90" w:rsidRDefault="004F2C81" w:rsidP="00E7783B">
            <w:pPr>
              <w:autoSpaceDE w:val="0"/>
              <w:autoSpaceDN w:val="0"/>
              <w:adjustRightInd w:val="0"/>
              <w:jc w:val="center"/>
              <w:rPr>
                <w:sz w:val="20"/>
                <w:szCs w:val="20"/>
              </w:rPr>
            </w:pPr>
            <w:r>
              <w:rPr>
                <w:sz w:val="20"/>
                <w:szCs w:val="20"/>
              </w:rPr>
              <w:t>1 (0.1)</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1 (0.3)</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1 (1.0)</w:t>
            </w:r>
          </w:p>
        </w:tc>
        <w:tc>
          <w:tcPr>
            <w:tcW w:w="1100"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0 (0.0)</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0 (0.0)</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Pr>
                <w:sz w:val="20"/>
                <w:szCs w:val="20"/>
              </w:rPr>
              <w:t>2 (0.9)</w:t>
            </w:r>
          </w:p>
        </w:tc>
      </w:tr>
      <w:tr w:rsidR="004F2C81" w:rsidRPr="00332436" w:rsidTr="002C3E27">
        <w:tc>
          <w:tcPr>
            <w:tcW w:w="2518" w:type="dxa"/>
            <w:shd w:val="clear" w:color="auto" w:fill="auto"/>
          </w:tcPr>
          <w:p w:rsidR="004F2C81" w:rsidRPr="00AE2C90" w:rsidRDefault="004F2C81" w:rsidP="004F2C81">
            <w:pPr>
              <w:autoSpaceDE w:val="0"/>
              <w:autoSpaceDN w:val="0"/>
              <w:adjustRightInd w:val="0"/>
              <w:rPr>
                <w:sz w:val="20"/>
                <w:szCs w:val="20"/>
              </w:rPr>
            </w:pPr>
            <w:r w:rsidRPr="00AE2C90">
              <w:rPr>
                <w:sz w:val="20"/>
                <w:szCs w:val="20"/>
              </w:rPr>
              <w:t xml:space="preserve">  Upper respiratory </w:t>
            </w:r>
          </w:p>
          <w:p w:rsidR="004F2C81" w:rsidRPr="00AE2C90" w:rsidRDefault="004F2C81" w:rsidP="00E7783B">
            <w:pPr>
              <w:autoSpaceDE w:val="0"/>
              <w:autoSpaceDN w:val="0"/>
              <w:adjustRightInd w:val="0"/>
              <w:rPr>
                <w:bCs/>
                <w:sz w:val="20"/>
                <w:szCs w:val="20"/>
              </w:rPr>
            </w:pPr>
            <w:r w:rsidRPr="00AE2C90">
              <w:rPr>
                <w:sz w:val="20"/>
                <w:szCs w:val="20"/>
              </w:rPr>
              <w:t xml:space="preserve">  tract infection</w:t>
            </w:r>
          </w:p>
        </w:tc>
        <w:tc>
          <w:tcPr>
            <w:tcW w:w="1090" w:type="dxa"/>
            <w:shd w:val="clear" w:color="auto" w:fill="auto"/>
          </w:tcPr>
          <w:p w:rsidR="004F2C81" w:rsidRPr="00AE2C90" w:rsidRDefault="004F2C81" w:rsidP="00FE2331">
            <w:pPr>
              <w:autoSpaceDE w:val="0"/>
              <w:autoSpaceDN w:val="0"/>
              <w:adjustRightInd w:val="0"/>
              <w:jc w:val="center"/>
              <w:rPr>
                <w:sz w:val="20"/>
                <w:szCs w:val="20"/>
              </w:rPr>
            </w:pPr>
            <w:r w:rsidRPr="00AE2C90">
              <w:rPr>
                <w:sz w:val="20"/>
                <w:szCs w:val="20"/>
              </w:rPr>
              <w:t>34 (</w:t>
            </w:r>
            <w:r>
              <w:rPr>
                <w:sz w:val="20"/>
                <w:szCs w:val="20"/>
              </w:rPr>
              <w:t>1</w:t>
            </w:r>
            <w:r w:rsidRPr="00AE2C90">
              <w:rPr>
                <w:sz w:val="20"/>
                <w:szCs w:val="20"/>
              </w:rPr>
              <w:t>.</w:t>
            </w:r>
            <w:r>
              <w:rPr>
                <w:sz w:val="20"/>
                <w:szCs w:val="20"/>
              </w:rPr>
              <w:t>9</w:t>
            </w:r>
            <w:r w:rsidRPr="00AE2C90">
              <w:rPr>
                <w:sz w:val="20"/>
                <w:szCs w:val="20"/>
              </w:rPr>
              <w:t>)</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1 (0.3)</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1 (1.0)</w:t>
            </w:r>
          </w:p>
        </w:tc>
        <w:tc>
          <w:tcPr>
            <w:tcW w:w="1100" w:type="dxa"/>
            <w:shd w:val="clear" w:color="auto" w:fill="auto"/>
          </w:tcPr>
          <w:p w:rsidR="004F2C81" w:rsidRPr="00AE2C90" w:rsidRDefault="00096F3F" w:rsidP="00096F3F">
            <w:pPr>
              <w:autoSpaceDE w:val="0"/>
              <w:autoSpaceDN w:val="0"/>
              <w:adjustRightInd w:val="0"/>
              <w:jc w:val="center"/>
              <w:rPr>
                <w:bCs/>
                <w:sz w:val="20"/>
                <w:szCs w:val="20"/>
              </w:rPr>
            </w:pPr>
            <w:r>
              <w:rPr>
                <w:sz w:val="20"/>
                <w:szCs w:val="20"/>
              </w:rPr>
              <w:t>26</w:t>
            </w:r>
            <w:r w:rsidR="004F2C81" w:rsidRPr="00AE2C90">
              <w:rPr>
                <w:sz w:val="20"/>
                <w:szCs w:val="20"/>
              </w:rPr>
              <w:t xml:space="preserve"> (</w:t>
            </w:r>
            <w:r>
              <w:rPr>
                <w:sz w:val="20"/>
                <w:szCs w:val="20"/>
              </w:rPr>
              <w:t>2.6</w:t>
            </w:r>
            <w:r w:rsidR="004F2C81" w:rsidRPr="00AE2C90">
              <w:rPr>
                <w:sz w:val="20"/>
                <w:szCs w:val="20"/>
              </w:rPr>
              <w:t>)</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18 (5.2)</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7 (3.1)</w:t>
            </w:r>
          </w:p>
        </w:tc>
      </w:tr>
      <w:tr w:rsidR="004F2C81" w:rsidRPr="00332436" w:rsidTr="00785186">
        <w:trPr>
          <w:trHeight w:val="274"/>
        </w:trPr>
        <w:tc>
          <w:tcPr>
            <w:tcW w:w="2518" w:type="dxa"/>
            <w:shd w:val="clear" w:color="auto" w:fill="auto"/>
          </w:tcPr>
          <w:p w:rsidR="004F2C81" w:rsidRPr="00AE2C90" w:rsidRDefault="004F2C81" w:rsidP="00870F94">
            <w:pPr>
              <w:autoSpaceDE w:val="0"/>
              <w:autoSpaceDN w:val="0"/>
              <w:adjustRightInd w:val="0"/>
              <w:rPr>
                <w:bCs/>
                <w:sz w:val="20"/>
                <w:szCs w:val="20"/>
              </w:rPr>
            </w:pPr>
            <w:r w:rsidRPr="00AE2C90">
              <w:rPr>
                <w:sz w:val="20"/>
                <w:szCs w:val="20"/>
              </w:rPr>
              <w:t xml:space="preserve">  Urinary tract</w:t>
            </w:r>
            <w:r w:rsidR="002C3E27">
              <w:rPr>
                <w:sz w:val="20"/>
                <w:szCs w:val="20"/>
              </w:rPr>
              <w:t xml:space="preserve"> infection</w:t>
            </w:r>
          </w:p>
        </w:tc>
        <w:tc>
          <w:tcPr>
            <w:tcW w:w="1090" w:type="dxa"/>
            <w:shd w:val="clear" w:color="auto" w:fill="auto"/>
          </w:tcPr>
          <w:p w:rsidR="004F2C81" w:rsidRPr="00AE2C90" w:rsidRDefault="004F2C81" w:rsidP="00E7783B">
            <w:pPr>
              <w:autoSpaceDE w:val="0"/>
              <w:autoSpaceDN w:val="0"/>
              <w:adjustRightInd w:val="0"/>
              <w:jc w:val="center"/>
              <w:rPr>
                <w:sz w:val="20"/>
                <w:szCs w:val="20"/>
              </w:rPr>
            </w:pPr>
            <w:r>
              <w:rPr>
                <w:sz w:val="20"/>
                <w:szCs w:val="20"/>
              </w:rPr>
              <w:t>19</w:t>
            </w:r>
            <w:r w:rsidRPr="00AE2C90">
              <w:rPr>
                <w:sz w:val="20"/>
                <w:szCs w:val="20"/>
              </w:rPr>
              <w:t xml:space="preserve"> (1.1)</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0 (0.0)</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0 (0.0)</w:t>
            </w:r>
          </w:p>
        </w:tc>
        <w:tc>
          <w:tcPr>
            <w:tcW w:w="1100" w:type="dxa"/>
            <w:shd w:val="clear" w:color="auto" w:fill="auto"/>
          </w:tcPr>
          <w:p w:rsidR="004F2C81" w:rsidRPr="00AE2C90" w:rsidRDefault="00096F3F" w:rsidP="00096F3F">
            <w:pPr>
              <w:autoSpaceDE w:val="0"/>
              <w:autoSpaceDN w:val="0"/>
              <w:adjustRightInd w:val="0"/>
              <w:jc w:val="center"/>
              <w:rPr>
                <w:bCs/>
                <w:sz w:val="20"/>
                <w:szCs w:val="20"/>
              </w:rPr>
            </w:pPr>
            <w:r>
              <w:rPr>
                <w:sz w:val="20"/>
                <w:szCs w:val="20"/>
              </w:rPr>
              <w:t>12</w:t>
            </w:r>
            <w:r w:rsidR="004F2C81" w:rsidRPr="00AE2C90">
              <w:rPr>
                <w:sz w:val="20"/>
                <w:szCs w:val="20"/>
              </w:rPr>
              <w:t xml:space="preserve"> (1.</w:t>
            </w:r>
            <w:r>
              <w:rPr>
                <w:sz w:val="20"/>
                <w:szCs w:val="20"/>
              </w:rPr>
              <w:t>2</w:t>
            </w:r>
            <w:r w:rsidR="004F2C81" w:rsidRPr="00AE2C90">
              <w:rPr>
                <w:sz w:val="20"/>
                <w:szCs w:val="20"/>
              </w:rPr>
              <w:t>)</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9 (2.6)</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1 (0.4)</w:t>
            </w:r>
          </w:p>
        </w:tc>
      </w:tr>
      <w:tr w:rsidR="004F2C81" w:rsidRPr="00332436" w:rsidTr="002C3E27">
        <w:tc>
          <w:tcPr>
            <w:tcW w:w="2518" w:type="dxa"/>
            <w:shd w:val="clear" w:color="auto" w:fill="auto"/>
          </w:tcPr>
          <w:p w:rsidR="004F2C81" w:rsidRPr="00AE2C90" w:rsidRDefault="004F2C81" w:rsidP="00E7783B">
            <w:pPr>
              <w:autoSpaceDE w:val="0"/>
              <w:autoSpaceDN w:val="0"/>
              <w:adjustRightInd w:val="0"/>
              <w:rPr>
                <w:bCs/>
                <w:sz w:val="20"/>
                <w:szCs w:val="20"/>
              </w:rPr>
            </w:pPr>
            <w:r w:rsidRPr="00AE2C90">
              <w:rPr>
                <w:sz w:val="20"/>
                <w:szCs w:val="20"/>
              </w:rPr>
              <w:t xml:space="preserve">  Viral infection</w:t>
            </w:r>
          </w:p>
        </w:tc>
        <w:tc>
          <w:tcPr>
            <w:tcW w:w="1090" w:type="dxa"/>
            <w:shd w:val="clear" w:color="auto" w:fill="auto"/>
          </w:tcPr>
          <w:p w:rsidR="004F2C81" w:rsidRPr="00AE2C90" w:rsidRDefault="004F2C81" w:rsidP="00E7783B">
            <w:pPr>
              <w:autoSpaceDE w:val="0"/>
              <w:autoSpaceDN w:val="0"/>
              <w:adjustRightInd w:val="0"/>
              <w:jc w:val="center"/>
              <w:rPr>
                <w:sz w:val="20"/>
                <w:szCs w:val="20"/>
              </w:rPr>
            </w:pPr>
            <w:r w:rsidRPr="00AE2C90">
              <w:rPr>
                <w:sz w:val="20"/>
                <w:szCs w:val="20"/>
              </w:rPr>
              <w:t>8 (0.5)</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5 (1.4)</w:t>
            </w:r>
          </w:p>
        </w:tc>
        <w:tc>
          <w:tcPr>
            <w:tcW w:w="124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1 (1.0)</w:t>
            </w:r>
          </w:p>
        </w:tc>
        <w:tc>
          <w:tcPr>
            <w:tcW w:w="1100" w:type="dxa"/>
            <w:shd w:val="clear" w:color="auto" w:fill="auto"/>
          </w:tcPr>
          <w:p w:rsidR="004F2C81" w:rsidRPr="00AE2C90" w:rsidRDefault="004F2C81" w:rsidP="00096F3F">
            <w:pPr>
              <w:autoSpaceDE w:val="0"/>
              <w:autoSpaceDN w:val="0"/>
              <w:adjustRightInd w:val="0"/>
              <w:jc w:val="center"/>
              <w:rPr>
                <w:bCs/>
                <w:sz w:val="20"/>
                <w:szCs w:val="20"/>
              </w:rPr>
            </w:pPr>
            <w:r w:rsidRPr="00AE2C90">
              <w:rPr>
                <w:sz w:val="20"/>
                <w:szCs w:val="20"/>
              </w:rPr>
              <w:t>4 (0.</w:t>
            </w:r>
            <w:r w:rsidR="00096F3F">
              <w:rPr>
                <w:sz w:val="20"/>
                <w:szCs w:val="20"/>
              </w:rPr>
              <w:t>4</w:t>
            </w:r>
            <w:r w:rsidRPr="00AE2C90">
              <w:rPr>
                <w:sz w:val="20"/>
                <w:szCs w:val="20"/>
              </w:rPr>
              <w:t>)</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3 (0.9)</w:t>
            </w:r>
          </w:p>
        </w:tc>
        <w:tc>
          <w:tcPr>
            <w:tcW w:w="1134" w:type="dxa"/>
            <w:shd w:val="clear" w:color="auto" w:fill="auto"/>
          </w:tcPr>
          <w:p w:rsidR="004F2C81" w:rsidRPr="00AE2C90" w:rsidRDefault="004F2C81" w:rsidP="00E7783B">
            <w:pPr>
              <w:autoSpaceDE w:val="0"/>
              <w:autoSpaceDN w:val="0"/>
              <w:adjustRightInd w:val="0"/>
              <w:jc w:val="center"/>
              <w:rPr>
                <w:bCs/>
                <w:sz w:val="20"/>
                <w:szCs w:val="20"/>
              </w:rPr>
            </w:pPr>
            <w:r w:rsidRPr="00AE2C90">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 xml:space="preserve">Respiratory thoracic and </w:t>
            </w:r>
            <w:proofErr w:type="spellStart"/>
            <w:r w:rsidRPr="00AE2C90">
              <w:rPr>
                <w:b/>
                <w:sz w:val="20"/>
                <w:szCs w:val="20"/>
              </w:rPr>
              <w:t>mediastinal</w:t>
            </w:r>
            <w:proofErr w:type="spellEnd"/>
            <w:r w:rsidRPr="00AE2C90">
              <w:rPr>
                <w:b/>
                <w:sz w:val="20"/>
                <w:szCs w:val="20"/>
              </w:rPr>
              <w:t xml:space="preserve"> disorders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0B37C4">
            <w:pPr>
              <w:autoSpaceDE w:val="0"/>
              <w:autoSpaceDN w:val="0"/>
              <w:adjustRightInd w:val="0"/>
              <w:jc w:val="center"/>
              <w:rPr>
                <w:sz w:val="20"/>
                <w:szCs w:val="20"/>
              </w:rPr>
            </w:pPr>
            <w:r w:rsidRPr="007B1E88">
              <w:rPr>
                <w:sz w:val="20"/>
                <w:szCs w:val="20"/>
              </w:rPr>
              <w:t>1</w:t>
            </w:r>
            <w:r w:rsidR="000B37C4">
              <w:rPr>
                <w:sz w:val="20"/>
                <w:szCs w:val="20"/>
              </w:rPr>
              <w:t>45</w:t>
            </w:r>
            <w:r w:rsidRPr="007B1E88">
              <w:rPr>
                <w:sz w:val="20"/>
                <w:szCs w:val="20"/>
              </w:rPr>
              <w:t xml:space="preserve"> (8.3)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16 (4.6)</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4 (4.0)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0B37C4" w:rsidP="000B37C4">
            <w:pPr>
              <w:autoSpaceDE w:val="0"/>
              <w:autoSpaceDN w:val="0"/>
              <w:adjustRightInd w:val="0"/>
              <w:jc w:val="center"/>
              <w:rPr>
                <w:sz w:val="20"/>
                <w:szCs w:val="20"/>
              </w:rPr>
            </w:pPr>
            <w:r>
              <w:rPr>
                <w:sz w:val="20"/>
                <w:szCs w:val="20"/>
              </w:rPr>
              <w:t>70</w:t>
            </w:r>
            <w:r w:rsidR="00E7783B" w:rsidRPr="007B1E88">
              <w:rPr>
                <w:sz w:val="20"/>
                <w:szCs w:val="20"/>
              </w:rPr>
              <w:t xml:space="preserve"> (</w:t>
            </w:r>
            <w:r>
              <w:rPr>
                <w:sz w:val="20"/>
                <w:szCs w:val="20"/>
              </w:rPr>
              <w:t>7</w:t>
            </w:r>
            <w:r w:rsidR="00E7783B" w:rsidRPr="007B1E88">
              <w:rPr>
                <w:sz w:val="20"/>
                <w:szCs w:val="20"/>
              </w:rPr>
              <w:t>.</w:t>
            </w:r>
            <w:r>
              <w:rPr>
                <w:sz w:val="20"/>
                <w:szCs w:val="20"/>
              </w:rPr>
              <w:t>0</w:t>
            </w:r>
            <w:r w:rsidR="00E7783B" w:rsidRPr="007B1E8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57 (16.3)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45 (20.2)</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rPr>
                <w:sz w:val="20"/>
                <w:szCs w:val="20"/>
              </w:rPr>
            </w:pPr>
            <w:r w:rsidRPr="00392C48">
              <w:rPr>
                <w:sz w:val="20"/>
                <w:szCs w:val="20"/>
              </w:rPr>
              <w:t xml:space="preserve">  Asthma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0B37C4">
            <w:pPr>
              <w:autoSpaceDE w:val="0"/>
              <w:autoSpaceDN w:val="0"/>
              <w:adjustRightInd w:val="0"/>
              <w:jc w:val="center"/>
              <w:rPr>
                <w:sz w:val="20"/>
                <w:szCs w:val="20"/>
              </w:rPr>
            </w:pPr>
            <w:r w:rsidRPr="00392C48">
              <w:rPr>
                <w:sz w:val="20"/>
                <w:szCs w:val="20"/>
              </w:rPr>
              <w:t>4</w:t>
            </w:r>
            <w:r w:rsidR="000B37C4">
              <w:rPr>
                <w:sz w:val="20"/>
                <w:szCs w:val="20"/>
              </w:rPr>
              <w:t>5</w:t>
            </w:r>
            <w:r w:rsidRPr="00392C48">
              <w:rPr>
                <w:sz w:val="20"/>
                <w:szCs w:val="20"/>
              </w:rPr>
              <w:t xml:space="preserve"> (2.</w:t>
            </w:r>
            <w:r w:rsidR="000B37C4">
              <w:rPr>
                <w:sz w:val="20"/>
                <w:szCs w:val="20"/>
              </w:rPr>
              <w:t>6</w:t>
            </w:r>
            <w:r w:rsidRPr="00392C48">
              <w:rPr>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3 (0.9)</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2 (2.0)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0B37C4">
            <w:pPr>
              <w:autoSpaceDE w:val="0"/>
              <w:autoSpaceDN w:val="0"/>
              <w:adjustRightInd w:val="0"/>
              <w:jc w:val="center"/>
              <w:rPr>
                <w:sz w:val="20"/>
                <w:szCs w:val="20"/>
              </w:rPr>
            </w:pPr>
            <w:r w:rsidRPr="00392C48">
              <w:rPr>
                <w:sz w:val="20"/>
                <w:szCs w:val="20"/>
              </w:rPr>
              <w:t>2</w:t>
            </w:r>
            <w:r w:rsidR="000B37C4">
              <w:rPr>
                <w:sz w:val="20"/>
                <w:szCs w:val="20"/>
              </w:rPr>
              <w:t>5</w:t>
            </w:r>
            <w:r w:rsidRPr="00392C48">
              <w:rPr>
                <w:sz w:val="20"/>
                <w:szCs w:val="20"/>
              </w:rPr>
              <w:t xml:space="preserve"> (</w:t>
            </w:r>
            <w:r w:rsidR="000B37C4">
              <w:rPr>
                <w:sz w:val="20"/>
                <w:szCs w:val="20"/>
              </w:rPr>
              <w:t>2</w:t>
            </w:r>
            <w:r w:rsidRPr="00392C48">
              <w:rPr>
                <w:sz w:val="20"/>
                <w:szCs w:val="20"/>
              </w:rPr>
              <w:t>.</w:t>
            </w:r>
            <w:r w:rsidR="000B37C4">
              <w:rPr>
                <w:sz w:val="20"/>
                <w:szCs w:val="20"/>
              </w:rPr>
              <w:t>5</w:t>
            </w:r>
            <w:r w:rsidRPr="00392C4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36 (10.3)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39 (17.5)</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rPr>
                <w:sz w:val="20"/>
                <w:szCs w:val="20"/>
              </w:rPr>
            </w:pPr>
            <w:r w:rsidRPr="007B1E88">
              <w:rPr>
                <w:sz w:val="20"/>
                <w:szCs w:val="20"/>
              </w:rPr>
              <w:t xml:space="preserve">  Cough</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0B37C4">
            <w:pPr>
              <w:autoSpaceDE w:val="0"/>
              <w:autoSpaceDN w:val="0"/>
              <w:adjustRightInd w:val="0"/>
              <w:jc w:val="center"/>
              <w:rPr>
                <w:sz w:val="20"/>
                <w:szCs w:val="20"/>
              </w:rPr>
            </w:pPr>
            <w:r w:rsidRPr="00392C48">
              <w:rPr>
                <w:sz w:val="20"/>
                <w:szCs w:val="20"/>
              </w:rPr>
              <w:t>2</w:t>
            </w:r>
            <w:r w:rsidR="000B37C4">
              <w:rPr>
                <w:sz w:val="20"/>
                <w:szCs w:val="20"/>
              </w:rPr>
              <w:t>9</w:t>
            </w:r>
            <w:r w:rsidRPr="00392C48">
              <w:rPr>
                <w:sz w:val="20"/>
                <w:szCs w:val="20"/>
              </w:rPr>
              <w:t xml:space="preserve"> (1.7)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5 (1.4)</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0B37C4" w:rsidP="000B37C4">
            <w:pPr>
              <w:autoSpaceDE w:val="0"/>
              <w:autoSpaceDN w:val="0"/>
              <w:adjustRightInd w:val="0"/>
              <w:jc w:val="center"/>
              <w:rPr>
                <w:sz w:val="20"/>
                <w:szCs w:val="20"/>
              </w:rPr>
            </w:pPr>
            <w:r>
              <w:rPr>
                <w:sz w:val="20"/>
                <w:szCs w:val="20"/>
              </w:rPr>
              <w:t>10</w:t>
            </w:r>
            <w:r w:rsidR="00E7783B" w:rsidRPr="00392C48">
              <w:rPr>
                <w:sz w:val="20"/>
                <w:szCs w:val="20"/>
              </w:rPr>
              <w:t xml:space="preserve"> (</w:t>
            </w:r>
            <w:r>
              <w:rPr>
                <w:sz w:val="20"/>
                <w:szCs w:val="20"/>
              </w:rPr>
              <w:t>1.</w:t>
            </w:r>
            <w:r w:rsidR="00E7783B" w:rsidRPr="00392C48">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6 (1.7)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2 (0.9)</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E7783B">
            <w:pPr>
              <w:autoSpaceDE w:val="0"/>
              <w:autoSpaceDN w:val="0"/>
              <w:adjustRightInd w:val="0"/>
              <w:rPr>
                <w:sz w:val="20"/>
                <w:szCs w:val="20"/>
              </w:rPr>
            </w:pPr>
            <w:r w:rsidRPr="00392C48">
              <w:rPr>
                <w:sz w:val="20"/>
                <w:szCs w:val="20"/>
              </w:rPr>
              <w:t xml:space="preserve">  Dyspnoea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0B37C4">
            <w:pPr>
              <w:autoSpaceDE w:val="0"/>
              <w:autoSpaceDN w:val="0"/>
              <w:adjustRightInd w:val="0"/>
              <w:jc w:val="center"/>
              <w:rPr>
                <w:sz w:val="20"/>
                <w:szCs w:val="20"/>
              </w:rPr>
            </w:pPr>
            <w:r w:rsidRPr="00392C48">
              <w:rPr>
                <w:sz w:val="20"/>
                <w:szCs w:val="20"/>
              </w:rPr>
              <w:t>24 (1.</w:t>
            </w:r>
            <w:r w:rsidR="000B37C4">
              <w:rPr>
                <w:sz w:val="20"/>
                <w:szCs w:val="20"/>
              </w:rPr>
              <w:t>4</w:t>
            </w:r>
            <w:r w:rsidRPr="00392C48">
              <w:rPr>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0B37C4">
            <w:pPr>
              <w:autoSpaceDE w:val="0"/>
              <w:autoSpaceDN w:val="0"/>
              <w:adjustRightInd w:val="0"/>
              <w:jc w:val="center"/>
              <w:rPr>
                <w:sz w:val="20"/>
                <w:szCs w:val="20"/>
              </w:rPr>
            </w:pPr>
            <w:r w:rsidRPr="00392C48">
              <w:rPr>
                <w:sz w:val="20"/>
                <w:szCs w:val="20"/>
              </w:rPr>
              <w:t>2 (0.</w:t>
            </w:r>
            <w:r w:rsidR="000B37C4">
              <w:rPr>
                <w:sz w:val="20"/>
                <w:szCs w:val="20"/>
              </w:rPr>
              <w:t>2</w:t>
            </w:r>
            <w:r w:rsidRPr="00392C4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(0.4)</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rPr>
                <w:sz w:val="20"/>
                <w:szCs w:val="20"/>
              </w:rPr>
            </w:pPr>
            <w:r w:rsidRPr="00392C48">
              <w:rPr>
                <w:sz w:val="20"/>
                <w:szCs w:val="20"/>
              </w:rPr>
              <w:t xml:space="preserve">  Dysphonia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0B37C4" w:rsidP="00E7783B">
            <w:pPr>
              <w:autoSpaceDE w:val="0"/>
              <w:autoSpaceDN w:val="0"/>
              <w:adjustRightInd w:val="0"/>
              <w:jc w:val="center"/>
              <w:rPr>
                <w:sz w:val="20"/>
                <w:szCs w:val="20"/>
              </w:rPr>
            </w:pPr>
            <w:r>
              <w:rPr>
                <w:sz w:val="20"/>
                <w:szCs w:val="20"/>
              </w:rPr>
              <w:t>15</w:t>
            </w:r>
            <w:r w:rsidR="00E7783B" w:rsidRPr="00392C48">
              <w:rPr>
                <w:sz w:val="20"/>
                <w:szCs w:val="20"/>
              </w:rPr>
              <w:t xml:space="preserve"> (0.9)</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6 (1.7)</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884604" w:rsidP="00884604">
            <w:pPr>
              <w:autoSpaceDE w:val="0"/>
              <w:autoSpaceDN w:val="0"/>
              <w:adjustRightInd w:val="0"/>
              <w:jc w:val="center"/>
              <w:rPr>
                <w:sz w:val="20"/>
                <w:szCs w:val="20"/>
              </w:rPr>
            </w:pPr>
            <w:r>
              <w:rPr>
                <w:sz w:val="20"/>
                <w:szCs w:val="20"/>
              </w:rPr>
              <w:t>5</w:t>
            </w:r>
            <w:r w:rsidR="00E7783B" w:rsidRPr="00392C48">
              <w:rPr>
                <w:sz w:val="20"/>
                <w:szCs w:val="20"/>
              </w:rPr>
              <w:t xml:space="preserve"> (0.</w:t>
            </w:r>
            <w:r>
              <w:rPr>
                <w:sz w:val="20"/>
                <w:szCs w:val="20"/>
              </w:rPr>
              <w:t>5</w:t>
            </w:r>
            <w:r w:rsidR="00E7783B" w:rsidRPr="00392C4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E7783B">
            <w:pPr>
              <w:autoSpaceDE w:val="0"/>
              <w:autoSpaceDN w:val="0"/>
              <w:adjustRightInd w:val="0"/>
              <w:rPr>
                <w:sz w:val="20"/>
                <w:szCs w:val="20"/>
              </w:rPr>
            </w:pPr>
            <w:r w:rsidRPr="00392C48">
              <w:rPr>
                <w:sz w:val="20"/>
                <w:szCs w:val="20"/>
              </w:rPr>
              <w:t xml:space="preserve">  Rhinitis allergic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0B37C4" w:rsidP="000B37C4">
            <w:pPr>
              <w:autoSpaceDE w:val="0"/>
              <w:autoSpaceDN w:val="0"/>
              <w:adjustRightInd w:val="0"/>
              <w:jc w:val="center"/>
              <w:rPr>
                <w:sz w:val="20"/>
                <w:szCs w:val="20"/>
              </w:rPr>
            </w:pPr>
            <w:r>
              <w:rPr>
                <w:sz w:val="20"/>
                <w:szCs w:val="20"/>
              </w:rPr>
              <w:t>17</w:t>
            </w:r>
            <w:r w:rsidR="00E7783B" w:rsidRPr="00392C48">
              <w:rPr>
                <w:sz w:val="20"/>
                <w:szCs w:val="20"/>
              </w:rPr>
              <w:t xml:space="preserve"> (</w:t>
            </w:r>
            <w:r>
              <w:rPr>
                <w:sz w:val="20"/>
                <w:szCs w:val="20"/>
              </w:rPr>
              <w:t>1.</w:t>
            </w:r>
            <w:r w:rsidR="00E7783B" w:rsidRPr="00392C48">
              <w:rPr>
                <w:sz w:val="20"/>
                <w:szCs w:val="20"/>
              </w:rPr>
              <w:t xml:space="preserve">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(0.3)</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0B37C4" w:rsidP="000B37C4">
            <w:pPr>
              <w:autoSpaceDE w:val="0"/>
              <w:autoSpaceDN w:val="0"/>
              <w:adjustRightInd w:val="0"/>
              <w:jc w:val="center"/>
              <w:rPr>
                <w:sz w:val="20"/>
                <w:szCs w:val="20"/>
              </w:rPr>
            </w:pPr>
            <w:r>
              <w:rPr>
                <w:sz w:val="20"/>
                <w:szCs w:val="20"/>
              </w:rPr>
              <w:t>14</w:t>
            </w:r>
            <w:r w:rsidR="00E7783B" w:rsidRPr="00392C48">
              <w:rPr>
                <w:sz w:val="20"/>
                <w:szCs w:val="20"/>
              </w:rPr>
              <w:t xml:space="preserve"> (</w:t>
            </w:r>
            <w:r>
              <w:rPr>
                <w:sz w:val="20"/>
                <w:szCs w:val="20"/>
              </w:rPr>
              <w:t>1.4</w:t>
            </w:r>
            <w:r w:rsidR="00E7783B" w:rsidRPr="00392C4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3 (0.9)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3 (1.3)</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rPr>
                <w:sz w:val="20"/>
                <w:szCs w:val="20"/>
              </w:rPr>
            </w:pPr>
            <w:r w:rsidRPr="00392C48">
              <w:rPr>
                <w:sz w:val="20"/>
                <w:szCs w:val="20"/>
              </w:rPr>
              <w:t xml:space="preserve">  Rhinitis seasonal</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0B37C4" w:rsidP="000B37C4">
            <w:pPr>
              <w:autoSpaceDE w:val="0"/>
              <w:autoSpaceDN w:val="0"/>
              <w:adjustRightInd w:val="0"/>
              <w:jc w:val="center"/>
              <w:rPr>
                <w:sz w:val="20"/>
                <w:szCs w:val="20"/>
              </w:rPr>
            </w:pPr>
            <w:r>
              <w:rPr>
                <w:sz w:val="20"/>
                <w:szCs w:val="20"/>
              </w:rPr>
              <w:t>2</w:t>
            </w:r>
            <w:r w:rsidR="00E7783B" w:rsidRPr="00392C48">
              <w:rPr>
                <w:sz w:val="20"/>
                <w:szCs w:val="20"/>
              </w:rPr>
              <w:t xml:space="preserve"> (0.1)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 xml:space="preserve">0 (0.0)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 xml:space="preserve">0 (0.0) </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5 (1.4)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 xml:space="preserve">0 (0.0) </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 xml:space="preserve">Nervous system disorders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FB0E1D" w:rsidP="00FB0E1D">
            <w:pPr>
              <w:autoSpaceDE w:val="0"/>
              <w:autoSpaceDN w:val="0"/>
              <w:adjustRightInd w:val="0"/>
              <w:jc w:val="center"/>
              <w:rPr>
                <w:sz w:val="20"/>
                <w:szCs w:val="20"/>
              </w:rPr>
            </w:pPr>
            <w:r>
              <w:rPr>
                <w:sz w:val="20"/>
                <w:szCs w:val="20"/>
              </w:rPr>
              <w:t>61</w:t>
            </w:r>
            <w:r w:rsidR="00E7783B" w:rsidRPr="007B1E88">
              <w:rPr>
                <w:sz w:val="20"/>
                <w:szCs w:val="20"/>
              </w:rPr>
              <w:t xml:space="preserve"> (3.</w:t>
            </w:r>
            <w:r>
              <w:rPr>
                <w:sz w:val="20"/>
                <w:szCs w:val="20"/>
              </w:rPr>
              <w:t>5</w:t>
            </w:r>
            <w:r w:rsidR="00E7783B" w:rsidRPr="007B1E88">
              <w:rPr>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10 (2.9)</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FB0E1D" w:rsidP="00FB0E1D">
            <w:pPr>
              <w:autoSpaceDE w:val="0"/>
              <w:autoSpaceDN w:val="0"/>
              <w:adjustRightInd w:val="0"/>
              <w:jc w:val="center"/>
              <w:rPr>
                <w:sz w:val="20"/>
                <w:szCs w:val="20"/>
              </w:rPr>
            </w:pPr>
            <w:r>
              <w:rPr>
                <w:sz w:val="20"/>
                <w:szCs w:val="20"/>
              </w:rPr>
              <w:t>45</w:t>
            </w:r>
            <w:r w:rsidR="00E7783B" w:rsidRPr="007B1E88">
              <w:rPr>
                <w:sz w:val="20"/>
                <w:szCs w:val="20"/>
              </w:rPr>
              <w:t xml:space="preserve"> (4.</w:t>
            </w:r>
            <w:r>
              <w:rPr>
                <w:sz w:val="20"/>
                <w:szCs w:val="20"/>
              </w:rPr>
              <w:t>5</w:t>
            </w:r>
            <w:r w:rsidR="00E7783B" w:rsidRPr="007B1E8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17 (4.9)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16 (7.2)</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rPr>
                <w:sz w:val="20"/>
                <w:szCs w:val="20"/>
              </w:rPr>
            </w:pPr>
            <w:r w:rsidRPr="00392C48">
              <w:rPr>
                <w:sz w:val="20"/>
                <w:szCs w:val="20"/>
              </w:rPr>
              <w:t xml:space="preserve">  Headache</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E7783B">
            <w:pPr>
              <w:autoSpaceDE w:val="0"/>
              <w:autoSpaceDN w:val="0"/>
              <w:adjustRightInd w:val="0"/>
              <w:jc w:val="center"/>
              <w:rPr>
                <w:sz w:val="20"/>
                <w:szCs w:val="20"/>
              </w:rPr>
            </w:pPr>
            <w:r w:rsidRPr="00392C48">
              <w:rPr>
                <w:sz w:val="20"/>
                <w:szCs w:val="20"/>
              </w:rPr>
              <w:t xml:space="preserve">32 (2.0)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4 (1.2)</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23 (3.3)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9 (2.6)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12 (5.4)</w:t>
            </w:r>
          </w:p>
        </w:tc>
      </w:tr>
      <w:tr w:rsidR="00FB0E1D"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rPr>
                <w:b/>
                <w:sz w:val="20"/>
                <w:szCs w:val="20"/>
              </w:rPr>
            </w:pPr>
            <w:r>
              <w:rPr>
                <w:b/>
                <w:sz w:val="20"/>
                <w:szCs w:val="20"/>
              </w:rPr>
              <w:t>Psychiatric disorders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12 (0.7)</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2 (0.6)</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11 (1.1)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2 (0.6)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1 (0.4)</w:t>
            </w:r>
          </w:p>
        </w:tc>
      </w:tr>
      <w:tr w:rsidR="00FB0E1D"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rPr>
                <w:sz w:val="20"/>
                <w:szCs w:val="20"/>
              </w:rPr>
            </w:pPr>
            <w:r>
              <w:rPr>
                <w:sz w:val="20"/>
                <w:szCs w:val="20"/>
              </w:rPr>
              <w:t xml:space="preserve">  Depression</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3 (0.2)</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2 (0.6)</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Pr>
                <w:sz w:val="20"/>
                <w:szCs w:val="20"/>
              </w:rPr>
              <w:t>1 (0.1)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sidRPr="009075A0">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392C48" w:rsidRDefault="00FB0E1D" w:rsidP="00E7783B">
            <w:pPr>
              <w:autoSpaceDE w:val="0"/>
              <w:autoSpaceDN w:val="0"/>
              <w:adjustRightInd w:val="0"/>
              <w:jc w:val="center"/>
              <w:rPr>
                <w:sz w:val="20"/>
                <w:szCs w:val="20"/>
              </w:rPr>
            </w:pPr>
            <w:r w:rsidRPr="009075A0">
              <w:rPr>
                <w:sz w:val="20"/>
                <w:szCs w:val="20"/>
              </w:rPr>
              <w:t>0 (0.0)</w:t>
            </w:r>
          </w:p>
        </w:tc>
      </w:tr>
      <w:tr w:rsidR="00FB0E1D"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rPr>
                <w:b/>
                <w:sz w:val="20"/>
                <w:szCs w:val="20"/>
              </w:rPr>
            </w:pPr>
            <w:r w:rsidRPr="00FB0E1D">
              <w:rPr>
                <w:b/>
                <w:sz w:val="20"/>
                <w:szCs w:val="20"/>
              </w:rPr>
              <w:t>Renal and urinary disorders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Pr>
                <w:sz w:val="20"/>
                <w:szCs w:val="20"/>
              </w:rPr>
              <w:t>5 (0.3)</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Pr>
                <w:sz w:val="20"/>
                <w:szCs w:val="20"/>
              </w:rPr>
              <w:t>2 (0.2)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9075A0" w:rsidRDefault="00FB0E1D" w:rsidP="00E7783B">
            <w:pPr>
              <w:autoSpaceDE w:val="0"/>
              <w:autoSpaceDN w:val="0"/>
              <w:adjustRightInd w:val="0"/>
              <w:jc w:val="center"/>
              <w:rPr>
                <w:sz w:val="20"/>
                <w:szCs w:val="20"/>
              </w:rPr>
            </w:pPr>
            <w:r>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9075A0" w:rsidRDefault="00FB0E1D" w:rsidP="00E7783B">
            <w:pPr>
              <w:autoSpaceDE w:val="0"/>
              <w:autoSpaceDN w:val="0"/>
              <w:adjustRightInd w:val="0"/>
              <w:jc w:val="center"/>
              <w:rPr>
                <w:sz w:val="20"/>
                <w:szCs w:val="20"/>
              </w:rPr>
            </w:pPr>
            <w:r>
              <w:rPr>
                <w:sz w:val="20"/>
                <w:szCs w:val="20"/>
              </w:rPr>
              <w:t>1 (0.4)</w:t>
            </w:r>
          </w:p>
        </w:tc>
      </w:tr>
      <w:tr w:rsidR="00FB0E1D"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rPr>
                <w:sz w:val="20"/>
                <w:szCs w:val="20"/>
              </w:rPr>
            </w:pPr>
            <w:r>
              <w:rPr>
                <w:sz w:val="20"/>
                <w:szCs w:val="20"/>
              </w:rPr>
              <w:t xml:space="preserve">  Dysuria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sidRPr="00084133">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sidRPr="00084133">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Pr>
                <w:sz w:val="20"/>
                <w:szCs w:val="20"/>
              </w:rPr>
              <w:t>(1.0)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0E1D" w:rsidRDefault="00FB0E1D" w:rsidP="00E7783B">
            <w:pPr>
              <w:autoSpaceDE w:val="0"/>
              <w:autoSpaceDN w:val="0"/>
              <w:adjustRightInd w:val="0"/>
              <w:jc w:val="center"/>
              <w:rPr>
                <w:sz w:val="20"/>
                <w:szCs w:val="20"/>
              </w:rPr>
            </w:pPr>
            <w:r w:rsidRPr="00FE6ED5">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9075A0" w:rsidRDefault="00FB0E1D" w:rsidP="00E7783B">
            <w:pPr>
              <w:autoSpaceDE w:val="0"/>
              <w:autoSpaceDN w:val="0"/>
              <w:adjustRightInd w:val="0"/>
              <w:jc w:val="center"/>
              <w:rPr>
                <w:sz w:val="20"/>
                <w:szCs w:val="20"/>
              </w:rPr>
            </w:pPr>
            <w:r w:rsidRPr="00FE6ED5">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9075A0" w:rsidRDefault="00FB0E1D" w:rsidP="00E7783B">
            <w:pPr>
              <w:autoSpaceDE w:val="0"/>
              <w:autoSpaceDN w:val="0"/>
              <w:adjustRightInd w:val="0"/>
              <w:jc w:val="center"/>
              <w:rPr>
                <w:sz w:val="20"/>
                <w:szCs w:val="20"/>
              </w:rPr>
            </w:pPr>
            <w:r w:rsidRPr="00FE6ED5">
              <w:rPr>
                <w:sz w:val="20"/>
                <w:szCs w:val="20"/>
              </w:rPr>
              <w:t>0 (0.0)</w:t>
            </w:r>
          </w:p>
        </w:tc>
      </w:tr>
      <w:tr w:rsidR="00FB0E1D"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rPr>
                <w:b/>
                <w:sz w:val="20"/>
                <w:szCs w:val="20"/>
              </w:rPr>
            </w:pPr>
            <w:r w:rsidRPr="00FB0E1D">
              <w:rPr>
                <w:b/>
                <w:sz w:val="20"/>
                <w:szCs w:val="20"/>
              </w:rPr>
              <w:t>Reproductive and breast disorders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FB0E1D" w:rsidRPr="00084133" w:rsidRDefault="000B37C4" w:rsidP="00E7783B">
            <w:pPr>
              <w:autoSpaceDE w:val="0"/>
              <w:autoSpaceDN w:val="0"/>
              <w:adjustRightInd w:val="0"/>
              <w:jc w:val="center"/>
              <w:rPr>
                <w:sz w:val="20"/>
                <w:szCs w:val="20"/>
              </w:rPr>
            </w:pPr>
            <w:r>
              <w:rPr>
                <w:sz w:val="20"/>
                <w:szCs w:val="20"/>
              </w:rPr>
              <w:t>4 (0.2)</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Pr="00084133" w:rsidRDefault="000B37C4"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Default="000B37C4"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0E1D" w:rsidRPr="00FE6ED5" w:rsidRDefault="000B37C4" w:rsidP="00E7783B">
            <w:pPr>
              <w:autoSpaceDE w:val="0"/>
              <w:autoSpaceDN w:val="0"/>
              <w:adjustRightInd w:val="0"/>
              <w:jc w:val="center"/>
              <w:rPr>
                <w:sz w:val="20"/>
                <w:szCs w:val="20"/>
              </w:rPr>
            </w:pPr>
            <w:r>
              <w:rPr>
                <w:sz w:val="20"/>
                <w:szCs w:val="20"/>
              </w:rPr>
              <w:t>6 (0.6)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FE6ED5" w:rsidRDefault="000B37C4" w:rsidP="00E7783B">
            <w:pPr>
              <w:autoSpaceDE w:val="0"/>
              <w:autoSpaceDN w:val="0"/>
              <w:adjustRightInd w:val="0"/>
              <w:jc w:val="center"/>
              <w:rPr>
                <w:sz w:val="20"/>
                <w:szCs w:val="20"/>
              </w:rPr>
            </w:pPr>
            <w:r>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FE6ED5" w:rsidRDefault="000B37C4" w:rsidP="00E7783B">
            <w:pPr>
              <w:autoSpaceDE w:val="0"/>
              <w:autoSpaceDN w:val="0"/>
              <w:adjustRightInd w:val="0"/>
              <w:jc w:val="center"/>
              <w:rPr>
                <w:sz w:val="20"/>
                <w:szCs w:val="20"/>
              </w:rPr>
            </w:pPr>
            <w:r>
              <w:rPr>
                <w:sz w:val="20"/>
                <w:szCs w:val="20"/>
              </w:rPr>
              <w:t>1 (0.4</w:t>
            </w:r>
          </w:p>
        </w:tc>
      </w:tr>
      <w:tr w:rsidR="00FD423A"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FD423A" w:rsidRDefault="00FD423A" w:rsidP="00E7783B">
            <w:pPr>
              <w:autoSpaceDE w:val="0"/>
              <w:autoSpaceDN w:val="0"/>
              <w:adjustRightInd w:val="0"/>
              <w:rPr>
                <w:sz w:val="20"/>
                <w:szCs w:val="20"/>
              </w:rPr>
            </w:pPr>
            <w:r>
              <w:rPr>
                <w:sz w:val="20"/>
                <w:szCs w:val="20"/>
              </w:rPr>
              <w:t xml:space="preserve">  </w:t>
            </w:r>
            <w:proofErr w:type="spellStart"/>
            <w:r>
              <w:rPr>
                <w:sz w:val="20"/>
                <w:szCs w:val="20"/>
              </w:rPr>
              <w:t>Adenomyosis</w:t>
            </w:r>
            <w:proofErr w:type="spellEnd"/>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FD423A" w:rsidRPr="00084133" w:rsidRDefault="00FD423A" w:rsidP="00E7783B">
            <w:pPr>
              <w:autoSpaceDE w:val="0"/>
              <w:autoSpaceDN w:val="0"/>
              <w:adjustRightInd w:val="0"/>
              <w:jc w:val="center"/>
              <w:rPr>
                <w:sz w:val="20"/>
                <w:szCs w:val="20"/>
              </w:rPr>
            </w:pPr>
            <w:r w:rsidRPr="000A3785">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D423A" w:rsidRPr="00084133" w:rsidRDefault="00FD423A" w:rsidP="00E7783B">
            <w:pPr>
              <w:autoSpaceDE w:val="0"/>
              <w:autoSpaceDN w:val="0"/>
              <w:adjustRightInd w:val="0"/>
              <w:jc w:val="center"/>
              <w:rPr>
                <w:sz w:val="20"/>
                <w:szCs w:val="20"/>
              </w:rPr>
            </w:pPr>
            <w:r w:rsidRPr="000A3785">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D423A" w:rsidRDefault="00FD423A"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D423A" w:rsidRPr="00FE6ED5" w:rsidRDefault="00FD423A" w:rsidP="00E7783B">
            <w:pPr>
              <w:autoSpaceDE w:val="0"/>
              <w:autoSpaceDN w:val="0"/>
              <w:adjustRightInd w:val="0"/>
              <w:jc w:val="center"/>
              <w:rPr>
                <w:sz w:val="20"/>
                <w:szCs w:val="20"/>
              </w:rPr>
            </w:pPr>
            <w:r w:rsidRPr="0038225E">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423A" w:rsidRPr="00FE6ED5" w:rsidRDefault="00FD423A" w:rsidP="00E7783B">
            <w:pPr>
              <w:autoSpaceDE w:val="0"/>
              <w:autoSpaceDN w:val="0"/>
              <w:adjustRightInd w:val="0"/>
              <w:jc w:val="center"/>
              <w:rPr>
                <w:sz w:val="20"/>
                <w:szCs w:val="20"/>
              </w:rPr>
            </w:pPr>
            <w:r w:rsidRPr="0038225E">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423A" w:rsidRPr="00FE6ED5" w:rsidRDefault="00FD423A" w:rsidP="00E7783B">
            <w:pPr>
              <w:autoSpaceDE w:val="0"/>
              <w:autoSpaceDN w:val="0"/>
              <w:adjustRightInd w:val="0"/>
              <w:jc w:val="center"/>
              <w:rPr>
                <w:sz w:val="20"/>
                <w:szCs w:val="20"/>
              </w:rPr>
            </w:pPr>
            <w:r w:rsidRPr="0038225E">
              <w:rPr>
                <w:sz w:val="20"/>
                <w:szCs w:val="20"/>
              </w:rPr>
              <w:t>0 (0.0)</w:t>
            </w:r>
          </w:p>
        </w:tc>
      </w:tr>
      <w:tr w:rsidR="00E7783B" w:rsidRPr="00392C48" w:rsidTr="00870F94">
        <w:trPr>
          <w:trHeight w:val="24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Gastrointestinal</w:t>
            </w:r>
            <w:r w:rsidR="00870F94">
              <w:rPr>
                <w:b/>
                <w:sz w:val="20"/>
                <w:szCs w:val="20"/>
              </w:rPr>
              <w:t xml:space="preserve"> disorders</w:t>
            </w:r>
            <w:r w:rsidRPr="00AE2C90">
              <w:rPr>
                <w:b/>
                <w:sz w:val="20"/>
                <w:szCs w:val="20"/>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D468A5" w:rsidP="00D468A5">
            <w:pPr>
              <w:autoSpaceDE w:val="0"/>
              <w:autoSpaceDN w:val="0"/>
              <w:adjustRightInd w:val="0"/>
              <w:jc w:val="center"/>
              <w:rPr>
                <w:sz w:val="20"/>
                <w:szCs w:val="20"/>
              </w:rPr>
            </w:pPr>
            <w:r>
              <w:rPr>
                <w:sz w:val="20"/>
                <w:szCs w:val="20"/>
              </w:rPr>
              <w:t>51</w:t>
            </w:r>
            <w:r w:rsidR="00E7783B" w:rsidRPr="007B1E88">
              <w:rPr>
                <w:sz w:val="20"/>
                <w:szCs w:val="20"/>
              </w:rPr>
              <w:t xml:space="preserve"> (</w:t>
            </w:r>
            <w:r>
              <w:rPr>
                <w:sz w:val="20"/>
                <w:szCs w:val="20"/>
              </w:rPr>
              <w:t>2.9</w:t>
            </w:r>
            <w:r w:rsidR="00E7783B" w:rsidRPr="007B1E88">
              <w:rPr>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5 (1.4)</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D468A5" w:rsidP="00D468A5">
            <w:pPr>
              <w:autoSpaceDE w:val="0"/>
              <w:autoSpaceDN w:val="0"/>
              <w:adjustRightInd w:val="0"/>
              <w:jc w:val="center"/>
              <w:rPr>
                <w:sz w:val="20"/>
                <w:szCs w:val="20"/>
              </w:rPr>
            </w:pPr>
            <w:r>
              <w:rPr>
                <w:sz w:val="20"/>
                <w:szCs w:val="20"/>
              </w:rPr>
              <w:t>41 (4.1)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9 (2.6)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8 (3.6)</w:t>
            </w:r>
          </w:p>
        </w:tc>
      </w:tr>
      <w:tr w:rsidR="00D468A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D468A5" w:rsidRPr="00392C48" w:rsidRDefault="00D468A5" w:rsidP="00E7783B">
            <w:pPr>
              <w:autoSpaceDE w:val="0"/>
              <w:autoSpaceDN w:val="0"/>
              <w:adjustRightInd w:val="0"/>
              <w:rPr>
                <w:sz w:val="20"/>
                <w:szCs w:val="20"/>
              </w:rPr>
            </w:pPr>
            <w:r>
              <w:rPr>
                <w:sz w:val="20"/>
                <w:szCs w:val="20"/>
              </w:rPr>
              <w:t xml:space="preserve">  Abdominal pain upper</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D468A5" w:rsidRPr="00392C48" w:rsidRDefault="00D468A5" w:rsidP="00E7783B">
            <w:pPr>
              <w:autoSpaceDE w:val="0"/>
              <w:autoSpaceDN w:val="0"/>
              <w:adjustRightInd w:val="0"/>
              <w:jc w:val="center"/>
              <w:rPr>
                <w:sz w:val="20"/>
                <w:szCs w:val="20"/>
              </w:rPr>
            </w:pPr>
            <w:r>
              <w:rPr>
                <w:sz w:val="20"/>
                <w:szCs w:val="20"/>
              </w:rPr>
              <w:t>2 (0.1)</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D468A5" w:rsidRPr="00392C48" w:rsidRDefault="00D468A5" w:rsidP="00E7783B">
            <w:pPr>
              <w:autoSpaceDE w:val="0"/>
              <w:autoSpaceDN w:val="0"/>
              <w:adjustRightInd w:val="0"/>
              <w:jc w:val="center"/>
              <w:rPr>
                <w:sz w:val="20"/>
                <w:szCs w:val="20"/>
              </w:rPr>
            </w:pPr>
            <w:r>
              <w:rPr>
                <w:sz w:val="20"/>
                <w:szCs w:val="20"/>
              </w:rPr>
              <w:t>1 (0.3)</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D468A5" w:rsidRPr="00392C48" w:rsidRDefault="00D468A5" w:rsidP="00E7783B">
            <w:pPr>
              <w:autoSpaceDE w:val="0"/>
              <w:autoSpaceDN w:val="0"/>
              <w:adjustRightInd w:val="0"/>
              <w:jc w:val="center"/>
              <w:rPr>
                <w:sz w:val="20"/>
                <w:szCs w:val="20"/>
              </w:rPr>
            </w:pPr>
            <w:r>
              <w:rPr>
                <w:sz w:val="20"/>
                <w:szCs w:val="20"/>
              </w:rPr>
              <w:t>1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D468A5" w:rsidRPr="00392C48" w:rsidRDefault="00D468A5" w:rsidP="00E7783B">
            <w:pPr>
              <w:autoSpaceDE w:val="0"/>
              <w:autoSpaceDN w:val="0"/>
              <w:adjustRightInd w:val="0"/>
              <w:jc w:val="center"/>
              <w:rPr>
                <w:sz w:val="20"/>
                <w:szCs w:val="20"/>
              </w:rPr>
            </w:pPr>
            <w:r>
              <w:rPr>
                <w:sz w:val="20"/>
                <w:szCs w:val="20"/>
              </w:rPr>
              <w:t>3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68A5" w:rsidRPr="00392C48" w:rsidRDefault="00D468A5" w:rsidP="00E7783B">
            <w:pPr>
              <w:autoSpaceDE w:val="0"/>
              <w:autoSpaceDN w:val="0"/>
              <w:adjustRightInd w:val="0"/>
              <w:jc w:val="center"/>
              <w:rPr>
                <w:sz w:val="20"/>
                <w:szCs w:val="20"/>
              </w:rPr>
            </w:pPr>
            <w:r>
              <w:rPr>
                <w:sz w:val="20"/>
                <w:szCs w:val="20"/>
              </w:rPr>
              <w:t>1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68A5" w:rsidRPr="00392C48" w:rsidRDefault="00D468A5" w:rsidP="00E7783B">
            <w:pPr>
              <w:autoSpaceDE w:val="0"/>
              <w:autoSpaceDN w:val="0"/>
              <w:adjustRightInd w:val="0"/>
              <w:jc w:val="center"/>
              <w:rPr>
                <w:sz w:val="20"/>
                <w:szCs w:val="20"/>
              </w:rPr>
            </w:pPr>
            <w:r>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rPr>
                <w:sz w:val="20"/>
                <w:szCs w:val="20"/>
              </w:rPr>
            </w:pPr>
            <w:r w:rsidRPr="00392C48">
              <w:rPr>
                <w:sz w:val="20"/>
                <w:szCs w:val="20"/>
              </w:rPr>
              <w:t xml:space="preserve">  Diarrhoea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E7783B">
            <w:pPr>
              <w:autoSpaceDE w:val="0"/>
              <w:autoSpaceDN w:val="0"/>
              <w:adjustRightInd w:val="0"/>
              <w:jc w:val="center"/>
              <w:rPr>
                <w:sz w:val="20"/>
                <w:szCs w:val="20"/>
              </w:rPr>
            </w:pPr>
            <w:r w:rsidRPr="00392C48">
              <w:rPr>
                <w:sz w:val="20"/>
                <w:szCs w:val="20"/>
              </w:rPr>
              <w:t xml:space="preserve">10 (0.6)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2 (0.6)</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096F3F" w:rsidP="00096F3F">
            <w:pPr>
              <w:autoSpaceDE w:val="0"/>
              <w:autoSpaceDN w:val="0"/>
              <w:adjustRightInd w:val="0"/>
              <w:jc w:val="center"/>
              <w:rPr>
                <w:sz w:val="20"/>
                <w:szCs w:val="20"/>
              </w:rPr>
            </w:pPr>
            <w:r>
              <w:rPr>
                <w:sz w:val="20"/>
                <w:szCs w:val="20"/>
              </w:rPr>
              <w:t>4</w:t>
            </w:r>
            <w:r w:rsidR="00E7783B" w:rsidRPr="00392C48">
              <w:rPr>
                <w:sz w:val="20"/>
                <w:szCs w:val="20"/>
              </w:rPr>
              <w:t xml:space="preserve"> (0.</w:t>
            </w:r>
            <w:r>
              <w:rPr>
                <w:sz w:val="20"/>
                <w:szCs w:val="20"/>
              </w:rPr>
              <w:t>4</w:t>
            </w:r>
            <w:r w:rsidR="00E7783B" w:rsidRPr="00392C4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2 (0.6)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4 (1.8)</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E7783B">
            <w:pPr>
              <w:autoSpaceDE w:val="0"/>
              <w:autoSpaceDN w:val="0"/>
              <w:adjustRightInd w:val="0"/>
              <w:rPr>
                <w:sz w:val="20"/>
                <w:szCs w:val="20"/>
              </w:rPr>
            </w:pPr>
            <w:r w:rsidRPr="00392C48">
              <w:rPr>
                <w:sz w:val="20"/>
                <w:szCs w:val="20"/>
              </w:rPr>
              <w:t xml:space="preserve">  Vomiting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5 (0.3)</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 xml:space="preserve">0 (0.0)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 xml:space="preserve">0 (0.0) </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3 (1.3)</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Musculoskeletal and</w:t>
            </w:r>
          </w:p>
          <w:p w:rsidR="00E7783B" w:rsidRPr="00AE2C90" w:rsidRDefault="00E7783B" w:rsidP="00E7783B">
            <w:pPr>
              <w:autoSpaceDE w:val="0"/>
              <w:autoSpaceDN w:val="0"/>
              <w:adjustRightInd w:val="0"/>
              <w:rPr>
                <w:b/>
                <w:sz w:val="20"/>
                <w:szCs w:val="20"/>
              </w:rPr>
            </w:pPr>
            <w:r w:rsidRPr="00AE2C90">
              <w:rPr>
                <w:b/>
                <w:sz w:val="20"/>
                <w:szCs w:val="20"/>
              </w:rPr>
              <w:t>connective tissue disorder</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681805" w:rsidP="00681805">
            <w:pPr>
              <w:autoSpaceDE w:val="0"/>
              <w:autoSpaceDN w:val="0"/>
              <w:adjustRightInd w:val="0"/>
              <w:jc w:val="center"/>
              <w:rPr>
                <w:sz w:val="20"/>
                <w:szCs w:val="20"/>
              </w:rPr>
            </w:pPr>
            <w:r>
              <w:rPr>
                <w:sz w:val="20"/>
                <w:szCs w:val="20"/>
              </w:rPr>
              <w:t>53</w:t>
            </w:r>
            <w:r w:rsidR="00E7783B" w:rsidRPr="007B1E88">
              <w:rPr>
                <w:sz w:val="20"/>
                <w:szCs w:val="20"/>
              </w:rPr>
              <w:t xml:space="preserve"> (</w:t>
            </w:r>
            <w:r>
              <w:rPr>
                <w:sz w:val="20"/>
                <w:szCs w:val="20"/>
              </w:rPr>
              <w:t>3</w:t>
            </w:r>
            <w:r w:rsidR="00E7783B" w:rsidRPr="007B1E88">
              <w:rPr>
                <w:sz w:val="20"/>
                <w:szCs w:val="20"/>
              </w:rPr>
              <w:t>.</w:t>
            </w:r>
            <w:r>
              <w:rPr>
                <w:sz w:val="20"/>
                <w:szCs w:val="20"/>
              </w:rPr>
              <w:t>0</w:t>
            </w:r>
            <w:r w:rsidR="00E7783B" w:rsidRPr="007B1E88">
              <w:rPr>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7 (2.0)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490D83" w:rsidP="00490D83">
            <w:pPr>
              <w:autoSpaceDE w:val="0"/>
              <w:autoSpaceDN w:val="0"/>
              <w:adjustRightInd w:val="0"/>
              <w:jc w:val="center"/>
              <w:rPr>
                <w:sz w:val="20"/>
                <w:szCs w:val="20"/>
              </w:rPr>
            </w:pPr>
            <w:r>
              <w:rPr>
                <w:sz w:val="20"/>
                <w:szCs w:val="20"/>
              </w:rPr>
              <w:t>21</w:t>
            </w:r>
            <w:r w:rsidR="00E7783B" w:rsidRPr="007B1E88">
              <w:rPr>
                <w:sz w:val="20"/>
                <w:szCs w:val="20"/>
              </w:rPr>
              <w:t xml:space="preserve"> (</w:t>
            </w:r>
            <w:r>
              <w:rPr>
                <w:sz w:val="20"/>
                <w:szCs w:val="20"/>
              </w:rPr>
              <w:t>2.</w:t>
            </w:r>
            <w:r w:rsidR="00E7783B" w:rsidRPr="007B1E88">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14 (4.0)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4 (1.8)</w:t>
            </w:r>
          </w:p>
        </w:tc>
      </w:tr>
      <w:tr w:rsidR="0068180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rPr>
                <w:sz w:val="20"/>
                <w:szCs w:val="20"/>
              </w:rPr>
            </w:pPr>
            <w:r>
              <w:rPr>
                <w:sz w:val="20"/>
                <w:szCs w:val="20"/>
              </w:rPr>
              <w:t xml:space="preserve">  Arthralgia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884604" w:rsidP="00884604">
            <w:pPr>
              <w:autoSpaceDE w:val="0"/>
              <w:autoSpaceDN w:val="0"/>
              <w:adjustRightInd w:val="0"/>
              <w:jc w:val="center"/>
              <w:rPr>
                <w:sz w:val="20"/>
                <w:szCs w:val="20"/>
              </w:rPr>
            </w:pPr>
            <w:r>
              <w:rPr>
                <w:sz w:val="20"/>
                <w:szCs w:val="20"/>
              </w:rPr>
              <w:t>9 (0.5)</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1 (0.1)</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681805">
            <w:pPr>
              <w:autoSpaceDE w:val="0"/>
              <w:autoSpaceDN w:val="0"/>
              <w:adjustRightInd w:val="0"/>
              <w:jc w:val="center"/>
              <w:rPr>
                <w:sz w:val="20"/>
                <w:szCs w:val="20"/>
              </w:rPr>
            </w:pPr>
            <w:r>
              <w:rPr>
                <w:sz w:val="20"/>
                <w:szCs w:val="20"/>
              </w:rPr>
              <w:t>4 (0.4)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1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E7783B" w:rsidP="00E7783B">
            <w:pPr>
              <w:autoSpaceDE w:val="0"/>
              <w:autoSpaceDN w:val="0"/>
              <w:adjustRightInd w:val="0"/>
              <w:rPr>
                <w:sz w:val="20"/>
                <w:szCs w:val="20"/>
              </w:rPr>
            </w:pPr>
            <w:r w:rsidRPr="00392C48">
              <w:rPr>
                <w:sz w:val="20"/>
                <w:szCs w:val="20"/>
              </w:rPr>
              <w:t xml:space="preserve">  Back pain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 xml:space="preserve">13 (0.8)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1 (0.3)</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884604" w:rsidP="00884604">
            <w:pPr>
              <w:autoSpaceDE w:val="0"/>
              <w:autoSpaceDN w:val="0"/>
              <w:adjustRightInd w:val="0"/>
              <w:jc w:val="center"/>
              <w:rPr>
                <w:sz w:val="20"/>
                <w:szCs w:val="20"/>
              </w:rPr>
            </w:pPr>
            <w:r>
              <w:rPr>
                <w:sz w:val="20"/>
                <w:szCs w:val="20"/>
              </w:rPr>
              <w:t>6</w:t>
            </w:r>
            <w:r w:rsidR="00E7783B" w:rsidRPr="00392C48">
              <w:rPr>
                <w:sz w:val="20"/>
                <w:szCs w:val="20"/>
              </w:rPr>
              <w:t xml:space="preserve"> (0.</w:t>
            </w:r>
            <w:r>
              <w:rPr>
                <w:sz w:val="20"/>
                <w:szCs w:val="20"/>
              </w:rPr>
              <w:t>6</w:t>
            </w:r>
            <w:r w:rsidR="00E7783B" w:rsidRPr="00392C4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8 (2.3)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2 (0.9)</w:t>
            </w:r>
          </w:p>
        </w:tc>
      </w:tr>
      <w:tr w:rsidR="0068180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rPr>
                <w:sz w:val="20"/>
                <w:szCs w:val="20"/>
              </w:rPr>
            </w:pPr>
            <w:r>
              <w:rPr>
                <w:sz w:val="20"/>
                <w:szCs w:val="20"/>
              </w:rPr>
              <w:t xml:space="preserve">  Myalgia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4 (0.2)</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681805">
            <w:pPr>
              <w:autoSpaceDE w:val="0"/>
              <w:autoSpaceDN w:val="0"/>
              <w:adjustRightInd w:val="0"/>
              <w:jc w:val="center"/>
              <w:rPr>
                <w:sz w:val="20"/>
                <w:szCs w:val="20"/>
              </w:rPr>
            </w:pPr>
            <w:r>
              <w:rPr>
                <w:sz w:val="20"/>
                <w:szCs w:val="20"/>
              </w:rPr>
              <w:t>1 (0.1)</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4 (0.4)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1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0 (0.0)</w:t>
            </w:r>
          </w:p>
        </w:tc>
      </w:tr>
      <w:tr w:rsidR="0068180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rPr>
                <w:sz w:val="20"/>
                <w:szCs w:val="20"/>
              </w:rPr>
            </w:pPr>
            <w:r>
              <w:rPr>
                <w:sz w:val="20"/>
                <w:szCs w:val="20"/>
              </w:rPr>
              <w:t xml:space="preserve">  Pain in extremity</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8 (0.5)</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3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392C48" w:rsidRDefault="00681805" w:rsidP="00E7783B">
            <w:pPr>
              <w:autoSpaceDE w:val="0"/>
              <w:autoSpaceDN w:val="0"/>
              <w:adjustRightInd w:val="0"/>
              <w:jc w:val="center"/>
              <w:rPr>
                <w:sz w:val="20"/>
                <w:szCs w:val="20"/>
              </w:rPr>
            </w:pPr>
            <w:r>
              <w:rPr>
                <w:sz w:val="20"/>
                <w:szCs w:val="20"/>
              </w:rPr>
              <w:t>1 (0.4)</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Injury, poisoning and procedural complications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D468A5" w:rsidP="00D468A5">
            <w:pPr>
              <w:autoSpaceDE w:val="0"/>
              <w:autoSpaceDN w:val="0"/>
              <w:adjustRightInd w:val="0"/>
              <w:jc w:val="center"/>
              <w:rPr>
                <w:sz w:val="20"/>
                <w:szCs w:val="20"/>
              </w:rPr>
            </w:pPr>
            <w:r>
              <w:rPr>
                <w:sz w:val="20"/>
                <w:szCs w:val="20"/>
              </w:rPr>
              <w:t>30</w:t>
            </w:r>
            <w:r w:rsidR="00E7783B" w:rsidRPr="007B1E88">
              <w:rPr>
                <w:sz w:val="20"/>
                <w:szCs w:val="20"/>
              </w:rPr>
              <w:t xml:space="preserve"> (1.7)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2 (0.6)</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2 (2.0)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D468A5" w:rsidP="00E7783B">
            <w:pPr>
              <w:autoSpaceDE w:val="0"/>
              <w:autoSpaceDN w:val="0"/>
              <w:adjustRightInd w:val="0"/>
              <w:jc w:val="center"/>
              <w:rPr>
                <w:sz w:val="20"/>
                <w:szCs w:val="20"/>
              </w:rPr>
            </w:pPr>
            <w:r>
              <w:rPr>
                <w:sz w:val="20"/>
                <w:szCs w:val="20"/>
              </w:rPr>
              <w:t>21</w:t>
            </w:r>
            <w:r w:rsidR="00E7783B" w:rsidRPr="007B1E88">
              <w:rPr>
                <w:sz w:val="20"/>
                <w:szCs w:val="20"/>
              </w:rPr>
              <w:t xml:space="preserve"> (2.1)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6 (1.7)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8 (3.6)</w:t>
            </w:r>
          </w:p>
        </w:tc>
      </w:tr>
      <w:tr w:rsidR="00D468A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rPr>
                <w:sz w:val="20"/>
                <w:szCs w:val="20"/>
              </w:rPr>
            </w:pPr>
            <w:r w:rsidRPr="00D468A5">
              <w:rPr>
                <w:sz w:val="20"/>
                <w:szCs w:val="20"/>
              </w:rPr>
              <w:t xml:space="preserve">  Fall</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Pr>
                <w:sz w:val="20"/>
                <w:szCs w:val="20"/>
              </w:rPr>
              <w:t>2</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Pr>
                <w:sz w:val="20"/>
                <w:szCs w:val="20"/>
              </w:rPr>
              <w:t>1 (0.1)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sidRPr="00B571A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sidRPr="00B571A8">
              <w:rPr>
                <w:sz w:val="20"/>
                <w:szCs w:val="20"/>
              </w:rPr>
              <w:t>0 (0.0)</w:t>
            </w:r>
          </w:p>
        </w:tc>
      </w:tr>
      <w:tr w:rsidR="00D468A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rPr>
                <w:sz w:val="20"/>
                <w:szCs w:val="20"/>
              </w:rPr>
            </w:pPr>
            <w:r w:rsidRPr="00D468A5">
              <w:rPr>
                <w:sz w:val="20"/>
                <w:szCs w:val="20"/>
              </w:rPr>
              <w:t xml:space="preserve">  Neck injury</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D468A5">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D468A5">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sidRPr="009E2FBC">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sidRPr="009E2FBC">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68A5" w:rsidRPr="00D468A5" w:rsidRDefault="00D468A5" w:rsidP="00E7783B">
            <w:pPr>
              <w:autoSpaceDE w:val="0"/>
              <w:autoSpaceDN w:val="0"/>
              <w:adjustRightInd w:val="0"/>
              <w:jc w:val="center"/>
              <w:rPr>
                <w:sz w:val="20"/>
                <w:szCs w:val="20"/>
              </w:rPr>
            </w:pPr>
            <w:r w:rsidRPr="009E2FBC">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Metabolism and nutrition disorders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5 (0.3)</w:t>
            </w:r>
          </w:p>
          <w:p w:rsidR="00E7783B" w:rsidRPr="007B1E88" w:rsidRDefault="00E7783B" w:rsidP="00E7783B">
            <w:pPr>
              <w:autoSpaceDE w:val="0"/>
              <w:autoSpaceDN w:val="0"/>
              <w:adjustRightInd w:val="0"/>
              <w:jc w:val="center"/>
              <w:rPr>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 xml:space="preserve">3 (0.9)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2 (2.0)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681805" w:rsidP="00681805">
            <w:pPr>
              <w:autoSpaceDE w:val="0"/>
              <w:autoSpaceDN w:val="0"/>
              <w:adjustRightInd w:val="0"/>
              <w:jc w:val="center"/>
              <w:rPr>
                <w:sz w:val="20"/>
                <w:szCs w:val="20"/>
              </w:rPr>
            </w:pPr>
            <w:r>
              <w:rPr>
                <w:sz w:val="20"/>
                <w:szCs w:val="20"/>
              </w:rPr>
              <w:t>4</w:t>
            </w:r>
            <w:r w:rsidR="00E7783B" w:rsidRPr="007B1E88">
              <w:rPr>
                <w:sz w:val="20"/>
                <w:szCs w:val="20"/>
              </w:rPr>
              <w:t xml:space="preserve"> (0.</w:t>
            </w:r>
            <w:r>
              <w:rPr>
                <w:sz w:val="20"/>
                <w:szCs w:val="20"/>
              </w:rPr>
              <w:t>4</w:t>
            </w:r>
            <w:r w:rsidR="00E7783B" w:rsidRPr="007B1E8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 xml:space="preserve"> 1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 (0.4)</w:t>
            </w:r>
          </w:p>
        </w:tc>
      </w:tr>
      <w:tr w:rsidR="0068180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rPr>
                <w:sz w:val="20"/>
                <w:szCs w:val="20"/>
              </w:rPr>
            </w:pPr>
            <w:r w:rsidRPr="00681805">
              <w:rPr>
                <w:sz w:val="20"/>
                <w:szCs w:val="20"/>
              </w:rPr>
              <w:t xml:space="preserve">  </w:t>
            </w:r>
            <w:proofErr w:type="spellStart"/>
            <w:r w:rsidRPr="00681805">
              <w:rPr>
                <w:sz w:val="20"/>
                <w:szCs w:val="20"/>
              </w:rPr>
              <w:t>Hypercholesterolaemia</w:t>
            </w:r>
            <w:proofErr w:type="spellEnd"/>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Pr>
                <w:sz w:val="20"/>
                <w:szCs w:val="20"/>
              </w:rPr>
              <w:t>2 (0.6)</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096F3F" w:rsidP="00096F3F">
            <w:pPr>
              <w:autoSpaceDE w:val="0"/>
              <w:autoSpaceDN w:val="0"/>
              <w:adjustRightInd w:val="0"/>
              <w:jc w:val="center"/>
              <w:rPr>
                <w:sz w:val="20"/>
                <w:szCs w:val="20"/>
              </w:rPr>
            </w:pPr>
            <w:r>
              <w:rPr>
                <w:sz w:val="20"/>
                <w:szCs w:val="20"/>
              </w:rPr>
              <w:t>1</w:t>
            </w:r>
            <w:r w:rsidR="00681805">
              <w:rPr>
                <w:sz w:val="20"/>
                <w:szCs w:val="20"/>
              </w:rPr>
              <w:t xml:space="preserve"> (0.1)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sidRPr="00CC0DFF">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sidRPr="00CC0DFF">
              <w:rPr>
                <w:sz w:val="20"/>
                <w:szCs w:val="20"/>
              </w:rPr>
              <w:t>0 (0.0)</w:t>
            </w:r>
          </w:p>
        </w:tc>
      </w:tr>
      <w:tr w:rsidR="00681805"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rPr>
                <w:sz w:val="20"/>
                <w:szCs w:val="20"/>
              </w:rPr>
            </w:pPr>
            <w:r>
              <w:rPr>
                <w:sz w:val="20"/>
                <w:szCs w:val="20"/>
              </w:rPr>
              <w:t xml:space="preserve">  Hyperlipidaemia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sidRPr="005A730A">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sidRPr="005A730A">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sidRPr="00E37AF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sidRPr="00E37AF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1805" w:rsidRPr="00681805" w:rsidRDefault="00681805" w:rsidP="00E7783B">
            <w:pPr>
              <w:autoSpaceDE w:val="0"/>
              <w:autoSpaceDN w:val="0"/>
              <w:adjustRightInd w:val="0"/>
              <w:jc w:val="center"/>
              <w:rPr>
                <w:sz w:val="20"/>
                <w:szCs w:val="20"/>
              </w:rPr>
            </w:pPr>
            <w:r w:rsidRPr="00E37AF8">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 xml:space="preserve">Vascular disorders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490D83" w:rsidP="00490D83">
            <w:pPr>
              <w:autoSpaceDE w:val="0"/>
              <w:autoSpaceDN w:val="0"/>
              <w:adjustRightInd w:val="0"/>
              <w:jc w:val="center"/>
              <w:rPr>
                <w:sz w:val="20"/>
                <w:szCs w:val="20"/>
              </w:rPr>
            </w:pPr>
            <w:r>
              <w:rPr>
                <w:sz w:val="20"/>
                <w:szCs w:val="20"/>
              </w:rPr>
              <w:t>9</w:t>
            </w:r>
            <w:r w:rsidR="00E7783B" w:rsidRPr="007B1E88">
              <w:rPr>
                <w:sz w:val="20"/>
                <w:szCs w:val="20"/>
              </w:rPr>
              <w:t xml:space="preserve"> (0.</w:t>
            </w:r>
            <w:r>
              <w:rPr>
                <w:sz w:val="20"/>
                <w:szCs w:val="20"/>
              </w:rPr>
              <w:t>5</w:t>
            </w:r>
            <w:r w:rsidR="00E7783B" w:rsidRPr="007B1E88">
              <w:rPr>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6 (1.7)</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490D83" w:rsidP="00490D83">
            <w:pPr>
              <w:autoSpaceDE w:val="0"/>
              <w:autoSpaceDN w:val="0"/>
              <w:adjustRightInd w:val="0"/>
              <w:jc w:val="center"/>
              <w:rPr>
                <w:sz w:val="20"/>
                <w:szCs w:val="20"/>
              </w:rPr>
            </w:pPr>
            <w:r>
              <w:rPr>
                <w:sz w:val="20"/>
                <w:szCs w:val="20"/>
              </w:rPr>
              <w:t>3</w:t>
            </w:r>
            <w:r w:rsidR="00E7783B" w:rsidRPr="007B1E88">
              <w:rPr>
                <w:sz w:val="20"/>
                <w:szCs w:val="20"/>
              </w:rPr>
              <w:t xml:space="preserve"> (0.</w:t>
            </w:r>
            <w:r>
              <w:rPr>
                <w:sz w:val="20"/>
                <w:szCs w:val="20"/>
              </w:rPr>
              <w:t>3</w:t>
            </w:r>
            <w:r w:rsidR="00E7783B" w:rsidRPr="007B1E8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3 (0.9)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rPr>
                <w:sz w:val="20"/>
                <w:szCs w:val="20"/>
              </w:rPr>
            </w:pPr>
            <w:r w:rsidRPr="00392C48">
              <w:rPr>
                <w:sz w:val="20"/>
                <w:szCs w:val="20"/>
              </w:rPr>
              <w:t xml:space="preserve">  Hypertension </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392C48" w:rsidRDefault="00490D83" w:rsidP="00490D83">
            <w:pPr>
              <w:autoSpaceDE w:val="0"/>
              <w:autoSpaceDN w:val="0"/>
              <w:adjustRightInd w:val="0"/>
              <w:jc w:val="center"/>
              <w:rPr>
                <w:sz w:val="20"/>
                <w:szCs w:val="20"/>
              </w:rPr>
            </w:pPr>
            <w:r>
              <w:rPr>
                <w:sz w:val="20"/>
                <w:szCs w:val="20"/>
              </w:rPr>
              <w:t>5</w:t>
            </w:r>
            <w:r w:rsidR="00E7783B" w:rsidRPr="00392C48">
              <w:rPr>
                <w:sz w:val="20"/>
                <w:szCs w:val="20"/>
              </w:rPr>
              <w:t xml:space="preserve"> (0.</w:t>
            </w:r>
            <w:r>
              <w:rPr>
                <w:sz w:val="20"/>
                <w:szCs w:val="20"/>
              </w:rPr>
              <w:t>3</w:t>
            </w:r>
            <w:r w:rsidR="00E7783B" w:rsidRPr="00392C48">
              <w:rPr>
                <w:sz w:val="20"/>
                <w:szCs w:val="20"/>
              </w:rPr>
              <w:t>)</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4 (1.2)</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490D83" w:rsidP="00490D83">
            <w:pPr>
              <w:autoSpaceDE w:val="0"/>
              <w:autoSpaceDN w:val="0"/>
              <w:adjustRightInd w:val="0"/>
              <w:jc w:val="center"/>
              <w:rPr>
                <w:sz w:val="20"/>
                <w:szCs w:val="20"/>
              </w:rPr>
            </w:pPr>
            <w:r>
              <w:rPr>
                <w:sz w:val="20"/>
                <w:szCs w:val="20"/>
              </w:rPr>
              <w:t>3</w:t>
            </w:r>
            <w:r w:rsidR="00E7783B" w:rsidRPr="00392C48">
              <w:rPr>
                <w:sz w:val="20"/>
                <w:szCs w:val="20"/>
              </w:rPr>
              <w:t xml:space="preserve"> (0.</w:t>
            </w:r>
            <w:r>
              <w:rPr>
                <w:sz w:val="20"/>
                <w:szCs w:val="20"/>
              </w:rPr>
              <w:t>3</w:t>
            </w:r>
            <w:r w:rsidR="00E7783B" w:rsidRPr="00392C4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2 (0.6)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392C48">
              <w:rPr>
                <w:sz w:val="20"/>
                <w:szCs w:val="20"/>
              </w:rPr>
              <w:t>0 (0.0)</w:t>
            </w:r>
          </w:p>
        </w:tc>
      </w:tr>
      <w:tr w:rsidR="00E7783B"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E7783B" w:rsidRPr="00AE2C90" w:rsidRDefault="00E7783B" w:rsidP="00E7783B">
            <w:pPr>
              <w:autoSpaceDE w:val="0"/>
              <w:autoSpaceDN w:val="0"/>
              <w:adjustRightInd w:val="0"/>
              <w:rPr>
                <w:b/>
                <w:sz w:val="20"/>
                <w:szCs w:val="20"/>
              </w:rPr>
            </w:pPr>
            <w:r w:rsidRPr="00AE2C90">
              <w:rPr>
                <w:b/>
                <w:sz w:val="20"/>
                <w:szCs w:val="20"/>
              </w:rPr>
              <w:t>Neoplasms benign,</w:t>
            </w:r>
          </w:p>
          <w:p w:rsidR="00E7783B" w:rsidRPr="00AE2C90" w:rsidRDefault="00E7783B" w:rsidP="00AA3606">
            <w:pPr>
              <w:autoSpaceDE w:val="0"/>
              <w:autoSpaceDN w:val="0"/>
              <w:adjustRightInd w:val="0"/>
              <w:rPr>
                <w:b/>
                <w:sz w:val="20"/>
                <w:szCs w:val="20"/>
              </w:rPr>
            </w:pPr>
            <w:r w:rsidRPr="00AE2C90">
              <w:rPr>
                <w:b/>
                <w:sz w:val="20"/>
                <w:szCs w:val="20"/>
              </w:rPr>
              <w:t>malignant and unspecified (incl</w:t>
            </w:r>
            <w:r w:rsidR="00490D83">
              <w:rPr>
                <w:b/>
                <w:sz w:val="20"/>
                <w:szCs w:val="20"/>
              </w:rPr>
              <w:t>uding</w:t>
            </w:r>
            <w:r w:rsidRPr="00AE2C90">
              <w:rPr>
                <w:b/>
                <w:sz w:val="20"/>
                <w:szCs w:val="20"/>
              </w:rPr>
              <w:t xml:space="preserve"> cysts </w:t>
            </w:r>
            <w:r w:rsidR="00AA3606">
              <w:rPr>
                <w:b/>
                <w:sz w:val="20"/>
                <w:szCs w:val="20"/>
              </w:rPr>
              <w:t>&amp;</w:t>
            </w:r>
            <w:r w:rsidRPr="00AE2C90">
              <w:rPr>
                <w:b/>
                <w:sz w:val="20"/>
                <w:szCs w:val="20"/>
              </w:rPr>
              <w:t>polyps)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 xml:space="preserve">1 (0.1) </w:t>
            </w:r>
          </w:p>
          <w:p w:rsidR="00E7783B" w:rsidRPr="007B1E88" w:rsidRDefault="00E7783B" w:rsidP="00E7783B">
            <w:pPr>
              <w:autoSpaceDE w:val="0"/>
              <w:autoSpaceDN w:val="0"/>
              <w:adjustRightInd w:val="0"/>
              <w:jc w:val="center"/>
              <w:rPr>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3 (3.0)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1 (0.3)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83B" w:rsidRPr="007B1E88" w:rsidRDefault="00E7783B" w:rsidP="00E7783B">
            <w:pPr>
              <w:autoSpaceDE w:val="0"/>
              <w:autoSpaceDN w:val="0"/>
              <w:adjustRightInd w:val="0"/>
              <w:jc w:val="center"/>
              <w:rPr>
                <w:sz w:val="20"/>
                <w:szCs w:val="20"/>
              </w:rPr>
            </w:pPr>
            <w:r w:rsidRPr="007B1E88">
              <w:rPr>
                <w:sz w:val="20"/>
                <w:szCs w:val="20"/>
              </w:rPr>
              <w:t>0 (0.0)</w:t>
            </w:r>
          </w:p>
        </w:tc>
      </w:tr>
      <w:tr w:rsidR="00490D83"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rPr>
                <w:sz w:val="20"/>
                <w:szCs w:val="20"/>
              </w:rPr>
            </w:pPr>
            <w:r>
              <w:rPr>
                <w:sz w:val="20"/>
                <w:szCs w:val="20"/>
              </w:rPr>
              <w:t xml:space="preserve">  Melanocytic naevus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3B2969">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3B2969">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3B2969">
              <w:rPr>
                <w:sz w:val="20"/>
                <w:szCs w:val="20"/>
              </w:rPr>
              <w:t>0 (0.0)</w:t>
            </w:r>
          </w:p>
        </w:tc>
      </w:tr>
      <w:tr w:rsidR="00490D83"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rPr>
                <w:sz w:val="20"/>
                <w:szCs w:val="20"/>
              </w:rPr>
            </w:pPr>
            <w:r>
              <w:rPr>
                <w:sz w:val="20"/>
                <w:szCs w:val="20"/>
              </w:rPr>
              <w:t xml:space="preserve">  Prostatic adenoma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0937FB">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0937FB">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50657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506578">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506578">
              <w:rPr>
                <w:sz w:val="20"/>
                <w:szCs w:val="20"/>
              </w:rPr>
              <w:t>0 (0.0)</w:t>
            </w:r>
          </w:p>
        </w:tc>
      </w:tr>
      <w:tr w:rsidR="00FB0E1D"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FB0E1D" w:rsidRPr="00490D83" w:rsidRDefault="00FB0E1D" w:rsidP="00E7783B">
            <w:pPr>
              <w:autoSpaceDE w:val="0"/>
              <w:autoSpaceDN w:val="0"/>
              <w:adjustRightInd w:val="0"/>
              <w:rPr>
                <w:sz w:val="20"/>
                <w:szCs w:val="20"/>
              </w:rPr>
            </w:pPr>
            <w:r>
              <w:rPr>
                <w:sz w:val="20"/>
                <w:szCs w:val="20"/>
              </w:rPr>
              <w:lastRenderedPageBreak/>
              <w:t xml:space="preserve">  Skin papilloma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FB0E1D" w:rsidRPr="00490D83" w:rsidRDefault="00FB0E1D" w:rsidP="00E7783B">
            <w:pPr>
              <w:autoSpaceDE w:val="0"/>
              <w:autoSpaceDN w:val="0"/>
              <w:adjustRightInd w:val="0"/>
              <w:jc w:val="center"/>
              <w:rPr>
                <w:sz w:val="20"/>
                <w:szCs w:val="20"/>
              </w:rPr>
            </w:pPr>
            <w:r w:rsidRPr="0054530C">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jc w:val="center"/>
              <w:rPr>
                <w:sz w:val="20"/>
                <w:szCs w:val="20"/>
              </w:rPr>
            </w:pPr>
            <w:r w:rsidRPr="0054530C">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jc w:val="center"/>
              <w:rPr>
                <w:sz w:val="20"/>
                <w:szCs w:val="20"/>
              </w:rPr>
            </w:pPr>
            <w:r w:rsidRPr="00CF5345">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jc w:val="center"/>
              <w:rPr>
                <w:sz w:val="20"/>
                <w:szCs w:val="20"/>
              </w:rPr>
            </w:pPr>
            <w:r w:rsidRPr="00CF5345">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E1D" w:rsidRPr="00FB0E1D" w:rsidRDefault="00FB0E1D" w:rsidP="00E7783B">
            <w:pPr>
              <w:autoSpaceDE w:val="0"/>
              <w:autoSpaceDN w:val="0"/>
              <w:adjustRightInd w:val="0"/>
              <w:jc w:val="center"/>
              <w:rPr>
                <w:sz w:val="20"/>
                <w:szCs w:val="20"/>
              </w:rPr>
            </w:pPr>
            <w:r w:rsidRPr="00CF5345">
              <w:rPr>
                <w:sz w:val="20"/>
                <w:szCs w:val="20"/>
              </w:rPr>
              <w:t>0 (0.0)</w:t>
            </w:r>
          </w:p>
        </w:tc>
      </w:tr>
      <w:tr w:rsidR="00490D83"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rPr>
                <w:b/>
                <w:sz w:val="20"/>
                <w:szCs w:val="20"/>
              </w:rPr>
            </w:pPr>
            <w:r w:rsidRPr="00490D83">
              <w:rPr>
                <w:b/>
                <w:sz w:val="20"/>
                <w:szCs w:val="20"/>
              </w:rPr>
              <w:t xml:space="preserve">Surgical and medical </w:t>
            </w:r>
          </w:p>
          <w:p w:rsidR="00490D83" w:rsidRPr="00490D83" w:rsidRDefault="00490D83" w:rsidP="00E7783B">
            <w:pPr>
              <w:autoSpaceDE w:val="0"/>
              <w:autoSpaceDN w:val="0"/>
              <w:adjustRightInd w:val="0"/>
              <w:rPr>
                <w:sz w:val="20"/>
                <w:szCs w:val="20"/>
              </w:rPr>
            </w:pPr>
            <w:r w:rsidRPr="00490D83">
              <w:rPr>
                <w:b/>
                <w:sz w:val="20"/>
                <w:szCs w:val="20"/>
              </w:rPr>
              <w:t>procedures</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3 (0.2)</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1 (0.3)</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933194">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933194">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933194">
              <w:rPr>
                <w:sz w:val="20"/>
                <w:szCs w:val="20"/>
              </w:rPr>
              <w:t>0 (0.0)</w:t>
            </w:r>
          </w:p>
        </w:tc>
      </w:tr>
      <w:tr w:rsidR="00490D83" w:rsidRPr="00392C48" w:rsidTr="002C3E27">
        <w:tc>
          <w:tcPr>
            <w:tcW w:w="2518" w:type="dxa"/>
            <w:tcBorders>
              <w:top w:val="single" w:sz="4" w:space="0" w:color="auto"/>
              <w:left w:val="single" w:sz="4" w:space="0" w:color="auto"/>
              <w:bottom w:val="single" w:sz="4" w:space="0" w:color="auto"/>
              <w:right w:val="single" w:sz="4" w:space="0" w:color="auto"/>
            </w:tcBorders>
            <w:shd w:val="clear" w:color="auto" w:fill="auto"/>
          </w:tcPr>
          <w:p w:rsidR="00490D83" w:rsidRDefault="00490D83" w:rsidP="00E7783B">
            <w:pPr>
              <w:autoSpaceDE w:val="0"/>
              <w:autoSpaceDN w:val="0"/>
              <w:adjustRightInd w:val="0"/>
              <w:rPr>
                <w:sz w:val="20"/>
                <w:szCs w:val="20"/>
              </w:rPr>
            </w:pPr>
            <w:r>
              <w:rPr>
                <w:sz w:val="20"/>
                <w:szCs w:val="20"/>
              </w:rPr>
              <w:t xml:space="preserve">  Dental prosthesis </w:t>
            </w:r>
          </w:p>
          <w:p w:rsidR="00490D83" w:rsidRPr="00490D83" w:rsidRDefault="00490D83" w:rsidP="00E7783B">
            <w:pPr>
              <w:autoSpaceDE w:val="0"/>
              <w:autoSpaceDN w:val="0"/>
              <w:adjustRightInd w:val="0"/>
              <w:rPr>
                <w:sz w:val="20"/>
                <w:szCs w:val="20"/>
              </w:rPr>
            </w:pPr>
            <w:r>
              <w:rPr>
                <w:sz w:val="20"/>
                <w:szCs w:val="20"/>
              </w:rPr>
              <w:t xml:space="preserve">  placement</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0 (0.0)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Pr>
                <w:sz w:val="20"/>
                <w:szCs w:val="20"/>
              </w:rPr>
              <w:t>1 (1.0)</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3E0680">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3E0680">
              <w:rPr>
                <w:sz w:val="20"/>
                <w:szCs w:val="20"/>
              </w:rPr>
              <w:t>0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0D83" w:rsidRPr="00490D83" w:rsidRDefault="00490D83" w:rsidP="00E7783B">
            <w:pPr>
              <w:autoSpaceDE w:val="0"/>
              <w:autoSpaceDN w:val="0"/>
              <w:adjustRightInd w:val="0"/>
              <w:jc w:val="center"/>
              <w:rPr>
                <w:sz w:val="20"/>
                <w:szCs w:val="20"/>
              </w:rPr>
            </w:pPr>
            <w:r w:rsidRPr="003E0680">
              <w:rPr>
                <w:sz w:val="20"/>
                <w:szCs w:val="20"/>
              </w:rPr>
              <w:t>0 (0.0)</w:t>
            </w:r>
          </w:p>
        </w:tc>
      </w:tr>
    </w:tbl>
    <w:p w:rsidR="00E7783B" w:rsidRPr="00577862" w:rsidRDefault="00E7783B" w:rsidP="00E7783B">
      <w:pPr>
        <w:rPr>
          <w:sz w:val="20"/>
          <w:szCs w:val="20"/>
        </w:rPr>
      </w:pPr>
      <w:r w:rsidRPr="00577862">
        <w:rPr>
          <w:sz w:val="20"/>
          <w:szCs w:val="20"/>
        </w:rPr>
        <w:t xml:space="preserve">FLT = FLUTIFORM, FP+FF = </w:t>
      </w:r>
      <w:proofErr w:type="spellStart"/>
      <w:r w:rsidRPr="00577862">
        <w:rPr>
          <w:sz w:val="20"/>
          <w:szCs w:val="20"/>
        </w:rPr>
        <w:t>fluticasone</w:t>
      </w:r>
      <w:proofErr w:type="spellEnd"/>
      <w:r w:rsidRPr="00577862">
        <w:rPr>
          <w:sz w:val="20"/>
          <w:szCs w:val="20"/>
        </w:rPr>
        <w:t xml:space="preserve"> + </w:t>
      </w:r>
      <w:proofErr w:type="spellStart"/>
      <w:r w:rsidRPr="00577862">
        <w:rPr>
          <w:sz w:val="20"/>
          <w:szCs w:val="20"/>
        </w:rPr>
        <w:t>eformoterol</w:t>
      </w:r>
      <w:proofErr w:type="spellEnd"/>
      <w:r w:rsidRPr="00577862">
        <w:rPr>
          <w:sz w:val="20"/>
          <w:szCs w:val="20"/>
        </w:rPr>
        <w:t xml:space="preserve">, SER = </w:t>
      </w:r>
      <w:proofErr w:type="spellStart"/>
      <w:r w:rsidRPr="00577862">
        <w:rPr>
          <w:sz w:val="20"/>
          <w:szCs w:val="20"/>
        </w:rPr>
        <w:t>Serotide</w:t>
      </w:r>
      <w:proofErr w:type="spellEnd"/>
      <w:r w:rsidRPr="00577862">
        <w:rPr>
          <w:sz w:val="20"/>
          <w:szCs w:val="20"/>
        </w:rPr>
        <w:t xml:space="preserve">, FP = </w:t>
      </w:r>
      <w:proofErr w:type="spellStart"/>
      <w:r w:rsidRPr="00577862">
        <w:rPr>
          <w:sz w:val="20"/>
          <w:szCs w:val="20"/>
        </w:rPr>
        <w:t>fluticasone</w:t>
      </w:r>
      <w:proofErr w:type="spellEnd"/>
      <w:r w:rsidRPr="00577862">
        <w:rPr>
          <w:sz w:val="20"/>
          <w:szCs w:val="20"/>
        </w:rPr>
        <w:t xml:space="preserve">, FF = </w:t>
      </w:r>
      <w:proofErr w:type="spellStart"/>
      <w:r w:rsidRPr="00577862">
        <w:rPr>
          <w:sz w:val="20"/>
          <w:szCs w:val="20"/>
        </w:rPr>
        <w:t>eformoterol</w:t>
      </w:r>
      <w:proofErr w:type="spellEnd"/>
      <w:r w:rsidRPr="00577862">
        <w:rPr>
          <w:sz w:val="20"/>
          <w:szCs w:val="20"/>
        </w:rPr>
        <w:t>, PBO = placebo</w:t>
      </w:r>
    </w:p>
    <w:p w:rsidR="00533FDD" w:rsidRPr="00577862" w:rsidRDefault="00E7783B" w:rsidP="00E7783B">
      <w:r w:rsidRPr="00577862">
        <w:rPr>
          <w:sz w:val="20"/>
          <w:szCs w:val="20"/>
        </w:rPr>
        <w:t>N = no. of subjects in treatment group, n = no. of subjects with events in specified category, % = percentage based on N</w:t>
      </w:r>
    </w:p>
    <w:p w:rsidR="004A6668" w:rsidRPr="00577862" w:rsidRDefault="004A6668" w:rsidP="00B761B2">
      <w:pPr>
        <w:pStyle w:val="Heading3"/>
      </w:pPr>
      <w:r w:rsidRPr="00577862">
        <w:t>Patient exposure</w:t>
      </w:r>
    </w:p>
    <w:p w:rsidR="00EF578C" w:rsidRPr="00577862" w:rsidRDefault="004A6668" w:rsidP="000649D6">
      <w:pPr>
        <w:autoSpaceDE w:val="0"/>
        <w:autoSpaceDN w:val="0"/>
        <w:adjustRightInd w:val="0"/>
        <w:ind w:right="-360"/>
        <w:jc w:val="both"/>
        <w:rPr>
          <w:rFonts w:eastAsia="TimesNewRoman"/>
        </w:rPr>
      </w:pPr>
      <w:r w:rsidRPr="00577862">
        <w:rPr>
          <w:rFonts w:eastAsia="TimesNewRoman"/>
        </w:rPr>
        <w:t>A total of 1,746 adult and adolescent patients with mild to severe asthma have been treated with FLUTIFORM</w:t>
      </w:r>
      <w:r w:rsidRPr="00577862">
        <w:rPr>
          <w:rFonts w:eastAsia="TimesNewRoman"/>
          <w:vertAlign w:val="superscript"/>
        </w:rPr>
        <w:t>®</w:t>
      </w:r>
      <w:r w:rsidRPr="00577862">
        <w:rPr>
          <w:rFonts w:eastAsia="TimesNewRoman"/>
        </w:rPr>
        <w:t xml:space="preserve"> inhaler in clinical phase 3 studies.  A pooled analysis of safety was conducted and the results from eight pooled phase 3 trials are presented in Tables 1 and 2, above.  The studies were all 12 weeks in duration, apart from one study which was up to 52 weeks and one which was 8 weeks.  Additionally, a total of 337 subjects were treated with FLUTIFORM</w:t>
      </w:r>
      <w:r w:rsidRPr="00577862">
        <w:rPr>
          <w:rFonts w:eastAsia="TimesNewRoman"/>
          <w:vertAlign w:val="superscript"/>
        </w:rPr>
        <w:t>®</w:t>
      </w:r>
      <w:r w:rsidRPr="00577862">
        <w:rPr>
          <w:rFonts w:eastAsia="TimesNewRoman"/>
        </w:rPr>
        <w:t xml:space="preserve"> inhaler in four Phase 1 and Phase 2 single-dose studies, making a total of over 2,000 patients who have received at least one dose of FLUTIFORM</w:t>
      </w:r>
      <w:r w:rsidRPr="00577862">
        <w:rPr>
          <w:rFonts w:eastAsia="TimesNewRoman"/>
          <w:vertAlign w:val="superscript"/>
        </w:rPr>
        <w:t>®</w:t>
      </w:r>
      <w:r w:rsidRPr="00577862">
        <w:rPr>
          <w:rFonts w:eastAsia="TimesNewRoman"/>
        </w:rPr>
        <w:t xml:space="preserve"> inhaler.  No long-term studies beyond 12 weeks were conducted at the highest FLUTIFORM</w:t>
      </w:r>
      <w:r w:rsidRPr="00577862">
        <w:rPr>
          <w:rFonts w:eastAsia="TimesNewRoman"/>
          <w:vertAlign w:val="superscript"/>
        </w:rPr>
        <w:t>®</w:t>
      </w:r>
      <w:r w:rsidRPr="00577862">
        <w:rPr>
          <w:rFonts w:eastAsia="TimesNewRoman"/>
        </w:rPr>
        <w:t xml:space="preserve"> dose (500/20 microgram).</w:t>
      </w:r>
    </w:p>
    <w:p w:rsidR="009A0E88" w:rsidRPr="00577862" w:rsidRDefault="005728FA" w:rsidP="00B761B2">
      <w:pPr>
        <w:autoSpaceDE w:val="0"/>
        <w:autoSpaceDN w:val="0"/>
        <w:adjustRightInd w:val="0"/>
        <w:spacing w:before="100" w:beforeAutospacing="1" w:after="100" w:afterAutospacing="1"/>
        <w:ind w:right="-357"/>
        <w:jc w:val="both"/>
        <w:rPr>
          <w:rFonts w:eastAsia="TimesNewRoman"/>
        </w:rPr>
      </w:pPr>
      <w:r w:rsidRPr="00577862">
        <w:rPr>
          <w:rFonts w:eastAsia="TimesNewRoman"/>
        </w:rPr>
        <w:t xml:space="preserve">Since </w:t>
      </w:r>
      <w:r w:rsidR="00D058BC" w:rsidRPr="00577862">
        <w:rPr>
          <w:rFonts w:eastAsia="TimesNewRoman"/>
        </w:rPr>
        <w:t>FLUTIFORM</w:t>
      </w:r>
      <w:r w:rsidR="0099502F" w:rsidRPr="00577862">
        <w:rPr>
          <w:rFonts w:eastAsia="TimesNewRoman"/>
          <w:vertAlign w:val="superscript"/>
        </w:rPr>
        <w:t>®</w:t>
      </w:r>
      <w:r w:rsidR="00D058BC" w:rsidRPr="00577862">
        <w:rPr>
          <w:rFonts w:eastAsia="TimesNewRoman"/>
        </w:rPr>
        <w:t xml:space="preserve"> </w:t>
      </w:r>
      <w:r w:rsidR="00381D65" w:rsidRPr="00577862">
        <w:rPr>
          <w:rFonts w:eastAsia="TimesNewRoman"/>
        </w:rPr>
        <w:t>inhaler</w:t>
      </w:r>
      <w:r w:rsidRPr="00577862">
        <w:rPr>
          <w:rFonts w:eastAsia="TimesNewRoman"/>
        </w:rPr>
        <w:t xml:space="preserve"> contains both </w:t>
      </w:r>
      <w:proofErr w:type="spellStart"/>
      <w:r w:rsidRPr="00577862">
        <w:rPr>
          <w:rFonts w:eastAsia="TimesNewRoman"/>
        </w:rPr>
        <w:t>fluticasone</w:t>
      </w:r>
      <w:proofErr w:type="spellEnd"/>
      <w:r w:rsidRPr="00577862">
        <w:rPr>
          <w:rFonts w:eastAsia="TimesNewRoman"/>
        </w:rPr>
        <w:t xml:space="preserve"> propionate and </w:t>
      </w:r>
      <w:proofErr w:type="spellStart"/>
      <w:r w:rsidR="00270FC4" w:rsidRPr="00577862">
        <w:rPr>
          <w:rFonts w:eastAsia="TimesNewRoman"/>
        </w:rPr>
        <w:t>eformoterol</w:t>
      </w:r>
      <w:proofErr w:type="spellEnd"/>
      <w:r w:rsidRPr="00577862">
        <w:rPr>
          <w:rFonts w:eastAsia="TimesNewRoman"/>
        </w:rPr>
        <w:t xml:space="preserve"> </w:t>
      </w:r>
      <w:proofErr w:type="spellStart"/>
      <w:r w:rsidRPr="00577862">
        <w:rPr>
          <w:rFonts w:eastAsia="TimesNewRoman"/>
        </w:rPr>
        <w:t>fumarate</w:t>
      </w:r>
      <w:proofErr w:type="spellEnd"/>
      <w:r w:rsidRPr="00577862">
        <w:rPr>
          <w:rFonts w:eastAsia="TimesNewRoman"/>
        </w:rPr>
        <w:t>, the same pattern of</w:t>
      </w:r>
      <w:r w:rsidR="009A0E88" w:rsidRPr="00577862">
        <w:rPr>
          <w:rFonts w:eastAsia="TimesNewRoman"/>
        </w:rPr>
        <w:t xml:space="preserve"> </w:t>
      </w:r>
      <w:r w:rsidRPr="00577862">
        <w:rPr>
          <w:rFonts w:eastAsia="TimesNewRoman"/>
        </w:rPr>
        <w:t>undesirable effects as reported for these substances may occur</w:t>
      </w:r>
      <w:r w:rsidR="00BD03D1" w:rsidRPr="00577862">
        <w:rPr>
          <w:rFonts w:eastAsia="TimesNewRoman"/>
        </w:rPr>
        <w:t>, as indicated below, although these</w:t>
      </w:r>
      <w:r w:rsidRPr="00577862">
        <w:rPr>
          <w:rFonts w:eastAsia="TimesNewRoman"/>
        </w:rPr>
        <w:t xml:space="preserve"> have not been seen during the clinical development of </w:t>
      </w:r>
      <w:r w:rsidR="00D058BC" w:rsidRPr="00577862">
        <w:rPr>
          <w:rFonts w:eastAsia="TimesNewRoman"/>
        </w:rPr>
        <w:t>FLUTIFORM</w:t>
      </w:r>
      <w:r w:rsidR="0099502F" w:rsidRPr="00577862">
        <w:rPr>
          <w:rFonts w:eastAsia="TimesNewRoman"/>
          <w:vertAlign w:val="superscript"/>
        </w:rPr>
        <w:t>®</w:t>
      </w:r>
      <w:r w:rsidR="00D058BC" w:rsidRPr="00577862">
        <w:rPr>
          <w:rFonts w:eastAsia="TimesNewRoman"/>
        </w:rPr>
        <w:t xml:space="preserve"> </w:t>
      </w:r>
      <w:r w:rsidR="00381D65" w:rsidRPr="00577862">
        <w:rPr>
          <w:rFonts w:eastAsia="TimesNewRoman"/>
        </w:rPr>
        <w:t>inhaler</w:t>
      </w:r>
      <w:r w:rsidRPr="00577862">
        <w:rPr>
          <w:rFonts w:eastAsia="TimesNewRoman"/>
        </w:rPr>
        <w:t>:</w:t>
      </w:r>
    </w:p>
    <w:p w:rsidR="004043B7" w:rsidRPr="00577862" w:rsidRDefault="004043B7" w:rsidP="00B761B2">
      <w:pPr>
        <w:autoSpaceDE w:val="0"/>
        <w:autoSpaceDN w:val="0"/>
        <w:adjustRightInd w:val="0"/>
        <w:spacing w:before="100" w:beforeAutospacing="1" w:after="100" w:afterAutospacing="1"/>
        <w:ind w:right="-357"/>
        <w:jc w:val="both"/>
        <w:rPr>
          <w:rFonts w:eastAsia="TimesNewRoman"/>
        </w:rPr>
      </w:pPr>
      <w:r w:rsidRPr="00577862">
        <w:rPr>
          <w:rFonts w:eastAsia="TimesNewRoman"/>
          <w:i/>
        </w:rPr>
        <w:t>Fluticasone propionate</w:t>
      </w:r>
      <w:r w:rsidRPr="00577862">
        <w:rPr>
          <w:rFonts w:eastAsia="TimesNewRoman"/>
        </w:rPr>
        <w:t xml:space="preserve">: Hypersensitivity reactions including </w:t>
      </w:r>
      <w:proofErr w:type="spellStart"/>
      <w:r w:rsidRPr="00577862">
        <w:rPr>
          <w:rFonts w:eastAsia="TimesNewRoman"/>
        </w:rPr>
        <w:t>urticaria</w:t>
      </w:r>
      <w:proofErr w:type="spellEnd"/>
      <w:r w:rsidRPr="00577862">
        <w:rPr>
          <w:rFonts w:eastAsia="TimesNewRoman"/>
        </w:rPr>
        <w:t xml:space="preserve">, </w:t>
      </w:r>
      <w:proofErr w:type="spellStart"/>
      <w:r w:rsidRPr="00577862">
        <w:rPr>
          <w:rFonts w:eastAsia="TimesNewRoman"/>
        </w:rPr>
        <w:t>pruritus</w:t>
      </w:r>
      <w:proofErr w:type="spellEnd"/>
      <w:r w:rsidRPr="00577862">
        <w:rPr>
          <w:rFonts w:eastAsia="TimesNewRoman"/>
        </w:rPr>
        <w:t xml:space="preserve">, </w:t>
      </w:r>
      <w:proofErr w:type="spellStart"/>
      <w:r w:rsidRPr="00577862">
        <w:rPr>
          <w:rFonts w:eastAsia="TimesNewRoman"/>
        </w:rPr>
        <w:t>angioedema</w:t>
      </w:r>
      <w:proofErr w:type="spellEnd"/>
      <w:r w:rsidRPr="00577862">
        <w:rPr>
          <w:rFonts w:eastAsia="TimesNewRoman"/>
        </w:rPr>
        <w:t xml:space="preserve"> (mainly facial and </w:t>
      </w:r>
      <w:proofErr w:type="spellStart"/>
      <w:r w:rsidRPr="00577862">
        <w:rPr>
          <w:rFonts w:eastAsia="TimesNewRoman"/>
        </w:rPr>
        <w:t>oropharyngeal</w:t>
      </w:r>
      <w:proofErr w:type="spellEnd"/>
      <w:r w:rsidRPr="00577862">
        <w:rPr>
          <w:rFonts w:eastAsia="TimesNewRoman"/>
        </w:rPr>
        <w:t>), anaphylactic reactions</w:t>
      </w:r>
      <w:r w:rsidR="00FE2A91" w:rsidRPr="00577862">
        <w:rPr>
          <w:rFonts w:eastAsia="TimesNewRoman"/>
        </w:rPr>
        <w:t xml:space="preserve">.  Systemic effects of inhaled corticosteroids may occur, particularly at high dosages prescribed for prolonged periods.  These may include Cushing’s syndrome, </w:t>
      </w:r>
      <w:proofErr w:type="spellStart"/>
      <w:r w:rsidR="00FE2A91" w:rsidRPr="00577862">
        <w:rPr>
          <w:rFonts w:eastAsia="TimesNewRoman"/>
        </w:rPr>
        <w:t>Cushingoid</w:t>
      </w:r>
      <w:proofErr w:type="spellEnd"/>
      <w:r w:rsidR="00FE2A91" w:rsidRPr="00577862">
        <w:rPr>
          <w:rFonts w:eastAsia="TimesNewRoman"/>
        </w:rPr>
        <w:t xml:space="preserve"> features</w:t>
      </w:r>
      <w:r w:rsidRPr="00577862">
        <w:rPr>
          <w:rFonts w:eastAsia="TimesNewRoman"/>
        </w:rPr>
        <w:t xml:space="preserve">, adrenal suppression, </w:t>
      </w:r>
      <w:r w:rsidR="00A0399C" w:rsidRPr="00577862">
        <w:rPr>
          <w:rFonts w:eastAsia="TimesNewRoman"/>
        </w:rPr>
        <w:t xml:space="preserve">growth retardation in children and adolescents, decrease in bone mineral density, cataract and </w:t>
      </w:r>
      <w:r w:rsidRPr="00577862">
        <w:rPr>
          <w:rFonts w:eastAsia="TimesNewRoman"/>
        </w:rPr>
        <w:t>glaucoma</w:t>
      </w:r>
      <w:proofErr w:type="gramStart"/>
      <w:r w:rsidRPr="00577862">
        <w:rPr>
          <w:rFonts w:eastAsia="TimesNewRoman"/>
        </w:rPr>
        <w:t xml:space="preserve">, </w:t>
      </w:r>
      <w:r w:rsidR="00A0399C" w:rsidRPr="00577862">
        <w:rPr>
          <w:rFonts w:eastAsia="TimesNewRoman"/>
        </w:rPr>
        <w:t xml:space="preserve"> sleep</w:t>
      </w:r>
      <w:proofErr w:type="gramEnd"/>
      <w:r w:rsidR="00A0399C" w:rsidRPr="00577862">
        <w:rPr>
          <w:rFonts w:eastAsia="TimesNewRoman"/>
        </w:rPr>
        <w:t xml:space="preserve"> disorders, contusion, skin atrophy and susceptibility to infections.  The ability to adapt to stress may be impaired.  The systemic effects described, however, are much less likely to occur with inhaled corticosteroids than with oral corticosteroids</w:t>
      </w:r>
      <w:r w:rsidRPr="00577862">
        <w:rPr>
          <w:rFonts w:eastAsia="TimesNewRoman"/>
        </w:rPr>
        <w:t>.</w:t>
      </w:r>
      <w:r w:rsidR="00A0399C" w:rsidRPr="00577862">
        <w:rPr>
          <w:rFonts w:eastAsia="TimesNewRoman"/>
        </w:rPr>
        <w:t xml:space="preserve">  Prolonged treatment with high doses of inhaled corticosteroids may result in clinically significant adrenal suppression</w:t>
      </w:r>
      <w:r w:rsidRPr="00577862">
        <w:rPr>
          <w:rFonts w:eastAsia="TimesNewRoman"/>
        </w:rPr>
        <w:t xml:space="preserve"> </w:t>
      </w:r>
      <w:r w:rsidR="00A0399C" w:rsidRPr="00577862">
        <w:rPr>
          <w:rFonts w:eastAsia="TimesNewRoman"/>
        </w:rPr>
        <w:t>and acute adrenal crisis.  Additional systemic corticosteroid cover may be required during periods of stress (trauma, surgery, infection).</w:t>
      </w:r>
    </w:p>
    <w:p w:rsidR="009A0E88" w:rsidRPr="00577862" w:rsidRDefault="00270FC4" w:rsidP="00B761B2">
      <w:pPr>
        <w:autoSpaceDE w:val="0"/>
        <w:autoSpaceDN w:val="0"/>
        <w:adjustRightInd w:val="0"/>
        <w:spacing w:before="100" w:beforeAutospacing="1" w:after="100" w:afterAutospacing="1"/>
        <w:ind w:right="-357"/>
        <w:jc w:val="both"/>
        <w:rPr>
          <w:rFonts w:eastAsia="TimesNewRoman"/>
        </w:rPr>
      </w:pPr>
      <w:proofErr w:type="spellStart"/>
      <w:r w:rsidRPr="00577862">
        <w:rPr>
          <w:rFonts w:eastAsia="TimesNewRoman"/>
          <w:i/>
        </w:rPr>
        <w:t>Eformoterol</w:t>
      </w:r>
      <w:proofErr w:type="spellEnd"/>
      <w:r w:rsidR="005728FA" w:rsidRPr="00577862">
        <w:rPr>
          <w:rFonts w:eastAsia="TimesNewRoman"/>
          <w:i/>
        </w:rPr>
        <w:t xml:space="preserve"> </w:t>
      </w:r>
      <w:proofErr w:type="spellStart"/>
      <w:r w:rsidR="005728FA" w:rsidRPr="00577862">
        <w:rPr>
          <w:rFonts w:eastAsia="TimesNewRoman"/>
          <w:i/>
        </w:rPr>
        <w:t>fumarate</w:t>
      </w:r>
      <w:proofErr w:type="spellEnd"/>
      <w:r w:rsidR="00FB4E0C" w:rsidRPr="00577862">
        <w:rPr>
          <w:rFonts w:eastAsia="TimesNewRoman"/>
        </w:rPr>
        <w:t xml:space="preserve">:  </w:t>
      </w:r>
      <w:proofErr w:type="spellStart"/>
      <w:r w:rsidR="0053393F" w:rsidRPr="00577862">
        <w:rPr>
          <w:rFonts w:eastAsia="TimesNewRoman"/>
        </w:rPr>
        <w:t>H</w:t>
      </w:r>
      <w:r w:rsidR="005728FA" w:rsidRPr="00577862">
        <w:rPr>
          <w:rFonts w:eastAsia="TimesNewRoman"/>
        </w:rPr>
        <w:t>yp</w:t>
      </w:r>
      <w:r w:rsidR="006A5EED" w:rsidRPr="00577862">
        <w:rPr>
          <w:rFonts w:eastAsia="TimesNewRoman"/>
        </w:rPr>
        <w:t>ersenstivity</w:t>
      </w:r>
      <w:proofErr w:type="spellEnd"/>
      <w:r w:rsidR="00042D58" w:rsidRPr="00577862">
        <w:rPr>
          <w:rFonts w:eastAsia="TimesNewRoman"/>
        </w:rPr>
        <w:t xml:space="preserve"> </w:t>
      </w:r>
      <w:r w:rsidR="00A0399C" w:rsidRPr="00577862">
        <w:rPr>
          <w:rFonts w:eastAsia="TimesNewRoman"/>
        </w:rPr>
        <w:t xml:space="preserve">reactions (including hypotension, </w:t>
      </w:r>
      <w:proofErr w:type="spellStart"/>
      <w:r w:rsidR="00A0399C" w:rsidRPr="00577862">
        <w:rPr>
          <w:rFonts w:eastAsia="TimesNewRoman"/>
        </w:rPr>
        <w:t>angioneurotic</w:t>
      </w:r>
      <w:proofErr w:type="spellEnd"/>
      <w:r w:rsidR="00A0399C" w:rsidRPr="00577862">
        <w:rPr>
          <w:rFonts w:eastAsia="TimesNewRoman"/>
        </w:rPr>
        <w:t xml:space="preserve"> oedema, </w:t>
      </w:r>
      <w:proofErr w:type="spellStart"/>
      <w:r w:rsidR="005E3B42" w:rsidRPr="00577862">
        <w:rPr>
          <w:rFonts w:eastAsia="TimesNewRoman"/>
        </w:rPr>
        <w:t>pruiritus</w:t>
      </w:r>
      <w:proofErr w:type="spellEnd"/>
      <w:r w:rsidR="005E3B42" w:rsidRPr="00577862">
        <w:rPr>
          <w:rFonts w:eastAsia="TimesNewRoman"/>
        </w:rPr>
        <w:t xml:space="preserve">, </w:t>
      </w:r>
      <w:r w:rsidR="00A0399C" w:rsidRPr="00577862">
        <w:rPr>
          <w:rFonts w:eastAsia="TimesNewRoman"/>
        </w:rPr>
        <w:t xml:space="preserve">exanthema), </w:t>
      </w:r>
      <w:proofErr w:type="spellStart"/>
      <w:r w:rsidR="00A0399C" w:rsidRPr="00577862">
        <w:rPr>
          <w:rFonts w:eastAsia="TimesNewRoman"/>
        </w:rPr>
        <w:t>QTc</w:t>
      </w:r>
      <w:proofErr w:type="spellEnd"/>
      <w:r w:rsidR="00A0399C" w:rsidRPr="00577862">
        <w:rPr>
          <w:rFonts w:eastAsia="TimesNewRoman"/>
        </w:rPr>
        <w:t xml:space="preserve"> interval prolongation, </w:t>
      </w:r>
      <w:proofErr w:type="spellStart"/>
      <w:r w:rsidR="00A0399C" w:rsidRPr="00577862">
        <w:rPr>
          <w:rFonts w:eastAsia="TimesNewRoman"/>
        </w:rPr>
        <w:t>hypokalaemia</w:t>
      </w:r>
      <w:proofErr w:type="spellEnd"/>
      <w:r w:rsidR="00A0399C" w:rsidRPr="00577862">
        <w:rPr>
          <w:rFonts w:eastAsia="TimesNewRoman"/>
        </w:rPr>
        <w:t>, nausea, myalgia, increased blood lactate levels.  Treatment</w:t>
      </w:r>
      <w:r w:rsidR="005E3B42" w:rsidRPr="00577862">
        <w:rPr>
          <w:rFonts w:eastAsia="TimesNewRoman"/>
        </w:rPr>
        <w:t xml:space="preserve"> with</w:t>
      </w:r>
      <w:r w:rsidR="00A0399C" w:rsidRPr="00577862">
        <w:rPr>
          <w:rFonts w:eastAsia="TimesNewRoman"/>
        </w:rPr>
        <w:t xml:space="preserve"> β</w:t>
      </w:r>
      <w:r w:rsidR="00A0399C" w:rsidRPr="00577862">
        <w:rPr>
          <w:rFonts w:eastAsia="TimesNewRoman"/>
          <w:vertAlign w:val="subscript"/>
        </w:rPr>
        <w:t>2</w:t>
      </w:r>
      <w:r w:rsidR="00C854B5" w:rsidRPr="00577862">
        <w:rPr>
          <w:rFonts w:eastAsia="TimesNewRoman"/>
        </w:rPr>
        <w:t>-</w:t>
      </w:r>
      <w:r w:rsidR="00A0399C" w:rsidRPr="00577862">
        <w:rPr>
          <w:rFonts w:eastAsia="TimesNewRoman"/>
        </w:rPr>
        <w:t>agonists</w:t>
      </w:r>
      <w:r w:rsidR="005E3B42" w:rsidRPr="00577862">
        <w:rPr>
          <w:rFonts w:eastAsia="TimesNewRoman"/>
        </w:rPr>
        <w:t xml:space="preserve"> such as </w:t>
      </w:r>
      <w:proofErr w:type="spellStart"/>
      <w:r w:rsidR="005E3B42" w:rsidRPr="00577862">
        <w:rPr>
          <w:rFonts w:eastAsia="TimesNewRoman"/>
        </w:rPr>
        <w:t>eformoterol</w:t>
      </w:r>
      <w:proofErr w:type="spellEnd"/>
      <w:r w:rsidR="005E3B42" w:rsidRPr="00577862">
        <w:rPr>
          <w:rFonts w:eastAsia="TimesNewRoman"/>
        </w:rPr>
        <w:t xml:space="preserve"> may result in an increase in blood levels of insulin, free fatty acids, glycerol and ketone bodies.</w:t>
      </w:r>
    </w:p>
    <w:p w:rsidR="006829E4" w:rsidRPr="00577862" w:rsidRDefault="006829E4" w:rsidP="000649D6">
      <w:pPr>
        <w:autoSpaceDE w:val="0"/>
        <w:autoSpaceDN w:val="0"/>
        <w:adjustRightInd w:val="0"/>
        <w:jc w:val="both"/>
        <w:rPr>
          <w:rFonts w:eastAsia="TimesNewRoman"/>
        </w:rPr>
      </w:pPr>
      <w:r w:rsidRPr="00577862">
        <w:rPr>
          <w:rFonts w:eastAsia="TimesNewRoman"/>
        </w:rPr>
        <w:t xml:space="preserve">Hypersensitivity reactions have been reported in patients using inhaled sodium </w:t>
      </w:r>
      <w:proofErr w:type="spellStart"/>
      <w:r w:rsidRPr="00577862">
        <w:rPr>
          <w:rFonts w:eastAsia="TimesNewRoman"/>
        </w:rPr>
        <w:t>cromogl</w:t>
      </w:r>
      <w:r w:rsidR="00370598" w:rsidRPr="00577862">
        <w:rPr>
          <w:rFonts w:eastAsia="TimesNewRoman"/>
        </w:rPr>
        <w:t>y</w:t>
      </w:r>
      <w:r w:rsidRPr="00577862">
        <w:rPr>
          <w:rFonts w:eastAsia="TimesNewRoman"/>
        </w:rPr>
        <w:t>cate</w:t>
      </w:r>
      <w:proofErr w:type="spellEnd"/>
      <w:r w:rsidRPr="00577862">
        <w:rPr>
          <w:rFonts w:eastAsia="TimesNewRoman"/>
        </w:rPr>
        <w:t xml:space="preserve"> as an active ingredient. </w:t>
      </w:r>
      <w:r w:rsidR="00370598" w:rsidRPr="00577862">
        <w:rPr>
          <w:rFonts w:eastAsia="TimesNewRoman"/>
        </w:rPr>
        <w:t xml:space="preserve"> </w:t>
      </w:r>
      <w:r w:rsidRPr="00577862">
        <w:rPr>
          <w:rFonts w:eastAsia="TimesNewRoman"/>
        </w:rPr>
        <w:t>Whilst FLUTIFORM</w:t>
      </w:r>
      <w:r w:rsidRPr="00577862">
        <w:rPr>
          <w:rFonts w:eastAsia="TimesNewRoman"/>
          <w:vertAlign w:val="superscript"/>
        </w:rPr>
        <w:t>®</w:t>
      </w:r>
      <w:r w:rsidRPr="00577862">
        <w:rPr>
          <w:rFonts w:eastAsia="TimesNewRoman"/>
        </w:rPr>
        <w:t xml:space="preserve"> </w:t>
      </w:r>
      <w:r w:rsidR="00C854B5" w:rsidRPr="00577862">
        <w:rPr>
          <w:rFonts w:eastAsia="TimesNewRoman"/>
        </w:rPr>
        <w:t xml:space="preserve">inhaler </w:t>
      </w:r>
      <w:r w:rsidRPr="00577862">
        <w:rPr>
          <w:rFonts w:eastAsia="TimesNewRoman"/>
        </w:rPr>
        <w:t xml:space="preserve">contains only a low concentration of sodium </w:t>
      </w:r>
      <w:proofErr w:type="spellStart"/>
      <w:r w:rsidR="002F6D25" w:rsidRPr="00577862">
        <w:rPr>
          <w:rFonts w:eastAsia="TimesNewRoman"/>
        </w:rPr>
        <w:t>cromogly</w:t>
      </w:r>
      <w:r w:rsidRPr="00577862">
        <w:rPr>
          <w:rFonts w:eastAsia="TimesNewRoman"/>
        </w:rPr>
        <w:t>cate</w:t>
      </w:r>
      <w:proofErr w:type="spellEnd"/>
      <w:r w:rsidRPr="00577862">
        <w:rPr>
          <w:rFonts w:eastAsia="TimesNewRoman"/>
        </w:rPr>
        <w:t xml:space="preserve"> as an </w:t>
      </w:r>
      <w:proofErr w:type="spellStart"/>
      <w:r w:rsidRPr="00577862">
        <w:rPr>
          <w:rFonts w:eastAsia="TimesNewRoman"/>
        </w:rPr>
        <w:t>excipient</w:t>
      </w:r>
      <w:proofErr w:type="spellEnd"/>
      <w:r w:rsidRPr="00577862">
        <w:rPr>
          <w:rFonts w:eastAsia="TimesNewRoman"/>
        </w:rPr>
        <w:t>, it is unknown if hypersensitivity reactions are dose dependent.</w:t>
      </w:r>
    </w:p>
    <w:p w:rsidR="006829E4" w:rsidRPr="00577862" w:rsidRDefault="006829E4" w:rsidP="00B761B2">
      <w:pPr>
        <w:autoSpaceDE w:val="0"/>
        <w:autoSpaceDN w:val="0"/>
        <w:adjustRightInd w:val="0"/>
        <w:spacing w:before="100" w:beforeAutospacing="1" w:after="100" w:afterAutospacing="1"/>
        <w:jc w:val="both"/>
        <w:rPr>
          <w:rFonts w:eastAsia="TimesNewRoman"/>
        </w:rPr>
      </w:pPr>
      <w:r w:rsidRPr="00577862">
        <w:rPr>
          <w:rFonts w:eastAsia="TimesNewRoman"/>
        </w:rPr>
        <w:lastRenderedPageBreak/>
        <w:t>In the unlikely event of a hypersensitivity reaction to FLUTIFORM</w:t>
      </w:r>
      <w:r w:rsidRPr="00577862">
        <w:rPr>
          <w:rFonts w:eastAsia="TimesNewRoman"/>
          <w:vertAlign w:val="superscript"/>
        </w:rPr>
        <w:t>®</w:t>
      </w:r>
      <w:r w:rsidRPr="00577862">
        <w:rPr>
          <w:rFonts w:eastAsia="TimesNewRoman"/>
        </w:rPr>
        <w:t xml:space="preserve"> </w:t>
      </w:r>
      <w:r w:rsidR="00C854B5" w:rsidRPr="00577862">
        <w:rPr>
          <w:rFonts w:eastAsia="TimesNewRoman"/>
        </w:rPr>
        <w:t xml:space="preserve">inhaler </w:t>
      </w:r>
      <w:r w:rsidRPr="00577862">
        <w:rPr>
          <w:rFonts w:eastAsia="TimesNewRoman"/>
        </w:rPr>
        <w:t xml:space="preserve">treatment should be initiated in accordance with standard treatment for any other hypersensitivity reaction, which may include the use of antihistamines and other treatment as required. </w:t>
      </w:r>
      <w:r w:rsidR="00370598" w:rsidRPr="00577862">
        <w:rPr>
          <w:rFonts w:eastAsia="TimesNewRoman"/>
        </w:rPr>
        <w:t xml:space="preserve"> </w:t>
      </w:r>
      <w:r w:rsidRPr="00577862">
        <w:rPr>
          <w:rFonts w:eastAsia="TimesNewRoman"/>
        </w:rPr>
        <w:t>FLUTIFORM</w:t>
      </w:r>
      <w:r w:rsidRPr="00577862">
        <w:rPr>
          <w:rFonts w:eastAsia="TimesNewRoman"/>
          <w:vertAlign w:val="superscript"/>
        </w:rPr>
        <w:t>®</w:t>
      </w:r>
      <w:r w:rsidRPr="00577862">
        <w:rPr>
          <w:rFonts w:eastAsia="TimesNewRoman"/>
        </w:rPr>
        <w:t xml:space="preserve"> </w:t>
      </w:r>
      <w:r w:rsidR="00C854B5" w:rsidRPr="00577862">
        <w:rPr>
          <w:rFonts w:eastAsia="TimesNewRoman"/>
        </w:rPr>
        <w:t xml:space="preserve">inhaler </w:t>
      </w:r>
      <w:r w:rsidRPr="00577862">
        <w:rPr>
          <w:rFonts w:eastAsia="TimesNewRoman"/>
        </w:rPr>
        <w:t>may be discontinued immediately and an alternative asthma therapy may be initiated if necessary.</w:t>
      </w:r>
    </w:p>
    <w:p w:rsidR="00B761B2" w:rsidRDefault="00370598" w:rsidP="00B761B2">
      <w:pPr>
        <w:autoSpaceDE w:val="0"/>
        <w:autoSpaceDN w:val="0"/>
        <w:adjustRightInd w:val="0"/>
        <w:spacing w:before="100" w:beforeAutospacing="1" w:after="100" w:afterAutospacing="1"/>
        <w:ind w:right="-357"/>
        <w:jc w:val="both"/>
        <w:rPr>
          <w:rFonts w:eastAsia="TimesNewRoman"/>
        </w:rPr>
      </w:pPr>
      <w:proofErr w:type="spellStart"/>
      <w:r w:rsidRPr="000649D6">
        <w:rPr>
          <w:bCs/>
        </w:rPr>
        <w:t>Dysphonia</w:t>
      </w:r>
      <w:proofErr w:type="spellEnd"/>
      <w:r w:rsidRPr="000649D6">
        <w:rPr>
          <w:bCs/>
        </w:rPr>
        <w:t xml:space="preserve"> and </w:t>
      </w:r>
      <w:proofErr w:type="spellStart"/>
      <w:r w:rsidRPr="000649D6">
        <w:rPr>
          <w:bCs/>
        </w:rPr>
        <w:t>candidiasis</w:t>
      </w:r>
      <w:proofErr w:type="spellEnd"/>
      <w:r w:rsidRPr="000649D6">
        <w:rPr>
          <w:bCs/>
        </w:rPr>
        <w:t xml:space="preserve"> may be relieved by gargling or rinsing the mouth with water or brushing the teeth after using the product.  Symptomatic candidiasis may be treated with tropical anti-fungal therapy while continuing the treatment with FLUTIFORM</w:t>
      </w:r>
      <w:r w:rsidRPr="000649D6">
        <w:rPr>
          <w:rFonts w:eastAsia="TimesNewRoman"/>
          <w:vertAlign w:val="superscript"/>
        </w:rPr>
        <w:t>®</w:t>
      </w:r>
      <w:r w:rsidR="00B761B2">
        <w:rPr>
          <w:rFonts w:eastAsia="TimesNewRoman"/>
        </w:rPr>
        <w:t xml:space="preserve"> inhaler.</w:t>
      </w:r>
    </w:p>
    <w:p w:rsidR="00CB4155" w:rsidRPr="00B761B2" w:rsidRDefault="00CB4155" w:rsidP="00B761B2">
      <w:pPr>
        <w:autoSpaceDE w:val="0"/>
        <w:autoSpaceDN w:val="0"/>
        <w:adjustRightInd w:val="0"/>
        <w:spacing w:before="100" w:beforeAutospacing="1" w:after="100" w:afterAutospacing="1"/>
        <w:ind w:right="-357"/>
        <w:jc w:val="both"/>
        <w:rPr>
          <w:rStyle w:val="Heading2Char"/>
        </w:rPr>
      </w:pPr>
      <w:r w:rsidRPr="000649D6">
        <w:rPr>
          <w:b/>
          <w:bCs/>
        </w:rPr>
        <w:t xml:space="preserve">DOSAGE AND </w:t>
      </w:r>
      <w:r w:rsidRPr="00B761B2">
        <w:rPr>
          <w:rStyle w:val="Heading2Char"/>
        </w:rPr>
        <w:t>ADMINISTRATION</w:t>
      </w:r>
    </w:p>
    <w:p w:rsidR="00FB4E0C" w:rsidRPr="00527190" w:rsidRDefault="00D058BC" w:rsidP="000649D6">
      <w:pPr>
        <w:autoSpaceDE w:val="0"/>
        <w:autoSpaceDN w:val="0"/>
        <w:adjustRightInd w:val="0"/>
        <w:ind w:right="-360"/>
        <w:jc w:val="both"/>
        <w:rPr>
          <w:rFonts w:eastAsia="TimesNewRoman"/>
        </w:rPr>
      </w:pPr>
      <w:r w:rsidRPr="00527190">
        <w:rPr>
          <w:rFonts w:eastAsia="TimesNewRoman"/>
        </w:rPr>
        <w:t>FLUTIFORM</w:t>
      </w:r>
      <w:r w:rsidR="00CB4155" w:rsidRPr="00527190">
        <w:rPr>
          <w:rFonts w:eastAsia="TimesNewRoman"/>
          <w:vertAlign w:val="superscript"/>
        </w:rPr>
        <w:t>®</w:t>
      </w:r>
      <w:r w:rsidR="00FB4E0C" w:rsidRPr="00527190">
        <w:rPr>
          <w:rFonts w:eastAsia="TimesNewRoman"/>
        </w:rPr>
        <w:t xml:space="preserve"> </w:t>
      </w:r>
      <w:r w:rsidR="00381D65" w:rsidRPr="00527190">
        <w:rPr>
          <w:rFonts w:eastAsia="TimesNewRoman"/>
        </w:rPr>
        <w:t>inhaler</w:t>
      </w:r>
      <w:r w:rsidR="0099502F" w:rsidRPr="00527190">
        <w:rPr>
          <w:rFonts w:eastAsia="TimesNewRoman"/>
        </w:rPr>
        <w:t xml:space="preserve"> </w:t>
      </w:r>
      <w:r w:rsidR="00FB4E0C" w:rsidRPr="00527190">
        <w:rPr>
          <w:rFonts w:eastAsia="TimesNewRoman"/>
        </w:rPr>
        <w:t xml:space="preserve">is for administration by the inhaled route in patients with asthma from the age of 12 years and older.  </w:t>
      </w:r>
      <w:r w:rsidRPr="00527190">
        <w:rPr>
          <w:rFonts w:eastAsia="TimesNewRoman"/>
        </w:rPr>
        <w:t>FLUTIFORM</w:t>
      </w:r>
      <w:r w:rsidR="0099502F" w:rsidRPr="00527190">
        <w:rPr>
          <w:rFonts w:eastAsia="TimesNewRoman"/>
          <w:vertAlign w:val="superscript"/>
        </w:rPr>
        <w:t>®</w:t>
      </w:r>
      <w:r w:rsidR="0099502F" w:rsidRPr="00527190">
        <w:rPr>
          <w:rFonts w:eastAsia="TimesNewRoman"/>
        </w:rPr>
        <w:t xml:space="preserve"> </w:t>
      </w:r>
      <w:r w:rsidR="00381D65" w:rsidRPr="00527190">
        <w:rPr>
          <w:rFonts w:eastAsia="TimesNewRoman"/>
        </w:rPr>
        <w:t>inhaler</w:t>
      </w:r>
      <w:r w:rsidR="0099502F" w:rsidRPr="00527190">
        <w:rPr>
          <w:rFonts w:eastAsia="TimesNewRoman"/>
        </w:rPr>
        <w:t xml:space="preserve"> </w:t>
      </w:r>
      <w:r w:rsidR="00FB4E0C" w:rsidRPr="00527190">
        <w:rPr>
          <w:rFonts w:eastAsia="TimesNewRoman"/>
        </w:rPr>
        <w:t>is delivered by a press-and-breathe pressurised metered dose inhaler (</w:t>
      </w:r>
      <w:proofErr w:type="spellStart"/>
      <w:r w:rsidR="00FB4E0C" w:rsidRPr="00527190">
        <w:rPr>
          <w:rFonts w:eastAsia="TimesNewRoman"/>
        </w:rPr>
        <w:t>pMDI</w:t>
      </w:r>
      <w:proofErr w:type="spellEnd"/>
      <w:r w:rsidR="00FB4E0C" w:rsidRPr="00527190">
        <w:rPr>
          <w:rFonts w:eastAsia="TimesNewRoman"/>
        </w:rPr>
        <w:t>) which also contains an integrated dose indicator.  Each inhaler will provide at least 120 actuations (60 doses).</w:t>
      </w:r>
    </w:p>
    <w:p w:rsidR="00CB4155" w:rsidRPr="00527190" w:rsidRDefault="00CB4155" w:rsidP="00B761B2">
      <w:pPr>
        <w:autoSpaceDE w:val="0"/>
        <w:autoSpaceDN w:val="0"/>
        <w:adjustRightInd w:val="0"/>
        <w:spacing w:before="100" w:beforeAutospacing="1" w:after="100" w:afterAutospacing="1"/>
        <w:ind w:right="-357"/>
        <w:jc w:val="both"/>
        <w:rPr>
          <w:rFonts w:eastAsia="TimesNewRoman"/>
        </w:rPr>
      </w:pPr>
      <w:r w:rsidRPr="00527190">
        <w:rPr>
          <w:rFonts w:eastAsia="TimesNewRoman"/>
        </w:rPr>
        <w:t xml:space="preserve">Patients will need to be trained on the use of the inhaler and should be regularly reassessed by a doctor, so that the strength of </w:t>
      </w:r>
      <w:r w:rsidR="00D058BC" w:rsidRPr="00527190">
        <w:rPr>
          <w:rFonts w:eastAsia="TimesNewRoman"/>
        </w:rPr>
        <w:t>FLUTIFORM</w:t>
      </w:r>
      <w:r w:rsidR="0099502F" w:rsidRPr="00527190">
        <w:rPr>
          <w:rFonts w:eastAsia="TimesNewRoman"/>
          <w:vertAlign w:val="superscript"/>
        </w:rPr>
        <w:t>®</w:t>
      </w:r>
      <w:r w:rsidR="00D058BC" w:rsidRPr="00527190">
        <w:rPr>
          <w:rFonts w:eastAsia="TimesNewRoman"/>
        </w:rPr>
        <w:t xml:space="preserve"> </w:t>
      </w:r>
      <w:r w:rsidR="00381D65" w:rsidRPr="00527190">
        <w:rPr>
          <w:rFonts w:eastAsia="TimesNewRoman"/>
        </w:rPr>
        <w:t>inhaler</w:t>
      </w:r>
      <w:r w:rsidR="0099502F" w:rsidRPr="00527190">
        <w:rPr>
          <w:rFonts w:eastAsia="TimesNewRoman"/>
        </w:rPr>
        <w:t xml:space="preserve"> </w:t>
      </w:r>
      <w:r w:rsidRPr="00527190">
        <w:rPr>
          <w:rFonts w:eastAsia="TimesNewRoman"/>
        </w:rPr>
        <w:t xml:space="preserve">they are receiving remains optimal and is only changed on medical advice. </w:t>
      </w:r>
      <w:r w:rsidR="005E5CF6" w:rsidRPr="00527190">
        <w:rPr>
          <w:rFonts w:eastAsia="TimesNewRoman"/>
        </w:rPr>
        <w:t xml:space="preserve"> </w:t>
      </w:r>
      <w:r w:rsidRPr="00527190">
        <w:rPr>
          <w:rFonts w:eastAsia="TimesNewRoman"/>
        </w:rPr>
        <w:t>The dose should be titrated to the lowest dose at which effective control of symptoms is maintained.</w:t>
      </w:r>
      <w:r w:rsidR="002722C4">
        <w:rPr>
          <w:rFonts w:eastAsia="TimesNewRoman"/>
        </w:rPr>
        <w:t xml:space="preserve">  Patients should be regularly assessed by a doctor so the dose of FLUTIFORM</w:t>
      </w:r>
      <w:r w:rsidR="002722C4" w:rsidRPr="00527190">
        <w:rPr>
          <w:rFonts w:eastAsia="TimesNewRoman"/>
          <w:vertAlign w:val="superscript"/>
        </w:rPr>
        <w:t>®</w:t>
      </w:r>
      <w:r w:rsidR="002722C4">
        <w:rPr>
          <w:rFonts w:eastAsia="TimesNewRoman"/>
        </w:rPr>
        <w:t xml:space="preserve"> inhaler they are receiving remains optimal.  The strength of the dose should only be increased or decreased on medical advice</w:t>
      </w:r>
      <w:r w:rsidR="00F334D6">
        <w:rPr>
          <w:rFonts w:eastAsia="TimesNewRoman"/>
        </w:rPr>
        <w:t xml:space="preserve"> (see PAEDIATRIC USE)</w:t>
      </w:r>
      <w:r w:rsidR="002722C4">
        <w:rPr>
          <w:rFonts w:eastAsia="TimesNewRoman"/>
        </w:rPr>
        <w:t>.</w:t>
      </w:r>
    </w:p>
    <w:p w:rsidR="00042D58" w:rsidRPr="00527190" w:rsidRDefault="00CB4155" w:rsidP="00B761B2">
      <w:pPr>
        <w:autoSpaceDE w:val="0"/>
        <w:autoSpaceDN w:val="0"/>
        <w:adjustRightInd w:val="0"/>
        <w:spacing w:before="100" w:beforeAutospacing="1" w:after="100" w:afterAutospacing="1"/>
        <w:ind w:right="-357"/>
        <w:jc w:val="both"/>
        <w:rPr>
          <w:rFonts w:eastAsia="TimesNewRoman"/>
        </w:rPr>
      </w:pPr>
      <w:r w:rsidRPr="00527190">
        <w:rPr>
          <w:rFonts w:eastAsia="TimesNewRoman"/>
        </w:rPr>
        <w:t xml:space="preserve">Patients should be given the strength of </w:t>
      </w:r>
      <w:r w:rsidR="00D058BC" w:rsidRPr="00527190">
        <w:rPr>
          <w:rFonts w:eastAsia="TimesNewRoman"/>
        </w:rPr>
        <w:t>FLUTIFORM</w:t>
      </w:r>
      <w:r w:rsidR="0099502F" w:rsidRPr="00527190">
        <w:rPr>
          <w:rFonts w:eastAsia="TimesNewRoman"/>
          <w:vertAlign w:val="superscript"/>
        </w:rPr>
        <w:t>®</w:t>
      </w:r>
      <w:r w:rsidR="00D058BC" w:rsidRPr="00527190">
        <w:rPr>
          <w:rFonts w:eastAsia="TimesNewRoman"/>
        </w:rPr>
        <w:t xml:space="preserve"> </w:t>
      </w:r>
      <w:r w:rsidR="00381D65" w:rsidRPr="00527190">
        <w:rPr>
          <w:rFonts w:eastAsia="TimesNewRoman"/>
        </w:rPr>
        <w:t>inhaler</w:t>
      </w:r>
      <w:r w:rsidR="0099502F" w:rsidRPr="00527190">
        <w:rPr>
          <w:rFonts w:eastAsia="TimesNewRoman"/>
        </w:rPr>
        <w:t xml:space="preserve"> </w:t>
      </w:r>
      <w:r w:rsidRPr="00527190">
        <w:rPr>
          <w:rFonts w:eastAsia="TimesNewRoman"/>
        </w:rPr>
        <w:t xml:space="preserve">containing the appropriate fluticasone propionate dosage for the severity of their disease. </w:t>
      </w:r>
      <w:r w:rsidR="005E5CF6" w:rsidRPr="00527190">
        <w:rPr>
          <w:rFonts w:eastAsia="TimesNewRoman"/>
        </w:rPr>
        <w:t xml:space="preserve"> </w:t>
      </w:r>
      <w:r w:rsidRPr="00527190">
        <w:rPr>
          <w:rFonts w:eastAsia="TimesNewRoman"/>
        </w:rPr>
        <w:t xml:space="preserve">Note: </w:t>
      </w:r>
      <w:r w:rsidR="00D058BC" w:rsidRPr="00527190">
        <w:rPr>
          <w:rFonts w:eastAsia="TimesNewRoman"/>
        </w:rPr>
        <w:t>FLUTIFORM</w:t>
      </w:r>
      <w:r w:rsidR="0099502F" w:rsidRPr="00527190">
        <w:rPr>
          <w:rFonts w:eastAsia="TimesNewRoman"/>
          <w:vertAlign w:val="superscript"/>
        </w:rPr>
        <w:t>®</w:t>
      </w:r>
      <w:r w:rsidR="00D058BC" w:rsidRPr="00527190">
        <w:rPr>
          <w:rFonts w:eastAsia="TimesNewRoman"/>
        </w:rPr>
        <w:t xml:space="preserve"> </w:t>
      </w:r>
      <w:r w:rsidR="00381D65" w:rsidRPr="00527190">
        <w:rPr>
          <w:rFonts w:eastAsia="TimesNewRoman"/>
        </w:rPr>
        <w:t>inhaler</w:t>
      </w:r>
      <w:r w:rsidRPr="00527190">
        <w:rPr>
          <w:rFonts w:eastAsia="TimesNewRoman"/>
        </w:rPr>
        <w:t xml:space="preserve"> </w:t>
      </w:r>
    </w:p>
    <w:p w:rsidR="00CB4155" w:rsidRPr="00527190" w:rsidRDefault="00CB4155" w:rsidP="00B761B2">
      <w:pPr>
        <w:autoSpaceDE w:val="0"/>
        <w:autoSpaceDN w:val="0"/>
        <w:adjustRightInd w:val="0"/>
        <w:spacing w:before="100" w:beforeAutospacing="1" w:after="100" w:afterAutospacing="1"/>
        <w:ind w:right="-357"/>
        <w:jc w:val="both"/>
        <w:rPr>
          <w:rFonts w:eastAsia="TimesNewRoman"/>
        </w:rPr>
      </w:pPr>
      <w:r w:rsidRPr="00527190">
        <w:rPr>
          <w:rFonts w:eastAsia="TimesNewRoman"/>
        </w:rPr>
        <w:t>50 microgram</w:t>
      </w:r>
      <w:r w:rsidR="00042D58" w:rsidRPr="00527190">
        <w:rPr>
          <w:rFonts w:eastAsia="TimesNewRoman"/>
        </w:rPr>
        <w:t>s</w:t>
      </w:r>
      <w:r w:rsidRPr="00527190">
        <w:rPr>
          <w:rFonts w:eastAsia="TimesNewRoman"/>
        </w:rPr>
        <w:t>/5 microgram</w:t>
      </w:r>
      <w:r w:rsidR="00042D58" w:rsidRPr="00527190">
        <w:rPr>
          <w:rFonts w:eastAsia="TimesNewRoman"/>
        </w:rPr>
        <w:t>s</w:t>
      </w:r>
      <w:r w:rsidRPr="00527190">
        <w:rPr>
          <w:rFonts w:eastAsia="TimesNewRoman"/>
        </w:rPr>
        <w:t xml:space="preserve"> strength is not appropriate in adults and adolescents with severe asthma. </w:t>
      </w:r>
      <w:r w:rsidR="005E5CF6" w:rsidRPr="00527190">
        <w:rPr>
          <w:rFonts w:eastAsia="TimesNewRoman"/>
        </w:rPr>
        <w:t xml:space="preserve"> </w:t>
      </w:r>
      <w:r w:rsidRPr="00527190">
        <w:rPr>
          <w:rFonts w:eastAsia="TimesNewRoman"/>
        </w:rPr>
        <w:t>If an individual patient should require dosages outside the recommended regimen, appropriate doses of beta-agonist and/or corticosteroid in single inhalers should be</w:t>
      </w:r>
      <w:r w:rsidR="00FB4E0C" w:rsidRPr="00527190">
        <w:rPr>
          <w:rFonts w:eastAsia="TimesNewRoman"/>
        </w:rPr>
        <w:t xml:space="preserve"> </w:t>
      </w:r>
      <w:r w:rsidRPr="00527190">
        <w:rPr>
          <w:rFonts w:eastAsia="TimesNewRoman"/>
        </w:rPr>
        <w:t>prescribed.</w:t>
      </w:r>
    </w:p>
    <w:p w:rsidR="00E1570D" w:rsidRPr="00527190" w:rsidRDefault="00A94F47" w:rsidP="00B761B2">
      <w:pPr>
        <w:autoSpaceDE w:val="0"/>
        <w:autoSpaceDN w:val="0"/>
        <w:adjustRightInd w:val="0"/>
        <w:spacing w:before="100" w:beforeAutospacing="1" w:after="100" w:afterAutospacing="1"/>
        <w:ind w:right="-357"/>
        <w:jc w:val="both"/>
        <w:rPr>
          <w:rFonts w:eastAsia="TimesNewRoman"/>
        </w:rPr>
      </w:pPr>
      <w:r w:rsidRPr="00527190">
        <w:rPr>
          <w:rFonts w:eastAsia="TimesNewRoman"/>
        </w:rPr>
        <w:t>The l</w:t>
      </w:r>
      <w:r w:rsidR="00E1570D" w:rsidRPr="00527190">
        <w:rPr>
          <w:rFonts w:eastAsia="TimesNewRoman"/>
        </w:rPr>
        <w:t>ong-term efficacy of the highest dose of 500/20 m</w:t>
      </w:r>
      <w:r w:rsidR="00C854B5" w:rsidRPr="00527190">
        <w:rPr>
          <w:rFonts w:eastAsia="TimesNewRoman"/>
        </w:rPr>
        <w:t>i</w:t>
      </w:r>
      <w:r w:rsidR="00E1570D" w:rsidRPr="00527190">
        <w:rPr>
          <w:rFonts w:eastAsia="TimesNewRoman"/>
        </w:rPr>
        <w:t>c</w:t>
      </w:r>
      <w:r w:rsidR="00C854B5" w:rsidRPr="00527190">
        <w:rPr>
          <w:rFonts w:eastAsia="TimesNewRoman"/>
        </w:rPr>
        <w:t>ro</w:t>
      </w:r>
      <w:r w:rsidR="00E1570D" w:rsidRPr="00527190">
        <w:rPr>
          <w:rFonts w:eastAsia="TimesNewRoman"/>
        </w:rPr>
        <w:t>g</w:t>
      </w:r>
      <w:r w:rsidR="00C854B5" w:rsidRPr="00527190">
        <w:rPr>
          <w:rFonts w:eastAsia="TimesNewRoman"/>
        </w:rPr>
        <w:t>ram</w:t>
      </w:r>
      <w:r w:rsidR="00042D58" w:rsidRPr="00527190">
        <w:rPr>
          <w:rFonts w:eastAsia="TimesNewRoman"/>
        </w:rPr>
        <w:t>s</w:t>
      </w:r>
      <w:r w:rsidR="00E1570D" w:rsidRPr="00527190">
        <w:rPr>
          <w:rFonts w:eastAsia="TimesNewRoman"/>
        </w:rPr>
        <w:t xml:space="preserve"> (2 actuations of 250/10 m</w:t>
      </w:r>
      <w:r w:rsidR="00C854B5" w:rsidRPr="00527190">
        <w:rPr>
          <w:rFonts w:eastAsia="TimesNewRoman"/>
        </w:rPr>
        <w:t>i</w:t>
      </w:r>
      <w:r w:rsidR="00E1570D" w:rsidRPr="00527190">
        <w:rPr>
          <w:rFonts w:eastAsia="TimesNewRoman"/>
        </w:rPr>
        <w:t>c</w:t>
      </w:r>
      <w:r w:rsidR="00C854B5" w:rsidRPr="00527190">
        <w:rPr>
          <w:rFonts w:eastAsia="TimesNewRoman"/>
        </w:rPr>
        <w:t>ro</w:t>
      </w:r>
      <w:r w:rsidR="00E1570D" w:rsidRPr="00527190">
        <w:rPr>
          <w:rFonts w:eastAsia="TimesNewRoman"/>
        </w:rPr>
        <w:t>g</w:t>
      </w:r>
      <w:r w:rsidR="00C854B5" w:rsidRPr="00527190">
        <w:rPr>
          <w:rFonts w:eastAsia="TimesNewRoman"/>
        </w:rPr>
        <w:t>ram</w:t>
      </w:r>
      <w:r w:rsidR="00042D58" w:rsidRPr="00527190">
        <w:rPr>
          <w:rFonts w:eastAsia="TimesNewRoman"/>
        </w:rPr>
        <w:t>s</w:t>
      </w:r>
      <w:r w:rsidR="00E1570D" w:rsidRPr="00527190">
        <w:rPr>
          <w:rFonts w:eastAsia="TimesNewRoman"/>
        </w:rPr>
        <w:t>)</w:t>
      </w:r>
      <w:r w:rsidRPr="00527190">
        <w:rPr>
          <w:rFonts w:eastAsia="TimesNewRoman"/>
        </w:rPr>
        <w:t xml:space="preserve"> </w:t>
      </w:r>
      <w:r w:rsidR="00712A3B" w:rsidRPr="00527190">
        <w:rPr>
          <w:rFonts w:eastAsia="TimesNewRoman"/>
        </w:rPr>
        <w:t xml:space="preserve">twice daily </w:t>
      </w:r>
      <w:r w:rsidRPr="00527190">
        <w:rPr>
          <w:rFonts w:eastAsia="TimesNewRoman"/>
        </w:rPr>
        <w:t xml:space="preserve">has not been evaluated.  The efficacy and safety data for the highest dose are </w:t>
      </w:r>
      <w:r w:rsidR="00712A3B" w:rsidRPr="00527190">
        <w:rPr>
          <w:rFonts w:eastAsia="TimesNewRoman"/>
        </w:rPr>
        <w:t xml:space="preserve">only </w:t>
      </w:r>
      <w:r w:rsidRPr="00527190">
        <w:rPr>
          <w:rFonts w:eastAsia="TimesNewRoman"/>
        </w:rPr>
        <w:t xml:space="preserve">available from the 8-week Phase 3 study FLT3503 (see </w:t>
      </w:r>
      <w:r w:rsidRPr="00527190">
        <w:rPr>
          <w:rFonts w:eastAsia="TimesNewRoman"/>
          <w:b/>
        </w:rPr>
        <w:t>CLINICAL TRIALS</w:t>
      </w:r>
      <w:r w:rsidRPr="00527190">
        <w:rPr>
          <w:rFonts w:eastAsia="TimesNewRoman"/>
        </w:rPr>
        <w:t>).</w:t>
      </w:r>
    </w:p>
    <w:p w:rsidR="002B2B83" w:rsidRPr="00527190" w:rsidRDefault="00CB4155" w:rsidP="00B761B2">
      <w:pPr>
        <w:pStyle w:val="Heading3"/>
      </w:pPr>
      <w:r w:rsidRPr="00527190">
        <w:t xml:space="preserve">Recommended </w:t>
      </w:r>
      <w:r w:rsidR="00904D97" w:rsidRPr="00527190">
        <w:t>d</w:t>
      </w:r>
      <w:r w:rsidRPr="00527190">
        <w:t xml:space="preserve">ose for </w:t>
      </w:r>
      <w:r w:rsidR="00904D97" w:rsidRPr="00527190">
        <w:t>a</w:t>
      </w:r>
      <w:r w:rsidRPr="00527190">
        <w:t xml:space="preserve">dults and </w:t>
      </w:r>
      <w:r w:rsidR="00FB4E0C" w:rsidRPr="00527190">
        <w:t xml:space="preserve">children </w:t>
      </w:r>
      <w:r w:rsidR="00B761B2">
        <w:t>aged 12 years and above</w:t>
      </w:r>
    </w:p>
    <w:p w:rsidR="00CB4155" w:rsidRPr="00527190" w:rsidRDefault="00CB4155" w:rsidP="000649D6">
      <w:pPr>
        <w:autoSpaceDE w:val="0"/>
        <w:autoSpaceDN w:val="0"/>
        <w:adjustRightInd w:val="0"/>
        <w:ind w:right="-360"/>
        <w:jc w:val="both"/>
        <w:rPr>
          <w:bCs/>
          <w:i/>
        </w:rPr>
      </w:pPr>
      <w:proofErr w:type="gramStart"/>
      <w:r w:rsidRPr="00527190">
        <w:rPr>
          <w:rFonts w:eastAsia="TimesNewRoman"/>
        </w:rPr>
        <w:t xml:space="preserve">Two inhalations of </w:t>
      </w:r>
      <w:r w:rsidR="00D058BC" w:rsidRPr="00527190">
        <w:rPr>
          <w:rFonts w:eastAsia="TimesNewRoman"/>
        </w:rPr>
        <w:t>FLUTIFORM</w:t>
      </w:r>
      <w:r w:rsidR="0099502F" w:rsidRPr="00527190">
        <w:rPr>
          <w:rFonts w:eastAsia="TimesNewRoman"/>
          <w:vertAlign w:val="superscript"/>
        </w:rPr>
        <w:t>®</w:t>
      </w:r>
      <w:r w:rsidR="00D058BC" w:rsidRPr="00527190">
        <w:rPr>
          <w:rFonts w:eastAsia="TimesNewRoman"/>
        </w:rPr>
        <w:t xml:space="preserve"> </w:t>
      </w:r>
      <w:r w:rsidR="00381D65" w:rsidRPr="00527190">
        <w:rPr>
          <w:rFonts w:eastAsia="TimesNewRoman"/>
        </w:rPr>
        <w:t>inhaler</w:t>
      </w:r>
      <w:r w:rsidRPr="00527190">
        <w:rPr>
          <w:rFonts w:eastAsia="TimesNewRoman"/>
        </w:rPr>
        <w:t xml:space="preserve"> 50/5</w:t>
      </w:r>
      <w:r w:rsidR="008E0191" w:rsidRPr="00527190">
        <w:rPr>
          <w:rFonts w:eastAsia="TimesNewRoman"/>
        </w:rPr>
        <w:t xml:space="preserve"> </w:t>
      </w:r>
      <w:r w:rsidRPr="00527190">
        <w:rPr>
          <w:rFonts w:eastAsia="TimesNewRoman"/>
        </w:rPr>
        <w:t>microgram</w:t>
      </w:r>
      <w:r w:rsidR="00042D58" w:rsidRPr="00527190">
        <w:rPr>
          <w:rFonts w:eastAsia="TimesNewRoman"/>
        </w:rPr>
        <w:t>s</w:t>
      </w:r>
      <w:r w:rsidRPr="00527190">
        <w:rPr>
          <w:rFonts w:eastAsia="TimesNewRoman"/>
        </w:rPr>
        <w:t xml:space="preserve"> or </w:t>
      </w:r>
      <w:r w:rsidR="0053374F" w:rsidRPr="00527190">
        <w:rPr>
          <w:rFonts w:eastAsia="TimesNewRoman"/>
        </w:rPr>
        <w:t>FLUTIFORM</w:t>
      </w:r>
      <w:r w:rsidR="0099502F" w:rsidRPr="00527190">
        <w:rPr>
          <w:rFonts w:eastAsia="TimesNewRoman"/>
          <w:vertAlign w:val="superscript"/>
        </w:rPr>
        <w:t>®</w:t>
      </w:r>
      <w:r w:rsidR="00D058BC" w:rsidRPr="00527190">
        <w:rPr>
          <w:rFonts w:eastAsia="TimesNewRoman"/>
        </w:rPr>
        <w:t xml:space="preserve"> </w:t>
      </w:r>
      <w:r w:rsidR="00381D65" w:rsidRPr="00527190">
        <w:rPr>
          <w:rFonts w:eastAsia="TimesNewRoman"/>
        </w:rPr>
        <w:t>inhaler</w:t>
      </w:r>
      <w:r w:rsidRPr="00527190">
        <w:rPr>
          <w:rFonts w:eastAsia="TimesNewRoman"/>
        </w:rPr>
        <w:t>125/5 microgram</w:t>
      </w:r>
      <w:r w:rsidR="00042D58" w:rsidRPr="00527190">
        <w:rPr>
          <w:rFonts w:eastAsia="TimesNewRoman"/>
        </w:rPr>
        <w:t>s</w:t>
      </w:r>
      <w:r w:rsidRPr="00527190">
        <w:rPr>
          <w:rFonts w:eastAsia="TimesNewRoman"/>
        </w:rPr>
        <w:t xml:space="preserve"> twice daily</w:t>
      </w:r>
      <w:r w:rsidR="00675E02" w:rsidRPr="00527190">
        <w:rPr>
          <w:rFonts w:eastAsia="TimesNewRoman"/>
        </w:rPr>
        <w:t>.</w:t>
      </w:r>
      <w:proofErr w:type="gramEnd"/>
      <w:r w:rsidR="00042D58" w:rsidRPr="00527190">
        <w:rPr>
          <w:rFonts w:eastAsia="TimesNewRoman"/>
        </w:rPr>
        <w:t xml:space="preserve"> </w:t>
      </w:r>
      <w:r w:rsidR="004A6668" w:rsidRPr="00527190">
        <w:rPr>
          <w:rFonts w:eastAsia="TimesNewRoman"/>
        </w:rPr>
        <w:t>If the patient’s asthma remains poorly controlled on FLUTIFORM</w:t>
      </w:r>
      <w:r w:rsidR="004A6668" w:rsidRPr="00527190">
        <w:rPr>
          <w:rFonts w:eastAsia="TimesNewRoman"/>
          <w:vertAlign w:val="superscript"/>
        </w:rPr>
        <w:t>®</w:t>
      </w:r>
      <w:r w:rsidR="004A6668" w:rsidRPr="00527190">
        <w:rPr>
          <w:rFonts w:eastAsia="TimesNewRoman"/>
        </w:rPr>
        <w:t xml:space="preserve"> inhaler 50/5 microgram</w:t>
      </w:r>
      <w:r w:rsidR="00042D58" w:rsidRPr="00527190">
        <w:rPr>
          <w:rFonts w:eastAsia="TimesNewRoman"/>
        </w:rPr>
        <w:t>s</w:t>
      </w:r>
      <w:r w:rsidR="004A6668" w:rsidRPr="00527190">
        <w:rPr>
          <w:rFonts w:eastAsia="TimesNewRoman"/>
        </w:rPr>
        <w:t>, the total daily dose of the inhaled corticosteroid can be increased by administering the next highest strength combination product, i.e. FLUTIFORM</w:t>
      </w:r>
      <w:r w:rsidR="004A6668" w:rsidRPr="00527190">
        <w:rPr>
          <w:rFonts w:eastAsia="TimesNewRoman"/>
          <w:vertAlign w:val="superscript"/>
        </w:rPr>
        <w:t>®</w:t>
      </w:r>
      <w:r w:rsidR="004A6668" w:rsidRPr="00527190">
        <w:rPr>
          <w:rFonts w:eastAsia="TimesNewRoman"/>
        </w:rPr>
        <w:t xml:space="preserve"> inhaler 125/5 microgram</w:t>
      </w:r>
      <w:r w:rsidR="00042D58" w:rsidRPr="00527190">
        <w:rPr>
          <w:rFonts w:eastAsia="TimesNewRoman"/>
        </w:rPr>
        <w:t>s</w:t>
      </w:r>
      <w:r w:rsidR="004A6668" w:rsidRPr="00527190">
        <w:rPr>
          <w:rFonts w:eastAsia="TimesNewRoman"/>
        </w:rPr>
        <w:t>, two puffs twice daily.</w:t>
      </w:r>
    </w:p>
    <w:p w:rsidR="002B2B83" w:rsidRPr="00527190" w:rsidRDefault="00CB4155" w:rsidP="00B761B2">
      <w:pPr>
        <w:pStyle w:val="Heading3"/>
      </w:pPr>
      <w:r w:rsidRPr="00527190">
        <w:t xml:space="preserve">Recommended </w:t>
      </w:r>
      <w:r w:rsidR="00904D97" w:rsidRPr="00527190">
        <w:t>d</w:t>
      </w:r>
      <w:r w:rsidRPr="00527190">
        <w:t xml:space="preserve">ose for </w:t>
      </w:r>
      <w:r w:rsidR="00904D97" w:rsidRPr="00527190">
        <w:t>a</w:t>
      </w:r>
      <w:r w:rsidRPr="00527190">
        <w:t xml:space="preserve">dults </w:t>
      </w:r>
      <w:r w:rsidR="00904D97" w:rsidRPr="00527190">
        <w:t>o</w:t>
      </w:r>
      <w:r w:rsidRPr="00527190">
        <w:t>nly</w:t>
      </w:r>
    </w:p>
    <w:p w:rsidR="00CB4155" w:rsidRPr="00527190" w:rsidRDefault="00CB4155" w:rsidP="000649D6">
      <w:pPr>
        <w:autoSpaceDE w:val="0"/>
        <w:autoSpaceDN w:val="0"/>
        <w:adjustRightInd w:val="0"/>
        <w:ind w:right="-360"/>
        <w:jc w:val="both"/>
        <w:rPr>
          <w:b/>
          <w:bCs/>
        </w:rPr>
      </w:pPr>
      <w:proofErr w:type="gramStart"/>
      <w:r w:rsidRPr="00527190">
        <w:rPr>
          <w:rFonts w:eastAsia="TimesNewRoman"/>
        </w:rPr>
        <w:t xml:space="preserve">Two inhalations of </w:t>
      </w:r>
      <w:r w:rsidR="00D058BC" w:rsidRPr="00527190">
        <w:rPr>
          <w:rFonts w:eastAsia="TimesNewRoman"/>
        </w:rPr>
        <w:t>FLUTIFORM</w:t>
      </w:r>
      <w:r w:rsidR="0099502F" w:rsidRPr="00527190">
        <w:rPr>
          <w:rFonts w:eastAsia="TimesNewRoman"/>
          <w:vertAlign w:val="superscript"/>
        </w:rPr>
        <w:t>®</w:t>
      </w:r>
      <w:r w:rsidR="00D058BC" w:rsidRPr="00527190">
        <w:rPr>
          <w:rFonts w:eastAsia="TimesNewRoman"/>
        </w:rPr>
        <w:t xml:space="preserve"> </w:t>
      </w:r>
      <w:r w:rsidR="00381D65" w:rsidRPr="00527190">
        <w:rPr>
          <w:rFonts w:eastAsia="TimesNewRoman"/>
        </w:rPr>
        <w:t>inhaler</w:t>
      </w:r>
      <w:r w:rsidR="0099502F" w:rsidRPr="00527190">
        <w:rPr>
          <w:rFonts w:eastAsia="TimesNewRoman"/>
        </w:rPr>
        <w:t xml:space="preserve"> </w:t>
      </w:r>
      <w:r w:rsidRPr="00527190">
        <w:rPr>
          <w:rFonts w:eastAsia="TimesNewRoman"/>
        </w:rPr>
        <w:t xml:space="preserve">250/10 </w:t>
      </w:r>
      <w:r w:rsidR="00AA65C6" w:rsidRPr="00527190">
        <w:rPr>
          <w:rFonts w:eastAsia="TimesNewRoman"/>
        </w:rPr>
        <w:t>microgram</w:t>
      </w:r>
      <w:r w:rsidR="00042D58" w:rsidRPr="00527190">
        <w:rPr>
          <w:rFonts w:eastAsia="TimesNewRoman"/>
        </w:rPr>
        <w:t>s</w:t>
      </w:r>
      <w:r w:rsidRPr="00527190">
        <w:rPr>
          <w:rFonts w:eastAsia="TimesNewRoman"/>
        </w:rPr>
        <w:t xml:space="preserve"> twice daily</w:t>
      </w:r>
      <w:r w:rsidR="00675E02" w:rsidRPr="00527190">
        <w:rPr>
          <w:rFonts w:eastAsia="TimesNewRoman"/>
        </w:rPr>
        <w:t>.</w:t>
      </w:r>
      <w:proofErr w:type="gramEnd"/>
      <w:r w:rsidR="0075171B" w:rsidRPr="00527190">
        <w:rPr>
          <w:rFonts w:eastAsia="TimesNewRoman"/>
        </w:rPr>
        <w:t xml:space="preserve">  </w:t>
      </w:r>
      <w:r w:rsidR="00C77C8F" w:rsidRPr="00527190">
        <w:rPr>
          <w:rFonts w:eastAsia="TimesNewRoman"/>
        </w:rPr>
        <w:t>If the patient’s asthma remains poorly controlled on FLUTIFORM</w:t>
      </w:r>
      <w:r w:rsidR="00C77C8F" w:rsidRPr="00527190">
        <w:rPr>
          <w:rFonts w:eastAsia="TimesNewRoman"/>
          <w:vertAlign w:val="superscript"/>
        </w:rPr>
        <w:t>®</w:t>
      </w:r>
      <w:r w:rsidR="00C77C8F" w:rsidRPr="00527190">
        <w:rPr>
          <w:rFonts w:eastAsia="TimesNewRoman"/>
        </w:rPr>
        <w:t xml:space="preserve"> inhaler 125/5 microgram</w:t>
      </w:r>
      <w:r w:rsidR="00042D58" w:rsidRPr="00527190">
        <w:rPr>
          <w:rFonts w:eastAsia="TimesNewRoman"/>
        </w:rPr>
        <w:t>s</w:t>
      </w:r>
      <w:r w:rsidR="00C77C8F" w:rsidRPr="00527190">
        <w:rPr>
          <w:rFonts w:eastAsia="TimesNewRoman"/>
        </w:rPr>
        <w:t xml:space="preserve">, the total daily </w:t>
      </w:r>
      <w:r w:rsidR="00C77C8F" w:rsidRPr="00527190">
        <w:rPr>
          <w:rFonts w:eastAsia="TimesNewRoman"/>
        </w:rPr>
        <w:lastRenderedPageBreak/>
        <w:t>dose can be increased by administering the next highest strength combination product, i.e. FLUTIFORM</w:t>
      </w:r>
      <w:r w:rsidR="00C77C8F" w:rsidRPr="00527190">
        <w:rPr>
          <w:rFonts w:eastAsia="TimesNewRoman"/>
          <w:vertAlign w:val="superscript"/>
        </w:rPr>
        <w:t>®</w:t>
      </w:r>
      <w:r w:rsidR="00C77C8F" w:rsidRPr="00527190">
        <w:rPr>
          <w:rFonts w:eastAsia="TimesNewRoman"/>
        </w:rPr>
        <w:t xml:space="preserve"> inhaler 250/10 microgram</w:t>
      </w:r>
      <w:r w:rsidR="00042D58" w:rsidRPr="00527190">
        <w:rPr>
          <w:rFonts w:eastAsia="TimesNewRoman"/>
        </w:rPr>
        <w:t>s</w:t>
      </w:r>
      <w:r w:rsidR="00C77C8F" w:rsidRPr="00527190">
        <w:rPr>
          <w:rFonts w:eastAsia="TimesNewRoman"/>
        </w:rPr>
        <w:t>, two puffs twice daily.</w:t>
      </w:r>
    </w:p>
    <w:p w:rsidR="002B2B83" w:rsidRPr="00527190" w:rsidRDefault="00CB4155" w:rsidP="00B761B2">
      <w:pPr>
        <w:pStyle w:val="Heading3"/>
      </w:pPr>
      <w:r w:rsidRPr="00527190">
        <w:t>Children Under 12 Years</w:t>
      </w:r>
    </w:p>
    <w:p w:rsidR="00675E02" w:rsidRPr="00527190" w:rsidRDefault="00675E02" w:rsidP="000649D6">
      <w:pPr>
        <w:autoSpaceDE w:val="0"/>
        <w:autoSpaceDN w:val="0"/>
        <w:adjustRightInd w:val="0"/>
        <w:ind w:right="-360"/>
        <w:jc w:val="both"/>
        <w:rPr>
          <w:bCs/>
        </w:rPr>
      </w:pPr>
      <w:r w:rsidRPr="00527190">
        <w:rPr>
          <w:rFonts w:eastAsia="TimesNewRoman"/>
        </w:rPr>
        <w:t>FLUTIFORM</w:t>
      </w:r>
      <w:r w:rsidRPr="00527190">
        <w:rPr>
          <w:rFonts w:eastAsia="TimesNewRoman"/>
          <w:vertAlign w:val="superscript"/>
        </w:rPr>
        <w:t>®</w:t>
      </w:r>
      <w:r w:rsidRPr="00527190">
        <w:rPr>
          <w:rFonts w:eastAsia="TimesNewRoman"/>
        </w:rPr>
        <w:t xml:space="preserve"> </w:t>
      </w:r>
      <w:r w:rsidR="00381D65" w:rsidRPr="00527190">
        <w:rPr>
          <w:rFonts w:eastAsia="TimesNewRoman"/>
        </w:rPr>
        <w:t>inhaler</w:t>
      </w:r>
      <w:r w:rsidRPr="00527190">
        <w:rPr>
          <w:rFonts w:eastAsia="TimesNewRoman"/>
        </w:rPr>
        <w:t xml:space="preserve"> is not recommended for children under 12 years </w:t>
      </w:r>
      <w:r w:rsidR="002722C4">
        <w:rPr>
          <w:rFonts w:eastAsia="TimesNewRoman"/>
        </w:rPr>
        <w:t xml:space="preserve">(see </w:t>
      </w:r>
      <w:r w:rsidR="002722C4" w:rsidRPr="002722C4">
        <w:rPr>
          <w:rFonts w:eastAsia="TimesNewRoman"/>
          <w:b/>
        </w:rPr>
        <w:t>Use in children</w:t>
      </w:r>
      <w:r w:rsidR="002722C4">
        <w:rPr>
          <w:rFonts w:eastAsia="TimesNewRoman"/>
        </w:rPr>
        <w:t>)</w:t>
      </w:r>
      <w:r w:rsidRPr="00527190">
        <w:rPr>
          <w:rFonts w:eastAsia="TimesNewRoman"/>
        </w:rPr>
        <w:t>.</w:t>
      </w:r>
    </w:p>
    <w:p w:rsidR="00CB4155" w:rsidRPr="00527190" w:rsidRDefault="00CB4155" w:rsidP="000649D6">
      <w:pPr>
        <w:autoSpaceDE w:val="0"/>
        <w:autoSpaceDN w:val="0"/>
        <w:adjustRightInd w:val="0"/>
        <w:ind w:right="-360"/>
        <w:jc w:val="both"/>
        <w:rPr>
          <w:b/>
          <w:bCs/>
        </w:rPr>
      </w:pPr>
    </w:p>
    <w:p w:rsidR="002B2B83" w:rsidRPr="00527190" w:rsidRDefault="00CA0121" w:rsidP="000649D6">
      <w:pPr>
        <w:autoSpaceDE w:val="0"/>
        <w:autoSpaceDN w:val="0"/>
        <w:adjustRightInd w:val="0"/>
        <w:ind w:right="-360"/>
        <w:jc w:val="both"/>
        <w:rPr>
          <w:bCs/>
        </w:rPr>
      </w:pPr>
      <w:r w:rsidRPr="00527190">
        <w:rPr>
          <w:bCs/>
          <w:i/>
        </w:rPr>
        <w:t>Patients currently receiving medium to high doses of inhaled corticosteroids</w:t>
      </w:r>
    </w:p>
    <w:p w:rsidR="002B2B83" w:rsidRPr="00577862" w:rsidRDefault="002B2B83" w:rsidP="000649D6">
      <w:pPr>
        <w:autoSpaceDE w:val="0"/>
        <w:autoSpaceDN w:val="0"/>
        <w:adjustRightInd w:val="0"/>
        <w:ind w:right="-360"/>
        <w:jc w:val="both"/>
        <w:rPr>
          <w:rFonts w:eastAsia="TimesNewRoman"/>
        </w:rPr>
      </w:pPr>
      <w:r w:rsidRPr="00577862">
        <w:rPr>
          <w:rFonts w:eastAsia="TimesNewRoman"/>
        </w:rPr>
        <w:t>For patients who are currently receiving medium to high doses of inhaled corticosteroid therapy, and whose disease severity clearly warrants treatment with two maintenance therapies, the recommended starting dose is two inhalations twice daily of FLUTIFORM</w:t>
      </w:r>
      <w:r w:rsidRPr="00577862">
        <w:rPr>
          <w:rFonts w:eastAsia="TimesNewRoman"/>
          <w:vertAlign w:val="superscript"/>
        </w:rPr>
        <w:t>®</w:t>
      </w:r>
      <w:r w:rsidRPr="00577862">
        <w:rPr>
          <w:rFonts w:eastAsia="TimesNewRoman"/>
        </w:rPr>
        <w:t xml:space="preserve"> </w:t>
      </w:r>
      <w:r w:rsidR="00381D65" w:rsidRPr="00577862">
        <w:rPr>
          <w:rFonts w:eastAsia="TimesNewRoman"/>
        </w:rPr>
        <w:t>inhaler</w:t>
      </w:r>
      <w:r w:rsidRPr="00577862">
        <w:rPr>
          <w:rFonts w:eastAsia="TimesNewRoman"/>
        </w:rPr>
        <w:t xml:space="preserve"> </w:t>
      </w:r>
      <w:r w:rsidR="00042D58" w:rsidRPr="00577862">
        <w:rPr>
          <w:rFonts w:eastAsia="TimesNewRoman"/>
        </w:rPr>
        <w:t xml:space="preserve">             </w:t>
      </w:r>
      <w:r w:rsidRPr="00577862">
        <w:rPr>
          <w:rFonts w:eastAsia="TimesNewRoman"/>
        </w:rPr>
        <w:t>125/5 microgram</w:t>
      </w:r>
      <w:r w:rsidR="00042D58" w:rsidRPr="00577862">
        <w:rPr>
          <w:rFonts w:eastAsia="TimesNewRoman"/>
        </w:rPr>
        <w:t>s</w:t>
      </w:r>
      <w:r w:rsidRPr="00577862">
        <w:rPr>
          <w:rFonts w:eastAsia="TimesNewRoman"/>
        </w:rPr>
        <w:t>.</w:t>
      </w:r>
    </w:p>
    <w:p w:rsidR="00CA0121" w:rsidRPr="00577862" w:rsidRDefault="00CA0121" w:rsidP="00B761B2">
      <w:pPr>
        <w:pStyle w:val="Heading3"/>
      </w:pPr>
      <w:r w:rsidRPr="00577862">
        <w:t>Special patient groups</w:t>
      </w:r>
    </w:p>
    <w:p w:rsidR="002B2B83" w:rsidRPr="00577862" w:rsidRDefault="00CB4155" w:rsidP="00B761B2">
      <w:pPr>
        <w:autoSpaceDE w:val="0"/>
        <w:autoSpaceDN w:val="0"/>
        <w:adjustRightInd w:val="0"/>
        <w:spacing w:after="100" w:afterAutospacing="1"/>
        <w:ind w:right="-357"/>
        <w:jc w:val="both"/>
        <w:rPr>
          <w:bCs/>
          <w:color w:val="000000"/>
        </w:rPr>
      </w:pPr>
      <w:r w:rsidRPr="00577862">
        <w:rPr>
          <w:rFonts w:eastAsia="TimesNewRoman"/>
        </w:rPr>
        <w:t>There is no need to adjust the dose in elderly patients.</w:t>
      </w:r>
    </w:p>
    <w:p w:rsidR="00CB4155" w:rsidRPr="00577862" w:rsidRDefault="00CB4155" w:rsidP="00381D65">
      <w:pPr>
        <w:autoSpaceDE w:val="0"/>
        <w:autoSpaceDN w:val="0"/>
        <w:adjustRightInd w:val="0"/>
        <w:ind w:right="-360"/>
        <w:jc w:val="both"/>
        <w:rPr>
          <w:b/>
          <w:bCs/>
          <w:color w:val="000000"/>
        </w:rPr>
      </w:pPr>
      <w:r w:rsidRPr="00577862">
        <w:rPr>
          <w:rFonts w:eastAsia="TimesNewRoman"/>
          <w:color w:val="000000"/>
        </w:rPr>
        <w:t xml:space="preserve">There </w:t>
      </w:r>
      <w:r w:rsidR="00675E02" w:rsidRPr="00577862">
        <w:rPr>
          <w:rFonts w:eastAsia="TimesNewRoman"/>
          <w:color w:val="000000"/>
        </w:rPr>
        <w:t xml:space="preserve">is </w:t>
      </w:r>
      <w:r w:rsidRPr="00577862">
        <w:rPr>
          <w:rFonts w:eastAsia="TimesNewRoman"/>
          <w:color w:val="000000"/>
        </w:rPr>
        <w:t xml:space="preserve">no data available for use of </w:t>
      </w:r>
      <w:r w:rsidR="00D058BC" w:rsidRPr="00577862">
        <w:rPr>
          <w:rFonts w:eastAsia="TimesNewRoman"/>
          <w:color w:val="000000"/>
        </w:rPr>
        <w:t>FLUTIFORM</w:t>
      </w:r>
      <w:r w:rsidR="00845D3E" w:rsidRPr="00577862">
        <w:rPr>
          <w:rFonts w:eastAsia="TimesNewRoman"/>
          <w:color w:val="000000"/>
          <w:vertAlign w:val="superscript"/>
        </w:rPr>
        <w:t>®</w:t>
      </w:r>
      <w:r w:rsidR="00D058BC" w:rsidRPr="00577862">
        <w:rPr>
          <w:rFonts w:eastAsia="TimesNewRoman"/>
          <w:color w:val="000000"/>
        </w:rPr>
        <w:t xml:space="preserve"> </w:t>
      </w:r>
      <w:r w:rsidR="00381D65" w:rsidRPr="00577862">
        <w:rPr>
          <w:rFonts w:eastAsia="TimesNewRoman"/>
          <w:color w:val="000000"/>
        </w:rPr>
        <w:t>inhaler</w:t>
      </w:r>
      <w:r w:rsidRPr="00577862">
        <w:rPr>
          <w:rFonts w:eastAsia="TimesNewRoman"/>
          <w:color w:val="000000"/>
        </w:rPr>
        <w:t xml:space="preserve"> in patients with hepatic or renal impairment</w:t>
      </w:r>
      <w:r w:rsidR="00FB4E0C" w:rsidRPr="00577862">
        <w:rPr>
          <w:rFonts w:eastAsia="TimesNewRoman"/>
          <w:color w:val="000000"/>
        </w:rPr>
        <w:t>.</w:t>
      </w:r>
    </w:p>
    <w:p w:rsidR="00675E02" w:rsidRPr="00577862" w:rsidRDefault="00CB4155" w:rsidP="00B761B2">
      <w:pPr>
        <w:pStyle w:val="Heading3"/>
      </w:pPr>
      <w:r w:rsidRPr="00577862">
        <w:t>General Information</w:t>
      </w:r>
    </w:p>
    <w:p w:rsidR="00CB4155" w:rsidRPr="00577862" w:rsidRDefault="00CB4155" w:rsidP="00381D65">
      <w:pPr>
        <w:autoSpaceDE w:val="0"/>
        <w:autoSpaceDN w:val="0"/>
        <w:adjustRightInd w:val="0"/>
        <w:ind w:right="-360"/>
        <w:jc w:val="both"/>
        <w:rPr>
          <w:rFonts w:eastAsia="TimesNewRoman"/>
          <w:color w:val="000000"/>
        </w:rPr>
      </w:pPr>
      <w:r w:rsidRPr="00577862">
        <w:rPr>
          <w:rFonts w:eastAsia="TimesNewRoman"/>
          <w:color w:val="000000"/>
        </w:rPr>
        <w:t xml:space="preserve">Patients should be made aware that </w:t>
      </w:r>
      <w:r w:rsidR="00E90640" w:rsidRPr="00577862">
        <w:rPr>
          <w:rFonts w:eastAsia="TimesNewRoman"/>
          <w:color w:val="000000"/>
        </w:rPr>
        <w:t>FLUTIFORM</w:t>
      </w:r>
      <w:r w:rsidR="00845D3E" w:rsidRPr="00577862">
        <w:rPr>
          <w:rFonts w:eastAsia="TimesNewRoman"/>
          <w:color w:val="000000"/>
          <w:vertAlign w:val="superscript"/>
        </w:rPr>
        <w:t>®</w:t>
      </w:r>
      <w:r w:rsidR="00845D3E" w:rsidRPr="00577862">
        <w:rPr>
          <w:rFonts w:eastAsia="TimesNewRoman"/>
          <w:color w:val="000000"/>
        </w:rPr>
        <w:t xml:space="preserve"> </w:t>
      </w:r>
      <w:r w:rsidR="00381D65" w:rsidRPr="00577862">
        <w:rPr>
          <w:rFonts w:eastAsia="TimesNewRoman"/>
          <w:color w:val="000000"/>
        </w:rPr>
        <w:t>inhaler</w:t>
      </w:r>
      <w:r w:rsidR="00845D3E" w:rsidRPr="00577862">
        <w:rPr>
          <w:rFonts w:eastAsia="TimesNewRoman"/>
          <w:color w:val="000000"/>
        </w:rPr>
        <w:t xml:space="preserve"> </w:t>
      </w:r>
      <w:r w:rsidRPr="00577862">
        <w:rPr>
          <w:rFonts w:eastAsia="TimesNewRoman"/>
          <w:color w:val="000000"/>
        </w:rPr>
        <w:t>must be used daily for optimum benefit, even when asymptomatic.</w:t>
      </w:r>
      <w:r w:rsidR="00FB4E0C" w:rsidRPr="00577862">
        <w:rPr>
          <w:rFonts w:eastAsia="TimesNewRoman"/>
          <w:color w:val="000000"/>
        </w:rPr>
        <w:t xml:space="preserve">  P</w:t>
      </w:r>
      <w:r w:rsidRPr="00577862">
        <w:rPr>
          <w:rFonts w:eastAsia="TimesNewRoman"/>
          <w:color w:val="000000"/>
        </w:rPr>
        <w:t xml:space="preserve">atients using </w:t>
      </w:r>
      <w:r w:rsidR="00D058BC" w:rsidRPr="00577862">
        <w:rPr>
          <w:rFonts w:eastAsia="TimesNewRoman"/>
          <w:color w:val="000000"/>
        </w:rPr>
        <w:t>FLUTIFORM</w:t>
      </w:r>
      <w:r w:rsidR="00845D3E" w:rsidRPr="00577862">
        <w:rPr>
          <w:rFonts w:eastAsia="TimesNewRoman"/>
          <w:color w:val="000000"/>
          <w:vertAlign w:val="superscript"/>
        </w:rPr>
        <w:t>®</w:t>
      </w:r>
      <w:r w:rsidR="00D058BC" w:rsidRPr="00577862">
        <w:rPr>
          <w:rFonts w:eastAsia="TimesNewRoman"/>
          <w:color w:val="000000"/>
        </w:rPr>
        <w:t xml:space="preserve"> </w:t>
      </w:r>
      <w:r w:rsidR="00E90640" w:rsidRPr="00577862">
        <w:rPr>
          <w:rFonts w:eastAsia="TimesNewRoman"/>
          <w:color w:val="000000"/>
        </w:rPr>
        <w:t xml:space="preserve">inhaler </w:t>
      </w:r>
      <w:r w:rsidRPr="00577862">
        <w:rPr>
          <w:rFonts w:eastAsia="TimesNewRoman"/>
          <w:color w:val="000000"/>
        </w:rPr>
        <w:t>should not use additional long-acting β2-agonists for any reason.</w:t>
      </w:r>
      <w:r w:rsidR="00FB4E0C" w:rsidRPr="00577862">
        <w:rPr>
          <w:rFonts w:eastAsia="TimesNewRoman"/>
          <w:color w:val="000000"/>
        </w:rPr>
        <w:t xml:space="preserve">  </w:t>
      </w:r>
      <w:r w:rsidRPr="00577862">
        <w:rPr>
          <w:rFonts w:eastAsia="TimesNewRoman"/>
          <w:color w:val="000000"/>
        </w:rPr>
        <w:t>If asthma symptoms arise in the period between doses, an inhaled, short-acting β2-agonist should be taken for immediate relief.</w:t>
      </w:r>
    </w:p>
    <w:p w:rsidR="00CB4155" w:rsidRPr="00577862" w:rsidRDefault="00CB4155" w:rsidP="00B761B2">
      <w:pPr>
        <w:autoSpaceDE w:val="0"/>
        <w:autoSpaceDN w:val="0"/>
        <w:adjustRightInd w:val="0"/>
        <w:spacing w:before="100" w:beforeAutospacing="1" w:after="100" w:afterAutospacing="1"/>
        <w:ind w:right="-357"/>
        <w:jc w:val="both"/>
        <w:rPr>
          <w:rFonts w:eastAsia="TimesNewRoman"/>
          <w:color w:val="000000"/>
        </w:rPr>
      </w:pPr>
      <w:r w:rsidRPr="00577862">
        <w:rPr>
          <w:rFonts w:eastAsia="TimesNewRoman"/>
          <w:color w:val="000000"/>
        </w:rPr>
        <w:t xml:space="preserve">Each dose of </w:t>
      </w:r>
      <w:r w:rsidR="00D058BC" w:rsidRPr="00577862">
        <w:rPr>
          <w:rFonts w:eastAsia="TimesNewRoman"/>
          <w:color w:val="000000"/>
        </w:rPr>
        <w:t>FLUTIFORM</w:t>
      </w:r>
      <w:r w:rsidR="00845D3E" w:rsidRPr="00577862">
        <w:rPr>
          <w:rFonts w:eastAsia="TimesNewRoman"/>
          <w:color w:val="000000"/>
          <w:vertAlign w:val="superscript"/>
        </w:rPr>
        <w:t>®</w:t>
      </w:r>
      <w:r w:rsidR="00D058BC" w:rsidRPr="00577862">
        <w:rPr>
          <w:rFonts w:eastAsia="TimesNewRoman"/>
          <w:color w:val="000000"/>
        </w:rPr>
        <w:t xml:space="preserve"> </w:t>
      </w:r>
      <w:r w:rsidR="00381D65" w:rsidRPr="00577862">
        <w:rPr>
          <w:rFonts w:eastAsia="TimesNewRoman"/>
          <w:color w:val="000000"/>
        </w:rPr>
        <w:t>inhaler</w:t>
      </w:r>
      <w:r w:rsidRPr="00577862">
        <w:rPr>
          <w:rFonts w:eastAsia="TimesNewRoman"/>
          <w:color w:val="000000"/>
        </w:rPr>
        <w:t xml:space="preserve"> is administered as two inhalations twice daily (normally taken in the morning and the evening). </w:t>
      </w:r>
      <w:r w:rsidR="005E5CF6" w:rsidRPr="00577862">
        <w:rPr>
          <w:rFonts w:eastAsia="TimesNewRoman"/>
          <w:color w:val="000000"/>
        </w:rPr>
        <w:t xml:space="preserve"> </w:t>
      </w:r>
      <w:r w:rsidRPr="00577862">
        <w:rPr>
          <w:rFonts w:eastAsia="TimesNewRoman"/>
          <w:color w:val="000000"/>
        </w:rPr>
        <w:t>Rinsing the mouth, gargling with water or brushing the teeth after every dose and swallowing is advised to minimi</w:t>
      </w:r>
      <w:r w:rsidR="002727AE" w:rsidRPr="00577862">
        <w:rPr>
          <w:rFonts w:eastAsia="TimesNewRoman"/>
          <w:color w:val="000000"/>
        </w:rPr>
        <w:t>s</w:t>
      </w:r>
      <w:r w:rsidRPr="00577862">
        <w:rPr>
          <w:rFonts w:eastAsia="TimesNewRoman"/>
          <w:color w:val="000000"/>
        </w:rPr>
        <w:t xml:space="preserve">e the risk of </w:t>
      </w:r>
      <w:proofErr w:type="spellStart"/>
      <w:r w:rsidRPr="00577862">
        <w:rPr>
          <w:rFonts w:eastAsia="TimesNewRoman"/>
          <w:color w:val="000000"/>
        </w:rPr>
        <w:t>oropharyngeal</w:t>
      </w:r>
      <w:proofErr w:type="spellEnd"/>
      <w:r w:rsidRPr="00577862">
        <w:rPr>
          <w:rFonts w:eastAsia="TimesNewRoman"/>
          <w:color w:val="000000"/>
        </w:rPr>
        <w:t xml:space="preserve"> </w:t>
      </w:r>
      <w:proofErr w:type="spellStart"/>
      <w:r w:rsidRPr="00577862">
        <w:rPr>
          <w:rFonts w:eastAsia="TimesNewRoman"/>
          <w:color w:val="000000"/>
        </w:rPr>
        <w:t>candida</w:t>
      </w:r>
      <w:proofErr w:type="spellEnd"/>
      <w:r w:rsidRPr="00577862">
        <w:rPr>
          <w:rFonts w:eastAsia="TimesNewRoman"/>
          <w:color w:val="000000"/>
        </w:rPr>
        <w:t xml:space="preserve"> infection.</w:t>
      </w:r>
      <w:r w:rsidR="002722C4">
        <w:rPr>
          <w:rFonts w:eastAsia="TimesNewRoman"/>
          <w:color w:val="000000"/>
        </w:rPr>
        <w:t xml:space="preserve">  The use of only one actuation twice daily of FLUTIFORM inhaler</w:t>
      </w:r>
      <w:r w:rsidR="00DF6B80">
        <w:rPr>
          <w:rFonts w:eastAsia="TimesNewRoman"/>
          <w:color w:val="000000"/>
        </w:rPr>
        <w:t xml:space="preserve"> has not been investig</w:t>
      </w:r>
      <w:r w:rsidR="00E549FB">
        <w:rPr>
          <w:rFonts w:eastAsia="TimesNewRoman"/>
          <w:color w:val="000000"/>
        </w:rPr>
        <w:t>ated in clinical trials.</w:t>
      </w:r>
    </w:p>
    <w:p w:rsidR="00CB4155" w:rsidRPr="00577862" w:rsidRDefault="00CB4155" w:rsidP="00B761B2">
      <w:pPr>
        <w:autoSpaceDE w:val="0"/>
        <w:autoSpaceDN w:val="0"/>
        <w:adjustRightInd w:val="0"/>
        <w:spacing w:before="100" w:beforeAutospacing="1" w:after="100" w:afterAutospacing="1"/>
        <w:ind w:right="-357"/>
        <w:jc w:val="both"/>
        <w:rPr>
          <w:rFonts w:eastAsia="TimesNewRoman"/>
          <w:color w:val="000000"/>
        </w:rPr>
      </w:pPr>
      <w:r w:rsidRPr="00577862">
        <w:rPr>
          <w:rFonts w:eastAsia="TimesNewRoman"/>
          <w:color w:val="000000"/>
        </w:rPr>
        <w:t xml:space="preserve">Use of a spacer device with </w:t>
      </w:r>
      <w:r w:rsidR="00D058BC" w:rsidRPr="00577862">
        <w:rPr>
          <w:rFonts w:eastAsia="TimesNewRoman"/>
          <w:color w:val="000000"/>
        </w:rPr>
        <w:t>FLUTIFORM</w:t>
      </w:r>
      <w:r w:rsidR="00845D3E" w:rsidRPr="00577862">
        <w:rPr>
          <w:rFonts w:eastAsia="TimesNewRoman"/>
          <w:color w:val="000000"/>
          <w:vertAlign w:val="superscript"/>
        </w:rPr>
        <w:t>®</w:t>
      </w:r>
      <w:r w:rsidR="00D058BC" w:rsidRPr="00577862">
        <w:rPr>
          <w:rFonts w:eastAsia="TimesNewRoman"/>
          <w:color w:val="000000"/>
        </w:rPr>
        <w:t xml:space="preserve"> </w:t>
      </w:r>
      <w:r w:rsidR="00381D65" w:rsidRPr="00577862">
        <w:rPr>
          <w:rFonts w:eastAsia="TimesNewRoman"/>
          <w:color w:val="000000"/>
        </w:rPr>
        <w:t>inhaler</w:t>
      </w:r>
      <w:r w:rsidRPr="00577862">
        <w:rPr>
          <w:rFonts w:eastAsia="TimesNewRoman"/>
          <w:color w:val="000000"/>
        </w:rPr>
        <w:t xml:space="preserve"> is recommended in patients who find it difficult to synchronise aerosol actuation with inspiration of breath. </w:t>
      </w:r>
      <w:r w:rsidR="005E5CF6" w:rsidRPr="00577862">
        <w:rPr>
          <w:rFonts w:eastAsia="TimesNewRoman"/>
          <w:color w:val="000000"/>
        </w:rPr>
        <w:t xml:space="preserve"> </w:t>
      </w:r>
      <w:r w:rsidRPr="00577862">
        <w:rPr>
          <w:rFonts w:eastAsia="TimesNewRoman"/>
          <w:color w:val="000000"/>
        </w:rPr>
        <w:t>The Aero Chamber Plus</w:t>
      </w:r>
      <w:r w:rsidR="001558A4" w:rsidRPr="00577862">
        <w:rPr>
          <w:rFonts w:eastAsia="TimesNewRoman"/>
          <w:color w:val="000000"/>
          <w:vertAlign w:val="superscript"/>
        </w:rPr>
        <w:t>®</w:t>
      </w:r>
      <w:r w:rsidRPr="00577862">
        <w:rPr>
          <w:rFonts w:eastAsia="TimesNewRoman"/>
          <w:color w:val="000000"/>
        </w:rPr>
        <w:t xml:space="preserve"> spacer device can be used.</w:t>
      </w:r>
    </w:p>
    <w:p w:rsidR="002B2B83" w:rsidRPr="00577862" w:rsidRDefault="002B2B83" w:rsidP="00B761B2">
      <w:pPr>
        <w:autoSpaceDE w:val="0"/>
        <w:autoSpaceDN w:val="0"/>
        <w:adjustRightInd w:val="0"/>
        <w:spacing w:before="100" w:beforeAutospacing="1" w:after="100" w:afterAutospacing="1"/>
        <w:ind w:right="-357"/>
        <w:jc w:val="both"/>
        <w:rPr>
          <w:rFonts w:eastAsia="TimesNewRoman"/>
          <w:color w:val="000000"/>
        </w:rPr>
      </w:pPr>
      <w:r w:rsidRPr="00577862">
        <w:rPr>
          <w:rFonts w:eastAsia="TimesNewRoman"/>
          <w:color w:val="000000"/>
        </w:rPr>
        <w:t xml:space="preserve">Patients should be instructed in the proper use and care of their inhaler and spacer and their technique checked to ensure optimum delivery of the inhaled drug to the lungs.  Re-titration to the lowest effective dose should always follow the introduction of a spacer device.  </w:t>
      </w:r>
    </w:p>
    <w:p w:rsidR="002B2B83" w:rsidRPr="00577862" w:rsidRDefault="007D617C" w:rsidP="00B761B2">
      <w:pPr>
        <w:pStyle w:val="Heading4"/>
      </w:pPr>
      <w:r w:rsidRPr="00577862">
        <w:t>Instruction for Use</w:t>
      </w:r>
    </w:p>
    <w:p w:rsidR="00CB4155" w:rsidRPr="00577862" w:rsidRDefault="00CB4155" w:rsidP="00B761B2">
      <w:pPr>
        <w:autoSpaceDE w:val="0"/>
        <w:autoSpaceDN w:val="0"/>
        <w:adjustRightInd w:val="0"/>
        <w:spacing w:after="100" w:afterAutospacing="1"/>
        <w:ind w:right="-357"/>
        <w:jc w:val="both"/>
        <w:rPr>
          <w:rFonts w:eastAsia="TimesNewRoman"/>
          <w:color w:val="000000"/>
        </w:rPr>
      </w:pPr>
      <w:r w:rsidRPr="00577862">
        <w:rPr>
          <w:rFonts w:eastAsia="TimesNewRoman"/>
          <w:color w:val="000000"/>
        </w:rPr>
        <w:t>To ensure proper administration of the drug, the patient should be shown how to use the inhaler correctly by a physician or other health</w:t>
      </w:r>
      <w:r w:rsidR="002727AE" w:rsidRPr="00577862">
        <w:rPr>
          <w:rFonts w:eastAsia="TimesNewRoman"/>
          <w:color w:val="000000"/>
        </w:rPr>
        <w:t>care</w:t>
      </w:r>
      <w:r w:rsidRPr="00577862">
        <w:rPr>
          <w:rFonts w:eastAsia="TimesNewRoman"/>
          <w:color w:val="000000"/>
        </w:rPr>
        <w:t xml:space="preserve"> professionals. </w:t>
      </w:r>
      <w:r w:rsidR="005E5CF6" w:rsidRPr="00577862">
        <w:rPr>
          <w:rFonts w:eastAsia="TimesNewRoman"/>
          <w:color w:val="000000"/>
        </w:rPr>
        <w:t xml:space="preserve"> </w:t>
      </w:r>
      <w:r w:rsidRPr="00577862">
        <w:rPr>
          <w:rFonts w:eastAsia="TimesNewRoman"/>
          <w:color w:val="000000"/>
        </w:rPr>
        <w:t>The correct use of the pressurised metered dose inhaler (</w:t>
      </w:r>
      <w:proofErr w:type="spellStart"/>
      <w:r w:rsidRPr="00577862">
        <w:rPr>
          <w:rFonts w:eastAsia="TimesNewRoman"/>
          <w:color w:val="000000"/>
        </w:rPr>
        <w:t>pMDI</w:t>
      </w:r>
      <w:proofErr w:type="spellEnd"/>
      <w:r w:rsidRPr="00577862">
        <w:rPr>
          <w:rFonts w:eastAsia="TimesNewRoman"/>
          <w:color w:val="000000"/>
        </w:rPr>
        <w:t xml:space="preserve">) is essential for successful treatment. </w:t>
      </w:r>
      <w:r w:rsidR="005E5CF6" w:rsidRPr="00577862">
        <w:rPr>
          <w:rFonts w:eastAsia="TimesNewRoman"/>
          <w:color w:val="000000"/>
        </w:rPr>
        <w:t xml:space="preserve"> </w:t>
      </w:r>
      <w:r w:rsidRPr="00577862">
        <w:rPr>
          <w:rFonts w:eastAsia="TimesNewRoman"/>
          <w:color w:val="000000"/>
        </w:rPr>
        <w:t xml:space="preserve">The patient should be advised to read the </w:t>
      </w:r>
      <w:r w:rsidR="002B2B83" w:rsidRPr="00577862">
        <w:rPr>
          <w:rFonts w:eastAsia="TimesNewRoman"/>
          <w:color w:val="000000"/>
        </w:rPr>
        <w:t>Consumer Medicine Information leaflet</w:t>
      </w:r>
      <w:r w:rsidRPr="00577862">
        <w:rPr>
          <w:rFonts w:eastAsia="TimesNewRoman"/>
          <w:color w:val="000000"/>
        </w:rPr>
        <w:t xml:space="preserve"> carefully and follow the instructions for use in the leaflet.</w:t>
      </w:r>
    </w:p>
    <w:p w:rsidR="00CB4155" w:rsidRPr="00577862" w:rsidRDefault="00CB4155" w:rsidP="00B761B2">
      <w:pPr>
        <w:pStyle w:val="Heading4"/>
      </w:pPr>
      <w:r w:rsidRPr="00577862">
        <w:lastRenderedPageBreak/>
        <w:t>Priming the Inhaler</w:t>
      </w:r>
    </w:p>
    <w:p w:rsidR="007D617C" w:rsidRPr="00577862" w:rsidRDefault="00CB4155" w:rsidP="00381D65">
      <w:pPr>
        <w:autoSpaceDE w:val="0"/>
        <w:autoSpaceDN w:val="0"/>
        <w:adjustRightInd w:val="0"/>
        <w:ind w:right="-360"/>
        <w:jc w:val="both"/>
        <w:rPr>
          <w:rFonts w:eastAsia="TimesNewRoman"/>
          <w:color w:val="000000"/>
        </w:rPr>
      </w:pPr>
      <w:r w:rsidRPr="00577862">
        <w:rPr>
          <w:rFonts w:eastAsia="TimesNewRoman"/>
          <w:color w:val="000000"/>
        </w:rPr>
        <w:t>Before using the inhaler for the first time or if the inhaler has not been used for 3 days or more, the inhaler should be primed before use:</w:t>
      </w:r>
    </w:p>
    <w:p w:rsidR="00CB4155" w:rsidRPr="00577862" w:rsidRDefault="00CB4155" w:rsidP="00381D65">
      <w:pPr>
        <w:numPr>
          <w:ilvl w:val="0"/>
          <w:numId w:val="5"/>
        </w:numPr>
        <w:autoSpaceDE w:val="0"/>
        <w:autoSpaceDN w:val="0"/>
        <w:adjustRightInd w:val="0"/>
        <w:ind w:right="-360"/>
        <w:jc w:val="both"/>
        <w:rPr>
          <w:rFonts w:eastAsia="TimesNewRoman"/>
          <w:color w:val="000000"/>
        </w:rPr>
      </w:pPr>
      <w:r w:rsidRPr="00577862">
        <w:rPr>
          <w:rFonts w:eastAsia="TimesNewRoman"/>
          <w:color w:val="000000"/>
        </w:rPr>
        <w:t>Remove the mouthpiece cover and shake the inhaler well.</w:t>
      </w:r>
    </w:p>
    <w:p w:rsidR="00CB4155" w:rsidRPr="00577862" w:rsidRDefault="00CB4155" w:rsidP="00381D65">
      <w:pPr>
        <w:numPr>
          <w:ilvl w:val="0"/>
          <w:numId w:val="4"/>
        </w:numPr>
        <w:autoSpaceDE w:val="0"/>
        <w:autoSpaceDN w:val="0"/>
        <w:adjustRightInd w:val="0"/>
        <w:ind w:right="-360"/>
        <w:jc w:val="both"/>
        <w:rPr>
          <w:rFonts w:eastAsia="TimesNewRoman"/>
          <w:color w:val="000000"/>
        </w:rPr>
      </w:pPr>
      <w:r w:rsidRPr="00577862">
        <w:rPr>
          <w:rFonts w:eastAsia="TimesNewRoman"/>
          <w:color w:val="000000"/>
        </w:rPr>
        <w:t xml:space="preserve">Spray (away from the face). </w:t>
      </w:r>
      <w:r w:rsidR="005E5CF6" w:rsidRPr="00577862">
        <w:rPr>
          <w:rFonts w:eastAsia="TimesNewRoman"/>
          <w:color w:val="000000"/>
        </w:rPr>
        <w:t xml:space="preserve"> </w:t>
      </w:r>
      <w:r w:rsidRPr="00577862">
        <w:rPr>
          <w:rFonts w:eastAsia="TimesNewRoman"/>
          <w:color w:val="000000"/>
        </w:rPr>
        <w:t>This step should be performed 4 times.</w:t>
      </w:r>
    </w:p>
    <w:p w:rsidR="00CB4155" w:rsidRPr="00577862" w:rsidRDefault="00CB4155" w:rsidP="00381D65">
      <w:pPr>
        <w:numPr>
          <w:ilvl w:val="0"/>
          <w:numId w:val="3"/>
        </w:numPr>
        <w:autoSpaceDE w:val="0"/>
        <w:autoSpaceDN w:val="0"/>
        <w:adjustRightInd w:val="0"/>
        <w:ind w:right="-360"/>
        <w:jc w:val="both"/>
        <w:rPr>
          <w:rFonts w:eastAsia="TimesNewRoman"/>
          <w:color w:val="000000"/>
        </w:rPr>
      </w:pPr>
      <w:r w:rsidRPr="00577862">
        <w:rPr>
          <w:rFonts w:eastAsia="TimesNewRoman"/>
          <w:color w:val="000000"/>
        </w:rPr>
        <w:t>The inhaler should always be shaken immediately before use.</w:t>
      </w:r>
    </w:p>
    <w:p w:rsidR="00FD5246" w:rsidRPr="00577862" w:rsidRDefault="00FD5246" w:rsidP="00B761B2">
      <w:pPr>
        <w:autoSpaceDE w:val="0"/>
        <w:autoSpaceDN w:val="0"/>
        <w:adjustRightInd w:val="0"/>
        <w:spacing w:before="100" w:beforeAutospacing="1" w:after="100" w:afterAutospacing="1"/>
        <w:ind w:right="-357"/>
        <w:jc w:val="both"/>
        <w:rPr>
          <w:rFonts w:eastAsia="TimesNewRoman"/>
          <w:color w:val="000000"/>
        </w:rPr>
      </w:pPr>
      <w:r w:rsidRPr="00577862">
        <w:rPr>
          <w:rFonts w:eastAsia="TimesNewRoman"/>
          <w:color w:val="000000"/>
        </w:rPr>
        <w:t>Whenever possible patients should stand or sit in an upright position w</w:t>
      </w:r>
      <w:r w:rsidR="00B761B2">
        <w:rPr>
          <w:rFonts w:eastAsia="TimesNewRoman"/>
          <w:color w:val="000000"/>
        </w:rPr>
        <w:t>hen inhaling from the inhaler.</w:t>
      </w:r>
    </w:p>
    <w:p w:rsidR="004B5395" w:rsidRDefault="002D2AB7" w:rsidP="00B761B2">
      <w:pPr>
        <w:autoSpaceDE w:val="0"/>
        <w:autoSpaceDN w:val="0"/>
        <w:adjustRightInd w:val="0"/>
        <w:spacing w:before="100" w:beforeAutospacing="1" w:after="100" w:afterAutospacing="1"/>
        <w:ind w:right="-357"/>
        <w:jc w:val="both"/>
        <w:rPr>
          <w:rFonts w:eastAsia="TimesNewRoman"/>
          <w:color w:val="000000"/>
        </w:rPr>
      </w:pPr>
      <w:r>
        <w:rPr>
          <w:rFonts w:eastAsia="TimesNewRoman"/>
          <w:color w:val="000000"/>
        </w:rPr>
        <w:t>I</w:t>
      </w:r>
      <w:r w:rsidR="00042D58">
        <w:rPr>
          <w:rFonts w:eastAsia="TimesNewRoman"/>
          <w:color w:val="000000"/>
        </w:rPr>
        <w:t>f the inhaler is exposed to free</w:t>
      </w:r>
      <w:r w:rsidR="00F72780">
        <w:rPr>
          <w:rFonts w:eastAsia="TimesNewRoman"/>
          <w:color w:val="000000"/>
        </w:rPr>
        <w:t>z</w:t>
      </w:r>
      <w:r w:rsidR="00042D58">
        <w:rPr>
          <w:rFonts w:eastAsia="TimesNewRoman"/>
          <w:color w:val="000000"/>
        </w:rPr>
        <w:t xml:space="preserve">ing conditions, then the patient must be advised to allow the product to warm up at room temperature for </w:t>
      </w:r>
      <w:r>
        <w:rPr>
          <w:rFonts w:eastAsia="TimesNewRoman"/>
          <w:color w:val="000000"/>
        </w:rPr>
        <w:t>30 minute</w:t>
      </w:r>
      <w:r w:rsidR="00042D58">
        <w:rPr>
          <w:rFonts w:eastAsia="TimesNewRoman"/>
          <w:color w:val="000000"/>
        </w:rPr>
        <w:t>s, and then re-prime the inhaler using two actuations.</w:t>
      </w:r>
    </w:p>
    <w:p w:rsidR="00CB4155" w:rsidRPr="007D7FB2" w:rsidRDefault="00CB4155" w:rsidP="00B761B2">
      <w:pPr>
        <w:pStyle w:val="Heading4"/>
      </w:pPr>
      <w:r w:rsidRPr="007D7FB2">
        <w:t>Steps to follow for use of inhaler</w:t>
      </w:r>
    </w:p>
    <w:p w:rsidR="00CB4155" w:rsidRPr="007D7FB2" w:rsidRDefault="00CB4155" w:rsidP="00381D65">
      <w:pPr>
        <w:numPr>
          <w:ilvl w:val="0"/>
          <w:numId w:val="6"/>
        </w:numPr>
        <w:tabs>
          <w:tab w:val="clear" w:pos="720"/>
          <w:tab w:val="num" w:pos="360"/>
        </w:tabs>
        <w:autoSpaceDE w:val="0"/>
        <w:autoSpaceDN w:val="0"/>
        <w:adjustRightInd w:val="0"/>
        <w:ind w:left="360" w:right="-360"/>
        <w:jc w:val="both"/>
        <w:rPr>
          <w:rFonts w:eastAsia="TimesNewRoman"/>
          <w:color w:val="000000"/>
        </w:rPr>
      </w:pPr>
      <w:r w:rsidRPr="007D7FB2">
        <w:rPr>
          <w:rFonts w:eastAsia="TimesNewRoman"/>
          <w:color w:val="000000"/>
        </w:rPr>
        <w:t xml:space="preserve">Remove the cap from the mouthpiece and check that the mouthpiece is clean, and free from dust and dirt. </w:t>
      </w:r>
      <w:r w:rsidR="005E5CF6">
        <w:rPr>
          <w:rFonts w:eastAsia="TimesNewRoman"/>
          <w:color w:val="000000"/>
        </w:rPr>
        <w:t xml:space="preserve"> </w:t>
      </w:r>
      <w:r w:rsidRPr="007D7FB2">
        <w:rPr>
          <w:rFonts w:eastAsia="TimesNewRoman"/>
          <w:color w:val="000000"/>
        </w:rPr>
        <w:t>The inhaler should be shaken immediately before releasing each puff.</w:t>
      </w:r>
    </w:p>
    <w:p w:rsidR="00CB4155" w:rsidRPr="007D7FB2" w:rsidRDefault="00CB4155" w:rsidP="00381D65">
      <w:pPr>
        <w:numPr>
          <w:ilvl w:val="0"/>
          <w:numId w:val="6"/>
        </w:numPr>
        <w:tabs>
          <w:tab w:val="clear" w:pos="720"/>
          <w:tab w:val="num" w:pos="360"/>
        </w:tabs>
        <w:autoSpaceDE w:val="0"/>
        <w:autoSpaceDN w:val="0"/>
        <w:adjustRightInd w:val="0"/>
        <w:ind w:left="360" w:right="-360"/>
        <w:jc w:val="both"/>
        <w:rPr>
          <w:rFonts w:eastAsia="TimesNewRoman"/>
          <w:color w:val="000000"/>
        </w:rPr>
      </w:pPr>
      <w:r w:rsidRPr="007D7FB2">
        <w:rPr>
          <w:rFonts w:eastAsia="TimesNewRoman"/>
          <w:color w:val="000000"/>
        </w:rPr>
        <w:t>Breathe out as slowly and deeply as possible.</w:t>
      </w:r>
    </w:p>
    <w:p w:rsidR="00CB4155" w:rsidRPr="007D7FB2" w:rsidRDefault="00CB4155" w:rsidP="00381D65">
      <w:pPr>
        <w:numPr>
          <w:ilvl w:val="0"/>
          <w:numId w:val="6"/>
        </w:numPr>
        <w:tabs>
          <w:tab w:val="clear" w:pos="720"/>
          <w:tab w:val="num" w:pos="360"/>
        </w:tabs>
        <w:autoSpaceDE w:val="0"/>
        <w:autoSpaceDN w:val="0"/>
        <w:adjustRightInd w:val="0"/>
        <w:ind w:left="360" w:right="-360"/>
        <w:jc w:val="both"/>
        <w:rPr>
          <w:rFonts w:eastAsia="TimesNewRoman"/>
          <w:color w:val="000000"/>
        </w:rPr>
      </w:pPr>
      <w:r w:rsidRPr="007D7FB2">
        <w:rPr>
          <w:rFonts w:eastAsia="TimesNewRoman"/>
          <w:color w:val="000000"/>
        </w:rPr>
        <w:t xml:space="preserve">Hold the canister vertically with its body upwards and put the lips around the mouthpiece. </w:t>
      </w:r>
      <w:r w:rsidR="005E5CF6">
        <w:rPr>
          <w:rFonts w:eastAsia="TimesNewRoman"/>
          <w:color w:val="000000"/>
        </w:rPr>
        <w:t xml:space="preserve"> </w:t>
      </w:r>
      <w:r w:rsidRPr="007D7FB2">
        <w:rPr>
          <w:rFonts w:eastAsia="TimesNewRoman"/>
          <w:color w:val="000000"/>
        </w:rPr>
        <w:t>Do not bite the mouthpiece.</w:t>
      </w:r>
    </w:p>
    <w:p w:rsidR="00CB4155" w:rsidRPr="007D7FB2" w:rsidRDefault="00CB4155" w:rsidP="00381D65">
      <w:pPr>
        <w:numPr>
          <w:ilvl w:val="0"/>
          <w:numId w:val="6"/>
        </w:numPr>
        <w:tabs>
          <w:tab w:val="clear" w:pos="720"/>
          <w:tab w:val="num" w:pos="360"/>
        </w:tabs>
        <w:autoSpaceDE w:val="0"/>
        <w:autoSpaceDN w:val="0"/>
        <w:adjustRightInd w:val="0"/>
        <w:ind w:left="360" w:right="-360"/>
        <w:jc w:val="both"/>
        <w:rPr>
          <w:rFonts w:eastAsia="TimesNewRoman"/>
          <w:color w:val="000000"/>
        </w:rPr>
      </w:pPr>
      <w:r w:rsidRPr="007D7FB2">
        <w:rPr>
          <w:rFonts w:eastAsia="TimesNewRoman"/>
          <w:color w:val="000000"/>
        </w:rPr>
        <w:t xml:space="preserve">At the same time, breathe in slowly and deeply through the mouth. </w:t>
      </w:r>
      <w:r w:rsidR="00A81312">
        <w:rPr>
          <w:rFonts w:eastAsia="TimesNewRoman"/>
          <w:color w:val="000000"/>
        </w:rPr>
        <w:t xml:space="preserve"> </w:t>
      </w:r>
      <w:r w:rsidR="005E5CF6">
        <w:rPr>
          <w:rFonts w:eastAsia="TimesNewRoman"/>
          <w:color w:val="000000"/>
        </w:rPr>
        <w:t>After starting to breathe</w:t>
      </w:r>
      <w:r w:rsidRPr="007D7FB2">
        <w:rPr>
          <w:rFonts w:eastAsia="TimesNewRoman"/>
          <w:color w:val="000000"/>
        </w:rPr>
        <w:t xml:space="preserve"> in</w:t>
      </w:r>
      <w:r w:rsidR="005E5CF6">
        <w:rPr>
          <w:rFonts w:eastAsia="TimesNewRoman"/>
          <w:color w:val="000000"/>
        </w:rPr>
        <w:t>,</w:t>
      </w:r>
      <w:r w:rsidRPr="007D7FB2">
        <w:rPr>
          <w:rFonts w:eastAsia="TimesNewRoman"/>
          <w:color w:val="000000"/>
        </w:rPr>
        <w:t xml:space="preserve"> press down on the top of the inhaler to release one puff.</w:t>
      </w:r>
    </w:p>
    <w:p w:rsidR="00CB4155" w:rsidRPr="007D7FB2" w:rsidRDefault="00CB4155" w:rsidP="00381D65">
      <w:pPr>
        <w:numPr>
          <w:ilvl w:val="0"/>
          <w:numId w:val="6"/>
        </w:numPr>
        <w:tabs>
          <w:tab w:val="clear" w:pos="720"/>
          <w:tab w:val="num" w:pos="360"/>
        </w:tabs>
        <w:autoSpaceDE w:val="0"/>
        <w:autoSpaceDN w:val="0"/>
        <w:adjustRightInd w:val="0"/>
        <w:ind w:left="360" w:right="-360"/>
        <w:jc w:val="both"/>
        <w:rPr>
          <w:rFonts w:eastAsia="TimesNewRoman"/>
          <w:color w:val="000000"/>
        </w:rPr>
      </w:pPr>
      <w:r w:rsidRPr="007D7FB2">
        <w:rPr>
          <w:rFonts w:eastAsia="TimesNewRoman"/>
          <w:color w:val="000000"/>
        </w:rPr>
        <w:t>Hold the breath for as long as possible and, finally, remove the inhaler from th</w:t>
      </w:r>
      <w:r w:rsidR="00A81312">
        <w:rPr>
          <w:rFonts w:eastAsia="TimesNewRoman"/>
          <w:color w:val="000000"/>
        </w:rPr>
        <w:t>e mouth and breathe out slowly.  D</w:t>
      </w:r>
      <w:r w:rsidRPr="007D7FB2">
        <w:rPr>
          <w:rFonts w:eastAsia="TimesNewRoman"/>
          <w:color w:val="000000"/>
        </w:rPr>
        <w:t>o not breathe out into the inhaler.</w:t>
      </w:r>
    </w:p>
    <w:p w:rsidR="00CB4155" w:rsidRPr="007D7FB2" w:rsidRDefault="00CB4155" w:rsidP="00381D65">
      <w:pPr>
        <w:numPr>
          <w:ilvl w:val="0"/>
          <w:numId w:val="6"/>
        </w:numPr>
        <w:tabs>
          <w:tab w:val="clear" w:pos="720"/>
          <w:tab w:val="num" w:pos="360"/>
        </w:tabs>
        <w:autoSpaceDE w:val="0"/>
        <w:autoSpaceDN w:val="0"/>
        <w:adjustRightInd w:val="0"/>
        <w:ind w:left="360" w:right="-360"/>
        <w:jc w:val="both"/>
        <w:rPr>
          <w:rFonts w:eastAsia="TimesNewRoman"/>
          <w:color w:val="000000"/>
        </w:rPr>
      </w:pPr>
      <w:r w:rsidRPr="007D7FB2">
        <w:rPr>
          <w:rFonts w:eastAsia="TimesNewRoman"/>
          <w:color w:val="000000"/>
        </w:rPr>
        <w:t>Keep the inhaler in a vertical position for about half a minute, shake the inhaler, and repeat steps 2 to 5.</w:t>
      </w:r>
    </w:p>
    <w:p w:rsidR="00CB4155" w:rsidRPr="007D7FB2" w:rsidRDefault="00CB4155" w:rsidP="00381D65">
      <w:pPr>
        <w:numPr>
          <w:ilvl w:val="0"/>
          <w:numId w:val="6"/>
        </w:numPr>
        <w:tabs>
          <w:tab w:val="clear" w:pos="720"/>
          <w:tab w:val="num" w:pos="360"/>
        </w:tabs>
        <w:autoSpaceDE w:val="0"/>
        <w:autoSpaceDN w:val="0"/>
        <w:adjustRightInd w:val="0"/>
        <w:ind w:left="360" w:right="-360"/>
        <w:jc w:val="both"/>
        <w:rPr>
          <w:rFonts w:eastAsia="TimesNewRoman"/>
          <w:color w:val="000000"/>
        </w:rPr>
      </w:pPr>
      <w:r w:rsidRPr="007D7FB2">
        <w:rPr>
          <w:rFonts w:eastAsia="TimesNewRoman"/>
          <w:color w:val="000000"/>
        </w:rPr>
        <w:t>After use, replace the protective cap over the mouthpiece.</w:t>
      </w:r>
    </w:p>
    <w:p w:rsidR="007D617C" w:rsidRDefault="007D617C" w:rsidP="00B761B2">
      <w:pPr>
        <w:pStyle w:val="Heading3"/>
      </w:pPr>
      <w:r w:rsidRPr="007D617C">
        <w:t>Important</w:t>
      </w:r>
      <w:r>
        <w:t xml:space="preserve"> information</w:t>
      </w:r>
    </w:p>
    <w:p w:rsidR="00FD5246" w:rsidRDefault="007D617C" w:rsidP="00381D65">
      <w:pPr>
        <w:autoSpaceDE w:val="0"/>
        <w:autoSpaceDN w:val="0"/>
        <w:adjustRightInd w:val="0"/>
        <w:ind w:right="-360"/>
        <w:jc w:val="both"/>
        <w:rPr>
          <w:rFonts w:eastAsia="TimesNewRoman"/>
          <w:color w:val="000000"/>
        </w:rPr>
      </w:pPr>
      <w:r>
        <w:rPr>
          <w:rFonts w:eastAsia="TimesNewRoman"/>
          <w:color w:val="000000"/>
        </w:rPr>
        <w:t>D</w:t>
      </w:r>
      <w:r w:rsidR="00CB4155" w:rsidRPr="007D7FB2">
        <w:rPr>
          <w:rFonts w:eastAsia="TimesNewRoman"/>
          <w:color w:val="000000"/>
        </w:rPr>
        <w:t>o not perform steps 2 to 5 too quickly.</w:t>
      </w:r>
    </w:p>
    <w:p w:rsidR="00D374DB" w:rsidRDefault="00CB4155" w:rsidP="00B761B2">
      <w:pPr>
        <w:autoSpaceDE w:val="0"/>
        <w:autoSpaceDN w:val="0"/>
        <w:adjustRightInd w:val="0"/>
        <w:spacing w:before="100" w:beforeAutospacing="1" w:after="100" w:afterAutospacing="1"/>
        <w:ind w:right="-357"/>
        <w:jc w:val="both"/>
        <w:rPr>
          <w:rFonts w:eastAsia="TimesNewRoman"/>
          <w:color w:val="000000"/>
        </w:rPr>
      </w:pPr>
      <w:r w:rsidRPr="007D7FB2">
        <w:rPr>
          <w:rFonts w:eastAsia="TimesNewRoman"/>
          <w:color w:val="000000"/>
        </w:rPr>
        <w:t>If a mist appears following inhalation, either from the inhaler or from the sides of the mouth, the procedure should be repeated from step 2.</w:t>
      </w:r>
    </w:p>
    <w:p w:rsidR="004043B7" w:rsidRDefault="00CB4155" w:rsidP="00B761B2">
      <w:pPr>
        <w:autoSpaceDE w:val="0"/>
        <w:autoSpaceDN w:val="0"/>
        <w:adjustRightInd w:val="0"/>
        <w:spacing w:before="100" w:beforeAutospacing="1" w:after="100" w:afterAutospacing="1"/>
        <w:ind w:right="-357"/>
        <w:jc w:val="both"/>
        <w:rPr>
          <w:rFonts w:eastAsia="TimesNewRoman"/>
          <w:color w:val="000000"/>
        </w:rPr>
      </w:pPr>
      <w:r w:rsidRPr="007D7FB2">
        <w:rPr>
          <w:rFonts w:eastAsia="TimesNewRoman"/>
          <w:color w:val="000000"/>
        </w:rPr>
        <w:t xml:space="preserve">For patients with weak hands, it may be easier to hold the inhaler with both hands. </w:t>
      </w:r>
      <w:r w:rsidR="00A81312">
        <w:rPr>
          <w:rFonts w:eastAsia="TimesNewRoman"/>
          <w:color w:val="000000"/>
        </w:rPr>
        <w:t xml:space="preserve"> </w:t>
      </w:r>
      <w:r w:rsidRPr="007D7FB2">
        <w:rPr>
          <w:rFonts w:eastAsia="TimesNewRoman"/>
          <w:color w:val="000000"/>
        </w:rPr>
        <w:t>Therefore the index fingers should be placed on the top of the inhaler canister and both thumbs on the base of the inhaler.</w:t>
      </w:r>
    </w:p>
    <w:p w:rsidR="00CB4155" w:rsidRDefault="00CB4155" w:rsidP="00B761B2">
      <w:pPr>
        <w:autoSpaceDE w:val="0"/>
        <w:autoSpaceDN w:val="0"/>
        <w:adjustRightInd w:val="0"/>
        <w:spacing w:before="100" w:beforeAutospacing="1" w:after="100" w:afterAutospacing="1"/>
        <w:ind w:right="-357"/>
        <w:jc w:val="both"/>
        <w:rPr>
          <w:rFonts w:eastAsia="TimesNewRoman"/>
          <w:color w:val="000000"/>
        </w:rPr>
      </w:pPr>
      <w:r w:rsidRPr="007D7FB2">
        <w:rPr>
          <w:rFonts w:eastAsia="TimesNewRoman"/>
          <w:color w:val="000000"/>
        </w:rPr>
        <w:t>Patients should rinse their mouth, gargle with water or brush the teeth after inhaling</w:t>
      </w:r>
      <w:r w:rsidR="007D617C">
        <w:rPr>
          <w:rFonts w:eastAsia="TimesNewRoman"/>
          <w:color w:val="000000"/>
        </w:rPr>
        <w:t>.</w:t>
      </w:r>
    </w:p>
    <w:p w:rsidR="00CB4155" w:rsidRPr="007D617C" w:rsidRDefault="00CB4155" w:rsidP="00B761B2">
      <w:pPr>
        <w:pStyle w:val="Heading4"/>
      </w:pPr>
      <w:r w:rsidRPr="007D617C">
        <w:t>Cleaning</w:t>
      </w:r>
    </w:p>
    <w:p w:rsidR="00CB4155" w:rsidRPr="007D7FB2" w:rsidRDefault="00CB4155" w:rsidP="00381D65">
      <w:pPr>
        <w:autoSpaceDE w:val="0"/>
        <w:autoSpaceDN w:val="0"/>
        <w:adjustRightInd w:val="0"/>
        <w:ind w:right="-360"/>
        <w:jc w:val="both"/>
        <w:rPr>
          <w:rFonts w:eastAsia="TimesNewRoman"/>
          <w:color w:val="000000"/>
        </w:rPr>
      </w:pPr>
      <w:r w:rsidRPr="007D7FB2">
        <w:rPr>
          <w:rFonts w:eastAsia="TimesNewRoman"/>
          <w:color w:val="000000"/>
        </w:rPr>
        <w:t xml:space="preserve">Patients should be advised to read the </w:t>
      </w:r>
      <w:r w:rsidR="007D617C">
        <w:rPr>
          <w:rFonts w:eastAsia="TimesNewRoman"/>
          <w:color w:val="000000"/>
        </w:rPr>
        <w:t>Consumer Medicine Information</w:t>
      </w:r>
      <w:r w:rsidRPr="007D7FB2">
        <w:rPr>
          <w:rFonts w:eastAsia="TimesNewRoman"/>
          <w:color w:val="000000"/>
        </w:rPr>
        <w:t xml:space="preserve"> </w:t>
      </w:r>
      <w:r w:rsidR="004043B7">
        <w:rPr>
          <w:rFonts w:eastAsia="TimesNewRoman"/>
          <w:color w:val="000000"/>
        </w:rPr>
        <w:t xml:space="preserve">leaflet </w:t>
      </w:r>
      <w:r w:rsidRPr="007D7FB2">
        <w:rPr>
          <w:rFonts w:eastAsia="TimesNewRoman"/>
          <w:color w:val="000000"/>
        </w:rPr>
        <w:t>carefully for cleaning instructions</w:t>
      </w:r>
      <w:r w:rsidR="007D617C">
        <w:rPr>
          <w:rFonts w:eastAsia="TimesNewRoman"/>
          <w:color w:val="000000"/>
        </w:rPr>
        <w:t>, and to clean their</w:t>
      </w:r>
      <w:r w:rsidRPr="007D7FB2">
        <w:rPr>
          <w:rFonts w:eastAsia="TimesNewRoman"/>
          <w:color w:val="000000"/>
        </w:rPr>
        <w:t xml:space="preserve"> inhaler</w:t>
      </w:r>
      <w:r w:rsidR="007D617C">
        <w:rPr>
          <w:rFonts w:eastAsia="TimesNewRoman"/>
          <w:color w:val="000000"/>
        </w:rPr>
        <w:t>s</w:t>
      </w:r>
      <w:r w:rsidRPr="007D7FB2">
        <w:rPr>
          <w:rFonts w:eastAsia="TimesNewRoman"/>
          <w:color w:val="000000"/>
        </w:rPr>
        <w:t xml:space="preserve"> once a week</w:t>
      </w:r>
      <w:r w:rsidR="007D617C">
        <w:rPr>
          <w:rFonts w:eastAsia="TimesNewRoman"/>
          <w:color w:val="000000"/>
        </w:rPr>
        <w:t>, as follows:</w:t>
      </w:r>
    </w:p>
    <w:p w:rsidR="00CB4155" w:rsidRPr="007D7FB2" w:rsidRDefault="00CB4155" w:rsidP="00381D65">
      <w:pPr>
        <w:numPr>
          <w:ilvl w:val="0"/>
          <w:numId w:val="3"/>
        </w:numPr>
        <w:autoSpaceDE w:val="0"/>
        <w:autoSpaceDN w:val="0"/>
        <w:adjustRightInd w:val="0"/>
        <w:ind w:right="-360"/>
        <w:jc w:val="both"/>
        <w:rPr>
          <w:rFonts w:eastAsia="TimesNewRoman"/>
          <w:color w:val="000000"/>
        </w:rPr>
      </w:pPr>
      <w:r w:rsidRPr="007D7FB2">
        <w:rPr>
          <w:rFonts w:eastAsia="TimesNewRoman"/>
          <w:color w:val="000000"/>
        </w:rPr>
        <w:t>Remove the mouthpiece cover.</w:t>
      </w:r>
    </w:p>
    <w:p w:rsidR="00CB4155" w:rsidRPr="007D7FB2" w:rsidRDefault="00CB4155" w:rsidP="00381D65">
      <w:pPr>
        <w:numPr>
          <w:ilvl w:val="0"/>
          <w:numId w:val="3"/>
        </w:numPr>
        <w:autoSpaceDE w:val="0"/>
        <w:autoSpaceDN w:val="0"/>
        <w:adjustRightInd w:val="0"/>
        <w:ind w:right="-360"/>
        <w:jc w:val="both"/>
        <w:rPr>
          <w:rFonts w:eastAsia="TimesNewRoman"/>
          <w:color w:val="000000"/>
        </w:rPr>
      </w:pPr>
      <w:r w:rsidRPr="007D7FB2">
        <w:rPr>
          <w:rFonts w:eastAsia="TimesNewRoman"/>
          <w:color w:val="000000"/>
        </w:rPr>
        <w:t>Do not remove the canister from the plastic casing.</w:t>
      </w:r>
    </w:p>
    <w:p w:rsidR="00CB4155" w:rsidRPr="007D7FB2" w:rsidRDefault="00CB4155" w:rsidP="00381D65">
      <w:pPr>
        <w:numPr>
          <w:ilvl w:val="0"/>
          <w:numId w:val="3"/>
        </w:numPr>
        <w:autoSpaceDE w:val="0"/>
        <w:autoSpaceDN w:val="0"/>
        <w:adjustRightInd w:val="0"/>
        <w:ind w:right="-360"/>
        <w:jc w:val="both"/>
        <w:rPr>
          <w:rFonts w:eastAsia="TimesNewRoman"/>
          <w:color w:val="000000"/>
        </w:rPr>
      </w:pPr>
      <w:r w:rsidRPr="007D7FB2">
        <w:rPr>
          <w:rFonts w:eastAsia="TimesNewRoman"/>
          <w:color w:val="000000"/>
        </w:rPr>
        <w:lastRenderedPageBreak/>
        <w:t>Wipe the inside and outside of the mouthpiece and the plastic casing with a dry cloth or tissue.</w:t>
      </w:r>
    </w:p>
    <w:p w:rsidR="00CB4155" w:rsidRPr="007D7FB2" w:rsidRDefault="00CB4155" w:rsidP="00381D65">
      <w:pPr>
        <w:numPr>
          <w:ilvl w:val="0"/>
          <w:numId w:val="3"/>
        </w:numPr>
        <w:autoSpaceDE w:val="0"/>
        <w:autoSpaceDN w:val="0"/>
        <w:adjustRightInd w:val="0"/>
        <w:ind w:right="-360"/>
        <w:jc w:val="both"/>
        <w:rPr>
          <w:rFonts w:eastAsia="TimesNewRoman"/>
          <w:color w:val="000000"/>
        </w:rPr>
      </w:pPr>
      <w:r w:rsidRPr="007D7FB2">
        <w:rPr>
          <w:rFonts w:eastAsia="TimesNewRoman"/>
          <w:color w:val="000000"/>
        </w:rPr>
        <w:t>Replace the mouthpiece cover in the correct orientation.</w:t>
      </w:r>
    </w:p>
    <w:p w:rsidR="00982072" w:rsidRPr="007D617C" w:rsidRDefault="00982072" w:rsidP="00B761B2">
      <w:pPr>
        <w:pStyle w:val="Heading4"/>
        <w:spacing w:before="100" w:beforeAutospacing="1"/>
      </w:pPr>
      <w:r w:rsidRPr="007D617C">
        <w:t>Disposal</w:t>
      </w:r>
    </w:p>
    <w:p w:rsidR="00982072" w:rsidRPr="007D7FB2" w:rsidRDefault="00982072" w:rsidP="00381D65">
      <w:pPr>
        <w:autoSpaceDE w:val="0"/>
        <w:autoSpaceDN w:val="0"/>
        <w:adjustRightInd w:val="0"/>
        <w:ind w:right="-360"/>
        <w:jc w:val="both"/>
        <w:rPr>
          <w:rFonts w:eastAsia="TimesNewRoman"/>
          <w:color w:val="000000"/>
        </w:rPr>
      </w:pPr>
      <w:r w:rsidRPr="007D7FB2">
        <w:rPr>
          <w:rFonts w:eastAsia="TimesNewRoman"/>
          <w:color w:val="000000"/>
        </w:rPr>
        <w:t>The container should not be punctured, broken or burnt, even when apparently empty</w:t>
      </w:r>
      <w:r>
        <w:rPr>
          <w:rFonts w:eastAsia="TimesNewRoman"/>
          <w:color w:val="000000"/>
        </w:rPr>
        <w:t>, as t</w:t>
      </w:r>
      <w:r w:rsidRPr="007D7FB2">
        <w:rPr>
          <w:rFonts w:eastAsia="TimesNewRoman"/>
          <w:color w:val="000000"/>
        </w:rPr>
        <w:t>he canister contains a pressurised liquid.</w:t>
      </w:r>
      <w:r w:rsidRPr="00775F46">
        <w:rPr>
          <w:rFonts w:eastAsia="TimesNewRoman"/>
          <w:color w:val="000000"/>
        </w:rPr>
        <w:t xml:space="preserve"> </w:t>
      </w:r>
      <w:r>
        <w:rPr>
          <w:rFonts w:eastAsia="TimesNewRoman"/>
          <w:color w:val="000000"/>
        </w:rPr>
        <w:t xml:space="preserve"> Apart from this, there are n</w:t>
      </w:r>
      <w:r w:rsidRPr="007D7FB2">
        <w:rPr>
          <w:rFonts w:eastAsia="TimesNewRoman"/>
          <w:color w:val="000000"/>
        </w:rPr>
        <w:t>o special requirements</w:t>
      </w:r>
      <w:r>
        <w:rPr>
          <w:rFonts w:eastAsia="TimesNewRoman"/>
          <w:color w:val="000000"/>
        </w:rPr>
        <w:t xml:space="preserve"> for the disposal of </w:t>
      </w:r>
      <w:r w:rsidR="00D058BC">
        <w:rPr>
          <w:rFonts w:eastAsia="TimesNewRoman"/>
          <w:color w:val="000000"/>
        </w:rPr>
        <w:t>FLUTIFORM</w:t>
      </w:r>
      <w:r w:rsidR="00845D3E">
        <w:rPr>
          <w:rFonts w:eastAsia="TimesNewRoman"/>
          <w:color w:val="000000"/>
          <w:vertAlign w:val="superscript"/>
        </w:rPr>
        <w:t>®</w:t>
      </w:r>
      <w:r w:rsidR="00D058BC">
        <w:rPr>
          <w:rFonts w:eastAsia="TimesNewRoman"/>
          <w:color w:val="000000"/>
        </w:rPr>
        <w:t xml:space="preserve"> </w:t>
      </w:r>
      <w:r w:rsidR="00381D65">
        <w:rPr>
          <w:rFonts w:eastAsia="TimesNewRoman"/>
          <w:color w:val="000000"/>
        </w:rPr>
        <w:t>inhaler</w:t>
      </w:r>
      <w:r>
        <w:rPr>
          <w:rFonts w:eastAsia="TimesNewRoman"/>
          <w:color w:val="000000"/>
        </w:rPr>
        <w:t>.</w:t>
      </w:r>
    </w:p>
    <w:p w:rsidR="005728FA" w:rsidRPr="00577862" w:rsidRDefault="00CB4155" w:rsidP="00B761B2">
      <w:pPr>
        <w:pStyle w:val="Heading2"/>
      </w:pPr>
      <w:r w:rsidRPr="00577862">
        <w:t>OVERDOSAGE</w:t>
      </w:r>
    </w:p>
    <w:p w:rsidR="005728FA" w:rsidRPr="00577862" w:rsidRDefault="005728FA" w:rsidP="00381D65">
      <w:pPr>
        <w:autoSpaceDE w:val="0"/>
        <w:autoSpaceDN w:val="0"/>
        <w:adjustRightInd w:val="0"/>
        <w:ind w:right="-360"/>
        <w:jc w:val="both"/>
        <w:rPr>
          <w:rFonts w:eastAsia="TimesNewRoman"/>
          <w:color w:val="000000"/>
        </w:rPr>
      </w:pPr>
      <w:r w:rsidRPr="00577862">
        <w:rPr>
          <w:rFonts w:eastAsia="TimesNewRoman"/>
          <w:color w:val="000000"/>
        </w:rPr>
        <w:t xml:space="preserve">There </w:t>
      </w:r>
      <w:r w:rsidR="00E90640" w:rsidRPr="00577862">
        <w:rPr>
          <w:rFonts w:eastAsia="TimesNewRoman"/>
          <w:color w:val="000000"/>
        </w:rPr>
        <w:t>are</w:t>
      </w:r>
      <w:r w:rsidR="004043B7" w:rsidRPr="00577862">
        <w:rPr>
          <w:rFonts w:eastAsia="TimesNewRoman"/>
          <w:color w:val="000000"/>
        </w:rPr>
        <w:t xml:space="preserve"> </w:t>
      </w:r>
      <w:r w:rsidRPr="00577862">
        <w:rPr>
          <w:rFonts w:eastAsia="TimesNewRoman"/>
          <w:color w:val="000000"/>
        </w:rPr>
        <w:t xml:space="preserve">no data available from clinical trials on overdose with </w:t>
      </w:r>
      <w:r w:rsidR="00D058BC" w:rsidRPr="00577862">
        <w:rPr>
          <w:rFonts w:eastAsia="TimesNewRoman"/>
          <w:color w:val="000000"/>
        </w:rPr>
        <w:t>FLUTIFORM</w:t>
      </w:r>
      <w:r w:rsidR="00845D3E" w:rsidRPr="00577862">
        <w:rPr>
          <w:rFonts w:eastAsia="TimesNewRoman"/>
          <w:color w:val="000000"/>
          <w:vertAlign w:val="superscript"/>
        </w:rPr>
        <w:t>®</w:t>
      </w:r>
      <w:r w:rsidR="00D058BC" w:rsidRPr="00577862">
        <w:rPr>
          <w:rFonts w:eastAsia="TimesNewRoman"/>
          <w:color w:val="000000"/>
        </w:rPr>
        <w:t xml:space="preserve"> </w:t>
      </w:r>
      <w:r w:rsidR="00381D65" w:rsidRPr="00577862">
        <w:rPr>
          <w:rFonts w:eastAsia="TimesNewRoman"/>
          <w:color w:val="000000"/>
        </w:rPr>
        <w:t>inhaler</w:t>
      </w:r>
      <w:r w:rsidR="005E5CF6" w:rsidRPr="00577862">
        <w:rPr>
          <w:rFonts w:eastAsia="TimesNewRoman"/>
          <w:color w:val="000000"/>
        </w:rPr>
        <w:t>.  Information</w:t>
      </w:r>
      <w:r w:rsidRPr="00577862">
        <w:rPr>
          <w:rFonts w:eastAsia="TimesNewRoman"/>
          <w:color w:val="000000"/>
        </w:rPr>
        <w:t xml:space="preserve"> on overdose </w:t>
      </w:r>
      <w:r w:rsidR="005E5CF6" w:rsidRPr="00577862">
        <w:rPr>
          <w:rFonts w:eastAsia="TimesNewRoman"/>
          <w:color w:val="000000"/>
        </w:rPr>
        <w:t>by</w:t>
      </w:r>
      <w:r w:rsidR="009A0E88" w:rsidRPr="00577862">
        <w:rPr>
          <w:rFonts w:eastAsia="TimesNewRoman"/>
          <w:color w:val="000000"/>
        </w:rPr>
        <w:t xml:space="preserve"> </w:t>
      </w:r>
      <w:r w:rsidR="005E5CF6" w:rsidRPr="00577862">
        <w:rPr>
          <w:rFonts w:eastAsia="TimesNewRoman"/>
          <w:color w:val="000000"/>
        </w:rPr>
        <w:t>the</w:t>
      </w:r>
      <w:r w:rsidRPr="00577862">
        <w:rPr>
          <w:rFonts w:eastAsia="TimesNewRoman"/>
          <w:color w:val="000000"/>
        </w:rPr>
        <w:t xml:space="preserve"> single </w:t>
      </w:r>
      <w:r w:rsidR="005E5CF6" w:rsidRPr="00577862">
        <w:rPr>
          <w:rFonts w:eastAsia="TimesNewRoman"/>
          <w:color w:val="000000"/>
        </w:rPr>
        <w:t>active components</w:t>
      </w:r>
      <w:r w:rsidRPr="00577862">
        <w:rPr>
          <w:rFonts w:eastAsia="TimesNewRoman"/>
          <w:color w:val="000000"/>
        </w:rPr>
        <w:t xml:space="preserve"> </w:t>
      </w:r>
      <w:r w:rsidR="005E5CF6" w:rsidRPr="00577862">
        <w:rPr>
          <w:rFonts w:eastAsia="TimesNewRoman"/>
          <w:color w:val="000000"/>
        </w:rPr>
        <w:t>is</w:t>
      </w:r>
      <w:r w:rsidRPr="00577862">
        <w:rPr>
          <w:rFonts w:eastAsia="TimesNewRoman"/>
          <w:color w:val="000000"/>
        </w:rPr>
        <w:t xml:space="preserve"> </w:t>
      </w:r>
      <w:r w:rsidR="005E5CF6" w:rsidRPr="00577862">
        <w:rPr>
          <w:rFonts w:eastAsia="TimesNewRoman"/>
          <w:color w:val="000000"/>
        </w:rPr>
        <w:t>provided</w:t>
      </w:r>
      <w:r w:rsidRPr="00577862">
        <w:rPr>
          <w:rFonts w:eastAsia="TimesNewRoman"/>
          <w:color w:val="000000"/>
        </w:rPr>
        <w:t xml:space="preserve"> below:</w:t>
      </w:r>
    </w:p>
    <w:p w:rsidR="0073742B" w:rsidRPr="00577862" w:rsidRDefault="004043B7" w:rsidP="00B761B2">
      <w:pPr>
        <w:pStyle w:val="Heading3"/>
      </w:pPr>
      <w:proofErr w:type="spellStart"/>
      <w:r w:rsidRPr="00577862">
        <w:t>Fluticasone</w:t>
      </w:r>
      <w:proofErr w:type="spellEnd"/>
      <w:r w:rsidRPr="00577862">
        <w:t xml:space="preserve"> propionate</w:t>
      </w:r>
    </w:p>
    <w:p w:rsidR="004043B7" w:rsidRPr="00577862" w:rsidRDefault="0073742B" w:rsidP="000649D6">
      <w:pPr>
        <w:autoSpaceDE w:val="0"/>
        <w:autoSpaceDN w:val="0"/>
        <w:adjustRightInd w:val="0"/>
        <w:ind w:right="-360"/>
        <w:jc w:val="both"/>
        <w:rPr>
          <w:rFonts w:eastAsia="TimesNewRoman"/>
        </w:rPr>
      </w:pPr>
      <w:r w:rsidRPr="00577862">
        <w:rPr>
          <w:rFonts w:eastAsia="TimesNewRoman"/>
          <w:i/>
        </w:rPr>
        <w:t>Symptoms</w:t>
      </w:r>
      <w:r w:rsidRPr="00577862">
        <w:rPr>
          <w:rFonts w:eastAsia="TimesNewRoman"/>
        </w:rPr>
        <w:t xml:space="preserve">: </w:t>
      </w:r>
      <w:r w:rsidR="004043B7" w:rsidRPr="00577862">
        <w:rPr>
          <w:rFonts w:eastAsia="TimesNewRoman"/>
        </w:rPr>
        <w:t>Acute inhalation of fluticasone propionate doses in excess of those recommended may lead to temporary suppression of adrenal function.  This does not need emergency action because plasma cortisol measurements have verified that adrenal function is recovered in a few days.</w:t>
      </w:r>
    </w:p>
    <w:p w:rsidR="004043B7" w:rsidRPr="00577862" w:rsidRDefault="004043B7" w:rsidP="00B761B2">
      <w:pPr>
        <w:autoSpaceDE w:val="0"/>
        <w:autoSpaceDN w:val="0"/>
        <w:adjustRightInd w:val="0"/>
        <w:spacing w:before="100" w:beforeAutospacing="1" w:after="100" w:afterAutospacing="1"/>
        <w:ind w:right="-357"/>
        <w:jc w:val="both"/>
        <w:rPr>
          <w:rFonts w:eastAsia="TimesNewRoman"/>
        </w:rPr>
      </w:pPr>
      <w:r w:rsidRPr="00577862">
        <w:rPr>
          <w:rFonts w:eastAsia="TimesNewRoman"/>
        </w:rPr>
        <w:t>There are reports on rare cases of acute adrenal crisis.  Children and adolescents &lt;16 years taking high doses of fluticasone propionate: (typically ≥1000 microgram/day) may be at particular risk.  Presenting symptoms are typically vague and may include anorexia, abdominal pain, weight loss, tiredness, headache, nausea, vomiting and hypotension. Typical symptoms of an adrenal crisis are decreased level of consciousness, hypoglycaemia and/or seizures.</w:t>
      </w:r>
    </w:p>
    <w:p w:rsidR="0073742B" w:rsidRPr="00577862" w:rsidRDefault="004043B7" w:rsidP="00B761B2">
      <w:pPr>
        <w:autoSpaceDE w:val="0"/>
        <w:autoSpaceDN w:val="0"/>
        <w:adjustRightInd w:val="0"/>
        <w:spacing w:before="100" w:beforeAutospacing="1" w:after="100" w:afterAutospacing="1"/>
        <w:ind w:right="-357"/>
        <w:jc w:val="both"/>
        <w:rPr>
          <w:rFonts w:eastAsia="TimesNewRoman"/>
        </w:rPr>
      </w:pPr>
      <w:r w:rsidRPr="00577862">
        <w:rPr>
          <w:rFonts w:eastAsia="TimesNewRoman"/>
        </w:rPr>
        <w:t>Chronic use of inhaled fluticasone propionate carries a risk of adrenal suppression</w:t>
      </w:r>
      <w:r w:rsidR="00BE78BC" w:rsidRPr="00577862">
        <w:rPr>
          <w:rFonts w:eastAsia="TimesNewRoman"/>
        </w:rPr>
        <w:t xml:space="preserve"> (see also </w:t>
      </w:r>
      <w:r w:rsidR="00F66E3E" w:rsidRPr="00577862">
        <w:rPr>
          <w:rFonts w:eastAsia="TimesNewRoman"/>
          <w:b/>
        </w:rPr>
        <w:t>PRECAUTIONS</w:t>
      </w:r>
      <w:r w:rsidR="00F66E3E" w:rsidRPr="00577862">
        <w:rPr>
          <w:rFonts w:eastAsia="TimesNewRoman"/>
        </w:rPr>
        <w:t xml:space="preserve">, Precautions </w:t>
      </w:r>
      <w:r w:rsidR="00BE78BC" w:rsidRPr="00577862">
        <w:rPr>
          <w:rFonts w:eastAsia="TimesNewRoman"/>
        </w:rPr>
        <w:t>for use)</w:t>
      </w:r>
      <w:r w:rsidRPr="00577862">
        <w:rPr>
          <w:rFonts w:eastAsia="TimesNewRoman"/>
        </w:rPr>
        <w:t xml:space="preserve">.  Monitoring of adrenal reserve may be necessary.  </w:t>
      </w:r>
    </w:p>
    <w:p w:rsidR="004043B7" w:rsidRPr="00577862" w:rsidRDefault="0073742B" w:rsidP="00B761B2">
      <w:pPr>
        <w:autoSpaceDE w:val="0"/>
        <w:autoSpaceDN w:val="0"/>
        <w:adjustRightInd w:val="0"/>
        <w:spacing w:before="100" w:beforeAutospacing="1" w:after="100" w:afterAutospacing="1"/>
        <w:ind w:right="-357"/>
        <w:jc w:val="both"/>
        <w:rPr>
          <w:rFonts w:eastAsia="TimesNewRoman"/>
        </w:rPr>
      </w:pPr>
      <w:r w:rsidRPr="00577862">
        <w:rPr>
          <w:rFonts w:eastAsia="TimesNewRoman"/>
          <w:i/>
        </w:rPr>
        <w:t>Treatment</w:t>
      </w:r>
      <w:r w:rsidRPr="00577862">
        <w:rPr>
          <w:rFonts w:eastAsia="TimesNewRoman"/>
        </w:rPr>
        <w:t xml:space="preserve">: </w:t>
      </w:r>
      <w:r w:rsidR="004043B7" w:rsidRPr="00577862">
        <w:rPr>
          <w:rFonts w:eastAsia="TimesNewRoman"/>
        </w:rPr>
        <w:t>In cases of fluticasone propionate overdose the dose of FLUTIFORM</w:t>
      </w:r>
      <w:r w:rsidR="004043B7" w:rsidRPr="00577862">
        <w:rPr>
          <w:rFonts w:eastAsia="TimesNewRoman"/>
          <w:vertAlign w:val="superscript"/>
        </w:rPr>
        <w:t>®</w:t>
      </w:r>
      <w:r w:rsidR="004043B7" w:rsidRPr="00577862">
        <w:rPr>
          <w:rFonts w:eastAsia="TimesNewRoman"/>
        </w:rPr>
        <w:t xml:space="preserve"> </w:t>
      </w:r>
      <w:r w:rsidR="00381D65" w:rsidRPr="00577862">
        <w:rPr>
          <w:rFonts w:eastAsia="TimesNewRoman"/>
        </w:rPr>
        <w:t>inhaler</w:t>
      </w:r>
      <w:r w:rsidR="004043B7" w:rsidRPr="00577862">
        <w:rPr>
          <w:rFonts w:eastAsia="TimesNewRoman"/>
        </w:rPr>
        <w:t xml:space="preserve"> should be tapered.  Therapy with FLUTIFORM</w:t>
      </w:r>
      <w:r w:rsidR="004043B7" w:rsidRPr="00577862">
        <w:rPr>
          <w:rFonts w:eastAsia="TimesNewRoman"/>
          <w:vertAlign w:val="superscript"/>
        </w:rPr>
        <w:t>®</w:t>
      </w:r>
      <w:r w:rsidR="004043B7" w:rsidRPr="00577862">
        <w:rPr>
          <w:rFonts w:eastAsia="TimesNewRoman"/>
        </w:rPr>
        <w:t xml:space="preserve"> </w:t>
      </w:r>
      <w:r w:rsidR="00381D65" w:rsidRPr="00577862">
        <w:rPr>
          <w:rFonts w:eastAsia="TimesNewRoman"/>
        </w:rPr>
        <w:t>inhaler</w:t>
      </w:r>
      <w:r w:rsidR="004043B7" w:rsidRPr="00577862">
        <w:rPr>
          <w:rFonts w:eastAsia="TimesNewRoman"/>
        </w:rPr>
        <w:t xml:space="preserve"> may still be continued at a suitable dosage for symptom control.</w:t>
      </w:r>
    </w:p>
    <w:p w:rsidR="0073742B" w:rsidRPr="00577862" w:rsidRDefault="00270FC4" w:rsidP="00B761B2">
      <w:pPr>
        <w:pStyle w:val="Heading3"/>
      </w:pPr>
      <w:proofErr w:type="spellStart"/>
      <w:r w:rsidRPr="00577862">
        <w:t>Eformoterol</w:t>
      </w:r>
      <w:proofErr w:type="spellEnd"/>
      <w:r w:rsidR="005728FA" w:rsidRPr="00577862">
        <w:t xml:space="preserve"> </w:t>
      </w:r>
      <w:proofErr w:type="spellStart"/>
      <w:r w:rsidR="005728FA" w:rsidRPr="00577862">
        <w:t>fumarate</w:t>
      </w:r>
      <w:proofErr w:type="spellEnd"/>
    </w:p>
    <w:p w:rsidR="009A0E88" w:rsidRPr="00577862" w:rsidRDefault="0073742B" w:rsidP="000649D6">
      <w:pPr>
        <w:autoSpaceDE w:val="0"/>
        <w:autoSpaceDN w:val="0"/>
        <w:adjustRightInd w:val="0"/>
        <w:ind w:right="-360"/>
        <w:jc w:val="both"/>
        <w:rPr>
          <w:rFonts w:eastAsia="TimesNewRoman"/>
        </w:rPr>
      </w:pPr>
      <w:r w:rsidRPr="00577862">
        <w:rPr>
          <w:rFonts w:eastAsia="TimesNewRoman"/>
          <w:i/>
        </w:rPr>
        <w:t>Symptoms</w:t>
      </w:r>
      <w:r w:rsidRPr="00577862">
        <w:rPr>
          <w:rFonts w:eastAsia="TimesNewRoman"/>
        </w:rPr>
        <w:t xml:space="preserve">: </w:t>
      </w:r>
      <w:r w:rsidR="005728FA" w:rsidRPr="00577862">
        <w:rPr>
          <w:rFonts w:eastAsia="TimesNewRoman"/>
        </w:rPr>
        <w:t xml:space="preserve">An overdose of </w:t>
      </w:r>
      <w:proofErr w:type="spellStart"/>
      <w:r w:rsidR="00270FC4" w:rsidRPr="00577862">
        <w:rPr>
          <w:rFonts w:eastAsia="TimesNewRoman"/>
        </w:rPr>
        <w:t>eformoterol</w:t>
      </w:r>
      <w:proofErr w:type="spellEnd"/>
      <w:r w:rsidR="005728FA" w:rsidRPr="00577862">
        <w:rPr>
          <w:rFonts w:eastAsia="TimesNewRoman"/>
        </w:rPr>
        <w:t xml:space="preserve"> would likely lead to an exaggeration of effects that are typical for β</w:t>
      </w:r>
      <w:r w:rsidR="005728FA" w:rsidRPr="00577862">
        <w:rPr>
          <w:rFonts w:eastAsia="TimesNewRoman"/>
          <w:vertAlign w:val="subscript"/>
        </w:rPr>
        <w:t>2</w:t>
      </w:r>
      <w:r w:rsidR="005728FA" w:rsidRPr="00577862">
        <w:rPr>
          <w:rFonts w:eastAsia="TimesNewRoman"/>
        </w:rPr>
        <w:t>-agonists</w:t>
      </w:r>
      <w:r w:rsidR="00E90640" w:rsidRPr="00577862">
        <w:rPr>
          <w:rFonts w:eastAsia="TimesNewRoman"/>
        </w:rPr>
        <w:t>,</w:t>
      </w:r>
      <w:r w:rsidR="009A0E88" w:rsidRPr="00577862">
        <w:rPr>
          <w:rFonts w:eastAsia="TimesNewRoman"/>
        </w:rPr>
        <w:t xml:space="preserve"> </w:t>
      </w:r>
      <w:r w:rsidR="005728FA" w:rsidRPr="00577862">
        <w:rPr>
          <w:rFonts w:eastAsia="TimesNewRoman"/>
        </w:rPr>
        <w:t>in which case the following adverse experiences may occur: angina, hypertension or hypotension,</w:t>
      </w:r>
      <w:r w:rsidR="009A0E88" w:rsidRPr="00577862">
        <w:rPr>
          <w:rFonts w:eastAsia="TimesNewRoman"/>
        </w:rPr>
        <w:t xml:space="preserve"> </w:t>
      </w:r>
      <w:r w:rsidR="005728FA" w:rsidRPr="00577862">
        <w:rPr>
          <w:rFonts w:eastAsia="TimesNewRoman"/>
        </w:rPr>
        <w:t xml:space="preserve">palpitations, tachycardia, arrhythmia, prolonged </w:t>
      </w:r>
      <w:proofErr w:type="spellStart"/>
      <w:r w:rsidR="005728FA" w:rsidRPr="00577862">
        <w:rPr>
          <w:rFonts w:eastAsia="TimesNewRoman"/>
        </w:rPr>
        <w:t>QTc</w:t>
      </w:r>
      <w:proofErr w:type="spellEnd"/>
      <w:r w:rsidR="005728FA" w:rsidRPr="00577862">
        <w:rPr>
          <w:rFonts w:eastAsia="TimesNewRoman"/>
        </w:rPr>
        <w:t>-interval, headache, tremor, nervousness, muscle</w:t>
      </w:r>
      <w:r w:rsidR="009A0E88" w:rsidRPr="00577862">
        <w:rPr>
          <w:rFonts w:eastAsia="TimesNewRoman"/>
        </w:rPr>
        <w:t xml:space="preserve"> </w:t>
      </w:r>
      <w:r w:rsidR="005728FA" w:rsidRPr="00577862">
        <w:rPr>
          <w:rFonts w:eastAsia="TimesNewRoman"/>
        </w:rPr>
        <w:t>cramps, dry mouth, insomnia, fatigue, malaise, seizures, metabolic acidosis, hypokalaemia,</w:t>
      </w:r>
      <w:r w:rsidR="009A0E88" w:rsidRPr="00577862">
        <w:rPr>
          <w:rFonts w:eastAsia="TimesNewRoman"/>
        </w:rPr>
        <w:t xml:space="preserve"> </w:t>
      </w:r>
      <w:r w:rsidR="005728FA" w:rsidRPr="00577862">
        <w:rPr>
          <w:rFonts w:eastAsia="TimesNewRoman"/>
        </w:rPr>
        <w:t>hyperglycaemia, nausea and vomiting.</w:t>
      </w:r>
    </w:p>
    <w:p w:rsidR="005728FA" w:rsidRPr="00577862" w:rsidRDefault="0073742B" w:rsidP="00B761B2">
      <w:pPr>
        <w:autoSpaceDE w:val="0"/>
        <w:autoSpaceDN w:val="0"/>
        <w:adjustRightInd w:val="0"/>
        <w:spacing w:before="100" w:beforeAutospacing="1" w:after="100" w:afterAutospacing="1"/>
        <w:ind w:right="-357"/>
        <w:jc w:val="both"/>
        <w:rPr>
          <w:rFonts w:eastAsia="TimesNewRoman"/>
        </w:rPr>
      </w:pPr>
      <w:r w:rsidRPr="00577862">
        <w:rPr>
          <w:rFonts w:eastAsia="TimesNewRoman"/>
          <w:i/>
        </w:rPr>
        <w:t>Treatment</w:t>
      </w:r>
      <w:r w:rsidRPr="00577862">
        <w:rPr>
          <w:rFonts w:eastAsia="TimesNewRoman"/>
        </w:rPr>
        <w:t xml:space="preserve">: </w:t>
      </w:r>
      <w:r w:rsidR="005728FA" w:rsidRPr="00577862">
        <w:rPr>
          <w:rFonts w:eastAsia="TimesNewRoman"/>
        </w:rPr>
        <w:t xml:space="preserve">Treatment of </w:t>
      </w:r>
      <w:proofErr w:type="spellStart"/>
      <w:r w:rsidR="00270FC4" w:rsidRPr="00577862">
        <w:rPr>
          <w:rFonts w:eastAsia="TimesNewRoman"/>
        </w:rPr>
        <w:t>eformoterol</w:t>
      </w:r>
      <w:proofErr w:type="spellEnd"/>
      <w:r w:rsidR="005728FA" w:rsidRPr="00577862">
        <w:rPr>
          <w:rFonts w:eastAsia="TimesNewRoman"/>
        </w:rPr>
        <w:t xml:space="preserve"> over-dosage consists of discontinuation of the medication together with</w:t>
      </w:r>
      <w:r w:rsidR="009A0E88" w:rsidRPr="00577862">
        <w:rPr>
          <w:rFonts w:eastAsia="TimesNewRoman"/>
        </w:rPr>
        <w:t xml:space="preserve"> </w:t>
      </w:r>
      <w:r w:rsidR="005728FA" w:rsidRPr="00577862">
        <w:rPr>
          <w:rFonts w:eastAsia="TimesNewRoman"/>
        </w:rPr>
        <w:t xml:space="preserve">institution of appropriate symptomatic and/or supportive therapy. The judicious use of a </w:t>
      </w:r>
      <w:proofErr w:type="spellStart"/>
      <w:r w:rsidR="005728FA" w:rsidRPr="00577862">
        <w:rPr>
          <w:rFonts w:eastAsia="TimesNewRoman"/>
        </w:rPr>
        <w:t>cardioselective</w:t>
      </w:r>
      <w:proofErr w:type="spellEnd"/>
      <w:r w:rsidR="009A0E88" w:rsidRPr="00577862">
        <w:rPr>
          <w:rFonts w:eastAsia="TimesNewRoman"/>
        </w:rPr>
        <w:t xml:space="preserve"> </w:t>
      </w:r>
      <w:r w:rsidR="005728FA" w:rsidRPr="00577862">
        <w:rPr>
          <w:rFonts w:eastAsia="TimesNewRoman"/>
        </w:rPr>
        <w:t>β-receptor blocker may be considered, bearing in mind that such medication can produce</w:t>
      </w:r>
      <w:r w:rsidR="009A0E88" w:rsidRPr="00577862">
        <w:rPr>
          <w:rFonts w:eastAsia="TimesNewRoman"/>
        </w:rPr>
        <w:t xml:space="preserve"> </w:t>
      </w:r>
      <w:r w:rsidR="005728FA" w:rsidRPr="00577862">
        <w:rPr>
          <w:rFonts w:eastAsia="TimesNewRoman"/>
        </w:rPr>
        <w:t xml:space="preserve">bronchospasm. </w:t>
      </w:r>
      <w:r w:rsidR="005E5CF6" w:rsidRPr="00577862">
        <w:rPr>
          <w:rFonts w:eastAsia="TimesNewRoman"/>
        </w:rPr>
        <w:t xml:space="preserve"> </w:t>
      </w:r>
      <w:r w:rsidR="005728FA" w:rsidRPr="00577862">
        <w:rPr>
          <w:rFonts w:eastAsia="TimesNewRoman"/>
        </w:rPr>
        <w:t xml:space="preserve">There is insufficient evidence to determine if dialysis is beneficial in cases of </w:t>
      </w:r>
      <w:proofErr w:type="spellStart"/>
      <w:r w:rsidR="00270FC4" w:rsidRPr="00577862">
        <w:rPr>
          <w:rFonts w:eastAsia="TimesNewRoman"/>
        </w:rPr>
        <w:t>eformoterol</w:t>
      </w:r>
      <w:proofErr w:type="spellEnd"/>
      <w:r w:rsidR="009A0E88" w:rsidRPr="00577862">
        <w:rPr>
          <w:rFonts w:eastAsia="TimesNewRoman"/>
        </w:rPr>
        <w:t xml:space="preserve"> </w:t>
      </w:r>
      <w:r w:rsidR="005728FA" w:rsidRPr="00577862">
        <w:rPr>
          <w:rFonts w:eastAsia="TimesNewRoman"/>
        </w:rPr>
        <w:t xml:space="preserve">overdose. </w:t>
      </w:r>
      <w:r w:rsidR="005E5CF6" w:rsidRPr="00577862">
        <w:rPr>
          <w:rFonts w:eastAsia="TimesNewRoman"/>
        </w:rPr>
        <w:t xml:space="preserve"> </w:t>
      </w:r>
      <w:r w:rsidR="005728FA" w:rsidRPr="00577862">
        <w:rPr>
          <w:rFonts w:eastAsia="TimesNewRoman"/>
        </w:rPr>
        <w:t xml:space="preserve">Cardiac monitoring is recommended in cases of </w:t>
      </w:r>
      <w:proofErr w:type="spellStart"/>
      <w:r w:rsidR="005728FA" w:rsidRPr="00577862">
        <w:rPr>
          <w:rFonts w:eastAsia="TimesNewRoman"/>
        </w:rPr>
        <w:t>overdosage</w:t>
      </w:r>
      <w:proofErr w:type="spellEnd"/>
      <w:r w:rsidR="005728FA" w:rsidRPr="00577862">
        <w:rPr>
          <w:rFonts w:eastAsia="TimesNewRoman"/>
        </w:rPr>
        <w:t>.</w:t>
      </w:r>
    </w:p>
    <w:p w:rsidR="005728FA" w:rsidRPr="00577862" w:rsidRDefault="005728FA" w:rsidP="000649D6">
      <w:pPr>
        <w:autoSpaceDE w:val="0"/>
        <w:autoSpaceDN w:val="0"/>
        <w:adjustRightInd w:val="0"/>
        <w:ind w:right="-360"/>
        <w:jc w:val="both"/>
        <w:rPr>
          <w:rFonts w:eastAsia="TimesNewRoman"/>
        </w:rPr>
      </w:pPr>
      <w:r w:rsidRPr="00577862">
        <w:rPr>
          <w:rFonts w:eastAsia="TimesNewRoman"/>
        </w:rPr>
        <w:lastRenderedPageBreak/>
        <w:t xml:space="preserve">If </w:t>
      </w:r>
      <w:r w:rsidR="00D058BC" w:rsidRPr="00577862">
        <w:rPr>
          <w:rFonts w:eastAsia="TimesNewRoman"/>
        </w:rPr>
        <w:t>FLUTIFORM</w:t>
      </w:r>
      <w:r w:rsidR="00845D3E" w:rsidRPr="00577862">
        <w:rPr>
          <w:rFonts w:eastAsia="TimesNewRoman"/>
          <w:vertAlign w:val="superscript"/>
        </w:rPr>
        <w:t>®</w:t>
      </w:r>
      <w:r w:rsidR="00845D3E" w:rsidRPr="00577862">
        <w:rPr>
          <w:rFonts w:eastAsia="TimesNewRoman"/>
        </w:rPr>
        <w:t xml:space="preserve"> </w:t>
      </w:r>
      <w:r w:rsidR="00381D65" w:rsidRPr="00577862">
        <w:rPr>
          <w:rFonts w:eastAsia="TimesNewRoman"/>
        </w:rPr>
        <w:t>inhaler</w:t>
      </w:r>
      <w:r w:rsidR="00845D3E" w:rsidRPr="00577862">
        <w:rPr>
          <w:rFonts w:eastAsia="TimesNewRoman"/>
        </w:rPr>
        <w:t xml:space="preserve"> </w:t>
      </w:r>
      <w:r w:rsidRPr="00577862">
        <w:rPr>
          <w:rFonts w:eastAsia="TimesNewRoman"/>
        </w:rPr>
        <w:t xml:space="preserve">therapy has to be withdrawn due to overdose of the beta agonist </w:t>
      </w:r>
      <w:proofErr w:type="gramStart"/>
      <w:r w:rsidRPr="00577862">
        <w:rPr>
          <w:rFonts w:eastAsia="TimesNewRoman"/>
        </w:rPr>
        <w:t>component,</w:t>
      </w:r>
      <w:proofErr w:type="gramEnd"/>
      <w:r w:rsidR="009A0E88" w:rsidRPr="00577862">
        <w:rPr>
          <w:rFonts w:eastAsia="TimesNewRoman"/>
        </w:rPr>
        <w:t xml:space="preserve"> </w:t>
      </w:r>
      <w:r w:rsidRPr="00577862">
        <w:rPr>
          <w:rFonts w:eastAsia="TimesNewRoman"/>
        </w:rPr>
        <w:t xml:space="preserve">provision of appropriate replacement steroid therapy should be considered. </w:t>
      </w:r>
      <w:r w:rsidR="005E5CF6" w:rsidRPr="00577862">
        <w:rPr>
          <w:rFonts w:eastAsia="TimesNewRoman"/>
        </w:rPr>
        <w:t xml:space="preserve"> </w:t>
      </w:r>
      <w:r w:rsidRPr="00577862">
        <w:rPr>
          <w:rFonts w:eastAsia="TimesNewRoman"/>
        </w:rPr>
        <w:t>Additionally, hypokalaemia</w:t>
      </w:r>
      <w:r w:rsidR="009A0E88" w:rsidRPr="00577862">
        <w:rPr>
          <w:rFonts w:eastAsia="TimesNewRoman"/>
        </w:rPr>
        <w:t xml:space="preserve"> </w:t>
      </w:r>
      <w:r w:rsidRPr="00577862">
        <w:rPr>
          <w:rFonts w:eastAsia="TimesNewRoman"/>
        </w:rPr>
        <w:t>can occur and potassium replacement should be considered.</w:t>
      </w:r>
    </w:p>
    <w:p w:rsidR="00397A5C" w:rsidRPr="00577862" w:rsidRDefault="00C77C8F" w:rsidP="00B761B2">
      <w:pPr>
        <w:spacing w:before="100" w:beforeAutospacing="1" w:after="100" w:afterAutospacing="1"/>
        <w:jc w:val="both"/>
      </w:pPr>
      <w:r w:rsidRPr="00577862">
        <w:t xml:space="preserve">Please phone the Poisons Information Centre on 131126 for advice on managing overdose. </w:t>
      </w:r>
    </w:p>
    <w:p w:rsidR="00C77C8F" w:rsidRPr="00577862" w:rsidRDefault="007D7FB2" w:rsidP="00B761B2">
      <w:pPr>
        <w:pStyle w:val="Heading2"/>
        <w:rPr>
          <w:rFonts w:eastAsia="TimesNewRoman"/>
        </w:rPr>
      </w:pPr>
      <w:r w:rsidRPr="00577862">
        <w:rPr>
          <w:rFonts w:eastAsia="TimesNewRoman"/>
        </w:rPr>
        <w:t>PRESENTATION</w:t>
      </w:r>
      <w:r w:rsidR="00C77C8F" w:rsidRPr="00577862">
        <w:rPr>
          <w:rFonts w:eastAsia="TimesNewRoman"/>
        </w:rPr>
        <w:t xml:space="preserve"> AND STORAGE CONDITIONS</w:t>
      </w:r>
    </w:p>
    <w:p w:rsidR="00982072" w:rsidRPr="000649D6" w:rsidRDefault="00D058BC" w:rsidP="000649D6">
      <w:pPr>
        <w:autoSpaceDE w:val="0"/>
        <w:autoSpaceDN w:val="0"/>
        <w:adjustRightInd w:val="0"/>
        <w:ind w:right="-360"/>
        <w:jc w:val="both"/>
        <w:rPr>
          <w:rFonts w:eastAsia="TimesNewRoman"/>
        </w:rPr>
      </w:pPr>
      <w:r w:rsidRPr="00577862">
        <w:rPr>
          <w:rFonts w:eastAsia="TimesNewRoman"/>
        </w:rPr>
        <w:t>FLUTIFORM</w:t>
      </w:r>
      <w:r w:rsidR="00845D3E" w:rsidRPr="00577862">
        <w:rPr>
          <w:rFonts w:eastAsia="TimesNewRoman"/>
          <w:vertAlign w:val="superscript"/>
        </w:rPr>
        <w:t>®</w:t>
      </w:r>
      <w:r w:rsidRPr="00577862">
        <w:rPr>
          <w:rFonts w:eastAsia="TimesNewRoman"/>
        </w:rPr>
        <w:t xml:space="preserve"> </w:t>
      </w:r>
      <w:r w:rsidR="00C77C8F" w:rsidRPr="00577862">
        <w:rPr>
          <w:rFonts w:eastAsia="TimesNewRoman"/>
        </w:rPr>
        <w:t xml:space="preserve">pressurised </w:t>
      </w:r>
      <w:r w:rsidR="00381D65" w:rsidRPr="00577862">
        <w:rPr>
          <w:rFonts w:eastAsia="TimesNewRoman"/>
        </w:rPr>
        <w:t>inhal</w:t>
      </w:r>
      <w:r w:rsidR="00C77C8F" w:rsidRPr="00577862">
        <w:rPr>
          <w:rFonts w:eastAsia="TimesNewRoman"/>
        </w:rPr>
        <w:t>ation</w:t>
      </w:r>
      <w:r w:rsidR="00982072" w:rsidRPr="00577862">
        <w:rPr>
          <w:rFonts w:eastAsia="TimesNewRoman"/>
        </w:rPr>
        <w:t xml:space="preserve"> is contained in </w:t>
      </w:r>
      <w:proofErr w:type="gramStart"/>
      <w:r w:rsidR="00982072" w:rsidRPr="00577862">
        <w:rPr>
          <w:rFonts w:eastAsia="TimesNewRoman"/>
        </w:rPr>
        <w:t>an aluminium</w:t>
      </w:r>
      <w:proofErr w:type="gramEnd"/>
      <w:r w:rsidR="00982072" w:rsidRPr="00577862">
        <w:rPr>
          <w:rFonts w:eastAsia="TimesNewRoman"/>
        </w:rPr>
        <w:t xml:space="preserve"> pressurised canister crimped with a standard metering valve.  The canister is inserted into a press-and-breathe actuator fitted </w:t>
      </w:r>
      <w:r w:rsidR="00982072" w:rsidRPr="000649D6">
        <w:rPr>
          <w:rFonts w:eastAsia="TimesNewRoman"/>
        </w:rPr>
        <w:t>with a dust cap, and an integrated dose indicator which indicates the number of doses remaining.  The assembled inhaler is pouched in an aluminium foil laminate, and then packed in a</w:t>
      </w:r>
      <w:r w:rsidR="00B761B2">
        <w:rPr>
          <w:rFonts w:eastAsia="TimesNewRoman"/>
        </w:rPr>
        <w:t xml:space="preserve"> cardboard carton.</w:t>
      </w:r>
    </w:p>
    <w:p w:rsidR="00982072" w:rsidRPr="000649D6" w:rsidRDefault="00982072" w:rsidP="00B761B2">
      <w:pPr>
        <w:autoSpaceDE w:val="0"/>
        <w:autoSpaceDN w:val="0"/>
        <w:adjustRightInd w:val="0"/>
        <w:spacing w:before="100" w:beforeAutospacing="1"/>
        <w:ind w:right="-357"/>
        <w:jc w:val="both"/>
        <w:rPr>
          <w:rFonts w:eastAsia="TimesNewRoman"/>
        </w:rPr>
      </w:pPr>
      <w:r w:rsidRPr="000649D6">
        <w:rPr>
          <w:rFonts w:eastAsia="TimesNewRoman"/>
        </w:rPr>
        <w:t xml:space="preserve">The strengths of </w:t>
      </w:r>
      <w:r w:rsidR="00D058BC" w:rsidRPr="000649D6">
        <w:rPr>
          <w:rFonts w:eastAsia="TimesNewRoman"/>
        </w:rPr>
        <w:t>FLUTIFORM</w:t>
      </w:r>
      <w:r w:rsidR="00845D3E" w:rsidRPr="000649D6">
        <w:rPr>
          <w:rFonts w:eastAsia="TimesNewRoman"/>
          <w:vertAlign w:val="superscript"/>
        </w:rPr>
        <w:t>®</w:t>
      </w:r>
      <w:r w:rsidR="00845D3E" w:rsidRPr="000649D6">
        <w:rPr>
          <w:rFonts w:eastAsia="TimesNewRoman"/>
        </w:rPr>
        <w:t xml:space="preserve"> </w:t>
      </w:r>
      <w:r w:rsidRPr="000649D6">
        <w:rPr>
          <w:rFonts w:eastAsia="TimesNewRoman"/>
        </w:rPr>
        <w:t xml:space="preserve">pressurised inhalation are: </w:t>
      </w:r>
    </w:p>
    <w:p w:rsidR="00775F46" w:rsidRPr="000649D6" w:rsidRDefault="00775F46" w:rsidP="000649D6">
      <w:pPr>
        <w:numPr>
          <w:ilvl w:val="0"/>
          <w:numId w:val="2"/>
        </w:numPr>
        <w:autoSpaceDE w:val="0"/>
        <w:autoSpaceDN w:val="0"/>
        <w:adjustRightInd w:val="0"/>
        <w:ind w:right="-360"/>
        <w:jc w:val="both"/>
        <w:rPr>
          <w:rFonts w:eastAsia="TimesNewRoman"/>
        </w:rPr>
      </w:pPr>
      <w:r w:rsidRPr="000649D6">
        <w:rPr>
          <w:rFonts w:eastAsia="TimesNewRoman"/>
        </w:rPr>
        <w:t xml:space="preserve">50 </w:t>
      </w:r>
      <w:r w:rsidR="00832BC5" w:rsidRPr="000649D6">
        <w:rPr>
          <w:rFonts w:eastAsia="TimesNewRoman"/>
        </w:rPr>
        <w:t>micrograms</w:t>
      </w:r>
      <w:r w:rsidR="00982072" w:rsidRPr="000649D6">
        <w:rPr>
          <w:rFonts w:eastAsia="TimesNewRoman"/>
        </w:rPr>
        <w:t xml:space="preserve"> fluticasone propionate</w:t>
      </w:r>
      <w:r w:rsidRPr="000649D6">
        <w:rPr>
          <w:rFonts w:eastAsia="TimesNewRoman"/>
        </w:rPr>
        <w:t>/5 microgram</w:t>
      </w:r>
      <w:r w:rsidR="00F024A5" w:rsidRPr="000649D6">
        <w:rPr>
          <w:rFonts w:eastAsia="TimesNewRoman"/>
        </w:rPr>
        <w:t>s</w:t>
      </w:r>
      <w:r w:rsidR="00982072" w:rsidRPr="000649D6">
        <w:rPr>
          <w:rFonts w:eastAsia="TimesNewRoman"/>
        </w:rPr>
        <w:t xml:space="preserve"> </w:t>
      </w:r>
      <w:r w:rsidR="00270FC4" w:rsidRPr="000649D6">
        <w:rPr>
          <w:rFonts w:eastAsia="TimesNewRoman"/>
        </w:rPr>
        <w:t>eformoterol</w:t>
      </w:r>
      <w:r w:rsidR="00982072" w:rsidRPr="000649D6">
        <w:rPr>
          <w:rFonts w:eastAsia="TimesNewRoman"/>
        </w:rPr>
        <w:t xml:space="preserve"> fumarate</w:t>
      </w:r>
    </w:p>
    <w:p w:rsidR="00775F46" w:rsidRPr="000649D6" w:rsidRDefault="00982072" w:rsidP="000649D6">
      <w:pPr>
        <w:numPr>
          <w:ilvl w:val="0"/>
          <w:numId w:val="2"/>
        </w:numPr>
        <w:autoSpaceDE w:val="0"/>
        <w:autoSpaceDN w:val="0"/>
        <w:adjustRightInd w:val="0"/>
        <w:ind w:right="-360"/>
        <w:jc w:val="both"/>
        <w:rPr>
          <w:rFonts w:eastAsia="TimesNewRoman"/>
        </w:rPr>
      </w:pPr>
      <w:r w:rsidRPr="000649D6">
        <w:rPr>
          <w:rFonts w:eastAsia="TimesNewRoman"/>
        </w:rPr>
        <w:t>1</w:t>
      </w:r>
      <w:r w:rsidR="00775F46" w:rsidRPr="000649D6">
        <w:rPr>
          <w:rFonts w:eastAsia="TimesNewRoman"/>
        </w:rPr>
        <w:t xml:space="preserve">25 </w:t>
      </w:r>
      <w:r w:rsidR="00832BC5" w:rsidRPr="000649D6">
        <w:rPr>
          <w:rFonts w:eastAsia="TimesNewRoman"/>
        </w:rPr>
        <w:t>micrograms</w:t>
      </w:r>
      <w:r w:rsidRPr="000649D6">
        <w:rPr>
          <w:rFonts w:eastAsia="TimesNewRoman"/>
        </w:rPr>
        <w:t xml:space="preserve"> fluticasone propionate</w:t>
      </w:r>
      <w:r w:rsidR="00775F46" w:rsidRPr="000649D6">
        <w:rPr>
          <w:rFonts w:eastAsia="TimesNewRoman"/>
        </w:rPr>
        <w:t>/5 microgram</w:t>
      </w:r>
      <w:r w:rsidR="00F024A5" w:rsidRPr="000649D6">
        <w:rPr>
          <w:rFonts w:eastAsia="TimesNewRoman"/>
        </w:rPr>
        <w:t>s</w:t>
      </w:r>
      <w:r w:rsidRPr="000649D6">
        <w:rPr>
          <w:rFonts w:eastAsia="TimesNewRoman"/>
        </w:rPr>
        <w:t xml:space="preserve"> </w:t>
      </w:r>
      <w:r w:rsidR="00270FC4" w:rsidRPr="000649D6">
        <w:rPr>
          <w:rFonts w:eastAsia="TimesNewRoman"/>
        </w:rPr>
        <w:t>eformoterol</w:t>
      </w:r>
      <w:r w:rsidRPr="000649D6">
        <w:rPr>
          <w:rFonts w:eastAsia="TimesNewRoman"/>
        </w:rPr>
        <w:t xml:space="preserve"> fumarate</w:t>
      </w:r>
      <w:r w:rsidR="00775F46" w:rsidRPr="000649D6">
        <w:rPr>
          <w:rFonts w:eastAsia="TimesNewRoman"/>
        </w:rPr>
        <w:t xml:space="preserve"> </w:t>
      </w:r>
    </w:p>
    <w:p w:rsidR="00775F46" w:rsidRPr="000649D6" w:rsidRDefault="00775F46" w:rsidP="000649D6">
      <w:pPr>
        <w:numPr>
          <w:ilvl w:val="0"/>
          <w:numId w:val="2"/>
        </w:numPr>
        <w:autoSpaceDE w:val="0"/>
        <w:autoSpaceDN w:val="0"/>
        <w:adjustRightInd w:val="0"/>
        <w:ind w:right="-360"/>
        <w:jc w:val="both"/>
        <w:rPr>
          <w:rFonts w:eastAsia="TimesNewRoman"/>
        </w:rPr>
      </w:pPr>
      <w:r w:rsidRPr="000649D6">
        <w:rPr>
          <w:rFonts w:eastAsia="TimesNewRoman"/>
        </w:rPr>
        <w:t xml:space="preserve">250 </w:t>
      </w:r>
      <w:r w:rsidR="00832BC5" w:rsidRPr="000649D6">
        <w:rPr>
          <w:rFonts w:eastAsia="TimesNewRoman"/>
        </w:rPr>
        <w:t>micrograms</w:t>
      </w:r>
      <w:r w:rsidR="005A1752" w:rsidRPr="000649D6">
        <w:rPr>
          <w:rFonts w:eastAsia="TimesNewRoman"/>
        </w:rPr>
        <w:t xml:space="preserve"> fluticasone propionate</w:t>
      </w:r>
      <w:r w:rsidRPr="000649D6">
        <w:rPr>
          <w:rFonts w:eastAsia="TimesNewRoman"/>
        </w:rPr>
        <w:t>/10 microgram</w:t>
      </w:r>
      <w:r w:rsidR="00F024A5" w:rsidRPr="000649D6">
        <w:rPr>
          <w:rFonts w:eastAsia="TimesNewRoman"/>
        </w:rPr>
        <w:t>s</w:t>
      </w:r>
      <w:r w:rsidR="00982072" w:rsidRPr="000649D6">
        <w:rPr>
          <w:rFonts w:eastAsia="TimesNewRoman"/>
        </w:rPr>
        <w:t xml:space="preserve"> </w:t>
      </w:r>
      <w:r w:rsidR="00270FC4" w:rsidRPr="000649D6">
        <w:rPr>
          <w:rFonts w:eastAsia="TimesNewRoman"/>
        </w:rPr>
        <w:t>eformoterol</w:t>
      </w:r>
      <w:r w:rsidR="00982072" w:rsidRPr="000649D6">
        <w:rPr>
          <w:rFonts w:eastAsia="TimesNewRoman"/>
        </w:rPr>
        <w:t xml:space="preserve"> fumarate</w:t>
      </w:r>
      <w:r w:rsidR="0073742B" w:rsidRPr="000649D6">
        <w:rPr>
          <w:rFonts w:eastAsia="TimesNewRoman"/>
        </w:rPr>
        <w:t>.</w:t>
      </w:r>
    </w:p>
    <w:p w:rsidR="0073742B" w:rsidRPr="000649D6" w:rsidRDefault="0073742B" w:rsidP="00B761B2">
      <w:pPr>
        <w:autoSpaceDE w:val="0"/>
        <w:autoSpaceDN w:val="0"/>
        <w:adjustRightInd w:val="0"/>
        <w:spacing w:before="100" w:beforeAutospacing="1" w:after="100" w:afterAutospacing="1"/>
        <w:ind w:right="-357"/>
        <w:jc w:val="both"/>
        <w:rPr>
          <w:rFonts w:eastAsia="TimesNewRoman"/>
        </w:rPr>
      </w:pPr>
      <w:r w:rsidRPr="000649D6">
        <w:rPr>
          <w:rFonts w:eastAsia="TimesNewRoman"/>
        </w:rPr>
        <w:t xml:space="preserve">Each container for the three strengths delivers 120 actuations.  </w:t>
      </w:r>
    </w:p>
    <w:p w:rsidR="00A41218" w:rsidRPr="000649D6" w:rsidRDefault="00A41218" w:rsidP="00B761B2">
      <w:pPr>
        <w:autoSpaceDE w:val="0"/>
        <w:autoSpaceDN w:val="0"/>
        <w:adjustRightInd w:val="0"/>
        <w:spacing w:before="100" w:beforeAutospacing="1" w:after="100" w:afterAutospacing="1"/>
        <w:ind w:right="-357"/>
        <w:jc w:val="both"/>
        <w:rPr>
          <w:bCs/>
        </w:rPr>
      </w:pPr>
      <w:r w:rsidRPr="000649D6">
        <w:rPr>
          <w:bCs/>
        </w:rPr>
        <w:t>Store below 25ºC. Do not refrigerate or freeze.</w:t>
      </w:r>
    </w:p>
    <w:p w:rsidR="00BE526A" w:rsidRPr="00B761B2" w:rsidRDefault="001D1ABC" w:rsidP="00B761B2">
      <w:pPr>
        <w:autoSpaceDE w:val="0"/>
        <w:autoSpaceDN w:val="0"/>
        <w:adjustRightInd w:val="0"/>
        <w:spacing w:before="100" w:beforeAutospacing="1" w:after="100" w:afterAutospacing="1"/>
        <w:ind w:right="-357"/>
        <w:jc w:val="both"/>
        <w:rPr>
          <w:rFonts w:eastAsia="TimesNewRoman"/>
        </w:rPr>
      </w:pPr>
      <w:r w:rsidRPr="000649D6">
        <w:rPr>
          <w:rFonts w:eastAsia="TimesNewRoman"/>
        </w:rPr>
        <w:t>The in-use shelf-life is 3 months after the inhaler is removed from the foil pouch, or after the dose indicator reads ‘0’ (whichever comes first)</w:t>
      </w:r>
      <w:r w:rsidR="00B761B2">
        <w:rPr>
          <w:rFonts w:eastAsia="TimesNewRoman"/>
        </w:rPr>
        <w:t>.</w:t>
      </w:r>
    </w:p>
    <w:p w:rsidR="00775F46" w:rsidRPr="000649D6" w:rsidRDefault="001D1ABC" w:rsidP="00B761B2">
      <w:pPr>
        <w:pStyle w:val="Heading2"/>
      </w:pPr>
      <w:r w:rsidRPr="000649D6">
        <w:t>NAME AND ADDRESS OF THE</w:t>
      </w:r>
      <w:r w:rsidRPr="000649D6" w:rsidDel="001D1ABC">
        <w:t xml:space="preserve"> </w:t>
      </w:r>
      <w:r w:rsidR="00775F46" w:rsidRPr="000649D6">
        <w:t>SPONSOR</w:t>
      </w:r>
    </w:p>
    <w:p w:rsidR="00775F46" w:rsidRPr="000649D6" w:rsidRDefault="00982072" w:rsidP="000649D6">
      <w:pPr>
        <w:autoSpaceDE w:val="0"/>
        <w:autoSpaceDN w:val="0"/>
        <w:adjustRightInd w:val="0"/>
        <w:ind w:right="-360"/>
        <w:jc w:val="both"/>
        <w:rPr>
          <w:bCs/>
        </w:rPr>
      </w:pPr>
      <w:r w:rsidRPr="000649D6">
        <w:rPr>
          <w:bCs/>
        </w:rPr>
        <w:t>Mundi</w:t>
      </w:r>
      <w:r w:rsidR="00775F46" w:rsidRPr="000649D6">
        <w:rPr>
          <w:bCs/>
        </w:rPr>
        <w:t>pharma Pty Limited</w:t>
      </w:r>
    </w:p>
    <w:p w:rsidR="00775F46" w:rsidRPr="000649D6" w:rsidRDefault="00775F46" w:rsidP="000649D6">
      <w:pPr>
        <w:autoSpaceDE w:val="0"/>
        <w:autoSpaceDN w:val="0"/>
        <w:adjustRightInd w:val="0"/>
        <w:ind w:right="-360"/>
        <w:jc w:val="both"/>
        <w:rPr>
          <w:bCs/>
        </w:rPr>
      </w:pPr>
      <w:r w:rsidRPr="000649D6">
        <w:rPr>
          <w:bCs/>
        </w:rPr>
        <w:t>ABN 87 081 322 509</w:t>
      </w:r>
    </w:p>
    <w:p w:rsidR="00775F46" w:rsidRPr="000649D6" w:rsidRDefault="00775F46" w:rsidP="000649D6">
      <w:pPr>
        <w:autoSpaceDE w:val="0"/>
        <w:autoSpaceDN w:val="0"/>
        <w:adjustRightInd w:val="0"/>
        <w:ind w:right="-360"/>
        <w:jc w:val="both"/>
        <w:rPr>
          <w:bCs/>
        </w:rPr>
      </w:pPr>
      <w:r w:rsidRPr="000649D6">
        <w:rPr>
          <w:bCs/>
        </w:rPr>
        <w:t>50 Bridge Street</w:t>
      </w:r>
    </w:p>
    <w:p w:rsidR="00775F46" w:rsidRPr="000649D6" w:rsidRDefault="00775F46" w:rsidP="000649D6">
      <w:pPr>
        <w:autoSpaceDE w:val="0"/>
        <w:autoSpaceDN w:val="0"/>
        <w:adjustRightInd w:val="0"/>
        <w:ind w:right="-360"/>
        <w:jc w:val="both"/>
        <w:rPr>
          <w:bCs/>
        </w:rPr>
      </w:pPr>
      <w:proofErr w:type="gramStart"/>
      <w:r w:rsidRPr="000649D6">
        <w:rPr>
          <w:bCs/>
        </w:rPr>
        <w:t>SYDNEY  NSW</w:t>
      </w:r>
      <w:proofErr w:type="gramEnd"/>
      <w:r w:rsidRPr="000649D6">
        <w:rPr>
          <w:bCs/>
        </w:rPr>
        <w:t xml:space="preserve">  2000</w:t>
      </w:r>
    </w:p>
    <w:p w:rsidR="00B761B2" w:rsidRDefault="00072120" w:rsidP="00B761B2">
      <w:pPr>
        <w:pStyle w:val="Heading2"/>
      </w:pPr>
      <w:r w:rsidRPr="000649D6">
        <w:t>POISONS SCHEDULE OF THE MEDICINE</w:t>
      </w:r>
    </w:p>
    <w:p w:rsidR="00072120" w:rsidRPr="000649D6" w:rsidRDefault="00072120" w:rsidP="000649D6">
      <w:pPr>
        <w:autoSpaceDE w:val="0"/>
        <w:autoSpaceDN w:val="0"/>
        <w:adjustRightInd w:val="0"/>
        <w:ind w:right="-360"/>
        <w:jc w:val="both"/>
        <w:rPr>
          <w:bCs/>
        </w:rPr>
      </w:pPr>
      <w:r w:rsidRPr="000649D6">
        <w:rPr>
          <w:bCs/>
        </w:rPr>
        <w:t>S4</w:t>
      </w:r>
    </w:p>
    <w:p w:rsidR="005728FA" w:rsidRPr="000649D6" w:rsidRDefault="00072120" w:rsidP="00B761B2">
      <w:pPr>
        <w:pStyle w:val="Heading2"/>
        <w:rPr>
          <w:rFonts w:eastAsia="TimesNewRoman"/>
        </w:rPr>
      </w:pPr>
      <w:r w:rsidRPr="000649D6">
        <w:t>DATE OF FIRST INCLUSION IN AUSTRALIAN REGISTER OF THERAPEUTIC GOODS (THE ARTG)</w:t>
      </w:r>
    </w:p>
    <w:p w:rsidR="005728FA" w:rsidRPr="000649D6" w:rsidRDefault="005728FA" w:rsidP="00B761B2">
      <w:pPr>
        <w:pStyle w:val="Heading2"/>
      </w:pPr>
      <w:r w:rsidRPr="000649D6">
        <w:t>DATE OF</w:t>
      </w:r>
      <w:r w:rsidR="00775F46" w:rsidRPr="000649D6">
        <w:t xml:space="preserve"> </w:t>
      </w:r>
      <w:r w:rsidR="00072120" w:rsidRPr="000649D6">
        <w:t xml:space="preserve">MOST RECENT </w:t>
      </w:r>
      <w:r w:rsidR="00775F46" w:rsidRPr="000649D6">
        <w:t>AMENDMENT</w:t>
      </w:r>
    </w:p>
    <w:p w:rsidR="00894853" w:rsidRPr="000649D6" w:rsidRDefault="00775F46" w:rsidP="00BE01CE">
      <w:pPr>
        <w:tabs>
          <w:tab w:val="left" w:pos="7514"/>
        </w:tabs>
        <w:autoSpaceDE w:val="0"/>
        <w:autoSpaceDN w:val="0"/>
        <w:adjustRightInd w:val="0"/>
        <w:spacing w:before="100" w:beforeAutospacing="1" w:after="100" w:afterAutospacing="1"/>
        <w:ind w:right="-357"/>
        <w:jc w:val="both"/>
      </w:pPr>
      <w:r w:rsidRPr="000649D6">
        <w:rPr>
          <w:bCs/>
        </w:rPr>
        <w:t xml:space="preserve">®: </w:t>
      </w:r>
      <w:r w:rsidR="00D058BC" w:rsidRPr="000649D6">
        <w:rPr>
          <w:bCs/>
        </w:rPr>
        <w:t>FLUTIFORM</w:t>
      </w:r>
      <w:r w:rsidR="00845D3E" w:rsidRPr="000649D6">
        <w:rPr>
          <w:bCs/>
        </w:rPr>
        <w:t xml:space="preserve"> </w:t>
      </w:r>
      <w:r w:rsidRPr="000649D6">
        <w:rPr>
          <w:bCs/>
        </w:rPr>
        <w:t>is a Registered Trademark</w:t>
      </w:r>
    </w:p>
    <w:sectPr w:rsidR="00894853" w:rsidRPr="000649D6" w:rsidSect="00DA46B1">
      <w:headerReference w:type="default" r:id="rId9"/>
      <w:footerReference w:type="even" r:id="rId10"/>
      <w:footerReference w:type="default" r:id="rId11"/>
      <w:pgSz w:w="12240" w:h="15840"/>
      <w:pgMar w:top="1440" w:right="1440" w:bottom="1440" w:left="1800" w:header="720" w:footer="55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390" w:rsidRDefault="00433390">
      <w:r>
        <w:separator/>
      </w:r>
    </w:p>
  </w:endnote>
  <w:endnote w:type="continuationSeparator" w:id="0">
    <w:p w:rsidR="00433390" w:rsidRDefault="004333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B" w:rsidRDefault="007F056B" w:rsidP="006C75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056B" w:rsidRDefault="007F056B" w:rsidP="003E54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B" w:rsidRPr="005C761F" w:rsidRDefault="007F056B" w:rsidP="001A2DA4">
    <w:pPr>
      <w:pStyle w:val="Footer"/>
      <w:pBdr>
        <w:top w:val="single" w:sz="4" w:space="1" w:color="auto"/>
      </w:pBdr>
      <w:ind w:right="211"/>
      <w:rPr>
        <w:sz w:val="20"/>
        <w:szCs w:val="20"/>
      </w:rPr>
    </w:pPr>
    <w:r w:rsidRPr="005C761F">
      <w:rPr>
        <w:sz w:val="20"/>
        <w:szCs w:val="20"/>
      </w:rPr>
      <w:t>FLUTIFORM</w:t>
    </w:r>
    <w:r w:rsidRPr="005C761F">
      <w:rPr>
        <w:rFonts w:eastAsia="TimesNewRoman"/>
        <w:color w:val="000000"/>
        <w:sz w:val="20"/>
        <w:szCs w:val="20"/>
        <w:vertAlign w:val="superscript"/>
      </w:rPr>
      <w:t>®</w:t>
    </w:r>
    <w:r w:rsidRPr="005C761F">
      <w:rPr>
        <w:sz w:val="20"/>
        <w:szCs w:val="20"/>
      </w:rPr>
      <w:t xml:space="preserve"> pressurised inhalation PI (</w:t>
    </w:r>
    <w:r>
      <w:rPr>
        <w:sz w:val="20"/>
        <w:szCs w:val="20"/>
      </w:rPr>
      <w:t>March</w:t>
    </w:r>
    <w:r w:rsidRPr="005C761F">
      <w:rPr>
        <w:sz w:val="20"/>
        <w:szCs w:val="20"/>
      </w:rPr>
      <w:t xml:space="preserve"> 201</w:t>
    </w:r>
    <w:r>
      <w:rPr>
        <w:sz w:val="20"/>
        <w:szCs w:val="20"/>
      </w:rPr>
      <w:t>3</w:t>
    </w:r>
    <w:r w:rsidRPr="005C761F">
      <w:rPr>
        <w:sz w:val="20"/>
        <w:szCs w:val="20"/>
      </w:rPr>
      <w:t xml:space="preserve">) </w:t>
    </w:r>
    <w:r w:rsidRPr="005C761F">
      <w:rPr>
        <w:sz w:val="20"/>
        <w:szCs w:val="20"/>
      </w:rPr>
      <w:tab/>
      <w:t xml:space="preserve">                   Page </w:t>
    </w:r>
    <w:r w:rsidRPr="005C761F">
      <w:rPr>
        <w:rStyle w:val="PageNumber"/>
        <w:sz w:val="20"/>
        <w:szCs w:val="20"/>
      </w:rPr>
      <w:fldChar w:fldCharType="begin"/>
    </w:r>
    <w:r w:rsidRPr="005C761F">
      <w:rPr>
        <w:rStyle w:val="PageNumber"/>
        <w:sz w:val="20"/>
        <w:szCs w:val="20"/>
      </w:rPr>
      <w:instrText xml:space="preserve"> PAGE </w:instrText>
    </w:r>
    <w:r w:rsidRPr="005C761F">
      <w:rPr>
        <w:rStyle w:val="PageNumber"/>
        <w:sz w:val="20"/>
        <w:szCs w:val="20"/>
      </w:rPr>
      <w:fldChar w:fldCharType="separate"/>
    </w:r>
    <w:r w:rsidR="00BE01CE">
      <w:rPr>
        <w:rStyle w:val="PageNumber"/>
        <w:noProof/>
        <w:sz w:val="20"/>
        <w:szCs w:val="20"/>
      </w:rPr>
      <w:t>12</w:t>
    </w:r>
    <w:r w:rsidRPr="005C761F">
      <w:rPr>
        <w:rStyle w:val="PageNumber"/>
        <w:sz w:val="20"/>
        <w:szCs w:val="20"/>
      </w:rPr>
      <w:fldChar w:fldCharType="end"/>
    </w:r>
    <w:r w:rsidRPr="005C761F">
      <w:rPr>
        <w:rStyle w:val="PageNumber"/>
        <w:sz w:val="20"/>
        <w:szCs w:val="20"/>
      </w:rPr>
      <w:t xml:space="preserve"> of </w:t>
    </w:r>
    <w:r w:rsidRPr="005C761F">
      <w:rPr>
        <w:rStyle w:val="PageNumber"/>
        <w:sz w:val="20"/>
        <w:szCs w:val="20"/>
      </w:rPr>
      <w:fldChar w:fldCharType="begin"/>
    </w:r>
    <w:r w:rsidRPr="005C761F">
      <w:rPr>
        <w:rStyle w:val="PageNumber"/>
        <w:sz w:val="20"/>
        <w:szCs w:val="20"/>
      </w:rPr>
      <w:instrText xml:space="preserve"> NUMPAGES </w:instrText>
    </w:r>
    <w:r w:rsidRPr="005C761F">
      <w:rPr>
        <w:rStyle w:val="PageNumber"/>
        <w:sz w:val="20"/>
        <w:szCs w:val="20"/>
      </w:rPr>
      <w:fldChar w:fldCharType="separate"/>
    </w:r>
    <w:r w:rsidR="00BE01CE">
      <w:rPr>
        <w:rStyle w:val="PageNumber"/>
        <w:noProof/>
        <w:sz w:val="20"/>
        <w:szCs w:val="20"/>
      </w:rPr>
      <w:t>22</w:t>
    </w:r>
    <w:r w:rsidRPr="005C761F">
      <w:rPr>
        <w:rStyle w:val="PageNumber"/>
        <w:sz w:val="20"/>
        <w:szCs w:val="20"/>
      </w:rPr>
      <w:fldChar w:fldCharType="end"/>
    </w:r>
  </w:p>
  <w:p w:rsidR="007F056B" w:rsidRPr="005C761F" w:rsidRDefault="007F056B" w:rsidP="003E54BB">
    <w:pPr>
      <w:pStyle w:val="Footer"/>
      <w:ind w:right="360"/>
      <w:rPr>
        <w:sz w:val="20"/>
        <w:szCs w:val="20"/>
      </w:rPr>
    </w:pPr>
    <w:r w:rsidRPr="005C761F">
      <w:rPr>
        <w:sz w:val="20"/>
        <w:szCs w:val="20"/>
      </w:rPr>
      <w:t>mfpfluti1</w:t>
    </w:r>
    <w:r>
      <w:rPr>
        <w:sz w:val="20"/>
        <w:szCs w:val="20"/>
      </w:rPr>
      <w:t>10313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390" w:rsidRDefault="00433390">
      <w:r>
        <w:separator/>
      </w:r>
    </w:p>
  </w:footnote>
  <w:footnote w:type="continuationSeparator" w:id="0">
    <w:p w:rsidR="00433390" w:rsidRDefault="00433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7F056B" w:rsidTr="007F056B">
      <w:tc>
        <w:tcPr>
          <w:tcW w:w="8720" w:type="dxa"/>
          <w:shd w:val="clear" w:color="auto" w:fill="E4F2E0"/>
        </w:tcPr>
        <w:p w:rsidR="007F056B" w:rsidRPr="007F056B" w:rsidRDefault="007F056B" w:rsidP="007F056B">
          <w:pPr>
            <w:spacing w:before="40" w:after="40"/>
            <w:rPr>
              <w:rFonts w:ascii="Cambria" w:hAnsi="Cambria"/>
              <w:b/>
              <w:sz w:val="20"/>
              <w:szCs w:val="20"/>
            </w:rPr>
          </w:pPr>
          <w:r w:rsidRPr="007F056B">
            <w:rPr>
              <w:rFonts w:ascii="Cambria" w:hAnsi="Cambria"/>
              <w:b/>
              <w:sz w:val="20"/>
              <w:szCs w:val="20"/>
            </w:rPr>
            <w:t xml:space="preserve">Attachment 1: Product information for </w:t>
          </w:r>
          <w:proofErr w:type="spellStart"/>
          <w:r w:rsidRPr="007F056B">
            <w:rPr>
              <w:rFonts w:ascii="Cambria" w:hAnsi="Cambria"/>
              <w:b/>
              <w:sz w:val="20"/>
              <w:szCs w:val="20"/>
            </w:rPr>
            <w:t>AusPAR</w:t>
          </w:r>
          <w:proofErr w:type="spellEnd"/>
          <w:r w:rsidRPr="007F056B">
            <w:rPr>
              <w:rFonts w:ascii="Cambria" w:hAnsi="Cambria"/>
              <w:b/>
              <w:sz w:val="20"/>
              <w:szCs w:val="20"/>
            </w:rPr>
            <w:t xml:space="preserve"> </w:t>
          </w:r>
          <w:proofErr w:type="spellStart"/>
          <w:r w:rsidRPr="007F056B">
            <w:rPr>
              <w:rFonts w:ascii="Cambria" w:hAnsi="Cambria"/>
              <w:b/>
              <w:sz w:val="20"/>
              <w:szCs w:val="20"/>
            </w:rPr>
            <w:t>Flutiform</w:t>
          </w:r>
          <w:proofErr w:type="spellEnd"/>
          <w:r w:rsidRPr="007F056B">
            <w:rPr>
              <w:rFonts w:ascii="Cambria" w:hAnsi="Cambria"/>
              <w:b/>
              <w:sz w:val="20"/>
              <w:szCs w:val="20"/>
            </w:rPr>
            <w:t xml:space="preserve"> </w:t>
          </w:r>
          <w:proofErr w:type="spellStart"/>
          <w:r w:rsidRPr="007F056B">
            <w:rPr>
              <w:rFonts w:ascii="Cambria" w:hAnsi="Cambria"/>
              <w:b/>
              <w:sz w:val="20"/>
              <w:szCs w:val="20"/>
            </w:rPr>
            <w:t>Mundipharma</w:t>
          </w:r>
          <w:proofErr w:type="spellEnd"/>
          <w:r w:rsidRPr="007F056B">
            <w:rPr>
              <w:rFonts w:ascii="Cambria" w:hAnsi="Cambria"/>
              <w:b/>
              <w:sz w:val="20"/>
              <w:szCs w:val="20"/>
            </w:rPr>
            <w:t xml:space="preserve"> Pty Ltd PM-2010-03251-3-5 Final 13 June 2013. This Product Information was approved at the time this </w:t>
          </w:r>
          <w:proofErr w:type="spellStart"/>
          <w:r w:rsidRPr="007F056B">
            <w:rPr>
              <w:rFonts w:ascii="Cambria" w:hAnsi="Cambria"/>
              <w:b/>
              <w:sz w:val="20"/>
              <w:szCs w:val="20"/>
            </w:rPr>
            <w:t>AusPAR</w:t>
          </w:r>
          <w:proofErr w:type="spellEnd"/>
          <w:r w:rsidRPr="007F056B">
            <w:rPr>
              <w:rFonts w:ascii="Cambria" w:hAnsi="Cambria"/>
              <w:b/>
              <w:sz w:val="20"/>
              <w:szCs w:val="20"/>
            </w:rPr>
            <w:t xml:space="preserve"> was published.</w:t>
          </w:r>
        </w:p>
      </w:tc>
    </w:tr>
  </w:tbl>
  <w:p w:rsidR="007F056B" w:rsidRDefault="007F05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4D"/>
    <w:multiLevelType w:val="hybridMultilevel"/>
    <w:tmpl w:val="00C851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B4F693D"/>
    <w:multiLevelType w:val="hybridMultilevel"/>
    <w:tmpl w:val="0BA881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E26430E"/>
    <w:multiLevelType w:val="hybridMultilevel"/>
    <w:tmpl w:val="043A850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53C2110"/>
    <w:multiLevelType w:val="hybridMultilevel"/>
    <w:tmpl w:val="CAB29B7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F76006D"/>
    <w:multiLevelType w:val="hybridMultilevel"/>
    <w:tmpl w:val="A1BC1F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087577C"/>
    <w:multiLevelType w:val="hybridMultilevel"/>
    <w:tmpl w:val="E7868E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2091E21"/>
    <w:multiLevelType w:val="hybridMultilevel"/>
    <w:tmpl w:val="FE86F8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10752E9"/>
    <w:multiLevelType w:val="hybridMultilevel"/>
    <w:tmpl w:val="D9483F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5736859"/>
    <w:multiLevelType w:val="hybridMultilevel"/>
    <w:tmpl w:val="B3A0B8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B037433"/>
    <w:multiLevelType w:val="hybridMultilevel"/>
    <w:tmpl w:val="533CB7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9"/>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4"/>
  <w:defaultTabStop w:val="720"/>
  <w:characterSpacingControl w:val="doNotCompress"/>
  <w:hdrShapeDefaults>
    <o:shapedefaults v:ext="edit" spidmax="89090"/>
  </w:hdrShapeDefaults>
  <w:footnotePr>
    <w:footnote w:id="-1"/>
    <w:footnote w:id="0"/>
  </w:footnotePr>
  <w:endnotePr>
    <w:endnote w:id="-1"/>
    <w:endnote w:id="0"/>
  </w:endnotePr>
  <w:compat/>
  <w:rsids>
    <w:rsidRoot w:val="005728FA"/>
    <w:rsid w:val="00003036"/>
    <w:rsid w:val="00003A13"/>
    <w:rsid w:val="00013227"/>
    <w:rsid w:val="000143E3"/>
    <w:rsid w:val="00014944"/>
    <w:rsid w:val="000158BA"/>
    <w:rsid w:val="00017174"/>
    <w:rsid w:val="000174E3"/>
    <w:rsid w:val="00017622"/>
    <w:rsid w:val="00025FA0"/>
    <w:rsid w:val="00026769"/>
    <w:rsid w:val="00031374"/>
    <w:rsid w:val="000318F8"/>
    <w:rsid w:val="00032108"/>
    <w:rsid w:val="0003677C"/>
    <w:rsid w:val="0003720F"/>
    <w:rsid w:val="00040D00"/>
    <w:rsid w:val="00042D58"/>
    <w:rsid w:val="00044143"/>
    <w:rsid w:val="00044515"/>
    <w:rsid w:val="000448B2"/>
    <w:rsid w:val="00045FEC"/>
    <w:rsid w:val="00050B3F"/>
    <w:rsid w:val="0005106D"/>
    <w:rsid w:val="00051B0E"/>
    <w:rsid w:val="00052FC2"/>
    <w:rsid w:val="000535B6"/>
    <w:rsid w:val="00054220"/>
    <w:rsid w:val="00054E0D"/>
    <w:rsid w:val="000568A8"/>
    <w:rsid w:val="00056C59"/>
    <w:rsid w:val="00062534"/>
    <w:rsid w:val="000649D6"/>
    <w:rsid w:val="00064CED"/>
    <w:rsid w:val="00072120"/>
    <w:rsid w:val="00074DE3"/>
    <w:rsid w:val="00075653"/>
    <w:rsid w:val="00077868"/>
    <w:rsid w:val="000809B1"/>
    <w:rsid w:val="0008283A"/>
    <w:rsid w:val="00083E0B"/>
    <w:rsid w:val="00090C29"/>
    <w:rsid w:val="000910A4"/>
    <w:rsid w:val="000914D2"/>
    <w:rsid w:val="00091AC7"/>
    <w:rsid w:val="00092329"/>
    <w:rsid w:val="00092A8D"/>
    <w:rsid w:val="00096F3F"/>
    <w:rsid w:val="00097B11"/>
    <w:rsid w:val="00097EC9"/>
    <w:rsid w:val="000A1256"/>
    <w:rsid w:val="000A4949"/>
    <w:rsid w:val="000A63E4"/>
    <w:rsid w:val="000A72E4"/>
    <w:rsid w:val="000B2C91"/>
    <w:rsid w:val="000B2FBE"/>
    <w:rsid w:val="000B37AC"/>
    <w:rsid w:val="000B37C4"/>
    <w:rsid w:val="000B56A8"/>
    <w:rsid w:val="000B58F6"/>
    <w:rsid w:val="000B7A18"/>
    <w:rsid w:val="000C17C7"/>
    <w:rsid w:val="000C4D7B"/>
    <w:rsid w:val="000C630F"/>
    <w:rsid w:val="000D0BC2"/>
    <w:rsid w:val="000D38EC"/>
    <w:rsid w:val="000D391F"/>
    <w:rsid w:val="000D49AB"/>
    <w:rsid w:val="000D4AA8"/>
    <w:rsid w:val="000D6B15"/>
    <w:rsid w:val="000D6F7B"/>
    <w:rsid w:val="000E0E75"/>
    <w:rsid w:val="000E2610"/>
    <w:rsid w:val="000E3F76"/>
    <w:rsid w:val="000F466C"/>
    <w:rsid w:val="00102AC5"/>
    <w:rsid w:val="00106B84"/>
    <w:rsid w:val="00107C78"/>
    <w:rsid w:val="001122D2"/>
    <w:rsid w:val="00115BB3"/>
    <w:rsid w:val="00120094"/>
    <w:rsid w:val="00124D3B"/>
    <w:rsid w:val="00126AEE"/>
    <w:rsid w:val="001319C5"/>
    <w:rsid w:val="0013402B"/>
    <w:rsid w:val="00135B05"/>
    <w:rsid w:val="00144103"/>
    <w:rsid w:val="00144F45"/>
    <w:rsid w:val="001500AC"/>
    <w:rsid w:val="00150DAD"/>
    <w:rsid w:val="001510F0"/>
    <w:rsid w:val="001554F2"/>
    <w:rsid w:val="001558A4"/>
    <w:rsid w:val="0015725D"/>
    <w:rsid w:val="001628CF"/>
    <w:rsid w:val="00170D00"/>
    <w:rsid w:val="00171713"/>
    <w:rsid w:val="001720EA"/>
    <w:rsid w:val="00172242"/>
    <w:rsid w:val="0017490F"/>
    <w:rsid w:val="0017553A"/>
    <w:rsid w:val="001834C3"/>
    <w:rsid w:val="00184D7D"/>
    <w:rsid w:val="001856B5"/>
    <w:rsid w:val="001921DA"/>
    <w:rsid w:val="00194334"/>
    <w:rsid w:val="00194BF9"/>
    <w:rsid w:val="00194F7E"/>
    <w:rsid w:val="00195417"/>
    <w:rsid w:val="00195AF1"/>
    <w:rsid w:val="001A0361"/>
    <w:rsid w:val="001A0CAB"/>
    <w:rsid w:val="001A2DA4"/>
    <w:rsid w:val="001A4286"/>
    <w:rsid w:val="001A5BB2"/>
    <w:rsid w:val="001B25D6"/>
    <w:rsid w:val="001B5A68"/>
    <w:rsid w:val="001B67AC"/>
    <w:rsid w:val="001C2F1D"/>
    <w:rsid w:val="001C3E4F"/>
    <w:rsid w:val="001C7F98"/>
    <w:rsid w:val="001D1ABC"/>
    <w:rsid w:val="001D1EAD"/>
    <w:rsid w:val="001D7411"/>
    <w:rsid w:val="001D7F7C"/>
    <w:rsid w:val="001E0C08"/>
    <w:rsid w:val="001E1BFF"/>
    <w:rsid w:val="001E2545"/>
    <w:rsid w:val="001F01C6"/>
    <w:rsid w:val="0020059D"/>
    <w:rsid w:val="0020355B"/>
    <w:rsid w:val="00205DC0"/>
    <w:rsid w:val="00207AF5"/>
    <w:rsid w:val="00210180"/>
    <w:rsid w:val="00211105"/>
    <w:rsid w:val="0021476B"/>
    <w:rsid w:val="00220091"/>
    <w:rsid w:val="002257AD"/>
    <w:rsid w:val="00226933"/>
    <w:rsid w:val="00226E5B"/>
    <w:rsid w:val="00230241"/>
    <w:rsid w:val="002302B3"/>
    <w:rsid w:val="00241895"/>
    <w:rsid w:val="00242EF1"/>
    <w:rsid w:val="002434A2"/>
    <w:rsid w:val="00247C0E"/>
    <w:rsid w:val="002547A7"/>
    <w:rsid w:val="00257AE3"/>
    <w:rsid w:val="00260E01"/>
    <w:rsid w:val="0026101A"/>
    <w:rsid w:val="0026219A"/>
    <w:rsid w:val="002623D8"/>
    <w:rsid w:val="00264ECF"/>
    <w:rsid w:val="002669DE"/>
    <w:rsid w:val="00270FC4"/>
    <w:rsid w:val="002722C4"/>
    <w:rsid w:val="002727AE"/>
    <w:rsid w:val="00273987"/>
    <w:rsid w:val="00273C43"/>
    <w:rsid w:val="00273F51"/>
    <w:rsid w:val="00274943"/>
    <w:rsid w:val="00274A9E"/>
    <w:rsid w:val="002801E7"/>
    <w:rsid w:val="00285402"/>
    <w:rsid w:val="0028576F"/>
    <w:rsid w:val="002A0D36"/>
    <w:rsid w:val="002A1B4C"/>
    <w:rsid w:val="002A2A6F"/>
    <w:rsid w:val="002B1501"/>
    <w:rsid w:val="002B2B83"/>
    <w:rsid w:val="002B3F3F"/>
    <w:rsid w:val="002B4549"/>
    <w:rsid w:val="002B53B6"/>
    <w:rsid w:val="002B5C61"/>
    <w:rsid w:val="002B62A2"/>
    <w:rsid w:val="002C050B"/>
    <w:rsid w:val="002C3E27"/>
    <w:rsid w:val="002C3FBE"/>
    <w:rsid w:val="002C4827"/>
    <w:rsid w:val="002C533C"/>
    <w:rsid w:val="002C65D8"/>
    <w:rsid w:val="002C6E53"/>
    <w:rsid w:val="002C7893"/>
    <w:rsid w:val="002D2008"/>
    <w:rsid w:val="002D2AB7"/>
    <w:rsid w:val="002D53A2"/>
    <w:rsid w:val="002E12D0"/>
    <w:rsid w:val="002E1665"/>
    <w:rsid w:val="002E4F7B"/>
    <w:rsid w:val="002E5B2C"/>
    <w:rsid w:val="002E5E31"/>
    <w:rsid w:val="002E6AD3"/>
    <w:rsid w:val="002E70C6"/>
    <w:rsid w:val="002E78E4"/>
    <w:rsid w:val="002E7D11"/>
    <w:rsid w:val="002F6D25"/>
    <w:rsid w:val="0030001B"/>
    <w:rsid w:val="00311E6D"/>
    <w:rsid w:val="00317B6D"/>
    <w:rsid w:val="00320332"/>
    <w:rsid w:val="00321B31"/>
    <w:rsid w:val="00325145"/>
    <w:rsid w:val="003251BF"/>
    <w:rsid w:val="003271FE"/>
    <w:rsid w:val="00330C60"/>
    <w:rsid w:val="00332436"/>
    <w:rsid w:val="003324BD"/>
    <w:rsid w:val="0033273E"/>
    <w:rsid w:val="003329B5"/>
    <w:rsid w:val="0033506B"/>
    <w:rsid w:val="00336EBC"/>
    <w:rsid w:val="003400C6"/>
    <w:rsid w:val="00341491"/>
    <w:rsid w:val="003446BB"/>
    <w:rsid w:val="003468EC"/>
    <w:rsid w:val="00346B2F"/>
    <w:rsid w:val="0034705C"/>
    <w:rsid w:val="00347623"/>
    <w:rsid w:val="00351675"/>
    <w:rsid w:val="003524C4"/>
    <w:rsid w:val="00356ACF"/>
    <w:rsid w:val="003605AD"/>
    <w:rsid w:val="00362588"/>
    <w:rsid w:val="003628AF"/>
    <w:rsid w:val="003652F9"/>
    <w:rsid w:val="003670F5"/>
    <w:rsid w:val="00370598"/>
    <w:rsid w:val="003710E7"/>
    <w:rsid w:val="0037297C"/>
    <w:rsid w:val="00381D65"/>
    <w:rsid w:val="003837CC"/>
    <w:rsid w:val="00390985"/>
    <w:rsid w:val="003924B4"/>
    <w:rsid w:val="0039325A"/>
    <w:rsid w:val="00393B92"/>
    <w:rsid w:val="0039427A"/>
    <w:rsid w:val="00395E1F"/>
    <w:rsid w:val="0039607D"/>
    <w:rsid w:val="00397A5C"/>
    <w:rsid w:val="003A45DE"/>
    <w:rsid w:val="003A5110"/>
    <w:rsid w:val="003B4019"/>
    <w:rsid w:val="003B4C5F"/>
    <w:rsid w:val="003D1350"/>
    <w:rsid w:val="003D257C"/>
    <w:rsid w:val="003D6633"/>
    <w:rsid w:val="003D7EDC"/>
    <w:rsid w:val="003E2FB8"/>
    <w:rsid w:val="003E54BB"/>
    <w:rsid w:val="003E6470"/>
    <w:rsid w:val="003E7363"/>
    <w:rsid w:val="003F39B0"/>
    <w:rsid w:val="003F3F57"/>
    <w:rsid w:val="003F4FE7"/>
    <w:rsid w:val="003F685E"/>
    <w:rsid w:val="004012C1"/>
    <w:rsid w:val="00401744"/>
    <w:rsid w:val="00403616"/>
    <w:rsid w:val="004043B7"/>
    <w:rsid w:val="00406EB8"/>
    <w:rsid w:val="004070B8"/>
    <w:rsid w:val="00407B2B"/>
    <w:rsid w:val="00410C1A"/>
    <w:rsid w:val="00411D9F"/>
    <w:rsid w:val="004167B7"/>
    <w:rsid w:val="00427527"/>
    <w:rsid w:val="00427AA0"/>
    <w:rsid w:val="00431B0B"/>
    <w:rsid w:val="00433390"/>
    <w:rsid w:val="00434F6F"/>
    <w:rsid w:val="004350CF"/>
    <w:rsid w:val="00442B73"/>
    <w:rsid w:val="0044392B"/>
    <w:rsid w:val="004449D6"/>
    <w:rsid w:val="00445B1B"/>
    <w:rsid w:val="00447EFB"/>
    <w:rsid w:val="00451FDA"/>
    <w:rsid w:val="004520B9"/>
    <w:rsid w:val="00457765"/>
    <w:rsid w:val="004725E2"/>
    <w:rsid w:val="00472EA2"/>
    <w:rsid w:val="004738A8"/>
    <w:rsid w:val="00474757"/>
    <w:rsid w:val="00475B64"/>
    <w:rsid w:val="0047606E"/>
    <w:rsid w:val="00476B40"/>
    <w:rsid w:val="00476E52"/>
    <w:rsid w:val="00483835"/>
    <w:rsid w:val="00490D83"/>
    <w:rsid w:val="004947E9"/>
    <w:rsid w:val="004A3D13"/>
    <w:rsid w:val="004A3DD7"/>
    <w:rsid w:val="004A6668"/>
    <w:rsid w:val="004B247E"/>
    <w:rsid w:val="004B3341"/>
    <w:rsid w:val="004B376B"/>
    <w:rsid w:val="004B5395"/>
    <w:rsid w:val="004B5E68"/>
    <w:rsid w:val="004B6FD7"/>
    <w:rsid w:val="004B775F"/>
    <w:rsid w:val="004C4F0C"/>
    <w:rsid w:val="004C50BF"/>
    <w:rsid w:val="004C64C4"/>
    <w:rsid w:val="004C7BC5"/>
    <w:rsid w:val="004D7583"/>
    <w:rsid w:val="004E1040"/>
    <w:rsid w:val="004E13FD"/>
    <w:rsid w:val="004E189D"/>
    <w:rsid w:val="004E79C6"/>
    <w:rsid w:val="004F1974"/>
    <w:rsid w:val="004F2C81"/>
    <w:rsid w:val="004F3A8A"/>
    <w:rsid w:val="004F3D7D"/>
    <w:rsid w:val="004F40BD"/>
    <w:rsid w:val="004F6CCA"/>
    <w:rsid w:val="005023ED"/>
    <w:rsid w:val="005026FF"/>
    <w:rsid w:val="00503932"/>
    <w:rsid w:val="00504C16"/>
    <w:rsid w:val="00507B38"/>
    <w:rsid w:val="0051250A"/>
    <w:rsid w:val="005225DB"/>
    <w:rsid w:val="00524883"/>
    <w:rsid w:val="00524CB3"/>
    <w:rsid w:val="0052576B"/>
    <w:rsid w:val="00527190"/>
    <w:rsid w:val="00530205"/>
    <w:rsid w:val="00530499"/>
    <w:rsid w:val="00531AB2"/>
    <w:rsid w:val="00532FD7"/>
    <w:rsid w:val="0053374F"/>
    <w:rsid w:val="0053393F"/>
    <w:rsid w:val="00533FDD"/>
    <w:rsid w:val="005366E3"/>
    <w:rsid w:val="005404E0"/>
    <w:rsid w:val="00541B93"/>
    <w:rsid w:val="0054429C"/>
    <w:rsid w:val="00545759"/>
    <w:rsid w:val="0055182C"/>
    <w:rsid w:val="005538E4"/>
    <w:rsid w:val="00553E08"/>
    <w:rsid w:val="005551C3"/>
    <w:rsid w:val="00555930"/>
    <w:rsid w:val="00557961"/>
    <w:rsid w:val="00561B73"/>
    <w:rsid w:val="00571693"/>
    <w:rsid w:val="005728FA"/>
    <w:rsid w:val="00572D26"/>
    <w:rsid w:val="00573D73"/>
    <w:rsid w:val="00577862"/>
    <w:rsid w:val="005802AC"/>
    <w:rsid w:val="0058244B"/>
    <w:rsid w:val="00582797"/>
    <w:rsid w:val="0058458D"/>
    <w:rsid w:val="0058580F"/>
    <w:rsid w:val="00586843"/>
    <w:rsid w:val="00590123"/>
    <w:rsid w:val="005904B3"/>
    <w:rsid w:val="0059419E"/>
    <w:rsid w:val="00594A5E"/>
    <w:rsid w:val="00595F99"/>
    <w:rsid w:val="00596CDA"/>
    <w:rsid w:val="005A1752"/>
    <w:rsid w:val="005A32CB"/>
    <w:rsid w:val="005A42CB"/>
    <w:rsid w:val="005A6BBF"/>
    <w:rsid w:val="005B1767"/>
    <w:rsid w:val="005B2388"/>
    <w:rsid w:val="005B2CF0"/>
    <w:rsid w:val="005B5038"/>
    <w:rsid w:val="005B54DC"/>
    <w:rsid w:val="005B64DA"/>
    <w:rsid w:val="005B6769"/>
    <w:rsid w:val="005C0520"/>
    <w:rsid w:val="005C2E9C"/>
    <w:rsid w:val="005C36CF"/>
    <w:rsid w:val="005C761F"/>
    <w:rsid w:val="005D0BDE"/>
    <w:rsid w:val="005D55C1"/>
    <w:rsid w:val="005D5B91"/>
    <w:rsid w:val="005D7243"/>
    <w:rsid w:val="005D7299"/>
    <w:rsid w:val="005D7721"/>
    <w:rsid w:val="005D79A4"/>
    <w:rsid w:val="005E3B1A"/>
    <w:rsid w:val="005E3B42"/>
    <w:rsid w:val="005E5259"/>
    <w:rsid w:val="005E5CF6"/>
    <w:rsid w:val="005E6401"/>
    <w:rsid w:val="005F1DAB"/>
    <w:rsid w:val="005F37AD"/>
    <w:rsid w:val="005F4678"/>
    <w:rsid w:val="00602FF0"/>
    <w:rsid w:val="00604C0E"/>
    <w:rsid w:val="00606C13"/>
    <w:rsid w:val="00610823"/>
    <w:rsid w:val="00611265"/>
    <w:rsid w:val="006125BE"/>
    <w:rsid w:val="00614CEF"/>
    <w:rsid w:val="00615A7D"/>
    <w:rsid w:val="00620533"/>
    <w:rsid w:val="006217D9"/>
    <w:rsid w:val="00624AA9"/>
    <w:rsid w:val="00626E72"/>
    <w:rsid w:val="0063237A"/>
    <w:rsid w:val="00632896"/>
    <w:rsid w:val="00632997"/>
    <w:rsid w:val="00634ADE"/>
    <w:rsid w:val="006372C9"/>
    <w:rsid w:val="006402B5"/>
    <w:rsid w:val="00641395"/>
    <w:rsid w:val="00642DB8"/>
    <w:rsid w:val="0064350E"/>
    <w:rsid w:val="00645B26"/>
    <w:rsid w:val="00646C14"/>
    <w:rsid w:val="0064706E"/>
    <w:rsid w:val="00650106"/>
    <w:rsid w:val="006504DC"/>
    <w:rsid w:val="006506BE"/>
    <w:rsid w:val="00651A7A"/>
    <w:rsid w:val="00652883"/>
    <w:rsid w:val="00653407"/>
    <w:rsid w:val="00662088"/>
    <w:rsid w:val="006644C2"/>
    <w:rsid w:val="00664A1B"/>
    <w:rsid w:val="0066629E"/>
    <w:rsid w:val="006718AB"/>
    <w:rsid w:val="00675851"/>
    <w:rsid w:val="00675E02"/>
    <w:rsid w:val="00681805"/>
    <w:rsid w:val="006829E4"/>
    <w:rsid w:val="00687B56"/>
    <w:rsid w:val="00691B70"/>
    <w:rsid w:val="00691ED8"/>
    <w:rsid w:val="0069610B"/>
    <w:rsid w:val="0069686F"/>
    <w:rsid w:val="006A4371"/>
    <w:rsid w:val="006A5EED"/>
    <w:rsid w:val="006A600D"/>
    <w:rsid w:val="006B0BA2"/>
    <w:rsid w:val="006B27E0"/>
    <w:rsid w:val="006B28F6"/>
    <w:rsid w:val="006B50F3"/>
    <w:rsid w:val="006B64DC"/>
    <w:rsid w:val="006C0437"/>
    <w:rsid w:val="006C1857"/>
    <w:rsid w:val="006C38BF"/>
    <w:rsid w:val="006C671B"/>
    <w:rsid w:val="006C6851"/>
    <w:rsid w:val="006C70AF"/>
    <w:rsid w:val="006C75C9"/>
    <w:rsid w:val="006C7DF0"/>
    <w:rsid w:val="006D0677"/>
    <w:rsid w:val="006D3D4C"/>
    <w:rsid w:val="006D452A"/>
    <w:rsid w:val="006D785F"/>
    <w:rsid w:val="006D7C37"/>
    <w:rsid w:val="006E2112"/>
    <w:rsid w:val="006E337E"/>
    <w:rsid w:val="006E3A34"/>
    <w:rsid w:val="006F0449"/>
    <w:rsid w:val="006F12DF"/>
    <w:rsid w:val="006F2A72"/>
    <w:rsid w:val="006F2AB6"/>
    <w:rsid w:val="006F3D57"/>
    <w:rsid w:val="006F4DF2"/>
    <w:rsid w:val="006F61AD"/>
    <w:rsid w:val="006F691E"/>
    <w:rsid w:val="007021E7"/>
    <w:rsid w:val="00704E70"/>
    <w:rsid w:val="007065E2"/>
    <w:rsid w:val="00712A3B"/>
    <w:rsid w:val="00713C99"/>
    <w:rsid w:val="007157D0"/>
    <w:rsid w:val="00717DB1"/>
    <w:rsid w:val="0072051B"/>
    <w:rsid w:val="00720E91"/>
    <w:rsid w:val="00722D41"/>
    <w:rsid w:val="007312E5"/>
    <w:rsid w:val="00731765"/>
    <w:rsid w:val="00731FB3"/>
    <w:rsid w:val="0073742B"/>
    <w:rsid w:val="007412B0"/>
    <w:rsid w:val="007430A0"/>
    <w:rsid w:val="00746FA8"/>
    <w:rsid w:val="0075171B"/>
    <w:rsid w:val="00752F5A"/>
    <w:rsid w:val="00753D13"/>
    <w:rsid w:val="00757E16"/>
    <w:rsid w:val="007601C8"/>
    <w:rsid w:val="00760322"/>
    <w:rsid w:val="00761A51"/>
    <w:rsid w:val="007637E6"/>
    <w:rsid w:val="00763DEA"/>
    <w:rsid w:val="00765C1D"/>
    <w:rsid w:val="0076669E"/>
    <w:rsid w:val="00766D90"/>
    <w:rsid w:val="00771826"/>
    <w:rsid w:val="00771CF6"/>
    <w:rsid w:val="00773859"/>
    <w:rsid w:val="00774529"/>
    <w:rsid w:val="00775F46"/>
    <w:rsid w:val="007831DD"/>
    <w:rsid w:val="00785186"/>
    <w:rsid w:val="00785322"/>
    <w:rsid w:val="00785FD7"/>
    <w:rsid w:val="007935DB"/>
    <w:rsid w:val="00796B58"/>
    <w:rsid w:val="007A7589"/>
    <w:rsid w:val="007B0AA7"/>
    <w:rsid w:val="007B152C"/>
    <w:rsid w:val="007B1E88"/>
    <w:rsid w:val="007B48B9"/>
    <w:rsid w:val="007B4BBF"/>
    <w:rsid w:val="007B52AF"/>
    <w:rsid w:val="007B78BD"/>
    <w:rsid w:val="007B793E"/>
    <w:rsid w:val="007C53F7"/>
    <w:rsid w:val="007C7330"/>
    <w:rsid w:val="007D3845"/>
    <w:rsid w:val="007D59B1"/>
    <w:rsid w:val="007D617C"/>
    <w:rsid w:val="007D776F"/>
    <w:rsid w:val="007D7FB2"/>
    <w:rsid w:val="007E5E99"/>
    <w:rsid w:val="007E6966"/>
    <w:rsid w:val="007F056B"/>
    <w:rsid w:val="007F0E24"/>
    <w:rsid w:val="007F154D"/>
    <w:rsid w:val="007F1B66"/>
    <w:rsid w:val="007F1CE7"/>
    <w:rsid w:val="00800E0E"/>
    <w:rsid w:val="0080294F"/>
    <w:rsid w:val="00803732"/>
    <w:rsid w:val="00807A4D"/>
    <w:rsid w:val="00810E9E"/>
    <w:rsid w:val="008142EB"/>
    <w:rsid w:val="00817095"/>
    <w:rsid w:val="008174EE"/>
    <w:rsid w:val="00820C49"/>
    <w:rsid w:val="00822516"/>
    <w:rsid w:val="00826F46"/>
    <w:rsid w:val="00827CDF"/>
    <w:rsid w:val="00832BC5"/>
    <w:rsid w:val="00833C05"/>
    <w:rsid w:val="00836C8F"/>
    <w:rsid w:val="00845D3E"/>
    <w:rsid w:val="0084633B"/>
    <w:rsid w:val="0084635C"/>
    <w:rsid w:val="00853986"/>
    <w:rsid w:val="00855F9F"/>
    <w:rsid w:val="00861C34"/>
    <w:rsid w:val="00870F94"/>
    <w:rsid w:val="00872FF9"/>
    <w:rsid w:val="0087607E"/>
    <w:rsid w:val="00876247"/>
    <w:rsid w:val="00877FF8"/>
    <w:rsid w:val="00881E46"/>
    <w:rsid w:val="00884604"/>
    <w:rsid w:val="00885868"/>
    <w:rsid w:val="00891873"/>
    <w:rsid w:val="008934B6"/>
    <w:rsid w:val="00894853"/>
    <w:rsid w:val="008972D0"/>
    <w:rsid w:val="008A1104"/>
    <w:rsid w:val="008A3034"/>
    <w:rsid w:val="008A7F55"/>
    <w:rsid w:val="008B234E"/>
    <w:rsid w:val="008B438B"/>
    <w:rsid w:val="008B4625"/>
    <w:rsid w:val="008B6825"/>
    <w:rsid w:val="008C44D0"/>
    <w:rsid w:val="008D1210"/>
    <w:rsid w:val="008D355D"/>
    <w:rsid w:val="008D3F77"/>
    <w:rsid w:val="008D5A5B"/>
    <w:rsid w:val="008D67AE"/>
    <w:rsid w:val="008D73EB"/>
    <w:rsid w:val="008E0191"/>
    <w:rsid w:val="008E413E"/>
    <w:rsid w:val="008E6148"/>
    <w:rsid w:val="008F1D10"/>
    <w:rsid w:val="008F3B2A"/>
    <w:rsid w:val="008F6763"/>
    <w:rsid w:val="00901F72"/>
    <w:rsid w:val="009023E9"/>
    <w:rsid w:val="00902A57"/>
    <w:rsid w:val="0090349E"/>
    <w:rsid w:val="009039B7"/>
    <w:rsid w:val="0090495B"/>
    <w:rsid w:val="00904D46"/>
    <w:rsid w:val="00904D97"/>
    <w:rsid w:val="00905091"/>
    <w:rsid w:val="00906C7F"/>
    <w:rsid w:val="009116E4"/>
    <w:rsid w:val="00911FD7"/>
    <w:rsid w:val="009130CF"/>
    <w:rsid w:val="009226D5"/>
    <w:rsid w:val="0093203F"/>
    <w:rsid w:val="0093317A"/>
    <w:rsid w:val="0094088A"/>
    <w:rsid w:val="0094321B"/>
    <w:rsid w:val="009474E8"/>
    <w:rsid w:val="00951A4E"/>
    <w:rsid w:val="009526EB"/>
    <w:rsid w:val="009539C2"/>
    <w:rsid w:val="00954F6D"/>
    <w:rsid w:val="00956D2F"/>
    <w:rsid w:val="009579FD"/>
    <w:rsid w:val="00961840"/>
    <w:rsid w:val="009619CB"/>
    <w:rsid w:val="00966181"/>
    <w:rsid w:val="00967587"/>
    <w:rsid w:val="00967B30"/>
    <w:rsid w:val="00967E78"/>
    <w:rsid w:val="00971105"/>
    <w:rsid w:val="00975E6C"/>
    <w:rsid w:val="00982072"/>
    <w:rsid w:val="0098226A"/>
    <w:rsid w:val="00983F5C"/>
    <w:rsid w:val="00983F66"/>
    <w:rsid w:val="00986F9A"/>
    <w:rsid w:val="009921A6"/>
    <w:rsid w:val="00993B6D"/>
    <w:rsid w:val="0099502F"/>
    <w:rsid w:val="009A0318"/>
    <w:rsid w:val="009A0E88"/>
    <w:rsid w:val="009A5618"/>
    <w:rsid w:val="009A68BE"/>
    <w:rsid w:val="009A73F3"/>
    <w:rsid w:val="009B59CB"/>
    <w:rsid w:val="009B7782"/>
    <w:rsid w:val="009D47FC"/>
    <w:rsid w:val="009D687A"/>
    <w:rsid w:val="009E0AB5"/>
    <w:rsid w:val="009E4BB6"/>
    <w:rsid w:val="009E660E"/>
    <w:rsid w:val="009F240D"/>
    <w:rsid w:val="009F2BC9"/>
    <w:rsid w:val="009F5687"/>
    <w:rsid w:val="00A008E9"/>
    <w:rsid w:val="00A0399C"/>
    <w:rsid w:val="00A10E07"/>
    <w:rsid w:val="00A12D6E"/>
    <w:rsid w:val="00A14002"/>
    <w:rsid w:val="00A214C3"/>
    <w:rsid w:val="00A22AF5"/>
    <w:rsid w:val="00A232CF"/>
    <w:rsid w:val="00A23F18"/>
    <w:rsid w:val="00A2401D"/>
    <w:rsid w:val="00A24415"/>
    <w:rsid w:val="00A26336"/>
    <w:rsid w:val="00A27428"/>
    <w:rsid w:val="00A328E8"/>
    <w:rsid w:val="00A32CC3"/>
    <w:rsid w:val="00A3511C"/>
    <w:rsid w:val="00A36F7D"/>
    <w:rsid w:val="00A37A8E"/>
    <w:rsid w:val="00A37D65"/>
    <w:rsid w:val="00A40578"/>
    <w:rsid w:val="00A41218"/>
    <w:rsid w:val="00A43583"/>
    <w:rsid w:val="00A436CC"/>
    <w:rsid w:val="00A465E2"/>
    <w:rsid w:val="00A4671B"/>
    <w:rsid w:val="00A50ECA"/>
    <w:rsid w:val="00A510B6"/>
    <w:rsid w:val="00A519AF"/>
    <w:rsid w:val="00A54FA9"/>
    <w:rsid w:val="00A56A6A"/>
    <w:rsid w:val="00A575C3"/>
    <w:rsid w:val="00A62F4D"/>
    <w:rsid w:val="00A71C5A"/>
    <w:rsid w:val="00A758A4"/>
    <w:rsid w:val="00A81312"/>
    <w:rsid w:val="00A82B06"/>
    <w:rsid w:val="00A83C4B"/>
    <w:rsid w:val="00A93275"/>
    <w:rsid w:val="00A93C56"/>
    <w:rsid w:val="00A94F47"/>
    <w:rsid w:val="00A960E0"/>
    <w:rsid w:val="00AA2FAC"/>
    <w:rsid w:val="00AA3606"/>
    <w:rsid w:val="00AA65C6"/>
    <w:rsid w:val="00AA771F"/>
    <w:rsid w:val="00AB0D88"/>
    <w:rsid w:val="00AC3352"/>
    <w:rsid w:val="00AC45CB"/>
    <w:rsid w:val="00AC486C"/>
    <w:rsid w:val="00AC4CFC"/>
    <w:rsid w:val="00AD0E60"/>
    <w:rsid w:val="00AD2C0E"/>
    <w:rsid w:val="00AD49E9"/>
    <w:rsid w:val="00AD557D"/>
    <w:rsid w:val="00AD5A37"/>
    <w:rsid w:val="00AE12E0"/>
    <w:rsid w:val="00AE14BD"/>
    <w:rsid w:val="00AE18F8"/>
    <w:rsid w:val="00AE2C90"/>
    <w:rsid w:val="00AE356A"/>
    <w:rsid w:val="00AE5269"/>
    <w:rsid w:val="00AE6787"/>
    <w:rsid w:val="00AF03B9"/>
    <w:rsid w:val="00AF2FA2"/>
    <w:rsid w:val="00AF7991"/>
    <w:rsid w:val="00B02CAA"/>
    <w:rsid w:val="00B069F3"/>
    <w:rsid w:val="00B10AB5"/>
    <w:rsid w:val="00B14B96"/>
    <w:rsid w:val="00B21CB4"/>
    <w:rsid w:val="00B24532"/>
    <w:rsid w:val="00B257A5"/>
    <w:rsid w:val="00B26139"/>
    <w:rsid w:val="00B316E9"/>
    <w:rsid w:val="00B37A8E"/>
    <w:rsid w:val="00B43939"/>
    <w:rsid w:val="00B44B0A"/>
    <w:rsid w:val="00B472C9"/>
    <w:rsid w:val="00B5262C"/>
    <w:rsid w:val="00B54362"/>
    <w:rsid w:val="00B60638"/>
    <w:rsid w:val="00B61534"/>
    <w:rsid w:val="00B66229"/>
    <w:rsid w:val="00B72225"/>
    <w:rsid w:val="00B72407"/>
    <w:rsid w:val="00B74CF9"/>
    <w:rsid w:val="00B75FE9"/>
    <w:rsid w:val="00B7612B"/>
    <w:rsid w:val="00B761B2"/>
    <w:rsid w:val="00B76CAA"/>
    <w:rsid w:val="00B80855"/>
    <w:rsid w:val="00B82D6C"/>
    <w:rsid w:val="00B84A3A"/>
    <w:rsid w:val="00B85395"/>
    <w:rsid w:val="00B87DDD"/>
    <w:rsid w:val="00B9062C"/>
    <w:rsid w:val="00B92270"/>
    <w:rsid w:val="00B925E7"/>
    <w:rsid w:val="00BA0E5D"/>
    <w:rsid w:val="00BA5058"/>
    <w:rsid w:val="00BA5AE9"/>
    <w:rsid w:val="00BB0A3D"/>
    <w:rsid w:val="00BB121A"/>
    <w:rsid w:val="00BB30F6"/>
    <w:rsid w:val="00BB399A"/>
    <w:rsid w:val="00BB5AFD"/>
    <w:rsid w:val="00BB6F83"/>
    <w:rsid w:val="00BC33EF"/>
    <w:rsid w:val="00BC5D4D"/>
    <w:rsid w:val="00BC71D4"/>
    <w:rsid w:val="00BD03D1"/>
    <w:rsid w:val="00BE01CE"/>
    <w:rsid w:val="00BE526A"/>
    <w:rsid w:val="00BE5490"/>
    <w:rsid w:val="00BE6E89"/>
    <w:rsid w:val="00BE7105"/>
    <w:rsid w:val="00BE78BC"/>
    <w:rsid w:val="00BF0764"/>
    <w:rsid w:val="00BF24B8"/>
    <w:rsid w:val="00BF33A9"/>
    <w:rsid w:val="00BF4746"/>
    <w:rsid w:val="00C00E44"/>
    <w:rsid w:val="00C03460"/>
    <w:rsid w:val="00C03F9F"/>
    <w:rsid w:val="00C0556B"/>
    <w:rsid w:val="00C066F2"/>
    <w:rsid w:val="00C102A1"/>
    <w:rsid w:val="00C14DAB"/>
    <w:rsid w:val="00C15FDC"/>
    <w:rsid w:val="00C179B2"/>
    <w:rsid w:val="00C22897"/>
    <w:rsid w:val="00C25BD1"/>
    <w:rsid w:val="00C25F1D"/>
    <w:rsid w:val="00C276E1"/>
    <w:rsid w:val="00C316CA"/>
    <w:rsid w:val="00C33221"/>
    <w:rsid w:val="00C43995"/>
    <w:rsid w:val="00C4606F"/>
    <w:rsid w:val="00C6598F"/>
    <w:rsid w:val="00C77C8F"/>
    <w:rsid w:val="00C84BB9"/>
    <w:rsid w:val="00C854B5"/>
    <w:rsid w:val="00C85ACA"/>
    <w:rsid w:val="00C8615A"/>
    <w:rsid w:val="00C879DF"/>
    <w:rsid w:val="00C91AD5"/>
    <w:rsid w:val="00C91F35"/>
    <w:rsid w:val="00C92931"/>
    <w:rsid w:val="00CA0121"/>
    <w:rsid w:val="00CA028C"/>
    <w:rsid w:val="00CA0387"/>
    <w:rsid w:val="00CA6660"/>
    <w:rsid w:val="00CB2693"/>
    <w:rsid w:val="00CB4155"/>
    <w:rsid w:val="00CB4205"/>
    <w:rsid w:val="00CB46CD"/>
    <w:rsid w:val="00CB56A2"/>
    <w:rsid w:val="00CB6932"/>
    <w:rsid w:val="00CB7236"/>
    <w:rsid w:val="00CC202D"/>
    <w:rsid w:val="00CC567C"/>
    <w:rsid w:val="00CD7C84"/>
    <w:rsid w:val="00CE4540"/>
    <w:rsid w:val="00CE5D57"/>
    <w:rsid w:val="00CE7F49"/>
    <w:rsid w:val="00CF04F0"/>
    <w:rsid w:val="00CF1F83"/>
    <w:rsid w:val="00CF35F3"/>
    <w:rsid w:val="00CF4739"/>
    <w:rsid w:val="00CF745B"/>
    <w:rsid w:val="00D0012E"/>
    <w:rsid w:val="00D00429"/>
    <w:rsid w:val="00D041E1"/>
    <w:rsid w:val="00D04A30"/>
    <w:rsid w:val="00D058BC"/>
    <w:rsid w:val="00D11087"/>
    <w:rsid w:val="00D131A0"/>
    <w:rsid w:val="00D15E45"/>
    <w:rsid w:val="00D1651A"/>
    <w:rsid w:val="00D20CEB"/>
    <w:rsid w:val="00D21866"/>
    <w:rsid w:val="00D22464"/>
    <w:rsid w:val="00D24DA4"/>
    <w:rsid w:val="00D266AE"/>
    <w:rsid w:val="00D31FEE"/>
    <w:rsid w:val="00D32861"/>
    <w:rsid w:val="00D32A64"/>
    <w:rsid w:val="00D33929"/>
    <w:rsid w:val="00D351E8"/>
    <w:rsid w:val="00D35F4F"/>
    <w:rsid w:val="00D374DB"/>
    <w:rsid w:val="00D402D2"/>
    <w:rsid w:val="00D468A5"/>
    <w:rsid w:val="00D505D6"/>
    <w:rsid w:val="00D540A5"/>
    <w:rsid w:val="00D67790"/>
    <w:rsid w:val="00D70453"/>
    <w:rsid w:val="00D710FA"/>
    <w:rsid w:val="00D71A42"/>
    <w:rsid w:val="00D7287B"/>
    <w:rsid w:val="00D83549"/>
    <w:rsid w:val="00D83A78"/>
    <w:rsid w:val="00D86851"/>
    <w:rsid w:val="00DA46B1"/>
    <w:rsid w:val="00DB18DC"/>
    <w:rsid w:val="00DB3201"/>
    <w:rsid w:val="00DB798B"/>
    <w:rsid w:val="00DB79E1"/>
    <w:rsid w:val="00DC4137"/>
    <w:rsid w:val="00DC4880"/>
    <w:rsid w:val="00DD0DF2"/>
    <w:rsid w:val="00DD495D"/>
    <w:rsid w:val="00DD502D"/>
    <w:rsid w:val="00DD7E0F"/>
    <w:rsid w:val="00DE04F7"/>
    <w:rsid w:val="00DE2C3A"/>
    <w:rsid w:val="00DE2E72"/>
    <w:rsid w:val="00DE7FC3"/>
    <w:rsid w:val="00DF164D"/>
    <w:rsid w:val="00DF330D"/>
    <w:rsid w:val="00DF5C91"/>
    <w:rsid w:val="00DF684F"/>
    <w:rsid w:val="00DF6B80"/>
    <w:rsid w:val="00E00A86"/>
    <w:rsid w:val="00E00FAD"/>
    <w:rsid w:val="00E01D5F"/>
    <w:rsid w:val="00E023BA"/>
    <w:rsid w:val="00E02FC0"/>
    <w:rsid w:val="00E06A35"/>
    <w:rsid w:val="00E07AED"/>
    <w:rsid w:val="00E07CAD"/>
    <w:rsid w:val="00E1116E"/>
    <w:rsid w:val="00E14D3E"/>
    <w:rsid w:val="00E1570D"/>
    <w:rsid w:val="00E15A9D"/>
    <w:rsid w:val="00E1746B"/>
    <w:rsid w:val="00E215F3"/>
    <w:rsid w:val="00E21D14"/>
    <w:rsid w:val="00E228CB"/>
    <w:rsid w:val="00E23482"/>
    <w:rsid w:val="00E23608"/>
    <w:rsid w:val="00E26A21"/>
    <w:rsid w:val="00E27033"/>
    <w:rsid w:val="00E278D4"/>
    <w:rsid w:val="00E27AF0"/>
    <w:rsid w:val="00E30AC2"/>
    <w:rsid w:val="00E31738"/>
    <w:rsid w:val="00E41184"/>
    <w:rsid w:val="00E50E0C"/>
    <w:rsid w:val="00E512A2"/>
    <w:rsid w:val="00E51C45"/>
    <w:rsid w:val="00E5454C"/>
    <w:rsid w:val="00E549FB"/>
    <w:rsid w:val="00E54EA8"/>
    <w:rsid w:val="00E56595"/>
    <w:rsid w:val="00E6260F"/>
    <w:rsid w:val="00E63A9D"/>
    <w:rsid w:val="00E64D88"/>
    <w:rsid w:val="00E650C9"/>
    <w:rsid w:val="00E6690C"/>
    <w:rsid w:val="00E7783B"/>
    <w:rsid w:val="00E77BEE"/>
    <w:rsid w:val="00E801F2"/>
    <w:rsid w:val="00E82B15"/>
    <w:rsid w:val="00E83231"/>
    <w:rsid w:val="00E90640"/>
    <w:rsid w:val="00E907EB"/>
    <w:rsid w:val="00E909DE"/>
    <w:rsid w:val="00E916B9"/>
    <w:rsid w:val="00E91793"/>
    <w:rsid w:val="00E92CED"/>
    <w:rsid w:val="00E95428"/>
    <w:rsid w:val="00E9672C"/>
    <w:rsid w:val="00E96876"/>
    <w:rsid w:val="00EA20ED"/>
    <w:rsid w:val="00EA3152"/>
    <w:rsid w:val="00EA357A"/>
    <w:rsid w:val="00EA7AEB"/>
    <w:rsid w:val="00EA7CCF"/>
    <w:rsid w:val="00EB148C"/>
    <w:rsid w:val="00EB1C86"/>
    <w:rsid w:val="00EB2569"/>
    <w:rsid w:val="00EB4902"/>
    <w:rsid w:val="00EB54AC"/>
    <w:rsid w:val="00EC1D77"/>
    <w:rsid w:val="00EC4234"/>
    <w:rsid w:val="00EC5E84"/>
    <w:rsid w:val="00EC7954"/>
    <w:rsid w:val="00ED0586"/>
    <w:rsid w:val="00ED0D90"/>
    <w:rsid w:val="00ED3A51"/>
    <w:rsid w:val="00ED479F"/>
    <w:rsid w:val="00ED75DC"/>
    <w:rsid w:val="00ED7E93"/>
    <w:rsid w:val="00EE1DE1"/>
    <w:rsid w:val="00EE1EB5"/>
    <w:rsid w:val="00EE2F2B"/>
    <w:rsid w:val="00EE3458"/>
    <w:rsid w:val="00EE4A14"/>
    <w:rsid w:val="00EE7663"/>
    <w:rsid w:val="00EF0D52"/>
    <w:rsid w:val="00EF1B8E"/>
    <w:rsid w:val="00EF3DCC"/>
    <w:rsid w:val="00EF578C"/>
    <w:rsid w:val="00EF6D36"/>
    <w:rsid w:val="00EF7BF0"/>
    <w:rsid w:val="00F02346"/>
    <w:rsid w:val="00F024A5"/>
    <w:rsid w:val="00F03B02"/>
    <w:rsid w:val="00F05301"/>
    <w:rsid w:val="00F14E5F"/>
    <w:rsid w:val="00F152AC"/>
    <w:rsid w:val="00F24D5A"/>
    <w:rsid w:val="00F274D5"/>
    <w:rsid w:val="00F334D6"/>
    <w:rsid w:val="00F371F1"/>
    <w:rsid w:val="00F44EF7"/>
    <w:rsid w:val="00F557DF"/>
    <w:rsid w:val="00F60233"/>
    <w:rsid w:val="00F61D0D"/>
    <w:rsid w:val="00F626C8"/>
    <w:rsid w:val="00F64041"/>
    <w:rsid w:val="00F6670B"/>
    <w:rsid w:val="00F66E3E"/>
    <w:rsid w:val="00F70E87"/>
    <w:rsid w:val="00F720FF"/>
    <w:rsid w:val="00F72780"/>
    <w:rsid w:val="00F72F47"/>
    <w:rsid w:val="00F73C4D"/>
    <w:rsid w:val="00F74B3D"/>
    <w:rsid w:val="00F74EC4"/>
    <w:rsid w:val="00F75C4F"/>
    <w:rsid w:val="00F776D0"/>
    <w:rsid w:val="00F82ACA"/>
    <w:rsid w:val="00F930F5"/>
    <w:rsid w:val="00F94CAB"/>
    <w:rsid w:val="00F9515A"/>
    <w:rsid w:val="00FA2734"/>
    <w:rsid w:val="00FA6AA2"/>
    <w:rsid w:val="00FB0E1D"/>
    <w:rsid w:val="00FB326A"/>
    <w:rsid w:val="00FB3F9D"/>
    <w:rsid w:val="00FB4E0C"/>
    <w:rsid w:val="00FB650A"/>
    <w:rsid w:val="00FB74A4"/>
    <w:rsid w:val="00FC213F"/>
    <w:rsid w:val="00FC3106"/>
    <w:rsid w:val="00FC3F45"/>
    <w:rsid w:val="00FC6997"/>
    <w:rsid w:val="00FC6B86"/>
    <w:rsid w:val="00FD0356"/>
    <w:rsid w:val="00FD2E59"/>
    <w:rsid w:val="00FD35D0"/>
    <w:rsid w:val="00FD3D42"/>
    <w:rsid w:val="00FD423A"/>
    <w:rsid w:val="00FD44F9"/>
    <w:rsid w:val="00FD4940"/>
    <w:rsid w:val="00FD5246"/>
    <w:rsid w:val="00FE2331"/>
    <w:rsid w:val="00FE2A91"/>
    <w:rsid w:val="00FE66A9"/>
    <w:rsid w:val="00FF1B3D"/>
    <w:rsid w:val="00FF5C8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56B"/>
  </w:style>
  <w:style w:type="paragraph" w:styleId="Heading1">
    <w:name w:val="heading 1"/>
    <w:basedOn w:val="Normal"/>
    <w:next w:val="Normal"/>
    <w:link w:val="Heading1Char"/>
    <w:qFormat/>
    <w:rsid w:val="007F056B"/>
    <w:pPr>
      <w:ind w:right="-360"/>
      <w:jc w:val="center"/>
      <w:outlineLvl w:val="0"/>
    </w:pPr>
    <w:rPr>
      <w:b/>
      <w:sz w:val="28"/>
      <w:szCs w:val="28"/>
    </w:rPr>
  </w:style>
  <w:style w:type="paragraph" w:styleId="Heading2">
    <w:name w:val="heading 2"/>
    <w:basedOn w:val="Normal"/>
    <w:next w:val="Normal"/>
    <w:link w:val="Heading2Char"/>
    <w:unhideWhenUsed/>
    <w:qFormat/>
    <w:rsid w:val="007F056B"/>
    <w:pPr>
      <w:spacing w:before="100" w:beforeAutospacing="1"/>
      <w:ind w:right="-357"/>
      <w:outlineLvl w:val="1"/>
    </w:pPr>
    <w:rPr>
      <w:b/>
    </w:rPr>
  </w:style>
  <w:style w:type="paragraph" w:styleId="Heading3">
    <w:name w:val="heading 3"/>
    <w:basedOn w:val="Normal"/>
    <w:next w:val="Normal"/>
    <w:link w:val="Heading3Char"/>
    <w:unhideWhenUsed/>
    <w:qFormat/>
    <w:rsid w:val="00F74B3D"/>
    <w:pPr>
      <w:autoSpaceDE w:val="0"/>
      <w:autoSpaceDN w:val="0"/>
      <w:adjustRightInd w:val="0"/>
      <w:spacing w:before="100" w:beforeAutospacing="1"/>
      <w:ind w:right="-357"/>
      <w:outlineLvl w:val="2"/>
    </w:pPr>
    <w:rPr>
      <w:rFonts w:eastAsia="TimesNewRoman"/>
      <w:b/>
      <w:color w:val="000000"/>
    </w:rPr>
  </w:style>
  <w:style w:type="paragraph" w:styleId="Heading4">
    <w:name w:val="heading 4"/>
    <w:basedOn w:val="Normal"/>
    <w:next w:val="Normal"/>
    <w:link w:val="Heading4Char"/>
    <w:unhideWhenUsed/>
    <w:qFormat/>
    <w:rsid w:val="002801E7"/>
    <w:pPr>
      <w:autoSpaceDE w:val="0"/>
      <w:autoSpaceDN w:val="0"/>
      <w:adjustRightInd w:val="0"/>
      <w:ind w:right="-357"/>
      <w:outlineLvl w:val="3"/>
    </w:pPr>
    <w:rPr>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54BB"/>
    <w:pPr>
      <w:tabs>
        <w:tab w:val="center" w:pos="4153"/>
        <w:tab w:val="right" w:pos="8306"/>
      </w:tabs>
    </w:pPr>
  </w:style>
  <w:style w:type="character" w:styleId="PageNumber">
    <w:name w:val="page number"/>
    <w:basedOn w:val="DefaultParagraphFont"/>
    <w:rsid w:val="003E54BB"/>
  </w:style>
  <w:style w:type="paragraph" w:styleId="BalloonText">
    <w:name w:val="Balloon Text"/>
    <w:basedOn w:val="Normal"/>
    <w:semiHidden/>
    <w:rsid w:val="00642DB8"/>
    <w:rPr>
      <w:rFonts w:ascii="Tahoma" w:hAnsi="Tahoma" w:cs="Tahoma"/>
      <w:sz w:val="16"/>
      <w:szCs w:val="16"/>
    </w:rPr>
  </w:style>
  <w:style w:type="table" w:styleId="TableGrid">
    <w:name w:val="Table Grid"/>
    <w:basedOn w:val="TableNormal"/>
    <w:uiPriority w:val="59"/>
    <w:rsid w:val="00642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B2693"/>
    <w:rPr>
      <w:sz w:val="16"/>
      <w:szCs w:val="16"/>
    </w:rPr>
  </w:style>
  <w:style w:type="paragraph" w:styleId="CommentText">
    <w:name w:val="annotation text"/>
    <w:basedOn w:val="Normal"/>
    <w:link w:val="CommentTextChar"/>
    <w:semiHidden/>
    <w:rsid w:val="00CB2693"/>
    <w:rPr>
      <w:sz w:val="20"/>
      <w:szCs w:val="20"/>
    </w:rPr>
  </w:style>
  <w:style w:type="paragraph" w:styleId="CommentSubject">
    <w:name w:val="annotation subject"/>
    <w:basedOn w:val="CommentText"/>
    <w:next w:val="CommentText"/>
    <w:semiHidden/>
    <w:rsid w:val="00CB2693"/>
    <w:rPr>
      <w:b/>
      <w:bCs/>
    </w:rPr>
  </w:style>
  <w:style w:type="paragraph" w:styleId="Header">
    <w:name w:val="header"/>
    <w:basedOn w:val="Normal"/>
    <w:rsid w:val="00347623"/>
    <w:pPr>
      <w:tabs>
        <w:tab w:val="center" w:pos="4153"/>
        <w:tab w:val="right" w:pos="8306"/>
      </w:tabs>
    </w:pPr>
  </w:style>
  <w:style w:type="paragraph" w:styleId="Revision">
    <w:name w:val="Revision"/>
    <w:hidden/>
    <w:uiPriority w:val="99"/>
    <w:semiHidden/>
    <w:rsid w:val="00C00E44"/>
    <w:rPr>
      <w:lang w:eastAsia="en-AU"/>
    </w:rPr>
  </w:style>
  <w:style w:type="paragraph" w:styleId="ListParagraph">
    <w:name w:val="List Paragraph"/>
    <w:basedOn w:val="Normal"/>
    <w:uiPriority w:val="34"/>
    <w:qFormat/>
    <w:rsid w:val="00D70453"/>
    <w:pPr>
      <w:ind w:left="720"/>
      <w:contextualSpacing/>
    </w:pPr>
  </w:style>
  <w:style w:type="character" w:customStyle="1" w:styleId="CommentTextChar">
    <w:name w:val="Comment Text Char"/>
    <w:basedOn w:val="DefaultParagraphFont"/>
    <w:link w:val="CommentText"/>
    <w:semiHidden/>
    <w:rsid w:val="00BA5AE9"/>
    <w:rPr>
      <w:sz w:val="20"/>
      <w:szCs w:val="20"/>
    </w:rPr>
  </w:style>
  <w:style w:type="character" w:customStyle="1" w:styleId="Heading1Char">
    <w:name w:val="Heading 1 Char"/>
    <w:basedOn w:val="DefaultParagraphFont"/>
    <w:link w:val="Heading1"/>
    <w:rsid w:val="007F056B"/>
    <w:rPr>
      <w:b/>
      <w:sz w:val="28"/>
      <w:szCs w:val="28"/>
    </w:rPr>
  </w:style>
  <w:style w:type="character" w:customStyle="1" w:styleId="Heading2Char">
    <w:name w:val="Heading 2 Char"/>
    <w:basedOn w:val="DefaultParagraphFont"/>
    <w:link w:val="Heading2"/>
    <w:rsid w:val="007F056B"/>
    <w:rPr>
      <w:b/>
    </w:rPr>
  </w:style>
  <w:style w:type="character" w:customStyle="1" w:styleId="Heading3Char">
    <w:name w:val="Heading 3 Char"/>
    <w:basedOn w:val="DefaultParagraphFont"/>
    <w:link w:val="Heading3"/>
    <w:rsid w:val="00F74B3D"/>
    <w:rPr>
      <w:rFonts w:eastAsia="TimesNewRoman"/>
      <w:b/>
      <w:color w:val="000000"/>
    </w:rPr>
  </w:style>
  <w:style w:type="character" w:customStyle="1" w:styleId="Heading4Char">
    <w:name w:val="Heading 4 Char"/>
    <w:basedOn w:val="DefaultParagraphFont"/>
    <w:link w:val="Heading4"/>
    <w:rsid w:val="002801E7"/>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5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54BB"/>
    <w:pPr>
      <w:tabs>
        <w:tab w:val="center" w:pos="4153"/>
        <w:tab w:val="right" w:pos="8306"/>
      </w:tabs>
    </w:pPr>
  </w:style>
  <w:style w:type="character" w:styleId="PageNumber">
    <w:name w:val="page number"/>
    <w:basedOn w:val="DefaultParagraphFont"/>
    <w:rsid w:val="003E54BB"/>
  </w:style>
  <w:style w:type="paragraph" w:styleId="BalloonText">
    <w:name w:val="Balloon Text"/>
    <w:basedOn w:val="Normal"/>
    <w:semiHidden/>
    <w:rsid w:val="00642DB8"/>
    <w:rPr>
      <w:rFonts w:ascii="Tahoma" w:hAnsi="Tahoma" w:cs="Tahoma"/>
      <w:sz w:val="16"/>
      <w:szCs w:val="16"/>
    </w:rPr>
  </w:style>
  <w:style w:type="table" w:styleId="TableGrid">
    <w:name w:val="Table Grid"/>
    <w:basedOn w:val="TableNormal"/>
    <w:uiPriority w:val="59"/>
    <w:rsid w:val="00642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B2693"/>
    <w:rPr>
      <w:sz w:val="16"/>
      <w:szCs w:val="16"/>
    </w:rPr>
  </w:style>
  <w:style w:type="paragraph" w:styleId="CommentText">
    <w:name w:val="annotation text"/>
    <w:basedOn w:val="Normal"/>
    <w:link w:val="CommentTextChar"/>
    <w:semiHidden/>
    <w:rsid w:val="00CB2693"/>
    <w:rPr>
      <w:sz w:val="20"/>
      <w:szCs w:val="20"/>
    </w:rPr>
  </w:style>
  <w:style w:type="paragraph" w:styleId="CommentSubject">
    <w:name w:val="annotation subject"/>
    <w:basedOn w:val="CommentText"/>
    <w:next w:val="CommentText"/>
    <w:semiHidden/>
    <w:rsid w:val="00CB2693"/>
    <w:rPr>
      <w:b/>
      <w:bCs/>
    </w:rPr>
  </w:style>
  <w:style w:type="paragraph" w:styleId="Header">
    <w:name w:val="header"/>
    <w:basedOn w:val="Normal"/>
    <w:rsid w:val="00347623"/>
    <w:pPr>
      <w:tabs>
        <w:tab w:val="center" w:pos="4153"/>
        <w:tab w:val="right" w:pos="8306"/>
      </w:tabs>
    </w:pPr>
  </w:style>
  <w:style w:type="paragraph" w:styleId="Revision">
    <w:name w:val="Revision"/>
    <w:hidden/>
    <w:uiPriority w:val="99"/>
    <w:semiHidden/>
    <w:rsid w:val="00C00E44"/>
    <w:rPr>
      <w:lang w:eastAsia="en-AU"/>
    </w:rPr>
  </w:style>
  <w:style w:type="paragraph" w:styleId="ListParagraph">
    <w:name w:val="List Paragraph"/>
    <w:basedOn w:val="Normal"/>
    <w:uiPriority w:val="34"/>
    <w:qFormat/>
    <w:rsid w:val="00D70453"/>
    <w:pPr>
      <w:ind w:left="720"/>
      <w:contextualSpacing/>
    </w:pPr>
  </w:style>
  <w:style w:type="character" w:customStyle="1" w:styleId="CommentTextChar">
    <w:name w:val="Comment Text Char"/>
    <w:basedOn w:val="DefaultParagraphFont"/>
    <w:link w:val="CommentText"/>
    <w:semiHidden/>
    <w:rsid w:val="00BA5AE9"/>
    <w:rPr>
      <w:sz w:val="20"/>
      <w:szCs w:val="20"/>
    </w:rPr>
  </w:style>
</w:styles>
</file>

<file path=word/webSettings.xml><?xml version="1.0" encoding="utf-8"?>
<w:webSettings xmlns:r="http://schemas.openxmlformats.org/officeDocument/2006/relationships" xmlns:w="http://schemas.openxmlformats.org/wordprocessingml/2006/main">
  <w:divs>
    <w:div w:id="345983289">
      <w:bodyDiv w:val="1"/>
      <w:marLeft w:val="0"/>
      <w:marRight w:val="0"/>
      <w:marTop w:val="0"/>
      <w:marBottom w:val="0"/>
      <w:divBdr>
        <w:top w:val="none" w:sz="0" w:space="0" w:color="auto"/>
        <w:left w:val="none" w:sz="0" w:space="0" w:color="auto"/>
        <w:bottom w:val="none" w:sz="0" w:space="0" w:color="auto"/>
        <w:right w:val="none" w:sz="0" w:space="0" w:color="auto"/>
      </w:divBdr>
    </w:div>
    <w:div w:id="6054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22</Pages>
  <Words>8958</Words>
  <Characters>51067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1</vt:lpstr>
    </vt:vector>
  </TitlesOfParts>
  <Company>Mundipharma Pty Ltd</Company>
  <LinksUpToDate>false</LinksUpToDate>
  <CharactersWithSpaces>59906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Flutiform</dc:title>
  <dc:subject>prescription medicines regulation</dc:subject>
  <dc:creator>Mundipharma Pty Ltd</dc:creator>
  <cp:keywords>pi, product information, flutiform, fluticasone propionate, eformoterol fumarate dihydrate</cp:keywords>
  <cp:lastModifiedBy>Sheppard, Fran</cp:lastModifiedBy>
  <cp:revision>16</cp:revision>
  <cp:lastPrinted>2012-09-04T00:36:00Z</cp:lastPrinted>
  <dcterms:created xsi:type="dcterms:W3CDTF">2013-05-01T04:00:00Z</dcterms:created>
  <dcterms:modified xsi:type="dcterms:W3CDTF">2013-09-11T12:30:00Z</dcterms:modified>
</cp:coreProperties>
</file>