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7F90F" w14:textId="77777777" w:rsidR="00A13C6F" w:rsidRPr="00FD4410" w:rsidRDefault="00796142" w:rsidP="00F25F18">
      <w:pPr>
        <w:pBdr>
          <w:top w:val="single" w:sz="4" w:space="1" w:color="auto"/>
        </w:pBdr>
        <w:rPr>
          <w:rFonts w:ascii="Arial" w:hAnsi="Arial"/>
          <w:b/>
          <w:sz w:val="32"/>
        </w:rPr>
      </w:pPr>
      <w:r>
        <w:rPr>
          <w:rFonts w:ascii="Arial" w:hAnsi="Arial" w:cs="Arial"/>
          <w:b/>
          <w:bCs/>
          <w:sz w:val="32"/>
          <w:szCs w:val="32"/>
        </w:rPr>
        <w:t>DYLASTINE</w:t>
      </w:r>
      <w:r w:rsidR="00A13C6F" w:rsidRPr="00147F5E">
        <w:rPr>
          <w:rFonts w:ascii="Arial" w:hAnsi="Arial"/>
          <w:b/>
          <w:sz w:val="32"/>
          <w:vertAlign w:val="superscript"/>
        </w:rPr>
        <w:t>®</w:t>
      </w:r>
      <w:r w:rsidR="00FD4410" w:rsidRPr="00147F5E">
        <w:rPr>
          <w:rFonts w:ascii="Arial" w:hAnsi="Arial" w:cs="Arial"/>
          <w:b/>
          <w:sz w:val="32"/>
          <w:szCs w:val="32"/>
        </w:rPr>
        <w:t> 125/50</w:t>
      </w:r>
      <w:r w:rsidR="00FD4410">
        <w:rPr>
          <w:rFonts w:ascii="Arial" w:hAnsi="Arial" w:cs="Arial"/>
          <w:sz w:val="32"/>
          <w:szCs w:val="32"/>
        </w:rPr>
        <w:t xml:space="preserve"> </w:t>
      </w:r>
    </w:p>
    <w:p w14:paraId="35BAA657" w14:textId="77777777" w:rsidR="00A13C6F" w:rsidRPr="009A671C" w:rsidRDefault="00A13C6F" w:rsidP="00F25F18">
      <w:pPr>
        <w:rPr>
          <w:rFonts w:ascii="Arial" w:hAnsi="Arial" w:cs="Arial"/>
          <w:b/>
          <w:bCs/>
          <w:sz w:val="32"/>
          <w:szCs w:val="32"/>
        </w:rPr>
      </w:pPr>
      <w:r>
        <w:rPr>
          <w:rFonts w:ascii="Arial" w:hAnsi="Arial" w:cs="Arial"/>
          <w:b/>
          <w:bCs/>
          <w:sz w:val="32"/>
          <w:szCs w:val="32"/>
        </w:rPr>
        <w:t>Nasal Spray</w:t>
      </w:r>
    </w:p>
    <w:p w14:paraId="548C350A" w14:textId="77777777" w:rsidR="00A13C6F" w:rsidRPr="009A671C" w:rsidRDefault="00A13C6F" w:rsidP="00F25F18">
      <w:pPr>
        <w:pBdr>
          <w:bottom w:val="single" w:sz="4" w:space="1" w:color="auto"/>
        </w:pBdr>
        <w:rPr>
          <w:rFonts w:ascii="Arial" w:hAnsi="Arial" w:cs="Arial"/>
          <w:b/>
          <w:bCs/>
          <w:sz w:val="32"/>
          <w:szCs w:val="32"/>
        </w:rPr>
      </w:pPr>
      <w:r w:rsidRPr="009A671C">
        <w:rPr>
          <w:rFonts w:ascii="Arial" w:hAnsi="Arial" w:cs="Arial"/>
          <w:b/>
          <w:bCs/>
          <w:sz w:val="32"/>
          <w:szCs w:val="32"/>
        </w:rPr>
        <w:t>PRODUCT INFORMATION</w:t>
      </w:r>
    </w:p>
    <w:p w14:paraId="21DBADE1" w14:textId="77777777" w:rsidR="00A13C6F" w:rsidRPr="00F25F18" w:rsidRDefault="00A13C6F" w:rsidP="00591482">
      <w:pPr>
        <w:spacing w:after="0"/>
        <w:rPr>
          <w:rFonts w:ascii="Arial" w:hAnsi="Arial" w:cs="Arial"/>
          <w:b/>
          <w:bCs/>
          <w:sz w:val="24"/>
          <w:szCs w:val="24"/>
        </w:rPr>
      </w:pPr>
      <w:r w:rsidRPr="00F25F18">
        <w:rPr>
          <w:rFonts w:ascii="Arial" w:hAnsi="Arial" w:cs="Arial"/>
          <w:b/>
          <w:bCs/>
          <w:sz w:val="24"/>
          <w:szCs w:val="24"/>
        </w:rPr>
        <w:t>NAME OF THE MEDICINE</w:t>
      </w:r>
    </w:p>
    <w:p w14:paraId="03AA6423" w14:textId="77777777" w:rsidR="00A13C6F" w:rsidRDefault="00A13C6F" w:rsidP="00591482">
      <w:pPr>
        <w:spacing w:after="0"/>
        <w:rPr>
          <w:rFonts w:ascii="Arial" w:hAnsi="Arial" w:cs="Arial"/>
        </w:rPr>
      </w:pPr>
    </w:p>
    <w:p w14:paraId="3AD04C8F" w14:textId="77777777" w:rsidR="00A13C6F" w:rsidRDefault="00A13C6F" w:rsidP="003539EB">
      <w:pPr>
        <w:spacing w:after="0"/>
        <w:rPr>
          <w:rFonts w:ascii="Arial" w:hAnsi="Arial" w:cs="Arial"/>
        </w:rPr>
      </w:pPr>
      <w:proofErr w:type="spellStart"/>
      <w:r w:rsidRPr="009A671C">
        <w:rPr>
          <w:rFonts w:ascii="Arial" w:hAnsi="Arial" w:cs="Arial"/>
        </w:rPr>
        <w:t>Azelastine</w:t>
      </w:r>
      <w:proofErr w:type="spellEnd"/>
      <w:r w:rsidRPr="009A671C">
        <w:rPr>
          <w:rFonts w:ascii="Arial" w:hAnsi="Arial" w:cs="Arial"/>
        </w:rPr>
        <w:t xml:space="preserve"> hydrochloride and fluticasone p</w:t>
      </w:r>
      <w:r>
        <w:rPr>
          <w:rFonts w:ascii="Arial" w:hAnsi="Arial" w:cs="Arial"/>
        </w:rPr>
        <w:t>ropionate</w:t>
      </w:r>
    </w:p>
    <w:p w14:paraId="6415EC7A" w14:textId="77777777" w:rsidR="00A13C6F" w:rsidRDefault="00A13C6F" w:rsidP="003539EB">
      <w:pPr>
        <w:spacing w:after="0"/>
        <w:rPr>
          <w:rFonts w:ascii="Arial" w:hAnsi="Arial" w:cs="Arial"/>
          <w:color w:val="000000"/>
        </w:rPr>
      </w:pPr>
    </w:p>
    <w:p w14:paraId="381DFF0E" w14:textId="77777777" w:rsidR="00A13C6F" w:rsidRDefault="00A13C6F" w:rsidP="003539EB">
      <w:pPr>
        <w:spacing w:after="0"/>
        <w:rPr>
          <w:rFonts w:ascii="Arial" w:hAnsi="Arial" w:cs="Arial"/>
          <w:color w:val="000000"/>
        </w:rPr>
      </w:pPr>
      <w:r w:rsidRPr="00F25F18">
        <w:rPr>
          <w:rFonts w:ascii="Arial" w:hAnsi="Arial" w:cs="Arial"/>
          <w:color w:val="000000"/>
        </w:rPr>
        <w:t xml:space="preserve">The chemical name for </w:t>
      </w:r>
      <w:proofErr w:type="spellStart"/>
      <w:r w:rsidRPr="00F25F18">
        <w:rPr>
          <w:rFonts w:ascii="Arial" w:hAnsi="Arial" w:cs="Arial"/>
          <w:color w:val="000000"/>
        </w:rPr>
        <w:t>azelastine</w:t>
      </w:r>
      <w:proofErr w:type="spellEnd"/>
      <w:r w:rsidRPr="00F25F18">
        <w:rPr>
          <w:rFonts w:ascii="Arial" w:hAnsi="Arial" w:cs="Arial"/>
          <w:color w:val="000000"/>
        </w:rPr>
        <w:t xml:space="preserve"> hydrochloride is (</w:t>
      </w:r>
      <w:r w:rsidRPr="00F25F18">
        <w:rPr>
          <w:rFonts w:ascii="Arial" w:hAnsi="Arial" w:cs="Arial"/>
          <w:i/>
          <w:iCs/>
          <w:color w:val="000000"/>
        </w:rPr>
        <w:t>R</w:t>
      </w:r>
      <w:proofErr w:type="gramStart"/>
      <w:r w:rsidRPr="00F25F18">
        <w:rPr>
          <w:rFonts w:ascii="Arial" w:hAnsi="Arial" w:cs="Arial"/>
          <w:i/>
          <w:iCs/>
          <w:color w:val="000000"/>
        </w:rPr>
        <w:t>,S</w:t>
      </w:r>
      <w:proofErr w:type="gramEnd"/>
      <w:r w:rsidRPr="00F25F18">
        <w:rPr>
          <w:rFonts w:ascii="Arial" w:hAnsi="Arial" w:cs="Arial"/>
          <w:color w:val="000000"/>
        </w:rPr>
        <w:t>)-4[(4-Chlorophenyl)methyl]-2-(hexahydro-1-methyl-1</w:t>
      </w:r>
      <w:r w:rsidRPr="00F25F18">
        <w:rPr>
          <w:rFonts w:ascii="Arial" w:hAnsi="Arial" w:cs="Arial"/>
          <w:i/>
          <w:iCs/>
          <w:color w:val="000000"/>
        </w:rPr>
        <w:t>H</w:t>
      </w:r>
      <w:r w:rsidRPr="00F25F18">
        <w:rPr>
          <w:rFonts w:ascii="Arial" w:hAnsi="Arial" w:cs="Arial"/>
          <w:color w:val="000000"/>
        </w:rPr>
        <w:t>-azepin-4-yl)-phthalazin-1(2</w:t>
      </w:r>
      <w:r w:rsidRPr="00F25F18">
        <w:rPr>
          <w:rFonts w:ascii="Arial" w:hAnsi="Arial" w:cs="Arial"/>
          <w:i/>
          <w:iCs/>
          <w:color w:val="000000"/>
        </w:rPr>
        <w:t>H</w:t>
      </w:r>
      <w:r w:rsidRPr="00F25F18">
        <w:rPr>
          <w:rFonts w:ascii="Arial" w:hAnsi="Arial" w:cs="Arial"/>
          <w:color w:val="000000"/>
        </w:rPr>
        <w:t>)-one hydrochloride</w:t>
      </w:r>
      <w:r>
        <w:rPr>
          <w:rFonts w:ascii="Arial" w:hAnsi="Arial" w:cs="Arial"/>
          <w:color w:val="000000"/>
        </w:rPr>
        <w:t xml:space="preserve">. </w:t>
      </w:r>
      <w:proofErr w:type="spellStart"/>
      <w:r>
        <w:rPr>
          <w:rFonts w:ascii="Arial" w:hAnsi="Arial" w:cs="Arial"/>
          <w:color w:val="000000"/>
        </w:rPr>
        <w:t>Azelastine</w:t>
      </w:r>
      <w:proofErr w:type="spellEnd"/>
      <w:r>
        <w:rPr>
          <w:rFonts w:ascii="Arial" w:hAnsi="Arial" w:cs="Arial"/>
          <w:color w:val="000000"/>
        </w:rPr>
        <w:t xml:space="preserve"> hydrochloride has the following chemical structure:</w:t>
      </w:r>
    </w:p>
    <w:p w14:paraId="71CE83CA" w14:textId="77777777" w:rsidR="00A13C6F" w:rsidRDefault="00A13C6F" w:rsidP="00591482">
      <w:pPr>
        <w:spacing w:after="0"/>
        <w:rPr>
          <w:rFonts w:ascii="Arial" w:hAnsi="Arial" w:cs="Arial"/>
          <w:color w:val="000000"/>
        </w:rPr>
      </w:pPr>
    </w:p>
    <w:p w14:paraId="1AA2D612" w14:textId="77777777" w:rsidR="00A13C6F" w:rsidRDefault="00794B35" w:rsidP="00591482">
      <w:pPr>
        <w:pStyle w:val="Default"/>
        <w:spacing w:line="276" w:lineRule="auto"/>
        <w:jc w:val="both"/>
        <w:rPr>
          <w:sz w:val="22"/>
          <w:szCs w:val="22"/>
        </w:rPr>
      </w:pPr>
      <w:r>
        <w:rPr>
          <w:noProof/>
          <w:lang w:eastAsia="en-AU"/>
        </w:rPr>
        <w:drawing>
          <wp:inline distT="0" distB="0" distL="0" distR="0" wp14:anchorId="12B0CF1F" wp14:editId="3A652D35">
            <wp:extent cx="2419350" cy="1371600"/>
            <wp:effectExtent l="0" t="0" r="0" b="0"/>
            <wp:docPr id="1" name="Picture 5" descr="Chemical structure of azelast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1633-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371600"/>
                    </a:xfrm>
                    <a:prstGeom prst="rect">
                      <a:avLst/>
                    </a:prstGeom>
                    <a:noFill/>
                    <a:ln>
                      <a:noFill/>
                    </a:ln>
                  </pic:spPr>
                </pic:pic>
              </a:graphicData>
            </a:graphic>
          </wp:inline>
        </w:drawing>
      </w:r>
    </w:p>
    <w:p w14:paraId="73FB236A" w14:textId="77777777" w:rsidR="00A13C6F" w:rsidRPr="00F25F18" w:rsidRDefault="00A13C6F" w:rsidP="00591482">
      <w:pPr>
        <w:pStyle w:val="Default"/>
        <w:spacing w:line="276" w:lineRule="auto"/>
        <w:jc w:val="both"/>
        <w:rPr>
          <w:sz w:val="22"/>
          <w:szCs w:val="22"/>
        </w:rPr>
      </w:pPr>
      <w:proofErr w:type="gramStart"/>
      <w:r w:rsidRPr="00F25F18">
        <w:rPr>
          <w:sz w:val="22"/>
          <w:szCs w:val="22"/>
        </w:rPr>
        <w:t>C</w:t>
      </w:r>
      <w:r w:rsidRPr="00F25F18">
        <w:rPr>
          <w:position w:val="-8"/>
          <w:sz w:val="22"/>
          <w:szCs w:val="22"/>
          <w:vertAlign w:val="subscript"/>
        </w:rPr>
        <w:t>22</w:t>
      </w:r>
      <w:r w:rsidRPr="00F25F18">
        <w:rPr>
          <w:sz w:val="22"/>
          <w:szCs w:val="22"/>
        </w:rPr>
        <w:t>H</w:t>
      </w:r>
      <w:r w:rsidRPr="00F25F18">
        <w:rPr>
          <w:position w:val="-8"/>
          <w:sz w:val="22"/>
          <w:szCs w:val="22"/>
          <w:vertAlign w:val="subscript"/>
        </w:rPr>
        <w:t>24</w:t>
      </w:r>
      <w:proofErr w:type="spellStart"/>
      <w:r w:rsidRPr="00F25F18">
        <w:rPr>
          <w:sz w:val="22"/>
          <w:szCs w:val="22"/>
        </w:rPr>
        <w:t>ClN</w:t>
      </w:r>
      <w:proofErr w:type="spellEnd"/>
      <w:r w:rsidRPr="00F25F18">
        <w:rPr>
          <w:position w:val="-8"/>
          <w:sz w:val="22"/>
          <w:szCs w:val="22"/>
          <w:vertAlign w:val="subscript"/>
        </w:rPr>
        <w:t>3</w:t>
      </w:r>
      <w:r w:rsidRPr="00F25F18">
        <w:rPr>
          <w:sz w:val="22"/>
          <w:szCs w:val="22"/>
        </w:rPr>
        <w:t xml:space="preserve">O </w:t>
      </w:r>
      <w:r w:rsidRPr="00F25F18">
        <w:rPr>
          <w:position w:val="8"/>
          <w:sz w:val="22"/>
          <w:szCs w:val="22"/>
          <w:vertAlign w:val="superscript"/>
        </w:rPr>
        <w:t>.</w:t>
      </w:r>
      <w:proofErr w:type="gramEnd"/>
      <w:r w:rsidRPr="00F25F18">
        <w:rPr>
          <w:position w:val="8"/>
          <w:sz w:val="22"/>
          <w:szCs w:val="22"/>
          <w:vertAlign w:val="superscript"/>
        </w:rPr>
        <w:t xml:space="preserve"> </w:t>
      </w:r>
      <w:proofErr w:type="spellStart"/>
      <w:r w:rsidRPr="00F25F18">
        <w:rPr>
          <w:sz w:val="22"/>
          <w:szCs w:val="22"/>
        </w:rPr>
        <w:t>HCl</w:t>
      </w:r>
      <w:proofErr w:type="spellEnd"/>
      <w:r w:rsidRPr="00F25F18">
        <w:rPr>
          <w:sz w:val="22"/>
          <w:szCs w:val="22"/>
        </w:rPr>
        <w:t xml:space="preserve"> </w:t>
      </w:r>
      <w:r w:rsidRPr="00F25F18">
        <w:rPr>
          <w:sz w:val="22"/>
          <w:szCs w:val="22"/>
        </w:rPr>
        <w:tab/>
      </w:r>
      <w:r w:rsidRPr="00F25F18">
        <w:rPr>
          <w:sz w:val="22"/>
          <w:szCs w:val="22"/>
        </w:rPr>
        <w:tab/>
        <w:t xml:space="preserve">Molecular weight: 418.37 g </w:t>
      </w:r>
      <w:proofErr w:type="spellStart"/>
      <w:r w:rsidRPr="00F25F18">
        <w:rPr>
          <w:sz w:val="22"/>
          <w:szCs w:val="22"/>
        </w:rPr>
        <w:t>mol</w:t>
      </w:r>
      <w:proofErr w:type="spellEnd"/>
      <w:r w:rsidRPr="00F25F18">
        <w:rPr>
          <w:position w:val="8"/>
          <w:sz w:val="22"/>
          <w:szCs w:val="22"/>
          <w:vertAlign w:val="superscript"/>
        </w:rPr>
        <w:t xml:space="preserve">-1 </w:t>
      </w:r>
    </w:p>
    <w:p w14:paraId="048A802A" w14:textId="77777777" w:rsidR="00A13C6F" w:rsidRPr="00F25F18" w:rsidRDefault="00A13C6F" w:rsidP="00591482">
      <w:pPr>
        <w:pStyle w:val="Default"/>
        <w:spacing w:line="276" w:lineRule="auto"/>
        <w:jc w:val="both"/>
        <w:rPr>
          <w:sz w:val="22"/>
          <w:szCs w:val="22"/>
        </w:rPr>
      </w:pPr>
      <w:r w:rsidRPr="00F25F18">
        <w:rPr>
          <w:sz w:val="22"/>
          <w:szCs w:val="22"/>
        </w:rPr>
        <w:tab/>
      </w:r>
      <w:r w:rsidRPr="00F25F18">
        <w:rPr>
          <w:sz w:val="22"/>
          <w:szCs w:val="22"/>
        </w:rPr>
        <w:tab/>
      </w:r>
    </w:p>
    <w:p w14:paraId="5063790A" w14:textId="77777777" w:rsidR="00A13C6F" w:rsidRPr="00F25F18" w:rsidRDefault="00A13C6F" w:rsidP="00591482">
      <w:pPr>
        <w:pStyle w:val="Default"/>
        <w:spacing w:line="276" w:lineRule="auto"/>
        <w:jc w:val="both"/>
        <w:rPr>
          <w:sz w:val="22"/>
          <w:szCs w:val="22"/>
        </w:rPr>
      </w:pPr>
      <w:r w:rsidRPr="00F25F18">
        <w:rPr>
          <w:sz w:val="22"/>
          <w:szCs w:val="22"/>
        </w:rPr>
        <w:t xml:space="preserve">CAS Registry No: 79307-93-0 </w:t>
      </w:r>
    </w:p>
    <w:p w14:paraId="13274DCD" w14:textId="77777777" w:rsidR="00A13C6F" w:rsidRDefault="00A13C6F" w:rsidP="00591482">
      <w:pPr>
        <w:spacing w:after="0"/>
        <w:jc w:val="both"/>
        <w:rPr>
          <w:rFonts w:ascii="Arial" w:hAnsi="Arial" w:cs="Arial"/>
        </w:rPr>
      </w:pPr>
    </w:p>
    <w:p w14:paraId="65E06ACA" w14:textId="77777777" w:rsidR="00A13C6F" w:rsidRPr="00F25F18" w:rsidRDefault="00A13C6F" w:rsidP="00591482">
      <w:pPr>
        <w:spacing w:after="0"/>
        <w:rPr>
          <w:rFonts w:ascii="Arial" w:hAnsi="Arial" w:cs="Arial"/>
        </w:rPr>
      </w:pPr>
      <w:r w:rsidRPr="00F25F18">
        <w:rPr>
          <w:rFonts w:ascii="Arial" w:hAnsi="Arial" w:cs="Arial"/>
        </w:rPr>
        <w:t>The chemical name for fluticasone propionate is 6α</w:t>
      </w:r>
      <w:proofErr w:type="gramStart"/>
      <w:r w:rsidRPr="00F25F18">
        <w:rPr>
          <w:rFonts w:ascii="Arial" w:hAnsi="Arial" w:cs="Arial"/>
        </w:rPr>
        <w:t>,9</w:t>
      </w:r>
      <w:proofErr w:type="gramEnd"/>
      <w:r w:rsidRPr="00F25F18">
        <w:rPr>
          <w:rFonts w:ascii="Arial" w:hAnsi="Arial" w:cs="Arial"/>
        </w:rPr>
        <w:t>-Difluoro-17-[[(</w:t>
      </w:r>
      <w:proofErr w:type="spellStart"/>
      <w:r w:rsidRPr="00F25F18">
        <w:rPr>
          <w:rFonts w:ascii="Arial" w:hAnsi="Arial" w:cs="Arial"/>
        </w:rPr>
        <w:t>fluoromethyl</w:t>
      </w:r>
      <w:proofErr w:type="spellEnd"/>
      <w:r w:rsidRPr="00F25F18">
        <w:rPr>
          <w:rFonts w:ascii="Arial" w:hAnsi="Arial" w:cs="Arial"/>
        </w:rPr>
        <w:t>) sulphanyl]carbonyl]-11β-hydroxy-16α-methyl-3-oxoandrosta-1,4-dien-17α-yl propanoate. Fluticasone propionate has the following chemical structure:</w:t>
      </w:r>
    </w:p>
    <w:p w14:paraId="6D6DC5DC" w14:textId="77777777" w:rsidR="00A13C6F" w:rsidRDefault="00A13C6F" w:rsidP="00591482">
      <w:pPr>
        <w:spacing w:after="0"/>
        <w:jc w:val="both"/>
        <w:rPr>
          <w:rFonts w:ascii="Arial" w:hAnsi="Arial" w:cs="Arial"/>
        </w:rPr>
      </w:pPr>
    </w:p>
    <w:p w14:paraId="274C7A24" w14:textId="77777777" w:rsidR="00A13C6F" w:rsidRDefault="00794B35" w:rsidP="00591482">
      <w:pPr>
        <w:pStyle w:val="Default"/>
        <w:spacing w:line="276" w:lineRule="auto"/>
        <w:jc w:val="both"/>
      </w:pPr>
      <w:r>
        <w:rPr>
          <w:noProof/>
          <w:lang w:eastAsia="en-AU"/>
        </w:rPr>
        <w:drawing>
          <wp:inline distT="0" distB="0" distL="0" distR="0" wp14:anchorId="2AACFD84" wp14:editId="49866A59">
            <wp:extent cx="2562225" cy="1466850"/>
            <wp:effectExtent l="0" t="0" r="9525" b="0"/>
            <wp:docPr id="2" name="Picture 9" descr="cf1750-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1750-b.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466850"/>
                    </a:xfrm>
                    <a:prstGeom prst="rect">
                      <a:avLst/>
                    </a:prstGeom>
                    <a:noFill/>
                    <a:ln>
                      <a:noFill/>
                    </a:ln>
                  </pic:spPr>
                </pic:pic>
              </a:graphicData>
            </a:graphic>
          </wp:inline>
        </w:drawing>
      </w:r>
    </w:p>
    <w:p w14:paraId="3BF67C3D" w14:textId="77777777" w:rsidR="00A13C6F" w:rsidRPr="00F25F18" w:rsidRDefault="00A13C6F" w:rsidP="00591482">
      <w:pPr>
        <w:pStyle w:val="Default"/>
        <w:spacing w:line="276" w:lineRule="auto"/>
        <w:jc w:val="both"/>
        <w:rPr>
          <w:sz w:val="22"/>
          <w:szCs w:val="22"/>
        </w:rPr>
      </w:pPr>
      <w:r w:rsidRPr="00F25F18">
        <w:rPr>
          <w:sz w:val="22"/>
          <w:szCs w:val="22"/>
        </w:rPr>
        <w:t>C</w:t>
      </w:r>
      <w:r w:rsidRPr="00F25F18">
        <w:rPr>
          <w:position w:val="-8"/>
          <w:sz w:val="22"/>
          <w:szCs w:val="22"/>
          <w:vertAlign w:val="subscript"/>
        </w:rPr>
        <w:t>25</w:t>
      </w:r>
      <w:r w:rsidRPr="00F25F18">
        <w:rPr>
          <w:sz w:val="22"/>
          <w:szCs w:val="22"/>
        </w:rPr>
        <w:t>H</w:t>
      </w:r>
      <w:r w:rsidRPr="00F25F18">
        <w:rPr>
          <w:position w:val="-8"/>
          <w:sz w:val="22"/>
          <w:szCs w:val="22"/>
          <w:vertAlign w:val="subscript"/>
        </w:rPr>
        <w:t>31</w:t>
      </w:r>
      <w:r w:rsidRPr="00F25F18">
        <w:rPr>
          <w:sz w:val="22"/>
          <w:szCs w:val="22"/>
        </w:rPr>
        <w:t>F</w:t>
      </w:r>
      <w:r w:rsidRPr="00F25F18">
        <w:rPr>
          <w:position w:val="-8"/>
          <w:sz w:val="22"/>
          <w:szCs w:val="22"/>
          <w:vertAlign w:val="subscript"/>
        </w:rPr>
        <w:t>3</w:t>
      </w:r>
      <w:r w:rsidRPr="00F25F18">
        <w:rPr>
          <w:sz w:val="22"/>
          <w:szCs w:val="22"/>
        </w:rPr>
        <w:t>O</w:t>
      </w:r>
      <w:r w:rsidRPr="00F25F18">
        <w:rPr>
          <w:position w:val="-8"/>
          <w:sz w:val="22"/>
          <w:szCs w:val="22"/>
          <w:vertAlign w:val="subscript"/>
        </w:rPr>
        <w:t>5</w:t>
      </w:r>
      <w:r w:rsidRPr="00F25F18">
        <w:rPr>
          <w:sz w:val="22"/>
          <w:szCs w:val="22"/>
        </w:rPr>
        <w:t xml:space="preserve">S </w:t>
      </w:r>
      <w:r w:rsidRPr="00F25F18">
        <w:rPr>
          <w:sz w:val="22"/>
          <w:szCs w:val="22"/>
        </w:rPr>
        <w:tab/>
      </w:r>
      <w:r w:rsidRPr="00F25F18">
        <w:rPr>
          <w:sz w:val="22"/>
          <w:szCs w:val="22"/>
        </w:rPr>
        <w:tab/>
      </w:r>
      <w:r w:rsidRPr="00F25F18">
        <w:rPr>
          <w:sz w:val="22"/>
          <w:szCs w:val="22"/>
        </w:rPr>
        <w:tab/>
        <w:t xml:space="preserve">Molecular weight: 500.6 g </w:t>
      </w:r>
      <w:proofErr w:type="spellStart"/>
      <w:r w:rsidRPr="00F25F18">
        <w:rPr>
          <w:sz w:val="22"/>
          <w:szCs w:val="22"/>
        </w:rPr>
        <w:t>mol</w:t>
      </w:r>
      <w:proofErr w:type="spellEnd"/>
      <w:r w:rsidRPr="00F25F18">
        <w:rPr>
          <w:position w:val="8"/>
          <w:sz w:val="22"/>
          <w:szCs w:val="22"/>
          <w:vertAlign w:val="superscript"/>
        </w:rPr>
        <w:t xml:space="preserve">-1 </w:t>
      </w:r>
    </w:p>
    <w:p w14:paraId="7A08FCBC" w14:textId="77777777" w:rsidR="00A13C6F" w:rsidRPr="00F25F18" w:rsidRDefault="00A13C6F" w:rsidP="00591482">
      <w:pPr>
        <w:pStyle w:val="Default"/>
        <w:spacing w:line="276" w:lineRule="auto"/>
        <w:jc w:val="both"/>
        <w:rPr>
          <w:sz w:val="22"/>
          <w:szCs w:val="22"/>
        </w:rPr>
      </w:pPr>
      <w:r w:rsidRPr="00F25F18">
        <w:rPr>
          <w:sz w:val="22"/>
          <w:szCs w:val="22"/>
        </w:rPr>
        <w:tab/>
      </w:r>
    </w:p>
    <w:p w14:paraId="45D4AA90" w14:textId="77777777" w:rsidR="00A13C6F" w:rsidRPr="00F25F18" w:rsidRDefault="00A13C6F" w:rsidP="00591482">
      <w:pPr>
        <w:pStyle w:val="Default"/>
        <w:spacing w:line="276" w:lineRule="auto"/>
        <w:jc w:val="both"/>
        <w:rPr>
          <w:sz w:val="22"/>
          <w:szCs w:val="22"/>
        </w:rPr>
      </w:pPr>
      <w:r w:rsidRPr="00F25F18">
        <w:rPr>
          <w:sz w:val="22"/>
          <w:szCs w:val="22"/>
        </w:rPr>
        <w:t xml:space="preserve">CAS Registry No: 80474-14-2 </w:t>
      </w:r>
    </w:p>
    <w:p w14:paraId="0AA0304E" w14:textId="77777777" w:rsidR="00A13C6F" w:rsidRDefault="00A13C6F" w:rsidP="00591482">
      <w:pPr>
        <w:spacing w:after="0"/>
        <w:jc w:val="both"/>
        <w:rPr>
          <w:rFonts w:ascii="Arial" w:hAnsi="Arial" w:cs="Arial"/>
        </w:rPr>
      </w:pPr>
    </w:p>
    <w:p w14:paraId="26721E01" w14:textId="77777777" w:rsidR="000972B9" w:rsidRDefault="000972B9">
      <w:pPr>
        <w:spacing w:after="0" w:line="240" w:lineRule="auto"/>
        <w:rPr>
          <w:rFonts w:ascii="Arial" w:hAnsi="Arial" w:cs="Arial"/>
          <w:b/>
          <w:bCs/>
          <w:sz w:val="24"/>
          <w:szCs w:val="24"/>
        </w:rPr>
      </w:pPr>
      <w:r>
        <w:rPr>
          <w:rFonts w:ascii="Arial" w:hAnsi="Arial" w:cs="Arial"/>
          <w:b/>
          <w:bCs/>
          <w:sz w:val="24"/>
          <w:szCs w:val="24"/>
        </w:rPr>
        <w:br w:type="page"/>
      </w:r>
    </w:p>
    <w:p w14:paraId="3E69D995" w14:textId="56842451" w:rsidR="00A13C6F" w:rsidRDefault="00A13C6F" w:rsidP="00591482">
      <w:pPr>
        <w:spacing w:after="0"/>
        <w:jc w:val="both"/>
        <w:rPr>
          <w:rFonts w:ascii="Arial" w:hAnsi="Arial" w:cs="Arial"/>
          <w:b/>
          <w:bCs/>
          <w:sz w:val="24"/>
          <w:szCs w:val="24"/>
        </w:rPr>
      </w:pPr>
      <w:r w:rsidRPr="00F25F18">
        <w:rPr>
          <w:rFonts w:ascii="Arial" w:hAnsi="Arial" w:cs="Arial"/>
          <w:b/>
          <w:bCs/>
          <w:sz w:val="24"/>
          <w:szCs w:val="24"/>
        </w:rPr>
        <w:lastRenderedPageBreak/>
        <w:t>DESCRIPTION</w:t>
      </w:r>
    </w:p>
    <w:p w14:paraId="7DCCFA46" w14:textId="77777777" w:rsidR="00A13C6F" w:rsidRPr="00F25F18" w:rsidRDefault="00A13C6F" w:rsidP="00591482">
      <w:pPr>
        <w:spacing w:after="0"/>
        <w:jc w:val="both"/>
        <w:rPr>
          <w:rFonts w:ascii="Arial" w:hAnsi="Arial" w:cs="Arial"/>
          <w:b/>
          <w:bCs/>
          <w:sz w:val="24"/>
          <w:szCs w:val="24"/>
        </w:rPr>
      </w:pPr>
    </w:p>
    <w:p w14:paraId="3BAA44C5" w14:textId="0A1FA35F" w:rsidR="00A13C6F" w:rsidRDefault="007506DA" w:rsidP="00D65FCF">
      <w:pPr>
        <w:pStyle w:val="Default"/>
        <w:spacing w:line="276" w:lineRule="auto"/>
        <w:rPr>
          <w:sz w:val="22"/>
          <w:szCs w:val="22"/>
        </w:rPr>
      </w:pPr>
      <w:r>
        <w:rPr>
          <w:sz w:val="22"/>
          <w:szCs w:val="22"/>
        </w:rPr>
        <w:t>DYLASTINE</w:t>
      </w:r>
      <w:r w:rsidR="00FD4410">
        <w:t> 125/50</w:t>
      </w:r>
      <w:r w:rsidR="00866CD3">
        <w:t xml:space="preserve"> </w:t>
      </w:r>
      <w:r w:rsidR="00A13C6F" w:rsidRPr="006941D4">
        <w:rPr>
          <w:sz w:val="22"/>
          <w:szCs w:val="22"/>
        </w:rPr>
        <w:t xml:space="preserve">is formulated as a white, homogeneous and </w:t>
      </w:r>
      <w:proofErr w:type="spellStart"/>
      <w:r w:rsidR="00A13C6F" w:rsidRPr="006941D4">
        <w:rPr>
          <w:sz w:val="22"/>
          <w:szCs w:val="22"/>
        </w:rPr>
        <w:t>redispersible</w:t>
      </w:r>
      <w:proofErr w:type="spellEnd"/>
      <w:r w:rsidR="00A13C6F" w:rsidRPr="006941D4">
        <w:rPr>
          <w:sz w:val="22"/>
          <w:szCs w:val="22"/>
        </w:rPr>
        <w:t xml:space="preserve"> suspension. It is </w:t>
      </w:r>
      <w:r w:rsidR="00A13C6F">
        <w:rPr>
          <w:sz w:val="22"/>
          <w:szCs w:val="22"/>
        </w:rPr>
        <w:t>a</w:t>
      </w:r>
      <w:r w:rsidR="00A13C6F" w:rsidRPr="006941D4">
        <w:rPr>
          <w:sz w:val="22"/>
          <w:szCs w:val="22"/>
        </w:rPr>
        <w:t xml:space="preserve">vailable as a metered-spray suspension for intranasal administration. </w:t>
      </w:r>
    </w:p>
    <w:p w14:paraId="0E1CFE6E" w14:textId="77777777" w:rsidR="00A13C6F" w:rsidRDefault="00A13C6F" w:rsidP="00D65FCF">
      <w:pPr>
        <w:pStyle w:val="Default"/>
        <w:spacing w:line="276" w:lineRule="auto"/>
        <w:rPr>
          <w:sz w:val="22"/>
          <w:szCs w:val="22"/>
        </w:rPr>
      </w:pPr>
    </w:p>
    <w:p w14:paraId="095972AB" w14:textId="0609C7FE" w:rsidR="00A13C6F" w:rsidRPr="0064239B" w:rsidRDefault="007506DA" w:rsidP="00D65FCF">
      <w:pPr>
        <w:pStyle w:val="Default"/>
        <w:spacing w:line="276" w:lineRule="auto"/>
        <w:rPr>
          <w:sz w:val="22"/>
          <w:szCs w:val="22"/>
        </w:rPr>
      </w:pPr>
      <w:r>
        <w:rPr>
          <w:sz w:val="22"/>
          <w:szCs w:val="22"/>
        </w:rPr>
        <w:t>DYLASTINE</w:t>
      </w:r>
      <w:r w:rsidR="00FD4410">
        <w:t> 125/50</w:t>
      </w:r>
      <w:r w:rsidR="00A13C6F">
        <w:rPr>
          <w:sz w:val="22"/>
          <w:szCs w:val="22"/>
        </w:rPr>
        <w:t xml:space="preserve"> nasal spray</w:t>
      </w:r>
      <w:r w:rsidR="00A13C6F" w:rsidRPr="0064239B">
        <w:rPr>
          <w:sz w:val="22"/>
          <w:szCs w:val="22"/>
        </w:rPr>
        <w:t xml:space="preserve"> is a fixed combination product containing the following active ingredients: </w:t>
      </w:r>
      <w:proofErr w:type="spellStart"/>
      <w:r w:rsidR="00A13C6F" w:rsidRPr="0064239B">
        <w:rPr>
          <w:sz w:val="22"/>
          <w:szCs w:val="22"/>
        </w:rPr>
        <w:t>azelastine</w:t>
      </w:r>
      <w:proofErr w:type="spellEnd"/>
      <w:r w:rsidR="00A13C6F" w:rsidRPr="0064239B">
        <w:rPr>
          <w:sz w:val="22"/>
          <w:szCs w:val="22"/>
        </w:rPr>
        <w:t xml:space="preserve"> hydrochloride and fluticasone propionate. Each g of suspension contains 1 mg </w:t>
      </w:r>
      <w:proofErr w:type="spellStart"/>
      <w:r w:rsidR="00A13C6F" w:rsidRPr="0064239B">
        <w:rPr>
          <w:sz w:val="22"/>
          <w:szCs w:val="22"/>
        </w:rPr>
        <w:t>azelastine</w:t>
      </w:r>
      <w:proofErr w:type="spellEnd"/>
      <w:r w:rsidR="00A13C6F" w:rsidRPr="0064239B">
        <w:rPr>
          <w:sz w:val="22"/>
          <w:szCs w:val="22"/>
        </w:rPr>
        <w:t xml:space="preserve"> hydrochloride and 0.365 mg fluticasone propionate. One </w:t>
      </w:r>
      <w:r w:rsidR="004A7E9D">
        <w:rPr>
          <w:sz w:val="22"/>
          <w:szCs w:val="22"/>
        </w:rPr>
        <w:t>spray</w:t>
      </w:r>
      <w:r w:rsidR="00A13C6F" w:rsidRPr="0064239B">
        <w:rPr>
          <w:sz w:val="22"/>
          <w:szCs w:val="22"/>
        </w:rPr>
        <w:t xml:space="preserve"> (</w:t>
      </w:r>
      <w:r w:rsidR="007E5563">
        <w:rPr>
          <w:sz w:val="22"/>
          <w:szCs w:val="22"/>
        </w:rPr>
        <w:t>137</w:t>
      </w:r>
      <w:r w:rsidR="00A13C6F" w:rsidRPr="0064239B">
        <w:rPr>
          <w:sz w:val="22"/>
          <w:szCs w:val="22"/>
        </w:rPr>
        <w:t xml:space="preserve"> </w:t>
      </w:r>
      <w:r w:rsidR="00E72159">
        <w:rPr>
          <w:sz w:val="22"/>
          <w:szCs w:val="22"/>
        </w:rPr>
        <w:t>m</w:t>
      </w:r>
      <w:r w:rsidR="00A13C6F" w:rsidRPr="0064239B">
        <w:rPr>
          <w:sz w:val="22"/>
          <w:szCs w:val="22"/>
        </w:rPr>
        <w:t xml:space="preserve">g) contains </w:t>
      </w:r>
      <w:r w:rsidR="00E72159">
        <w:rPr>
          <w:sz w:val="22"/>
          <w:szCs w:val="22"/>
        </w:rPr>
        <w:t>125</w:t>
      </w:r>
      <w:r w:rsidR="00A13C6F" w:rsidRPr="0064239B">
        <w:rPr>
          <w:sz w:val="22"/>
          <w:szCs w:val="22"/>
        </w:rPr>
        <w:t xml:space="preserve"> </w:t>
      </w:r>
      <w:r w:rsidR="00E72159">
        <w:rPr>
          <w:sz w:val="22"/>
          <w:szCs w:val="22"/>
        </w:rPr>
        <w:t>µ</w:t>
      </w:r>
      <w:r w:rsidR="00A13C6F" w:rsidRPr="0064239B">
        <w:rPr>
          <w:sz w:val="22"/>
          <w:szCs w:val="22"/>
        </w:rPr>
        <w:t xml:space="preserve">g </w:t>
      </w:r>
      <w:r w:rsidR="00857116">
        <w:rPr>
          <w:sz w:val="22"/>
          <w:szCs w:val="22"/>
        </w:rPr>
        <w:t xml:space="preserve">of </w:t>
      </w:r>
      <w:proofErr w:type="spellStart"/>
      <w:r w:rsidR="00A13C6F" w:rsidRPr="0064239B">
        <w:rPr>
          <w:sz w:val="22"/>
          <w:szCs w:val="22"/>
        </w:rPr>
        <w:t>azelastine</w:t>
      </w:r>
      <w:proofErr w:type="spellEnd"/>
      <w:r w:rsidR="00A13C6F" w:rsidRPr="0064239B">
        <w:rPr>
          <w:sz w:val="22"/>
          <w:szCs w:val="22"/>
        </w:rPr>
        <w:t xml:space="preserve"> </w:t>
      </w:r>
      <w:r w:rsidR="00857116">
        <w:rPr>
          <w:sz w:val="22"/>
          <w:szCs w:val="22"/>
        </w:rPr>
        <w:t xml:space="preserve">(as the </w:t>
      </w:r>
      <w:r w:rsidR="007B577F">
        <w:rPr>
          <w:sz w:val="22"/>
          <w:szCs w:val="22"/>
        </w:rPr>
        <w:t>base</w:t>
      </w:r>
      <w:r w:rsidR="00857116">
        <w:rPr>
          <w:sz w:val="22"/>
          <w:szCs w:val="22"/>
        </w:rPr>
        <w:t>)</w:t>
      </w:r>
      <w:r w:rsidR="00A13C6F" w:rsidRPr="0064239B">
        <w:rPr>
          <w:sz w:val="22"/>
          <w:szCs w:val="22"/>
        </w:rPr>
        <w:t xml:space="preserve"> and 5</w:t>
      </w:r>
      <w:r w:rsidR="00857116">
        <w:rPr>
          <w:sz w:val="22"/>
          <w:szCs w:val="22"/>
        </w:rPr>
        <w:t>0</w:t>
      </w:r>
      <w:r w:rsidR="00A13C6F" w:rsidRPr="0064239B">
        <w:rPr>
          <w:sz w:val="22"/>
          <w:szCs w:val="22"/>
        </w:rPr>
        <w:t xml:space="preserve"> </w:t>
      </w:r>
      <w:r w:rsidR="00857116">
        <w:rPr>
          <w:sz w:val="22"/>
          <w:szCs w:val="22"/>
        </w:rPr>
        <w:t>µ</w:t>
      </w:r>
      <w:r w:rsidR="00A13C6F" w:rsidRPr="0064239B">
        <w:rPr>
          <w:sz w:val="22"/>
          <w:szCs w:val="22"/>
        </w:rPr>
        <w:t>g</w:t>
      </w:r>
      <w:r w:rsidR="00857116">
        <w:rPr>
          <w:sz w:val="22"/>
          <w:szCs w:val="22"/>
        </w:rPr>
        <w:t xml:space="preserve"> of</w:t>
      </w:r>
      <w:r w:rsidR="00A13C6F" w:rsidRPr="0064239B">
        <w:rPr>
          <w:sz w:val="22"/>
          <w:szCs w:val="22"/>
        </w:rPr>
        <w:t xml:space="preserve"> fluticasone propionate.  </w:t>
      </w:r>
    </w:p>
    <w:p w14:paraId="4790C025" w14:textId="77777777" w:rsidR="00A13C6F" w:rsidRPr="0064239B" w:rsidRDefault="00A13C6F" w:rsidP="00D65FCF">
      <w:pPr>
        <w:pStyle w:val="Default"/>
        <w:spacing w:line="276" w:lineRule="auto"/>
        <w:rPr>
          <w:sz w:val="22"/>
          <w:szCs w:val="22"/>
        </w:rPr>
      </w:pPr>
    </w:p>
    <w:p w14:paraId="172823DC" w14:textId="74F3A41C" w:rsidR="00A13C6F" w:rsidRPr="0064239B" w:rsidRDefault="007506DA" w:rsidP="00D65FCF">
      <w:pPr>
        <w:pStyle w:val="Default"/>
        <w:spacing w:line="276" w:lineRule="auto"/>
        <w:rPr>
          <w:sz w:val="22"/>
          <w:szCs w:val="22"/>
        </w:rPr>
      </w:pPr>
      <w:r>
        <w:rPr>
          <w:sz w:val="22"/>
          <w:szCs w:val="22"/>
        </w:rPr>
        <w:t>DYLASTINE</w:t>
      </w:r>
      <w:r w:rsidR="00FD4410">
        <w:t> 125/50</w:t>
      </w:r>
      <w:r w:rsidR="00A13C6F">
        <w:rPr>
          <w:sz w:val="22"/>
          <w:szCs w:val="22"/>
        </w:rPr>
        <w:t xml:space="preserve"> nasal spray</w:t>
      </w:r>
      <w:r w:rsidR="00A13C6F" w:rsidRPr="0064239B">
        <w:rPr>
          <w:sz w:val="22"/>
          <w:szCs w:val="22"/>
        </w:rPr>
        <w:t xml:space="preserve"> contains the following inactive ingredients:</w:t>
      </w:r>
      <w:r w:rsidR="00A13C6F">
        <w:rPr>
          <w:sz w:val="22"/>
          <w:szCs w:val="22"/>
        </w:rPr>
        <w:t xml:space="preserve"> </w:t>
      </w:r>
      <w:r w:rsidR="00A13C6F" w:rsidRPr="0064239B">
        <w:rPr>
          <w:sz w:val="22"/>
          <w:szCs w:val="22"/>
        </w:rPr>
        <w:t xml:space="preserve">disodium </w:t>
      </w:r>
      <w:proofErr w:type="spellStart"/>
      <w:r w:rsidR="00A13C6F" w:rsidRPr="0064239B">
        <w:rPr>
          <w:sz w:val="22"/>
          <w:szCs w:val="22"/>
        </w:rPr>
        <w:t>edetate</w:t>
      </w:r>
      <w:proofErr w:type="spellEnd"/>
      <w:r w:rsidR="00A13C6F" w:rsidRPr="0064239B">
        <w:rPr>
          <w:sz w:val="22"/>
          <w:szCs w:val="22"/>
        </w:rPr>
        <w:t xml:space="preserve">, glycerol, </w:t>
      </w:r>
      <w:r w:rsidR="00837288" w:rsidRPr="0064239B">
        <w:rPr>
          <w:sz w:val="22"/>
          <w:szCs w:val="22"/>
        </w:rPr>
        <w:t xml:space="preserve">microcrystalline </w:t>
      </w:r>
      <w:r w:rsidR="00837288">
        <w:rPr>
          <w:sz w:val="22"/>
          <w:szCs w:val="22"/>
        </w:rPr>
        <w:t>cellulose</w:t>
      </w:r>
      <w:r w:rsidR="00A13C6F" w:rsidRPr="0064239B">
        <w:rPr>
          <w:sz w:val="22"/>
          <w:szCs w:val="22"/>
        </w:rPr>
        <w:t xml:space="preserve">, </w:t>
      </w:r>
      <w:proofErr w:type="spellStart"/>
      <w:r w:rsidR="00A13C6F" w:rsidRPr="0064239B">
        <w:rPr>
          <w:sz w:val="22"/>
          <w:szCs w:val="22"/>
        </w:rPr>
        <w:t>carmellose</w:t>
      </w:r>
      <w:proofErr w:type="spellEnd"/>
      <w:r w:rsidR="00A13C6F" w:rsidRPr="0064239B">
        <w:rPr>
          <w:sz w:val="22"/>
          <w:szCs w:val="22"/>
        </w:rPr>
        <w:t xml:space="preserve"> sodium, </w:t>
      </w:r>
      <w:proofErr w:type="spellStart"/>
      <w:r w:rsidR="00A13C6F" w:rsidRPr="0064239B">
        <w:rPr>
          <w:sz w:val="22"/>
          <w:szCs w:val="22"/>
        </w:rPr>
        <w:t>polysorbate</w:t>
      </w:r>
      <w:proofErr w:type="spellEnd"/>
      <w:r w:rsidR="00A13C6F" w:rsidRPr="0064239B">
        <w:rPr>
          <w:sz w:val="22"/>
          <w:szCs w:val="22"/>
        </w:rPr>
        <w:t xml:space="preserve"> 80, </w:t>
      </w:r>
      <w:proofErr w:type="spellStart"/>
      <w:r w:rsidR="00A13C6F" w:rsidRPr="0064239B">
        <w:rPr>
          <w:sz w:val="22"/>
          <w:szCs w:val="22"/>
        </w:rPr>
        <w:t>benzalkonium</w:t>
      </w:r>
      <w:proofErr w:type="spellEnd"/>
      <w:r w:rsidR="00A13C6F" w:rsidRPr="0064239B">
        <w:rPr>
          <w:sz w:val="22"/>
          <w:szCs w:val="22"/>
        </w:rPr>
        <w:t xml:space="preserve"> chloride, </w:t>
      </w:r>
      <w:proofErr w:type="spellStart"/>
      <w:r w:rsidR="00A13C6F" w:rsidRPr="0064239B">
        <w:rPr>
          <w:sz w:val="22"/>
          <w:szCs w:val="22"/>
        </w:rPr>
        <w:t>phenethyl</w:t>
      </w:r>
      <w:proofErr w:type="spellEnd"/>
      <w:r w:rsidR="00A13C6F" w:rsidRPr="0064239B">
        <w:rPr>
          <w:sz w:val="22"/>
          <w:szCs w:val="22"/>
        </w:rPr>
        <w:t xml:space="preserve"> alcohol and </w:t>
      </w:r>
      <w:r w:rsidR="00837288" w:rsidRPr="0064239B">
        <w:rPr>
          <w:sz w:val="22"/>
          <w:szCs w:val="22"/>
        </w:rPr>
        <w:t xml:space="preserve">purified </w:t>
      </w:r>
      <w:r w:rsidR="00837288">
        <w:rPr>
          <w:sz w:val="22"/>
          <w:szCs w:val="22"/>
        </w:rPr>
        <w:t>water</w:t>
      </w:r>
      <w:r w:rsidR="00A13C6F" w:rsidRPr="0064239B">
        <w:rPr>
          <w:sz w:val="22"/>
          <w:szCs w:val="22"/>
        </w:rPr>
        <w:t>.</w:t>
      </w:r>
    </w:p>
    <w:p w14:paraId="79F46F48" w14:textId="77777777" w:rsidR="00A13C6F" w:rsidRDefault="00A13C6F" w:rsidP="00D65FCF">
      <w:pPr>
        <w:spacing w:after="0"/>
        <w:jc w:val="both"/>
        <w:rPr>
          <w:rFonts w:ascii="Arial" w:hAnsi="Arial" w:cs="Arial"/>
        </w:rPr>
      </w:pPr>
    </w:p>
    <w:p w14:paraId="315E1E7C" w14:textId="77777777" w:rsidR="00A13C6F" w:rsidRPr="00B8333B" w:rsidRDefault="00A13C6F" w:rsidP="00591482">
      <w:pPr>
        <w:pStyle w:val="C-BodyText"/>
        <w:spacing w:before="0" w:after="0" w:line="276" w:lineRule="auto"/>
        <w:rPr>
          <w:rFonts w:ascii="Arial" w:hAnsi="Arial" w:cs="Arial"/>
          <w:b/>
          <w:bCs/>
        </w:rPr>
      </w:pPr>
      <w:r w:rsidRPr="00B8333B">
        <w:rPr>
          <w:rFonts w:ascii="Arial" w:hAnsi="Arial" w:cs="Arial"/>
          <w:b/>
          <w:bCs/>
        </w:rPr>
        <w:t>Physical and Chemical Properties</w:t>
      </w:r>
    </w:p>
    <w:p w14:paraId="02C4424F" w14:textId="77777777" w:rsidR="00A13C6F" w:rsidRPr="00591482" w:rsidRDefault="00A13C6F" w:rsidP="00D65FCF">
      <w:pPr>
        <w:pStyle w:val="C-BodyText"/>
        <w:spacing w:before="0" w:after="0" w:line="276" w:lineRule="auto"/>
        <w:rPr>
          <w:rFonts w:ascii="Arial" w:hAnsi="Arial" w:cs="Arial"/>
          <w:sz w:val="22"/>
          <w:szCs w:val="22"/>
        </w:rPr>
      </w:pPr>
      <w:proofErr w:type="spellStart"/>
      <w:r w:rsidRPr="00591482">
        <w:rPr>
          <w:rFonts w:ascii="Arial" w:hAnsi="Arial" w:cs="Arial"/>
          <w:sz w:val="22"/>
          <w:szCs w:val="22"/>
        </w:rPr>
        <w:t>Azelastine</w:t>
      </w:r>
      <w:proofErr w:type="spellEnd"/>
      <w:r w:rsidRPr="00591482">
        <w:rPr>
          <w:rFonts w:ascii="Arial" w:hAnsi="Arial" w:cs="Arial"/>
          <w:sz w:val="22"/>
          <w:szCs w:val="22"/>
        </w:rPr>
        <w:t xml:space="preserve"> hydrochloride occurs as a white, </w:t>
      </w:r>
      <w:proofErr w:type="spellStart"/>
      <w:r w:rsidRPr="00591482">
        <w:rPr>
          <w:rFonts w:ascii="Arial" w:hAnsi="Arial" w:cs="Arial"/>
          <w:sz w:val="22"/>
          <w:szCs w:val="22"/>
        </w:rPr>
        <w:t>odourless</w:t>
      </w:r>
      <w:proofErr w:type="spellEnd"/>
      <w:r w:rsidRPr="00591482">
        <w:rPr>
          <w:rFonts w:ascii="Arial" w:hAnsi="Arial" w:cs="Arial"/>
          <w:sz w:val="22"/>
          <w:szCs w:val="22"/>
        </w:rPr>
        <w:t>, crystalline powder with a bitter taste. It is sparingly soluble in water</w:t>
      </w:r>
      <w:r>
        <w:rPr>
          <w:rFonts w:ascii="Arial" w:hAnsi="Arial" w:cs="Arial"/>
          <w:sz w:val="22"/>
          <w:szCs w:val="22"/>
        </w:rPr>
        <w:t xml:space="preserve">, and </w:t>
      </w:r>
      <w:r w:rsidRPr="00591482">
        <w:rPr>
          <w:rFonts w:ascii="Arial" w:hAnsi="Arial" w:cs="Arial"/>
          <w:sz w:val="22"/>
          <w:szCs w:val="22"/>
        </w:rPr>
        <w:t xml:space="preserve">soluble in </w:t>
      </w:r>
      <w:r>
        <w:rPr>
          <w:rFonts w:ascii="Arial" w:hAnsi="Arial" w:cs="Arial"/>
          <w:sz w:val="22"/>
          <w:szCs w:val="22"/>
        </w:rPr>
        <w:t>ethanol and dichloromethane</w:t>
      </w:r>
      <w:r w:rsidRPr="00591482">
        <w:rPr>
          <w:rFonts w:ascii="Arial" w:hAnsi="Arial" w:cs="Arial"/>
          <w:sz w:val="22"/>
          <w:szCs w:val="22"/>
        </w:rPr>
        <w:t xml:space="preserve">. </w:t>
      </w:r>
      <w:proofErr w:type="spellStart"/>
      <w:r>
        <w:rPr>
          <w:rFonts w:ascii="Arial" w:hAnsi="Arial" w:cs="Arial"/>
          <w:sz w:val="22"/>
          <w:szCs w:val="22"/>
        </w:rPr>
        <w:t>Azelastine</w:t>
      </w:r>
      <w:proofErr w:type="spellEnd"/>
      <w:r>
        <w:rPr>
          <w:rFonts w:ascii="Arial" w:hAnsi="Arial" w:cs="Arial"/>
          <w:sz w:val="22"/>
          <w:szCs w:val="22"/>
        </w:rPr>
        <w:t xml:space="preserve"> hydrochloride is slightly hygroscopic. </w:t>
      </w:r>
    </w:p>
    <w:p w14:paraId="3E307A36" w14:textId="77777777" w:rsidR="00A13C6F" w:rsidRDefault="00A13C6F" w:rsidP="00D65FCF">
      <w:pPr>
        <w:pStyle w:val="C-BodyText"/>
        <w:spacing w:before="0" w:after="0" w:line="276" w:lineRule="auto"/>
        <w:rPr>
          <w:rFonts w:ascii="Arial" w:hAnsi="Arial" w:cs="Arial"/>
          <w:noProof/>
          <w:sz w:val="22"/>
          <w:szCs w:val="22"/>
        </w:rPr>
      </w:pPr>
    </w:p>
    <w:p w14:paraId="64CD3538" w14:textId="77777777" w:rsidR="00A13C6F" w:rsidRDefault="00A13C6F" w:rsidP="00D65FCF">
      <w:pPr>
        <w:pStyle w:val="C-BodyText"/>
        <w:spacing w:before="0" w:after="0" w:line="276" w:lineRule="auto"/>
        <w:rPr>
          <w:rFonts w:ascii="Arial" w:hAnsi="Arial" w:cs="Arial"/>
          <w:noProof/>
          <w:sz w:val="22"/>
          <w:szCs w:val="22"/>
        </w:rPr>
      </w:pPr>
      <w:r w:rsidRPr="00591482">
        <w:rPr>
          <w:rFonts w:ascii="Arial" w:hAnsi="Arial" w:cs="Arial"/>
          <w:noProof/>
          <w:sz w:val="22"/>
          <w:szCs w:val="22"/>
        </w:rPr>
        <w:t xml:space="preserve">Fluticasone propionate is a white or almost white powder. It is practically insoluble in water, </w:t>
      </w:r>
      <w:r>
        <w:rPr>
          <w:rFonts w:ascii="Arial" w:hAnsi="Arial" w:cs="Arial"/>
          <w:noProof/>
          <w:sz w:val="22"/>
          <w:szCs w:val="22"/>
        </w:rPr>
        <w:t>sparingly soluble in dichloromethane and slightly soluble in alcohol.</w:t>
      </w:r>
    </w:p>
    <w:p w14:paraId="2F7FA0C1" w14:textId="590A1ACD" w:rsidR="00A13C6F" w:rsidRDefault="00A13C6F" w:rsidP="00591482">
      <w:pPr>
        <w:pStyle w:val="C-BodyText"/>
        <w:spacing w:before="0" w:after="0" w:line="276" w:lineRule="auto"/>
        <w:rPr>
          <w:rFonts w:ascii="Arial" w:hAnsi="Arial" w:cs="Arial"/>
          <w:noProof/>
          <w:sz w:val="22"/>
          <w:szCs w:val="22"/>
        </w:rPr>
      </w:pPr>
    </w:p>
    <w:p w14:paraId="4E46C5CF" w14:textId="77777777" w:rsidR="00A13C6F" w:rsidRPr="00B8333B" w:rsidRDefault="00A13C6F" w:rsidP="0064239B">
      <w:pPr>
        <w:spacing w:after="0"/>
        <w:rPr>
          <w:rFonts w:ascii="Arial" w:hAnsi="Arial" w:cs="Arial"/>
          <w:b/>
          <w:bCs/>
          <w:sz w:val="24"/>
          <w:szCs w:val="24"/>
        </w:rPr>
      </w:pPr>
      <w:r w:rsidRPr="00B8333B">
        <w:rPr>
          <w:rFonts w:ascii="Arial" w:hAnsi="Arial" w:cs="Arial"/>
          <w:b/>
          <w:bCs/>
          <w:sz w:val="24"/>
          <w:szCs w:val="24"/>
        </w:rPr>
        <w:t>PHARMACOLOGY</w:t>
      </w:r>
    </w:p>
    <w:p w14:paraId="0C1F6ACC" w14:textId="77777777" w:rsidR="00A13C6F" w:rsidRPr="00B8333B" w:rsidRDefault="00A13C6F" w:rsidP="0064239B">
      <w:pPr>
        <w:spacing w:after="0"/>
        <w:rPr>
          <w:rFonts w:ascii="Arial" w:hAnsi="Arial" w:cs="Arial"/>
          <w:b/>
          <w:bCs/>
          <w:sz w:val="24"/>
          <w:szCs w:val="24"/>
        </w:rPr>
      </w:pPr>
    </w:p>
    <w:p w14:paraId="2C50CA5C" w14:textId="77777777" w:rsidR="00A13C6F" w:rsidRPr="00B8333B" w:rsidRDefault="00A13C6F" w:rsidP="0064239B">
      <w:pPr>
        <w:spacing w:after="0"/>
        <w:rPr>
          <w:rFonts w:ascii="Arial" w:hAnsi="Arial" w:cs="Arial"/>
          <w:b/>
          <w:bCs/>
          <w:sz w:val="24"/>
          <w:szCs w:val="24"/>
        </w:rPr>
      </w:pPr>
      <w:r w:rsidRPr="00B8333B">
        <w:rPr>
          <w:rFonts w:ascii="Arial" w:hAnsi="Arial" w:cs="Arial"/>
          <w:b/>
          <w:bCs/>
          <w:sz w:val="24"/>
          <w:szCs w:val="24"/>
        </w:rPr>
        <w:t>Pharmacodynamics</w:t>
      </w:r>
    </w:p>
    <w:p w14:paraId="326FF261" w14:textId="77777777" w:rsidR="00A13C6F" w:rsidRPr="009B7264" w:rsidRDefault="00A13C6F" w:rsidP="00D65FCF">
      <w:pPr>
        <w:autoSpaceDE w:val="0"/>
        <w:autoSpaceDN w:val="0"/>
        <w:adjustRightInd w:val="0"/>
        <w:spacing w:after="0"/>
        <w:rPr>
          <w:rFonts w:ascii="Arial" w:hAnsi="Arial" w:cs="Arial"/>
          <w:color w:val="000000"/>
        </w:rPr>
      </w:pPr>
      <w:proofErr w:type="spellStart"/>
      <w:r w:rsidRPr="009B7264">
        <w:rPr>
          <w:rFonts w:ascii="Arial" w:hAnsi="Arial" w:cs="Arial"/>
          <w:color w:val="000000"/>
        </w:rPr>
        <w:t>Pharmacotherapeutic</w:t>
      </w:r>
      <w:proofErr w:type="spellEnd"/>
      <w:r w:rsidRPr="009B7264">
        <w:rPr>
          <w:rFonts w:ascii="Arial" w:hAnsi="Arial" w:cs="Arial"/>
          <w:color w:val="000000"/>
        </w:rPr>
        <w:t xml:space="preserve"> group: Decongestants and other nasal preparations for topical use, corticosteroids/ </w:t>
      </w:r>
      <w:r>
        <w:rPr>
          <w:rFonts w:ascii="Arial" w:hAnsi="Arial" w:cs="Arial"/>
          <w:color w:val="000000"/>
        </w:rPr>
        <w:t xml:space="preserve">fluticasone, </w:t>
      </w:r>
      <w:r w:rsidRPr="009B7264">
        <w:rPr>
          <w:rFonts w:ascii="Arial" w:hAnsi="Arial" w:cs="Arial"/>
          <w:color w:val="000000"/>
        </w:rPr>
        <w:t xml:space="preserve">combinations, ATC code: R01AD58. </w:t>
      </w:r>
    </w:p>
    <w:p w14:paraId="0BB24D9B" w14:textId="77777777" w:rsidR="00A13C6F" w:rsidRDefault="00A13C6F" w:rsidP="00D65FCF">
      <w:pPr>
        <w:autoSpaceDE w:val="0"/>
        <w:autoSpaceDN w:val="0"/>
        <w:adjustRightInd w:val="0"/>
        <w:spacing w:after="0"/>
        <w:rPr>
          <w:rFonts w:ascii="Arial" w:hAnsi="Arial" w:cs="Arial"/>
          <w:color w:val="000000"/>
        </w:rPr>
      </w:pPr>
    </w:p>
    <w:p w14:paraId="5257E908" w14:textId="5F56959C" w:rsidR="00A13C6F" w:rsidRPr="00B94734" w:rsidRDefault="007506DA" w:rsidP="00D65FCF">
      <w:pPr>
        <w:autoSpaceDE w:val="0"/>
        <w:autoSpaceDN w:val="0"/>
        <w:adjustRightInd w:val="0"/>
        <w:spacing w:after="0"/>
        <w:rPr>
          <w:rFonts w:ascii="Arial" w:hAnsi="Arial" w:cs="Arial"/>
        </w:rPr>
      </w:pPr>
      <w:r>
        <w:rPr>
          <w:rFonts w:ascii="Arial" w:hAnsi="Arial" w:cs="Arial"/>
        </w:rPr>
        <w:t>DYLASTINE</w:t>
      </w:r>
      <w:r w:rsidR="00FD4410" w:rsidRPr="00FD4410">
        <w:rPr>
          <w:rFonts w:ascii="Arial" w:hAnsi="Arial" w:cs="Arial"/>
        </w:rPr>
        <w:t> 125/50</w:t>
      </w:r>
      <w:r w:rsidR="00A13C6F" w:rsidRPr="00B94734">
        <w:rPr>
          <w:rFonts w:ascii="Arial" w:hAnsi="Arial" w:cs="Arial"/>
        </w:rPr>
        <w:t xml:space="preserve"> </w:t>
      </w:r>
      <w:r w:rsidR="00A13C6F">
        <w:rPr>
          <w:rFonts w:ascii="Arial" w:hAnsi="Arial" w:cs="Arial"/>
        </w:rPr>
        <w:t xml:space="preserve">is a novel formulation of </w:t>
      </w:r>
      <w:proofErr w:type="spellStart"/>
      <w:r w:rsidR="00A13C6F" w:rsidRPr="00B94734">
        <w:rPr>
          <w:rFonts w:ascii="Arial" w:hAnsi="Arial" w:cs="Arial"/>
        </w:rPr>
        <w:t>azelastine</w:t>
      </w:r>
      <w:proofErr w:type="spellEnd"/>
      <w:r w:rsidR="00A13C6F" w:rsidRPr="00B94734">
        <w:rPr>
          <w:rFonts w:ascii="Arial" w:hAnsi="Arial" w:cs="Arial"/>
        </w:rPr>
        <w:t xml:space="preserve"> hydrochloride and fluticasone propionate. Therefore, the mechanisms of actions described below for the indivi</w:t>
      </w:r>
      <w:r>
        <w:rPr>
          <w:rFonts w:ascii="Arial" w:hAnsi="Arial" w:cs="Arial"/>
        </w:rPr>
        <w:t>dual components apply to DYLASTINE</w:t>
      </w:r>
      <w:r w:rsidR="001876D2" w:rsidRPr="00FD4410">
        <w:rPr>
          <w:rFonts w:ascii="Arial" w:hAnsi="Arial" w:cs="Arial"/>
        </w:rPr>
        <w:t> 125/50</w:t>
      </w:r>
      <w:r w:rsidR="00A13C6F" w:rsidRPr="00B94734">
        <w:rPr>
          <w:rFonts w:ascii="Arial" w:hAnsi="Arial" w:cs="Arial"/>
        </w:rPr>
        <w:t xml:space="preserve">. </w:t>
      </w:r>
    </w:p>
    <w:p w14:paraId="1193BAD1" w14:textId="77777777" w:rsidR="00A13C6F" w:rsidRDefault="00A13C6F" w:rsidP="00D65FCF">
      <w:pPr>
        <w:autoSpaceDE w:val="0"/>
        <w:autoSpaceDN w:val="0"/>
        <w:adjustRightInd w:val="0"/>
        <w:spacing w:after="0"/>
      </w:pPr>
    </w:p>
    <w:p w14:paraId="6B728E68" w14:textId="76949C8C" w:rsidR="00A13C6F" w:rsidRDefault="00A13C6F" w:rsidP="00D65FCF">
      <w:pPr>
        <w:autoSpaceDE w:val="0"/>
        <w:autoSpaceDN w:val="0"/>
        <w:adjustRightInd w:val="0"/>
        <w:spacing w:after="0"/>
        <w:rPr>
          <w:rFonts w:ascii="Arial" w:hAnsi="Arial" w:cs="Arial"/>
          <w:color w:val="000000"/>
        </w:rPr>
      </w:pPr>
      <w:proofErr w:type="spellStart"/>
      <w:r w:rsidRPr="00B94734">
        <w:rPr>
          <w:rFonts w:ascii="Arial" w:hAnsi="Arial" w:cs="Arial"/>
          <w:color w:val="000000"/>
        </w:rPr>
        <w:t>Azelastine</w:t>
      </w:r>
      <w:proofErr w:type="spellEnd"/>
      <w:r>
        <w:rPr>
          <w:rFonts w:ascii="Arial" w:hAnsi="Arial" w:cs="Arial"/>
          <w:color w:val="000000"/>
        </w:rPr>
        <w:t xml:space="preserve"> hydrochloride</w:t>
      </w:r>
      <w:r w:rsidRPr="00B94734">
        <w:rPr>
          <w:rFonts w:ascii="Arial" w:hAnsi="Arial" w:cs="Arial"/>
          <w:color w:val="000000"/>
        </w:rPr>
        <w:t xml:space="preserve">, a </w:t>
      </w:r>
      <w:proofErr w:type="spellStart"/>
      <w:r w:rsidRPr="00B94734">
        <w:rPr>
          <w:rFonts w:ascii="Arial" w:hAnsi="Arial" w:cs="Arial"/>
          <w:color w:val="000000"/>
        </w:rPr>
        <w:t>phthalazinone</w:t>
      </w:r>
      <w:proofErr w:type="spellEnd"/>
      <w:r w:rsidRPr="00B94734">
        <w:rPr>
          <w:rFonts w:ascii="Arial" w:hAnsi="Arial" w:cs="Arial"/>
          <w:color w:val="000000"/>
        </w:rPr>
        <w:t xml:space="preserve"> derivative</w:t>
      </w:r>
      <w:r>
        <w:rPr>
          <w:rFonts w:ascii="Arial" w:hAnsi="Arial" w:cs="Arial"/>
          <w:color w:val="000000"/>
        </w:rPr>
        <w:t>,</w:t>
      </w:r>
      <w:r w:rsidRPr="00B94734">
        <w:rPr>
          <w:rFonts w:ascii="Arial" w:hAnsi="Arial" w:cs="Arial"/>
          <w:color w:val="000000"/>
        </w:rPr>
        <w:t xml:space="preserve"> is classified as a potent long-acting anti-allergic compound with selective H</w:t>
      </w:r>
      <w:r w:rsidRPr="00A224F7">
        <w:rPr>
          <w:rFonts w:ascii="Arial" w:hAnsi="Arial" w:cs="Arial"/>
          <w:color w:val="000000"/>
          <w:vertAlign w:val="subscript"/>
        </w:rPr>
        <w:t>1</w:t>
      </w:r>
      <w:r>
        <w:rPr>
          <w:rFonts w:ascii="Arial" w:hAnsi="Arial" w:cs="Arial"/>
          <w:color w:val="000000"/>
        </w:rPr>
        <w:t>-antagonist</w:t>
      </w:r>
      <w:r w:rsidRPr="00B94734">
        <w:rPr>
          <w:rFonts w:ascii="Arial" w:hAnsi="Arial" w:cs="Arial"/>
          <w:color w:val="000000"/>
        </w:rPr>
        <w:t>, mast cell stabilizing and anti-inflammatory properties. Data from</w:t>
      </w:r>
      <w:r w:rsidRPr="00A224F7">
        <w:rPr>
          <w:rFonts w:ascii="Arial" w:hAnsi="Arial" w:cs="Arial"/>
          <w:i/>
          <w:color w:val="000000"/>
        </w:rPr>
        <w:t xml:space="preserve"> in vivo</w:t>
      </w:r>
      <w:r w:rsidRPr="00B94734">
        <w:rPr>
          <w:rFonts w:ascii="Arial" w:hAnsi="Arial" w:cs="Arial"/>
          <w:color w:val="000000"/>
        </w:rPr>
        <w:t xml:space="preserve"> (preclinical) and </w:t>
      </w:r>
      <w:r w:rsidRPr="00A224F7">
        <w:rPr>
          <w:rFonts w:ascii="Arial" w:hAnsi="Arial" w:cs="Arial"/>
          <w:i/>
          <w:color w:val="000000"/>
        </w:rPr>
        <w:t>in vitro</w:t>
      </w:r>
      <w:r w:rsidRPr="00B94734">
        <w:rPr>
          <w:rFonts w:ascii="Arial" w:hAnsi="Arial" w:cs="Arial"/>
          <w:color w:val="000000"/>
        </w:rPr>
        <w:t xml:space="preserve"> studies show that </w:t>
      </w:r>
      <w:proofErr w:type="spellStart"/>
      <w:r w:rsidRPr="00B94734">
        <w:rPr>
          <w:rFonts w:ascii="Arial" w:hAnsi="Arial" w:cs="Arial"/>
          <w:color w:val="000000"/>
        </w:rPr>
        <w:t>azelastine</w:t>
      </w:r>
      <w:proofErr w:type="spellEnd"/>
      <w:r w:rsidRPr="00B94734">
        <w:rPr>
          <w:rFonts w:ascii="Arial" w:hAnsi="Arial" w:cs="Arial"/>
          <w:color w:val="000000"/>
        </w:rPr>
        <w:t xml:space="preserve"> inhibits the synthesis or release of the chemical mediators known to be involved in early and late stage allergic reactions, e.g. </w:t>
      </w:r>
      <w:proofErr w:type="spellStart"/>
      <w:r w:rsidRPr="00B94734">
        <w:rPr>
          <w:rFonts w:ascii="Arial" w:hAnsi="Arial" w:cs="Arial"/>
          <w:color w:val="000000"/>
        </w:rPr>
        <w:t>leukotrienes</w:t>
      </w:r>
      <w:proofErr w:type="spellEnd"/>
      <w:r w:rsidRPr="00B94734">
        <w:rPr>
          <w:rFonts w:ascii="Arial" w:hAnsi="Arial" w:cs="Arial"/>
          <w:color w:val="000000"/>
        </w:rPr>
        <w:t>, histamine, platelet-activating factor (PAF) and serotonin.</w:t>
      </w:r>
      <w:r w:rsidR="00E91931">
        <w:rPr>
          <w:rFonts w:ascii="Arial" w:hAnsi="Arial" w:cs="Arial"/>
          <w:color w:val="000000"/>
        </w:rPr>
        <w:t xml:space="preserve"> </w:t>
      </w:r>
      <w:r w:rsidR="006B496C">
        <w:rPr>
          <w:rFonts w:ascii="Arial" w:hAnsi="Arial" w:cs="Arial"/>
          <w:color w:val="000000"/>
        </w:rPr>
        <w:t xml:space="preserve">The major metabolite, </w:t>
      </w:r>
      <w:proofErr w:type="spellStart"/>
      <w:r w:rsidR="006B496C">
        <w:rPr>
          <w:rFonts w:ascii="Arial" w:hAnsi="Arial" w:cs="Arial"/>
          <w:color w:val="000000"/>
        </w:rPr>
        <w:t>desmethylazelastine</w:t>
      </w:r>
      <w:proofErr w:type="spellEnd"/>
      <w:r w:rsidR="006B496C">
        <w:rPr>
          <w:rFonts w:ascii="Arial" w:hAnsi="Arial" w:cs="Arial"/>
          <w:color w:val="000000"/>
        </w:rPr>
        <w:t>, also exhibits H</w:t>
      </w:r>
      <w:r w:rsidR="006B496C" w:rsidRPr="00A224F7">
        <w:rPr>
          <w:rFonts w:ascii="Arial" w:hAnsi="Arial" w:cs="Arial"/>
          <w:color w:val="000000"/>
          <w:vertAlign w:val="subscript"/>
        </w:rPr>
        <w:t>1</w:t>
      </w:r>
      <w:r w:rsidR="0081713B">
        <w:rPr>
          <w:rFonts w:ascii="Arial" w:hAnsi="Arial" w:cs="Arial"/>
          <w:color w:val="000000"/>
        </w:rPr>
        <w:t xml:space="preserve"> – </w:t>
      </w:r>
      <w:r w:rsidR="00E91931">
        <w:rPr>
          <w:rFonts w:ascii="Arial" w:hAnsi="Arial" w:cs="Arial"/>
          <w:color w:val="000000"/>
        </w:rPr>
        <w:t xml:space="preserve">receptor antagonist activity. </w:t>
      </w:r>
      <w:r w:rsidR="006B496C">
        <w:rPr>
          <w:rFonts w:ascii="Arial" w:hAnsi="Arial" w:cs="Arial"/>
          <w:color w:val="000000"/>
        </w:rPr>
        <w:t>DY</w:t>
      </w:r>
      <w:r w:rsidR="007506DA" w:rsidRPr="00081F54">
        <w:rPr>
          <w:rFonts w:ascii="Arial" w:hAnsi="Arial" w:cs="Arial"/>
          <w:color w:val="000000" w:themeColor="text1"/>
        </w:rPr>
        <w:t>LASTINE</w:t>
      </w:r>
      <w:r w:rsidR="00E91931" w:rsidRPr="00FD4410">
        <w:rPr>
          <w:rFonts w:ascii="Arial" w:hAnsi="Arial" w:cs="Arial"/>
        </w:rPr>
        <w:t> </w:t>
      </w:r>
      <w:r w:rsidR="006B496C">
        <w:rPr>
          <w:rFonts w:ascii="Arial" w:hAnsi="Arial" w:cs="Arial"/>
          <w:color w:val="000000"/>
        </w:rPr>
        <w:t xml:space="preserve">125/50 is administered as a racemic mixture.  The </w:t>
      </w:r>
      <w:proofErr w:type="spellStart"/>
      <w:r w:rsidR="0081713B">
        <w:rPr>
          <w:rFonts w:ascii="Arial" w:hAnsi="Arial" w:cs="Arial"/>
          <w:color w:val="000000"/>
        </w:rPr>
        <w:t>r</w:t>
      </w:r>
      <w:r w:rsidR="006B496C">
        <w:rPr>
          <w:rFonts w:ascii="Arial" w:hAnsi="Arial" w:cs="Arial"/>
          <w:color w:val="000000"/>
        </w:rPr>
        <w:t>acemate</w:t>
      </w:r>
      <w:proofErr w:type="spellEnd"/>
      <w:r w:rsidR="006B496C">
        <w:rPr>
          <w:rFonts w:ascii="Arial" w:hAnsi="Arial" w:cs="Arial"/>
          <w:color w:val="000000"/>
        </w:rPr>
        <w:t>, R- and S- enantiomers were equally potent at inhibiting eyelid histamine-induced oedema in rats, however the R-enantiomer was 2-fold less active at inhibiting eyeball histamine-induced oedema.</w:t>
      </w:r>
    </w:p>
    <w:p w14:paraId="24CE2B9C" w14:textId="77777777" w:rsidR="00A13C6F" w:rsidRPr="00B94734" w:rsidRDefault="00A13C6F" w:rsidP="00D65FCF">
      <w:pPr>
        <w:autoSpaceDE w:val="0"/>
        <w:autoSpaceDN w:val="0"/>
        <w:adjustRightInd w:val="0"/>
        <w:spacing w:after="0"/>
        <w:rPr>
          <w:rFonts w:ascii="Arial" w:hAnsi="Arial" w:cs="Arial"/>
          <w:color w:val="000000"/>
        </w:rPr>
      </w:pPr>
    </w:p>
    <w:p w14:paraId="146BD505" w14:textId="77777777" w:rsidR="00A13C6F" w:rsidRPr="00B94734" w:rsidRDefault="00A13C6F" w:rsidP="00D65FCF">
      <w:pPr>
        <w:autoSpaceDE w:val="0"/>
        <w:autoSpaceDN w:val="0"/>
        <w:adjustRightInd w:val="0"/>
        <w:spacing w:after="0"/>
        <w:rPr>
          <w:rFonts w:ascii="Arial" w:hAnsi="Arial" w:cs="Arial"/>
          <w:color w:val="000000"/>
        </w:rPr>
      </w:pPr>
      <w:proofErr w:type="spellStart"/>
      <w:r w:rsidRPr="00B94734">
        <w:rPr>
          <w:rFonts w:ascii="Arial" w:hAnsi="Arial" w:cs="Arial"/>
          <w:color w:val="000000"/>
        </w:rPr>
        <w:lastRenderedPageBreak/>
        <w:t>Azelastine</w:t>
      </w:r>
      <w:proofErr w:type="spellEnd"/>
      <w:r w:rsidRPr="00B94734">
        <w:rPr>
          <w:rFonts w:ascii="Arial" w:hAnsi="Arial" w:cs="Arial"/>
          <w:color w:val="000000"/>
        </w:rPr>
        <w:t xml:space="preserve"> nasal spray has a faster onset of action than orally administered antihistamines and nasally administered corticosteroids. A relief of nasal allergic symptoms is observed within 15 minutes after administration.</w:t>
      </w:r>
    </w:p>
    <w:p w14:paraId="07D7D006" w14:textId="77777777" w:rsidR="00A13C6F" w:rsidRPr="00CF1088" w:rsidRDefault="00A13C6F" w:rsidP="00D65FCF">
      <w:pPr>
        <w:autoSpaceDE w:val="0"/>
        <w:autoSpaceDN w:val="0"/>
        <w:adjustRightInd w:val="0"/>
        <w:spacing w:after="0"/>
        <w:rPr>
          <w:rFonts w:ascii="Arial" w:hAnsi="Arial" w:cs="Arial"/>
          <w:b/>
          <w:bCs/>
          <w:color w:val="000000"/>
        </w:rPr>
      </w:pPr>
    </w:p>
    <w:p w14:paraId="7D543A49" w14:textId="77777777" w:rsidR="00A13C6F" w:rsidDel="00835FDC" w:rsidRDefault="00A13C6F" w:rsidP="009B7264">
      <w:pPr>
        <w:autoSpaceDE w:val="0"/>
        <w:autoSpaceDN w:val="0"/>
        <w:adjustRightInd w:val="0"/>
        <w:spacing w:after="0"/>
        <w:rPr>
          <w:rFonts w:ascii="Arial" w:hAnsi="Arial" w:cs="Arial"/>
          <w:color w:val="000000"/>
        </w:rPr>
      </w:pPr>
      <w:r w:rsidRPr="00CF1088" w:rsidDel="00835FDC">
        <w:rPr>
          <w:rFonts w:ascii="Arial" w:hAnsi="Arial" w:cs="Arial"/>
          <w:color w:val="000000"/>
        </w:rPr>
        <w:t>Fluticasone propionate has potent anti-inflammatory activity but when used topically on the nasal mucosa at recommended doses has little or no detectable systemic activity.</w:t>
      </w:r>
    </w:p>
    <w:p w14:paraId="234D06FF" w14:textId="77777777" w:rsidR="00A13C6F" w:rsidRPr="00CF1088" w:rsidDel="00835FDC" w:rsidRDefault="00A13C6F" w:rsidP="009B7264">
      <w:pPr>
        <w:autoSpaceDE w:val="0"/>
        <w:autoSpaceDN w:val="0"/>
        <w:adjustRightInd w:val="0"/>
        <w:spacing w:after="0"/>
        <w:rPr>
          <w:rFonts w:ascii="Arial" w:hAnsi="Arial" w:cs="Arial"/>
          <w:b/>
          <w:bCs/>
          <w:color w:val="000000"/>
        </w:rPr>
      </w:pPr>
    </w:p>
    <w:p w14:paraId="5D121D81" w14:textId="77777777" w:rsidR="00A13C6F" w:rsidRPr="00B8333B" w:rsidRDefault="00A13C6F" w:rsidP="009B7264">
      <w:pPr>
        <w:spacing w:after="0"/>
        <w:rPr>
          <w:rFonts w:ascii="Arial" w:hAnsi="Arial" w:cs="Arial"/>
          <w:b/>
          <w:bCs/>
          <w:sz w:val="24"/>
          <w:szCs w:val="24"/>
        </w:rPr>
      </w:pPr>
      <w:r w:rsidRPr="00B8333B">
        <w:rPr>
          <w:rFonts w:ascii="Arial" w:hAnsi="Arial" w:cs="Arial"/>
          <w:b/>
          <w:bCs/>
          <w:sz w:val="24"/>
          <w:szCs w:val="24"/>
        </w:rPr>
        <w:t>Pharmacokinetics</w:t>
      </w:r>
    </w:p>
    <w:p w14:paraId="5747ACC5" w14:textId="63F5FC26" w:rsidR="00866CD3" w:rsidRDefault="002768A5">
      <w:pPr>
        <w:spacing w:after="0" w:line="240" w:lineRule="auto"/>
        <w:rPr>
          <w:rFonts w:ascii="Arial" w:hAnsi="Arial" w:cs="Arial"/>
          <w:b/>
          <w:bCs/>
        </w:rPr>
      </w:pPr>
      <w:r>
        <w:rPr>
          <w:rFonts w:ascii="Arial" w:hAnsi="Arial" w:cs="Arial"/>
        </w:rPr>
        <w:t xml:space="preserve">Two pharmacokinetic studies demonstrated that simultaneous intranasal administration of </w:t>
      </w:r>
      <w:proofErr w:type="spellStart"/>
      <w:r>
        <w:rPr>
          <w:rFonts w:ascii="Arial" w:hAnsi="Arial" w:cs="Arial"/>
        </w:rPr>
        <w:t>azelastine</w:t>
      </w:r>
      <w:proofErr w:type="spellEnd"/>
      <w:r>
        <w:rPr>
          <w:rFonts w:ascii="Arial" w:hAnsi="Arial" w:cs="Arial"/>
        </w:rPr>
        <w:t xml:space="preserve"> hydrochloride and fluticasone propionate with DY</w:t>
      </w:r>
      <w:r w:rsidR="007506DA" w:rsidRPr="00D4286A">
        <w:rPr>
          <w:rFonts w:ascii="Arial" w:hAnsi="Arial" w:cs="Arial"/>
          <w:color w:val="000000" w:themeColor="text1"/>
        </w:rPr>
        <w:t>LASTINE</w:t>
      </w:r>
      <w:r w:rsidR="00E91931" w:rsidRPr="00FD4410">
        <w:rPr>
          <w:rFonts w:ascii="Arial" w:hAnsi="Arial" w:cs="Arial"/>
        </w:rPr>
        <w:t> </w:t>
      </w:r>
      <w:r>
        <w:rPr>
          <w:rFonts w:ascii="Arial" w:hAnsi="Arial" w:cs="Arial"/>
        </w:rPr>
        <w:t>125/50 does not result in altered systemic absorption of either agent.</w:t>
      </w:r>
    </w:p>
    <w:p w14:paraId="73BBEAC3" w14:textId="77777777" w:rsidR="00A13C6F" w:rsidRDefault="00A13C6F" w:rsidP="00B94734">
      <w:pPr>
        <w:spacing w:after="0"/>
        <w:rPr>
          <w:rFonts w:ascii="Arial" w:hAnsi="Arial" w:cs="Arial"/>
          <w:b/>
          <w:bCs/>
        </w:rPr>
      </w:pPr>
    </w:p>
    <w:p w14:paraId="0B2A3BF2" w14:textId="77777777" w:rsidR="00A13C6F" w:rsidRPr="00B8333B" w:rsidRDefault="00A13C6F" w:rsidP="00B94734">
      <w:pPr>
        <w:spacing w:after="0"/>
        <w:rPr>
          <w:rFonts w:ascii="Arial" w:hAnsi="Arial" w:cs="Arial"/>
          <w:b/>
          <w:bCs/>
        </w:rPr>
      </w:pPr>
      <w:r w:rsidRPr="00B8333B">
        <w:rPr>
          <w:rFonts w:ascii="Arial" w:hAnsi="Arial" w:cs="Arial"/>
          <w:b/>
          <w:bCs/>
        </w:rPr>
        <w:t>Absorption</w:t>
      </w:r>
    </w:p>
    <w:p w14:paraId="6E4A6530" w14:textId="69ECD464" w:rsidR="00A13C6F" w:rsidRDefault="00A13C6F" w:rsidP="00D65FCF">
      <w:pPr>
        <w:spacing w:after="0"/>
        <w:rPr>
          <w:rFonts w:ascii="Arial" w:hAnsi="Arial" w:cs="Arial"/>
        </w:rPr>
      </w:pPr>
      <w:r w:rsidRPr="00F37032">
        <w:rPr>
          <w:rFonts w:ascii="Arial" w:hAnsi="Arial" w:cs="Arial"/>
        </w:rPr>
        <w:t xml:space="preserve">After intranasal administration of two sprays per nostril </w:t>
      </w:r>
      <w:r w:rsidRPr="00F15F6C">
        <w:rPr>
          <w:rFonts w:ascii="Arial" w:hAnsi="Arial" w:cs="Arial"/>
        </w:rPr>
        <w:t>(</w:t>
      </w:r>
      <w:r w:rsidR="009D66CF" w:rsidRPr="00F15F6C">
        <w:rPr>
          <w:rFonts w:ascii="Arial" w:hAnsi="Arial" w:cs="Arial"/>
        </w:rPr>
        <w:t>500</w:t>
      </w:r>
      <w:r w:rsidR="009D66CF" w:rsidRPr="00F37032">
        <w:rPr>
          <w:rFonts w:ascii="Arial" w:hAnsi="Arial" w:cs="Arial"/>
        </w:rPr>
        <w:t xml:space="preserve"> </w:t>
      </w:r>
      <w:r>
        <w:rPr>
          <w:rFonts w:ascii="Arial" w:hAnsi="Arial" w:cs="Arial"/>
        </w:rPr>
        <w:t>µ</w:t>
      </w:r>
      <w:r w:rsidRPr="00F37032">
        <w:rPr>
          <w:rFonts w:ascii="Arial" w:hAnsi="Arial" w:cs="Arial"/>
        </w:rPr>
        <w:t xml:space="preserve">g of </w:t>
      </w:r>
      <w:proofErr w:type="spellStart"/>
      <w:r w:rsidRPr="00F37032">
        <w:rPr>
          <w:rFonts w:ascii="Arial" w:hAnsi="Arial" w:cs="Arial"/>
        </w:rPr>
        <w:t>azelastine</w:t>
      </w:r>
      <w:proofErr w:type="spellEnd"/>
      <w:r w:rsidRPr="00F37032">
        <w:rPr>
          <w:rFonts w:ascii="Arial" w:hAnsi="Arial" w:cs="Arial"/>
        </w:rPr>
        <w:t xml:space="preserve"> and 20</w:t>
      </w:r>
      <w:r>
        <w:rPr>
          <w:rFonts w:ascii="Arial" w:hAnsi="Arial" w:cs="Arial"/>
        </w:rPr>
        <w:t>0 µg of fluticasone</w:t>
      </w:r>
      <w:r w:rsidRPr="00F37032">
        <w:rPr>
          <w:rFonts w:ascii="Arial" w:hAnsi="Arial" w:cs="Arial"/>
        </w:rPr>
        <w:t xml:space="preserve"> propionate</w:t>
      </w:r>
      <w:r w:rsidR="00ED66CF">
        <w:rPr>
          <w:rFonts w:ascii="Arial" w:hAnsi="Arial" w:cs="Arial"/>
        </w:rPr>
        <w:t>) of DYLASTINE</w:t>
      </w:r>
      <w:r w:rsidR="00FD4410" w:rsidRPr="00FD4410">
        <w:rPr>
          <w:rFonts w:ascii="Arial" w:hAnsi="Arial" w:cs="Arial"/>
        </w:rPr>
        <w:t> 125/50</w:t>
      </w:r>
      <w:r w:rsidR="00FD4410">
        <w:rPr>
          <w:rFonts w:ascii="Arial" w:hAnsi="Arial" w:cs="Arial"/>
        </w:rPr>
        <w:t xml:space="preserve"> </w:t>
      </w:r>
      <w:r>
        <w:rPr>
          <w:rFonts w:ascii="Arial" w:hAnsi="Arial" w:cs="Arial"/>
        </w:rPr>
        <w:t>n</w:t>
      </w:r>
      <w:r w:rsidRPr="00F37032">
        <w:rPr>
          <w:rFonts w:ascii="Arial" w:hAnsi="Arial" w:cs="Arial"/>
        </w:rPr>
        <w:t xml:space="preserve">asal </w:t>
      </w:r>
      <w:r>
        <w:rPr>
          <w:rFonts w:ascii="Arial" w:hAnsi="Arial" w:cs="Arial"/>
        </w:rPr>
        <w:t>s</w:t>
      </w:r>
      <w:r w:rsidRPr="00F37032">
        <w:rPr>
          <w:rFonts w:ascii="Arial" w:hAnsi="Arial" w:cs="Arial"/>
        </w:rPr>
        <w:t>pray, the mean (± standard deviation) peak plasma exposure (</w:t>
      </w:r>
      <w:proofErr w:type="spellStart"/>
      <w:r w:rsidRPr="00F37032">
        <w:rPr>
          <w:rFonts w:ascii="Arial" w:hAnsi="Arial" w:cs="Arial"/>
        </w:rPr>
        <w:t>Cmax</w:t>
      </w:r>
      <w:proofErr w:type="spellEnd"/>
      <w:r w:rsidRPr="00F37032">
        <w:rPr>
          <w:rFonts w:ascii="Arial" w:hAnsi="Arial" w:cs="Arial"/>
        </w:rPr>
        <w:t xml:space="preserve">) was 194.5 ± 74.4 </w:t>
      </w:r>
      <w:proofErr w:type="spellStart"/>
      <w:r w:rsidRPr="00F37032">
        <w:rPr>
          <w:rFonts w:ascii="Arial" w:hAnsi="Arial" w:cs="Arial"/>
        </w:rPr>
        <w:t>pg</w:t>
      </w:r>
      <w:proofErr w:type="spellEnd"/>
      <w:r w:rsidRPr="00F37032">
        <w:rPr>
          <w:rFonts w:ascii="Arial" w:hAnsi="Arial" w:cs="Arial"/>
        </w:rPr>
        <w:t xml:space="preserve">/mL for </w:t>
      </w:r>
      <w:proofErr w:type="spellStart"/>
      <w:r w:rsidRPr="00F37032">
        <w:rPr>
          <w:rFonts w:ascii="Arial" w:hAnsi="Arial" w:cs="Arial"/>
        </w:rPr>
        <w:t>azelastine</w:t>
      </w:r>
      <w:proofErr w:type="spellEnd"/>
      <w:r w:rsidRPr="00F37032">
        <w:rPr>
          <w:rFonts w:ascii="Arial" w:hAnsi="Arial" w:cs="Arial"/>
        </w:rPr>
        <w:t xml:space="preserve"> and 10.3±3.9 </w:t>
      </w:r>
      <w:proofErr w:type="spellStart"/>
      <w:r w:rsidRPr="00F37032">
        <w:rPr>
          <w:rFonts w:ascii="Arial" w:hAnsi="Arial" w:cs="Arial"/>
        </w:rPr>
        <w:t>pg</w:t>
      </w:r>
      <w:proofErr w:type="spellEnd"/>
      <w:r w:rsidRPr="00F37032">
        <w:rPr>
          <w:rFonts w:ascii="Arial" w:hAnsi="Arial" w:cs="Arial"/>
        </w:rPr>
        <w:t xml:space="preserve">/mL for fluticasone and the mean total exposure (AUC) was 4217 ± 2618 </w:t>
      </w:r>
      <w:proofErr w:type="spellStart"/>
      <w:r w:rsidRPr="00F37032">
        <w:rPr>
          <w:rFonts w:ascii="Arial" w:hAnsi="Arial" w:cs="Arial"/>
        </w:rPr>
        <w:t>pg</w:t>
      </w:r>
      <w:proofErr w:type="spellEnd"/>
      <w:r w:rsidRPr="00F37032">
        <w:rPr>
          <w:rFonts w:ascii="Arial" w:hAnsi="Arial" w:cs="Arial"/>
        </w:rPr>
        <w:t>/mL*</w:t>
      </w:r>
      <w:proofErr w:type="spellStart"/>
      <w:r w:rsidRPr="00F37032">
        <w:rPr>
          <w:rFonts w:ascii="Arial" w:hAnsi="Arial" w:cs="Arial"/>
        </w:rPr>
        <w:t>hr</w:t>
      </w:r>
      <w:proofErr w:type="spellEnd"/>
      <w:r w:rsidRPr="00F37032">
        <w:rPr>
          <w:rFonts w:ascii="Arial" w:hAnsi="Arial" w:cs="Arial"/>
        </w:rPr>
        <w:t xml:space="preserve"> for </w:t>
      </w:r>
      <w:proofErr w:type="spellStart"/>
      <w:r w:rsidRPr="00F37032">
        <w:rPr>
          <w:rFonts w:ascii="Arial" w:hAnsi="Arial" w:cs="Arial"/>
        </w:rPr>
        <w:t>azelastine</w:t>
      </w:r>
      <w:proofErr w:type="spellEnd"/>
      <w:r w:rsidRPr="00F37032">
        <w:rPr>
          <w:rFonts w:ascii="Arial" w:hAnsi="Arial" w:cs="Arial"/>
        </w:rPr>
        <w:t xml:space="preserve"> and 97.7 ± 43.1 </w:t>
      </w:r>
      <w:proofErr w:type="spellStart"/>
      <w:r w:rsidRPr="00F37032">
        <w:rPr>
          <w:rFonts w:ascii="Arial" w:hAnsi="Arial" w:cs="Arial"/>
        </w:rPr>
        <w:t>pg</w:t>
      </w:r>
      <w:proofErr w:type="spellEnd"/>
      <w:r w:rsidRPr="00F37032">
        <w:rPr>
          <w:rFonts w:ascii="Arial" w:hAnsi="Arial" w:cs="Arial"/>
        </w:rPr>
        <w:t>/mL*</w:t>
      </w:r>
      <w:proofErr w:type="spellStart"/>
      <w:r w:rsidRPr="00F37032">
        <w:rPr>
          <w:rFonts w:ascii="Arial" w:hAnsi="Arial" w:cs="Arial"/>
        </w:rPr>
        <w:t>hr</w:t>
      </w:r>
      <w:proofErr w:type="spellEnd"/>
      <w:r w:rsidRPr="00F37032">
        <w:rPr>
          <w:rFonts w:ascii="Arial" w:hAnsi="Arial" w:cs="Arial"/>
        </w:rPr>
        <w:t xml:space="preserve"> for fluticasone. The median time to peak exposure (</w:t>
      </w:r>
      <w:proofErr w:type="spellStart"/>
      <w:r w:rsidRPr="00F37032">
        <w:rPr>
          <w:rFonts w:ascii="Arial" w:hAnsi="Arial" w:cs="Arial"/>
        </w:rPr>
        <w:t>tmax</w:t>
      </w:r>
      <w:proofErr w:type="spellEnd"/>
      <w:r w:rsidRPr="00F37032">
        <w:rPr>
          <w:rFonts w:ascii="Arial" w:hAnsi="Arial" w:cs="Arial"/>
        </w:rPr>
        <w:t xml:space="preserve">) from a single dose was 0.5 hours for </w:t>
      </w:r>
      <w:proofErr w:type="spellStart"/>
      <w:r w:rsidRPr="00F37032">
        <w:rPr>
          <w:rFonts w:ascii="Arial" w:hAnsi="Arial" w:cs="Arial"/>
        </w:rPr>
        <w:t>azelastine</w:t>
      </w:r>
      <w:proofErr w:type="spellEnd"/>
      <w:r w:rsidRPr="00F37032">
        <w:rPr>
          <w:rFonts w:ascii="Arial" w:hAnsi="Arial" w:cs="Arial"/>
        </w:rPr>
        <w:t xml:space="preserve"> and 1.0 hours for fluticasone</w:t>
      </w:r>
      <w:r w:rsidR="00002154">
        <w:rPr>
          <w:rFonts w:ascii="Arial" w:hAnsi="Arial" w:cs="Arial"/>
        </w:rPr>
        <w:t>.</w:t>
      </w:r>
    </w:p>
    <w:p w14:paraId="3718DE12" w14:textId="3D9CFCDC" w:rsidR="00002154" w:rsidRPr="00B94734" w:rsidRDefault="00002154" w:rsidP="00D65FCF">
      <w:pPr>
        <w:spacing w:after="0"/>
        <w:rPr>
          <w:rFonts w:ascii="Arial" w:hAnsi="Arial" w:cs="Arial"/>
        </w:rPr>
      </w:pPr>
      <w:r>
        <w:rPr>
          <w:rFonts w:ascii="Arial" w:hAnsi="Arial" w:cs="Arial"/>
        </w:rPr>
        <w:t xml:space="preserve">After intranasal administration, the systemic bioavailability of </w:t>
      </w:r>
      <w:proofErr w:type="spellStart"/>
      <w:r>
        <w:rPr>
          <w:rFonts w:ascii="Arial" w:hAnsi="Arial" w:cs="Arial"/>
        </w:rPr>
        <w:t>azelastine</w:t>
      </w:r>
      <w:proofErr w:type="spellEnd"/>
      <w:r>
        <w:rPr>
          <w:rFonts w:ascii="Arial" w:hAnsi="Arial" w:cs="Arial"/>
        </w:rPr>
        <w:t xml:space="preserve"> hydrochloride is approximately 40%.  The absolute bioavailability of intranasal fluticasone at high doses (2,400 </w:t>
      </w:r>
      <w:proofErr w:type="spellStart"/>
      <w:r>
        <w:rPr>
          <w:rFonts w:ascii="Arial" w:hAnsi="Arial" w:cs="Arial"/>
        </w:rPr>
        <w:t>μg</w:t>
      </w:r>
      <w:proofErr w:type="spellEnd"/>
      <w:r>
        <w:rPr>
          <w:rFonts w:ascii="Arial" w:hAnsi="Arial" w:cs="Arial"/>
        </w:rPr>
        <w:t xml:space="preserve">/day </w:t>
      </w:r>
      <w:r w:rsidR="00303354">
        <w:rPr>
          <w:rFonts w:ascii="Arial" w:hAnsi="Arial" w:cs="Arial"/>
        </w:rPr>
        <w:t>i.e.</w:t>
      </w:r>
      <w:r>
        <w:rPr>
          <w:rFonts w:ascii="Arial" w:hAnsi="Arial" w:cs="Arial"/>
        </w:rPr>
        <w:t xml:space="preserve"> 12 times the recommended dose) is estimated as 1.26% (90% CI 0.85, 1.86). </w:t>
      </w:r>
    </w:p>
    <w:p w14:paraId="500C274A" w14:textId="77777777" w:rsidR="00A13C6F" w:rsidRDefault="00A13C6F" w:rsidP="00D65FCF">
      <w:pPr>
        <w:spacing w:after="0"/>
        <w:rPr>
          <w:rFonts w:ascii="Arial" w:hAnsi="Arial" w:cs="Arial"/>
          <w:b/>
          <w:bCs/>
        </w:rPr>
      </w:pPr>
    </w:p>
    <w:p w14:paraId="7D4C180C" w14:textId="77777777" w:rsidR="00A13C6F" w:rsidRPr="00B8333B" w:rsidRDefault="00A13C6F" w:rsidP="00B94734">
      <w:pPr>
        <w:spacing w:after="0"/>
        <w:rPr>
          <w:rFonts w:ascii="Arial" w:hAnsi="Arial" w:cs="Arial"/>
          <w:b/>
          <w:bCs/>
        </w:rPr>
      </w:pPr>
      <w:r w:rsidRPr="00B8333B">
        <w:rPr>
          <w:rFonts w:ascii="Arial" w:hAnsi="Arial" w:cs="Arial"/>
          <w:b/>
          <w:bCs/>
        </w:rPr>
        <w:t>Distribution</w:t>
      </w:r>
    </w:p>
    <w:p w14:paraId="6B438037" w14:textId="3772A356" w:rsidR="00A13C6F" w:rsidRDefault="00A13C6F" w:rsidP="00D65FCF">
      <w:pPr>
        <w:spacing w:after="0"/>
        <w:rPr>
          <w:rFonts w:ascii="Arial" w:hAnsi="Arial" w:cs="Arial"/>
        </w:rPr>
      </w:pPr>
      <w:r w:rsidRPr="006C790D">
        <w:rPr>
          <w:rFonts w:ascii="Arial" w:hAnsi="Arial" w:cs="Arial"/>
        </w:rPr>
        <w:t>After oral and intravenous administration</w:t>
      </w:r>
      <w:r>
        <w:rPr>
          <w:rFonts w:ascii="Arial" w:hAnsi="Arial" w:cs="Arial"/>
        </w:rPr>
        <w:t xml:space="preserve"> of </w:t>
      </w:r>
      <w:proofErr w:type="spellStart"/>
      <w:r>
        <w:rPr>
          <w:rFonts w:ascii="Arial" w:hAnsi="Arial" w:cs="Arial"/>
        </w:rPr>
        <w:t>azelastine</w:t>
      </w:r>
      <w:proofErr w:type="spellEnd"/>
      <w:r w:rsidRPr="006C790D">
        <w:rPr>
          <w:rFonts w:ascii="Arial" w:hAnsi="Arial" w:cs="Arial"/>
        </w:rPr>
        <w:t>, the mean volum</w:t>
      </w:r>
      <w:r>
        <w:rPr>
          <w:rFonts w:ascii="Arial" w:hAnsi="Arial" w:cs="Arial"/>
        </w:rPr>
        <w:t xml:space="preserve">e of distribution was 14.5 L/kg. </w:t>
      </w:r>
      <w:r w:rsidRPr="00E91931">
        <w:rPr>
          <w:rFonts w:ascii="Arial" w:hAnsi="Arial" w:cs="Arial"/>
          <w:i/>
        </w:rPr>
        <w:t>In vitro</w:t>
      </w:r>
      <w:r w:rsidRPr="006C790D">
        <w:rPr>
          <w:rFonts w:ascii="Arial" w:hAnsi="Arial" w:cs="Arial"/>
        </w:rPr>
        <w:t xml:space="preserve"> studies with human plasma indicate that the plasma protein binding of </w:t>
      </w:r>
      <w:proofErr w:type="spellStart"/>
      <w:r w:rsidRPr="006C790D">
        <w:rPr>
          <w:rFonts w:ascii="Arial" w:hAnsi="Arial" w:cs="Arial"/>
        </w:rPr>
        <w:t>azelastine</w:t>
      </w:r>
      <w:proofErr w:type="spellEnd"/>
      <w:r w:rsidRPr="006C790D">
        <w:rPr>
          <w:rFonts w:ascii="Arial" w:hAnsi="Arial" w:cs="Arial"/>
        </w:rPr>
        <w:t xml:space="preserve"> </w:t>
      </w:r>
      <w:r w:rsidR="001E7E89">
        <w:rPr>
          <w:rFonts w:ascii="Arial" w:hAnsi="Arial" w:cs="Arial"/>
        </w:rPr>
        <w:t xml:space="preserve">and </w:t>
      </w:r>
      <w:proofErr w:type="spellStart"/>
      <w:r w:rsidR="001E7E89">
        <w:rPr>
          <w:rFonts w:ascii="Arial" w:hAnsi="Arial" w:cs="Arial"/>
        </w:rPr>
        <w:t>desmethylazelastine</w:t>
      </w:r>
      <w:proofErr w:type="spellEnd"/>
      <w:r w:rsidR="001E7E89">
        <w:rPr>
          <w:rFonts w:ascii="Arial" w:hAnsi="Arial" w:cs="Arial"/>
        </w:rPr>
        <w:t xml:space="preserve"> are</w:t>
      </w:r>
      <w:r w:rsidR="00E91931">
        <w:rPr>
          <w:rFonts w:ascii="Arial" w:hAnsi="Arial" w:cs="Arial"/>
        </w:rPr>
        <w:t xml:space="preserve"> approximately 88</w:t>
      </w:r>
      <w:r w:rsidRPr="006C790D">
        <w:rPr>
          <w:rFonts w:ascii="Arial" w:hAnsi="Arial" w:cs="Arial"/>
        </w:rPr>
        <w:t>%</w:t>
      </w:r>
      <w:r w:rsidR="001E7E89">
        <w:rPr>
          <w:rFonts w:ascii="Arial" w:hAnsi="Arial" w:cs="Arial"/>
        </w:rPr>
        <w:t xml:space="preserve"> and 97%</w:t>
      </w:r>
      <w:r w:rsidR="008E0E54">
        <w:rPr>
          <w:rFonts w:ascii="Arial" w:hAnsi="Arial" w:cs="Arial"/>
        </w:rPr>
        <w:t>,</w:t>
      </w:r>
      <w:r w:rsidR="001E7E89">
        <w:rPr>
          <w:rFonts w:ascii="Arial" w:hAnsi="Arial" w:cs="Arial"/>
        </w:rPr>
        <w:t xml:space="preserve"> respectively</w:t>
      </w:r>
      <w:r>
        <w:rPr>
          <w:rFonts w:ascii="Arial" w:hAnsi="Arial" w:cs="Arial"/>
        </w:rPr>
        <w:t>.</w:t>
      </w:r>
      <w:r w:rsidRPr="006C790D">
        <w:rPr>
          <w:rFonts w:ascii="Arial" w:hAnsi="Arial" w:cs="Arial"/>
        </w:rPr>
        <w:t xml:space="preserve"> </w:t>
      </w:r>
    </w:p>
    <w:p w14:paraId="179AA190" w14:textId="77777777" w:rsidR="00A13C6F" w:rsidRDefault="00A13C6F" w:rsidP="00D65FCF">
      <w:pPr>
        <w:spacing w:after="0"/>
        <w:rPr>
          <w:rFonts w:ascii="Arial" w:hAnsi="Arial" w:cs="Arial"/>
        </w:rPr>
      </w:pPr>
    </w:p>
    <w:p w14:paraId="2234D43A" w14:textId="77777777" w:rsidR="00A13C6F" w:rsidRPr="00B94734" w:rsidRDefault="00A13C6F" w:rsidP="00D65FCF">
      <w:pPr>
        <w:spacing w:after="0"/>
        <w:rPr>
          <w:rFonts w:ascii="Arial" w:hAnsi="Arial" w:cs="Arial"/>
        </w:rPr>
      </w:pPr>
      <w:r w:rsidRPr="00B94734">
        <w:rPr>
          <w:rFonts w:ascii="Arial" w:hAnsi="Arial" w:cs="Arial"/>
        </w:rPr>
        <w:t xml:space="preserve">Fluticasone propionate has a large volume of distribution at steady-state (approximately 318 </w:t>
      </w:r>
      <w:r>
        <w:rPr>
          <w:rFonts w:ascii="Arial" w:hAnsi="Arial" w:cs="Arial"/>
        </w:rPr>
        <w:t>L</w:t>
      </w:r>
      <w:r w:rsidRPr="00B94734">
        <w:rPr>
          <w:rFonts w:ascii="Arial" w:hAnsi="Arial" w:cs="Arial"/>
        </w:rPr>
        <w:t>). Plasma protein binding is 91%.</w:t>
      </w:r>
    </w:p>
    <w:p w14:paraId="5FBE7069" w14:textId="77777777" w:rsidR="00A13C6F" w:rsidRDefault="00A13C6F" w:rsidP="00D65FCF">
      <w:pPr>
        <w:spacing w:after="0"/>
        <w:rPr>
          <w:rFonts w:ascii="Arial" w:hAnsi="Arial" w:cs="Arial"/>
        </w:rPr>
      </w:pPr>
    </w:p>
    <w:p w14:paraId="27EB66F4" w14:textId="77777777" w:rsidR="00A13C6F" w:rsidRPr="006E0F37" w:rsidRDefault="00A13C6F" w:rsidP="00B94734">
      <w:pPr>
        <w:spacing w:after="0"/>
        <w:rPr>
          <w:rFonts w:ascii="Arial" w:hAnsi="Arial" w:cs="Arial"/>
          <w:b/>
          <w:bCs/>
        </w:rPr>
      </w:pPr>
      <w:r w:rsidRPr="006E0F37">
        <w:rPr>
          <w:rFonts w:ascii="Arial" w:hAnsi="Arial" w:cs="Arial"/>
          <w:b/>
          <w:bCs/>
        </w:rPr>
        <w:t>Metabolism</w:t>
      </w:r>
    </w:p>
    <w:p w14:paraId="0CD96D52" w14:textId="68EF3CA5" w:rsidR="00A13C6F" w:rsidRDefault="00A13C6F" w:rsidP="00D65FCF">
      <w:pPr>
        <w:spacing w:after="0"/>
        <w:rPr>
          <w:rFonts w:ascii="Arial" w:hAnsi="Arial" w:cs="Arial"/>
        </w:rPr>
      </w:pPr>
      <w:proofErr w:type="spellStart"/>
      <w:r w:rsidRPr="00776D5B">
        <w:rPr>
          <w:rFonts w:ascii="Arial" w:hAnsi="Arial" w:cs="Arial"/>
        </w:rPr>
        <w:t>Azelastine</w:t>
      </w:r>
      <w:proofErr w:type="spellEnd"/>
      <w:r>
        <w:rPr>
          <w:rFonts w:ascii="Arial" w:hAnsi="Arial" w:cs="Arial"/>
        </w:rPr>
        <w:t xml:space="preserve"> </w:t>
      </w:r>
      <w:r w:rsidRPr="00776D5B">
        <w:rPr>
          <w:rFonts w:ascii="Arial" w:hAnsi="Arial" w:cs="Arial"/>
        </w:rPr>
        <w:t xml:space="preserve">is extensively metabolised, </w:t>
      </w:r>
      <w:proofErr w:type="spellStart"/>
      <w:r w:rsidRPr="00776D5B">
        <w:rPr>
          <w:rFonts w:ascii="Arial" w:hAnsi="Arial" w:cs="Arial"/>
        </w:rPr>
        <w:t>desmethylazelastine</w:t>
      </w:r>
      <w:proofErr w:type="spellEnd"/>
      <w:r w:rsidRPr="00776D5B">
        <w:rPr>
          <w:rFonts w:ascii="Arial" w:hAnsi="Arial" w:cs="Arial"/>
        </w:rPr>
        <w:t xml:space="preserve"> being the principal metabolite. No specific isoform of cytochrome P450 was found to be specific in the metabolism of </w:t>
      </w:r>
      <w:proofErr w:type="spellStart"/>
      <w:r w:rsidRPr="00776D5B">
        <w:rPr>
          <w:rFonts w:ascii="Arial" w:hAnsi="Arial" w:cs="Arial"/>
        </w:rPr>
        <w:t>azelastine</w:t>
      </w:r>
      <w:proofErr w:type="spellEnd"/>
      <w:r w:rsidRPr="00776D5B">
        <w:rPr>
          <w:rFonts w:ascii="Arial" w:hAnsi="Arial" w:cs="Arial"/>
        </w:rPr>
        <w:t xml:space="preserve"> at low concentrations (6 - 30 ng/mL) in human liver </w:t>
      </w:r>
      <w:proofErr w:type="spellStart"/>
      <w:r w:rsidRPr="00776D5B">
        <w:rPr>
          <w:rFonts w:ascii="Arial" w:hAnsi="Arial" w:cs="Arial"/>
        </w:rPr>
        <w:t>microsomes</w:t>
      </w:r>
      <w:proofErr w:type="spellEnd"/>
      <w:r w:rsidRPr="00776D5B">
        <w:rPr>
          <w:rFonts w:ascii="Arial" w:hAnsi="Arial" w:cs="Arial"/>
        </w:rPr>
        <w:t xml:space="preserve">. </w:t>
      </w:r>
    </w:p>
    <w:p w14:paraId="0C438BA1" w14:textId="77777777" w:rsidR="00A13C6F" w:rsidRDefault="00A13C6F" w:rsidP="00D65FCF">
      <w:pPr>
        <w:spacing w:after="0"/>
        <w:rPr>
          <w:rFonts w:ascii="Arial" w:hAnsi="Arial" w:cs="Arial"/>
        </w:rPr>
      </w:pPr>
    </w:p>
    <w:p w14:paraId="165052BE" w14:textId="77777777" w:rsidR="00A13C6F" w:rsidRPr="00B94734" w:rsidRDefault="00A13C6F" w:rsidP="00D65FCF">
      <w:pPr>
        <w:spacing w:after="0"/>
        <w:rPr>
          <w:rFonts w:ascii="Arial" w:hAnsi="Arial" w:cs="Arial"/>
        </w:rPr>
      </w:pPr>
      <w:r w:rsidRPr="00B94734">
        <w:rPr>
          <w:rFonts w:ascii="Arial" w:hAnsi="Arial" w:cs="Arial"/>
        </w:rPr>
        <w:t>Fluticasone propionate is cleared rapidly from the systemic circulation, principally by hepatic metabolism to an inactive carboxylic acid metabolite, by the cytochrome P450 enzyme CYP3A4. Swallowed fluticasone propionate is also subject to extensive first pass metabolism. Care should be taken when co-administering potent CYP3A4 inhibitors such as ketoconazole and ritonavir as there is potential for increased systemic exposure to fluticasone prop</w:t>
      </w:r>
      <w:r>
        <w:rPr>
          <w:rFonts w:ascii="Arial" w:hAnsi="Arial" w:cs="Arial"/>
        </w:rPr>
        <w:t xml:space="preserve">ionate (see </w:t>
      </w:r>
      <w:r w:rsidRPr="004B6C93">
        <w:rPr>
          <w:rFonts w:ascii="Arial" w:hAnsi="Arial" w:cs="Arial"/>
          <w:b/>
          <w:bCs/>
        </w:rPr>
        <w:t>PRECAUTIONS</w:t>
      </w:r>
      <w:r>
        <w:rPr>
          <w:rFonts w:ascii="Arial" w:hAnsi="Arial" w:cs="Arial"/>
        </w:rPr>
        <w:t xml:space="preserve"> – </w:t>
      </w:r>
      <w:r w:rsidRPr="00650406">
        <w:rPr>
          <w:rFonts w:ascii="Arial" w:hAnsi="Arial" w:cs="Arial"/>
          <w:b/>
          <w:bCs/>
        </w:rPr>
        <w:t>Use of Cytochrome P450 3A4 Inhibitors</w:t>
      </w:r>
      <w:r>
        <w:rPr>
          <w:rFonts w:ascii="Arial" w:hAnsi="Arial" w:cs="Arial"/>
        </w:rPr>
        <w:t xml:space="preserve">) and </w:t>
      </w:r>
      <w:r w:rsidRPr="004B6C93">
        <w:rPr>
          <w:rFonts w:ascii="Arial" w:hAnsi="Arial" w:cs="Arial"/>
          <w:b/>
          <w:bCs/>
        </w:rPr>
        <w:t>INTERACTIONS WITH OTHER MEDICINES</w:t>
      </w:r>
      <w:r w:rsidRPr="00B94734">
        <w:rPr>
          <w:rFonts w:ascii="Arial" w:hAnsi="Arial" w:cs="Arial"/>
        </w:rPr>
        <w:t>).</w:t>
      </w:r>
    </w:p>
    <w:p w14:paraId="2282FFCB" w14:textId="012A6F96" w:rsidR="005C6867" w:rsidRDefault="005C6867">
      <w:pPr>
        <w:spacing w:after="0" w:line="240" w:lineRule="auto"/>
        <w:rPr>
          <w:rFonts w:ascii="Arial" w:hAnsi="Arial" w:cs="Arial"/>
        </w:rPr>
      </w:pPr>
      <w:r>
        <w:rPr>
          <w:rFonts w:ascii="Arial" w:hAnsi="Arial" w:cs="Arial"/>
        </w:rPr>
        <w:br w:type="page"/>
      </w:r>
    </w:p>
    <w:p w14:paraId="169BCE23" w14:textId="77777777" w:rsidR="00A13C6F" w:rsidRPr="00023D5D" w:rsidRDefault="00A13C6F" w:rsidP="00B94734">
      <w:pPr>
        <w:spacing w:after="0"/>
        <w:rPr>
          <w:rFonts w:ascii="Arial" w:hAnsi="Arial" w:cs="Arial"/>
          <w:b/>
          <w:bCs/>
        </w:rPr>
      </w:pPr>
      <w:r w:rsidRPr="00023D5D">
        <w:rPr>
          <w:rFonts w:ascii="Arial" w:hAnsi="Arial" w:cs="Arial"/>
          <w:b/>
          <w:bCs/>
        </w:rPr>
        <w:lastRenderedPageBreak/>
        <w:t>Elimination</w:t>
      </w:r>
    </w:p>
    <w:p w14:paraId="17C6E53F" w14:textId="52DE33C9" w:rsidR="00A13C6F" w:rsidRDefault="00A13C6F" w:rsidP="00D65FCF">
      <w:pPr>
        <w:spacing w:after="0"/>
        <w:rPr>
          <w:rFonts w:ascii="Arial" w:hAnsi="Arial" w:cs="Arial"/>
        </w:rPr>
      </w:pPr>
      <w:r w:rsidRPr="00B94734">
        <w:rPr>
          <w:rFonts w:ascii="Arial" w:hAnsi="Arial" w:cs="Arial"/>
        </w:rPr>
        <w:t xml:space="preserve">Plasma elimination half-lives after a single dose of </w:t>
      </w:r>
      <w:proofErr w:type="spellStart"/>
      <w:r w:rsidRPr="00B94734">
        <w:rPr>
          <w:rFonts w:ascii="Arial" w:hAnsi="Arial" w:cs="Arial"/>
        </w:rPr>
        <w:t>azelastine</w:t>
      </w:r>
      <w:proofErr w:type="spellEnd"/>
      <w:r w:rsidRPr="00B94734">
        <w:rPr>
          <w:rFonts w:ascii="Arial" w:hAnsi="Arial" w:cs="Arial"/>
        </w:rPr>
        <w:t xml:space="preserve"> are </w:t>
      </w:r>
      <w:r>
        <w:rPr>
          <w:rFonts w:ascii="Arial" w:hAnsi="Arial" w:cs="Arial"/>
        </w:rPr>
        <w:t>22</w:t>
      </w:r>
      <w:r w:rsidRPr="00B94734">
        <w:rPr>
          <w:rFonts w:ascii="Arial" w:hAnsi="Arial" w:cs="Arial"/>
        </w:rPr>
        <w:t xml:space="preserve"> hours for </w:t>
      </w:r>
      <w:proofErr w:type="spellStart"/>
      <w:r w:rsidRPr="00B94734">
        <w:rPr>
          <w:rFonts w:ascii="Arial" w:hAnsi="Arial" w:cs="Arial"/>
        </w:rPr>
        <w:t>azelastine</w:t>
      </w:r>
      <w:proofErr w:type="spellEnd"/>
      <w:r w:rsidRPr="00B94734">
        <w:rPr>
          <w:rFonts w:ascii="Arial" w:hAnsi="Arial" w:cs="Arial"/>
        </w:rPr>
        <w:t xml:space="preserve"> and </w:t>
      </w:r>
      <w:r>
        <w:rPr>
          <w:rFonts w:ascii="Arial" w:hAnsi="Arial" w:cs="Arial"/>
        </w:rPr>
        <w:t xml:space="preserve">56 </w:t>
      </w:r>
      <w:r w:rsidRPr="00B94734">
        <w:rPr>
          <w:rFonts w:ascii="Arial" w:hAnsi="Arial" w:cs="Arial"/>
        </w:rPr>
        <w:t>hours for the therapeutically active metabolite N-</w:t>
      </w:r>
      <w:proofErr w:type="spellStart"/>
      <w:r w:rsidRPr="00B94734">
        <w:rPr>
          <w:rFonts w:ascii="Arial" w:hAnsi="Arial" w:cs="Arial"/>
        </w:rPr>
        <w:t>desmethyl</w:t>
      </w:r>
      <w:proofErr w:type="spellEnd"/>
      <w:r w:rsidRPr="00B94734">
        <w:rPr>
          <w:rFonts w:ascii="Arial" w:hAnsi="Arial" w:cs="Arial"/>
        </w:rPr>
        <w:t xml:space="preserve"> </w:t>
      </w:r>
      <w:proofErr w:type="spellStart"/>
      <w:r w:rsidRPr="00B94734">
        <w:rPr>
          <w:rFonts w:ascii="Arial" w:hAnsi="Arial" w:cs="Arial"/>
        </w:rPr>
        <w:t>azelastine</w:t>
      </w:r>
      <w:proofErr w:type="spellEnd"/>
      <w:r w:rsidRPr="00B94734">
        <w:rPr>
          <w:rFonts w:ascii="Arial" w:hAnsi="Arial" w:cs="Arial"/>
        </w:rPr>
        <w:t xml:space="preserve">. </w:t>
      </w:r>
      <w:r w:rsidR="001E7E89">
        <w:rPr>
          <w:rFonts w:ascii="Arial" w:hAnsi="Arial" w:cs="Arial"/>
        </w:rPr>
        <w:t xml:space="preserve">Up to 74% of radiolabelled oral or intravenous dose is excreted in faeces and 26% in urine.  Thirteen percent is excreted in urine as unchanged </w:t>
      </w:r>
      <w:proofErr w:type="spellStart"/>
      <w:r w:rsidR="001E7E89">
        <w:rPr>
          <w:rFonts w:ascii="Arial" w:hAnsi="Arial" w:cs="Arial"/>
        </w:rPr>
        <w:t>azelastine</w:t>
      </w:r>
      <w:proofErr w:type="spellEnd"/>
      <w:r w:rsidR="001E7E89">
        <w:rPr>
          <w:rFonts w:ascii="Arial" w:hAnsi="Arial" w:cs="Arial"/>
        </w:rPr>
        <w:t xml:space="preserve">. </w:t>
      </w:r>
    </w:p>
    <w:p w14:paraId="44555EF4" w14:textId="77777777" w:rsidR="00A13C6F" w:rsidRPr="00B94734" w:rsidRDefault="00A13C6F" w:rsidP="00D65FCF">
      <w:pPr>
        <w:spacing w:after="0"/>
        <w:rPr>
          <w:rFonts w:ascii="Arial" w:hAnsi="Arial" w:cs="Arial"/>
        </w:rPr>
      </w:pPr>
      <w:r w:rsidRPr="00B94734">
        <w:rPr>
          <w:rFonts w:ascii="Arial" w:hAnsi="Arial" w:cs="Arial"/>
        </w:rPr>
        <w:t xml:space="preserve">The elimination rate of intravenous administered fluticasone propionate is linear over the 250—1000 </w:t>
      </w:r>
      <w:r>
        <w:rPr>
          <w:rFonts w:ascii="Arial" w:hAnsi="Arial" w:cs="Arial"/>
        </w:rPr>
        <w:t>µg</w:t>
      </w:r>
      <w:r w:rsidRPr="00B94734">
        <w:rPr>
          <w:rFonts w:ascii="Arial" w:hAnsi="Arial" w:cs="Arial"/>
        </w:rPr>
        <w:t xml:space="preserve"> dose range and </w:t>
      </w:r>
      <w:r>
        <w:rPr>
          <w:rFonts w:ascii="Arial" w:hAnsi="Arial" w:cs="Arial"/>
        </w:rPr>
        <w:t>is</w:t>
      </w:r>
      <w:r w:rsidRPr="00B94734">
        <w:rPr>
          <w:rFonts w:ascii="Arial" w:hAnsi="Arial" w:cs="Arial"/>
        </w:rPr>
        <w:t xml:space="preserve"> characterised by a high plasma clearance (CL=1.1 </w:t>
      </w:r>
      <w:r>
        <w:rPr>
          <w:rFonts w:ascii="Arial" w:hAnsi="Arial" w:cs="Arial"/>
        </w:rPr>
        <w:t>L</w:t>
      </w:r>
      <w:r w:rsidRPr="00B94734">
        <w:rPr>
          <w:rFonts w:ascii="Arial" w:hAnsi="Arial" w:cs="Arial"/>
        </w:rPr>
        <w:t>/min). Peak plasma concentrations are reduced by approximately 98% within 3-4 hours and only low plasma concentrations were associated with the 7.8 h terminal half-life. The renal clearance of fluticasone propionate is negligible (&lt;0.2%) and less than 5% as the carboxylic acid metabolite. The major route of elimination is the excretion of fluticasone propionate and its metabolites in the bile.</w:t>
      </w:r>
    </w:p>
    <w:p w14:paraId="1A2891E8" w14:textId="77777777" w:rsidR="00A13C6F" w:rsidRDefault="00A13C6F" w:rsidP="00D65FCF">
      <w:pPr>
        <w:spacing w:after="0"/>
        <w:rPr>
          <w:rFonts w:ascii="Arial" w:hAnsi="Arial" w:cs="Arial"/>
        </w:rPr>
      </w:pPr>
    </w:p>
    <w:p w14:paraId="21722DE7" w14:textId="10CE77C5" w:rsidR="00A13C6F" w:rsidRPr="005D56D8" w:rsidRDefault="005C6867" w:rsidP="005D56D8">
      <w:pPr>
        <w:spacing w:after="0"/>
        <w:rPr>
          <w:rFonts w:ascii="Arial" w:hAnsi="Arial" w:cs="Arial"/>
          <w:b/>
          <w:bCs/>
          <w:sz w:val="24"/>
          <w:szCs w:val="24"/>
        </w:rPr>
      </w:pPr>
      <w:r>
        <w:rPr>
          <w:rFonts w:ascii="Arial" w:hAnsi="Arial" w:cs="Arial"/>
          <w:b/>
          <w:bCs/>
          <w:sz w:val="24"/>
          <w:szCs w:val="24"/>
        </w:rPr>
        <w:t>Special Populations</w:t>
      </w:r>
    </w:p>
    <w:p w14:paraId="3457A85F" w14:textId="31759151" w:rsidR="00A13C6F" w:rsidRPr="005D56D8" w:rsidRDefault="00ED66CF" w:rsidP="00D65FCF">
      <w:pPr>
        <w:spacing w:after="0"/>
        <w:rPr>
          <w:rFonts w:ascii="Arial" w:hAnsi="Arial" w:cs="Arial"/>
        </w:rPr>
      </w:pPr>
      <w:r>
        <w:rPr>
          <w:rFonts w:ascii="Arial" w:hAnsi="Arial" w:cs="Arial"/>
        </w:rPr>
        <w:t>DYLASTINE</w:t>
      </w:r>
      <w:r w:rsidR="00FD4410">
        <w:rPr>
          <w:rFonts w:ascii="Arial" w:hAnsi="Arial" w:cs="Arial"/>
        </w:rPr>
        <w:t> </w:t>
      </w:r>
      <w:r w:rsidR="00105245">
        <w:rPr>
          <w:rFonts w:ascii="Arial" w:hAnsi="Arial" w:cs="Arial"/>
        </w:rPr>
        <w:t xml:space="preserve">125/50 </w:t>
      </w:r>
      <w:r w:rsidR="00A13C6F" w:rsidRPr="005D56D8">
        <w:rPr>
          <w:rFonts w:ascii="Arial" w:hAnsi="Arial" w:cs="Arial"/>
        </w:rPr>
        <w:t>was not studied in any special populations, and no gender-specific pharmacokinetic data have been obtained.</w:t>
      </w:r>
      <w:r w:rsidR="00A13C6F" w:rsidRPr="00AF53E6">
        <w:rPr>
          <w:rFonts w:ascii="Arial" w:hAnsi="Arial" w:cs="Arial"/>
        </w:rPr>
        <w:t xml:space="preserve"> </w:t>
      </w:r>
      <w:r w:rsidR="00794B35">
        <w:rPr>
          <w:rFonts w:ascii="Arial" w:hAnsi="Arial" w:cs="Arial"/>
        </w:rPr>
        <w:t>The f</w:t>
      </w:r>
      <w:r w:rsidR="00A13C6F">
        <w:rPr>
          <w:rFonts w:ascii="Arial" w:hAnsi="Arial" w:cs="Arial"/>
        </w:rPr>
        <w:t xml:space="preserve">ollowing data are available for the individual active component, </w:t>
      </w:r>
      <w:proofErr w:type="spellStart"/>
      <w:r w:rsidR="00A13C6F">
        <w:rPr>
          <w:rFonts w:ascii="Arial" w:hAnsi="Arial" w:cs="Arial"/>
        </w:rPr>
        <w:t>azelastine</w:t>
      </w:r>
      <w:proofErr w:type="spellEnd"/>
      <w:r w:rsidR="00A13C6F">
        <w:rPr>
          <w:rFonts w:ascii="Arial" w:hAnsi="Arial" w:cs="Arial"/>
        </w:rPr>
        <w:t>:</w:t>
      </w:r>
    </w:p>
    <w:p w14:paraId="21E319DB" w14:textId="77777777" w:rsidR="00A13C6F" w:rsidRDefault="00A13C6F" w:rsidP="00D65FCF">
      <w:pPr>
        <w:spacing w:after="0"/>
        <w:rPr>
          <w:rFonts w:ascii="Arial" w:hAnsi="Arial" w:cs="Arial"/>
        </w:rPr>
      </w:pPr>
    </w:p>
    <w:p w14:paraId="2063BC21" w14:textId="77777777" w:rsidR="00A13C6F" w:rsidRDefault="00A13C6F" w:rsidP="00D65FCF">
      <w:pPr>
        <w:spacing w:after="0"/>
        <w:rPr>
          <w:rFonts w:ascii="Arial" w:hAnsi="Arial" w:cs="Arial"/>
        </w:rPr>
      </w:pPr>
      <w:r w:rsidRPr="008C4949">
        <w:rPr>
          <w:rFonts w:ascii="Arial" w:hAnsi="Arial" w:cs="Arial"/>
          <w:b/>
          <w:bCs/>
          <w:i/>
          <w:iCs/>
        </w:rPr>
        <w:t>Hepatic Impairment</w:t>
      </w:r>
    </w:p>
    <w:p w14:paraId="2D350219" w14:textId="4C259A24" w:rsidR="00A13C6F" w:rsidRPr="005D56D8" w:rsidRDefault="00A13C6F" w:rsidP="00D65FCF">
      <w:pPr>
        <w:spacing w:after="0"/>
        <w:rPr>
          <w:rFonts w:ascii="Arial" w:hAnsi="Arial" w:cs="Arial"/>
        </w:rPr>
      </w:pPr>
      <w:r w:rsidRPr="00F37058">
        <w:rPr>
          <w:rFonts w:ascii="Arial" w:hAnsi="Arial" w:cs="Arial"/>
        </w:rPr>
        <w:t xml:space="preserve">No significant difference was found in t½, </w:t>
      </w:r>
      <w:proofErr w:type="spellStart"/>
      <w:r w:rsidRPr="00F37058">
        <w:rPr>
          <w:rFonts w:ascii="Arial" w:hAnsi="Arial" w:cs="Arial"/>
        </w:rPr>
        <w:t>Cmax</w:t>
      </w:r>
      <w:proofErr w:type="spellEnd"/>
      <w:r w:rsidRPr="00F37058">
        <w:rPr>
          <w:rFonts w:ascii="Arial" w:hAnsi="Arial" w:cs="Arial"/>
        </w:rPr>
        <w:t xml:space="preserve"> or AUC in an oral single dose study</w:t>
      </w:r>
      <w:r>
        <w:rPr>
          <w:rFonts w:ascii="Arial" w:hAnsi="Arial" w:cs="Arial"/>
        </w:rPr>
        <w:t xml:space="preserve"> of </w:t>
      </w:r>
      <w:proofErr w:type="spellStart"/>
      <w:r>
        <w:rPr>
          <w:rFonts w:ascii="Arial" w:hAnsi="Arial" w:cs="Arial"/>
        </w:rPr>
        <w:t>azelastine</w:t>
      </w:r>
      <w:proofErr w:type="spellEnd"/>
      <w:r>
        <w:rPr>
          <w:rFonts w:ascii="Arial" w:hAnsi="Arial" w:cs="Arial"/>
        </w:rPr>
        <w:t xml:space="preserve"> </w:t>
      </w:r>
      <w:r w:rsidRPr="00F37058">
        <w:rPr>
          <w:rFonts w:ascii="Arial" w:hAnsi="Arial" w:cs="Arial"/>
        </w:rPr>
        <w:t>in 6 patients with hepatic impairment compared to normal subjects. Caution is warranted in extrapolating these data to long - term use.</w:t>
      </w:r>
      <w:r w:rsidRPr="00F37058" w:rsidDel="00F37058">
        <w:rPr>
          <w:rFonts w:ascii="Arial" w:hAnsi="Arial" w:cs="Arial"/>
        </w:rPr>
        <w:t xml:space="preserve"> </w:t>
      </w:r>
      <w:r>
        <w:rPr>
          <w:rFonts w:ascii="Arial" w:hAnsi="Arial" w:cs="Arial"/>
        </w:rPr>
        <w:t>(</w:t>
      </w:r>
      <w:proofErr w:type="gramStart"/>
      <w:r>
        <w:rPr>
          <w:rFonts w:ascii="Arial" w:hAnsi="Arial" w:cs="Arial"/>
        </w:rPr>
        <w:t>see</w:t>
      </w:r>
      <w:proofErr w:type="gramEnd"/>
      <w:r>
        <w:rPr>
          <w:rFonts w:ascii="Arial" w:hAnsi="Arial" w:cs="Arial"/>
        </w:rPr>
        <w:t xml:space="preserve"> </w:t>
      </w:r>
      <w:r w:rsidRPr="00804552">
        <w:rPr>
          <w:rFonts w:ascii="Arial" w:hAnsi="Arial" w:cs="Arial"/>
          <w:b/>
          <w:bCs/>
        </w:rPr>
        <w:t>PRECAUTIONS</w:t>
      </w:r>
      <w:r>
        <w:rPr>
          <w:rFonts w:ascii="Arial" w:hAnsi="Arial" w:cs="Arial"/>
        </w:rPr>
        <w:t xml:space="preserve"> – </w:t>
      </w:r>
      <w:r w:rsidRPr="00804552">
        <w:rPr>
          <w:rFonts w:ascii="Arial" w:hAnsi="Arial" w:cs="Arial"/>
          <w:b/>
          <w:bCs/>
        </w:rPr>
        <w:t xml:space="preserve">Use </w:t>
      </w:r>
      <w:r>
        <w:rPr>
          <w:rFonts w:ascii="Arial" w:hAnsi="Arial" w:cs="Arial"/>
          <w:b/>
          <w:bCs/>
        </w:rPr>
        <w:t>in Patients with Hepatic I</w:t>
      </w:r>
      <w:r w:rsidRPr="00804552">
        <w:rPr>
          <w:rFonts w:ascii="Arial" w:hAnsi="Arial" w:cs="Arial"/>
          <w:b/>
          <w:bCs/>
        </w:rPr>
        <w:t>mpairment</w:t>
      </w:r>
      <w:r w:rsidRPr="00804552">
        <w:rPr>
          <w:rFonts w:ascii="Arial" w:hAnsi="Arial" w:cs="Arial"/>
        </w:rPr>
        <w:t>)</w:t>
      </w:r>
      <w:r w:rsidRPr="005D56D8">
        <w:rPr>
          <w:rFonts w:ascii="Arial" w:hAnsi="Arial" w:cs="Arial"/>
        </w:rPr>
        <w:t>.</w:t>
      </w:r>
    </w:p>
    <w:p w14:paraId="659E5731" w14:textId="77777777" w:rsidR="00A13C6F" w:rsidRDefault="00A13C6F" w:rsidP="00D65FCF">
      <w:pPr>
        <w:spacing w:after="0"/>
        <w:rPr>
          <w:rFonts w:ascii="Arial" w:hAnsi="Arial" w:cs="Arial"/>
        </w:rPr>
      </w:pPr>
    </w:p>
    <w:p w14:paraId="0683D20A" w14:textId="77777777" w:rsidR="00A13C6F" w:rsidRPr="005D56D8" w:rsidRDefault="00A13C6F" w:rsidP="00D65FCF">
      <w:pPr>
        <w:spacing w:after="0"/>
        <w:rPr>
          <w:rFonts w:ascii="Arial" w:hAnsi="Arial" w:cs="Arial"/>
          <w:b/>
          <w:bCs/>
          <w:i/>
          <w:iCs/>
        </w:rPr>
      </w:pPr>
      <w:r w:rsidRPr="008C4949">
        <w:rPr>
          <w:rFonts w:ascii="Arial" w:hAnsi="Arial" w:cs="Arial"/>
          <w:b/>
          <w:bCs/>
          <w:i/>
          <w:iCs/>
        </w:rPr>
        <w:t>Renal Impairment</w:t>
      </w:r>
    </w:p>
    <w:p w14:paraId="0A1D77F1" w14:textId="29A4929C" w:rsidR="00A13C6F" w:rsidRPr="005D56D8" w:rsidRDefault="00A13C6F" w:rsidP="00D65FCF">
      <w:pPr>
        <w:spacing w:after="0"/>
        <w:rPr>
          <w:rFonts w:ascii="Arial" w:hAnsi="Arial" w:cs="Arial"/>
        </w:rPr>
      </w:pPr>
      <w:proofErr w:type="gramStart"/>
      <w:r w:rsidRPr="005C0DEB">
        <w:rPr>
          <w:rFonts w:ascii="Arial" w:hAnsi="Arial" w:cs="Arial"/>
        </w:rPr>
        <w:t>In a single oral dose study</w:t>
      </w:r>
      <w:r>
        <w:rPr>
          <w:rFonts w:ascii="Arial" w:hAnsi="Arial" w:cs="Arial"/>
        </w:rPr>
        <w:t xml:space="preserve"> of </w:t>
      </w:r>
      <w:proofErr w:type="spellStart"/>
      <w:r>
        <w:rPr>
          <w:rFonts w:ascii="Arial" w:hAnsi="Arial" w:cs="Arial"/>
        </w:rPr>
        <w:t>azelastine</w:t>
      </w:r>
      <w:proofErr w:type="spellEnd"/>
      <w:r>
        <w:rPr>
          <w:rFonts w:ascii="Arial" w:hAnsi="Arial" w:cs="Arial"/>
        </w:rPr>
        <w:t xml:space="preserve"> </w:t>
      </w:r>
      <w:r w:rsidRPr="005C0DEB">
        <w:rPr>
          <w:rFonts w:ascii="Arial" w:hAnsi="Arial" w:cs="Arial"/>
        </w:rPr>
        <w:t xml:space="preserve">in 9 patients, renal insufficiency (creatinine clearance &lt;50 mL/min) resulted in a 70-75% higher </w:t>
      </w:r>
      <w:proofErr w:type="spellStart"/>
      <w:r w:rsidRPr="005C0DEB">
        <w:rPr>
          <w:rFonts w:ascii="Arial" w:hAnsi="Arial" w:cs="Arial"/>
        </w:rPr>
        <w:t>Cmax</w:t>
      </w:r>
      <w:proofErr w:type="spellEnd"/>
      <w:r w:rsidRPr="005C0DEB">
        <w:rPr>
          <w:rFonts w:ascii="Arial" w:hAnsi="Arial" w:cs="Arial"/>
        </w:rPr>
        <w:t xml:space="preserve"> and AUC compared to normal subjects.</w:t>
      </w:r>
      <w:proofErr w:type="gramEnd"/>
      <w:r w:rsidRPr="005C0DEB">
        <w:rPr>
          <w:rFonts w:ascii="Arial" w:hAnsi="Arial" w:cs="Arial"/>
        </w:rPr>
        <w:t xml:space="preserve"> However, the number of patients evaluated in this study is too small to draw meaningful conclusions. No information regarding the use of </w:t>
      </w:r>
      <w:proofErr w:type="spellStart"/>
      <w:r>
        <w:rPr>
          <w:rFonts w:ascii="Arial" w:hAnsi="Arial" w:cs="Arial"/>
        </w:rPr>
        <w:t>azelastine</w:t>
      </w:r>
      <w:proofErr w:type="spellEnd"/>
      <w:r>
        <w:rPr>
          <w:rFonts w:ascii="Arial" w:hAnsi="Arial" w:cs="Arial"/>
        </w:rPr>
        <w:t xml:space="preserve"> nasal spray</w:t>
      </w:r>
      <w:r w:rsidRPr="005C0DEB">
        <w:rPr>
          <w:rFonts w:ascii="Arial" w:hAnsi="Arial" w:cs="Arial"/>
        </w:rPr>
        <w:t xml:space="preserve"> in </w:t>
      </w:r>
      <w:proofErr w:type="spellStart"/>
      <w:r w:rsidRPr="005C0DEB">
        <w:rPr>
          <w:rFonts w:ascii="Arial" w:hAnsi="Arial" w:cs="Arial"/>
        </w:rPr>
        <w:t>renally</w:t>
      </w:r>
      <w:proofErr w:type="spellEnd"/>
      <w:r w:rsidRPr="005C0DEB">
        <w:rPr>
          <w:rFonts w:ascii="Arial" w:hAnsi="Arial" w:cs="Arial"/>
        </w:rPr>
        <w:t xml:space="preserve"> impaired patients is available.</w:t>
      </w:r>
      <w:r>
        <w:rPr>
          <w:rFonts w:ascii="Arial" w:hAnsi="Arial" w:cs="Arial"/>
        </w:rPr>
        <w:t xml:space="preserve"> (</w:t>
      </w:r>
      <w:proofErr w:type="gramStart"/>
      <w:r>
        <w:rPr>
          <w:rFonts w:ascii="Arial" w:hAnsi="Arial" w:cs="Arial"/>
        </w:rPr>
        <w:t>see</w:t>
      </w:r>
      <w:proofErr w:type="gramEnd"/>
      <w:r>
        <w:rPr>
          <w:rFonts w:ascii="Arial" w:hAnsi="Arial" w:cs="Arial"/>
        </w:rPr>
        <w:t xml:space="preserve"> </w:t>
      </w:r>
      <w:r w:rsidRPr="00804552">
        <w:rPr>
          <w:rFonts w:ascii="Arial" w:hAnsi="Arial" w:cs="Arial"/>
          <w:b/>
          <w:bCs/>
        </w:rPr>
        <w:t>PRECAUTIONS</w:t>
      </w:r>
      <w:r>
        <w:rPr>
          <w:rFonts w:ascii="Arial" w:hAnsi="Arial" w:cs="Arial"/>
        </w:rPr>
        <w:t xml:space="preserve"> – </w:t>
      </w:r>
      <w:r w:rsidRPr="00804552">
        <w:rPr>
          <w:rFonts w:ascii="Arial" w:hAnsi="Arial" w:cs="Arial"/>
          <w:b/>
          <w:bCs/>
        </w:rPr>
        <w:t xml:space="preserve">Use </w:t>
      </w:r>
      <w:r>
        <w:rPr>
          <w:rFonts w:ascii="Arial" w:hAnsi="Arial" w:cs="Arial"/>
          <w:b/>
          <w:bCs/>
        </w:rPr>
        <w:t>in Patients with Renal</w:t>
      </w:r>
      <w:r w:rsidRPr="00804552">
        <w:rPr>
          <w:rFonts w:ascii="Arial" w:hAnsi="Arial" w:cs="Arial"/>
          <w:b/>
          <w:bCs/>
        </w:rPr>
        <w:t xml:space="preserve"> </w:t>
      </w:r>
      <w:r>
        <w:rPr>
          <w:rFonts w:ascii="Arial" w:hAnsi="Arial" w:cs="Arial"/>
          <w:b/>
          <w:bCs/>
        </w:rPr>
        <w:t>I</w:t>
      </w:r>
      <w:r w:rsidRPr="00804552">
        <w:rPr>
          <w:rFonts w:ascii="Arial" w:hAnsi="Arial" w:cs="Arial"/>
          <w:b/>
          <w:bCs/>
        </w:rPr>
        <w:t>mpairment</w:t>
      </w:r>
      <w:r w:rsidRPr="00804552">
        <w:rPr>
          <w:rFonts w:ascii="Arial" w:hAnsi="Arial" w:cs="Arial"/>
        </w:rPr>
        <w:t>)</w:t>
      </w:r>
      <w:r w:rsidRPr="005D56D8">
        <w:rPr>
          <w:rFonts w:ascii="Arial" w:hAnsi="Arial" w:cs="Arial"/>
        </w:rPr>
        <w:t xml:space="preserve">. </w:t>
      </w:r>
    </w:p>
    <w:p w14:paraId="278F15C5" w14:textId="77777777" w:rsidR="00A13C6F" w:rsidRDefault="00A13C6F" w:rsidP="00D65FCF">
      <w:pPr>
        <w:spacing w:after="0"/>
        <w:rPr>
          <w:rFonts w:ascii="Arial" w:hAnsi="Arial" w:cs="Arial"/>
        </w:rPr>
      </w:pPr>
    </w:p>
    <w:p w14:paraId="3742E967" w14:textId="77777777" w:rsidR="00A13C6F" w:rsidRPr="005D56D8" w:rsidRDefault="00A13C6F" w:rsidP="00D65FCF">
      <w:pPr>
        <w:spacing w:after="0"/>
        <w:rPr>
          <w:rFonts w:ascii="Arial" w:hAnsi="Arial" w:cs="Arial"/>
          <w:b/>
          <w:bCs/>
          <w:i/>
          <w:iCs/>
        </w:rPr>
      </w:pPr>
      <w:r w:rsidRPr="008C4949">
        <w:rPr>
          <w:rFonts w:ascii="Arial" w:hAnsi="Arial" w:cs="Arial"/>
          <w:b/>
          <w:bCs/>
          <w:i/>
          <w:iCs/>
        </w:rPr>
        <w:t>Age</w:t>
      </w:r>
    </w:p>
    <w:p w14:paraId="1D00EF29" w14:textId="777BCC0B" w:rsidR="00A13C6F" w:rsidRDefault="00A13C6F" w:rsidP="00D65FCF">
      <w:pPr>
        <w:spacing w:after="0"/>
        <w:rPr>
          <w:rFonts w:ascii="Arial" w:hAnsi="Arial" w:cs="Arial"/>
        </w:rPr>
      </w:pPr>
      <w:r w:rsidRPr="00F37058">
        <w:rPr>
          <w:rFonts w:ascii="Arial" w:hAnsi="Arial" w:cs="Arial"/>
        </w:rPr>
        <w:t xml:space="preserve">A pharmacokinetic study in elderly patients (n=15) receiving oral </w:t>
      </w:r>
      <w:proofErr w:type="spellStart"/>
      <w:r w:rsidRPr="00F37058">
        <w:rPr>
          <w:rFonts w:ascii="Arial" w:hAnsi="Arial" w:cs="Arial"/>
        </w:rPr>
        <w:t>azelastine</w:t>
      </w:r>
      <w:proofErr w:type="spellEnd"/>
      <w:r w:rsidRPr="00F37058">
        <w:rPr>
          <w:rFonts w:ascii="Arial" w:hAnsi="Arial" w:cs="Arial"/>
        </w:rPr>
        <w:t xml:space="preserve"> 4.4 mg twice daily found a prolongation of the </w:t>
      </w:r>
      <w:proofErr w:type="spellStart"/>
      <w:r w:rsidRPr="00F37058">
        <w:rPr>
          <w:rFonts w:ascii="Arial" w:hAnsi="Arial" w:cs="Arial"/>
        </w:rPr>
        <w:t>Tmax</w:t>
      </w:r>
      <w:proofErr w:type="spellEnd"/>
      <w:r w:rsidRPr="00F37058">
        <w:rPr>
          <w:rFonts w:ascii="Arial" w:hAnsi="Arial" w:cs="Arial"/>
        </w:rPr>
        <w:t xml:space="preserve"> and an increase in </w:t>
      </w:r>
      <w:proofErr w:type="spellStart"/>
      <w:r w:rsidRPr="00F37058">
        <w:rPr>
          <w:rFonts w:ascii="Arial" w:hAnsi="Arial" w:cs="Arial"/>
        </w:rPr>
        <w:t>Cmax</w:t>
      </w:r>
      <w:proofErr w:type="spellEnd"/>
      <w:r w:rsidRPr="00F37058">
        <w:rPr>
          <w:rFonts w:ascii="Arial" w:hAnsi="Arial" w:cs="Arial"/>
        </w:rPr>
        <w:t xml:space="preserve"> and AUC compared to results in healthy volunteers. There have been no specific studies in the elderly with the nasal spray. In clinical and </w:t>
      </w:r>
      <w:r w:rsidR="001E7E89">
        <w:rPr>
          <w:rFonts w:ascii="Arial" w:hAnsi="Arial" w:cs="Arial"/>
        </w:rPr>
        <w:t>post-marketing</w:t>
      </w:r>
      <w:r w:rsidR="001E7E89" w:rsidRPr="00F37058">
        <w:rPr>
          <w:rFonts w:ascii="Arial" w:hAnsi="Arial" w:cs="Arial"/>
        </w:rPr>
        <w:t xml:space="preserve"> </w:t>
      </w:r>
      <w:r w:rsidRPr="00F37058">
        <w:rPr>
          <w:rFonts w:ascii="Arial" w:hAnsi="Arial" w:cs="Arial"/>
        </w:rPr>
        <w:t>studies of the nasal spray, no increase in the incidence of adverse reactions has been seen in elderly patients</w:t>
      </w:r>
      <w:r>
        <w:rPr>
          <w:rFonts w:ascii="Arial" w:hAnsi="Arial" w:cs="Arial"/>
        </w:rPr>
        <w:t xml:space="preserve">. </w:t>
      </w:r>
    </w:p>
    <w:p w14:paraId="47E3AA19" w14:textId="77777777" w:rsidR="00A13C6F" w:rsidRDefault="00A13C6F" w:rsidP="00D65FCF">
      <w:pPr>
        <w:spacing w:after="0"/>
        <w:rPr>
          <w:rFonts w:ascii="Arial" w:hAnsi="Arial" w:cs="Arial"/>
        </w:rPr>
      </w:pPr>
    </w:p>
    <w:p w14:paraId="04014F63" w14:textId="65A6D1FE" w:rsidR="00A13C6F" w:rsidRPr="005D56D8" w:rsidRDefault="00A13C6F" w:rsidP="00D65FCF">
      <w:pPr>
        <w:spacing w:after="0"/>
        <w:rPr>
          <w:rFonts w:ascii="Arial" w:hAnsi="Arial" w:cs="Arial"/>
        </w:rPr>
      </w:pPr>
      <w:r w:rsidRPr="00F37058">
        <w:rPr>
          <w:rFonts w:ascii="Arial" w:hAnsi="Arial" w:cs="Arial"/>
        </w:rPr>
        <w:t xml:space="preserve">The efficacy and safety of </w:t>
      </w:r>
      <w:r w:rsidR="00ED66CF">
        <w:rPr>
          <w:rFonts w:ascii="Arial" w:hAnsi="Arial" w:cs="Arial"/>
        </w:rPr>
        <w:t>DYLASTINE</w:t>
      </w:r>
      <w:r w:rsidR="00FD4410">
        <w:rPr>
          <w:rFonts w:ascii="Arial" w:hAnsi="Arial" w:cs="Arial"/>
        </w:rPr>
        <w:t> </w:t>
      </w:r>
      <w:r w:rsidR="00105245">
        <w:rPr>
          <w:rFonts w:ascii="Arial" w:hAnsi="Arial" w:cs="Arial"/>
        </w:rPr>
        <w:t xml:space="preserve">125/50 </w:t>
      </w:r>
      <w:r w:rsidRPr="00F37058">
        <w:rPr>
          <w:rFonts w:ascii="Arial" w:hAnsi="Arial" w:cs="Arial"/>
        </w:rPr>
        <w:t xml:space="preserve">in children under </w:t>
      </w:r>
      <w:r>
        <w:rPr>
          <w:rFonts w:ascii="Arial" w:hAnsi="Arial" w:cs="Arial"/>
        </w:rPr>
        <w:t>12</w:t>
      </w:r>
      <w:r w:rsidRPr="00F37058">
        <w:rPr>
          <w:rFonts w:ascii="Arial" w:hAnsi="Arial" w:cs="Arial"/>
        </w:rPr>
        <w:t xml:space="preserve"> years of age ha</w:t>
      </w:r>
      <w:r>
        <w:rPr>
          <w:rFonts w:ascii="Arial" w:hAnsi="Arial" w:cs="Arial"/>
        </w:rPr>
        <w:t>ve</w:t>
      </w:r>
      <w:r w:rsidRPr="00F37058">
        <w:rPr>
          <w:rFonts w:ascii="Arial" w:hAnsi="Arial" w:cs="Arial"/>
        </w:rPr>
        <w:t xml:space="preserve"> not been established</w:t>
      </w:r>
      <w:r>
        <w:rPr>
          <w:rStyle w:val="CommentReference"/>
        </w:rPr>
        <w:t xml:space="preserve"> </w:t>
      </w:r>
      <w:r>
        <w:rPr>
          <w:rFonts w:ascii="Arial" w:hAnsi="Arial" w:cs="Arial"/>
        </w:rPr>
        <w:t xml:space="preserve">(see </w:t>
      </w:r>
      <w:r w:rsidRPr="00804552">
        <w:rPr>
          <w:rFonts w:ascii="Arial" w:hAnsi="Arial" w:cs="Arial"/>
          <w:b/>
          <w:bCs/>
        </w:rPr>
        <w:t>PRECAUTIONS</w:t>
      </w:r>
      <w:r>
        <w:rPr>
          <w:rFonts w:ascii="Arial" w:hAnsi="Arial" w:cs="Arial"/>
        </w:rPr>
        <w:t xml:space="preserve"> – </w:t>
      </w:r>
      <w:r w:rsidRPr="00804552">
        <w:rPr>
          <w:rFonts w:ascii="Arial" w:hAnsi="Arial" w:cs="Arial"/>
          <w:b/>
          <w:bCs/>
        </w:rPr>
        <w:t xml:space="preserve">Use in </w:t>
      </w:r>
      <w:r>
        <w:rPr>
          <w:rFonts w:ascii="Arial" w:hAnsi="Arial" w:cs="Arial"/>
          <w:b/>
          <w:bCs/>
        </w:rPr>
        <w:t>Children and Adolescents</w:t>
      </w:r>
      <w:r w:rsidRPr="00804552">
        <w:rPr>
          <w:rFonts w:ascii="Arial" w:hAnsi="Arial" w:cs="Arial"/>
        </w:rPr>
        <w:t>)</w:t>
      </w:r>
      <w:r w:rsidRPr="005D56D8">
        <w:rPr>
          <w:rFonts w:ascii="Arial" w:hAnsi="Arial" w:cs="Arial"/>
        </w:rPr>
        <w:t>.</w:t>
      </w:r>
    </w:p>
    <w:p w14:paraId="414F3553" w14:textId="77777777" w:rsidR="00A13C6F" w:rsidRDefault="00A13C6F" w:rsidP="00D65FCF">
      <w:pPr>
        <w:spacing w:after="0"/>
        <w:rPr>
          <w:rFonts w:ascii="Arial" w:hAnsi="Arial" w:cs="Arial"/>
        </w:rPr>
      </w:pPr>
    </w:p>
    <w:p w14:paraId="16BD7903" w14:textId="77777777" w:rsidR="00A13C6F" w:rsidRPr="005D56D8" w:rsidRDefault="00A13C6F" w:rsidP="00D65FCF">
      <w:pPr>
        <w:spacing w:after="0"/>
        <w:rPr>
          <w:rFonts w:ascii="Arial" w:hAnsi="Arial" w:cs="Arial"/>
          <w:b/>
          <w:bCs/>
          <w:i/>
          <w:iCs/>
        </w:rPr>
      </w:pPr>
      <w:r>
        <w:rPr>
          <w:rFonts w:ascii="Arial" w:hAnsi="Arial" w:cs="Arial"/>
          <w:b/>
          <w:bCs/>
          <w:i/>
          <w:iCs/>
        </w:rPr>
        <w:t>Race</w:t>
      </w:r>
    </w:p>
    <w:p w14:paraId="7DD822FB" w14:textId="77777777" w:rsidR="00A13C6F" w:rsidRDefault="00A13C6F" w:rsidP="00D65FCF">
      <w:pPr>
        <w:spacing w:after="0"/>
        <w:rPr>
          <w:rFonts w:ascii="Arial" w:hAnsi="Arial" w:cs="Arial"/>
        </w:rPr>
      </w:pPr>
      <w:r w:rsidRPr="005D56D8">
        <w:rPr>
          <w:rFonts w:ascii="Arial" w:hAnsi="Arial" w:cs="Arial"/>
        </w:rPr>
        <w:t>The effect of race has not been evaluated.</w:t>
      </w:r>
    </w:p>
    <w:p w14:paraId="67C2EE8B" w14:textId="77777777" w:rsidR="00A13C6F" w:rsidRDefault="00A13C6F" w:rsidP="00D65FCF">
      <w:pPr>
        <w:spacing w:after="0"/>
        <w:rPr>
          <w:rFonts w:ascii="Arial" w:hAnsi="Arial" w:cs="Arial"/>
        </w:rPr>
      </w:pPr>
    </w:p>
    <w:p w14:paraId="3C4631F9" w14:textId="77777777" w:rsidR="00A13C6F" w:rsidRPr="00B903CD" w:rsidRDefault="00A13C6F" w:rsidP="006D46FB">
      <w:pPr>
        <w:spacing w:after="0"/>
        <w:rPr>
          <w:rFonts w:ascii="Arial" w:hAnsi="Arial" w:cs="Arial"/>
          <w:b/>
          <w:bCs/>
          <w:sz w:val="24"/>
          <w:szCs w:val="24"/>
        </w:rPr>
      </w:pPr>
      <w:r w:rsidRPr="00B903CD">
        <w:rPr>
          <w:rFonts w:ascii="Arial" w:hAnsi="Arial" w:cs="Arial"/>
          <w:b/>
          <w:bCs/>
          <w:sz w:val="24"/>
          <w:szCs w:val="24"/>
        </w:rPr>
        <w:lastRenderedPageBreak/>
        <w:t>CLINICAL TRIALS</w:t>
      </w:r>
    </w:p>
    <w:p w14:paraId="6BF7F160" w14:textId="44621D69" w:rsidR="00A13C6F" w:rsidRDefault="00ED66CF" w:rsidP="006D46FB">
      <w:pPr>
        <w:pStyle w:val="BodyText"/>
        <w:spacing w:after="0" w:line="276" w:lineRule="auto"/>
        <w:jc w:val="left"/>
      </w:pPr>
      <w:r>
        <w:t>The efficacy of DYLASTINE</w:t>
      </w:r>
      <w:r w:rsidR="00FD4410">
        <w:t> </w:t>
      </w:r>
      <w:r w:rsidR="00105245">
        <w:t xml:space="preserve">125/50 </w:t>
      </w:r>
      <w:r w:rsidR="00A13C6F">
        <w:t xml:space="preserve">was established in four randomised, double-blind, </w:t>
      </w:r>
      <w:r w:rsidR="00A13C6F" w:rsidRPr="0019602A">
        <w:t xml:space="preserve">placebo-controlled studies </w:t>
      </w:r>
      <w:r w:rsidR="00A13C6F">
        <w:t xml:space="preserve">in subjects with seasonal allergic rhinitis (SAR), namely </w:t>
      </w:r>
      <w:r w:rsidR="00A13C6F" w:rsidRPr="0019602A">
        <w:t>MP4001, MP4002, MP4004</w:t>
      </w:r>
      <w:r w:rsidR="00A13C6F">
        <w:t xml:space="preserve">, </w:t>
      </w:r>
      <w:r w:rsidR="00A13C6F" w:rsidRPr="0019602A">
        <w:t>and MP4006.</w:t>
      </w:r>
    </w:p>
    <w:p w14:paraId="21F3DA80" w14:textId="77777777" w:rsidR="00A13C6F" w:rsidRDefault="00A13C6F" w:rsidP="006D46FB">
      <w:pPr>
        <w:pStyle w:val="BodyText"/>
        <w:spacing w:after="0" w:line="276" w:lineRule="auto"/>
        <w:jc w:val="left"/>
      </w:pPr>
    </w:p>
    <w:p w14:paraId="23122643" w14:textId="4BD2EABE" w:rsidR="00A13C6F" w:rsidRPr="005D6E38" w:rsidRDefault="00A13C6F" w:rsidP="006D46FB">
      <w:pPr>
        <w:pStyle w:val="BodyText"/>
        <w:spacing w:after="0" w:line="276" w:lineRule="auto"/>
        <w:jc w:val="left"/>
      </w:pPr>
      <w:r w:rsidRPr="0019602A">
        <w:t xml:space="preserve">Study MP4001 compared </w:t>
      </w:r>
      <w:r w:rsidR="00ED66CF">
        <w:t>DYLASTINE</w:t>
      </w:r>
      <w:r w:rsidR="00FD4410">
        <w:t> </w:t>
      </w:r>
      <w:r w:rsidR="00105245">
        <w:t xml:space="preserve">125/50 </w:t>
      </w:r>
      <w:r w:rsidRPr="0019602A">
        <w:t xml:space="preserve">with commercial </w:t>
      </w:r>
      <w:proofErr w:type="spellStart"/>
      <w:r>
        <w:t>azelastine</w:t>
      </w:r>
      <w:proofErr w:type="spellEnd"/>
      <w:r>
        <w:t xml:space="preserve"> nasal spray (</w:t>
      </w:r>
      <w:proofErr w:type="spellStart"/>
      <w:r w:rsidRPr="0019602A">
        <w:t>Astelin</w:t>
      </w:r>
      <w:proofErr w:type="spellEnd"/>
      <w:r w:rsidRPr="006D3DCC">
        <w:rPr>
          <w:vertAlign w:val="superscript"/>
        </w:rPr>
        <w:t>®</w:t>
      </w:r>
      <w:r w:rsidRPr="0019602A">
        <w:t xml:space="preserve"> Nasal Spray</w:t>
      </w:r>
      <w:r>
        <w:t>)</w:t>
      </w:r>
      <w:r w:rsidRPr="0019602A">
        <w:t xml:space="preserve"> and commercial</w:t>
      </w:r>
      <w:r>
        <w:t xml:space="preserve"> </w:t>
      </w:r>
      <w:r w:rsidRPr="0019602A">
        <w:t xml:space="preserve">Fluticasone propionate Nasal Spray from </w:t>
      </w:r>
      <w:proofErr w:type="spellStart"/>
      <w:r w:rsidRPr="0019602A">
        <w:t>Roxane</w:t>
      </w:r>
      <w:proofErr w:type="spellEnd"/>
      <w:r w:rsidRPr="0019602A">
        <w:t xml:space="preserve"> Laborat</w:t>
      </w:r>
      <w:r w:rsidR="001E7E89">
        <w:t>or</w:t>
      </w:r>
      <w:r w:rsidRPr="0019602A">
        <w:t xml:space="preserve">ies </w:t>
      </w:r>
      <w:proofErr w:type="spellStart"/>
      <w:r w:rsidRPr="0019602A">
        <w:t>Inc</w:t>
      </w:r>
      <w:proofErr w:type="spellEnd"/>
      <w:r w:rsidR="00D60032">
        <w:t xml:space="preserve"> </w:t>
      </w:r>
      <w:r w:rsidR="00D60032" w:rsidRPr="00D60032">
        <w:t>available in the US at that time</w:t>
      </w:r>
      <w:r w:rsidRPr="0019602A">
        <w:t>. Studies MP4002, MP4004,</w:t>
      </w:r>
      <w:r>
        <w:t xml:space="preserve"> </w:t>
      </w:r>
      <w:r w:rsidRPr="0019602A">
        <w:t xml:space="preserve">and MP4006 compared </w:t>
      </w:r>
      <w:r w:rsidR="00ED66CF">
        <w:t>DYLASTINE</w:t>
      </w:r>
      <w:r w:rsidR="00FD4410">
        <w:t> </w:t>
      </w:r>
      <w:r w:rsidR="00105245">
        <w:t>125/50</w:t>
      </w:r>
      <w:r w:rsidRPr="0019602A">
        <w:t xml:space="preserve"> with the single compounds in the </w:t>
      </w:r>
      <w:r w:rsidR="00ED66CF">
        <w:t>DYLASTINE</w:t>
      </w:r>
      <w:r w:rsidR="00FD4410">
        <w:t> </w:t>
      </w:r>
      <w:r w:rsidR="00105245">
        <w:t xml:space="preserve">125/50 </w:t>
      </w:r>
      <w:r w:rsidRPr="0019602A">
        <w:t>vehicle. All 4</w:t>
      </w:r>
      <w:r>
        <w:t xml:space="preserve"> </w:t>
      </w:r>
      <w:r w:rsidRPr="0019602A">
        <w:t>trials had in common 4 treatment groups, the same regimen (1 spray per nostril twice daily),</w:t>
      </w:r>
      <w:r>
        <w:t xml:space="preserve"> </w:t>
      </w:r>
      <w:r w:rsidRPr="0019602A">
        <w:t xml:space="preserve">the same duration of treatment (2 weeks), and the same primary and almost the same secondary </w:t>
      </w:r>
      <w:r>
        <w:t>endpoints</w:t>
      </w:r>
      <w:r w:rsidRPr="0019602A">
        <w:t>.</w:t>
      </w:r>
      <w:r>
        <w:t xml:space="preserve"> </w:t>
      </w:r>
      <w:r w:rsidRPr="0019602A">
        <w:t>These studies included male and female subjects 12 years of age or older with a minimum 2-yea</w:t>
      </w:r>
      <w:r>
        <w:t>r history of SAR.</w:t>
      </w:r>
    </w:p>
    <w:p w14:paraId="0A528FF1" w14:textId="77777777" w:rsidR="00A13C6F" w:rsidRDefault="00A13C6F" w:rsidP="006D46FB">
      <w:pPr>
        <w:pStyle w:val="BodyText"/>
        <w:spacing w:after="0" w:line="276" w:lineRule="auto"/>
        <w:jc w:val="left"/>
      </w:pPr>
    </w:p>
    <w:p w14:paraId="1C68BB7D" w14:textId="77777777" w:rsidR="00A13C6F" w:rsidRDefault="00A13C6F" w:rsidP="006D46FB">
      <w:pPr>
        <w:pStyle w:val="BodyText"/>
        <w:spacing w:after="0" w:line="276" w:lineRule="auto"/>
        <w:jc w:val="left"/>
      </w:pPr>
      <w:r w:rsidRPr="0019602A">
        <w:t>During the study</w:t>
      </w:r>
      <w:r>
        <w:t>,</w:t>
      </w:r>
      <w:r w:rsidRPr="0019602A">
        <w:t xml:space="preserve"> nasal symptoms of itchy nose, nasal congestion, runny nose, sneezing, and</w:t>
      </w:r>
      <w:r>
        <w:t xml:space="preserve"> </w:t>
      </w:r>
      <w:r w:rsidRPr="0019602A">
        <w:t>ocular symptoms of itchy eyes, watery eyes, and eye redness were rated twice daily in a diary, using a 4-point scale from 0 (no symptoms) to 3 (severe symptoms). The scores were summed up to a total nasal symptom score (TNSS) and a total ocular symptom score (TOSS), respectively. In addition, postnasal drip was rated on the same 4-point scale. The</w:t>
      </w:r>
      <w:r>
        <w:t xml:space="preserve"> </w:t>
      </w:r>
      <w:proofErr w:type="spellStart"/>
      <w:r w:rsidRPr="0019602A">
        <w:t>Rhinoconjunctivitis</w:t>
      </w:r>
      <w:proofErr w:type="spellEnd"/>
      <w:r w:rsidRPr="0019602A">
        <w:t xml:space="preserve"> Quality of Life Questionnaire (RQLQ) was completed by each subject 18</w:t>
      </w:r>
      <w:r>
        <w:t xml:space="preserve"> </w:t>
      </w:r>
      <w:r w:rsidRPr="0019602A">
        <w:t>years of age or older, at the start and end of 14-day treatment (or early termination).</w:t>
      </w:r>
    </w:p>
    <w:p w14:paraId="78ED60F4" w14:textId="77777777" w:rsidR="00A13C6F" w:rsidRDefault="00A13C6F" w:rsidP="006D46FB">
      <w:pPr>
        <w:pStyle w:val="BodyText"/>
        <w:spacing w:after="0" w:line="276" w:lineRule="auto"/>
        <w:jc w:val="left"/>
      </w:pPr>
    </w:p>
    <w:p w14:paraId="45AD79D6" w14:textId="72E33AFF" w:rsidR="00A13C6F" w:rsidRPr="00ED7B28" w:rsidRDefault="00A13C6F" w:rsidP="006D46FB">
      <w:pPr>
        <w:pStyle w:val="BodyText"/>
        <w:spacing w:after="0" w:line="276" w:lineRule="auto"/>
        <w:jc w:val="left"/>
      </w:pPr>
      <w:r w:rsidRPr="0019602A">
        <w:t xml:space="preserve">The primary </w:t>
      </w:r>
      <w:r>
        <w:t xml:space="preserve">efficacy </w:t>
      </w:r>
      <w:r w:rsidRPr="0019602A">
        <w:t>endpoint for</w:t>
      </w:r>
      <w:r>
        <w:t xml:space="preserve"> all four placebo-controlled studies</w:t>
      </w:r>
      <w:r w:rsidRPr="0019602A">
        <w:t xml:space="preserve"> was the change from baseline in the</w:t>
      </w:r>
      <w:r>
        <w:t xml:space="preserve"> </w:t>
      </w:r>
      <w:r w:rsidRPr="0019602A">
        <w:t>combined (i.e. AM and PM data added) 12-hour reflective total nasal symptom score (</w:t>
      </w:r>
      <w:proofErr w:type="spellStart"/>
      <w:r w:rsidRPr="0019602A">
        <w:t>c</w:t>
      </w:r>
      <w:r>
        <w:t>r</w:t>
      </w:r>
      <w:r w:rsidRPr="0019602A">
        <w:t>TNSS</w:t>
      </w:r>
      <w:proofErr w:type="spellEnd"/>
      <w:r w:rsidRPr="0019602A">
        <w:t>) over the 14</w:t>
      </w:r>
      <w:r>
        <w:t xml:space="preserve"> </w:t>
      </w:r>
      <w:r w:rsidRPr="0019602A">
        <w:t>day treatment period, tested primarily in the ITT set based on last observation.</w:t>
      </w:r>
      <w:r>
        <w:t xml:space="preserve"> </w:t>
      </w:r>
      <w:r w:rsidRPr="0019602A">
        <w:t xml:space="preserve">Secondary </w:t>
      </w:r>
      <w:r>
        <w:t xml:space="preserve">efficacy </w:t>
      </w:r>
      <w:r w:rsidRPr="0019602A">
        <w:t>endpoints included the 12-hour AM and PM reflective TNSS, the instantaneous</w:t>
      </w:r>
      <w:r>
        <w:t xml:space="preserve"> </w:t>
      </w:r>
      <w:r w:rsidRPr="0019602A">
        <w:t>TNSS</w:t>
      </w:r>
      <w:r>
        <w:t xml:space="preserve"> (</w:t>
      </w:r>
      <w:proofErr w:type="spellStart"/>
      <w:r>
        <w:t>iTNSS</w:t>
      </w:r>
      <w:proofErr w:type="spellEnd"/>
      <w:r>
        <w:t>)</w:t>
      </w:r>
      <w:r w:rsidRPr="0019602A">
        <w:t xml:space="preserve">, the 12-hour reflective score for postnasal drip, the 12-hour reflective TOSS, the instantaneous TOSS, the 12-hour reflective and </w:t>
      </w:r>
      <w:r w:rsidRPr="00ED7B28">
        <w:t xml:space="preserve">instantaneous individual nasal and ocular symptoms and the RQLQ score. In studies MP4002, MP4004 and MP4006, an attempt was made to evaluate the onset of action. </w:t>
      </w:r>
    </w:p>
    <w:p w14:paraId="2B27D0B3" w14:textId="77777777" w:rsidR="00A13C6F" w:rsidRPr="00ED7B28" w:rsidRDefault="00A13C6F" w:rsidP="006D46FB">
      <w:pPr>
        <w:pStyle w:val="BodyText"/>
        <w:spacing w:after="0" w:line="276" w:lineRule="auto"/>
        <w:jc w:val="left"/>
      </w:pPr>
    </w:p>
    <w:p w14:paraId="317E2138" w14:textId="77777777" w:rsidR="00A13C6F" w:rsidRDefault="00A13C6F" w:rsidP="006D46FB">
      <w:pPr>
        <w:pStyle w:val="BodyText"/>
        <w:spacing w:after="0" w:line="276" w:lineRule="auto"/>
        <w:jc w:val="left"/>
      </w:pPr>
      <w:r>
        <w:t>The pooled study population was primarily female (62.9%), white (80.3%) and between 18 and 65 years of age (87.3%).</w:t>
      </w:r>
    </w:p>
    <w:p w14:paraId="4ECD320A" w14:textId="77777777" w:rsidR="00A13C6F" w:rsidRDefault="00A13C6F" w:rsidP="006D46FB">
      <w:pPr>
        <w:autoSpaceDE w:val="0"/>
        <w:autoSpaceDN w:val="0"/>
        <w:adjustRightInd w:val="0"/>
        <w:spacing w:after="0"/>
        <w:rPr>
          <w:rFonts w:ascii="Arial" w:hAnsi="Arial" w:cs="Arial"/>
          <w:color w:val="000000"/>
        </w:rPr>
      </w:pPr>
    </w:p>
    <w:p w14:paraId="31059B86" w14:textId="11B454D2" w:rsidR="00A13C6F" w:rsidRDefault="00A13C6F" w:rsidP="00866CD3">
      <w:pPr>
        <w:autoSpaceDE w:val="0"/>
        <w:autoSpaceDN w:val="0"/>
        <w:adjustRightInd w:val="0"/>
        <w:spacing w:after="0"/>
        <w:rPr>
          <w:rFonts w:ascii="Arial" w:hAnsi="Arial" w:cs="Arial"/>
        </w:rPr>
      </w:pPr>
      <w:r w:rsidRPr="0024096A">
        <w:rPr>
          <w:rFonts w:ascii="Arial" w:hAnsi="Arial" w:cs="Arial"/>
          <w:color w:val="000000"/>
        </w:rPr>
        <w:t xml:space="preserve">Table 1 shows the primary efficacy results </w:t>
      </w:r>
      <w:r>
        <w:rPr>
          <w:rFonts w:ascii="Arial" w:hAnsi="Arial" w:cs="Arial"/>
          <w:color w:val="000000"/>
        </w:rPr>
        <w:t>for</w:t>
      </w:r>
      <w:r w:rsidRPr="0024096A">
        <w:rPr>
          <w:rFonts w:ascii="Arial" w:hAnsi="Arial" w:cs="Arial"/>
          <w:color w:val="000000"/>
        </w:rPr>
        <w:t xml:space="preserve"> the individual pivotal studies </w:t>
      </w:r>
      <w:r>
        <w:rPr>
          <w:rFonts w:ascii="Arial" w:hAnsi="Arial" w:cs="Arial"/>
          <w:color w:val="000000"/>
        </w:rPr>
        <w:t xml:space="preserve">expressed as absolute change in </w:t>
      </w:r>
      <w:proofErr w:type="spellStart"/>
      <w:r>
        <w:rPr>
          <w:rFonts w:ascii="Arial" w:hAnsi="Arial" w:cs="Arial"/>
          <w:color w:val="000000"/>
        </w:rPr>
        <w:t>crTNSS</w:t>
      </w:r>
      <w:proofErr w:type="spellEnd"/>
      <w:r>
        <w:rPr>
          <w:rFonts w:ascii="Arial" w:hAnsi="Arial" w:cs="Arial"/>
          <w:color w:val="000000"/>
        </w:rPr>
        <w:t xml:space="preserve"> compared with placebo and all active treatments. </w:t>
      </w:r>
      <w:r w:rsidRPr="0024096A">
        <w:rPr>
          <w:rFonts w:ascii="Arial" w:hAnsi="Arial" w:cs="Arial"/>
        </w:rPr>
        <w:t>Across the individual studies</w:t>
      </w:r>
      <w:r>
        <w:rPr>
          <w:rFonts w:ascii="Arial" w:hAnsi="Arial" w:cs="Arial"/>
        </w:rPr>
        <w:t xml:space="preserve">, </w:t>
      </w:r>
      <w:r w:rsidR="00ED66CF">
        <w:rPr>
          <w:rFonts w:ascii="Arial" w:hAnsi="Arial" w:cs="Arial"/>
        </w:rPr>
        <w:t>DYLASTINE</w:t>
      </w:r>
      <w:r w:rsidR="00FD4410">
        <w:rPr>
          <w:rFonts w:ascii="Arial" w:hAnsi="Arial" w:cs="Arial"/>
        </w:rPr>
        <w:t> </w:t>
      </w:r>
      <w:r w:rsidR="00105245">
        <w:rPr>
          <w:rFonts w:ascii="Arial" w:hAnsi="Arial" w:cs="Arial"/>
        </w:rPr>
        <w:t>125/50</w:t>
      </w:r>
      <w:r w:rsidRPr="0024096A">
        <w:rPr>
          <w:rFonts w:ascii="Arial" w:hAnsi="Arial" w:cs="Arial"/>
        </w:rPr>
        <w:t xml:space="preserve"> was significantly superior to placebo and the monotherapy components. </w:t>
      </w:r>
      <w:r>
        <w:rPr>
          <w:rFonts w:ascii="Arial" w:hAnsi="Arial" w:cs="Arial"/>
        </w:rPr>
        <w:t>In addition,</w:t>
      </w:r>
      <w:r w:rsidRPr="0024096A">
        <w:rPr>
          <w:rFonts w:ascii="Arial" w:hAnsi="Arial" w:cs="Arial"/>
        </w:rPr>
        <w:t xml:space="preserve"> each individual component was significantly superior to placebo</w:t>
      </w:r>
      <w:r>
        <w:rPr>
          <w:rFonts w:ascii="Arial" w:hAnsi="Arial" w:cs="Arial"/>
        </w:rPr>
        <w:t>.</w:t>
      </w:r>
    </w:p>
    <w:p w14:paraId="3F2C411E" w14:textId="43F0ECF7" w:rsidR="00E91931" w:rsidRDefault="00E91931">
      <w:pPr>
        <w:spacing w:after="0" w:line="240" w:lineRule="auto"/>
        <w:rPr>
          <w:rFonts w:ascii="Arial" w:hAnsi="Arial" w:cs="Arial"/>
        </w:rPr>
      </w:pPr>
      <w:r>
        <w:rPr>
          <w:rFonts w:ascii="Arial" w:hAnsi="Arial" w:cs="Arial"/>
        </w:rPr>
        <w:br w:type="page"/>
      </w:r>
    </w:p>
    <w:p w14:paraId="1FCAE2C8" w14:textId="77777777" w:rsidR="00A13C6F" w:rsidRPr="00C11798" w:rsidRDefault="00A13C6F" w:rsidP="0024096A">
      <w:pPr>
        <w:autoSpaceDE w:val="0"/>
        <w:autoSpaceDN w:val="0"/>
        <w:adjustRightInd w:val="0"/>
        <w:spacing w:after="0" w:line="240" w:lineRule="auto"/>
        <w:rPr>
          <w:rFonts w:ascii="Arial" w:hAnsi="Arial" w:cs="Arial"/>
          <w:b/>
          <w:bCs/>
          <w:sz w:val="20"/>
          <w:szCs w:val="20"/>
        </w:rPr>
      </w:pPr>
      <w:r w:rsidRPr="00C11798">
        <w:rPr>
          <w:rFonts w:ascii="Arial" w:hAnsi="Arial" w:cs="Arial"/>
          <w:b/>
          <w:bCs/>
          <w:sz w:val="20"/>
          <w:szCs w:val="20"/>
        </w:rPr>
        <w:lastRenderedPageBreak/>
        <w:t xml:space="preserve">Table 1: </w:t>
      </w:r>
      <w:r>
        <w:rPr>
          <w:rFonts w:ascii="Arial" w:hAnsi="Arial" w:cs="Arial"/>
          <w:b/>
          <w:bCs/>
          <w:sz w:val="20"/>
          <w:szCs w:val="20"/>
        </w:rPr>
        <w:t>C</w:t>
      </w:r>
      <w:r w:rsidRPr="00C11798">
        <w:rPr>
          <w:rFonts w:ascii="Arial" w:hAnsi="Arial" w:cs="Arial"/>
          <w:b/>
          <w:bCs/>
          <w:sz w:val="20"/>
          <w:szCs w:val="20"/>
        </w:rPr>
        <w:t>ombined 12-hour reflective total nasal symptom score (</w:t>
      </w:r>
      <w:proofErr w:type="spellStart"/>
      <w:r w:rsidRPr="00C11798">
        <w:rPr>
          <w:rFonts w:ascii="Arial" w:hAnsi="Arial" w:cs="Arial"/>
          <w:b/>
          <w:bCs/>
          <w:sz w:val="20"/>
          <w:szCs w:val="20"/>
        </w:rPr>
        <w:t>crTNSS</w:t>
      </w:r>
      <w:proofErr w:type="spellEnd"/>
      <w:r w:rsidRPr="00C11798">
        <w:rPr>
          <w:rFonts w:ascii="Arial" w:hAnsi="Arial" w:cs="Arial"/>
          <w:b/>
          <w:bCs/>
          <w:sz w:val="20"/>
          <w:szCs w:val="20"/>
        </w:rPr>
        <w:t>) over the 14 day treatment period for studies MP 4001, 4002, 4004 and 4006 (ITT population)</w:t>
      </w:r>
    </w:p>
    <w:tbl>
      <w:tblPr>
        <w:tblW w:w="9108" w:type="dxa"/>
        <w:tblInd w:w="-106" w:type="dxa"/>
        <w:tblLook w:val="00A0" w:firstRow="1" w:lastRow="0" w:firstColumn="1" w:lastColumn="0" w:noHBand="0" w:noVBand="0"/>
      </w:tblPr>
      <w:tblGrid>
        <w:gridCol w:w="993"/>
        <w:gridCol w:w="3078"/>
        <w:gridCol w:w="2017"/>
        <w:gridCol w:w="992"/>
        <w:gridCol w:w="1030"/>
        <w:gridCol w:w="998"/>
      </w:tblGrid>
      <w:tr w:rsidR="00A13C6F" w:rsidRPr="00C6125C" w14:paraId="0C70A33D" w14:textId="77777777">
        <w:tc>
          <w:tcPr>
            <w:tcW w:w="1008" w:type="dxa"/>
            <w:tcBorders>
              <w:top w:val="single" w:sz="4" w:space="0" w:color="auto"/>
              <w:bottom w:val="single" w:sz="4" w:space="0" w:color="auto"/>
            </w:tcBorders>
          </w:tcPr>
          <w:p w14:paraId="456AE60D" w14:textId="77777777" w:rsidR="00A13C6F" w:rsidRPr="00C6125C" w:rsidRDefault="00A13C6F" w:rsidP="00C6125C">
            <w:pPr>
              <w:autoSpaceDE w:val="0"/>
              <w:autoSpaceDN w:val="0"/>
              <w:adjustRightInd w:val="0"/>
              <w:spacing w:after="0" w:line="240" w:lineRule="auto"/>
              <w:jc w:val="center"/>
              <w:rPr>
                <w:rFonts w:ascii="Arial" w:hAnsi="Arial" w:cs="Arial"/>
                <w:b/>
                <w:bCs/>
                <w:color w:val="000000"/>
                <w:sz w:val="20"/>
                <w:szCs w:val="20"/>
              </w:rPr>
            </w:pPr>
            <w:r w:rsidRPr="00C6125C">
              <w:rPr>
                <w:rFonts w:ascii="Arial" w:hAnsi="Arial" w:cs="Arial"/>
                <w:b/>
                <w:bCs/>
                <w:color w:val="000000"/>
                <w:sz w:val="20"/>
                <w:szCs w:val="20"/>
              </w:rPr>
              <w:t>Study No.</w:t>
            </w:r>
          </w:p>
        </w:tc>
        <w:tc>
          <w:tcPr>
            <w:tcW w:w="3600" w:type="dxa"/>
            <w:tcBorders>
              <w:top w:val="single" w:sz="4" w:space="0" w:color="auto"/>
              <w:bottom w:val="single" w:sz="4" w:space="0" w:color="auto"/>
            </w:tcBorders>
          </w:tcPr>
          <w:p w14:paraId="310860EF" w14:textId="77777777" w:rsidR="00A13C6F" w:rsidRPr="00C6125C" w:rsidRDefault="00A13C6F" w:rsidP="00C6125C">
            <w:pPr>
              <w:autoSpaceDE w:val="0"/>
              <w:autoSpaceDN w:val="0"/>
              <w:adjustRightInd w:val="0"/>
              <w:spacing w:after="0" w:line="240" w:lineRule="auto"/>
              <w:jc w:val="center"/>
              <w:rPr>
                <w:rFonts w:ascii="Arial" w:hAnsi="Arial" w:cs="Arial"/>
                <w:b/>
                <w:bCs/>
                <w:color w:val="000000"/>
                <w:sz w:val="20"/>
                <w:szCs w:val="20"/>
              </w:rPr>
            </w:pPr>
            <w:r w:rsidRPr="00C6125C">
              <w:rPr>
                <w:rFonts w:ascii="Arial" w:hAnsi="Arial" w:cs="Arial"/>
                <w:b/>
                <w:bCs/>
                <w:color w:val="000000"/>
                <w:sz w:val="20"/>
                <w:szCs w:val="20"/>
              </w:rPr>
              <w:t>Parameters</w:t>
            </w:r>
          </w:p>
        </w:tc>
        <w:tc>
          <w:tcPr>
            <w:tcW w:w="1125" w:type="dxa"/>
            <w:tcBorders>
              <w:top w:val="single" w:sz="4" w:space="0" w:color="auto"/>
              <w:bottom w:val="single" w:sz="4" w:space="0" w:color="auto"/>
            </w:tcBorders>
          </w:tcPr>
          <w:p w14:paraId="297B6CFE" w14:textId="3D852020" w:rsidR="00A13C6F" w:rsidRPr="00C6125C" w:rsidRDefault="00ED66CF" w:rsidP="00FD4410">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DYLASTINE</w:t>
            </w:r>
            <w:r w:rsidR="00FD4410">
              <w:rPr>
                <w:rFonts w:ascii="Arial" w:hAnsi="Arial" w:cs="Arial"/>
                <w:b/>
                <w:bCs/>
                <w:color w:val="000000"/>
                <w:sz w:val="20"/>
                <w:szCs w:val="20"/>
              </w:rPr>
              <w:t> </w:t>
            </w:r>
            <w:r w:rsidR="00105245">
              <w:rPr>
                <w:rFonts w:ascii="Arial" w:hAnsi="Arial" w:cs="Arial"/>
                <w:b/>
                <w:bCs/>
                <w:color w:val="000000"/>
                <w:sz w:val="20"/>
                <w:szCs w:val="20"/>
              </w:rPr>
              <w:t>125/50</w:t>
            </w:r>
          </w:p>
        </w:tc>
        <w:tc>
          <w:tcPr>
            <w:tcW w:w="1125" w:type="dxa"/>
            <w:tcBorders>
              <w:top w:val="single" w:sz="4" w:space="0" w:color="auto"/>
              <w:bottom w:val="single" w:sz="4" w:space="0" w:color="auto"/>
            </w:tcBorders>
          </w:tcPr>
          <w:p w14:paraId="7F1120A4" w14:textId="77777777" w:rsidR="00A13C6F" w:rsidRPr="00C6125C" w:rsidRDefault="00A13C6F" w:rsidP="00C6125C">
            <w:pPr>
              <w:autoSpaceDE w:val="0"/>
              <w:autoSpaceDN w:val="0"/>
              <w:adjustRightInd w:val="0"/>
              <w:spacing w:after="0" w:line="240" w:lineRule="auto"/>
              <w:jc w:val="center"/>
              <w:rPr>
                <w:rFonts w:ascii="Arial" w:hAnsi="Arial" w:cs="Arial"/>
                <w:b/>
                <w:bCs/>
                <w:color w:val="000000"/>
                <w:sz w:val="20"/>
                <w:szCs w:val="20"/>
              </w:rPr>
            </w:pPr>
            <w:r w:rsidRPr="00C6125C">
              <w:rPr>
                <w:rFonts w:ascii="Arial" w:hAnsi="Arial" w:cs="Arial"/>
                <w:b/>
                <w:bCs/>
                <w:color w:val="000000"/>
                <w:sz w:val="20"/>
                <w:szCs w:val="20"/>
              </w:rPr>
              <w:t>FLU*</w:t>
            </w:r>
          </w:p>
        </w:tc>
        <w:tc>
          <w:tcPr>
            <w:tcW w:w="1125" w:type="dxa"/>
            <w:tcBorders>
              <w:top w:val="single" w:sz="4" w:space="0" w:color="auto"/>
              <w:bottom w:val="single" w:sz="4" w:space="0" w:color="auto"/>
            </w:tcBorders>
          </w:tcPr>
          <w:p w14:paraId="4F1E21A6" w14:textId="77777777" w:rsidR="00A13C6F" w:rsidRPr="00C6125C" w:rsidRDefault="00A13C6F" w:rsidP="00C6125C">
            <w:pPr>
              <w:autoSpaceDE w:val="0"/>
              <w:autoSpaceDN w:val="0"/>
              <w:adjustRightInd w:val="0"/>
              <w:spacing w:after="0" w:line="240" w:lineRule="auto"/>
              <w:jc w:val="center"/>
              <w:rPr>
                <w:rFonts w:ascii="Arial" w:hAnsi="Arial" w:cs="Arial"/>
                <w:b/>
                <w:bCs/>
                <w:color w:val="000000"/>
                <w:sz w:val="20"/>
                <w:szCs w:val="20"/>
              </w:rPr>
            </w:pPr>
            <w:r w:rsidRPr="00C6125C">
              <w:rPr>
                <w:rFonts w:ascii="Arial" w:hAnsi="Arial" w:cs="Arial"/>
                <w:b/>
                <w:bCs/>
                <w:color w:val="000000"/>
                <w:sz w:val="20"/>
                <w:szCs w:val="20"/>
              </w:rPr>
              <w:t>AZE**</w:t>
            </w:r>
          </w:p>
        </w:tc>
        <w:tc>
          <w:tcPr>
            <w:tcW w:w="1125" w:type="dxa"/>
            <w:tcBorders>
              <w:top w:val="single" w:sz="4" w:space="0" w:color="auto"/>
              <w:bottom w:val="single" w:sz="4" w:space="0" w:color="auto"/>
            </w:tcBorders>
          </w:tcPr>
          <w:p w14:paraId="51FDB0B3" w14:textId="77777777" w:rsidR="00A13C6F" w:rsidRPr="00C6125C" w:rsidRDefault="00A13C6F" w:rsidP="00C6125C">
            <w:pPr>
              <w:autoSpaceDE w:val="0"/>
              <w:autoSpaceDN w:val="0"/>
              <w:adjustRightInd w:val="0"/>
              <w:spacing w:after="0" w:line="240" w:lineRule="auto"/>
              <w:jc w:val="center"/>
              <w:rPr>
                <w:rFonts w:ascii="Arial" w:hAnsi="Arial" w:cs="Arial"/>
                <w:b/>
                <w:bCs/>
                <w:color w:val="000000"/>
                <w:sz w:val="20"/>
                <w:szCs w:val="20"/>
              </w:rPr>
            </w:pPr>
            <w:r w:rsidRPr="00C6125C">
              <w:rPr>
                <w:rFonts w:ascii="Arial" w:hAnsi="Arial" w:cs="Arial"/>
                <w:b/>
                <w:bCs/>
                <w:color w:val="000000"/>
                <w:sz w:val="20"/>
                <w:szCs w:val="20"/>
              </w:rPr>
              <w:t>PLA^</w:t>
            </w:r>
          </w:p>
        </w:tc>
      </w:tr>
      <w:tr w:rsidR="00A13C6F" w:rsidRPr="00C6125C" w14:paraId="08C9F816" w14:textId="77777777">
        <w:tc>
          <w:tcPr>
            <w:tcW w:w="1008" w:type="dxa"/>
            <w:tcBorders>
              <w:top w:val="single" w:sz="4" w:space="0" w:color="auto"/>
            </w:tcBorders>
          </w:tcPr>
          <w:p w14:paraId="5833175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MP4001</w:t>
            </w:r>
          </w:p>
        </w:tc>
        <w:tc>
          <w:tcPr>
            <w:tcW w:w="3600" w:type="dxa"/>
            <w:tcBorders>
              <w:top w:val="single" w:sz="4" w:space="0" w:color="auto"/>
            </w:tcBorders>
          </w:tcPr>
          <w:p w14:paraId="3B12C5E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N</w:t>
            </w:r>
          </w:p>
        </w:tc>
        <w:tc>
          <w:tcPr>
            <w:tcW w:w="1125" w:type="dxa"/>
            <w:tcBorders>
              <w:top w:val="single" w:sz="4" w:space="0" w:color="auto"/>
            </w:tcBorders>
          </w:tcPr>
          <w:p w14:paraId="5A3E5D2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153</w:t>
            </w:r>
          </w:p>
        </w:tc>
        <w:tc>
          <w:tcPr>
            <w:tcW w:w="1125" w:type="dxa"/>
            <w:tcBorders>
              <w:top w:val="single" w:sz="4" w:space="0" w:color="auto"/>
            </w:tcBorders>
          </w:tcPr>
          <w:p w14:paraId="2589344E"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151</w:t>
            </w:r>
          </w:p>
        </w:tc>
        <w:tc>
          <w:tcPr>
            <w:tcW w:w="1125" w:type="dxa"/>
            <w:tcBorders>
              <w:top w:val="single" w:sz="4" w:space="0" w:color="auto"/>
            </w:tcBorders>
          </w:tcPr>
          <w:p w14:paraId="1BA86D9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152</w:t>
            </w:r>
          </w:p>
        </w:tc>
        <w:tc>
          <w:tcPr>
            <w:tcW w:w="1125" w:type="dxa"/>
            <w:tcBorders>
              <w:top w:val="single" w:sz="4" w:space="0" w:color="auto"/>
            </w:tcBorders>
          </w:tcPr>
          <w:p w14:paraId="2780870E"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150</w:t>
            </w:r>
          </w:p>
        </w:tc>
      </w:tr>
      <w:tr w:rsidR="00A13C6F" w:rsidRPr="00C6125C" w14:paraId="749774D8" w14:textId="77777777">
        <w:tc>
          <w:tcPr>
            <w:tcW w:w="1008" w:type="dxa"/>
          </w:tcPr>
          <w:p w14:paraId="473F08DB"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5843A17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BL</w:t>
            </w:r>
          </w:p>
        </w:tc>
        <w:tc>
          <w:tcPr>
            <w:tcW w:w="1125" w:type="dxa"/>
          </w:tcPr>
          <w:p w14:paraId="3596E96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6</w:t>
            </w:r>
          </w:p>
        </w:tc>
        <w:tc>
          <w:tcPr>
            <w:tcW w:w="1125" w:type="dxa"/>
          </w:tcPr>
          <w:p w14:paraId="7985596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1</w:t>
            </w:r>
          </w:p>
        </w:tc>
        <w:tc>
          <w:tcPr>
            <w:tcW w:w="1125" w:type="dxa"/>
          </w:tcPr>
          <w:p w14:paraId="0BC3B2B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7</w:t>
            </w:r>
            <w:r w:rsidRPr="00C6125C">
              <w:rPr>
                <w:rFonts w:ascii="Arial" w:hAnsi="Arial" w:cs="Arial"/>
                <w:color w:val="000000"/>
                <w:sz w:val="20"/>
                <w:szCs w:val="20"/>
              </w:rPr>
              <w:t>.</w:t>
            </w:r>
            <w:r>
              <w:rPr>
                <w:rFonts w:ascii="Arial" w:hAnsi="Arial" w:cs="Arial"/>
                <w:color w:val="000000"/>
                <w:sz w:val="20"/>
                <w:szCs w:val="20"/>
              </w:rPr>
              <w:t>9</w:t>
            </w:r>
          </w:p>
        </w:tc>
        <w:tc>
          <w:tcPr>
            <w:tcW w:w="1125" w:type="dxa"/>
          </w:tcPr>
          <w:p w14:paraId="6DABD85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5</w:t>
            </w:r>
          </w:p>
        </w:tc>
      </w:tr>
      <w:tr w:rsidR="00A13C6F" w:rsidRPr="00C6125C" w14:paraId="45857346" w14:textId="77777777">
        <w:tc>
          <w:tcPr>
            <w:tcW w:w="1008" w:type="dxa"/>
          </w:tcPr>
          <w:p w14:paraId="716A6A6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1A807C2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(SD) overall change from BL</w:t>
            </w:r>
          </w:p>
        </w:tc>
        <w:tc>
          <w:tcPr>
            <w:tcW w:w="1125" w:type="dxa"/>
          </w:tcPr>
          <w:p w14:paraId="4E26FD4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.3 (</w:t>
            </w:r>
            <w:r>
              <w:rPr>
                <w:rFonts w:ascii="Arial" w:hAnsi="Arial" w:cs="Arial"/>
                <w:color w:val="000000"/>
                <w:sz w:val="20"/>
                <w:szCs w:val="20"/>
              </w:rPr>
              <w:t>5</w:t>
            </w:r>
            <w:r w:rsidRPr="00C6125C">
              <w:rPr>
                <w:rFonts w:ascii="Arial" w:hAnsi="Arial" w:cs="Arial"/>
                <w:color w:val="000000"/>
                <w:sz w:val="20"/>
                <w:szCs w:val="20"/>
              </w:rPr>
              <w:t>.1)</w:t>
            </w:r>
          </w:p>
        </w:tc>
        <w:tc>
          <w:tcPr>
            <w:tcW w:w="1125" w:type="dxa"/>
          </w:tcPr>
          <w:p w14:paraId="48CFF106"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3</w:t>
            </w:r>
            <w:r w:rsidRPr="00C6125C">
              <w:rPr>
                <w:rFonts w:ascii="Arial" w:hAnsi="Arial" w:cs="Arial"/>
                <w:color w:val="000000"/>
                <w:sz w:val="20"/>
                <w:szCs w:val="20"/>
              </w:rPr>
              <w:t>.</w:t>
            </w:r>
            <w:r>
              <w:rPr>
                <w:rFonts w:ascii="Arial" w:hAnsi="Arial" w:cs="Arial"/>
                <w:color w:val="000000"/>
                <w:sz w:val="20"/>
                <w:szCs w:val="20"/>
              </w:rPr>
              <w:t>8</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8</w:t>
            </w:r>
            <w:r w:rsidRPr="00C6125C">
              <w:rPr>
                <w:rFonts w:ascii="Arial" w:hAnsi="Arial" w:cs="Arial"/>
                <w:color w:val="000000"/>
                <w:sz w:val="20"/>
                <w:szCs w:val="20"/>
              </w:rPr>
              <w:t>)</w:t>
            </w:r>
          </w:p>
        </w:tc>
        <w:tc>
          <w:tcPr>
            <w:tcW w:w="1125" w:type="dxa"/>
          </w:tcPr>
          <w:p w14:paraId="6C5E57A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3</w:t>
            </w:r>
            <w:r w:rsidRPr="00C6125C">
              <w:rPr>
                <w:rFonts w:ascii="Arial" w:hAnsi="Arial" w:cs="Arial"/>
                <w:color w:val="000000"/>
                <w:sz w:val="20"/>
                <w:szCs w:val="20"/>
              </w:rPr>
              <w:t>.</w:t>
            </w:r>
            <w:r>
              <w:rPr>
                <w:rFonts w:ascii="Arial" w:hAnsi="Arial" w:cs="Arial"/>
                <w:color w:val="000000"/>
                <w:sz w:val="20"/>
                <w:szCs w:val="20"/>
              </w:rPr>
              <w:t>3</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w:t>
            </w:r>
          </w:p>
        </w:tc>
        <w:tc>
          <w:tcPr>
            <w:tcW w:w="1125" w:type="dxa"/>
          </w:tcPr>
          <w:p w14:paraId="7A55B81F"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w:t>
            </w:r>
          </w:p>
        </w:tc>
      </w:tr>
      <w:tr w:rsidR="00A13C6F" w:rsidRPr="00C6125C" w14:paraId="29EFACAF" w14:textId="77777777">
        <w:tc>
          <w:tcPr>
            <w:tcW w:w="1008" w:type="dxa"/>
          </w:tcPr>
          <w:p w14:paraId="2BA42191"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52A8890C" w14:textId="77777777" w:rsidR="00105245"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P-values (ANCOVA) vs.</w:t>
            </w:r>
          </w:p>
          <w:p w14:paraId="269E753E" w14:textId="0470E050" w:rsidR="00A13C6F" w:rsidRPr="00C6125C" w:rsidRDefault="00ED66CF" w:rsidP="00C6125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DYLASTINE</w:t>
            </w:r>
            <w:r w:rsidR="00FD4410">
              <w:rPr>
                <w:rFonts w:ascii="Arial" w:hAnsi="Arial" w:cs="Arial"/>
                <w:color w:val="000000"/>
                <w:sz w:val="20"/>
                <w:szCs w:val="20"/>
              </w:rPr>
              <w:t> </w:t>
            </w:r>
            <w:r w:rsidR="00105245">
              <w:rPr>
                <w:rFonts w:ascii="Arial" w:hAnsi="Arial" w:cs="Arial"/>
                <w:color w:val="000000"/>
                <w:sz w:val="20"/>
                <w:szCs w:val="20"/>
              </w:rPr>
              <w:t>125/50</w:t>
            </w:r>
          </w:p>
        </w:tc>
        <w:tc>
          <w:tcPr>
            <w:tcW w:w="1125" w:type="dxa"/>
          </w:tcPr>
          <w:p w14:paraId="280483DF"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p>
        </w:tc>
        <w:tc>
          <w:tcPr>
            <w:tcW w:w="1125" w:type="dxa"/>
          </w:tcPr>
          <w:p w14:paraId="5043CC4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0.00</w:t>
            </w:r>
            <w:r>
              <w:rPr>
                <w:rFonts w:ascii="Arial" w:hAnsi="Arial" w:cs="Arial"/>
                <w:color w:val="000000"/>
                <w:sz w:val="20"/>
                <w:szCs w:val="20"/>
              </w:rPr>
              <w:t>3</w:t>
            </w:r>
          </w:p>
        </w:tc>
        <w:tc>
          <w:tcPr>
            <w:tcW w:w="1125" w:type="dxa"/>
          </w:tcPr>
          <w:p w14:paraId="540026C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&lt;</w:t>
            </w:r>
            <w:r w:rsidRPr="00C6125C">
              <w:rPr>
                <w:rFonts w:ascii="Arial" w:hAnsi="Arial" w:cs="Arial"/>
                <w:color w:val="000000"/>
                <w:sz w:val="20"/>
                <w:szCs w:val="20"/>
              </w:rPr>
              <w:t>0.0</w:t>
            </w:r>
            <w:r>
              <w:rPr>
                <w:rFonts w:ascii="Arial" w:hAnsi="Arial" w:cs="Arial"/>
                <w:color w:val="000000"/>
                <w:sz w:val="20"/>
                <w:szCs w:val="20"/>
              </w:rPr>
              <w:t>0</w:t>
            </w:r>
            <w:r w:rsidRPr="00C6125C">
              <w:rPr>
                <w:rFonts w:ascii="Arial" w:hAnsi="Arial" w:cs="Arial"/>
                <w:color w:val="000000"/>
                <w:sz w:val="20"/>
                <w:szCs w:val="20"/>
              </w:rPr>
              <w:t>1</w:t>
            </w:r>
          </w:p>
        </w:tc>
        <w:tc>
          <w:tcPr>
            <w:tcW w:w="1125" w:type="dxa"/>
          </w:tcPr>
          <w:p w14:paraId="24DC13C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&lt; 0.001</w:t>
            </w:r>
          </w:p>
        </w:tc>
      </w:tr>
      <w:tr w:rsidR="00A13C6F" w:rsidRPr="00C6125C" w14:paraId="3B2C642D" w14:textId="77777777">
        <w:tc>
          <w:tcPr>
            <w:tcW w:w="1008" w:type="dxa"/>
          </w:tcPr>
          <w:p w14:paraId="6AC084E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MP4002</w:t>
            </w:r>
          </w:p>
        </w:tc>
        <w:tc>
          <w:tcPr>
            <w:tcW w:w="3600" w:type="dxa"/>
          </w:tcPr>
          <w:p w14:paraId="76B8394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N</w:t>
            </w:r>
          </w:p>
        </w:tc>
        <w:tc>
          <w:tcPr>
            <w:tcW w:w="1125" w:type="dxa"/>
          </w:tcPr>
          <w:p w14:paraId="147A8069"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207</w:t>
            </w:r>
          </w:p>
        </w:tc>
        <w:tc>
          <w:tcPr>
            <w:tcW w:w="1125" w:type="dxa"/>
          </w:tcPr>
          <w:p w14:paraId="3A9CFC5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207</w:t>
            </w:r>
          </w:p>
        </w:tc>
        <w:tc>
          <w:tcPr>
            <w:tcW w:w="1125" w:type="dxa"/>
          </w:tcPr>
          <w:p w14:paraId="338A227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208</w:t>
            </w:r>
          </w:p>
        </w:tc>
        <w:tc>
          <w:tcPr>
            <w:tcW w:w="1125" w:type="dxa"/>
          </w:tcPr>
          <w:p w14:paraId="5558652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209</w:t>
            </w:r>
          </w:p>
        </w:tc>
      </w:tr>
      <w:tr w:rsidR="00A13C6F" w:rsidRPr="00C6125C" w14:paraId="55F69B18" w14:textId="77777777">
        <w:tc>
          <w:tcPr>
            <w:tcW w:w="1008" w:type="dxa"/>
          </w:tcPr>
          <w:p w14:paraId="310BED3D"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3198FD4D"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BL</w:t>
            </w:r>
          </w:p>
        </w:tc>
        <w:tc>
          <w:tcPr>
            <w:tcW w:w="1125" w:type="dxa"/>
          </w:tcPr>
          <w:p w14:paraId="553A390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3</w:t>
            </w:r>
          </w:p>
        </w:tc>
        <w:tc>
          <w:tcPr>
            <w:tcW w:w="1125" w:type="dxa"/>
          </w:tcPr>
          <w:p w14:paraId="35AABB61"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2</w:t>
            </w:r>
          </w:p>
        </w:tc>
        <w:tc>
          <w:tcPr>
            <w:tcW w:w="1125" w:type="dxa"/>
          </w:tcPr>
          <w:p w14:paraId="71E3390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3</w:t>
            </w:r>
          </w:p>
        </w:tc>
        <w:tc>
          <w:tcPr>
            <w:tcW w:w="1125" w:type="dxa"/>
          </w:tcPr>
          <w:p w14:paraId="3510862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6</w:t>
            </w:r>
          </w:p>
        </w:tc>
      </w:tr>
      <w:tr w:rsidR="00A13C6F" w:rsidRPr="00C6125C" w14:paraId="0A9438E6" w14:textId="77777777">
        <w:tc>
          <w:tcPr>
            <w:tcW w:w="1008" w:type="dxa"/>
          </w:tcPr>
          <w:p w14:paraId="70A8D24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17975FC9"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(SD) overall change from BL</w:t>
            </w:r>
          </w:p>
        </w:tc>
        <w:tc>
          <w:tcPr>
            <w:tcW w:w="1125" w:type="dxa"/>
          </w:tcPr>
          <w:p w14:paraId="254256D9"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6</w:t>
            </w:r>
            <w:r w:rsidRPr="00C6125C">
              <w:rPr>
                <w:rFonts w:ascii="Arial" w:hAnsi="Arial" w:cs="Arial"/>
                <w:color w:val="000000"/>
                <w:sz w:val="20"/>
                <w:szCs w:val="20"/>
              </w:rPr>
              <w:t xml:space="preserve"> (</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w:t>
            </w:r>
          </w:p>
        </w:tc>
        <w:tc>
          <w:tcPr>
            <w:tcW w:w="1125" w:type="dxa"/>
          </w:tcPr>
          <w:p w14:paraId="7D0A787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7</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7</w:t>
            </w:r>
            <w:r w:rsidRPr="00C6125C">
              <w:rPr>
                <w:rFonts w:ascii="Arial" w:hAnsi="Arial" w:cs="Arial"/>
                <w:color w:val="000000"/>
                <w:sz w:val="20"/>
                <w:szCs w:val="20"/>
              </w:rPr>
              <w:t>)</w:t>
            </w:r>
          </w:p>
        </w:tc>
        <w:tc>
          <w:tcPr>
            <w:tcW w:w="1125" w:type="dxa"/>
          </w:tcPr>
          <w:p w14:paraId="15BCE2A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6</w:t>
            </w:r>
            <w:r w:rsidRPr="00C6125C">
              <w:rPr>
                <w:rFonts w:ascii="Arial" w:hAnsi="Arial" w:cs="Arial"/>
                <w:color w:val="000000"/>
                <w:sz w:val="20"/>
                <w:szCs w:val="20"/>
              </w:rPr>
              <w:t>)</w:t>
            </w:r>
          </w:p>
        </w:tc>
        <w:tc>
          <w:tcPr>
            <w:tcW w:w="1125" w:type="dxa"/>
          </w:tcPr>
          <w:p w14:paraId="0A4EC2CF"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.9 (3.</w:t>
            </w:r>
            <w:r>
              <w:rPr>
                <w:rFonts w:ascii="Arial" w:hAnsi="Arial" w:cs="Arial"/>
                <w:color w:val="000000"/>
                <w:sz w:val="20"/>
                <w:szCs w:val="20"/>
              </w:rPr>
              <w:t>9</w:t>
            </w:r>
            <w:r w:rsidRPr="00C6125C">
              <w:rPr>
                <w:rFonts w:ascii="Arial" w:hAnsi="Arial" w:cs="Arial"/>
                <w:color w:val="000000"/>
                <w:sz w:val="20"/>
                <w:szCs w:val="20"/>
              </w:rPr>
              <w:t>)</w:t>
            </w:r>
          </w:p>
        </w:tc>
      </w:tr>
      <w:tr w:rsidR="00A13C6F" w:rsidRPr="00C6125C" w14:paraId="7A71C798" w14:textId="77777777">
        <w:tc>
          <w:tcPr>
            <w:tcW w:w="1008" w:type="dxa"/>
          </w:tcPr>
          <w:p w14:paraId="73577DC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7E8164A1" w14:textId="77777777" w:rsidR="00105245"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 xml:space="preserve">P-values (ANCOVA) vs. </w:t>
            </w:r>
          </w:p>
          <w:p w14:paraId="44FE61CF" w14:textId="0F0E31BF" w:rsidR="00A13C6F" w:rsidRPr="00C6125C" w:rsidRDefault="00ED66CF" w:rsidP="00C6125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DYLASTINE</w:t>
            </w:r>
            <w:r w:rsidR="00FD4410">
              <w:rPr>
                <w:rFonts w:ascii="Arial" w:hAnsi="Arial" w:cs="Arial"/>
                <w:color w:val="000000"/>
                <w:sz w:val="20"/>
                <w:szCs w:val="20"/>
              </w:rPr>
              <w:t> </w:t>
            </w:r>
            <w:r w:rsidR="00105245">
              <w:rPr>
                <w:rFonts w:ascii="Arial" w:hAnsi="Arial" w:cs="Arial"/>
                <w:color w:val="000000"/>
                <w:sz w:val="20"/>
                <w:szCs w:val="20"/>
              </w:rPr>
              <w:t>125/50</w:t>
            </w:r>
          </w:p>
        </w:tc>
        <w:tc>
          <w:tcPr>
            <w:tcW w:w="1125" w:type="dxa"/>
          </w:tcPr>
          <w:p w14:paraId="6DFB1CA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p>
        </w:tc>
        <w:tc>
          <w:tcPr>
            <w:tcW w:w="1125" w:type="dxa"/>
          </w:tcPr>
          <w:p w14:paraId="55867C45"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0.0</w:t>
            </w:r>
            <w:r>
              <w:rPr>
                <w:rFonts w:ascii="Arial" w:hAnsi="Arial" w:cs="Arial"/>
                <w:color w:val="000000"/>
                <w:sz w:val="20"/>
                <w:szCs w:val="20"/>
              </w:rPr>
              <w:t>34</w:t>
            </w:r>
          </w:p>
        </w:tc>
        <w:tc>
          <w:tcPr>
            <w:tcW w:w="1125" w:type="dxa"/>
          </w:tcPr>
          <w:p w14:paraId="235A4201"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w:t>
            </w:r>
            <w:r>
              <w:rPr>
                <w:rFonts w:ascii="Arial" w:hAnsi="Arial" w:cs="Arial"/>
                <w:color w:val="000000"/>
                <w:sz w:val="20"/>
                <w:szCs w:val="20"/>
              </w:rPr>
              <w:t>001</w:t>
            </w:r>
          </w:p>
        </w:tc>
        <w:tc>
          <w:tcPr>
            <w:tcW w:w="1125" w:type="dxa"/>
          </w:tcPr>
          <w:p w14:paraId="58A2D92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&lt; 0.001</w:t>
            </w:r>
          </w:p>
        </w:tc>
      </w:tr>
      <w:tr w:rsidR="00A13C6F" w:rsidRPr="00C6125C" w14:paraId="0652F9A8" w14:textId="77777777">
        <w:tc>
          <w:tcPr>
            <w:tcW w:w="1008" w:type="dxa"/>
          </w:tcPr>
          <w:p w14:paraId="7A02F9EB"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MP4004</w:t>
            </w:r>
          </w:p>
        </w:tc>
        <w:tc>
          <w:tcPr>
            <w:tcW w:w="3600" w:type="dxa"/>
          </w:tcPr>
          <w:p w14:paraId="5F3A953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N</w:t>
            </w:r>
          </w:p>
        </w:tc>
        <w:tc>
          <w:tcPr>
            <w:tcW w:w="1125" w:type="dxa"/>
          </w:tcPr>
          <w:p w14:paraId="657A7D7F"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193</w:t>
            </w:r>
          </w:p>
        </w:tc>
        <w:tc>
          <w:tcPr>
            <w:tcW w:w="1125" w:type="dxa"/>
          </w:tcPr>
          <w:p w14:paraId="272D654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188</w:t>
            </w:r>
          </w:p>
        </w:tc>
        <w:tc>
          <w:tcPr>
            <w:tcW w:w="1125" w:type="dxa"/>
          </w:tcPr>
          <w:p w14:paraId="13931D1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193</w:t>
            </w:r>
          </w:p>
        </w:tc>
        <w:tc>
          <w:tcPr>
            <w:tcW w:w="1125" w:type="dxa"/>
          </w:tcPr>
          <w:p w14:paraId="0DD02CC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199</w:t>
            </w:r>
          </w:p>
        </w:tc>
      </w:tr>
      <w:tr w:rsidR="00A13C6F" w:rsidRPr="00C6125C" w14:paraId="663F2245" w14:textId="77777777">
        <w:tc>
          <w:tcPr>
            <w:tcW w:w="1008" w:type="dxa"/>
          </w:tcPr>
          <w:p w14:paraId="38406551"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197BB29D"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BL</w:t>
            </w:r>
          </w:p>
        </w:tc>
        <w:tc>
          <w:tcPr>
            <w:tcW w:w="1125" w:type="dxa"/>
          </w:tcPr>
          <w:p w14:paraId="397FF0E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3</w:t>
            </w:r>
          </w:p>
        </w:tc>
        <w:tc>
          <w:tcPr>
            <w:tcW w:w="1125" w:type="dxa"/>
          </w:tcPr>
          <w:p w14:paraId="7C4891EB"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6</w:t>
            </w:r>
          </w:p>
        </w:tc>
        <w:tc>
          <w:tcPr>
            <w:tcW w:w="1125" w:type="dxa"/>
          </w:tcPr>
          <w:p w14:paraId="0712EEB1"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5</w:t>
            </w:r>
          </w:p>
        </w:tc>
        <w:tc>
          <w:tcPr>
            <w:tcW w:w="1125" w:type="dxa"/>
          </w:tcPr>
          <w:p w14:paraId="7C5BBBC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8</w:t>
            </w:r>
            <w:r w:rsidRPr="00C6125C">
              <w:rPr>
                <w:rFonts w:ascii="Arial" w:hAnsi="Arial" w:cs="Arial"/>
                <w:color w:val="000000"/>
                <w:sz w:val="20"/>
                <w:szCs w:val="20"/>
              </w:rPr>
              <w:t>.</w:t>
            </w:r>
            <w:r>
              <w:rPr>
                <w:rFonts w:ascii="Arial" w:hAnsi="Arial" w:cs="Arial"/>
                <w:color w:val="000000"/>
                <w:sz w:val="20"/>
                <w:szCs w:val="20"/>
              </w:rPr>
              <w:t>2</w:t>
            </w:r>
          </w:p>
        </w:tc>
      </w:tr>
      <w:tr w:rsidR="00A13C6F" w:rsidRPr="00C6125C" w14:paraId="656C5889" w14:textId="77777777">
        <w:tc>
          <w:tcPr>
            <w:tcW w:w="1008" w:type="dxa"/>
          </w:tcPr>
          <w:p w14:paraId="1F12A9C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2A0802A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(SD) overall change from BL</w:t>
            </w:r>
          </w:p>
        </w:tc>
        <w:tc>
          <w:tcPr>
            <w:tcW w:w="1125" w:type="dxa"/>
          </w:tcPr>
          <w:p w14:paraId="105B4FFD"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 xml:space="preserve"> (</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w:t>
            </w:r>
          </w:p>
        </w:tc>
        <w:tc>
          <w:tcPr>
            <w:tcW w:w="1125" w:type="dxa"/>
          </w:tcPr>
          <w:p w14:paraId="1A1845AC"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6</w:t>
            </w:r>
            <w:r w:rsidRPr="00C6125C">
              <w:rPr>
                <w:rFonts w:ascii="Arial" w:hAnsi="Arial" w:cs="Arial"/>
                <w:color w:val="000000"/>
                <w:sz w:val="20"/>
                <w:szCs w:val="20"/>
              </w:rPr>
              <w:t xml:space="preserve"> (</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1</w:t>
            </w:r>
            <w:r w:rsidRPr="00C6125C">
              <w:rPr>
                <w:rFonts w:ascii="Arial" w:hAnsi="Arial" w:cs="Arial"/>
                <w:color w:val="000000"/>
                <w:sz w:val="20"/>
                <w:szCs w:val="20"/>
              </w:rPr>
              <w:t>)</w:t>
            </w:r>
          </w:p>
        </w:tc>
        <w:tc>
          <w:tcPr>
            <w:tcW w:w="1125" w:type="dxa"/>
          </w:tcPr>
          <w:p w14:paraId="3035AA2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6</w:t>
            </w:r>
            <w:r w:rsidRPr="00C6125C">
              <w:rPr>
                <w:rFonts w:ascii="Arial" w:hAnsi="Arial" w:cs="Arial"/>
                <w:color w:val="000000"/>
                <w:sz w:val="20"/>
                <w:szCs w:val="20"/>
              </w:rPr>
              <w:t>)</w:t>
            </w:r>
          </w:p>
        </w:tc>
        <w:tc>
          <w:tcPr>
            <w:tcW w:w="1125" w:type="dxa"/>
          </w:tcPr>
          <w:p w14:paraId="15CC9B3E"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3</w:t>
            </w:r>
            <w:r w:rsidRPr="00C6125C">
              <w:rPr>
                <w:rFonts w:ascii="Arial" w:hAnsi="Arial" w:cs="Arial"/>
                <w:color w:val="000000"/>
                <w:sz w:val="20"/>
                <w:szCs w:val="20"/>
              </w:rPr>
              <w:t>.0 (3.</w:t>
            </w:r>
            <w:r>
              <w:rPr>
                <w:rFonts w:ascii="Arial" w:hAnsi="Arial" w:cs="Arial"/>
                <w:color w:val="000000"/>
                <w:sz w:val="20"/>
                <w:szCs w:val="20"/>
              </w:rPr>
              <w:t>9</w:t>
            </w:r>
            <w:r w:rsidRPr="00C6125C">
              <w:rPr>
                <w:rFonts w:ascii="Arial" w:hAnsi="Arial" w:cs="Arial"/>
                <w:color w:val="000000"/>
                <w:sz w:val="20"/>
                <w:szCs w:val="20"/>
              </w:rPr>
              <w:t>)</w:t>
            </w:r>
          </w:p>
        </w:tc>
      </w:tr>
      <w:tr w:rsidR="00A13C6F" w:rsidRPr="00C6125C" w14:paraId="05016E4B" w14:textId="77777777">
        <w:tc>
          <w:tcPr>
            <w:tcW w:w="1008" w:type="dxa"/>
          </w:tcPr>
          <w:p w14:paraId="088D76C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3611B509" w14:textId="77777777" w:rsidR="00105245"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P-values (ANCOVA) vs.</w:t>
            </w:r>
          </w:p>
          <w:p w14:paraId="605AFBD3" w14:textId="7A238B1F" w:rsidR="00A13C6F" w:rsidRPr="00C6125C" w:rsidRDefault="00ED66CF" w:rsidP="00C6125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DYLASTINE</w:t>
            </w:r>
            <w:r w:rsidR="00FD4410">
              <w:rPr>
                <w:rFonts w:ascii="Arial" w:hAnsi="Arial" w:cs="Arial"/>
                <w:color w:val="000000"/>
                <w:sz w:val="20"/>
                <w:szCs w:val="20"/>
              </w:rPr>
              <w:t> </w:t>
            </w:r>
            <w:r w:rsidR="00105245">
              <w:rPr>
                <w:rFonts w:ascii="Arial" w:hAnsi="Arial" w:cs="Arial"/>
                <w:color w:val="000000"/>
                <w:sz w:val="20"/>
                <w:szCs w:val="20"/>
              </w:rPr>
              <w:t>125/50</w:t>
            </w:r>
          </w:p>
        </w:tc>
        <w:tc>
          <w:tcPr>
            <w:tcW w:w="1125" w:type="dxa"/>
          </w:tcPr>
          <w:p w14:paraId="1D7BBA8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p>
        </w:tc>
        <w:tc>
          <w:tcPr>
            <w:tcW w:w="1125" w:type="dxa"/>
          </w:tcPr>
          <w:p w14:paraId="2EAF7D99"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0.0</w:t>
            </w:r>
            <w:r>
              <w:rPr>
                <w:rFonts w:ascii="Arial" w:hAnsi="Arial" w:cs="Arial"/>
                <w:color w:val="000000"/>
                <w:sz w:val="20"/>
                <w:szCs w:val="20"/>
              </w:rPr>
              <w:t>38</w:t>
            </w:r>
          </w:p>
        </w:tc>
        <w:tc>
          <w:tcPr>
            <w:tcW w:w="1125" w:type="dxa"/>
          </w:tcPr>
          <w:p w14:paraId="1D722509"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0.0</w:t>
            </w:r>
            <w:r>
              <w:rPr>
                <w:rFonts w:ascii="Arial" w:hAnsi="Arial" w:cs="Arial"/>
                <w:color w:val="000000"/>
                <w:sz w:val="20"/>
                <w:szCs w:val="20"/>
              </w:rPr>
              <w:t>32</w:t>
            </w:r>
          </w:p>
        </w:tc>
        <w:tc>
          <w:tcPr>
            <w:tcW w:w="1125" w:type="dxa"/>
          </w:tcPr>
          <w:p w14:paraId="3F03849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&lt; 0.001</w:t>
            </w:r>
          </w:p>
        </w:tc>
      </w:tr>
      <w:tr w:rsidR="00A13C6F" w:rsidRPr="00C6125C" w14:paraId="02C2B13A" w14:textId="77777777">
        <w:tc>
          <w:tcPr>
            <w:tcW w:w="1008" w:type="dxa"/>
          </w:tcPr>
          <w:p w14:paraId="22F0EEE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MP4006</w:t>
            </w:r>
          </w:p>
        </w:tc>
        <w:tc>
          <w:tcPr>
            <w:tcW w:w="3600" w:type="dxa"/>
          </w:tcPr>
          <w:p w14:paraId="10096AC9"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N</w:t>
            </w:r>
          </w:p>
        </w:tc>
        <w:tc>
          <w:tcPr>
            <w:tcW w:w="1125" w:type="dxa"/>
          </w:tcPr>
          <w:p w14:paraId="54525F36"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448</w:t>
            </w:r>
          </w:p>
        </w:tc>
        <w:tc>
          <w:tcPr>
            <w:tcW w:w="1125" w:type="dxa"/>
          </w:tcPr>
          <w:p w14:paraId="771B6B5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450</w:t>
            </w:r>
          </w:p>
        </w:tc>
        <w:tc>
          <w:tcPr>
            <w:tcW w:w="1125" w:type="dxa"/>
          </w:tcPr>
          <w:p w14:paraId="71F0CDF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443</w:t>
            </w:r>
          </w:p>
        </w:tc>
        <w:tc>
          <w:tcPr>
            <w:tcW w:w="1125" w:type="dxa"/>
          </w:tcPr>
          <w:p w14:paraId="3E19E71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448</w:t>
            </w:r>
          </w:p>
        </w:tc>
      </w:tr>
      <w:tr w:rsidR="00A13C6F" w:rsidRPr="00C6125C" w14:paraId="3A9BC35C" w14:textId="77777777">
        <w:tc>
          <w:tcPr>
            <w:tcW w:w="1008" w:type="dxa"/>
          </w:tcPr>
          <w:p w14:paraId="0215B21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155D38A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BL</w:t>
            </w:r>
          </w:p>
        </w:tc>
        <w:tc>
          <w:tcPr>
            <w:tcW w:w="1125" w:type="dxa"/>
          </w:tcPr>
          <w:p w14:paraId="34524C0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9</w:t>
            </w:r>
            <w:r w:rsidRPr="00C6125C">
              <w:rPr>
                <w:rFonts w:ascii="Arial" w:hAnsi="Arial" w:cs="Arial"/>
                <w:color w:val="000000"/>
                <w:sz w:val="20"/>
                <w:szCs w:val="20"/>
              </w:rPr>
              <w:t>.3</w:t>
            </w:r>
          </w:p>
        </w:tc>
        <w:tc>
          <w:tcPr>
            <w:tcW w:w="1125" w:type="dxa"/>
          </w:tcPr>
          <w:p w14:paraId="543B8F1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9</w:t>
            </w:r>
            <w:r w:rsidRPr="00C6125C">
              <w:rPr>
                <w:rFonts w:ascii="Arial" w:hAnsi="Arial" w:cs="Arial"/>
                <w:color w:val="000000"/>
                <w:sz w:val="20"/>
                <w:szCs w:val="20"/>
              </w:rPr>
              <w:t>.</w:t>
            </w:r>
            <w:r>
              <w:rPr>
                <w:rFonts w:ascii="Arial" w:hAnsi="Arial" w:cs="Arial"/>
                <w:color w:val="000000"/>
                <w:sz w:val="20"/>
                <w:szCs w:val="20"/>
              </w:rPr>
              <w:t>4</w:t>
            </w:r>
          </w:p>
        </w:tc>
        <w:tc>
          <w:tcPr>
            <w:tcW w:w="1125" w:type="dxa"/>
          </w:tcPr>
          <w:p w14:paraId="0BEC3D5F"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9</w:t>
            </w:r>
            <w:r w:rsidRPr="00C6125C">
              <w:rPr>
                <w:rFonts w:ascii="Arial" w:hAnsi="Arial" w:cs="Arial"/>
                <w:color w:val="000000"/>
                <w:sz w:val="20"/>
                <w:szCs w:val="20"/>
              </w:rPr>
              <w:t>.</w:t>
            </w:r>
            <w:r>
              <w:rPr>
                <w:rFonts w:ascii="Arial" w:hAnsi="Arial" w:cs="Arial"/>
                <w:color w:val="000000"/>
                <w:sz w:val="20"/>
                <w:szCs w:val="20"/>
              </w:rPr>
              <w:t>5</w:t>
            </w:r>
          </w:p>
        </w:tc>
        <w:tc>
          <w:tcPr>
            <w:tcW w:w="1125" w:type="dxa"/>
          </w:tcPr>
          <w:p w14:paraId="00FB0FD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1</w:t>
            </w:r>
            <w:r>
              <w:rPr>
                <w:rFonts w:ascii="Arial" w:hAnsi="Arial" w:cs="Arial"/>
                <w:color w:val="000000"/>
                <w:sz w:val="20"/>
                <w:szCs w:val="20"/>
              </w:rPr>
              <w:t>9</w:t>
            </w:r>
            <w:r w:rsidRPr="00C6125C">
              <w:rPr>
                <w:rFonts w:ascii="Arial" w:hAnsi="Arial" w:cs="Arial"/>
                <w:color w:val="000000"/>
                <w:sz w:val="20"/>
                <w:szCs w:val="20"/>
              </w:rPr>
              <w:t>.</w:t>
            </w:r>
            <w:r>
              <w:rPr>
                <w:rFonts w:ascii="Arial" w:hAnsi="Arial" w:cs="Arial"/>
                <w:color w:val="000000"/>
                <w:sz w:val="20"/>
                <w:szCs w:val="20"/>
              </w:rPr>
              <w:t>4</w:t>
            </w:r>
          </w:p>
        </w:tc>
      </w:tr>
      <w:tr w:rsidR="00A13C6F" w:rsidRPr="00C6125C" w14:paraId="64D86CE3" w14:textId="77777777">
        <w:tc>
          <w:tcPr>
            <w:tcW w:w="1008" w:type="dxa"/>
          </w:tcPr>
          <w:p w14:paraId="04A27DDD"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Pr>
          <w:p w14:paraId="68C33344"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LS mean (SD) overall change from BL</w:t>
            </w:r>
          </w:p>
        </w:tc>
        <w:tc>
          <w:tcPr>
            <w:tcW w:w="1125" w:type="dxa"/>
          </w:tcPr>
          <w:p w14:paraId="2392A97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5</w:t>
            </w:r>
            <w:r w:rsidRPr="00C6125C">
              <w:rPr>
                <w:rFonts w:ascii="Arial" w:hAnsi="Arial" w:cs="Arial"/>
                <w:color w:val="000000"/>
                <w:sz w:val="20"/>
                <w:szCs w:val="20"/>
              </w:rPr>
              <w:t xml:space="preserve"> (</w:t>
            </w:r>
            <w:r>
              <w:rPr>
                <w:rFonts w:ascii="Arial" w:hAnsi="Arial" w:cs="Arial"/>
                <w:color w:val="000000"/>
                <w:sz w:val="20"/>
                <w:szCs w:val="20"/>
              </w:rPr>
              <w:t>5</w:t>
            </w:r>
            <w:r w:rsidRPr="00C6125C">
              <w:rPr>
                <w:rFonts w:ascii="Arial" w:hAnsi="Arial" w:cs="Arial"/>
                <w:color w:val="000000"/>
                <w:sz w:val="20"/>
                <w:szCs w:val="20"/>
              </w:rPr>
              <w:t>.</w:t>
            </w:r>
            <w:r>
              <w:rPr>
                <w:rFonts w:ascii="Arial" w:hAnsi="Arial" w:cs="Arial"/>
                <w:color w:val="000000"/>
                <w:sz w:val="20"/>
                <w:szCs w:val="20"/>
              </w:rPr>
              <w:t>2</w:t>
            </w:r>
            <w:r w:rsidRPr="00C6125C">
              <w:rPr>
                <w:rFonts w:ascii="Arial" w:hAnsi="Arial" w:cs="Arial"/>
                <w:color w:val="000000"/>
                <w:sz w:val="20"/>
                <w:szCs w:val="20"/>
              </w:rPr>
              <w:t>)</w:t>
            </w:r>
          </w:p>
        </w:tc>
        <w:tc>
          <w:tcPr>
            <w:tcW w:w="1125" w:type="dxa"/>
          </w:tcPr>
          <w:p w14:paraId="4C7B49EA"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9</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7</w:t>
            </w:r>
            <w:r w:rsidRPr="00C6125C">
              <w:rPr>
                <w:rFonts w:ascii="Arial" w:hAnsi="Arial" w:cs="Arial"/>
                <w:color w:val="000000"/>
                <w:sz w:val="20"/>
                <w:szCs w:val="20"/>
              </w:rPr>
              <w:t>)</w:t>
            </w:r>
          </w:p>
        </w:tc>
        <w:tc>
          <w:tcPr>
            <w:tcW w:w="1125" w:type="dxa"/>
          </w:tcPr>
          <w:p w14:paraId="30CF6522"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8</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.8)</w:t>
            </w:r>
          </w:p>
        </w:tc>
        <w:tc>
          <w:tcPr>
            <w:tcW w:w="1125" w:type="dxa"/>
          </w:tcPr>
          <w:p w14:paraId="1F679C00"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r>
              <w:rPr>
                <w:rFonts w:ascii="Arial" w:hAnsi="Arial" w:cs="Arial"/>
                <w:color w:val="000000"/>
                <w:sz w:val="20"/>
                <w:szCs w:val="20"/>
              </w:rPr>
              <w:t>3</w:t>
            </w:r>
            <w:r w:rsidRPr="00C6125C">
              <w:rPr>
                <w:rFonts w:ascii="Arial" w:hAnsi="Arial" w:cs="Arial"/>
                <w:color w:val="000000"/>
                <w:sz w:val="20"/>
                <w:szCs w:val="20"/>
              </w:rPr>
              <w:t>.</w:t>
            </w:r>
            <w:r>
              <w:rPr>
                <w:rFonts w:ascii="Arial" w:hAnsi="Arial" w:cs="Arial"/>
                <w:color w:val="000000"/>
                <w:sz w:val="20"/>
                <w:szCs w:val="20"/>
              </w:rPr>
              <w:t>4</w:t>
            </w:r>
            <w:r w:rsidRPr="00C6125C">
              <w:rPr>
                <w:rFonts w:ascii="Arial" w:hAnsi="Arial" w:cs="Arial"/>
                <w:color w:val="000000"/>
                <w:sz w:val="20"/>
                <w:szCs w:val="20"/>
              </w:rPr>
              <w:t xml:space="preserve"> (</w:t>
            </w:r>
            <w:r>
              <w:rPr>
                <w:rFonts w:ascii="Arial" w:hAnsi="Arial" w:cs="Arial"/>
                <w:color w:val="000000"/>
                <w:sz w:val="20"/>
                <w:szCs w:val="20"/>
              </w:rPr>
              <w:t>4</w:t>
            </w:r>
            <w:r w:rsidRPr="00C6125C">
              <w:rPr>
                <w:rFonts w:ascii="Arial" w:hAnsi="Arial" w:cs="Arial"/>
                <w:color w:val="000000"/>
                <w:sz w:val="20"/>
                <w:szCs w:val="20"/>
              </w:rPr>
              <w:t>.</w:t>
            </w:r>
            <w:r>
              <w:rPr>
                <w:rFonts w:ascii="Arial" w:hAnsi="Arial" w:cs="Arial"/>
                <w:color w:val="000000"/>
                <w:sz w:val="20"/>
                <w:szCs w:val="20"/>
              </w:rPr>
              <w:t>3</w:t>
            </w:r>
            <w:r w:rsidRPr="00C6125C">
              <w:rPr>
                <w:rFonts w:ascii="Arial" w:hAnsi="Arial" w:cs="Arial"/>
                <w:color w:val="000000"/>
                <w:sz w:val="20"/>
                <w:szCs w:val="20"/>
              </w:rPr>
              <w:t>)</w:t>
            </w:r>
          </w:p>
        </w:tc>
      </w:tr>
      <w:tr w:rsidR="00A13C6F" w:rsidRPr="00C6125C" w14:paraId="2B68E1DA" w14:textId="77777777">
        <w:tc>
          <w:tcPr>
            <w:tcW w:w="1008" w:type="dxa"/>
            <w:tcBorders>
              <w:bottom w:val="single" w:sz="4" w:space="0" w:color="auto"/>
            </w:tcBorders>
          </w:tcPr>
          <w:p w14:paraId="5DD625D7"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p>
        </w:tc>
        <w:tc>
          <w:tcPr>
            <w:tcW w:w="3600" w:type="dxa"/>
            <w:tcBorders>
              <w:bottom w:val="single" w:sz="4" w:space="0" w:color="auto"/>
            </w:tcBorders>
          </w:tcPr>
          <w:p w14:paraId="7B76A017" w14:textId="66FD0171" w:rsidR="00A13C6F" w:rsidRPr="00C6125C" w:rsidRDefault="00A13C6F" w:rsidP="00FD4410">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 xml:space="preserve">P-values (ANCOVA) vs. </w:t>
            </w:r>
            <w:r w:rsidR="00ED66CF">
              <w:rPr>
                <w:rFonts w:ascii="Arial" w:hAnsi="Arial" w:cs="Arial"/>
                <w:color w:val="000000"/>
                <w:sz w:val="20"/>
                <w:szCs w:val="20"/>
              </w:rPr>
              <w:t>DYLASTINE</w:t>
            </w:r>
            <w:r w:rsidR="00FD4410">
              <w:rPr>
                <w:rFonts w:ascii="Arial" w:hAnsi="Arial" w:cs="Arial"/>
                <w:color w:val="000000"/>
                <w:sz w:val="20"/>
                <w:szCs w:val="20"/>
              </w:rPr>
              <w:t> </w:t>
            </w:r>
            <w:r w:rsidR="00105245">
              <w:rPr>
                <w:rFonts w:ascii="Arial" w:hAnsi="Arial" w:cs="Arial"/>
                <w:color w:val="000000"/>
                <w:sz w:val="20"/>
                <w:szCs w:val="20"/>
              </w:rPr>
              <w:t>125/50</w:t>
            </w:r>
          </w:p>
        </w:tc>
        <w:tc>
          <w:tcPr>
            <w:tcW w:w="1125" w:type="dxa"/>
            <w:tcBorders>
              <w:bottom w:val="single" w:sz="4" w:space="0" w:color="auto"/>
            </w:tcBorders>
          </w:tcPr>
          <w:p w14:paraId="10E87D48"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w:t>
            </w:r>
          </w:p>
        </w:tc>
        <w:tc>
          <w:tcPr>
            <w:tcW w:w="1125" w:type="dxa"/>
            <w:tcBorders>
              <w:bottom w:val="single" w:sz="4" w:space="0" w:color="auto"/>
            </w:tcBorders>
          </w:tcPr>
          <w:p w14:paraId="421AEE6D"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w:t>
            </w:r>
            <w:r>
              <w:rPr>
                <w:rFonts w:ascii="Arial" w:hAnsi="Arial" w:cs="Arial"/>
                <w:color w:val="000000"/>
                <w:sz w:val="20"/>
                <w:szCs w:val="20"/>
              </w:rPr>
              <w:t>029</w:t>
            </w:r>
          </w:p>
        </w:tc>
        <w:tc>
          <w:tcPr>
            <w:tcW w:w="1125" w:type="dxa"/>
            <w:tcBorders>
              <w:bottom w:val="single" w:sz="4" w:space="0" w:color="auto"/>
            </w:tcBorders>
          </w:tcPr>
          <w:p w14:paraId="1E39991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0.</w:t>
            </w:r>
            <w:r>
              <w:rPr>
                <w:rFonts w:ascii="Arial" w:hAnsi="Arial" w:cs="Arial"/>
                <w:color w:val="000000"/>
                <w:sz w:val="20"/>
                <w:szCs w:val="20"/>
              </w:rPr>
              <w:t>016</w:t>
            </w:r>
          </w:p>
        </w:tc>
        <w:tc>
          <w:tcPr>
            <w:tcW w:w="1125" w:type="dxa"/>
            <w:tcBorders>
              <w:bottom w:val="single" w:sz="4" w:space="0" w:color="auto"/>
            </w:tcBorders>
          </w:tcPr>
          <w:p w14:paraId="22B240B3" w14:textId="77777777" w:rsidR="00A13C6F" w:rsidRPr="00C6125C" w:rsidRDefault="00A13C6F" w:rsidP="00C6125C">
            <w:pPr>
              <w:autoSpaceDE w:val="0"/>
              <w:autoSpaceDN w:val="0"/>
              <w:adjustRightInd w:val="0"/>
              <w:spacing w:after="0" w:line="240" w:lineRule="auto"/>
              <w:rPr>
                <w:rFonts w:ascii="Arial" w:hAnsi="Arial" w:cs="Arial"/>
                <w:color w:val="000000"/>
                <w:sz w:val="20"/>
                <w:szCs w:val="20"/>
              </w:rPr>
            </w:pPr>
            <w:r w:rsidRPr="00C6125C">
              <w:rPr>
                <w:rFonts w:ascii="Arial" w:hAnsi="Arial" w:cs="Arial"/>
                <w:color w:val="000000"/>
                <w:sz w:val="20"/>
                <w:szCs w:val="20"/>
              </w:rPr>
              <w:t>&lt; 0.001</w:t>
            </w:r>
          </w:p>
        </w:tc>
      </w:tr>
    </w:tbl>
    <w:p w14:paraId="71AD4554" w14:textId="492FA9AD" w:rsidR="00A13C6F" w:rsidRPr="003115CD" w:rsidRDefault="00A13C6F" w:rsidP="003115CD">
      <w:pPr>
        <w:autoSpaceDE w:val="0"/>
        <w:autoSpaceDN w:val="0"/>
        <w:adjustRightInd w:val="0"/>
        <w:spacing w:after="0" w:line="240" w:lineRule="auto"/>
        <w:rPr>
          <w:rFonts w:ascii="Arial" w:hAnsi="Arial" w:cs="Arial"/>
          <w:color w:val="000000"/>
          <w:sz w:val="20"/>
          <w:szCs w:val="20"/>
        </w:rPr>
      </w:pPr>
      <w:r w:rsidRPr="003115CD">
        <w:rPr>
          <w:rFonts w:ascii="Arial" w:hAnsi="Arial" w:cs="Arial"/>
          <w:color w:val="000000"/>
          <w:sz w:val="20"/>
          <w:szCs w:val="20"/>
        </w:rPr>
        <w:t xml:space="preserve">* </w:t>
      </w:r>
      <w:r>
        <w:rPr>
          <w:rFonts w:ascii="Arial" w:hAnsi="Arial" w:cs="Arial"/>
          <w:color w:val="000000"/>
          <w:sz w:val="20"/>
          <w:szCs w:val="20"/>
        </w:rPr>
        <w:t xml:space="preserve">MP4001: </w:t>
      </w:r>
      <w:r w:rsidRPr="003115CD">
        <w:rPr>
          <w:rFonts w:ascii="Arial" w:hAnsi="Arial" w:cs="Arial"/>
          <w:color w:val="000000"/>
          <w:sz w:val="20"/>
          <w:szCs w:val="20"/>
        </w:rPr>
        <w:t xml:space="preserve">Fluticasone Propionate Nasal Spray from </w:t>
      </w:r>
      <w:proofErr w:type="spellStart"/>
      <w:r w:rsidRPr="003115CD">
        <w:rPr>
          <w:rFonts w:ascii="Arial" w:hAnsi="Arial" w:cs="Arial"/>
          <w:color w:val="000000"/>
          <w:sz w:val="20"/>
          <w:szCs w:val="20"/>
        </w:rPr>
        <w:t>Roxane</w:t>
      </w:r>
      <w:proofErr w:type="spellEnd"/>
      <w:r w:rsidRPr="003115CD">
        <w:rPr>
          <w:rFonts w:ascii="Arial" w:hAnsi="Arial" w:cs="Arial"/>
          <w:color w:val="000000"/>
          <w:sz w:val="20"/>
          <w:szCs w:val="20"/>
        </w:rPr>
        <w:t xml:space="preserve"> Laboratories Inc.</w:t>
      </w:r>
      <w:r w:rsidR="00ED66CF">
        <w:rPr>
          <w:rFonts w:ascii="Arial" w:hAnsi="Arial" w:cs="Arial"/>
          <w:color w:val="000000"/>
          <w:sz w:val="20"/>
          <w:szCs w:val="20"/>
        </w:rPr>
        <w:t>; Other studies: FLU in DYLASTINE</w:t>
      </w:r>
      <w:r w:rsidR="00FD4410">
        <w:rPr>
          <w:rFonts w:ascii="Arial" w:hAnsi="Arial" w:cs="Arial"/>
          <w:color w:val="000000"/>
          <w:sz w:val="20"/>
          <w:szCs w:val="20"/>
        </w:rPr>
        <w:t> </w:t>
      </w:r>
      <w:r w:rsidR="00105245">
        <w:rPr>
          <w:rFonts w:ascii="Arial" w:hAnsi="Arial" w:cs="Arial"/>
          <w:color w:val="000000"/>
          <w:sz w:val="20"/>
          <w:szCs w:val="20"/>
        </w:rPr>
        <w:t>125/50</w:t>
      </w:r>
      <w:r>
        <w:rPr>
          <w:rFonts w:ascii="Arial" w:hAnsi="Arial" w:cs="Arial"/>
          <w:color w:val="000000"/>
          <w:sz w:val="20"/>
          <w:szCs w:val="20"/>
        </w:rPr>
        <w:t xml:space="preserve"> vehicle</w:t>
      </w:r>
    </w:p>
    <w:p w14:paraId="1F499F41" w14:textId="4199DE2B" w:rsidR="00A13C6F" w:rsidRPr="003115CD" w:rsidRDefault="00A13C6F" w:rsidP="003115CD">
      <w:pPr>
        <w:autoSpaceDE w:val="0"/>
        <w:autoSpaceDN w:val="0"/>
        <w:adjustRightInd w:val="0"/>
        <w:spacing w:after="0" w:line="240" w:lineRule="auto"/>
        <w:rPr>
          <w:rFonts w:ascii="Arial" w:hAnsi="Arial" w:cs="Arial"/>
          <w:color w:val="000000"/>
          <w:sz w:val="20"/>
          <w:szCs w:val="20"/>
        </w:rPr>
      </w:pPr>
      <w:r w:rsidRPr="003115CD">
        <w:rPr>
          <w:rFonts w:ascii="Arial" w:hAnsi="Arial" w:cs="Arial"/>
          <w:color w:val="000000"/>
          <w:sz w:val="20"/>
          <w:szCs w:val="20"/>
        </w:rPr>
        <w:t xml:space="preserve">** </w:t>
      </w:r>
      <w:r>
        <w:rPr>
          <w:rFonts w:ascii="Arial" w:hAnsi="Arial" w:cs="Arial"/>
          <w:color w:val="000000"/>
          <w:sz w:val="20"/>
          <w:szCs w:val="20"/>
        </w:rPr>
        <w:t xml:space="preserve">MP4001: </w:t>
      </w:r>
      <w:proofErr w:type="spellStart"/>
      <w:r w:rsidRPr="003115CD">
        <w:rPr>
          <w:rFonts w:ascii="Arial" w:hAnsi="Arial" w:cs="Arial"/>
          <w:color w:val="000000"/>
          <w:sz w:val="20"/>
          <w:szCs w:val="20"/>
        </w:rPr>
        <w:t>Astelin</w:t>
      </w:r>
      <w:proofErr w:type="spellEnd"/>
      <w:r w:rsidRPr="00410E9A">
        <w:rPr>
          <w:rFonts w:ascii="Arial" w:hAnsi="Arial" w:cs="Arial"/>
          <w:color w:val="000000"/>
          <w:sz w:val="20"/>
          <w:szCs w:val="20"/>
          <w:vertAlign w:val="superscript"/>
        </w:rPr>
        <w:t>®</w:t>
      </w:r>
      <w:r w:rsidRPr="003115CD">
        <w:rPr>
          <w:rFonts w:ascii="Arial" w:hAnsi="Arial" w:cs="Arial"/>
          <w:color w:val="000000"/>
          <w:sz w:val="20"/>
          <w:szCs w:val="20"/>
        </w:rPr>
        <w:t xml:space="preserve"> Nasal Spray</w:t>
      </w:r>
      <w:r>
        <w:rPr>
          <w:rFonts w:ascii="Arial" w:hAnsi="Arial" w:cs="Arial"/>
          <w:color w:val="000000"/>
          <w:sz w:val="20"/>
          <w:szCs w:val="20"/>
        </w:rPr>
        <w:t xml:space="preserve">; Other studies: AZE in </w:t>
      </w:r>
      <w:r w:rsidR="00ED66CF">
        <w:rPr>
          <w:rFonts w:ascii="Arial" w:hAnsi="Arial" w:cs="Arial"/>
          <w:color w:val="000000"/>
          <w:sz w:val="20"/>
          <w:szCs w:val="20"/>
        </w:rPr>
        <w:t>DYLASTINE</w:t>
      </w:r>
      <w:r w:rsidR="00FD4410">
        <w:rPr>
          <w:rFonts w:ascii="Arial" w:hAnsi="Arial" w:cs="Arial"/>
          <w:color w:val="000000"/>
          <w:sz w:val="20"/>
          <w:szCs w:val="20"/>
        </w:rPr>
        <w:t> </w:t>
      </w:r>
      <w:r w:rsidR="00105245">
        <w:rPr>
          <w:rFonts w:ascii="Arial" w:hAnsi="Arial" w:cs="Arial"/>
          <w:color w:val="000000"/>
          <w:sz w:val="20"/>
          <w:szCs w:val="20"/>
        </w:rPr>
        <w:t>125/50</w:t>
      </w:r>
      <w:r>
        <w:rPr>
          <w:rFonts w:ascii="Arial" w:hAnsi="Arial" w:cs="Arial"/>
          <w:color w:val="000000"/>
          <w:sz w:val="20"/>
          <w:szCs w:val="20"/>
        </w:rPr>
        <w:t xml:space="preserve"> vehicle</w:t>
      </w:r>
    </w:p>
    <w:p w14:paraId="666F3E47" w14:textId="7827E137" w:rsidR="00A13C6F" w:rsidRPr="003115CD" w:rsidRDefault="00A13C6F" w:rsidP="003115CD">
      <w:pPr>
        <w:autoSpaceDE w:val="0"/>
        <w:autoSpaceDN w:val="0"/>
        <w:adjustRightInd w:val="0"/>
        <w:spacing w:after="0" w:line="240" w:lineRule="auto"/>
        <w:rPr>
          <w:rFonts w:ascii="Arial" w:hAnsi="Arial" w:cs="Arial"/>
          <w:color w:val="000000"/>
          <w:sz w:val="20"/>
          <w:szCs w:val="20"/>
        </w:rPr>
      </w:pPr>
      <w:r w:rsidRPr="003115CD">
        <w:rPr>
          <w:rFonts w:ascii="Arial" w:hAnsi="Arial" w:cs="Arial"/>
          <w:color w:val="000000"/>
          <w:sz w:val="20"/>
          <w:szCs w:val="20"/>
        </w:rPr>
        <w:t xml:space="preserve">^ </w:t>
      </w:r>
      <w:r w:rsidR="00ED66CF">
        <w:rPr>
          <w:rFonts w:ascii="Arial" w:hAnsi="Arial" w:cs="Arial"/>
          <w:color w:val="000000"/>
          <w:sz w:val="20"/>
          <w:szCs w:val="20"/>
        </w:rPr>
        <w:t>DYLASTINE</w:t>
      </w:r>
      <w:r w:rsidR="00FD4410">
        <w:rPr>
          <w:rFonts w:ascii="Arial" w:hAnsi="Arial" w:cs="Arial"/>
          <w:color w:val="000000"/>
          <w:sz w:val="20"/>
          <w:szCs w:val="20"/>
        </w:rPr>
        <w:t> </w:t>
      </w:r>
      <w:r w:rsidR="00105245">
        <w:rPr>
          <w:rFonts w:ascii="Arial" w:hAnsi="Arial" w:cs="Arial"/>
          <w:color w:val="000000"/>
          <w:sz w:val="20"/>
          <w:szCs w:val="20"/>
        </w:rPr>
        <w:t xml:space="preserve">125/50 </w:t>
      </w:r>
      <w:r w:rsidRPr="003115CD">
        <w:rPr>
          <w:rFonts w:ascii="Arial" w:hAnsi="Arial" w:cs="Arial"/>
          <w:color w:val="000000"/>
          <w:sz w:val="20"/>
          <w:szCs w:val="20"/>
        </w:rPr>
        <w:t>vehicle</w:t>
      </w:r>
    </w:p>
    <w:p w14:paraId="54B51670" w14:textId="77777777" w:rsidR="00A13C6F" w:rsidRPr="003115CD" w:rsidRDefault="00A13C6F" w:rsidP="006D46FB">
      <w:pPr>
        <w:autoSpaceDE w:val="0"/>
        <w:autoSpaceDN w:val="0"/>
        <w:adjustRightInd w:val="0"/>
        <w:spacing w:after="0" w:line="240" w:lineRule="auto"/>
        <w:rPr>
          <w:rFonts w:ascii="Arial" w:hAnsi="Arial" w:cs="Arial"/>
          <w:sz w:val="20"/>
          <w:szCs w:val="20"/>
        </w:rPr>
      </w:pPr>
    </w:p>
    <w:p w14:paraId="422AAF10" w14:textId="094BC0D0" w:rsidR="00A13C6F" w:rsidRDefault="00A13C6F" w:rsidP="006D46FB">
      <w:pPr>
        <w:pStyle w:val="BodyText"/>
        <w:spacing w:after="0" w:line="276" w:lineRule="auto"/>
        <w:jc w:val="left"/>
      </w:pPr>
      <w:r>
        <w:t>D</w:t>
      </w:r>
      <w:r w:rsidRPr="002C054F">
        <w:t xml:space="preserve">ata </w:t>
      </w:r>
      <w:r>
        <w:t xml:space="preserve">from </w:t>
      </w:r>
      <w:r w:rsidRPr="002C054F">
        <w:t>studies MP4004 and MP4006 indicate that the onset of clinically relevant action</w:t>
      </w:r>
      <w:r w:rsidR="00ED66CF">
        <w:t xml:space="preserve"> for DYLASTINE</w:t>
      </w:r>
      <w:r w:rsidR="00FD4410">
        <w:t> </w:t>
      </w:r>
      <w:r w:rsidR="00105245">
        <w:t xml:space="preserve">125/50 </w:t>
      </w:r>
      <w:r w:rsidRPr="002C054F">
        <w:t>occurs within 30 minutes after first application of the combination.</w:t>
      </w:r>
    </w:p>
    <w:p w14:paraId="7A8AD39F" w14:textId="77777777" w:rsidR="00A13C6F" w:rsidRDefault="00A13C6F" w:rsidP="006D46FB">
      <w:pPr>
        <w:autoSpaceDE w:val="0"/>
        <w:autoSpaceDN w:val="0"/>
        <w:adjustRightInd w:val="0"/>
        <w:spacing w:after="0"/>
        <w:rPr>
          <w:rFonts w:ascii="Arial" w:hAnsi="Arial" w:cs="Arial"/>
          <w:color w:val="000000"/>
        </w:rPr>
      </w:pPr>
    </w:p>
    <w:p w14:paraId="3AE580A9" w14:textId="064F7666" w:rsidR="00A13C6F" w:rsidRPr="00B94615" w:rsidRDefault="00A13C6F" w:rsidP="006D46FB">
      <w:pPr>
        <w:pStyle w:val="BodyText"/>
        <w:spacing w:after="0" w:line="276" w:lineRule="auto"/>
        <w:jc w:val="left"/>
      </w:pPr>
      <w:r>
        <w:t>In the meta-analysis that pooled data from</w:t>
      </w:r>
      <w:r w:rsidR="00ED66CF">
        <w:t xml:space="preserve"> the 4 efficacy studies, DYLASTINE</w:t>
      </w:r>
      <w:r w:rsidR="00FD4410">
        <w:t> </w:t>
      </w:r>
      <w:r w:rsidR="00105245">
        <w:t xml:space="preserve">125/50 </w:t>
      </w:r>
      <w:r>
        <w:t>was shown to be</w:t>
      </w:r>
      <w:r w:rsidRPr="00A8016C">
        <w:t xml:space="preserve"> </w:t>
      </w:r>
      <w:r w:rsidRPr="00B12042">
        <w:rPr>
          <w:color w:val="000000"/>
        </w:rPr>
        <w:t xml:space="preserve">statistically significantly </w:t>
      </w:r>
      <w:r w:rsidRPr="00B12042">
        <w:t xml:space="preserve">superior to both </w:t>
      </w:r>
      <w:proofErr w:type="spellStart"/>
      <w:r w:rsidRPr="00B12042">
        <w:t>azelastine</w:t>
      </w:r>
      <w:proofErr w:type="spellEnd"/>
      <w:r w:rsidRPr="00B12042">
        <w:t xml:space="preserve"> and fluticasone </w:t>
      </w:r>
      <w:proofErr w:type="spellStart"/>
      <w:r w:rsidRPr="00B12042">
        <w:t>monoproducts</w:t>
      </w:r>
      <w:proofErr w:type="spellEnd"/>
      <w:r w:rsidRPr="00B12042">
        <w:t xml:space="preserve"> and all active treatments were </w:t>
      </w:r>
      <w:r w:rsidRPr="00B12042">
        <w:rPr>
          <w:color w:val="000000"/>
        </w:rPr>
        <w:t xml:space="preserve">statistically significantly </w:t>
      </w:r>
      <w:r w:rsidRPr="00B12042">
        <w:t xml:space="preserve">superior to placebo  for </w:t>
      </w:r>
      <w:r>
        <w:t xml:space="preserve">almost </w:t>
      </w:r>
      <w:r w:rsidRPr="00B12042">
        <w:t xml:space="preserve">all secondary efficacy variables including </w:t>
      </w:r>
      <w:r w:rsidRPr="00B12042">
        <w:rPr>
          <w:color w:val="000000"/>
        </w:rPr>
        <w:t>the reflective TNSS confined to daytime (denominated as 12h</w:t>
      </w:r>
      <w:r w:rsidR="00F40711">
        <w:rPr>
          <w:color w:val="000000"/>
        </w:rPr>
        <w:t>r</w:t>
      </w:r>
      <w:r w:rsidRPr="00B12042">
        <w:rPr>
          <w:color w:val="000000"/>
        </w:rPr>
        <w:t xml:space="preserve"> PM) or night time (12h</w:t>
      </w:r>
      <w:r w:rsidR="00F40711">
        <w:rPr>
          <w:color w:val="000000"/>
        </w:rPr>
        <w:t>r</w:t>
      </w:r>
      <w:r w:rsidRPr="00B12042">
        <w:rPr>
          <w:color w:val="000000"/>
        </w:rPr>
        <w:t xml:space="preserve"> AM), the instantaneous TNSS, </w:t>
      </w:r>
      <w:r w:rsidRPr="00B12042">
        <w:t xml:space="preserve">the reflective TOSS, post nasal drip, and all individual nasal and ocular symptom scores </w:t>
      </w:r>
      <w:r>
        <w:t xml:space="preserve">(all p&lt;0.05) </w:t>
      </w:r>
      <w:r w:rsidR="00ED66CF">
        <w:t>except the comparison DYLASTINE</w:t>
      </w:r>
      <w:r w:rsidR="00105245">
        <w:t>125/50</w:t>
      </w:r>
      <w:r w:rsidRPr="00B12042">
        <w:t xml:space="preserve"> with </w:t>
      </w:r>
      <w:proofErr w:type="spellStart"/>
      <w:r w:rsidRPr="00B12042">
        <w:t>azelastine</w:t>
      </w:r>
      <w:proofErr w:type="spellEnd"/>
      <w:r w:rsidRPr="00B12042">
        <w:t xml:space="preserve"> for eye redness</w:t>
      </w:r>
      <w:r>
        <w:t xml:space="preserve"> (</w:t>
      </w:r>
      <w:r w:rsidRPr="00E53592">
        <w:t>p=0.0513</w:t>
      </w:r>
      <w:r>
        <w:t xml:space="preserve">). </w:t>
      </w:r>
      <w:r w:rsidR="00ED66CF">
        <w:t>DYLASTINE</w:t>
      </w:r>
      <w:r w:rsidR="00FD4410">
        <w:t> </w:t>
      </w:r>
      <w:r w:rsidR="00105245">
        <w:t>125/50</w:t>
      </w:r>
      <w:r w:rsidRPr="001A77BA">
        <w:t xml:space="preserve"> at least double</w:t>
      </w:r>
      <w:r>
        <w:t>d</w:t>
      </w:r>
      <w:r w:rsidRPr="001A77BA">
        <w:t xml:space="preserve"> the effect of </w:t>
      </w:r>
      <w:proofErr w:type="spellStart"/>
      <w:r w:rsidRPr="001A77BA">
        <w:t>azelastine</w:t>
      </w:r>
      <w:proofErr w:type="spellEnd"/>
      <w:r w:rsidRPr="001A77BA">
        <w:t xml:space="preserve"> and fluticasone propionate in reducing nasal and ocular symptoms score</w:t>
      </w:r>
      <w:r w:rsidRPr="00B94615">
        <w:t>.</w:t>
      </w:r>
    </w:p>
    <w:p w14:paraId="11859DA7" w14:textId="77777777" w:rsidR="00A13C6F" w:rsidRPr="00B94615" w:rsidRDefault="00A13C6F" w:rsidP="006D46FB">
      <w:pPr>
        <w:pStyle w:val="BodyText"/>
        <w:spacing w:after="0" w:line="276" w:lineRule="auto"/>
        <w:jc w:val="left"/>
      </w:pPr>
    </w:p>
    <w:p w14:paraId="4DFDC35E" w14:textId="30E3DAC3" w:rsidR="00A13C6F" w:rsidRPr="00B94615" w:rsidRDefault="00A13C6F" w:rsidP="006D46FB">
      <w:pPr>
        <w:pStyle w:val="BodyText"/>
        <w:spacing w:after="0" w:line="276" w:lineRule="auto"/>
        <w:jc w:val="left"/>
      </w:pPr>
      <w:r w:rsidRPr="00B94615">
        <w:t>The RQLQ score for DY</w:t>
      </w:r>
      <w:r w:rsidR="00877AF6">
        <w:t>LASTINE</w:t>
      </w:r>
      <w:r w:rsidR="00FD4410">
        <w:t> </w:t>
      </w:r>
      <w:r w:rsidR="00105245">
        <w:t>125/50</w:t>
      </w:r>
      <w:r w:rsidRPr="00B94615">
        <w:t xml:space="preserve"> was significantly improved over placebo for overall score and for each individual RQLQ domain in each individual study and in the meta-analysis. Across all studies and in the meta-analysis, the treatment difference </w:t>
      </w:r>
      <w:r w:rsidR="00877AF6">
        <w:t>in overall score between DYLASTINE</w:t>
      </w:r>
      <w:r w:rsidR="00FD4410">
        <w:t> </w:t>
      </w:r>
      <w:r w:rsidR="00105245">
        <w:t>125/50</w:t>
      </w:r>
      <w:r w:rsidRPr="00B94615">
        <w:t xml:space="preserve"> and placebo exceeded the minimum clinically significant difference of -0.50.</w:t>
      </w:r>
    </w:p>
    <w:p w14:paraId="1B3CD3BA" w14:textId="77777777" w:rsidR="00A13C6F" w:rsidRPr="00B94615" w:rsidRDefault="00A13C6F" w:rsidP="006D46FB">
      <w:pPr>
        <w:pStyle w:val="BodyText"/>
        <w:spacing w:after="0" w:line="276" w:lineRule="auto"/>
        <w:jc w:val="left"/>
      </w:pPr>
    </w:p>
    <w:p w14:paraId="0793539A" w14:textId="317DC879" w:rsidR="00A13C6F" w:rsidRPr="00B12042" w:rsidRDefault="00A13C6F" w:rsidP="006D46FB">
      <w:pPr>
        <w:pStyle w:val="BodyText"/>
        <w:spacing w:after="0" w:line="276" w:lineRule="auto"/>
        <w:jc w:val="left"/>
      </w:pPr>
      <w:r w:rsidRPr="00B94615">
        <w:lastRenderedPageBreak/>
        <w:t>D</w:t>
      </w:r>
      <w:r w:rsidR="00CB2C37">
        <w:t>YLASTINE</w:t>
      </w:r>
      <w:r w:rsidR="00FD4410">
        <w:t> </w:t>
      </w:r>
      <w:r w:rsidR="00105245">
        <w:t xml:space="preserve">125/50 </w:t>
      </w:r>
      <w:r w:rsidRPr="00B94615">
        <w:t>provide</w:t>
      </w:r>
      <w:r>
        <w:t>d</w:t>
      </w:r>
      <w:r w:rsidRPr="00B94615">
        <w:t xml:space="preserve"> substantial allergic rhinitis symptom relief (50% reduction in </w:t>
      </w:r>
      <w:proofErr w:type="spellStart"/>
      <w:r w:rsidRPr="00B94615">
        <w:t>crTNSS</w:t>
      </w:r>
      <w:proofErr w:type="spellEnd"/>
      <w:r w:rsidRPr="00B94615">
        <w:t xml:space="preserve">) </w:t>
      </w:r>
      <w:r w:rsidR="00F40711">
        <w:t>at least 3 days</w:t>
      </w:r>
      <w:r w:rsidRPr="00B94615">
        <w:t xml:space="preserve"> faster than </w:t>
      </w:r>
      <w:proofErr w:type="spellStart"/>
      <w:r w:rsidRPr="00B94615">
        <w:t>azelastine</w:t>
      </w:r>
      <w:proofErr w:type="spellEnd"/>
      <w:r w:rsidRPr="00B94615">
        <w:t xml:space="preserve"> and 6 days faster than fluticasone propionate </w:t>
      </w:r>
      <w:r>
        <w:t>nasal spray</w:t>
      </w:r>
      <w:r w:rsidRPr="00B12042">
        <w:t>. The superior</w:t>
      </w:r>
      <w:r w:rsidRPr="00B12042">
        <w:rPr>
          <w:rStyle w:val="CommentReference"/>
          <w:sz w:val="22"/>
          <w:szCs w:val="22"/>
        </w:rPr>
        <w:t> </w:t>
      </w:r>
      <w:r w:rsidR="007A6C5C">
        <w:t>effect of DYLASTINE</w:t>
      </w:r>
      <w:r w:rsidR="00FD4410">
        <w:t> </w:t>
      </w:r>
      <w:r w:rsidR="00105245">
        <w:t>125/50</w:t>
      </w:r>
      <w:r w:rsidRPr="00B12042">
        <w:t xml:space="preserve"> to fluticasone propionate nasal spray was maintained throughout </w:t>
      </w:r>
      <w:r>
        <w:t xml:space="preserve">a </w:t>
      </w:r>
      <w:r w:rsidRPr="00B12042">
        <w:t xml:space="preserve">one-year study in patients with chronic persistent allergic rhinitis and </w:t>
      </w:r>
      <w:proofErr w:type="spellStart"/>
      <w:r w:rsidRPr="00B12042">
        <w:t>nonallergic</w:t>
      </w:r>
      <w:proofErr w:type="spellEnd"/>
      <w:r w:rsidRPr="00B12042">
        <w:t>/vasomotor rhinitis.</w:t>
      </w:r>
    </w:p>
    <w:p w14:paraId="39FAE3EF" w14:textId="77777777" w:rsidR="00A13C6F" w:rsidRDefault="00A13C6F" w:rsidP="006D46FB">
      <w:pPr>
        <w:pStyle w:val="BodyText"/>
        <w:spacing w:after="0" w:line="276" w:lineRule="auto"/>
        <w:jc w:val="left"/>
      </w:pPr>
    </w:p>
    <w:p w14:paraId="69070902" w14:textId="77777777" w:rsidR="00A13C6F" w:rsidRPr="00B903CD" w:rsidRDefault="00A13C6F" w:rsidP="006D46FB">
      <w:pPr>
        <w:spacing w:after="0"/>
        <w:rPr>
          <w:rFonts w:ascii="Arial" w:hAnsi="Arial" w:cs="Arial"/>
          <w:b/>
          <w:bCs/>
          <w:sz w:val="24"/>
          <w:szCs w:val="24"/>
        </w:rPr>
      </w:pPr>
      <w:r w:rsidRPr="00B903CD">
        <w:rPr>
          <w:rFonts w:ascii="Arial" w:hAnsi="Arial" w:cs="Arial"/>
          <w:b/>
          <w:bCs/>
          <w:sz w:val="24"/>
          <w:szCs w:val="24"/>
        </w:rPr>
        <w:t>INDICATIONS</w:t>
      </w:r>
    </w:p>
    <w:p w14:paraId="4DF192FA" w14:textId="77777777" w:rsidR="00A13C6F" w:rsidRPr="00804552" w:rsidRDefault="00A13C6F" w:rsidP="006D46FB">
      <w:pPr>
        <w:spacing w:after="0"/>
        <w:rPr>
          <w:rFonts w:ascii="Arial" w:hAnsi="Arial" w:cs="Arial"/>
        </w:rPr>
      </w:pPr>
      <w:proofErr w:type="gramStart"/>
      <w:r w:rsidRPr="00804552">
        <w:rPr>
          <w:rFonts w:ascii="Arial" w:hAnsi="Arial" w:cs="Arial"/>
        </w:rPr>
        <w:t>Symptomatic treatment of moderate to severe allergic rhinitis and rhino-conjunctivitis in adults and children 12 years and older</w:t>
      </w:r>
      <w:r w:rsidRPr="00290AFB">
        <w:rPr>
          <w:rFonts w:ascii="Arial" w:hAnsi="Arial" w:cs="Arial"/>
        </w:rPr>
        <w:t xml:space="preserve"> where use of a combination (intranasal a</w:t>
      </w:r>
      <w:r>
        <w:rPr>
          <w:rFonts w:ascii="Arial" w:hAnsi="Arial" w:cs="Arial"/>
        </w:rPr>
        <w:t>ntihistamine and glucocorticoid</w:t>
      </w:r>
      <w:r w:rsidRPr="00290AFB">
        <w:rPr>
          <w:rFonts w:ascii="Arial" w:hAnsi="Arial" w:cs="Arial"/>
        </w:rPr>
        <w:t>) is appropriate</w:t>
      </w:r>
      <w:r>
        <w:rPr>
          <w:rFonts w:ascii="Arial" w:hAnsi="Arial" w:cs="Arial"/>
        </w:rPr>
        <w:t>.</w:t>
      </w:r>
      <w:proofErr w:type="gramEnd"/>
    </w:p>
    <w:p w14:paraId="47A06752" w14:textId="77777777" w:rsidR="00A13C6F" w:rsidRDefault="00A13C6F" w:rsidP="006D46FB">
      <w:pPr>
        <w:spacing w:after="0"/>
        <w:rPr>
          <w:rFonts w:ascii="Arial" w:hAnsi="Arial" w:cs="Arial"/>
          <w:b/>
          <w:bCs/>
        </w:rPr>
      </w:pPr>
    </w:p>
    <w:p w14:paraId="6FA8A135" w14:textId="77777777" w:rsidR="00A13C6F" w:rsidRDefault="00A13C6F" w:rsidP="00866CD3">
      <w:pPr>
        <w:spacing w:after="0"/>
        <w:rPr>
          <w:rFonts w:ascii="Arial" w:hAnsi="Arial" w:cs="Arial"/>
          <w:b/>
          <w:bCs/>
          <w:sz w:val="24"/>
          <w:szCs w:val="24"/>
        </w:rPr>
      </w:pPr>
      <w:r w:rsidRPr="00B903CD">
        <w:rPr>
          <w:rFonts w:ascii="Arial" w:hAnsi="Arial" w:cs="Arial"/>
          <w:b/>
          <w:bCs/>
          <w:sz w:val="24"/>
          <w:szCs w:val="24"/>
        </w:rPr>
        <w:t>CONTRAINDICATIONS</w:t>
      </w:r>
    </w:p>
    <w:p w14:paraId="333D6817" w14:textId="77777777" w:rsidR="00A13C6F" w:rsidRPr="005D6E38" w:rsidRDefault="00A13C6F" w:rsidP="00866CD3">
      <w:pPr>
        <w:spacing w:after="0"/>
        <w:rPr>
          <w:rFonts w:ascii="Arial" w:hAnsi="Arial" w:cs="Arial"/>
          <w:b/>
          <w:bCs/>
          <w:sz w:val="24"/>
          <w:szCs w:val="24"/>
        </w:rPr>
      </w:pPr>
      <w:proofErr w:type="gramStart"/>
      <w:r w:rsidRPr="005D6E38">
        <w:rPr>
          <w:rFonts w:ascii="Arial" w:hAnsi="Arial" w:cs="Arial"/>
        </w:rPr>
        <w:t>Hypersensitivity to the active substance(s) or to any of the excipients</w:t>
      </w:r>
      <w:r>
        <w:rPr>
          <w:rFonts w:ascii="Arial" w:hAnsi="Arial" w:cs="Arial"/>
        </w:rPr>
        <w:t>.</w:t>
      </w:r>
      <w:proofErr w:type="gramEnd"/>
    </w:p>
    <w:p w14:paraId="55CEFB51" w14:textId="77777777" w:rsidR="00A13C6F" w:rsidRDefault="00A13C6F" w:rsidP="00866CD3">
      <w:pPr>
        <w:spacing w:after="0"/>
        <w:rPr>
          <w:rFonts w:ascii="Arial" w:hAnsi="Arial" w:cs="Arial"/>
          <w:b/>
          <w:bCs/>
          <w:sz w:val="24"/>
          <w:szCs w:val="24"/>
        </w:rPr>
      </w:pPr>
    </w:p>
    <w:p w14:paraId="008C3EC7" w14:textId="77777777" w:rsidR="00A13C6F" w:rsidRDefault="00A13C6F" w:rsidP="00866CD3">
      <w:pPr>
        <w:spacing w:after="0"/>
        <w:rPr>
          <w:rFonts w:ascii="Arial" w:hAnsi="Arial" w:cs="Arial"/>
          <w:b/>
          <w:bCs/>
          <w:sz w:val="24"/>
          <w:szCs w:val="24"/>
        </w:rPr>
      </w:pPr>
      <w:r>
        <w:rPr>
          <w:rFonts w:ascii="Arial" w:hAnsi="Arial" w:cs="Arial"/>
          <w:b/>
          <w:bCs/>
          <w:sz w:val="24"/>
          <w:szCs w:val="24"/>
        </w:rPr>
        <w:t>PRECAUTIONS</w:t>
      </w:r>
    </w:p>
    <w:p w14:paraId="1F50FE6F" w14:textId="415BF7B4" w:rsidR="00A13C6F" w:rsidRPr="007B7667" w:rsidRDefault="00A13C6F" w:rsidP="00866CD3">
      <w:pPr>
        <w:pStyle w:val="C-Heading2non-numbered"/>
        <w:spacing w:before="0" w:line="276" w:lineRule="auto"/>
        <w:rPr>
          <w:rFonts w:ascii="Arial" w:hAnsi="Arial" w:cs="Arial"/>
          <w:sz w:val="22"/>
          <w:szCs w:val="22"/>
        </w:rPr>
      </w:pPr>
      <w:r>
        <w:rPr>
          <w:rFonts w:ascii="Arial" w:hAnsi="Arial" w:cs="Arial"/>
          <w:sz w:val="22"/>
          <w:szCs w:val="22"/>
        </w:rPr>
        <w:t>S</w:t>
      </w:r>
      <w:r w:rsidR="000972B9">
        <w:rPr>
          <w:rFonts w:ascii="Arial" w:hAnsi="Arial" w:cs="Arial"/>
          <w:sz w:val="22"/>
          <w:szCs w:val="22"/>
        </w:rPr>
        <w:t>omnolence</w:t>
      </w:r>
    </w:p>
    <w:p w14:paraId="013DAD43" w14:textId="408E1160" w:rsidR="00A13C6F" w:rsidRPr="007B7667" w:rsidRDefault="00A13C6F" w:rsidP="00866CD3">
      <w:pPr>
        <w:pStyle w:val="C-BodyText"/>
        <w:spacing w:before="0" w:after="0" w:line="276" w:lineRule="auto"/>
        <w:rPr>
          <w:rFonts w:ascii="Arial" w:hAnsi="Arial" w:cs="Arial"/>
          <w:sz w:val="22"/>
          <w:szCs w:val="22"/>
        </w:rPr>
      </w:pPr>
      <w:r w:rsidRPr="007B7667">
        <w:rPr>
          <w:rFonts w:ascii="Arial" w:hAnsi="Arial" w:cs="Arial"/>
          <w:sz w:val="22"/>
          <w:szCs w:val="22"/>
        </w:rPr>
        <w:t xml:space="preserve">In clinical </w:t>
      </w:r>
      <w:r>
        <w:rPr>
          <w:rFonts w:ascii="Arial" w:hAnsi="Arial" w:cs="Arial"/>
          <w:sz w:val="22"/>
          <w:szCs w:val="22"/>
        </w:rPr>
        <w:t>studies</w:t>
      </w:r>
      <w:r w:rsidRPr="007B7667">
        <w:rPr>
          <w:rFonts w:ascii="Arial" w:hAnsi="Arial" w:cs="Arial"/>
          <w:sz w:val="22"/>
          <w:szCs w:val="22"/>
        </w:rPr>
        <w:t xml:space="preserve">, the occurrence of somnolence has been reported in some patients taking </w:t>
      </w:r>
      <w:r w:rsidR="00D66A88">
        <w:rPr>
          <w:rFonts w:ascii="Arial" w:hAnsi="Arial" w:cs="Arial"/>
          <w:sz w:val="22"/>
          <w:szCs w:val="22"/>
        </w:rPr>
        <w:t>DYLASTINE</w:t>
      </w:r>
      <w:r w:rsidR="00FD4410">
        <w:rPr>
          <w:rFonts w:ascii="Arial" w:hAnsi="Arial" w:cs="Arial"/>
          <w:sz w:val="22"/>
          <w:szCs w:val="22"/>
        </w:rPr>
        <w:t> </w:t>
      </w:r>
      <w:r w:rsidR="00105245">
        <w:rPr>
          <w:rFonts w:ascii="Arial" w:hAnsi="Arial" w:cs="Arial"/>
          <w:sz w:val="22"/>
          <w:szCs w:val="22"/>
        </w:rPr>
        <w:t xml:space="preserve">125/50 </w:t>
      </w:r>
      <w:r>
        <w:rPr>
          <w:rFonts w:ascii="Arial" w:hAnsi="Arial" w:cs="Arial"/>
          <w:sz w:val="22"/>
          <w:szCs w:val="22"/>
        </w:rPr>
        <w:t xml:space="preserve">(see </w:t>
      </w:r>
      <w:r w:rsidRPr="0013637B">
        <w:rPr>
          <w:rFonts w:ascii="Arial" w:hAnsi="Arial" w:cs="Arial"/>
          <w:b/>
          <w:bCs/>
          <w:sz w:val="22"/>
          <w:szCs w:val="22"/>
        </w:rPr>
        <w:t>ADVERSE EFFECTS</w:t>
      </w:r>
      <w:r>
        <w:rPr>
          <w:rFonts w:ascii="Arial" w:hAnsi="Arial" w:cs="Arial"/>
          <w:sz w:val="22"/>
          <w:szCs w:val="22"/>
        </w:rPr>
        <w:t>)</w:t>
      </w:r>
      <w:r w:rsidRPr="007B7667">
        <w:rPr>
          <w:rFonts w:ascii="Arial" w:hAnsi="Arial" w:cs="Arial"/>
          <w:sz w:val="22"/>
          <w:szCs w:val="22"/>
        </w:rPr>
        <w:t xml:space="preserve">. </w:t>
      </w:r>
      <w:r>
        <w:rPr>
          <w:rFonts w:ascii="Arial" w:hAnsi="Arial" w:cs="Arial"/>
          <w:sz w:val="22"/>
          <w:szCs w:val="22"/>
        </w:rPr>
        <w:t>T</w:t>
      </w:r>
      <w:r w:rsidRPr="003A25D7">
        <w:rPr>
          <w:rFonts w:ascii="Arial" w:hAnsi="Arial" w:cs="Arial"/>
          <w:sz w:val="22"/>
          <w:szCs w:val="22"/>
        </w:rPr>
        <w:t>he overall incidence of somnolence was much lower than that reported for oral antihistamines</w:t>
      </w:r>
      <w:r>
        <w:rPr>
          <w:rFonts w:ascii="Arial" w:hAnsi="Arial" w:cs="Arial"/>
          <w:sz w:val="22"/>
          <w:szCs w:val="22"/>
        </w:rPr>
        <w:t>.</w:t>
      </w:r>
      <w:r w:rsidRPr="003A25D7">
        <w:rPr>
          <w:rFonts w:ascii="Arial" w:hAnsi="Arial" w:cs="Arial"/>
          <w:sz w:val="22"/>
          <w:szCs w:val="22"/>
        </w:rPr>
        <w:t xml:space="preserve"> </w:t>
      </w:r>
      <w:r>
        <w:rPr>
          <w:rFonts w:ascii="Arial" w:hAnsi="Arial" w:cs="Arial"/>
          <w:sz w:val="22"/>
          <w:szCs w:val="22"/>
        </w:rPr>
        <w:t>Even so, p</w:t>
      </w:r>
      <w:r w:rsidRPr="007B7667">
        <w:rPr>
          <w:rFonts w:ascii="Arial" w:hAnsi="Arial" w:cs="Arial"/>
          <w:sz w:val="22"/>
          <w:szCs w:val="22"/>
        </w:rPr>
        <w:t>atients should be cautioned against engaging in hazardous occupations requiring complete mental alertness and motor coordination such as operating machinery or driving a motor vehicle after administration of</w:t>
      </w:r>
      <w:r w:rsidR="00D66A88">
        <w:rPr>
          <w:rFonts w:ascii="Arial" w:hAnsi="Arial" w:cs="Arial"/>
          <w:sz w:val="22"/>
          <w:szCs w:val="22"/>
        </w:rPr>
        <w:t xml:space="preserve"> DYLASTINE</w:t>
      </w:r>
      <w:r w:rsidR="00FD4410">
        <w:rPr>
          <w:rFonts w:ascii="Arial" w:hAnsi="Arial" w:cs="Arial"/>
          <w:sz w:val="22"/>
          <w:szCs w:val="22"/>
        </w:rPr>
        <w:t> </w:t>
      </w:r>
      <w:r w:rsidR="00105245">
        <w:rPr>
          <w:rFonts w:ascii="Arial" w:hAnsi="Arial" w:cs="Arial"/>
          <w:sz w:val="22"/>
          <w:szCs w:val="22"/>
        </w:rPr>
        <w:t>125/50</w:t>
      </w:r>
      <w:r w:rsidR="001D3017">
        <w:rPr>
          <w:rFonts w:ascii="Arial" w:hAnsi="Arial" w:cs="Arial"/>
          <w:sz w:val="22"/>
          <w:szCs w:val="22"/>
        </w:rPr>
        <w:t xml:space="preserve"> until they know how they react to the nasal spray</w:t>
      </w:r>
      <w:r w:rsidRPr="007B7667">
        <w:rPr>
          <w:rFonts w:ascii="Arial" w:hAnsi="Arial" w:cs="Arial"/>
          <w:sz w:val="22"/>
          <w:szCs w:val="22"/>
        </w:rPr>
        <w:t xml:space="preserve">. </w:t>
      </w:r>
      <w:r w:rsidRPr="007B2F77">
        <w:rPr>
          <w:rFonts w:ascii="Arial" w:hAnsi="Arial" w:cs="Arial"/>
          <w:sz w:val="22"/>
          <w:szCs w:val="22"/>
        </w:rPr>
        <w:t xml:space="preserve">When </w:t>
      </w:r>
      <w:r w:rsidR="009E26C7">
        <w:rPr>
          <w:rFonts w:ascii="Arial" w:hAnsi="Arial" w:cs="Arial"/>
          <w:sz w:val="22"/>
          <w:szCs w:val="22"/>
        </w:rPr>
        <w:t>administered orally</w:t>
      </w:r>
      <w:r w:rsidR="009E26C7" w:rsidRPr="007B2F77">
        <w:rPr>
          <w:rFonts w:ascii="Arial" w:hAnsi="Arial" w:cs="Arial"/>
          <w:sz w:val="22"/>
          <w:szCs w:val="22"/>
        </w:rPr>
        <w:t xml:space="preserve"> </w:t>
      </w:r>
      <w:r w:rsidRPr="007B2F77">
        <w:rPr>
          <w:rFonts w:ascii="Arial" w:hAnsi="Arial" w:cs="Arial"/>
          <w:sz w:val="22"/>
          <w:szCs w:val="22"/>
        </w:rPr>
        <w:t xml:space="preserve">in combination, </w:t>
      </w:r>
      <w:proofErr w:type="spellStart"/>
      <w:r w:rsidRPr="007B2F77">
        <w:rPr>
          <w:rFonts w:ascii="Arial" w:hAnsi="Arial" w:cs="Arial"/>
          <w:sz w:val="22"/>
          <w:szCs w:val="22"/>
        </w:rPr>
        <w:t>azelastine</w:t>
      </w:r>
      <w:proofErr w:type="spellEnd"/>
      <w:r w:rsidRPr="007B2F77">
        <w:rPr>
          <w:rFonts w:ascii="Arial" w:hAnsi="Arial" w:cs="Arial"/>
          <w:sz w:val="22"/>
          <w:szCs w:val="22"/>
        </w:rPr>
        <w:t xml:space="preserve"> hydrochloride 4.4 mg tablets and alcohol showed sedative effects. As no specific information is available with the nasal spray, caution is required if </w:t>
      </w:r>
      <w:r w:rsidR="000E57B2">
        <w:rPr>
          <w:rFonts w:ascii="Arial" w:hAnsi="Arial" w:cs="Arial"/>
          <w:sz w:val="22"/>
          <w:szCs w:val="22"/>
        </w:rPr>
        <w:t>DYLASTINE</w:t>
      </w:r>
      <w:r w:rsidR="00FD4410">
        <w:rPr>
          <w:rFonts w:ascii="Arial" w:hAnsi="Arial" w:cs="Arial"/>
          <w:sz w:val="22"/>
          <w:szCs w:val="22"/>
        </w:rPr>
        <w:t> </w:t>
      </w:r>
      <w:r w:rsidR="00105245">
        <w:rPr>
          <w:rFonts w:ascii="Arial" w:hAnsi="Arial" w:cs="Arial"/>
          <w:sz w:val="22"/>
          <w:szCs w:val="22"/>
        </w:rPr>
        <w:t>125/50</w:t>
      </w:r>
      <w:r w:rsidRPr="007B2F77">
        <w:rPr>
          <w:rFonts w:ascii="Arial" w:hAnsi="Arial" w:cs="Arial"/>
          <w:sz w:val="22"/>
          <w:szCs w:val="22"/>
        </w:rPr>
        <w:t xml:space="preserve"> is used concomitantly with a</w:t>
      </w:r>
      <w:r w:rsidR="003D6F1D">
        <w:rPr>
          <w:rFonts w:ascii="Arial" w:hAnsi="Arial" w:cs="Arial"/>
          <w:sz w:val="22"/>
          <w:szCs w:val="22"/>
        </w:rPr>
        <w:t xml:space="preserve">lcohol or other CNS depressants </w:t>
      </w:r>
      <w:r>
        <w:rPr>
          <w:rFonts w:ascii="Arial" w:hAnsi="Arial" w:cs="Arial"/>
          <w:sz w:val="22"/>
          <w:szCs w:val="22"/>
        </w:rPr>
        <w:t>(see</w:t>
      </w:r>
      <w:r>
        <w:rPr>
          <w:rFonts w:ascii="Arial" w:hAnsi="Arial" w:cs="Arial"/>
        </w:rPr>
        <w:t xml:space="preserve"> </w:t>
      </w:r>
      <w:r w:rsidRPr="00A55FA2">
        <w:rPr>
          <w:rFonts w:ascii="Arial" w:hAnsi="Arial" w:cs="Arial"/>
          <w:b/>
          <w:bCs/>
        </w:rPr>
        <w:t>PRECAUTIONS</w:t>
      </w:r>
      <w:r>
        <w:rPr>
          <w:rFonts w:ascii="Arial" w:hAnsi="Arial" w:cs="Arial"/>
        </w:rPr>
        <w:t xml:space="preserve"> –</w:t>
      </w:r>
      <w:r>
        <w:rPr>
          <w:rFonts w:ascii="Arial" w:hAnsi="Arial" w:cs="Arial"/>
          <w:b/>
          <w:bCs/>
        </w:rPr>
        <w:t>Effects on Ability to Drive and Operate Machinery</w:t>
      </w:r>
      <w:r>
        <w:rPr>
          <w:rFonts w:ascii="Arial" w:hAnsi="Arial" w:cs="Arial"/>
        </w:rPr>
        <w:t xml:space="preserve"> and </w:t>
      </w:r>
      <w:r w:rsidRPr="00A55FA2">
        <w:rPr>
          <w:rFonts w:ascii="Arial" w:hAnsi="Arial" w:cs="Arial"/>
          <w:b/>
          <w:bCs/>
        </w:rPr>
        <w:t>INTERACTIONS WITH OTHER MEDICINES</w:t>
      </w:r>
      <w:r>
        <w:rPr>
          <w:rFonts w:ascii="Arial" w:hAnsi="Arial" w:cs="Arial"/>
        </w:rPr>
        <w:t xml:space="preserve"> – </w:t>
      </w:r>
      <w:r w:rsidRPr="00A55FA2">
        <w:rPr>
          <w:rFonts w:ascii="Arial" w:hAnsi="Arial" w:cs="Arial"/>
          <w:b/>
          <w:bCs/>
        </w:rPr>
        <w:t>Central Nervous System Depressants</w:t>
      </w:r>
      <w:r>
        <w:rPr>
          <w:rFonts w:ascii="Arial" w:hAnsi="Arial" w:cs="Arial"/>
          <w:sz w:val="22"/>
          <w:szCs w:val="22"/>
        </w:rPr>
        <w:t>)</w:t>
      </w:r>
      <w:r w:rsidRPr="007B7667">
        <w:rPr>
          <w:rFonts w:ascii="Arial" w:hAnsi="Arial" w:cs="Arial"/>
          <w:sz w:val="22"/>
          <w:szCs w:val="22"/>
        </w:rPr>
        <w:t xml:space="preserve">.  </w:t>
      </w:r>
    </w:p>
    <w:p w14:paraId="362CA684" w14:textId="77777777" w:rsidR="00A13C6F" w:rsidRDefault="00A13C6F" w:rsidP="001F4A8C">
      <w:pPr>
        <w:spacing w:after="0"/>
        <w:rPr>
          <w:rFonts w:ascii="Arial" w:hAnsi="Arial" w:cs="Arial"/>
        </w:rPr>
      </w:pPr>
      <w:bookmarkStart w:id="0" w:name="_Toc323043053"/>
    </w:p>
    <w:p w14:paraId="69FCD681" w14:textId="77777777" w:rsidR="00A13C6F" w:rsidRPr="007B7667" w:rsidRDefault="00A13C6F" w:rsidP="00866CD3">
      <w:pPr>
        <w:pStyle w:val="C-Heading2non-numbered"/>
        <w:spacing w:before="0" w:line="276" w:lineRule="auto"/>
        <w:rPr>
          <w:rFonts w:ascii="Arial" w:hAnsi="Arial" w:cs="Arial"/>
          <w:sz w:val="22"/>
          <w:szCs w:val="22"/>
        </w:rPr>
      </w:pPr>
      <w:r w:rsidRPr="007B7667">
        <w:rPr>
          <w:rFonts w:ascii="Arial" w:hAnsi="Arial" w:cs="Arial"/>
          <w:sz w:val="22"/>
          <w:szCs w:val="22"/>
        </w:rPr>
        <w:t>Local Effects</w:t>
      </w:r>
      <w:bookmarkEnd w:id="0"/>
    </w:p>
    <w:p w14:paraId="31E24459" w14:textId="18B8376D" w:rsidR="00A13C6F" w:rsidRPr="007B7667" w:rsidRDefault="00A13C6F" w:rsidP="00866CD3">
      <w:pPr>
        <w:pStyle w:val="C-BodyText"/>
        <w:spacing w:before="0" w:after="0" w:line="276" w:lineRule="auto"/>
        <w:rPr>
          <w:rFonts w:ascii="Arial" w:hAnsi="Arial" w:cs="Arial"/>
          <w:sz w:val="22"/>
          <w:szCs w:val="22"/>
        </w:rPr>
      </w:pPr>
      <w:r w:rsidRPr="007B7667">
        <w:rPr>
          <w:rFonts w:ascii="Arial" w:hAnsi="Arial" w:cs="Arial"/>
          <w:sz w:val="22"/>
          <w:szCs w:val="22"/>
        </w:rPr>
        <w:t xml:space="preserve">Instances of nasal ulceration and nasal septal perforation have been reported in patients following the intranasal application of corticosteroids.  There were no instances of nasal ulceration or nasal septal perforation observed in clinical </w:t>
      </w:r>
      <w:r>
        <w:rPr>
          <w:rFonts w:ascii="Arial" w:hAnsi="Arial" w:cs="Arial"/>
          <w:sz w:val="22"/>
          <w:szCs w:val="22"/>
        </w:rPr>
        <w:t>studies</w:t>
      </w:r>
      <w:r w:rsidRPr="007B7667">
        <w:rPr>
          <w:rFonts w:ascii="Arial" w:hAnsi="Arial" w:cs="Arial"/>
          <w:sz w:val="22"/>
          <w:szCs w:val="22"/>
        </w:rPr>
        <w:t xml:space="preserve"> with</w:t>
      </w:r>
      <w:r w:rsidR="00C62BCA">
        <w:rPr>
          <w:rFonts w:ascii="Arial" w:hAnsi="Arial" w:cs="Arial"/>
          <w:sz w:val="22"/>
          <w:szCs w:val="22"/>
        </w:rPr>
        <w:t xml:space="preserve"> DYL</w:t>
      </w:r>
      <w:r w:rsidR="00423456">
        <w:rPr>
          <w:rFonts w:ascii="Arial" w:hAnsi="Arial" w:cs="Arial"/>
          <w:sz w:val="22"/>
          <w:szCs w:val="22"/>
        </w:rPr>
        <w:t>A</w:t>
      </w:r>
      <w:r w:rsidR="001F4A8C">
        <w:rPr>
          <w:rFonts w:ascii="Arial" w:hAnsi="Arial" w:cs="Arial"/>
          <w:sz w:val="22"/>
          <w:szCs w:val="22"/>
        </w:rPr>
        <w:t>S</w:t>
      </w:r>
      <w:r w:rsidR="00C62BCA">
        <w:rPr>
          <w:rFonts w:ascii="Arial" w:hAnsi="Arial" w:cs="Arial"/>
          <w:sz w:val="22"/>
          <w:szCs w:val="22"/>
        </w:rPr>
        <w:t>TINE</w:t>
      </w:r>
      <w:r w:rsidR="00FD4410">
        <w:rPr>
          <w:rFonts w:ascii="Arial" w:hAnsi="Arial" w:cs="Arial"/>
          <w:sz w:val="22"/>
          <w:szCs w:val="22"/>
        </w:rPr>
        <w:t> </w:t>
      </w:r>
      <w:r w:rsidR="00FB7661">
        <w:rPr>
          <w:rFonts w:ascii="Arial" w:hAnsi="Arial" w:cs="Arial"/>
          <w:sz w:val="22"/>
          <w:szCs w:val="22"/>
        </w:rPr>
        <w:t>125/50</w:t>
      </w:r>
      <w:r w:rsidRPr="007B7667">
        <w:rPr>
          <w:rFonts w:ascii="Arial" w:hAnsi="Arial" w:cs="Arial"/>
          <w:sz w:val="22"/>
          <w:szCs w:val="22"/>
        </w:rPr>
        <w:t>.</w:t>
      </w:r>
    </w:p>
    <w:p w14:paraId="5064E884" w14:textId="1C4C6FC1" w:rsidR="00A13C6F" w:rsidRPr="007B7667" w:rsidRDefault="00A13C6F" w:rsidP="00866CD3">
      <w:pPr>
        <w:pStyle w:val="C-BodyText"/>
        <w:spacing w:before="0" w:after="0" w:line="276" w:lineRule="auto"/>
        <w:rPr>
          <w:rFonts w:ascii="Arial" w:hAnsi="Arial" w:cs="Arial"/>
          <w:sz w:val="22"/>
          <w:szCs w:val="22"/>
        </w:rPr>
      </w:pPr>
      <w:r w:rsidRPr="007B7667">
        <w:rPr>
          <w:rFonts w:ascii="Arial" w:hAnsi="Arial" w:cs="Arial"/>
          <w:sz w:val="22"/>
          <w:szCs w:val="22"/>
        </w:rPr>
        <w:t xml:space="preserve">Because of the inhibitory effect of corticosteroids on wound healing, patients who have experienced recent nasal ulcers, nasal surgery, or nasal trauma should not use </w:t>
      </w:r>
      <w:r w:rsidR="00C62BCA">
        <w:rPr>
          <w:rFonts w:ascii="Arial" w:hAnsi="Arial" w:cs="Arial"/>
          <w:sz w:val="22"/>
          <w:szCs w:val="22"/>
        </w:rPr>
        <w:t>DYLASTINE</w:t>
      </w:r>
      <w:r w:rsidR="00FD4410">
        <w:rPr>
          <w:rFonts w:ascii="Arial" w:hAnsi="Arial" w:cs="Arial"/>
          <w:sz w:val="22"/>
          <w:szCs w:val="22"/>
        </w:rPr>
        <w:t> </w:t>
      </w:r>
      <w:r w:rsidR="00FB7661">
        <w:rPr>
          <w:rFonts w:ascii="Arial" w:hAnsi="Arial" w:cs="Arial"/>
          <w:sz w:val="22"/>
          <w:szCs w:val="22"/>
        </w:rPr>
        <w:t xml:space="preserve">125/50 </w:t>
      </w:r>
      <w:r w:rsidRPr="007B7667">
        <w:rPr>
          <w:rFonts w:ascii="Arial" w:hAnsi="Arial" w:cs="Arial"/>
          <w:sz w:val="22"/>
          <w:szCs w:val="22"/>
        </w:rPr>
        <w:t>until healing has occurred.</w:t>
      </w:r>
    </w:p>
    <w:p w14:paraId="4A38F628" w14:textId="77777777" w:rsidR="00A13C6F" w:rsidRDefault="00A13C6F" w:rsidP="00866CD3">
      <w:pPr>
        <w:pStyle w:val="C-BodyText"/>
        <w:spacing w:before="0" w:after="0" w:line="276" w:lineRule="auto"/>
        <w:rPr>
          <w:rFonts w:ascii="Arial" w:hAnsi="Arial" w:cs="Arial"/>
          <w:sz w:val="22"/>
          <w:szCs w:val="22"/>
        </w:rPr>
      </w:pPr>
    </w:p>
    <w:p w14:paraId="06482D15" w14:textId="1FA6E773" w:rsidR="00A13C6F" w:rsidRPr="007B7667" w:rsidRDefault="00A13C6F" w:rsidP="00866CD3">
      <w:pPr>
        <w:pStyle w:val="C-BodyText"/>
        <w:spacing w:before="0" w:after="0" w:line="276" w:lineRule="auto"/>
        <w:rPr>
          <w:rFonts w:ascii="Arial" w:hAnsi="Arial" w:cs="Arial"/>
          <w:sz w:val="22"/>
          <w:szCs w:val="22"/>
        </w:rPr>
      </w:pPr>
      <w:r>
        <w:rPr>
          <w:rFonts w:ascii="Arial" w:hAnsi="Arial" w:cs="Arial"/>
          <w:sz w:val="22"/>
          <w:szCs w:val="22"/>
        </w:rPr>
        <w:t>Local i</w:t>
      </w:r>
      <w:r w:rsidRPr="00A036E3">
        <w:rPr>
          <w:rFonts w:ascii="Arial" w:hAnsi="Arial" w:cs="Arial"/>
          <w:sz w:val="22"/>
          <w:szCs w:val="22"/>
        </w:rPr>
        <w:t xml:space="preserve">nfections of the nasal airways should be appropriately treated but do not constitute a specific contra-indication to treatment with </w:t>
      </w:r>
      <w:r w:rsidR="00C62BCA">
        <w:rPr>
          <w:rFonts w:ascii="Arial" w:hAnsi="Arial" w:cs="Arial"/>
          <w:sz w:val="22"/>
          <w:szCs w:val="22"/>
        </w:rPr>
        <w:t>DYLASTINE</w:t>
      </w:r>
      <w:r w:rsidR="00FD4410">
        <w:rPr>
          <w:rFonts w:ascii="Arial" w:hAnsi="Arial" w:cs="Arial"/>
          <w:sz w:val="22"/>
          <w:szCs w:val="22"/>
        </w:rPr>
        <w:t> </w:t>
      </w:r>
      <w:r w:rsidR="00FB7661">
        <w:rPr>
          <w:rFonts w:ascii="Arial" w:hAnsi="Arial" w:cs="Arial"/>
          <w:sz w:val="22"/>
          <w:szCs w:val="22"/>
        </w:rPr>
        <w:t>125/50</w:t>
      </w:r>
      <w:r>
        <w:rPr>
          <w:rFonts w:ascii="Arial" w:hAnsi="Arial" w:cs="Arial"/>
          <w:sz w:val="22"/>
          <w:szCs w:val="22"/>
        </w:rPr>
        <w:t xml:space="preserve">. </w:t>
      </w:r>
      <w:r w:rsidRPr="00A036E3">
        <w:rPr>
          <w:rFonts w:ascii="Arial" w:hAnsi="Arial" w:cs="Arial"/>
          <w:sz w:val="22"/>
          <w:szCs w:val="22"/>
        </w:rPr>
        <w:t>Candidiasis of the throat can occur in patients treated with intranasal steroids. Special care should be taken when treating patients who may be susceptible to candida infections (</w:t>
      </w:r>
      <w:proofErr w:type="spellStart"/>
      <w:r w:rsidRPr="00A036E3">
        <w:rPr>
          <w:rFonts w:ascii="Arial" w:hAnsi="Arial" w:cs="Arial"/>
          <w:sz w:val="22"/>
          <w:szCs w:val="22"/>
        </w:rPr>
        <w:t>eg</w:t>
      </w:r>
      <w:proofErr w:type="spellEnd"/>
      <w:r w:rsidRPr="00A036E3">
        <w:rPr>
          <w:rFonts w:ascii="Arial" w:hAnsi="Arial" w:cs="Arial"/>
          <w:sz w:val="22"/>
          <w:szCs w:val="22"/>
        </w:rPr>
        <w:t xml:space="preserve"> diabetics).</w:t>
      </w:r>
    </w:p>
    <w:p w14:paraId="19F63C39" w14:textId="77777777" w:rsidR="00A13C6F" w:rsidRDefault="00A13C6F" w:rsidP="001F4A8C">
      <w:pPr>
        <w:spacing w:after="0"/>
        <w:rPr>
          <w:rFonts w:ascii="Arial" w:hAnsi="Arial" w:cs="Arial"/>
        </w:rPr>
      </w:pPr>
      <w:bookmarkStart w:id="1" w:name="_Toc323043054"/>
    </w:p>
    <w:p w14:paraId="16711606" w14:textId="77777777" w:rsidR="00A13C6F" w:rsidRPr="007B7667" w:rsidRDefault="00A13C6F" w:rsidP="00866CD3">
      <w:pPr>
        <w:pStyle w:val="C-Heading2non-numbered"/>
        <w:spacing w:before="0" w:line="276" w:lineRule="auto"/>
        <w:rPr>
          <w:rFonts w:ascii="Arial" w:hAnsi="Arial" w:cs="Arial"/>
          <w:sz w:val="22"/>
          <w:szCs w:val="22"/>
        </w:rPr>
      </w:pPr>
      <w:r w:rsidRPr="007B7667">
        <w:rPr>
          <w:rFonts w:ascii="Arial" w:hAnsi="Arial" w:cs="Arial"/>
          <w:sz w:val="22"/>
          <w:szCs w:val="22"/>
        </w:rPr>
        <w:t>Glaucoma and Cataracts</w:t>
      </w:r>
      <w:bookmarkEnd w:id="1"/>
    </w:p>
    <w:p w14:paraId="0B66AA51" w14:textId="77777777" w:rsidR="00A13C6F" w:rsidRPr="007B7667" w:rsidRDefault="00A13C6F" w:rsidP="00866CD3">
      <w:pPr>
        <w:pStyle w:val="C-BodyText"/>
        <w:spacing w:before="0" w:after="0" w:line="276" w:lineRule="auto"/>
        <w:rPr>
          <w:rFonts w:ascii="Arial" w:hAnsi="Arial" w:cs="Arial"/>
          <w:sz w:val="22"/>
          <w:szCs w:val="22"/>
        </w:rPr>
      </w:pPr>
      <w:r w:rsidRPr="00A036E3">
        <w:rPr>
          <w:rFonts w:ascii="Arial" w:hAnsi="Arial" w:cs="Arial"/>
          <w:sz w:val="22"/>
          <w:szCs w:val="22"/>
        </w:rPr>
        <w:t>Rare instances of glaucoma and increased intra-ocular pressure have been reported following administration of intranasal corticosteroids, as a class effect.</w:t>
      </w:r>
      <w:r>
        <w:rPr>
          <w:rFonts w:ascii="Arial" w:hAnsi="Arial" w:cs="Arial"/>
          <w:sz w:val="22"/>
          <w:szCs w:val="22"/>
        </w:rPr>
        <w:t xml:space="preserve"> </w:t>
      </w:r>
      <w:r w:rsidRPr="007B7667">
        <w:rPr>
          <w:rFonts w:ascii="Arial" w:hAnsi="Arial" w:cs="Arial"/>
          <w:sz w:val="22"/>
          <w:szCs w:val="22"/>
        </w:rPr>
        <w:t xml:space="preserve">Therefore, close </w:t>
      </w:r>
      <w:r w:rsidRPr="007B7667">
        <w:rPr>
          <w:rFonts w:ascii="Arial" w:hAnsi="Arial" w:cs="Arial"/>
          <w:sz w:val="22"/>
          <w:szCs w:val="22"/>
        </w:rPr>
        <w:lastRenderedPageBreak/>
        <w:t>monitoring is warranted in patients with a change in vision or with a history of increased intraocular pressure, glaucoma, and/or cataracts.</w:t>
      </w:r>
    </w:p>
    <w:p w14:paraId="7CA0997F" w14:textId="77777777" w:rsidR="00A13C6F" w:rsidRDefault="00A13C6F" w:rsidP="00866CD3">
      <w:pPr>
        <w:pStyle w:val="C-BodyText"/>
        <w:spacing w:before="0" w:after="0" w:line="276" w:lineRule="auto"/>
        <w:rPr>
          <w:rFonts w:ascii="Arial" w:hAnsi="Arial" w:cs="Arial"/>
          <w:sz w:val="22"/>
          <w:szCs w:val="22"/>
        </w:rPr>
      </w:pPr>
    </w:p>
    <w:p w14:paraId="382DA68E" w14:textId="77777777" w:rsidR="00A13C6F" w:rsidRPr="007B7667" w:rsidRDefault="00A13C6F" w:rsidP="00866CD3">
      <w:pPr>
        <w:pStyle w:val="C-Heading2non-numbered"/>
        <w:spacing w:before="0" w:line="276" w:lineRule="auto"/>
        <w:rPr>
          <w:rFonts w:ascii="Arial" w:hAnsi="Arial" w:cs="Arial"/>
          <w:sz w:val="22"/>
          <w:szCs w:val="22"/>
        </w:rPr>
      </w:pPr>
      <w:bookmarkStart w:id="2" w:name="_Toc323043056"/>
      <w:r>
        <w:rPr>
          <w:rFonts w:ascii="Arial" w:hAnsi="Arial" w:cs="Arial"/>
          <w:sz w:val="22"/>
          <w:szCs w:val="22"/>
        </w:rPr>
        <w:t>H</w:t>
      </w:r>
      <w:r w:rsidRPr="007B7667">
        <w:rPr>
          <w:rFonts w:ascii="Arial" w:hAnsi="Arial" w:cs="Arial"/>
          <w:sz w:val="22"/>
          <w:szCs w:val="22"/>
        </w:rPr>
        <w:t>ypothalamic-Pituitary-Adrenal (HPA) Axis Effects</w:t>
      </w:r>
      <w:bookmarkEnd w:id="2"/>
    </w:p>
    <w:p w14:paraId="4A5B7485" w14:textId="77777777" w:rsidR="00A13C6F" w:rsidRDefault="00A13C6F" w:rsidP="00866CD3">
      <w:pPr>
        <w:pStyle w:val="C-BodyText"/>
        <w:spacing w:before="0" w:after="0" w:line="276" w:lineRule="auto"/>
        <w:rPr>
          <w:rFonts w:ascii="Arial" w:hAnsi="Arial" w:cs="Arial"/>
          <w:sz w:val="22"/>
          <w:szCs w:val="22"/>
        </w:rPr>
      </w:pPr>
      <w:r w:rsidRPr="00F54AA7">
        <w:rPr>
          <w:rFonts w:ascii="Arial" w:hAnsi="Arial" w:cs="Arial"/>
          <w:sz w:val="22"/>
          <w:szCs w:val="22"/>
        </w:rPr>
        <w:t xml:space="preserve">Intranasal steroid products are designed to deliver drug directly to the nasal mucosa in order to </w:t>
      </w:r>
      <w:proofErr w:type="spellStart"/>
      <w:r w:rsidRPr="00F54AA7">
        <w:rPr>
          <w:rFonts w:ascii="Arial" w:hAnsi="Arial" w:cs="Arial"/>
          <w:sz w:val="22"/>
          <w:szCs w:val="22"/>
        </w:rPr>
        <w:t>minimise</w:t>
      </w:r>
      <w:proofErr w:type="spellEnd"/>
      <w:r w:rsidRPr="00F54AA7">
        <w:rPr>
          <w:rFonts w:ascii="Arial" w:hAnsi="Arial" w:cs="Arial"/>
          <w:sz w:val="22"/>
          <w:szCs w:val="22"/>
        </w:rPr>
        <w:t xml:space="preserve"> overall systemic glucocort</w:t>
      </w:r>
      <w:r>
        <w:rPr>
          <w:rFonts w:ascii="Arial" w:hAnsi="Arial" w:cs="Arial"/>
          <w:sz w:val="22"/>
          <w:szCs w:val="22"/>
        </w:rPr>
        <w:t>icoid exposure and side effects. S</w:t>
      </w:r>
      <w:r w:rsidRPr="00F54AA7">
        <w:rPr>
          <w:rFonts w:ascii="Arial" w:hAnsi="Arial" w:cs="Arial"/>
          <w:sz w:val="22"/>
          <w:szCs w:val="22"/>
        </w:rPr>
        <w:t>ystemic effects such as HPA axis suppression, reduction of bone density and retardation of growth rate in children may occur with intranasal steroids, particularly at high doses prescribed for prolonged periods of time.</w:t>
      </w:r>
      <w:r w:rsidRPr="007B7667">
        <w:rPr>
          <w:rFonts w:ascii="Arial" w:hAnsi="Arial" w:cs="Arial"/>
          <w:sz w:val="22"/>
          <w:szCs w:val="22"/>
        </w:rPr>
        <w:t xml:space="preserve"> </w:t>
      </w:r>
    </w:p>
    <w:p w14:paraId="3191F17A" w14:textId="77777777" w:rsidR="008C4949" w:rsidRDefault="008C4949" w:rsidP="00866CD3">
      <w:pPr>
        <w:pStyle w:val="C-BodyText"/>
        <w:spacing w:before="0" w:after="0" w:line="276" w:lineRule="auto"/>
        <w:rPr>
          <w:rFonts w:ascii="Arial" w:hAnsi="Arial" w:cs="Arial"/>
          <w:sz w:val="22"/>
          <w:szCs w:val="22"/>
        </w:rPr>
      </w:pPr>
    </w:p>
    <w:p w14:paraId="46E9A305" w14:textId="77777777" w:rsidR="00A13C6F" w:rsidRDefault="00A13C6F" w:rsidP="00866CD3">
      <w:pPr>
        <w:pStyle w:val="C-BodyText"/>
        <w:spacing w:before="0" w:after="0" w:line="276" w:lineRule="auto"/>
        <w:rPr>
          <w:rFonts w:ascii="Arial" w:hAnsi="Arial" w:cs="Arial"/>
          <w:sz w:val="22"/>
          <w:szCs w:val="22"/>
        </w:rPr>
      </w:pPr>
      <w:r w:rsidRPr="00F54AA7">
        <w:rPr>
          <w:rFonts w:ascii="Arial" w:hAnsi="Arial" w:cs="Arial"/>
          <w:sz w:val="22"/>
          <w:szCs w:val="22"/>
        </w:rPr>
        <w:t xml:space="preserve">The lowest dose of </w:t>
      </w:r>
      <w:r>
        <w:rPr>
          <w:rFonts w:ascii="Arial" w:hAnsi="Arial" w:cs="Arial"/>
          <w:sz w:val="22"/>
          <w:szCs w:val="22"/>
        </w:rPr>
        <w:t>f</w:t>
      </w:r>
      <w:r w:rsidRPr="00F54AA7">
        <w:rPr>
          <w:rFonts w:ascii="Arial" w:hAnsi="Arial" w:cs="Arial"/>
          <w:sz w:val="22"/>
          <w:szCs w:val="22"/>
        </w:rPr>
        <w:t xml:space="preserve">luticasone </w:t>
      </w:r>
      <w:r>
        <w:rPr>
          <w:rFonts w:ascii="Arial" w:hAnsi="Arial" w:cs="Arial"/>
          <w:sz w:val="22"/>
          <w:szCs w:val="22"/>
        </w:rPr>
        <w:t>propionate n</w:t>
      </w:r>
      <w:r w:rsidRPr="00F54AA7">
        <w:rPr>
          <w:rFonts w:ascii="Arial" w:hAnsi="Arial" w:cs="Arial"/>
          <w:sz w:val="22"/>
          <w:szCs w:val="22"/>
        </w:rPr>
        <w:t>asal</w:t>
      </w:r>
      <w:r>
        <w:rPr>
          <w:rFonts w:ascii="Arial" w:hAnsi="Arial" w:cs="Arial"/>
          <w:sz w:val="22"/>
          <w:szCs w:val="22"/>
        </w:rPr>
        <w:t xml:space="preserve"> s</w:t>
      </w:r>
      <w:r w:rsidRPr="00F54AA7">
        <w:rPr>
          <w:rFonts w:ascii="Arial" w:hAnsi="Arial" w:cs="Arial"/>
          <w:sz w:val="22"/>
          <w:szCs w:val="22"/>
        </w:rPr>
        <w:t xml:space="preserve">pray that causes suppression of the HPA axis or effects on bone mineral density or growth retardation has not yet been established. However, the systemic bioavailability of fluticasone propionate is low (estimated at 1.26% using high doses), when given as </w:t>
      </w:r>
      <w:r>
        <w:rPr>
          <w:rFonts w:ascii="Arial" w:hAnsi="Arial" w:cs="Arial"/>
          <w:sz w:val="22"/>
          <w:szCs w:val="22"/>
        </w:rPr>
        <w:t>f</w:t>
      </w:r>
      <w:r w:rsidRPr="00F54AA7">
        <w:rPr>
          <w:rFonts w:ascii="Arial" w:hAnsi="Arial" w:cs="Arial"/>
          <w:sz w:val="22"/>
          <w:szCs w:val="22"/>
        </w:rPr>
        <w:t xml:space="preserve">luticasone </w:t>
      </w:r>
      <w:r>
        <w:rPr>
          <w:rFonts w:ascii="Arial" w:hAnsi="Arial" w:cs="Arial"/>
          <w:sz w:val="22"/>
          <w:szCs w:val="22"/>
        </w:rPr>
        <w:t>propionate n</w:t>
      </w:r>
      <w:r w:rsidRPr="00F54AA7">
        <w:rPr>
          <w:rFonts w:ascii="Arial" w:hAnsi="Arial" w:cs="Arial"/>
          <w:sz w:val="22"/>
          <w:szCs w:val="22"/>
        </w:rPr>
        <w:t>asal</w:t>
      </w:r>
      <w:r>
        <w:rPr>
          <w:rFonts w:ascii="Arial" w:hAnsi="Arial" w:cs="Arial"/>
          <w:sz w:val="22"/>
          <w:szCs w:val="22"/>
        </w:rPr>
        <w:t xml:space="preserve"> s</w:t>
      </w:r>
      <w:r w:rsidRPr="00F54AA7">
        <w:rPr>
          <w:rFonts w:ascii="Arial" w:hAnsi="Arial" w:cs="Arial"/>
          <w:sz w:val="22"/>
          <w:szCs w:val="22"/>
        </w:rPr>
        <w:t>pray, and this limits the potential for such systemic side effects. Measurement of serum cortisol and 24 hour urinary cortisol in the clinical studies in adults did not suggest any HPA axis suppression with recommended doses. Studies of effects on the HPA axis in children have not been conducted.</w:t>
      </w:r>
    </w:p>
    <w:p w14:paraId="0C1FDE85" w14:textId="77777777" w:rsidR="00AF11DA" w:rsidRDefault="00AF11DA" w:rsidP="00866CD3">
      <w:pPr>
        <w:pStyle w:val="C-BodyText"/>
        <w:spacing w:before="0" w:after="0" w:line="276" w:lineRule="auto"/>
        <w:rPr>
          <w:rFonts w:ascii="Arial" w:hAnsi="Arial" w:cs="Arial"/>
          <w:sz w:val="22"/>
          <w:szCs w:val="22"/>
        </w:rPr>
      </w:pPr>
    </w:p>
    <w:p w14:paraId="3DA856C7" w14:textId="54C70199" w:rsidR="00A13C6F" w:rsidRPr="00D83518" w:rsidRDefault="00A13C6F" w:rsidP="00866CD3">
      <w:pPr>
        <w:pStyle w:val="C-BodyText"/>
        <w:spacing w:before="0" w:after="0" w:line="276" w:lineRule="auto"/>
        <w:rPr>
          <w:rFonts w:ascii="Arial" w:hAnsi="Arial" w:cs="Arial"/>
          <w:sz w:val="22"/>
          <w:szCs w:val="22"/>
        </w:rPr>
      </w:pPr>
      <w:r w:rsidRPr="008C4949">
        <w:rPr>
          <w:rFonts w:ascii="Arial" w:hAnsi="Arial" w:cs="Arial"/>
          <w:sz w:val="22"/>
          <w:szCs w:val="22"/>
        </w:rPr>
        <w:t>Care must be taken while transferring patients from syste</w:t>
      </w:r>
      <w:r w:rsidR="00C62BCA">
        <w:rPr>
          <w:rFonts w:ascii="Arial" w:hAnsi="Arial" w:cs="Arial"/>
          <w:sz w:val="22"/>
          <w:szCs w:val="22"/>
        </w:rPr>
        <w:t>mic steroid treatment to DYLASTINE</w:t>
      </w:r>
      <w:r w:rsidR="00FD4410">
        <w:rPr>
          <w:rFonts w:ascii="Arial" w:hAnsi="Arial" w:cs="Arial"/>
          <w:sz w:val="22"/>
          <w:szCs w:val="22"/>
        </w:rPr>
        <w:t> </w:t>
      </w:r>
      <w:r w:rsidR="00FB7661">
        <w:rPr>
          <w:rFonts w:ascii="Arial" w:hAnsi="Arial" w:cs="Arial"/>
          <w:sz w:val="22"/>
          <w:szCs w:val="22"/>
        </w:rPr>
        <w:t>125/50</w:t>
      </w:r>
      <w:r w:rsidRPr="008C4949">
        <w:rPr>
          <w:rFonts w:ascii="Arial" w:hAnsi="Arial" w:cs="Arial"/>
          <w:sz w:val="22"/>
          <w:szCs w:val="22"/>
        </w:rPr>
        <w:t xml:space="preserve"> if there is any reason to suppose that their adrenal function is impaired. </w:t>
      </w:r>
    </w:p>
    <w:p w14:paraId="7E15EE8D" w14:textId="77777777" w:rsidR="00A13C6F" w:rsidRDefault="00A13C6F" w:rsidP="001F4A8C">
      <w:pPr>
        <w:pStyle w:val="C-BodyText"/>
        <w:spacing w:before="0" w:after="0" w:line="276" w:lineRule="auto"/>
        <w:rPr>
          <w:rFonts w:ascii="Arial" w:hAnsi="Arial" w:cs="Arial"/>
          <w:sz w:val="22"/>
          <w:szCs w:val="22"/>
        </w:rPr>
      </w:pPr>
      <w:bookmarkStart w:id="3" w:name="_Toc323043057"/>
    </w:p>
    <w:p w14:paraId="2A6D8465" w14:textId="77777777" w:rsidR="00A13C6F" w:rsidRPr="007B7667" w:rsidRDefault="00A13C6F" w:rsidP="00866CD3">
      <w:pPr>
        <w:pStyle w:val="C-Heading2non-numbered"/>
        <w:spacing w:before="0" w:line="276" w:lineRule="auto"/>
        <w:rPr>
          <w:rFonts w:ascii="Arial" w:hAnsi="Arial" w:cs="Arial"/>
          <w:sz w:val="22"/>
          <w:szCs w:val="22"/>
        </w:rPr>
      </w:pPr>
      <w:r w:rsidRPr="0066034A">
        <w:rPr>
          <w:rFonts w:ascii="Arial" w:hAnsi="Arial" w:cs="Arial"/>
          <w:sz w:val="22"/>
          <w:szCs w:val="22"/>
        </w:rPr>
        <w:t>Use of Cytochrome P450 3A4 Inhibitors</w:t>
      </w:r>
      <w:bookmarkEnd w:id="3"/>
    </w:p>
    <w:p w14:paraId="467CE331" w14:textId="0D2C6E13" w:rsidR="00A13C6F" w:rsidRPr="007B7667" w:rsidRDefault="00A13C6F" w:rsidP="00866CD3">
      <w:pPr>
        <w:pStyle w:val="C-BodyText"/>
        <w:spacing w:before="0" w:after="0" w:line="276" w:lineRule="auto"/>
        <w:rPr>
          <w:rFonts w:ascii="Arial" w:hAnsi="Arial" w:cs="Arial"/>
          <w:sz w:val="22"/>
          <w:szCs w:val="22"/>
        </w:rPr>
      </w:pPr>
      <w:r w:rsidRPr="00ED6929">
        <w:rPr>
          <w:rFonts w:ascii="Arial" w:hAnsi="Arial" w:cs="Arial"/>
          <w:sz w:val="22"/>
          <w:szCs w:val="22"/>
        </w:rPr>
        <w:t xml:space="preserve">Care should be taken when co-administering known, strong CYP3A4 inhibitors, </w:t>
      </w:r>
      <w:proofErr w:type="spellStart"/>
      <w:r w:rsidRPr="00ED6929">
        <w:rPr>
          <w:rFonts w:ascii="Arial" w:hAnsi="Arial" w:cs="Arial"/>
          <w:sz w:val="22"/>
          <w:szCs w:val="22"/>
        </w:rPr>
        <w:t>eg</w:t>
      </w:r>
      <w:proofErr w:type="spellEnd"/>
      <w:r w:rsidRPr="00ED6929">
        <w:rPr>
          <w:rFonts w:ascii="Arial" w:hAnsi="Arial" w:cs="Arial"/>
          <w:sz w:val="22"/>
          <w:szCs w:val="22"/>
        </w:rPr>
        <w:t xml:space="preserve">. </w:t>
      </w:r>
      <w:proofErr w:type="gramStart"/>
      <w:r w:rsidR="00DE790D">
        <w:rPr>
          <w:rFonts w:ascii="Arial" w:hAnsi="Arial" w:cs="Arial"/>
          <w:sz w:val="22"/>
          <w:szCs w:val="22"/>
        </w:rPr>
        <w:t>r</w:t>
      </w:r>
      <w:r w:rsidRPr="00ED6929">
        <w:rPr>
          <w:rFonts w:ascii="Arial" w:hAnsi="Arial" w:cs="Arial"/>
          <w:sz w:val="22"/>
          <w:szCs w:val="22"/>
        </w:rPr>
        <w:t>itonavir</w:t>
      </w:r>
      <w:proofErr w:type="gramEnd"/>
      <w:r w:rsidRPr="00ED6929">
        <w:rPr>
          <w:rFonts w:ascii="Arial" w:hAnsi="Arial" w:cs="Arial"/>
          <w:sz w:val="22"/>
          <w:szCs w:val="22"/>
        </w:rPr>
        <w:t xml:space="preserve"> and ketoconazole, as there is potential for increased systemic exposure to fluticasone propionate.</w:t>
      </w:r>
      <w:r w:rsidRPr="00ED6929" w:rsidDel="00ED6929">
        <w:rPr>
          <w:rFonts w:ascii="Arial" w:hAnsi="Arial" w:cs="Arial"/>
          <w:sz w:val="22"/>
          <w:szCs w:val="22"/>
        </w:rPr>
        <w:t xml:space="preserve"> </w:t>
      </w:r>
      <w:r>
        <w:rPr>
          <w:rFonts w:ascii="Arial" w:hAnsi="Arial" w:cs="Arial"/>
          <w:sz w:val="22"/>
          <w:szCs w:val="22"/>
        </w:rPr>
        <w:t>(</w:t>
      </w:r>
      <w:proofErr w:type="gramStart"/>
      <w:r>
        <w:rPr>
          <w:rFonts w:ascii="Arial" w:hAnsi="Arial" w:cs="Arial"/>
          <w:sz w:val="22"/>
          <w:szCs w:val="22"/>
        </w:rPr>
        <w:t>see</w:t>
      </w:r>
      <w:proofErr w:type="gramEnd"/>
      <w:r>
        <w:rPr>
          <w:rFonts w:ascii="Arial" w:hAnsi="Arial" w:cs="Arial"/>
          <w:sz w:val="22"/>
          <w:szCs w:val="22"/>
        </w:rPr>
        <w:t xml:space="preserve"> </w:t>
      </w:r>
      <w:r w:rsidRPr="00263F25">
        <w:rPr>
          <w:rFonts w:ascii="Arial" w:hAnsi="Arial" w:cs="Arial"/>
          <w:b/>
          <w:bCs/>
          <w:sz w:val="22"/>
          <w:szCs w:val="22"/>
        </w:rPr>
        <w:t>INTERACTIONS WITH OTHER MEDICINES</w:t>
      </w:r>
      <w:r>
        <w:rPr>
          <w:rFonts w:ascii="Arial" w:hAnsi="Arial" w:cs="Arial"/>
          <w:sz w:val="22"/>
          <w:szCs w:val="22"/>
        </w:rPr>
        <w:t xml:space="preserve"> and </w:t>
      </w:r>
      <w:r w:rsidRPr="00263F25">
        <w:rPr>
          <w:rFonts w:ascii="Arial" w:hAnsi="Arial" w:cs="Arial"/>
          <w:b/>
          <w:bCs/>
          <w:sz w:val="22"/>
          <w:szCs w:val="22"/>
        </w:rPr>
        <w:t>Pharmacokinetics</w:t>
      </w:r>
      <w:r>
        <w:rPr>
          <w:rFonts w:ascii="Arial" w:hAnsi="Arial" w:cs="Arial"/>
          <w:sz w:val="22"/>
          <w:szCs w:val="22"/>
        </w:rPr>
        <w:t xml:space="preserve"> – </w:t>
      </w:r>
      <w:r w:rsidRPr="00263F25">
        <w:rPr>
          <w:rFonts w:ascii="Arial" w:hAnsi="Arial" w:cs="Arial"/>
          <w:b/>
          <w:bCs/>
          <w:sz w:val="22"/>
          <w:szCs w:val="22"/>
        </w:rPr>
        <w:t>Metabolism</w:t>
      </w:r>
      <w:r>
        <w:rPr>
          <w:rFonts w:ascii="Arial" w:hAnsi="Arial" w:cs="Arial"/>
          <w:sz w:val="22"/>
          <w:szCs w:val="22"/>
        </w:rPr>
        <w:t>)</w:t>
      </w:r>
      <w:r w:rsidRPr="007B7667">
        <w:rPr>
          <w:rFonts w:ascii="Arial" w:hAnsi="Arial" w:cs="Arial"/>
          <w:sz w:val="22"/>
          <w:szCs w:val="22"/>
        </w:rPr>
        <w:t xml:space="preserve">. </w:t>
      </w:r>
    </w:p>
    <w:p w14:paraId="4024BA19" w14:textId="77777777" w:rsidR="00A13C6F" w:rsidRDefault="00A13C6F" w:rsidP="001F4A8C">
      <w:pPr>
        <w:pStyle w:val="C-BodyText"/>
        <w:spacing w:before="0" w:after="0" w:line="276" w:lineRule="auto"/>
        <w:rPr>
          <w:rFonts w:ascii="Arial" w:hAnsi="Arial" w:cs="Arial"/>
          <w:sz w:val="22"/>
          <w:szCs w:val="22"/>
        </w:rPr>
      </w:pPr>
      <w:bookmarkStart w:id="4" w:name="_Toc323043058"/>
    </w:p>
    <w:p w14:paraId="5C042F1E" w14:textId="77777777" w:rsidR="00A13C6F" w:rsidRPr="007B7667" w:rsidRDefault="00A13C6F" w:rsidP="00866CD3">
      <w:pPr>
        <w:pStyle w:val="C-Heading2non-numbered"/>
        <w:spacing w:before="0" w:line="276" w:lineRule="auto"/>
        <w:rPr>
          <w:rFonts w:ascii="Arial" w:hAnsi="Arial" w:cs="Arial"/>
          <w:sz w:val="22"/>
          <w:szCs w:val="22"/>
        </w:rPr>
      </w:pPr>
      <w:r w:rsidRPr="007B7667">
        <w:rPr>
          <w:rFonts w:ascii="Arial" w:hAnsi="Arial" w:cs="Arial"/>
          <w:sz w:val="22"/>
          <w:szCs w:val="22"/>
        </w:rPr>
        <w:t>Effect on Growth</w:t>
      </w:r>
      <w:bookmarkEnd w:id="4"/>
    </w:p>
    <w:p w14:paraId="27906A2A" w14:textId="77777777" w:rsidR="00A13C6F" w:rsidRPr="007B7667" w:rsidRDefault="00A13C6F" w:rsidP="00866CD3">
      <w:pPr>
        <w:pStyle w:val="C-BodyText"/>
        <w:spacing w:before="0" w:after="0" w:line="276" w:lineRule="auto"/>
        <w:rPr>
          <w:rFonts w:ascii="Arial" w:hAnsi="Arial" w:cs="Arial"/>
          <w:sz w:val="22"/>
          <w:szCs w:val="22"/>
        </w:rPr>
      </w:pPr>
      <w:r>
        <w:rPr>
          <w:rFonts w:ascii="Arial" w:hAnsi="Arial" w:cs="Arial"/>
          <w:sz w:val="22"/>
          <w:szCs w:val="22"/>
        </w:rPr>
        <w:t>R</w:t>
      </w:r>
      <w:r w:rsidRPr="00ED6929">
        <w:rPr>
          <w:rFonts w:ascii="Arial" w:hAnsi="Arial" w:cs="Arial"/>
          <w:sz w:val="22"/>
          <w:szCs w:val="22"/>
        </w:rPr>
        <w:t>etardation of growth rate in children may occur with intranasal steroids, particularly at high doses prescribed for prolonged periods of time.</w:t>
      </w:r>
      <w:r w:rsidRPr="00ED6929" w:rsidDel="00ED6929">
        <w:rPr>
          <w:rFonts w:ascii="Arial" w:hAnsi="Arial" w:cs="Arial"/>
          <w:sz w:val="22"/>
          <w:szCs w:val="22"/>
        </w:rPr>
        <w:t xml:space="preserve"> </w:t>
      </w:r>
      <w:r>
        <w:rPr>
          <w:rFonts w:ascii="Arial" w:hAnsi="Arial" w:cs="Arial"/>
          <w:sz w:val="22"/>
          <w:szCs w:val="22"/>
        </w:rPr>
        <w:t>(</w:t>
      </w:r>
      <w:proofErr w:type="gramStart"/>
      <w:r>
        <w:rPr>
          <w:rFonts w:ascii="Arial" w:hAnsi="Arial" w:cs="Arial"/>
          <w:sz w:val="22"/>
          <w:szCs w:val="22"/>
        </w:rPr>
        <w:t>see</w:t>
      </w:r>
      <w:proofErr w:type="gramEnd"/>
      <w:r w:rsidRPr="0066034A">
        <w:rPr>
          <w:rFonts w:ascii="Arial" w:hAnsi="Arial" w:cs="Arial"/>
          <w:b/>
          <w:bCs/>
          <w:sz w:val="22"/>
          <w:szCs w:val="22"/>
        </w:rPr>
        <w:t xml:space="preserve"> PRECAUTIONS</w:t>
      </w:r>
      <w:r>
        <w:rPr>
          <w:rFonts w:ascii="Arial" w:hAnsi="Arial" w:cs="Arial"/>
          <w:sz w:val="22"/>
          <w:szCs w:val="22"/>
        </w:rPr>
        <w:t xml:space="preserve"> – </w:t>
      </w:r>
      <w:r w:rsidRPr="0066034A">
        <w:rPr>
          <w:rFonts w:ascii="Arial" w:hAnsi="Arial" w:cs="Arial"/>
          <w:b/>
          <w:bCs/>
          <w:sz w:val="22"/>
          <w:szCs w:val="22"/>
        </w:rPr>
        <w:t>Use in Children and Adolescents</w:t>
      </w:r>
      <w:r>
        <w:rPr>
          <w:rFonts w:ascii="Arial" w:hAnsi="Arial" w:cs="Arial"/>
          <w:sz w:val="22"/>
          <w:szCs w:val="22"/>
        </w:rPr>
        <w:t>)</w:t>
      </w:r>
      <w:r w:rsidRPr="007B7667">
        <w:rPr>
          <w:rFonts w:ascii="Arial" w:hAnsi="Arial" w:cs="Arial"/>
          <w:sz w:val="22"/>
          <w:szCs w:val="22"/>
        </w:rPr>
        <w:t>.</w:t>
      </w:r>
    </w:p>
    <w:p w14:paraId="6A45A60C" w14:textId="77777777" w:rsidR="00A13C6F" w:rsidRPr="007B7667" w:rsidRDefault="00A13C6F" w:rsidP="00866CD3">
      <w:pPr>
        <w:spacing w:after="0"/>
        <w:rPr>
          <w:rFonts w:ascii="Arial" w:hAnsi="Arial" w:cs="Arial"/>
          <w:b/>
          <w:bCs/>
        </w:rPr>
      </w:pPr>
    </w:p>
    <w:p w14:paraId="0CFFFD91" w14:textId="77777777" w:rsidR="00A13C6F" w:rsidRPr="005E489F" w:rsidRDefault="00A13C6F" w:rsidP="00866CD3">
      <w:pPr>
        <w:spacing w:after="0"/>
        <w:rPr>
          <w:rFonts w:ascii="Arial" w:hAnsi="Arial" w:cs="Arial"/>
          <w:b/>
          <w:bCs/>
        </w:rPr>
      </w:pPr>
      <w:r w:rsidRPr="005E489F">
        <w:rPr>
          <w:rFonts w:ascii="Arial" w:hAnsi="Arial" w:cs="Arial"/>
          <w:b/>
          <w:bCs/>
        </w:rPr>
        <w:t>Use in Patients with Renal Impairment</w:t>
      </w:r>
    </w:p>
    <w:p w14:paraId="53AF6A08" w14:textId="77777777" w:rsidR="00A13C6F" w:rsidRPr="005E489F" w:rsidRDefault="00A13C6F" w:rsidP="00866CD3">
      <w:pPr>
        <w:spacing w:after="0"/>
        <w:rPr>
          <w:rFonts w:ascii="Arial" w:hAnsi="Arial" w:cs="Arial"/>
        </w:rPr>
      </w:pPr>
      <w:r w:rsidRPr="005E489F">
        <w:rPr>
          <w:rFonts w:ascii="Arial" w:hAnsi="Arial" w:cs="Arial"/>
        </w:rPr>
        <w:t xml:space="preserve">See </w:t>
      </w:r>
      <w:r w:rsidRPr="005E489F">
        <w:rPr>
          <w:rFonts w:ascii="Arial" w:hAnsi="Arial" w:cs="Arial"/>
          <w:b/>
          <w:bCs/>
        </w:rPr>
        <w:t>Pharmacokinetics</w:t>
      </w:r>
      <w:r w:rsidRPr="005E489F">
        <w:rPr>
          <w:rFonts w:ascii="Arial" w:hAnsi="Arial" w:cs="Arial"/>
        </w:rPr>
        <w:t xml:space="preserve"> under </w:t>
      </w:r>
      <w:r w:rsidRPr="005E489F">
        <w:rPr>
          <w:rFonts w:ascii="Arial" w:hAnsi="Arial" w:cs="Arial"/>
          <w:b/>
          <w:bCs/>
        </w:rPr>
        <w:t>Special Populations</w:t>
      </w:r>
      <w:r w:rsidRPr="005E489F">
        <w:rPr>
          <w:rFonts w:ascii="Arial" w:hAnsi="Arial" w:cs="Arial"/>
        </w:rPr>
        <w:t xml:space="preserve"> – </w:t>
      </w:r>
      <w:r w:rsidRPr="005E489F">
        <w:rPr>
          <w:rFonts w:ascii="Arial" w:hAnsi="Arial" w:cs="Arial"/>
          <w:b/>
          <w:bCs/>
          <w:i/>
          <w:iCs/>
        </w:rPr>
        <w:t>Renal Impairment</w:t>
      </w:r>
      <w:r w:rsidRPr="005E489F">
        <w:rPr>
          <w:rFonts w:ascii="Arial" w:hAnsi="Arial" w:cs="Arial"/>
        </w:rPr>
        <w:t>.</w:t>
      </w:r>
    </w:p>
    <w:p w14:paraId="0B83A441" w14:textId="77777777" w:rsidR="00A13C6F" w:rsidRPr="0051542B" w:rsidRDefault="00A13C6F" w:rsidP="00866CD3">
      <w:pPr>
        <w:spacing w:after="0"/>
        <w:rPr>
          <w:rFonts w:ascii="Arial" w:hAnsi="Arial" w:cs="Arial"/>
          <w:sz w:val="24"/>
          <w:szCs w:val="24"/>
        </w:rPr>
      </w:pPr>
    </w:p>
    <w:p w14:paraId="544101F1" w14:textId="77777777" w:rsidR="00A13C6F" w:rsidRPr="005E489F" w:rsidRDefault="00A13C6F" w:rsidP="00866CD3">
      <w:pPr>
        <w:spacing w:after="0"/>
        <w:rPr>
          <w:rFonts w:ascii="Arial" w:hAnsi="Arial" w:cs="Arial"/>
          <w:b/>
          <w:bCs/>
        </w:rPr>
      </w:pPr>
      <w:r w:rsidRPr="005E489F">
        <w:rPr>
          <w:rFonts w:ascii="Arial" w:hAnsi="Arial" w:cs="Arial"/>
          <w:b/>
          <w:bCs/>
        </w:rPr>
        <w:t>Use in Patients with Hepatic Impairment</w:t>
      </w:r>
    </w:p>
    <w:p w14:paraId="5CF45A75" w14:textId="77777777" w:rsidR="00A13C6F" w:rsidRPr="005E489F" w:rsidRDefault="00A13C6F" w:rsidP="00866CD3">
      <w:pPr>
        <w:spacing w:after="0"/>
        <w:rPr>
          <w:rFonts w:ascii="Arial" w:hAnsi="Arial" w:cs="Arial"/>
        </w:rPr>
      </w:pPr>
      <w:r w:rsidRPr="005E489F">
        <w:rPr>
          <w:rFonts w:ascii="Arial" w:hAnsi="Arial" w:cs="Arial"/>
        </w:rPr>
        <w:t xml:space="preserve">See </w:t>
      </w:r>
      <w:r w:rsidRPr="005E489F">
        <w:rPr>
          <w:rFonts w:ascii="Arial" w:hAnsi="Arial" w:cs="Arial"/>
          <w:b/>
          <w:bCs/>
        </w:rPr>
        <w:t>Pharmacokinetics</w:t>
      </w:r>
      <w:r w:rsidRPr="005E489F">
        <w:rPr>
          <w:rFonts w:ascii="Arial" w:hAnsi="Arial" w:cs="Arial"/>
        </w:rPr>
        <w:t xml:space="preserve"> under </w:t>
      </w:r>
      <w:r w:rsidRPr="005E489F">
        <w:rPr>
          <w:rFonts w:ascii="Arial" w:hAnsi="Arial" w:cs="Arial"/>
          <w:b/>
          <w:bCs/>
        </w:rPr>
        <w:t>Special Populations</w:t>
      </w:r>
      <w:r w:rsidRPr="005E489F">
        <w:rPr>
          <w:rFonts w:ascii="Arial" w:hAnsi="Arial" w:cs="Arial"/>
        </w:rPr>
        <w:t xml:space="preserve"> – </w:t>
      </w:r>
      <w:r w:rsidRPr="005E489F">
        <w:rPr>
          <w:rFonts w:ascii="Arial" w:hAnsi="Arial" w:cs="Arial"/>
          <w:b/>
          <w:bCs/>
          <w:i/>
          <w:iCs/>
        </w:rPr>
        <w:t>Hepatic Impairment</w:t>
      </w:r>
      <w:r w:rsidRPr="005E489F">
        <w:rPr>
          <w:rFonts w:ascii="Arial" w:hAnsi="Arial" w:cs="Arial"/>
        </w:rPr>
        <w:t>.</w:t>
      </w:r>
    </w:p>
    <w:p w14:paraId="253F2787" w14:textId="77777777" w:rsidR="00A13C6F" w:rsidRPr="0051542B" w:rsidRDefault="00A13C6F" w:rsidP="00866CD3">
      <w:pPr>
        <w:spacing w:after="0"/>
        <w:rPr>
          <w:rFonts w:ascii="Arial" w:hAnsi="Arial" w:cs="Arial"/>
          <w:sz w:val="24"/>
          <w:szCs w:val="24"/>
        </w:rPr>
      </w:pPr>
    </w:p>
    <w:p w14:paraId="02DC248A" w14:textId="77777777" w:rsidR="00A13C6F" w:rsidRDefault="00A13C6F" w:rsidP="00866CD3">
      <w:pPr>
        <w:spacing w:after="0"/>
        <w:rPr>
          <w:rFonts w:ascii="Arial" w:hAnsi="Arial" w:cs="Arial"/>
          <w:b/>
          <w:bCs/>
          <w:sz w:val="24"/>
          <w:szCs w:val="24"/>
        </w:rPr>
      </w:pPr>
      <w:r>
        <w:rPr>
          <w:rFonts w:ascii="Arial" w:hAnsi="Arial" w:cs="Arial"/>
          <w:b/>
          <w:bCs/>
          <w:sz w:val="24"/>
          <w:szCs w:val="24"/>
        </w:rPr>
        <w:t>Effects on Fertility</w:t>
      </w:r>
    </w:p>
    <w:p w14:paraId="527261FA" w14:textId="7C878E37" w:rsidR="00A13C6F" w:rsidRDefault="00A13C6F" w:rsidP="00866CD3">
      <w:pPr>
        <w:spacing w:after="0"/>
        <w:rPr>
          <w:rFonts w:ascii="Arial" w:hAnsi="Arial" w:cs="Arial"/>
        </w:rPr>
      </w:pPr>
      <w:r>
        <w:rPr>
          <w:rFonts w:ascii="Arial" w:hAnsi="Arial" w:cs="Arial"/>
        </w:rPr>
        <w:t>No studies on impairment of ferti</w:t>
      </w:r>
      <w:r w:rsidR="00C62BCA">
        <w:rPr>
          <w:rFonts w:ascii="Arial" w:hAnsi="Arial" w:cs="Arial"/>
        </w:rPr>
        <w:t>lity were conducted with DYLASTINE</w:t>
      </w:r>
      <w:r w:rsidR="00FD4410">
        <w:rPr>
          <w:rFonts w:ascii="Arial" w:hAnsi="Arial" w:cs="Arial"/>
        </w:rPr>
        <w:t> </w:t>
      </w:r>
      <w:r w:rsidR="00FB7661">
        <w:rPr>
          <w:rFonts w:ascii="Arial" w:hAnsi="Arial" w:cs="Arial"/>
        </w:rPr>
        <w:t>125/50</w:t>
      </w:r>
      <w:r>
        <w:rPr>
          <w:rFonts w:ascii="Arial" w:hAnsi="Arial" w:cs="Arial"/>
        </w:rPr>
        <w:t>. However, non-clinical studies are available for the individual active component</w:t>
      </w:r>
      <w:r w:rsidR="00AF11DA">
        <w:rPr>
          <w:rFonts w:ascii="Arial" w:hAnsi="Arial" w:cs="Arial"/>
        </w:rPr>
        <w:t>,</w:t>
      </w:r>
      <w:r>
        <w:rPr>
          <w:rFonts w:ascii="Arial" w:hAnsi="Arial" w:cs="Arial"/>
        </w:rPr>
        <w:t xml:space="preserve"> </w:t>
      </w:r>
      <w:proofErr w:type="spellStart"/>
      <w:r>
        <w:rPr>
          <w:rFonts w:ascii="Arial" w:hAnsi="Arial" w:cs="Arial"/>
        </w:rPr>
        <w:t>azelastine</w:t>
      </w:r>
      <w:proofErr w:type="spellEnd"/>
      <w:r>
        <w:rPr>
          <w:rFonts w:ascii="Arial" w:hAnsi="Arial" w:cs="Arial"/>
        </w:rPr>
        <w:t>.</w:t>
      </w:r>
    </w:p>
    <w:p w14:paraId="0925953C" w14:textId="77777777" w:rsidR="00A13C6F" w:rsidRDefault="00A13C6F" w:rsidP="00866CD3">
      <w:pPr>
        <w:pStyle w:val="C-BodyText"/>
        <w:spacing w:before="0" w:after="0" w:line="276" w:lineRule="auto"/>
        <w:rPr>
          <w:rFonts w:ascii="Arial" w:hAnsi="Arial" w:cs="Arial"/>
          <w:sz w:val="22"/>
          <w:szCs w:val="22"/>
        </w:rPr>
      </w:pPr>
    </w:p>
    <w:p w14:paraId="01DAC803" w14:textId="624FE2C2" w:rsidR="00A13C6F" w:rsidRDefault="00A13C6F" w:rsidP="00866CD3">
      <w:pPr>
        <w:spacing w:after="0"/>
        <w:rPr>
          <w:rFonts w:ascii="Arial" w:hAnsi="Arial" w:cs="Arial"/>
        </w:rPr>
      </w:pPr>
      <w:r w:rsidRPr="00E6272D">
        <w:rPr>
          <w:rFonts w:ascii="Arial" w:hAnsi="Arial" w:cs="Arial"/>
        </w:rPr>
        <w:t xml:space="preserve">In male and female rats, </w:t>
      </w:r>
      <w:proofErr w:type="spellStart"/>
      <w:r w:rsidRPr="00E6272D">
        <w:rPr>
          <w:rFonts w:ascii="Arial" w:hAnsi="Arial" w:cs="Arial"/>
        </w:rPr>
        <w:t>azelastine</w:t>
      </w:r>
      <w:proofErr w:type="spellEnd"/>
      <w:r w:rsidRPr="00E6272D">
        <w:rPr>
          <w:rFonts w:ascii="Arial" w:hAnsi="Arial" w:cs="Arial"/>
        </w:rPr>
        <w:t xml:space="preserve"> at oral doses of 30 mg/kg/day and greater (resulting in plasma levels which were at least about 400 times above the plasma levels at the </w:t>
      </w:r>
      <w:r w:rsidRPr="00E6272D">
        <w:rPr>
          <w:rFonts w:ascii="Arial" w:hAnsi="Arial" w:cs="Arial"/>
        </w:rPr>
        <w:lastRenderedPageBreak/>
        <w:t>recommended therapeutic intranasal dose) caused a decrease in the fertility index, but in long term toxicity studies up to 2 years there were no drug-related alterations in reproductive organs either in males or in females in this species. A clinical study in 21 healthy human females using an intranasal dose of 1.12 mg/day found no effect on ovulation or sexual hormone pattern.</w:t>
      </w:r>
    </w:p>
    <w:p w14:paraId="4137CAD2" w14:textId="77777777" w:rsidR="00A13C6F" w:rsidRDefault="00A13C6F" w:rsidP="00866CD3">
      <w:pPr>
        <w:spacing w:after="0"/>
        <w:rPr>
          <w:rFonts w:ascii="Arial" w:hAnsi="Arial" w:cs="Arial"/>
          <w:b/>
          <w:bCs/>
          <w:sz w:val="24"/>
          <w:szCs w:val="24"/>
        </w:rPr>
      </w:pPr>
    </w:p>
    <w:p w14:paraId="146CA8D2" w14:textId="77777777" w:rsidR="00A13C6F" w:rsidRDefault="00A13C6F" w:rsidP="00866CD3">
      <w:pPr>
        <w:spacing w:after="0"/>
        <w:rPr>
          <w:rFonts w:ascii="Arial" w:hAnsi="Arial" w:cs="Arial"/>
          <w:b/>
          <w:bCs/>
          <w:sz w:val="24"/>
          <w:szCs w:val="24"/>
        </w:rPr>
      </w:pPr>
      <w:r>
        <w:rPr>
          <w:rFonts w:ascii="Arial" w:hAnsi="Arial" w:cs="Arial"/>
          <w:b/>
          <w:bCs/>
          <w:sz w:val="24"/>
          <w:szCs w:val="24"/>
        </w:rPr>
        <w:t>Use in Pregnancy</w:t>
      </w:r>
    </w:p>
    <w:p w14:paraId="27953231" w14:textId="77777777" w:rsidR="00A13C6F" w:rsidRDefault="00A13C6F" w:rsidP="00866CD3">
      <w:pPr>
        <w:spacing w:after="0"/>
        <w:rPr>
          <w:rFonts w:ascii="Arial" w:hAnsi="Arial" w:cs="Arial"/>
          <w:b/>
          <w:bCs/>
          <w:sz w:val="24"/>
          <w:szCs w:val="24"/>
        </w:rPr>
      </w:pPr>
      <w:r>
        <w:rPr>
          <w:rFonts w:ascii="Arial" w:hAnsi="Arial" w:cs="Arial"/>
          <w:b/>
          <w:bCs/>
          <w:sz w:val="24"/>
          <w:szCs w:val="24"/>
        </w:rPr>
        <w:t>Category B3</w:t>
      </w:r>
    </w:p>
    <w:p w14:paraId="21B35A98" w14:textId="761A3F73" w:rsidR="00A13C6F" w:rsidRDefault="00A13C6F" w:rsidP="00866CD3">
      <w:pPr>
        <w:spacing w:after="0"/>
      </w:pPr>
      <w:r>
        <w:rPr>
          <w:rFonts w:ascii="Arial" w:hAnsi="Arial" w:cs="Arial"/>
        </w:rPr>
        <w:t>There is no or insufficie</w:t>
      </w:r>
      <w:r w:rsidR="00C62BCA">
        <w:rPr>
          <w:rFonts w:ascii="Arial" w:hAnsi="Arial" w:cs="Arial"/>
        </w:rPr>
        <w:t>nt evidence of safety of DYLASTINE</w:t>
      </w:r>
      <w:r w:rsidR="00FD4410">
        <w:rPr>
          <w:rFonts w:ascii="Arial" w:hAnsi="Arial" w:cs="Arial"/>
        </w:rPr>
        <w:t> </w:t>
      </w:r>
      <w:r w:rsidR="00FB7661">
        <w:rPr>
          <w:rFonts w:ascii="Arial" w:hAnsi="Arial" w:cs="Arial"/>
        </w:rPr>
        <w:t>125/50</w:t>
      </w:r>
      <w:r>
        <w:rPr>
          <w:rFonts w:ascii="Arial" w:hAnsi="Arial" w:cs="Arial"/>
        </w:rPr>
        <w:t xml:space="preserve">, </w:t>
      </w:r>
      <w:proofErr w:type="spellStart"/>
      <w:r>
        <w:rPr>
          <w:rFonts w:ascii="Arial" w:hAnsi="Arial" w:cs="Arial"/>
        </w:rPr>
        <w:t>azelastine</w:t>
      </w:r>
      <w:proofErr w:type="spellEnd"/>
      <w:r>
        <w:rPr>
          <w:rFonts w:ascii="Arial" w:hAnsi="Arial" w:cs="Arial"/>
        </w:rPr>
        <w:t xml:space="preserve"> or fluticasone propionate in human pregnancy.</w:t>
      </w:r>
      <w:r w:rsidR="00AA1F57">
        <w:rPr>
          <w:rFonts w:ascii="Arial" w:hAnsi="Arial" w:cs="Arial"/>
        </w:rPr>
        <w:t xml:space="preserve"> No studies on the effect on </w:t>
      </w:r>
      <w:proofErr w:type="spellStart"/>
      <w:r w:rsidR="00AA1F57">
        <w:rPr>
          <w:rFonts w:ascii="Arial" w:hAnsi="Arial" w:cs="Arial"/>
        </w:rPr>
        <w:t>embryofetal</w:t>
      </w:r>
      <w:proofErr w:type="spellEnd"/>
      <w:r w:rsidR="00AA1F57">
        <w:rPr>
          <w:rFonts w:ascii="Arial" w:hAnsi="Arial" w:cs="Arial"/>
        </w:rPr>
        <w:t xml:space="preserve"> development have been conducted with </w:t>
      </w:r>
      <w:proofErr w:type="spellStart"/>
      <w:r w:rsidR="00F50C8F">
        <w:rPr>
          <w:rFonts w:ascii="Arial" w:hAnsi="Arial" w:cs="Arial"/>
        </w:rPr>
        <w:t>azelastine</w:t>
      </w:r>
      <w:proofErr w:type="spellEnd"/>
      <w:r w:rsidR="00F50C8F">
        <w:rPr>
          <w:rFonts w:ascii="Arial" w:hAnsi="Arial" w:cs="Arial"/>
        </w:rPr>
        <w:t>/fluticasone combination</w:t>
      </w:r>
      <w:r w:rsidR="00AA1F57">
        <w:rPr>
          <w:rFonts w:ascii="Arial" w:hAnsi="Arial" w:cs="Arial"/>
        </w:rPr>
        <w:t>.</w:t>
      </w:r>
      <w:r>
        <w:rPr>
          <w:rFonts w:ascii="Arial" w:hAnsi="Arial" w:cs="Arial"/>
        </w:rPr>
        <w:t xml:space="preserve"> </w:t>
      </w:r>
      <w:r w:rsidRPr="00396D06">
        <w:rPr>
          <w:rFonts w:ascii="Arial" w:hAnsi="Arial" w:cs="Arial"/>
        </w:rPr>
        <w:t xml:space="preserve">Animal reproductive studies of </w:t>
      </w:r>
      <w:proofErr w:type="spellStart"/>
      <w:r w:rsidRPr="00396D06">
        <w:rPr>
          <w:rFonts w:ascii="Arial" w:hAnsi="Arial" w:cs="Arial"/>
        </w:rPr>
        <w:t>azelastine</w:t>
      </w:r>
      <w:proofErr w:type="spellEnd"/>
      <w:r w:rsidRPr="00396D06">
        <w:rPr>
          <w:rFonts w:ascii="Arial" w:hAnsi="Arial" w:cs="Arial"/>
        </w:rPr>
        <w:t xml:space="preserve"> and fluticasone propionate in mice</w:t>
      </w:r>
      <w:r>
        <w:rPr>
          <w:rFonts w:ascii="Arial" w:hAnsi="Arial" w:cs="Arial"/>
        </w:rPr>
        <w:t xml:space="preserve"> and</w:t>
      </w:r>
      <w:r w:rsidRPr="00396D06">
        <w:rPr>
          <w:rFonts w:ascii="Arial" w:hAnsi="Arial" w:cs="Arial"/>
        </w:rPr>
        <w:t xml:space="preserve"> rats revealed evidence of teratogenicity as well as other developmental toxic effects. </w:t>
      </w:r>
      <w:r>
        <w:rPr>
          <w:rFonts w:ascii="Arial" w:hAnsi="Arial" w:cs="Arial"/>
        </w:rPr>
        <w:t xml:space="preserve">However, equivalent effects have not been reported when these </w:t>
      </w:r>
      <w:r w:rsidR="00AA1F57">
        <w:rPr>
          <w:rFonts w:ascii="Arial" w:hAnsi="Arial" w:cs="Arial"/>
        </w:rPr>
        <w:t xml:space="preserve">individual </w:t>
      </w:r>
      <w:r>
        <w:rPr>
          <w:rFonts w:ascii="Arial" w:hAnsi="Arial" w:cs="Arial"/>
        </w:rPr>
        <w:t xml:space="preserve">compounds have been given to humans during pregnancy. Direct intranasal application ensures minimal systemic exposure. As with other medicines, the use of </w:t>
      </w:r>
      <w:r w:rsidR="00C62BCA">
        <w:rPr>
          <w:rFonts w:ascii="Arial" w:hAnsi="Arial" w:cs="Arial"/>
        </w:rPr>
        <w:t>DYLASTINE</w:t>
      </w:r>
      <w:r w:rsidR="00FD4410">
        <w:rPr>
          <w:rFonts w:ascii="Arial" w:hAnsi="Arial" w:cs="Arial"/>
        </w:rPr>
        <w:t xml:space="preserve"> </w:t>
      </w:r>
      <w:r w:rsidR="00FB7661">
        <w:rPr>
          <w:rFonts w:ascii="Arial" w:hAnsi="Arial" w:cs="Arial"/>
        </w:rPr>
        <w:t>125/50</w:t>
      </w:r>
      <w:r w:rsidRPr="00396D06">
        <w:rPr>
          <w:rFonts w:ascii="Arial" w:hAnsi="Arial" w:cs="Arial"/>
        </w:rPr>
        <w:t xml:space="preserve"> during pregnancy </w:t>
      </w:r>
      <w:r>
        <w:rPr>
          <w:rFonts w:ascii="Arial" w:hAnsi="Arial" w:cs="Arial"/>
        </w:rPr>
        <w:t xml:space="preserve">should </w:t>
      </w:r>
      <w:r w:rsidRPr="00396D06">
        <w:rPr>
          <w:rFonts w:ascii="Arial" w:hAnsi="Arial" w:cs="Arial"/>
        </w:rPr>
        <w:t xml:space="preserve">only </w:t>
      </w:r>
      <w:r>
        <w:rPr>
          <w:rFonts w:ascii="Arial" w:hAnsi="Arial" w:cs="Arial"/>
        </w:rPr>
        <w:t xml:space="preserve">be considered </w:t>
      </w:r>
      <w:r w:rsidRPr="00396D06">
        <w:rPr>
          <w:rFonts w:ascii="Arial" w:hAnsi="Arial" w:cs="Arial"/>
        </w:rPr>
        <w:t xml:space="preserve">if the </w:t>
      </w:r>
      <w:r>
        <w:rPr>
          <w:rFonts w:ascii="Arial" w:hAnsi="Arial" w:cs="Arial"/>
        </w:rPr>
        <w:t xml:space="preserve">expected </w:t>
      </w:r>
      <w:r w:rsidRPr="00396D06">
        <w:rPr>
          <w:rFonts w:ascii="Arial" w:hAnsi="Arial" w:cs="Arial"/>
        </w:rPr>
        <w:t xml:space="preserve">benefit </w:t>
      </w:r>
      <w:r>
        <w:rPr>
          <w:rFonts w:ascii="Arial" w:hAnsi="Arial" w:cs="Arial"/>
        </w:rPr>
        <w:t xml:space="preserve">to the mother is greater than any possible </w:t>
      </w:r>
      <w:r w:rsidRPr="00396D06">
        <w:rPr>
          <w:rFonts w:ascii="Arial" w:hAnsi="Arial" w:cs="Arial"/>
        </w:rPr>
        <w:t xml:space="preserve">risk to the </w:t>
      </w:r>
      <w:r w:rsidR="00837288" w:rsidRPr="004415E5">
        <w:rPr>
          <w:rFonts w:ascii="Arial" w:hAnsi="Arial" w:cs="Arial"/>
        </w:rPr>
        <w:t>foetus</w:t>
      </w:r>
      <w:r w:rsidRPr="004415E5">
        <w:rPr>
          <w:rFonts w:ascii="Arial" w:hAnsi="Arial" w:cs="Arial"/>
        </w:rPr>
        <w:t>.</w:t>
      </w:r>
    </w:p>
    <w:p w14:paraId="78A7360F" w14:textId="1AFF661E" w:rsidR="00A13C6F" w:rsidRPr="007914DA" w:rsidRDefault="00A13C6F" w:rsidP="00866CD3">
      <w:pPr>
        <w:pStyle w:val="C-BodyText"/>
        <w:spacing w:after="0"/>
        <w:rPr>
          <w:rFonts w:ascii="Arial" w:hAnsi="Arial" w:cs="Arial"/>
          <w:sz w:val="22"/>
          <w:szCs w:val="22"/>
        </w:rPr>
      </w:pPr>
      <w:r w:rsidRPr="007914DA">
        <w:rPr>
          <w:rFonts w:ascii="Arial" w:hAnsi="Arial" w:cs="Arial"/>
          <w:sz w:val="22"/>
          <w:szCs w:val="22"/>
        </w:rPr>
        <w:t xml:space="preserve">In pregnant rats there was evidence of significant </w:t>
      </w:r>
      <w:proofErr w:type="spellStart"/>
      <w:r w:rsidRPr="007914DA">
        <w:rPr>
          <w:rFonts w:ascii="Arial" w:hAnsi="Arial" w:cs="Arial"/>
          <w:sz w:val="22"/>
          <w:szCs w:val="22"/>
        </w:rPr>
        <w:t>diapiacental</w:t>
      </w:r>
      <w:proofErr w:type="spellEnd"/>
      <w:r w:rsidRPr="007914DA">
        <w:rPr>
          <w:rFonts w:ascii="Arial" w:hAnsi="Arial" w:cs="Arial"/>
          <w:sz w:val="22"/>
          <w:szCs w:val="22"/>
        </w:rPr>
        <w:t xml:space="preserve"> transfer of the drug to the </w:t>
      </w:r>
      <w:proofErr w:type="spellStart"/>
      <w:r w:rsidRPr="007914DA">
        <w:rPr>
          <w:rFonts w:ascii="Arial" w:hAnsi="Arial" w:cs="Arial"/>
          <w:sz w:val="22"/>
          <w:szCs w:val="22"/>
        </w:rPr>
        <w:t>foetuses</w:t>
      </w:r>
      <w:proofErr w:type="spellEnd"/>
      <w:r w:rsidRPr="007914DA">
        <w:rPr>
          <w:rFonts w:ascii="Arial" w:hAnsi="Arial" w:cs="Arial"/>
          <w:sz w:val="22"/>
          <w:szCs w:val="22"/>
        </w:rPr>
        <w:t xml:space="preserve">. </w:t>
      </w:r>
      <w:proofErr w:type="spellStart"/>
      <w:r w:rsidRPr="007914DA">
        <w:rPr>
          <w:rFonts w:ascii="Arial" w:hAnsi="Arial" w:cs="Arial"/>
          <w:sz w:val="22"/>
          <w:szCs w:val="22"/>
        </w:rPr>
        <w:t>Azelastine</w:t>
      </w:r>
      <w:proofErr w:type="spellEnd"/>
      <w:r w:rsidRPr="007914DA">
        <w:rPr>
          <w:rFonts w:ascii="Arial" w:hAnsi="Arial" w:cs="Arial"/>
          <w:sz w:val="22"/>
          <w:szCs w:val="22"/>
        </w:rPr>
        <w:t xml:space="preserve"> was embryo lethal and teratogenic in mice at oral doses greater than 30 mg/kg/day. In rats, </w:t>
      </w:r>
      <w:proofErr w:type="spellStart"/>
      <w:r w:rsidRPr="007914DA">
        <w:rPr>
          <w:rFonts w:ascii="Arial" w:hAnsi="Arial" w:cs="Arial"/>
          <w:sz w:val="22"/>
          <w:szCs w:val="22"/>
        </w:rPr>
        <w:t>azelastine</w:t>
      </w:r>
      <w:proofErr w:type="spellEnd"/>
      <w:r w:rsidRPr="007914DA">
        <w:rPr>
          <w:rFonts w:ascii="Arial" w:hAnsi="Arial" w:cs="Arial"/>
          <w:sz w:val="22"/>
          <w:szCs w:val="22"/>
        </w:rPr>
        <w:t xml:space="preserve"> was embryo-toxic at oral doses greater than 3 mg/kg/day, and teratogenicity and </w:t>
      </w:r>
      <w:proofErr w:type="spellStart"/>
      <w:r w:rsidRPr="007914DA">
        <w:rPr>
          <w:rFonts w:ascii="Arial" w:hAnsi="Arial" w:cs="Arial"/>
          <w:sz w:val="22"/>
          <w:szCs w:val="22"/>
        </w:rPr>
        <w:t>embryolethality</w:t>
      </w:r>
      <w:proofErr w:type="spellEnd"/>
      <w:r w:rsidRPr="007914DA">
        <w:rPr>
          <w:rFonts w:ascii="Arial" w:hAnsi="Arial" w:cs="Arial"/>
          <w:sz w:val="22"/>
          <w:szCs w:val="22"/>
        </w:rPr>
        <w:t xml:space="preserve"> were seen at doses greater than 30 mg/kg/day. In rabbits, </w:t>
      </w:r>
      <w:proofErr w:type="spellStart"/>
      <w:r w:rsidRPr="007914DA">
        <w:rPr>
          <w:rFonts w:ascii="Arial" w:hAnsi="Arial" w:cs="Arial"/>
          <w:sz w:val="22"/>
          <w:szCs w:val="22"/>
        </w:rPr>
        <w:t>azelastine</w:t>
      </w:r>
      <w:proofErr w:type="spellEnd"/>
      <w:r>
        <w:rPr>
          <w:rFonts w:ascii="Arial" w:hAnsi="Arial" w:cs="Arial"/>
          <w:sz w:val="22"/>
          <w:szCs w:val="22"/>
        </w:rPr>
        <w:t xml:space="preserve"> </w:t>
      </w:r>
      <w:r w:rsidRPr="007914DA">
        <w:rPr>
          <w:rFonts w:ascii="Arial" w:hAnsi="Arial" w:cs="Arial"/>
          <w:sz w:val="22"/>
          <w:szCs w:val="22"/>
        </w:rPr>
        <w:t xml:space="preserve">was teratogenic at oral doses greater than 20 mg/kg/day. In pregnant rats, </w:t>
      </w:r>
      <w:proofErr w:type="spellStart"/>
      <w:r w:rsidRPr="007914DA">
        <w:rPr>
          <w:rFonts w:ascii="Arial" w:hAnsi="Arial" w:cs="Arial"/>
          <w:sz w:val="22"/>
          <w:szCs w:val="22"/>
        </w:rPr>
        <w:t>azelastine</w:t>
      </w:r>
      <w:proofErr w:type="spellEnd"/>
      <w:r w:rsidRPr="007914DA">
        <w:rPr>
          <w:rFonts w:ascii="Arial" w:hAnsi="Arial" w:cs="Arial"/>
          <w:sz w:val="22"/>
          <w:szCs w:val="22"/>
        </w:rPr>
        <w:t xml:space="preserve"> demonstrated no </w:t>
      </w:r>
      <w:proofErr w:type="spellStart"/>
      <w:r w:rsidRPr="007914DA">
        <w:rPr>
          <w:rFonts w:ascii="Arial" w:hAnsi="Arial" w:cs="Arial"/>
          <w:sz w:val="22"/>
          <w:szCs w:val="22"/>
        </w:rPr>
        <w:t>peri</w:t>
      </w:r>
      <w:proofErr w:type="spellEnd"/>
      <w:r w:rsidRPr="007914DA">
        <w:rPr>
          <w:rFonts w:ascii="Arial" w:hAnsi="Arial" w:cs="Arial"/>
          <w:sz w:val="22"/>
          <w:szCs w:val="22"/>
        </w:rPr>
        <w:t>/</w:t>
      </w:r>
      <w:r>
        <w:rPr>
          <w:rFonts w:ascii="Arial" w:hAnsi="Arial" w:cs="Arial"/>
          <w:sz w:val="22"/>
          <w:szCs w:val="22"/>
        </w:rPr>
        <w:t xml:space="preserve"> </w:t>
      </w:r>
      <w:r w:rsidRPr="007914DA">
        <w:rPr>
          <w:rFonts w:ascii="Arial" w:hAnsi="Arial" w:cs="Arial"/>
          <w:sz w:val="22"/>
          <w:szCs w:val="22"/>
        </w:rPr>
        <w:t>postnatal toxicity at oral doses up to 30 mg/kg/day.</w:t>
      </w:r>
    </w:p>
    <w:p w14:paraId="41D1CA2C" w14:textId="77777777" w:rsidR="00AF11DA" w:rsidRDefault="00AF11DA" w:rsidP="00866CD3">
      <w:pPr>
        <w:pStyle w:val="C-BodyText"/>
        <w:spacing w:before="0" w:after="0" w:line="276" w:lineRule="auto"/>
        <w:rPr>
          <w:rFonts w:ascii="Arial" w:hAnsi="Arial" w:cs="Arial"/>
          <w:sz w:val="22"/>
          <w:szCs w:val="22"/>
        </w:rPr>
      </w:pPr>
    </w:p>
    <w:p w14:paraId="2845C30B" w14:textId="77777777" w:rsidR="00A13C6F" w:rsidRDefault="00A13C6F" w:rsidP="00866CD3">
      <w:pPr>
        <w:pStyle w:val="C-BodyText"/>
        <w:spacing w:before="0" w:after="0" w:line="276" w:lineRule="auto"/>
        <w:rPr>
          <w:rFonts w:ascii="Arial" w:hAnsi="Arial" w:cs="Arial"/>
          <w:sz w:val="22"/>
          <w:szCs w:val="22"/>
        </w:rPr>
      </w:pPr>
      <w:r w:rsidRPr="007914DA">
        <w:rPr>
          <w:rFonts w:ascii="Arial" w:hAnsi="Arial" w:cs="Arial"/>
          <w:sz w:val="22"/>
          <w:szCs w:val="22"/>
        </w:rPr>
        <w:t xml:space="preserve">In rats, the no effect doses resulted in plasma levels which were at least about 25 times above the plasma levels at the recommended therapeutic intranasal dose in humans. (The calculation of the safety factor is based on plasma levels derived from oral </w:t>
      </w:r>
      <w:proofErr w:type="spellStart"/>
      <w:r w:rsidRPr="007914DA">
        <w:rPr>
          <w:rFonts w:ascii="Arial" w:hAnsi="Arial" w:cs="Arial"/>
          <w:sz w:val="22"/>
          <w:szCs w:val="22"/>
        </w:rPr>
        <w:t>subchronic</w:t>
      </w:r>
      <w:proofErr w:type="spellEnd"/>
      <w:r w:rsidRPr="007914DA">
        <w:rPr>
          <w:rFonts w:ascii="Arial" w:hAnsi="Arial" w:cs="Arial"/>
          <w:sz w:val="22"/>
          <w:szCs w:val="22"/>
        </w:rPr>
        <w:t xml:space="preserve"> toxicity studies).</w:t>
      </w:r>
    </w:p>
    <w:p w14:paraId="1758344C" w14:textId="77777777" w:rsidR="00A13C6F" w:rsidRDefault="00A13C6F" w:rsidP="00866CD3">
      <w:pPr>
        <w:pStyle w:val="C-BodyText"/>
        <w:spacing w:before="0" w:after="0" w:line="276" w:lineRule="auto"/>
        <w:rPr>
          <w:rFonts w:ascii="Arial" w:hAnsi="Arial" w:cs="Arial"/>
          <w:sz w:val="22"/>
          <w:szCs w:val="22"/>
        </w:rPr>
      </w:pPr>
    </w:p>
    <w:p w14:paraId="2DDAFD09" w14:textId="77777777" w:rsidR="00A13C6F" w:rsidRDefault="00A13C6F" w:rsidP="00866CD3">
      <w:pPr>
        <w:pStyle w:val="C-BodyText"/>
        <w:spacing w:before="0" w:after="0" w:line="276" w:lineRule="auto"/>
        <w:rPr>
          <w:rFonts w:ascii="Arial" w:hAnsi="Arial" w:cs="Arial"/>
          <w:sz w:val="22"/>
          <w:szCs w:val="22"/>
        </w:rPr>
      </w:pPr>
      <w:r w:rsidRPr="00D970A1">
        <w:rPr>
          <w:rFonts w:ascii="Arial" w:hAnsi="Arial" w:cs="Arial"/>
          <w:sz w:val="22"/>
          <w:szCs w:val="22"/>
        </w:rPr>
        <w:t xml:space="preserve">Reproductive toxicity studies with fluticasone propionate in mice and rats have shown the expected </w:t>
      </w:r>
      <w:proofErr w:type="spellStart"/>
      <w:r w:rsidRPr="00D970A1">
        <w:rPr>
          <w:rFonts w:ascii="Arial" w:hAnsi="Arial" w:cs="Arial"/>
          <w:sz w:val="22"/>
          <w:szCs w:val="22"/>
        </w:rPr>
        <w:t>foetotoxic</w:t>
      </w:r>
      <w:proofErr w:type="spellEnd"/>
      <w:r w:rsidRPr="00D970A1">
        <w:rPr>
          <w:rFonts w:ascii="Arial" w:hAnsi="Arial" w:cs="Arial"/>
          <w:sz w:val="22"/>
          <w:szCs w:val="22"/>
        </w:rPr>
        <w:t xml:space="preserve"> and teratogenic effects at subcutaneous doses of 100 to 150 </w:t>
      </w:r>
      <w:proofErr w:type="spellStart"/>
      <w:r w:rsidRPr="00D970A1">
        <w:rPr>
          <w:rFonts w:ascii="Arial" w:hAnsi="Arial" w:cs="Arial"/>
          <w:sz w:val="22"/>
          <w:szCs w:val="22"/>
        </w:rPr>
        <w:t>μg</w:t>
      </w:r>
      <w:proofErr w:type="spellEnd"/>
      <w:r w:rsidRPr="00D970A1">
        <w:rPr>
          <w:rFonts w:ascii="Arial" w:hAnsi="Arial" w:cs="Arial"/>
          <w:sz w:val="22"/>
          <w:szCs w:val="22"/>
        </w:rPr>
        <w:t xml:space="preserve"> /kg/day and above. As with previous compounds of this class, these effects are unlikely to be relevant to human therapy.</w:t>
      </w:r>
    </w:p>
    <w:p w14:paraId="78B3B04D" w14:textId="77777777" w:rsidR="00AF11DA" w:rsidRDefault="00AF11DA" w:rsidP="00866CD3">
      <w:pPr>
        <w:spacing w:after="0"/>
        <w:rPr>
          <w:rFonts w:ascii="Arial" w:hAnsi="Arial" w:cs="Arial"/>
          <w:b/>
          <w:bCs/>
          <w:sz w:val="24"/>
          <w:szCs w:val="24"/>
        </w:rPr>
      </w:pPr>
    </w:p>
    <w:p w14:paraId="207F784E" w14:textId="77777777" w:rsidR="00A13C6F" w:rsidRDefault="00A13C6F" w:rsidP="00866CD3">
      <w:pPr>
        <w:spacing w:after="0"/>
        <w:rPr>
          <w:rFonts w:ascii="Arial" w:hAnsi="Arial" w:cs="Arial"/>
          <w:b/>
          <w:bCs/>
          <w:sz w:val="24"/>
          <w:szCs w:val="24"/>
        </w:rPr>
      </w:pPr>
      <w:r>
        <w:rPr>
          <w:rFonts w:ascii="Arial" w:hAnsi="Arial" w:cs="Arial"/>
          <w:b/>
          <w:bCs/>
          <w:sz w:val="24"/>
          <w:szCs w:val="24"/>
        </w:rPr>
        <w:t>Use in Lactation</w:t>
      </w:r>
    </w:p>
    <w:p w14:paraId="55370567" w14:textId="642BBB4E" w:rsidR="00A13C6F" w:rsidRPr="000C3D8B" w:rsidRDefault="00086D89" w:rsidP="00866CD3">
      <w:pPr>
        <w:pStyle w:val="C-BodyText"/>
        <w:spacing w:before="0" w:after="0" w:line="276" w:lineRule="auto"/>
        <w:rPr>
          <w:rFonts w:ascii="Arial" w:hAnsi="Arial" w:cs="Arial"/>
          <w:sz w:val="22"/>
          <w:szCs w:val="22"/>
        </w:rPr>
      </w:pPr>
      <w:r>
        <w:rPr>
          <w:rFonts w:ascii="Arial" w:hAnsi="Arial" w:cs="Arial"/>
          <w:sz w:val="22"/>
          <w:szCs w:val="22"/>
        </w:rPr>
        <w:t>It is not known whether DYLASTINE</w:t>
      </w:r>
      <w:r w:rsidR="00FD4410">
        <w:rPr>
          <w:rFonts w:ascii="Arial" w:hAnsi="Arial" w:cs="Arial"/>
          <w:sz w:val="22"/>
          <w:szCs w:val="22"/>
        </w:rPr>
        <w:t> </w:t>
      </w:r>
      <w:r w:rsidR="00FB7661">
        <w:rPr>
          <w:rFonts w:ascii="Arial" w:hAnsi="Arial" w:cs="Arial"/>
          <w:sz w:val="22"/>
          <w:szCs w:val="22"/>
        </w:rPr>
        <w:t>125/50</w:t>
      </w:r>
      <w:r w:rsidR="00A13C6F" w:rsidRPr="000C3D8B">
        <w:rPr>
          <w:rFonts w:ascii="Arial" w:hAnsi="Arial" w:cs="Arial"/>
          <w:sz w:val="22"/>
          <w:szCs w:val="22"/>
        </w:rPr>
        <w:t xml:space="preserve"> is excreted in human breast milk. Because many drugs are excreted in human milk, caution </w:t>
      </w:r>
      <w:r>
        <w:rPr>
          <w:rFonts w:ascii="Arial" w:hAnsi="Arial" w:cs="Arial"/>
          <w:sz w:val="22"/>
          <w:szCs w:val="22"/>
        </w:rPr>
        <w:t>should be exercised when DYLASTINE</w:t>
      </w:r>
      <w:r w:rsidR="00FD4410">
        <w:rPr>
          <w:rFonts w:ascii="Arial" w:hAnsi="Arial" w:cs="Arial"/>
          <w:sz w:val="22"/>
          <w:szCs w:val="22"/>
        </w:rPr>
        <w:t> </w:t>
      </w:r>
      <w:r w:rsidR="00FB7661">
        <w:rPr>
          <w:rFonts w:ascii="Arial" w:hAnsi="Arial" w:cs="Arial"/>
          <w:sz w:val="22"/>
          <w:szCs w:val="22"/>
        </w:rPr>
        <w:t>125/50</w:t>
      </w:r>
      <w:r w:rsidR="00A13C6F" w:rsidRPr="000C3D8B">
        <w:rPr>
          <w:rFonts w:ascii="Arial" w:hAnsi="Arial" w:cs="Arial"/>
          <w:sz w:val="22"/>
          <w:szCs w:val="22"/>
        </w:rPr>
        <w:t xml:space="preserve"> is administered to a nursing woman. Since there are no data from well-controlled human studies on the use of </w:t>
      </w:r>
      <w:r>
        <w:rPr>
          <w:rFonts w:ascii="Arial" w:hAnsi="Arial" w:cs="Arial"/>
          <w:sz w:val="22"/>
          <w:szCs w:val="22"/>
        </w:rPr>
        <w:t>DYLASTINE</w:t>
      </w:r>
      <w:r w:rsidR="00FD4410">
        <w:rPr>
          <w:rFonts w:ascii="Arial" w:hAnsi="Arial" w:cs="Arial"/>
          <w:sz w:val="22"/>
          <w:szCs w:val="22"/>
        </w:rPr>
        <w:t> </w:t>
      </w:r>
      <w:r w:rsidR="00FB7661">
        <w:rPr>
          <w:rFonts w:ascii="Arial" w:hAnsi="Arial" w:cs="Arial"/>
          <w:sz w:val="22"/>
          <w:szCs w:val="22"/>
        </w:rPr>
        <w:t xml:space="preserve">125/50 </w:t>
      </w:r>
      <w:r w:rsidR="00A13C6F" w:rsidRPr="000C3D8B">
        <w:rPr>
          <w:rFonts w:ascii="Arial" w:hAnsi="Arial" w:cs="Arial"/>
          <w:sz w:val="22"/>
          <w:szCs w:val="22"/>
        </w:rPr>
        <w:t>by nursing mothers, based on data from the individual components, a decision should be made whether to discontinue n</w:t>
      </w:r>
      <w:r>
        <w:rPr>
          <w:rFonts w:ascii="Arial" w:hAnsi="Arial" w:cs="Arial"/>
          <w:sz w:val="22"/>
          <w:szCs w:val="22"/>
        </w:rPr>
        <w:t>ursing or to discontinue DYLASTINE</w:t>
      </w:r>
      <w:r w:rsidR="00FD4410">
        <w:rPr>
          <w:rFonts w:ascii="Arial" w:hAnsi="Arial" w:cs="Arial"/>
          <w:sz w:val="22"/>
          <w:szCs w:val="22"/>
        </w:rPr>
        <w:t> </w:t>
      </w:r>
      <w:r w:rsidR="00FB7661">
        <w:rPr>
          <w:rFonts w:ascii="Arial" w:hAnsi="Arial" w:cs="Arial"/>
          <w:sz w:val="22"/>
          <w:szCs w:val="22"/>
        </w:rPr>
        <w:t>125/50</w:t>
      </w:r>
      <w:r w:rsidR="00A13C6F" w:rsidRPr="000C3D8B">
        <w:rPr>
          <w:rFonts w:ascii="Arial" w:hAnsi="Arial" w:cs="Arial"/>
          <w:sz w:val="22"/>
          <w:szCs w:val="22"/>
        </w:rPr>
        <w:t>, taking into a</w:t>
      </w:r>
      <w:r w:rsidR="00F535C9">
        <w:rPr>
          <w:rFonts w:ascii="Arial" w:hAnsi="Arial" w:cs="Arial"/>
          <w:sz w:val="22"/>
          <w:szCs w:val="22"/>
        </w:rPr>
        <w:t>ccount the importance of DYLASTINE</w:t>
      </w:r>
      <w:r w:rsidR="00FD4410">
        <w:rPr>
          <w:rFonts w:ascii="Arial" w:hAnsi="Arial" w:cs="Arial"/>
          <w:sz w:val="22"/>
          <w:szCs w:val="22"/>
        </w:rPr>
        <w:t> </w:t>
      </w:r>
      <w:r w:rsidR="00FB7661">
        <w:rPr>
          <w:rFonts w:ascii="Arial" w:hAnsi="Arial" w:cs="Arial"/>
          <w:sz w:val="22"/>
          <w:szCs w:val="22"/>
        </w:rPr>
        <w:t>125/50</w:t>
      </w:r>
      <w:r w:rsidR="00A13C6F" w:rsidRPr="000C3D8B">
        <w:rPr>
          <w:rFonts w:ascii="Arial" w:hAnsi="Arial" w:cs="Arial"/>
          <w:sz w:val="22"/>
          <w:szCs w:val="22"/>
        </w:rPr>
        <w:t xml:space="preserve"> to the mother. </w:t>
      </w:r>
      <w:r w:rsidR="00AA1F57">
        <w:rPr>
          <w:rFonts w:ascii="Arial" w:hAnsi="Arial" w:cs="Arial"/>
          <w:sz w:val="22"/>
          <w:szCs w:val="22"/>
        </w:rPr>
        <w:t xml:space="preserve"> No studies in lactating animals have been conducted with </w:t>
      </w:r>
      <w:r w:rsidR="007A648F">
        <w:rPr>
          <w:rFonts w:ascii="Arial" w:hAnsi="Arial" w:cs="Arial"/>
          <w:sz w:val="22"/>
          <w:szCs w:val="22"/>
        </w:rPr>
        <w:t xml:space="preserve">the combination </w:t>
      </w:r>
      <w:proofErr w:type="spellStart"/>
      <w:r w:rsidR="00C064E9">
        <w:rPr>
          <w:rFonts w:ascii="Arial" w:hAnsi="Arial" w:cs="Arial"/>
          <w:sz w:val="22"/>
          <w:szCs w:val="22"/>
        </w:rPr>
        <w:t>a</w:t>
      </w:r>
      <w:r w:rsidR="007A648F">
        <w:rPr>
          <w:rFonts w:ascii="Arial" w:hAnsi="Arial" w:cs="Arial"/>
          <w:sz w:val="22"/>
          <w:szCs w:val="22"/>
        </w:rPr>
        <w:t>zelastine</w:t>
      </w:r>
      <w:proofErr w:type="spellEnd"/>
      <w:r w:rsidR="007A648F">
        <w:rPr>
          <w:rFonts w:ascii="Arial" w:hAnsi="Arial" w:cs="Arial"/>
          <w:sz w:val="22"/>
          <w:szCs w:val="22"/>
        </w:rPr>
        <w:t>/fluticasone</w:t>
      </w:r>
      <w:r w:rsidR="00AA1F57">
        <w:rPr>
          <w:rFonts w:ascii="Arial" w:hAnsi="Arial" w:cs="Arial"/>
          <w:sz w:val="22"/>
          <w:szCs w:val="22"/>
        </w:rPr>
        <w:t>.</w:t>
      </w:r>
    </w:p>
    <w:p w14:paraId="3AD71BAE" w14:textId="77777777" w:rsidR="00A13C6F" w:rsidRDefault="00A13C6F" w:rsidP="00866CD3">
      <w:pPr>
        <w:pStyle w:val="C-BodyText"/>
        <w:spacing w:before="0" w:after="0" w:line="276" w:lineRule="auto"/>
        <w:rPr>
          <w:rFonts w:ascii="Arial" w:hAnsi="Arial" w:cs="Arial"/>
          <w:sz w:val="22"/>
          <w:szCs w:val="22"/>
        </w:rPr>
      </w:pPr>
    </w:p>
    <w:p w14:paraId="694DC530" w14:textId="52FD531B" w:rsidR="00A13C6F" w:rsidRPr="000C3D8B" w:rsidRDefault="00A13C6F" w:rsidP="00866CD3">
      <w:pPr>
        <w:pStyle w:val="C-BodyText"/>
        <w:spacing w:before="0" w:after="0" w:line="276" w:lineRule="auto"/>
        <w:rPr>
          <w:rFonts w:ascii="Arial" w:hAnsi="Arial" w:cs="Arial"/>
          <w:sz w:val="22"/>
          <w:szCs w:val="22"/>
        </w:rPr>
      </w:pPr>
      <w:r w:rsidRPr="000C3D8B">
        <w:rPr>
          <w:rFonts w:ascii="Arial" w:hAnsi="Arial" w:cs="Arial"/>
          <w:sz w:val="22"/>
          <w:szCs w:val="22"/>
        </w:rPr>
        <w:lastRenderedPageBreak/>
        <w:t xml:space="preserve">It is not known if </w:t>
      </w:r>
      <w:proofErr w:type="spellStart"/>
      <w:r w:rsidRPr="000C3D8B">
        <w:rPr>
          <w:rFonts w:ascii="Arial" w:hAnsi="Arial" w:cs="Arial"/>
          <w:sz w:val="22"/>
          <w:szCs w:val="22"/>
        </w:rPr>
        <w:t>azelastine</w:t>
      </w:r>
      <w:proofErr w:type="spellEnd"/>
      <w:r w:rsidRPr="000C3D8B">
        <w:rPr>
          <w:rFonts w:ascii="Arial" w:hAnsi="Arial" w:cs="Arial"/>
          <w:sz w:val="22"/>
          <w:szCs w:val="22"/>
        </w:rPr>
        <w:t xml:space="preserve"> is excreted in human milk. </w:t>
      </w:r>
    </w:p>
    <w:p w14:paraId="6792C09D" w14:textId="77777777" w:rsidR="00A13C6F" w:rsidRDefault="00A13C6F" w:rsidP="00866CD3">
      <w:pPr>
        <w:pStyle w:val="C-BodyText"/>
        <w:spacing w:before="0" w:after="0" w:line="276" w:lineRule="auto"/>
        <w:rPr>
          <w:rFonts w:ascii="Arial" w:hAnsi="Arial" w:cs="Arial"/>
          <w:sz w:val="22"/>
          <w:szCs w:val="22"/>
        </w:rPr>
      </w:pPr>
    </w:p>
    <w:p w14:paraId="03F442BF" w14:textId="77777777" w:rsidR="00A13C6F" w:rsidRDefault="00A13C6F" w:rsidP="00866CD3">
      <w:pPr>
        <w:spacing w:after="0"/>
        <w:rPr>
          <w:rFonts w:ascii="Arial" w:hAnsi="Arial" w:cs="Arial"/>
        </w:rPr>
      </w:pPr>
      <w:r w:rsidRPr="00BB0B6D">
        <w:rPr>
          <w:rFonts w:ascii="Arial" w:hAnsi="Arial" w:cs="Arial"/>
        </w:rPr>
        <w:t xml:space="preserve">The excretion of fluticasone propionate into human breast milk has not been investigated. Subcutaneous administration of </w:t>
      </w:r>
      <w:proofErr w:type="spellStart"/>
      <w:r w:rsidRPr="00BB0B6D">
        <w:rPr>
          <w:rFonts w:ascii="Arial" w:hAnsi="Arial" w:cs="Arial"/>
        </w:rPr>
        <w:t>tritiated</w:t>
      </w:r>
      <w:proofErr w:type="spellEnd"/>
      <w:r w:rsidRPr="00BB0B6D">
        <w:rPr>
          <w:rFonts w:ascii="Arial" w:hAnsi="Arial" w:cs="Arial"/>
        </w:rPr>
        <w:t xml:space="preserve"> drug to lactating rats resulted in measurable radioactivity in both plasma and milk (levels in milk were 3-7 times plasma levels) 1-8 hours post-dosing. However plasma levels in patients following intranasal application of fluticasone propionate at recommended doses are low and the amount of fluticasone ingested by the newborn is estimated to be very small as a consequence of very low maternal plasma concentration.</w:t>
      </w:r>
    </w:p>
    <w:p w14:paraId="4CB14897" w14:textId="77777777" w:rsidR="00A13C6F" w:rsidRDefault="00A13C6F" w:rsidP="00866CD3">
      <w:pPr>
        <w:spacing w:after="0"/>
        <w:rPr>
          <w:rFonts w:ascii="Arial" w:hAnsi="Arial" w:cs="Arial"/>
          <w:b/>
          <w:bCs/>
          <w:sz w:val="24"/>
          <w:szCs w:val="24"/>
        </w:rPr>
      </w:pPr>
    </w:p>
    <w:p w14:paraId="483AB354" w14:textId="77777777" w:rsidR="00A13C6F" w:rsidRDefault="00A13C6F" w:rsidP="00866CD3">
      <w:pPr>
        <w:spacing w:after="0"/>
        <w:rPr>
          <w:rFonts w:ascii="Arial" w:hAnsi="Arial" w:cs="Arial"/>
          <w:b/>
          <w:bCs/>
          <w:sz w:val="24"/>
          <w:szCs w:val="24"/>
        </w:rPr>
      </w:pPr>
      <w:r>
        <w:rPr>
          <w:rFonts w:ascii="Arial" w:hAnsi="Arial" w:cs="Arial"/>
          <w:b/>
          <w:bCs/>
          <w:sz w:val="24"/>
          <w:szCs w:val="24"/>
        </w:rPr>
        <w:t>Use in Children and Adolescents</w:t>
      </w:r>
    </w:p>
    <w:p w14:paraId="0EFE7BA1" w14:textId="0FAFD90D" w:rsidR="00A13C6F" w:rsidRPr="002F7C92" w:rsidRDefault="00A13C6F" w:rsidP="00866CD3">
      <w:pPr>
        <w:pStyle w:val="C-BodyText"/>
        <w:spacing w:before="0" w:after="0" w:line="276" w:lineRule="auto"/>
        <w:rPr>
          <w:rFonts w:ascii="Arial" w:hAnsi="Arial" w:cs="Arial"/>
          <w:sz w:val="22"/>
          <w:szCs w:val="22"/>
        </w:rPr>
      </w:pPr>
      <w:r w:rsidRPr="002F7C92">
        <w:rPr>
          <w:rFonts w:ascii="Arial" w:hAnsi="Arial" w:cs="Arial"/>
          <w:sz w:val="22"/>
          <w:szCs w:val="22"/>
        </w:rPr>
        <w:t xml:space="preserve">Safety and effectiveness of </w:t>
      </w:r>
      <w:r w:rsidR="00F535C9">
        <w:rPr>
          <w:rFonts w:ascii="Arial" w:hAnsi="Arial" w:cs="Arial"/>
          <w:sz w:val="22"/>
          <w:szCs w:val="22"/>
        </w:rPr>
        <w:t>DYLASTINE</w:t>
      </w:r>
      <w:r w:rsidR="00FD4410">
        <w:rPr>
          <w:rFonts w:ascii="Arial" w:hAnsi="Arial" w:cs="Arial"/>
          <w:sz w:val="22"/>
          <w:szCs w:val="22"/>
        </w:rPr>
        <w:t> </w:t>
      </w:r>
      <w:r w:rsidR="00FB7661">
        <w:rPr>
          <w:rFonts w:ascii="Arial" w:hAnsi="Arial" w:cs="Arial"/>
          <w:sz w:val="22"/>
          <w:szCs w:val="22"/>
        </w:rPr>
        <w:t>125/50</w:t>
      </w:r>
      <w:r w:rsidRPr="002F7C92">
        <w:rPr>
          <w:rFonts w:ascii="Arial" w:hAnsi="Arial" w:cs="Arial"/>
          <w:sz w:val="22"/>
          <w:szCs w:val="22"/>
        </w:rPr>
        <w:t xml:space="preserve"> in pediatric patients below the age of 12 years have not been established</w:t>
      </w:r>
      <w:r>
        <w:rPr>
          <w:rFonts w:ascii="Arial" w:hAnsi="Arial" w:cs="Arial"/>
          <w:sz w:val="22"/>
          <w:szCs w:val="22"/>
        </w:rPr>
        <w:t>.</w:t>
      </w:r>
    </w:p>
    <w:p w14:paraId="53D9885C" w14:textId="77777777" w:rsidR="00A13C6F" w:rsidRDefault="00A13C6F" w:rsidP="00866CD3">
      <w:pPr>
        <w:pStyle w:val="C-BodyText"/>
        <w:spacing w:before="0" w:after="0" w:line="276" w:lineRule="auto"/>
        <w:rPr>
          <w:rFonts w:ascii="Arial" w:hAnsi="Arial" w:cs="Arial"/>
          <w:sz w:val="22"/>
          <w:szCs w:val="22"/>
        </w:rPr>
      </w:pPr>
    </w:p>
    <w:p w14:paraId="5B510617" w14:textId="77777777" w:rsidR="00A13C6F" w:rsidRPr="002F7C92" w:rsidRDefault="00A13C6F" w:rsidP="00866CD3">
      <w:pPr>
        <w:pStyle w:val="C-BodyText"/>
        <w:spacing w:before="0" w:after="0" w:line="276" w:lineRule="auto"/>
        <w:rPr>
          <w:rFonts w:ascii="Arial" w:hAnsi="Arial" w:cs="Arial"/>
          <w:sz w:val="22"/>
          <w:szCs w:val="22"/>
        </w:rPr>
      </w:pPr>
      <w:r>
        <w:rPr>
          <w:rFonts w:ascii="Arial" w:hAnsi="Arial" w:cs="Arial"/>
          <w:sz w:val="22"/>
          <w:szCs w:val="22"/>
        </w:rPr>
        <w:t>R</w:t>
      </w:r>
      <w:r w:rsidRPr="00ED6929">
        <w:rPr>
          <w:rFonts w:ascii="Arial" w:hAnsi="Arial" w:cs="Arial"/>
          <w:sz w:val="22"/>
          <w:szCs w:val="22"/>
        </w:rPr>
        <w:t>etardation of growth rate in children may occur with intranasal steroids, particularly at high doses prescribe</w:t>
      </w:r>
      <w:r w:rsidR="00E218A1">
        <w:rPr>
          <w:rFonts w:ascii="Arial" w:hAnsi="Arial" w:cs="Arial"/>
          <w:sz w:val="22"/>
          <w:szCs w:val="22"/>
        </w:rPr>
        <w:t>d for prolonged periods of time</w:t>
      </w:r>
      <w:r w:rsidRPr="002F7C92" w:rsidDel="00BB0B6D">
        <w:rPr>
          <w:rFonts w:ascii="Arial" w:hAnsi="Arial" w:cs="Arial"/>
          <w:sz w:val="22"/>
          <w:szCs w:val="22"/>
        </w:rPr>
        <w:t xml:space="preserve"> </w:t>
      </w:r>
      <w:r>
        <w:rPr>
          <w:rFonts w:ascii="Arial" w:hAnsi="Arial" w:cs="Arial"/>
          <w:sz w:val="22"/>
          <w:szCs w:val="22"/>
        </w:rPr>
        <w:t xml:space="preserve">(see </w:t>
      </w:r>
      <w:r w:rsidRPr="0066034A">
        <w:rPr>
          <w:rFonts w:ascii="Arial" w:hAnsi="Arial" w:cs="Arial"/>
          <w:b/>
          <w:bCs/>
          <w:sz w:val="22"/>
          <w:szCs w:val="22"/>
        </w:rPr>
        <w:t>PRECAUTIONS</w:t>
      </w:r>
      <w:r>
        <w:rPr>
          <w:rFonts w:ascii="Arial" w:hAnsi="Arial" w:cs="Arial"/>
          <w:sz w:val="22"/>
          <w:szCs w:val="22"/>
        </w:rPr>
        <w:t xml:space="preserve"> – </w:t>
      </w:r>
      <w:r w:rsidRPr="0066034A">
        <w:rPr>
          <w:rFonts w:ascii="Arial" w:hAnsi="Arial" w:cs="Arial"/>
          <w:b/>
          <w:bCs/>
          <w:sz w:val="22"/>
          <w:szCs w:val="22"/>
        </w:rPr>
        <w:t>Effect on Growth</w:t>
      </w:r>
      <w:r w:rsidR="00E218A1" w:rsidRPr="00E218A1">
        <w:rPr>
          <w:rFonts w:ascii="Arial" w:hAnsi="Arial" w:cs="Arial"/>
          <w:bCs/>
          <w:sz w:val="22"/>
          <w:szCs w:val="22"/>
        </w:rPr>
        <w:t>)</w:t>
      </w:r>
      <w:r w:rsidR="00E218A1">
        <w:rPr>
          <w:rFonts w:ascii="Arial" w:hAnsi="Arial" w:cs="Arial"/>
          <w:bCs/>
          <w:sz w:val="22"/>
          <w:szCs w:val="22"/>
        </w:rPr>
        <w:t>.</w:t>
      </w:r>
      <w:r w:rsidRPr="002F7C92">
        <w:rPr>
          <w:rFonts w:ascii="Arial" w:hAnsi="Arial" w:cs="Arial"/>
          <w:sz w:val="22"/>
          <w:szCs w:val="22"/>
        </w:rPr>
        <w:t xml:space="preserve"> </w:t>
      </w:r>
    </w:p>
    <w:p w14:paraId="4E6383EF" w14:textId="77777777" w:rsidR="00A13C6F" w:rsidRPr="00B12042" w:rsidRDefault="00A13C6F" w:rsidP="00866CD3">
      <w:pPr>
        <w:spacing w:after="0"/>
        <w:rPr>
          <w:rFonts w:ascii="Arial" w:hAnsi="Arial" w:cs="Arial"/>
          <w:b/>
          <w:bCs/>
          <w:sz w:val="24"/>
          <w:szCs w:val="24"/>
          <w:lang w:val="en-US"/>
        </w:rPr>
      </w:pPr>
    </w:p>
    <w:p w14:paraId="5AC95106" w14:textId="77777777" w:rsidR="00A13C6F" w:rsidRDefault="00A13C6F" w:rsidP="00866CD3">
      <w:pPr>
        <w:spacing w:after="0"/>
        <w:rPr>
          <w:rFonts w:ascii="Arial" w:hAnsi="Arial" w:cs="Arial"/>
          <w:b/>
          <w:bCs/>
          <w:sz w:val="24"/>
          <w:szCs w:val="24"/>
        </w:rPr>
      </w:pPr>
      <w:r>
        <w:rPr>
          <w:rFonts w:ascii="Arial" w:hAnsi="Arial" w:cs="Arial"/>
          <w:b/>
          <w:bCs/>
          <w:sz w:val="24"/>
          <w:szCs w:val="24"/>
        </w:rPr>
        <w:t>Use in the Elderly</w:t>
      </w:r>
    </w:p>
    <w:p w14:paraId="78362DEA" w14:textId="77777777" w:rsidR="00A13C6F" w:rsidRPr="002F7C92" w:rsidRDefault="00E218A1" w:rsidP="00866CD3">
      <w:pPr>
        <w:pStyle w:val="C-BodyText"/>
        <w:spacing w:before="0" w:after="0" w:line="276" w:lineRule="auto"/>
        <w:rPr>
          <w:rFonts w:ascii="Arial" w:hAnsi="Arial" w:cs="Arial"/>
          <w:sz w:val="22"/>
          <w:szCs w:val="22"/>
        </w:rPr>
      </w:pPr>
      <w:r>
        <w:rPr>
          <w:rFonts w:ascii="Arial" w:hAnsi="Arial" w:cs="Arial"/>
          <w:sz w:val="22"/>
          <w:szCs w:val="22"/>
        </w:rPr>
        <w:t>(</w:t>
      </w:r>
      <w:r w:rsidR="00A13C6F">
        <w:rPr>
          <w:rFonts w:ascii="Arial" w:hAnsi="Arial" w:cs="Arial"/>
          <w:sz w:val="22"/>
          <w:szCs w:val="22"/>
        </w:rPr>
        <w:t xml:space="preserve">See </w:t>
      </w:r>
      <w:r w:rsidR="00A13C6F" w:rsidRPr="008C4949">
        <w:rPr>
          <w:rFonts w:ascii="Arial" w:hAnsi="Arial" w:cs="Arial"/>
          <w:b/>
          <w:bCs/>
          <w:sz w:val="22"/>
          <w:szCs w:val="22"/>
        </w:rPr>
        <w:t>Pharmacokinetics</w:t>
      </w:r>
      <w:r w:rsidR="00A13C6F">
        <w:rPr>
          <w:rFonts w:ascii="Arial" w:hAnsi="Arial" w:cs="Arial"/>
          <w:sz w:val="22"/>
          <w:szCs w:val="22"/>
        </w:rPr>
        <w:t xml:space="preserve"> under</w:t>
      </w:r>
      <w:r>
        <w:rPr>
          <w:rFonts w:ascii="Arial" w:hAnsi="Arial" w:cs="Arial"/>
          <w:sz w:val="22"/>
          <w:szCs w:val="22"/>
        </w:rPr>
        <w:t xml:space="preserve"> Special Populations – Age)</w:t>
      </w:r>
    </w:p>
    <w:p w14:paraId="518C68F0" w14:textId="77777777" w:rsidR="00A13C6F" w:rsidRDefault="00A13C6F" w:rsidP="00866CD3">
      <w:pPr>
        <w:spacing w:after="0"/>
        <w:rPr>
          <w:rFonts w:ascii="Arial" w:hAnsi="Arial" w:cs="Arial"/>
          <w:b/>
          <w:bCs/>
          <w:sz w:val="24"/>
          <w:szCs w:val="24"/>
        </w:rPr>
      </w:pPr>
    </w:p>
    <w:p w14:paraId="12A28DA4" w14:textId="77777777" w:rsidR="00A13C6F" w:rsidRDefault="00A13C6F" w:rsidP="00866CD3">
      <w:pPr>
        <w:spacing w:after="0"/>
        <w:rPr>
          <w:rFonts w:ascii="Arial" w:hAnsi="Arial" w:cs="Arial"/>
          <w:b/>
          <w:bCs/>
          <w:sz w:val="24"/>
          <w:szCs w:val="24"/>
        </w:rPr>
      </w:pPr>
      <w:r>
        <w:rPr>
          <w:rFonts w:ascii="Arial" w:hAnsi="Arial" w:cs="Arial"/>
          <w:b/>
          <w:bCs/>
          <w:sz w:val="24"/>
          <w:szCs w:val="24"/>
        </w:rPr>
        <w:t>Carcinogenicity</w:t>
      </w:r>
    </w:p>
    <w:p w14:paraId="012086E0" w14:textId="5B6A1437" w:rsidR="00A13C6F" w:rsidRPr="008817C5" w:rsidRDefault="00A13C6F" w:rsidP="00866CD3">
      <w:pPr>
        <w:spacing w:after="0"/>
        <w:rPr>
          <w:rFonts w:ascii="Arial" w:hAnsi="Arial" w:cs="Arial"/>
        </w:rPr>
      </w:pPr>
      <w:r w:rsidRPr="008817C5">
        <w:rPr>
          <w:rFonts w:ascii="Arial" w:hAnsi="Arial" w:cs="Arial"/>
        </w:rPr>
        <w:t>No studies of carcinogeni</w:t>
      </w:r>
      <w:r w:rsidR="00F535C9">
        <w:rPr>
          <w:rFonts w:ascii="Arial" w:hAnsi="Arial" w:cs="Arial"/>
        </w:rPr>
        <w:t>city were conducted with DYLASTINE</w:t>
      </w:r>
      <w:r w:rsidR="00FD4410">
        <w:rPr>
          <w:rFonts w:ascii="Arial" w:hAnsi="Arial" w:cs="Arial"/>
        </w:rPr>
        <w:t> </w:t>
      </w:r>
      <w:r w:rsidR="00FB7661">
        <w:rPr>
          <w:rFonts w:ascii="Arial" w:hAnsi="Arial" w:cs="Arial"/>
        </w:rPr>
        <w:t>125/50</w:t>
      </w:r>
      <w:r w:rsidRPr="008817C5">
        <w:rPr>
          <w:rFonts w:ascii="Arial" w:hAnsi="Arial" w:cs="Arial"/>
        </w:rPr>
        <w:t xml:space="preserve">; however, studies are available for the individual active components, </w:t>
      </w:r>
      <w:proofErr w:type="spellStart"/>
      <w:r w:rsidRPr="008817C5">
        <w:rPr>
          <w:rFonts w:ascii="Arial" w:hAnsi="Arial" w:cs="Arial"/>
        </w:rPr>
        <w:t>azelastine</w:t>
      </w:r>
      <w:proofErr w:type="spellEnd"/>
      <w:r w:rsidRPr="008817C5">
        <w:rPr>
          <w:rFonts w:ascii="Arial" w:hAnsi="Arial" w:cs="Arial"/>
        </w:rPr>
        <w:t xml:space="preserve"> and fluticasone propionate.</w:t>
      </w:r>
    </w:p>
    <w:p w14:paraId="57E2FEFD" w14:textId="1710D02B" w:rsidR="00A13C6F" w:rsidRPr="008817C5" w:rsidRDefault="00A13C6F" w:rsidP="00866CD3">
      <w:pPr>
        <w:pStyle w:val="C-BodyText"/>
        <w:spacing w:before="0" w:after="0" w:line="276" w:lineRule="auto"/>
        <w:rPr>
          <w:rFonts w:ascii="Arial" w:hAnsi="Arial" w:cs="Arial"/>
          <w:sz w:val="22"/>
          <w:szCs w:val="22"/>
        </w:rPr>
      </w:pPr>
      <w:proofErr w:type="spellStart"/>
      <w:r w:rsidRPr="00285CD2">
        <w:rPr>
          <w:rFonts w:ascii="Arial" w:hAnsi="Arial" w:cs="Arial"/>
          <w:sz w:val="22"/>
          <w:szCs w:val="22"/>
        </w:rPr>
        <w:t>Azelastine</w:t>
      </w:r>
      <w:proofErr w:type="spellEnd"/>
      <w:r w:rsidRPr="00285CD2">
        <w:rPr>
          <w:rFonts w:ascii="Arial" w:hAnsi="Arial" w:cs="Arial"/>
          <w:sz w:val="22"/>
          <w:szCs w:val="22"/>
        </w:rPr>
        <w:t xml:space="preserve"> demonstrated no carcinogenic potential in mice and rats at dietary doses up to 25 and 30 mg/kg/day respectively</w:t>
      </w:r>
      <w:r>
        <w:rPr>
          <w:rFonts w:ascii="Arial" w:hAnsi="Arial" w:cs="Arial"/>
          <w:sz w:val="22"/>
          <w:szCs w:val="22"/>
        </w:rPr>
        <w:t xml:space="preserve">. </w:t>
      </w:r>
      <w:r w:rsidRPr="008817C5">
        <w:rPr>
          <w:rFonts w:ascii="Arial" w:hAnsi="Arial" w:cs="Arial"/>
          <w:sz w:val="22"/>
          <w:szCs w:val="22"/>
        </w:rPr>
        <w:t xml:space="preserve"> </w:t>
      </w:r>
    </w:p>
    <w:p w14:paraId="3A5D11EB" w14:textId="77777777" w:rsidR="00A13C6F" w:rsidRDefault="00A13C6F" w:rsidP="00866CD3">
      <w:pPr>
        <w:pStyle w:val="C-BodyText"/>
        <w:spacing w:before="0" w:after="0" w:line="276" w:lineRule="auto"/>
        <w:rPr>
          <w:rFonts w:ascii="Arial" w:hAnsi="Arial" w:cs="Arial"/>
          <w:sz w:val="22"/>
          <w:szCs w:val="22"/>
        </w:rPr>
      </w:pPr>
    </w:p>
    <w:p w14:paraId="1F8539CB" w14:textId="77777777" w:rsidR="00A13C6F" w:rsidRPr="008817C5" w:rsidRDefault="00A13C6F" w:rsidP="00866CD3">
      <w:pPr>
        <w:pStyle w:val="C-BodyText"/>
        <w:spacing w:before="0" w:after="0" w:line="276" w:lineRule="auto"/>
        <w:rPr>
          <w:rFonts w:ascii="Arial" w:hAnsi="Arial" w:cs="Arial"/>
          <w:sz w:val="22"/>
          <w:szCs w:val="22"/>
        </w:rPr>
      </w:pPr>
      <w:r w:rsidRPr="00285CD2">
        <w:rPr>
          <w:rFonts w:ascii="Arial" w:hAnsi="Arial" w:cs="Arial"/>
          <w:sz w:val="22"/>
          <w:szCs w:val="22"/>
        </w:rPr>
        <w:t xml:space="preserve">No evidence of a tumorigenic effect was observed in either a 2 year study in rats receiving doses of fluticasone propionate up to 57 </w:t>
      </w:r>
      <w:proofErr w:type="spellStart"/>
      <w:r w:rsidRPr="00285CD2">
        <w:rPr>
          <w:rFonts w:ascii="Arial" w:hAnsi="Arial" w:cs="Arial"/>
          <w:sz w:val="22"/>
          <w:szCs w:val="22"/>
        </w:rPr>
        <w:t>μg</w:t>
      </w:r>
      <w:proofErr w:type="spellEnd"/>
      <w:r w:rsidRPr="00285CD2">
        <w:rPr>
          <w:rFonts w:ascii="Arial" w:hAnsi="Arial" w:cs="Arial"/>
          <w:sz w:val="22"/>
          <w:szCs w:val="22"/>
        </w:rPr>
        <w:t xml:space="preserve"> /kg/day by inhalation or in an 18 month study in mice receiving oral doses of fluticasone propionate up to 1 mg/kg/day.</w:t>
      </w:r>
    </w:p>
    <w:p w14:paraId="5506D6EB" w14:textId="77777777" w:rsidR="00A13C6F" w:rsidRDefault="00A13C6F" w:rsidP="00866CD3">
      <w:pPr>
        <w:spacing w:after="0"/>
        <w:rPr>
          <w:rFonts w:ascii="Arial" w:hAnsi="Arial" w:cs="Arial"/>
          <w:b/>
          <w:bCs/>
          <w:sz w:val="24"/>
          <w:szCs w:val="24"/>
        </w:rPr>
      </w:pPr>
    </w:p>
    <w:p w14:paraId="026FDBBA" w14:textId="77777777" w:rsidR="00A13C6F" w:rsidRDefault="00A13C6F" w:rsidP="00866CD3">
      <w:pPr>
        <w:spacing w:after="0"/>
        <w:rPr>
          <w:rFonts w:ascii="Arial" w:hAnsi="Arial" w:cs="Arial"/>
          <w:b/>
          <w:bCs/>
          <w:sz w:val="24"/>
          <w:szCs w:val="24"/>
        </w:rPr>
      </w:pPr>
      <w:proofErr w:type="spellStart"/>
      <w:r>
        <w:rPr>
          <w:rFonts w:ascii="Arial" w:hAnsi="Arial" w:cs="Arial"/>
          <w:b/>
          <w:bCs/>
          <w:sz w:val="24"/>
          <w:szCs w:val="24"/>
        </w:rPr>
        <w:t>Genotoxicity</w:t>
      </w:r>
      <w:proofErr w:type="spellEnd"/>
    </w:p>
    <w:p w14:paraId="184D26B2" w14:textId="0234647E" w:rsidR="00A13C6F" w:rsidRDefault="00A13C6F" w:rsidP="00866CD3">
      <w:pPr>
        <w:spacing w:after="0"/>
        <w:rPr>
          <w:rFonts w:ascii="Arial" w:hAnsi="Arial" w:cs="Arial"/>
        </w:rPr>
      </w:pPr>
      <w:r>
        <w:rPr>
          <w:rFonts w:ascii="Arial" w:hAnsi="Arial" w:cs="Arial"/>
        </w:rPr>
        <w:t xml:space="preserve">No studies of </w:t>
      </w:r>
      <w:proofErr w:type="spellStart"/>
      <w:r>
        <w:rPr>
          <w:rFonts w:ascii="Arial" w:hAnsi="Arial" w:cs="Arial"/>
        </w:rPr>
        <w:t>genotoxicity</w:t>
      </w:r>
      <w:proofErr w:type="spellEnd"/>
      <w:r>
        <w:rPr>
          <w:rFonts w:ascii="Arial" w:hAnsi="Arial" w:cs="Arial"/>
        </w:rPr>
        <w:t xml:space="preserve"> w</w:t>
      </w:r>
      <w:r w:rsidR="00F535C9">
        <w:rPr>
          <w:rFonts w:ascii="Arial" w:hAnsi="Arial" w:cs="Arial"/>
        </w:rPr>
        <w:t>ere conducted with DYLASTINE</w:t>
      </w:r>
      <w:r w:rsidR="00FD4410">
        <w:rPr>
          <w:rFonts w:ascii="Arial" w:hAnsi="Arial" w:cs="Arial"/>
        </w:rPr>
        <w:t> </w:t>
      </w:r>
      <w:r w:rsidR="00FB7661">
        <w:rPr>
          <w:rFonts w:ascii="Arial" w:hAnsi="Arial" w:cs="Arial"/>
        </w:rPr>
        <w:t>125/50</w:t>
      </w:r>
      <w:r>
        <w:rPr>
          <w:rFonts w:ascii="Arial" w:hAnsi="Arial" w:cs="Arial"/>
        </w:rPr>
        <w:t xml:space="preserve">. However, studies are available for the individual active components, </w:t>
      </w:r>
      <w:proofErr w:type="spellStart"/>
      <w:r>
        <w:rPr>
          <w:rFonts w:ascii="Arial" w:hAnsi="Arial" w:cs="Arial"/>
        </w:rPr>
        <w:t>azelastine</w:t>
      </w:r>
      <w:proofErr w:type="spellEnd"/>
      <w:r>
        <w:rPr>
          <w:rFonts w:ascii="Arial" w:hAnsi="Arial" w:cs="Arial"/>
        </w:rPr>
        <w:t xml:space="preserve"> and fluticasone propionate.</w:t>
      </w:r>
    </w:p>
    <w:p w14:paraId="62D23003" w14:textId="2CE2F40F" w:rsidR="00A13C6F" w:rsidRDefault="00A13C6F" w:rsidP="00866CD3">
      <w:pPr>
        <w:spacing w:after="0"/>
        <w:rPr>
          <w:rFonts w:ascii="Arial" w:hAnsi="Arial" w:cs="Arial"/>
        </w:rPr>
      </w:pPr>
      <w:proofErr w:type="spellStart"/>
      <w:r w:rsidRPr="00285CD2">
        <w:rPr>
          <w:rFonts w:ascii="Arial" w:hAnsi="Arial" w:cs="Arial"/>
        </w:rPr>
        <w:t>Azelastine</w:t>
      </w:r>
      <w:proofErr w:type="spellEnd"/>
      <w:r w:rsidRPr="00285CD2">
        <w:rPr>
          <w:rFonts w:ascii="Arial" w:hAnsi="Arial" w:cs="Arial"/>
        </w:rPr>
        <w:t xml:space="preserve"> demonstrated no </w:t>
      </w:r>
      <w:proofErr w:type="spellStart"/>
      <w:r w:rsidRPr="00285CD2">
        <w:rPr>
          <w:rFonts w:ascii="Arial" w:hAnsi="Arial" w:cs="Arial"/>
        </w:rPr>
        <w:t>genotoxic</w:t>
      </w:r>
      <w:proofErr w:type="spellEnd"/>
      <w:r w:rsidRPr="00285CD2">
        <w:rPr>
          <w:rFonts w:ascii="Arial" w:hAnsi="Arial" w:cs="Arial"/>
        </w:rPr>
        <w:t xml:space="preserve"> potential in standard assays for gene mutations, chromosomal damage and DNA damage. </w:t>
      </w:r>
    </w:p>
    <w:p w14:paraId="3488E085" w14:textId="77777777" w:rsidR="00AF11DA" w:rsidRDefault="00AF11DA" w:rsidP="00866CD3">
      <w:pPr>
        <w:spacing w:after="0"/>
        <w:rPr>
          <w:rFonts w:ascii="Arial" w:hAnsi="Arial" w:cs="Arial"/>
        </w:rPr>
      </w:pPr>
    </w:p>
    <w:p w14:paraId="021A2AB5" w14:textId="77777777" w:rsidR="00A13C6F" w:rsidRPr="00CC453A" w:rsidRDefault="00A13C6F" w:rsidP="00866CD3">
      <w:pPr>
        <w:spacing w:after="0"/>
        <w:rPr>
          <w:rFonts w:ascii="Arial" w:hAnsi="Arial" w:cs="Arial"/>
        </w:rPr>
      </w:pPr>
      <w:r w:rsidRPr="00285CD2">
        <w:rPr>
          <w:rFonts w:ascii="Arial" w:hAnsi="Arial" w:cs="Arial"/>
        </w:rPr>
        <w:t>Fluticasone propionate has no mutag</w:t>
      </w:r>
      <w:r>
        <w:rPr>
          <w:rFonts w:ascii="Arial" w:hAnsi="Arial" w:cs="Arial"/>
        </w:rPr>
        <w:t xml:space="preserve">enic effect </w:t>
      </w:r>
      <w:r w:rsidRPr="002266C5">
        <w:rPr>
          <w:rFonts w:ascii="Arial" w:hAnsi="Arial" w:cs="Arial"/>
          <w:i/>
        </w:rPr>
        <w:t xml:space="preserve">in vivo </w:t>
      </w:r>
      <w:r>
        <w:rPr>
          <w:rFonts w:ascii="Arial" w:hAnsi="Arial" w:cs="Arial"/>
        </w:rPr>
        <w:t xml:space="preserve">or </w:t>
      </w:r>
      <w:r w:rsidRPr="002266C5">
        <w:rPr>
          <w:rFonts w:ascii="Arial" w:hAnsi="Arial" w:cs="Arial"/>
          <w:i/>
        </w:rPr>
        <w:t>in vitro</w:t>
      </w:r>
      <w:r>
        <w:rPr>
          <w:rFonts w:ascii="Arial" w:hAnsi="Arial" w:cs="Arial"/>
        </w:rPr>
        <w:t xml:space="preserve">. </w:t>
      </w:r>
      <w:r w:rsidRPr="00285CD2">
        <w:rPr>
          <w:rFonts w:ascii="Arial" w:hAnsi="Arial" w:cs="Arial"/>
        </w:rPr>
        <w:t>There was no evidence of a mutagenic potential in a standard battery of mutagenicity assays.</w:t>
      </w:r>
    </w:p>
    <w:p w14:paraId="40E513CE" w14:textId="77777777" w:rsidR="00A13C6F" w:rsidRDefault="00A13C6F" w:rsidP="00866CD3">
      <w:pPr>
        <w:spacing w:after="0"/>
        <w:rPr>
          <w:rFonts w:ascii="Arial" w:hAnsi="Arial" w:cs="Arial"/>
          <w:b/>
          <w:bCs/>
          <w:sz w:val="24"/>
          <w:szCs w:val="24"/>
        </w:rPr>
      </w:pPr>
    </w:p>
    <w:p w14:paraId="2F35AC91" w14:textId="77777777" w:rsidR="00A13C6F" w:rsidRDefault="00A13C6F" w:rsidP="00866CD3">
      <w:pPr>
        <w:spacing w:after="0"/>
        <w:rPr>
          <w:rFonts w:ascii="Arial" w:hAnsi="Arial" w:cs="Arial"/>
          <w:b/>
          <w:bCs/>
          <w:sz w:val="24"/>
          <w:szCs w:val="24"/>
        </w:rPr>
      </w:pPr>
      <w:r>
        <w:rPr>
          <w:rFonts w:ascii="Arial" w:hAnsi="Arial" w:cs="Arial"/>
          <w:b/>
          <w:bCs/>
          <w:sz w:val="24"/>
          <w:szCs w:val="24"/>
        </w:rPr>
        <w:t>Effects on Laboratory Tests</w:t>
      </w:r>
    </w:p>
    <w:p w14:paraId="392A0247" w14:textId="77777777" w:rsidR="00A13C6F" w:rsidRDefault="00A13C6F" w:rsidP="00866CD3">
      <w:pPr>
        <w:spacing w:after="0"/>
        <w:rPr>
          <w:rFonts w:ascii="Arial" w:hAnsi="Arial" w:cs="Arial"/>
        </w:rPr>
      </w:pPr>
      <w:r>
        <w:rPr>
          <w:rFonts w:ascii="Arial" w:hAnsi="Arial" w:cs="Arial"/>
        </w:rPr>
        <w:t>No effects are known.</w:t>
      </w:r>
    </w:p>
    <w:p w14:paraId="286F890C" w14:textId="77777777" w:rsidR="005C6867" w:rsidRDefault="005C6867">
      <w:pPr>
        <w:spacing w:after="0" w:line="240" w:lineRule="auto"/>
        <w:rPr>
          <w:rFonts w:ascii="Arial" w:hAnsi="Arial" w:cs="Arial"/>
          <w:b/>
          <w:bCs/>
          <w:sz w:val="24"/>
          <w:szCs w:val="24"/>
        </w:rPr>
      </w:pPr>
      <w:r>
        <w:rPr>
          <w:rFonts w:ascii="Arial" w:hAnsi="Arial" w:cs="Arial"/>
          <w:b/>
          <w:bCs/>
          <w:sz w:val="24"/>
          <w:szCs w:val="24"/>
        </w:rPr>
        <w:br w:type="page"/>
      </w:r>
    </w:p>
    <w:p w14:paraId="5446614A" w14:textId="5BD57ED5" w:rsidR="00A13C6F" w:rsidRDefault="00A13C6F" w:rsidP="00866CD3">
      <w:pPr>
        <w:spacing w:after="0"/>
        <w:rPr>
          <w:rFonts w:ascii="Arial" w:hAnsi="Arial" w:cs="Arial"/>
          <w:b/>
          <w:bCs/>
          <w:sz w:val="24"/>
          <w:szCs w:val="24"/>
        </w:rPr>
      </w:pPr>
      <w:r>
        <w:rPr>
          <w:rFonts w:ascii="Arial" w:hAnsi="Arial" w:cs="Arial"/>
          <w:b/>
          <w:bCs/>
          <w:sz w:val="24"/>
          <w:szCs w:val="24"/>
        </w:rPr>
        <w:lastRenderedPageBreak/>
        <w:t>Effects on Ability to Drive or Operate Machinery</w:t>
      </w:r>
    </w:p>
    <w:p w14:paraId="2B0F27A7" w14:textId="13304E0C" w:rsidR="00A13C6F" w:rsidRPr="001F006A" w:rsidRDefault="00A13C6F" w:rsidP="00866CD3">
      <w:pPr>
        <w:spacing w:after="0"/>
        <w:rPr>
          <w:rFonts w:ascii="Arial" w:hAnsi="Arial" w:cs="Arial"/>
        </w:rPr>
      </w:pPr>
      <w:r>
        <w:rPr>
          <w:rFonts w:ascii="Arial" w:hAnsi="Arial" w:cs="Arial"/>
        </w:rPr>
        <w:t xml:space="preserve">Due to the potential occurrence of somnolence (see </w:t>
      </w:r>
      <w:r w:rsidRPr="005B798C">
        <w:rPr>
          <w:rFonts w:ascii="Arial" w:hAnsi="Arial" w:cs="Arial"/>
          <w:b/>
          <w:bCs/>
        </w:rPr>
        <w:t>PRECAUTIONS</w:t>
      </w:r>
      <w:r>
        <w:rPr>
          <w:rFonts w:ascii="Arial" w:hAnsi="Arial" w:cs="Arial"/>
        </w:rPr>
        <w:t xml:space="preserve"> – </w:t>
      </w:r>
      <w:r w:rsidRPr="005B798C">
        <w:rPr>
          <w:rFonts w:ascii="Arial" w:hAnsi="Arial" w:cs="Arial"/>
          <w:b/>
          <w:bCs/>
        </w:rPr>
        <w:t>Somnolence</w:t>
      </w:r>
      <w:r>
        <w:rPr>
          <w:rFonts w:ascii="Arial" w:hAnsi="Arial" w:cs="Arial"/>
        </w:rPr>
        <w:t>), patients using</w:t>
      </w:r>
      <w:r w:rsidR="00F535C9">
        <w:rPr>
          <w:rFonts w:ascii="Arial" w:hAnsi="Arial" w:cs="Arial"/>
        </w:rPr>
        <w:t xml:space="preserve"> DYLASTINE</w:t>
      </w:r>
      <w:r w:rsidR="00FD4410">
        <w:rPr>
          <w:rFonts w:ascii="Arial" w:hAnsi="Arial" w:cs="Arial"/>
        </w:rPr>
        <w:t> </w:t>
      </w:r>
      <w:r w:rsidR="00FB7661">
        <w:rPr>
          <w:rFonts w:ascii="Arial" w:hAnsi="Arial" w:cs="Arial"/>
        </w:rPr>
        <w:t>125/50</w:t>
      </w:r>
      <w:r w:rsidRPr="001F006A">
        <w:rPr>
          <w:rFonts w:ascii="Arial" w:hAnsi="Arial" w:cs="Arial"/>
        </w:rPr>
        <w:t xml:space="preserve"> should be cautioned against engaging in hazardous occupations requiring complete mental alertness and motor coordination such as driving or operating machinery</w:t>
      </w:r>
      <w:r w:rsidR="00F535C9">
        <w:rPr>
          <w:rFonts w:ascii="Arial" w:hAnsi="Arial" w:cs="Arial"/>
        </w:rPr>
        <w:t xml:space="preserve"> after administration of DYLASTINE</w:t>
      </w:r>
      <w:r w:rsidR="00FD4410">
        <w:rPr>
          <w:rFonts w:ascii="Arial" w:hAnsi="Arial" w:cs="Arial"/>
        </w:rPr>
        <w:t> </w:t>
      </w:r>
      <w:r w:rsidR="00FB7661">
        <w:rPr>
          <w:rFonts w:ascii="Arial" w:hAnsi="Arial" w:cs="Arial"/>
        </w:rPr>
        <w:t>125/50</w:t>
      </w:r>
      <w:r w:rsidR="00AA1F57">
        <w:rPr>
          <w:rFonts w:ascii="Arial" w:hAnsi="Arial" w:cs="Arial"/>
        </w:rPr>
        <w:t xml:space="preserve"> until they know how they react to the nasal spray. </w:t>
      </w:r>
      <w:r w:rsidRPr="001F006A">
        <w:rPr>
          <w:rFonts w:ascii="Arial" w:hAnsi="Arial" w:cs="Arial"/>
        </w:rPr>
        <w:t xml:space="preserve"> </w:t>
      </w:r>
      <w:r>
        <w:rPr>
          <w:rFonts w:ascii="Arial" w:hAnsi="Arial" w:cs="Arial"/>
        </w:rPr>
        <w:t>C</w:t>
      </w:r>
      <w:r w:rsidRPr="00AC12A7">
        <w:rPr>
          <w:rFonts w:ascii="Arial" w:hAnsi="Arial" w:cs="Arial"/>
        </w:rPr>
        <w:t xml:space="preserve">aution is required if </w:t>
      </w:r>
      <w:r w:rsidR="00F535C9">
        <w:rPr>
          <w:rFonts w:ascii="Arial" w:hAnsi="Arial" w:cs="Arial"/>
        </w:rPr>
        <w:t>DYLASTINE</w:t>
      </w:r>
      <w:r w:rsidR="00FD4410">
        <w:rPr>
          <w:rFonts w:ascii="Arial" w:hAnsi="Arial" w:cs="Arial"/>
        </w:rPr>
        <w:t> </w:t>
      </w:r>
      <w:r w:rsidR="00FB7661">
        <w:rPr>
          <w:rFonts w:ascii="Arial" w:hAnsi="Arial" w:cs="Arial"/>
        </w:rPr>
        <w:t>125/50</w:t>
      </w:r>
      <w:r w:rsidRPr="00AC12A7">
        <w:rPr>
          <w:rFonts w:ascii="Arial" w:hAnsi="Arial" w:cs="Arial"/>
        </w:rPr>
        <w:t xml:space="preserve"> is used concomitantly with alcohol or other CNS depressants. </w:t>
      </w:r>
      <w:r>
        <w:rPr>
          <w:rFonts w:ascii="Arial" w:hAnsi="Arial" w:cs="Arial"/>
        </w:rPr>
        <w:t>(</w:t>
      </w:r>
      <w:proofErr w:type="gramStart"/>
      <w:r>
        <w:rPr>
          <w:rFonts w:ascii="Arial" w:hAnsi="Arial" w:cs="Arial"/>
        </w:rPr>
        <w:t>see</w:t>
      </w:r>
      <w:proofErr w:type="gramEnd"/>
      <w:r>
        <w:rPr>
          <w:rFonts w:ascii="Arial" w:hAnsi="Arial" w:cs="Arial"/>
        </w:rPr>
        <w:t xml:space="preserve"> </w:t>
      </w:r>
      <w:r w:rsidRPr="00A55FA2">
        <w:rPr>
          <w:rFonts w:ascii="Arial" w:hAnsi="Arial" w:cs="Arial"/>
          <w:b/>
          <w:bCs/>
        </w:rPr>
        <w:t>PRECAUTIONS</w:t>
      </w:r>
      <w:r>
        <w:rPr>
          <w:rFonts w:ascii="Arial" w:hAnsi="Arial" w:cs="Arial"/>
        </w:rPr>
        <w:t xml:space="preserve"> –</w:t>
      </w:r>
      <w:r w:rsidRPr="00A55FA2">
        <w:rPr>
          <w:rFonts w:ascii="Arial" w:hAnsi="Arial" w:cs="Arial"/>
          <w:b/>
          <w:bCs/>
        </w:rPr>
        <w:t>Somnolence</w:t>
      </w:r>
      <w:r>
        <w:rPr>
          <w:rFonts w:ascii="Arial" w:hAnsi="Arial" w:cs="Arial"/>
        </w:rPr>
        <w:t xml:space="preserve"> and </w:t>
      </w:r>
      <w:r w:rsidRPr="00A55FA2">
        <w:rPr>
          <w:rFonts w:ascii="Arial" w:hAnsi="Arial" w:cs="Arial"/>
          <w:b/>
          <w:bCs/>
        </w:rPr>
        <w:t>INTERACTIONS WITH OTHER MEDICINES</w:t>
      </w:r>
      <w:r>
        <w:rPr>
          <w:rFonts w:ascii="Arial" w:hAnsi="Arial" w:cs="Arial"/>
        </w:rPr>
        <w:t xml:space="preserve"> – </w:t>
      </w:r>
      <w:r w:rsidRPr="00A55FA2">
        <w:rPr>
          <w:rFonts w:ascii="Arial" w:hAnsi="Arial" w:cs="Arial"/>
          <w:b/>
          <w:bCs/>
        </w:rPr>
        <w:t>Central Nervous System Depressants</w:t>
      </w:r>
      <w:r>
        <w:rPr>
          <w:rFonts w:ascii="Arial" w:hAnsi="Arial" w:cs="Arial"/>
        </w:rPr>
        <w:t>)</w:t>
      </w:r>
      <w:r w:rsidRPr="001F006A">
        <w:rPr>
          <w:rFonts w:ascii="Arial" w:hAnsi="Arial" w:cs="Arial"/>
        </w:rPr>
        <w:t>.</w:t>
      </w:r>
    </w:p>
    <w:p w14:paraId="7F710E5A" w14:textId="77777777" w:rsidR="00A13C6F" w:rsidRDefault="00A13C6F" w:rsidP="00866CD3">
      <w:pPr>
        <w:spacing w:after="0"/>
        <w:rPr>
          <w:rFonts w:ascii="Arial" w:hAnsi="Arial" w:cs="Arial"/>
          <w:b/>
          <w:bCs/>
          <w:sz w:val="24"/>
          <w:szCs w:val="24"/>
        </w:rPr>
      </w:pPr>
    </w:p>
    <w:p w14:paraId="2F4086FC" w14:textId="77777777" w:rsidR="00A13C6F" w:rsidRDefault="00A13C6F" w:rsidP="00866CD3">
      <w:pPr>
        <w:spacing w:after="0"/>
        <w:rPr>
          <w:rFonts w:ascii="Arial" w:hAnsi="Arial" w:cs="Arial"/>
          <w:b/>
          <w:bCs/>
          <w:sz w:val="24"/>
          <w:szCs w:val="24"/>
        </w:rPr>
      </w:pPr>
      <w:r>
        <w:rPr>
          <w:rFonts w:ascii="Arial" w:hAnsi="Arial" w:cs="Arial"/>
          <w:b/>
          <w:bCs/>
          <w:sz w:val="24"/>
          <w:szCs w:val="24"/>
        </w:rPr>
        <w:t>INTERACTIONS WITH OTHER MEDICINES</w:t>
      </w:r>
    </w:p>
    <w:p w14:paraId="598747CA" w14:textId="19B9C143" w:rsidR="00A13C6F" w:rsidRPr="00FB18F8" w:rsidRDefault="00A13C6F" w:rsidP="00866CD3">
      <w:pPr>
        <w:pStyle w:val="C-BodyText"/>
        <w:spacing w:before="0" w:after="0" w:line="276" w:lineRule="auto"/>
        <w:rPr>
          <w:rFonts w:ascii="Arial" w:hAnsi="Arial" w:cs="Arial"/>
          <w:sz w:val="22"/>
          <w:szCs w:val="22"/>
        </w:rPr>
      </w:pPr>
      <w:r w:rsidRPr="00FB18F8">
        <w:rPr>
          <w:rFonts w:ascii="Arial" w:hAnsi="Arial" w:cs="Arial"/>
          <w:sz w:val="22"/>
          <w:szCs w:val="22"/>
        </w:rPr>
        <w:t xml:space="preserve">No formal drug interaction studies </w:t>
      </w:r>
      <w:r w:rsidR="00AD7629">
        <w:rPr>
          <w:rFonts w:ascii="Arial" w:hAnsi="Arial" w:cs="Arial"/>
          <w:sz w:val="22"/>
          <w:szCs w:val="22"/>
        </w:rPr>
        <w:t>have been performed with DYLASTINE</w:t>
      </w:r>
      <w:r w:rsidR="00FD4410">
        <w:rPr>
          <w:rFonts w:ascii="Arial" w:hAnsi="Arial" w:cs="Arial"/>
          <w:sz w:val="22"/>
          <w:szCs w:val="22"/>
        </w:rPr>
        <w:t> </w:t>
      </w:r>
      <w:r w:rsidR="00FB7661">
        <w:rPr>
          <w:rFonts w:ascii="Arial" w:hAnsi="Arial" w:cs="Arial"/>
          <w:sz w:val="22"/>
          <w:szCs w:val="22"/>
        </w:rPr>
        <w:t>125/50</w:t>
      </w:r>
      <w:r w:rsidRPr="00FB18F8">
        <w:rPr>
          <w:rFonts w:ascii="Arial" w:hAnsi="Arial" w:cs="Arial"/>
          <w:sz w:val="22"/>
          <w:szCs w:val="22"/>
        </w:rPr>
        <w:t xml:space="preserve">. The drug interactions of </w:t>
      </w:r>
      <w:r w:rsidR="00AA1F57">
        <w:rPr>
          <w:rFonts w:ascii="Arial" w:hAnsi="Arial" w:cs="Arial"/>
          <w:sz w:val="22"/>
          <w:szCs w:val="22"/>
        </w:rPr>
        <w:t>D</w:t>
      </w:r>
      <w:r w:rsidR="00AD7629" w:rsidRPr="00802D09">
        <w:rPr>
          <w:rFonts w:ascii="Arial" w:hAnsi="Arial" w:cs="Arial"/>
          <w:color w:val="000000" w:themeColor="text1"/>
          <w:sz w:val="22"/>
          <w:szCs w:val="22"/>
        </w:rPr>
        <w:t>YLASTINE</w:t>
      </w:r>
      <w:r w:rsidR="00AA1F57">
        <w:rPr>
          <w:rFonts w:ascii="Arial" w:hAnsi="Arial" w:cs="Arial"/>
          <w:sz w:val="22"/>
          <w:szCs w:val="22"/>
        </w:rPr>
        <w:t xml:space="preserve"> 125/50</w:t>
      </w:r>
      <w:r w:rsidRPr="00FB18F8">
        <w:rPr>
          <w:rFonts w:ascii="Arial" w:hAnsi="Arial" w:cs="Arial"/>
          <w:sz w:val="22"/>
          <w:szCs w:val="22"/>
        </w:rPr>
        <w:t xml:space="preserve"> are expected to reflect those of the individual components</w:t>
      </w:r>
      <w:r w:rsidR="000F5A54">
        <w:rPr>
          <w:rFonts w:ascii="Arial" w:hAnsi="Arial" w:cs="Arial"/>
          <w:sz w:val="22"/>
          <w:szCs w:val="22"/>
        </w:rPr>
        <w:t xml:space="preserve"> as described below</w:t>
      </w:r>
      <w:r w:rsidRPr="00FB18F8">
        <w:rPr>
          <w:rFonts w:ascii="Arial" w:hAnsi="Arial" w:cs="Arial"/>
          <w:sz w:val="22"/>
          <w:szCs w:val="22"/>
        </w:rPr>
        <w:t>.</w:t>
      </w:r>
    </w:p>
    <w:p w14:paraId="35D9ECD8" w14:textId="77777777" w:rsidR="00A13C6F" w:rsidRDefault="00A13C6F" w:rsidP="00866CD3">
      <w:pPr>
        <w:pStyle w:val="C-Heading2non-numbered"/>
        <w:spacing w:before="0" w:line="276" w:lineRule="auto"/>
        <w:rPr>
          <w:rFonts w:ascii="Arial" w:hAnsi="Arial" w:cs="Arial"/>
          <w:sz w:val="22"/>
          <w:szCs w:val="22"/>
        </w:rPr>
      </w:pPr>
      <w:bookmarkStart w:id="5" w:name="_Toc323043063"/>
    </w:p>
    <w:p w14:paraId="045FF9DB" w14:textId="77777777" w:rsidR="00A13C6F" w:rsidRPr="00FB18F8" w:rsidRDefault="00A13C6F" w:rsidP="00866CD3">
      <w:pPr>
        <w:pStyle w:val="C-Heading2non-numbered"/>
        <w:spacing w:before="0" w:line="276" w:lineRule="auto"/>
        <w:rPr>
          <w:rFonts w:ascii="Arial" w:hAnsi="Arial" w:cs="Arial"/>
          <w:sz w:val="22"/>
          <w:szCs w:val="22"/>
        </w:rPr>
      </w:pPr>
      <w:r w:rsidRPr="00FB18F8">
        <w:rPr>
          <w:rFonts w:ascii="Arial" w:hAnsi="Arial" w:cs="Arial"/>
          <w:sz w:val="22"/>
          <w:szCs w:val="22"/>
        </w:rPr>
        <w:t>Central Nervous System Depressants</w:t>
      </w:r>
      <w:bookmarkEnd w:id="5"/>
    </w:p>
    <w:p w14:paraId="710102CC" w14:textId="0637EAB4" w:rsidR="00A13C6F" w:rsidRPr="00FB18F8" w:rsidRDefault="00A13C6F" w:rsidP="00866CD3">
      <w:pPr>
        <w:pStyle w:val="C-BodyText"/>
        <w:spacing w:before="0" w:after="0" w:line="276" w:lineRule="auto"/>
        <w:rPr>
          <w:rFonts w:ascii="Arial" w:hAnsi="Arial" w:cs="Arial"/>
          <w:sz w:val="22"/>
          <w:szCs w:val="22"/>
        </w:rPr>
      </w:pPr>
      <w:r w:rsidRPr="00AC12A7">
        <w:rPr>
          <w:rFonts w:ascii="Arial" w:hAnsi="Arial" w:cs="Arial"/>
          <w:sz w:val="22"/>
          <w:szCs w:val="22"/>
        </w:rPr>
        <w:t xml:space="preserve">When </w:t>
      </w:r>
      <w:r w:rsidR="000F5A54">
        <w:rPr>
          <w:rFonts w:ascii="Arial" w:hAnsi="Arial" w:cs="Arial"/>
          <w:sz w:val="22"/>
          <w:szCs w:val="22"/>
        </w:rPr>
        <w:t>administered</w:t>
      </w:r>
      <w:r w:rsidR="000F5A54" w:rsidRPr="00AC12A7">
        <w:rPr>
          <w:rFonts w:ascii="Arial" w:hAnsi="Arial" w:cs="Arial"/>
          <w:sz w:val="22"/>
          <w:szCs w:val="22"/>
        </w:rPr>
        <w:t xml:space="preserve"> </w:t>
      </w:r>
      <w:r w:rsidR="000F5A54">
        <w:rPr>
          <w:rFonts w:ascii="Arial" w:hAnsi="Arial" w:cs="Arial"/>
          <w:sz w:val="22"/>
          <w:szCs w:val="22"/>
        </w:rPr>
        <w:t xml:space="preserve">orally </w:t>
      </w:r>
      <w:r w:rsidRPr="00AC12A7">
        <w:rPr>
          <w:rFonts w:ascii="Arial" w:hAnsi="Arial" w:cs="Arial"/>
          <w:sz w:val="22"/>
          <w:szCs w:val="22"/>
        </w:rPr>
        <w:t xml:space="preserve">in combination, </w:t>
      </w:r>
      <w:proofErr w:type="spellStart"/>
      <w:r w:rsidRPr="00AC12A7">
        <w:rPr>
          <w:rFonts w:ascii="Arial" w:hAnsi="Arial" w:cs="Arial"/>
          <w:sz w:val="22"/>
          <w:szCs w:val="22"/>
        </w:rPr>
        <w:t>azelastine</w:t>
      </w:r>
      <w:proofErr w:type="spellEnd"/>
      <w:r w:rsidRPr="00AC12A7">
        <w:rPr>
          <w:rFonts w:ascii="Arial" w:hAnsi="Arial" w:cs="Arial"/>
          <w:sz w:val="22"/>
          <w:szCs w:val="22"/>
        </w:rPr>
        <w:t xml:space="preserve"> hydrochloride 4.4 mg tablets and alcohol showed sedative effects. As no specific information is available with the nasal spray, caution is required if </w:t>
      </w:r>
      <w:r w:rsidR="00AD7629">
        <w:rPr>
          <w:rFonts w:ascii="Arial" w:hAnsi="Arial" w:cs="Arial"/>
          <w:sz w:val="22"/>
          <w:szCs w:val="22"/>
        </w:rPr>
        <w:t xml:space="preserve">DYLASTINE </w:t>
      </w:r>
      <w:r w:rsidR="00FB7661">
        <w:rPr>
          <w:rFonts w:ascii="Arial" w:hAnsi="Arial" w:cs="Arial"/>
          <w:sz w:val="22"/>
          <w:szCs w:val="22"/>
        </w:rPr>
        <w:t>125/50</w:t>
      </w:r>
      <w:r w:rsidRPr="00AC12A7">
        <w:rPr>
          <w:rFonts w:ascii="Arial" w:hAnsi="Arial" w:cs="Arial"/>
          <w:sz w:val="22"/>
          <w:szCs w:val="22"/>
        </w:rPr>
        <w:t xml:space="preserve"> is used concomitantly with alcohol or other CNS depressants. </w:t>
      </w:r>
      <w:r>
        <w:rPr>
          <w:rFonts w:ascii="Arial" w:hAnsi="Arial" w:cs="Arial"/>
          <w:sz w:val="22"/>
          <w:szCs w:val="22"/>
        </w:rPr>
        <w:t>(</w:t>
      </w:r>
      <w:proofErr w:type="gramStart"/>
      <w:r>
        <w:rPr>
          <w:rFonts w:ascii="Arial" w:hAnsi="Arial" w:cs="Arial"/>
          <w:sz w:val="22"/>
          <w:szCs w:val="22"/>
        </w:rPr>
        <w:t>see</w:t>
      </w:r>
      <w:proofErr w:type="gramEnd"/>
      <w:r>
        <w:rPr>
          <w:rFonts w:ascii="Arial" w:hAnsi="Arial" w:cs="Arial"/>
          <w:sz w:val="22"/>
          <w:szCs w:val="22"/>
        </w:rPr>
        <w:t xml:space="preserve"> </w:t>
      </w:r>
      <w:r w:rsidRPr="00CC453A">
        <w:rPr>
          <w:rFonts w:ascii="Arial" w:hAnsi="Arial" w:cs="Arial"/>
          <w:b/>
          <w:bCs/>
          <w:sz w:val="22"/>
          <w:szCs w:val="22"/>
        </w:rPr>
        <w:t>PRECAUTIONS</w:t>
      </w:r>
      <w:r>
        <w:rPr>
          <w:rFonts w:ascii="Arial" w:hAnsi="Arial" w:cs="Arial"/>
          <w:sz w:val="22"/>
          <w:szCs w:val="22"/>
        </w:rPr>
        <w:t xml:space="preserve"> – </w:t>
      </w:r>
      <w:r w:rsidRPr="00CC453A">
        <w:rPr>
          <w:rFonts w:ascii="Arial" w:hAnsi="Arial" w:cs="Arial"/>
          <w:b/>
          <w:bCs/>
          <w:sz w:val="22"/>
          <w:szCs w:val="22"/>
        </w:rPr>
        <w:t>Somnolence</w:t>
      </w:r>
      <w:r>
        <w:rPr>
          <w:rFonts w:ascii="Arial" w:hAnsi="Arial" w:cs="Arial"/>
          <w:b/>
          <w:bCs/>
          <w:sz w:val="22"/>
          <w:szCs w:val="22"/>
        </w:rPr>
        <w:t xml:space="preserve"> </w:t>
      </w:r>
      <w:r w:rsidRPr="008505C2">
        <w:rPr>
          <w:rFonts w:ascii="Arial" w:hAnsi="Arial" w:cs="Arial"/>
          <w:sz w:val="22"/>
          <w:szCs w:val="22"/>
        </w:rPr>
        <w:t>and</w:t>
      </w:r>
      <w:r>
        <w:rPr>
          <w:rFonts w:ascii="Arial" w:hAnsi="Arial" w:cs="Arial"/>
          <w:b/>
          <w:bCs/>
          <w:sz w:val="22"/>
          <w:szCs w:val="22"/>
        </w:rPr>
        <w:t xml:space="preserve"> Effects on Ability to Drive and Operate Machinery</w:t>
      </w:r>
      <w:r>
        <w:rPr>
          <w:rFonts w:ascii="Arial" w:hAnsi="Arial" w:cs="Arial"/>
          <w:sz w:val="22"/>
          <w:szCs w:val="22"/>
        </w:rPr>
        <w:t>)</w:t>
      </w:r>
      <w:r w:rsidRPr="00FB18F8">
        <w:rPr>
          <w:rFonts w:ascii="Arial" w:hAnsi="Arial" w:cs="Arial"/>
          <w:sz w:val="22"/>
          <w:szCs w:val="22"/>
        </w:rPr>
        <w:t xml:space="preserve">. </w:t>
      </w:r>
    </w:p>
    <w:p w14:paraId="4ED54DCF" w14:textId="77777777" w:rsidR="00A13C6F" w:rsidRDefault="00A13C6F" w:rsidP="00866CD3">
      <w:pPr>
        <w:pStyle w:val="C-Heading2non-numbered"/>
        <w:spacing w:before="0" w:line="276" w:lineRule="auto"/>
        <w:rPr>
          <w:rFonts w:ascii="Arial" w:hAnsi="Arial" w:cs="Arial"/>
          <w:sz w:val="22"/>
          <w:szCs w:val="22"/>
        </w:rPr>
      </w:pPr>
      <w:bookmarkStart w:id="6" w:name="_Toc323043064"/>
    </w:p>
    <w:p w14:paraId="6816E838" w14:textId="11CD3D24" w:rsidR="00A13C6F" w:rsidRPr="00FB18F8" w:rsidRDefault="00A13C6F" w:rsidP="00866CD3">
      <w:pPr>
        <w:pStyle w:val="C-Heading2non-numbered"/>
        <w:spacing w:before="0" w:line="276" w:lineRule="auto"/>
        <w:rPr>
          <w:rFonts w:ascii="Arial" w:hAnsi="Arial" w:cs="Arial"/>
          <w:sz w:val="22"/>
          <w:szCs w:val="22"/>
        </w:rPr>
      </w:pPr>
      <w:r w:rsidRPr="001665FA">
        <w:rPr>
          <w:rFonts w:ascii="Arial" w:hAnsi="Arial" w:cs="Arial"/>
          <w:sz w:val="22"/>
          <w:szCs w:val="22"/>
        </w:rPr>
        <w:t xml:space="preserve">Cytochrome P450 </w:t>
      </w:r>
      <w:bookmarkEnd w:id="6"/>
      <w:r>
        <w:rPr>
          <w:rFonts w:ascii="Arial" w:hAnsi="Arial" w:cs="Arial"/>
          <w:sz w:val="22"/>
          <w:szCs w:val="22"/>
        </w:rPr>
        <w:t>Inhibitors</w:t>
      </w:r>
    </w:p>
    <w:p w14:paraId="51D7AD5F" w14:textId="77777777" w:rsidR="00AA1F57" w:rsidRDefault="00AA1F57" w:rsidP="00AA1F57">
      <w:pPr>
        <w:pStyle w:val="C-BodyText"/>
        <w:spacing w:after="0"/>
        <w:rPr>
          <w:rFonts w:ascii="Arial" w:hAnsi="Arial" w:cs="Arial"/>
          <w:sz w:val="22"/>
          <w:szCs w:val="22"/>
        </w:rPr>
      </w:pPr>
      <w:r w:rsidRPr="00CC013B">
        <w:rPr>
          <w:rFonts w:ascii="Arial" w:hAnsi="Arial" w:cs="Arial"/>
          <w:sz w:val="22"/>
          <w:szCs w:val="22"/>
        </w:rPr>
        <w:t>Under normal circumstances, very low plasma concentrations of fluticasone propionate are achieved after intranasal dosing, due to extensive first pass metabolism and high systemic</w:t>
      </w:r>
      <w:r>
        <w:rPr>
          <w:rFonts w:ascii="Arial" w:hAnsi="Arial" w:cs="Arial"/>
          <w:sz w:val="22"/>
          <w:szCs w:val="22"/>
        </w:rPr>
        <w:t xml:space="preserve"> </w:t>
      </w:r>
      <w:r w:rsidRPr="00CC013B">
        <w:rPr>
          <w:rFonts w:ascii="Arial" w:hAnsi="Arial" w:cs="Arial"/>
          <w:sz w:val="22"/>
          <w:szCs w:val="22"/>
        </w:rPr>
        <w:t>clearance mediated by cytochrome P450 3A4 in the gut and liver. Hence, clinically significant drug interactions mediated by fluticasone propionate are unlikely.</w:t>
      </w:r>
    </w:p>
    <w:p w14:paraId="5A22E71B" w14:textId="77777777" w:rsidR="00AA1F57" w:rsidRPr="00CC013B" w:rsidRDefault="00AA1F57" w:rsidP="00AA1F57">
      <w:pPr>
        <w:pStyle w:val="C-BodyText"/>
        <w:spacing w:after="0"/>
        <w:rPr>
          <w:rFonts w:ascii="Arial" w:hAnsi="Arial" w:cs="Arial"/>
          <w:sz w:val="22"/>
          <w:szCs w:val="22"/>
        </w:rPr>
      </w:pPr>
    </w:p>
    <w:p w14:paraId="0808EF99" w14:textId="77777777" w:rsidR="000F5A54" w:rsidRDefault="000F5A54" w:rsidP="000F5A54">
      <w:pPr>
        <w:pStyle w:val="C-BodyText"/>
        <w:spacing w:after="0" w:line="240" w:lineRule="auto"/>
        <w:rPr>
          <w:rFonts w:ascii="Arial" w:hAnsi="Arial" w:cs="Arial"/>
          <w:sz w:val="22"/>
          <w:szCs w:val="22"/>
        </w:rPr>
      </w:pPr>
      <w:r>
        <w:rPr>
          <w:rFonts w:ascii="Arial" w:hAnsi="Arial" w:cs="Arial"/>
          <w:sz w:val="22"/>
          <w:szCs w:val="22"/>
        </w:rPr>
        <w:t>Ritonavir</w:t>
      </w:r>
    </w:p>
    <w:p w14:paraId="59DC6C90" w14:textId="77777777" w:rsidR="00AA1F57" w:rsidRDefault="00AA1F57" w:rsidP="001F4A8C">
      <w:pPr>
        <w:pStyle w:val="C-BodyText"/>
        <w:spacing w:before="0" w:after="0" w:line="276" w:lineRule="auto"/>
        <w:rPr>
          <w:rFonts w:ascii="Arial" w:hAnsi="Arial" w:cs="Arial"/>
          <w:sz w:val="22"/>
          <w:szCs w:val="22"/>
        </w:rPr>
      </w:pPr>
      <w:r w:rsidRPr="00CC013B">
        <w:rPr>
          <w:rFonts w:ascii="Arial" w:hAnsi="Arial" w:cs="Arial"/>
          <w:sz w:val="22"/>
          <w:szCs w:val="22"/>
        </w:rPr>
        <w:t>A drug interaction study in healthy subjects has shown that ritonavir (a highly potent cytochrome P450 3A4 inhibitor) can greatly increase fluticasone propionate plasma concentrations, resulting in markedly reduced serum cortisol concentrations. During post-marketing use, there have been reports of clinically significant drug interactions in patients receiving fluticasone propionate and ritonavir, resulting in systemic corticosteroid effects including Cushing’s syndrome and adrenal suppression. Therefore, concomitant use of fluticasone propionate and ritonavir should be avoided, unless the potential benefit to the patient outweighs the risk of systemic corticosteroid side effects.</w:t>
      </w:r>
    </w:p>
    <w:p w14:paraId="783DC20D" w14:textId="77777777" w:rsidR="00AA1F57" w:rsidRDefault="00AA1F57" w:rsidP="00AA1F57">
      <w:pPr>
        <w:pStyle w:val="C-BodyText"/>
        <w:spacing w:after="0"/>
        <w:rPr>
          <w:rFonts w:ascii="Arial" w:hAnsi="Arial" w:cs="Arial"/>
          <w:sz w:val="22"/>
          <w:szCs w:val="22"/>
        </w:rPr>
      </w:pPr>
    </w:p>
    <w:p w14:paraId="744A6295" w14:textId="77777777" w:rsidR="000F5A54" w:rsidRPr="00CC013B" w:rsidRDefault="000F5A54" w:rsidP="00AA1F57">
      <w:pPr>
        <w:pStyle w:val="C-BodyText"/>
        <w:spacing w:after="0"/>
        <w:rPr>
          <w:rFonts w:ascii="Arial" w:hAnsi="Arial" w:cs="Arial"/>
          <w:sz w:val="22"/>
          <w:szCs w:val="22"/>
        </w:rPr>
      </w:pPr>
      <w:r>
        <w:rPr>
          <w:rFonts w:ascii="Arial" w:hAnsi="Arial" w:cs="Arial"/>
          <w:sz w:val="22"/>
          <w:szCs w:val="22"/>
        </w:rPr>
        <w:t>K</w:t>
      </w:r>
      <w:r w:rsidRPr="000F5A54">
        <w:rPr>
          <w:rFonts w:ascii="Arial" w:hAnsi="Arial" w:cs="Arial"/>
          <w:sz w:val="22"/>
          <w:szCs w:val="22"/>
        </w:rPr>
        <w:t>etoconazole</w:t>
      </w:r>
    </w:p>
    <w:p w14:paraId="64B4E3B1" w14:textId="1FBFE05E" w:rsidR="00A13C6F" w:rsidRDefault="00AA1F57" w:rsidP="00AA1F57">
      <w:pPr>
        <w:pStyle w:val="C-BodyText"/>
        <w:spacing w:before="0" w:after="0" w:line="276" w:lineRule="auto"/>
        <w:rPr>
          <w:rFonts w:ascii="Arial" w:hAnsi="Arial" w:cs="Arial"/>
          <w:sz w:val="22"/>
          <w:szCs w:val="22"/>
        </w:rPr>
      </w:pPr>
      <w:r w:rsidRPr="00CC013B">
        <w:rPr>
          <w:rFonts w:ascii="Arial" w:hAnsi="Arial" w:cs="Arial"/>
          <w:sz w:val="22"/>
          <w:szCs w:val="22"/>
        </w:rPr>
        <w:t>Studies have shown that other inhibitors of cytochrome P450 3A4 produce negligible (erythromycin) and minor (ketoconazole) increases in systemic exposure to fluticasone propionate without notable reductions in serum cortisol concentrations. Nevertheless, care is advised when co-administering potent cytochrome P450 3A4 inhibitors (e.g. ketoconazole), as there is potential for increased systemic exp</w:t>
      </w:r>
      <w:r w:rsidR="001F4A8C">
        <w:rPr>
          <w:rFonts w:ascii="Arial" w:hAnsi="Arial" w:cs="Arial"/>
          <w:sz w:val="22"/>
          <w:szCs w:val="22"/>
        </w:rPr>
        <w:t>osure to fluticasone propionate</w:t>
      </w:r>
      <w:r w:rsidR="00A13C6F" w:rsidRPr="00AC12A7" w:rsidDel="00AC12A7">
        <w:rPr>
          <w:rFonts w:ascii="Arial" w:hAnsi="Arial" w:cs="Arial"/>
          <w:sz w:val="22"/>
          <w:szCs w:val="22"/>
        </w:rPr>
        <w:t xml:space="preserve"> </w:t>
      </w:r>
      <w:r w:rsidR="00A13C6F">
        <w:rPr>
          <w:rFonts w:ascii="Arial" w:hAnsi="Arial" w:cs="Arial"/>
          <w:sz w:val="22"/>
          <w:szCs w:val="22"/>
        </w:rPr>
        <w:t xml:space="preserve">(see </w:t>
      </w:r>
      <w:r w:rsidR="00A13C6F" w:rsidRPr="00DE3570">
        <w:rPr>
          <w:rFonts w:ascii="Arial" w:hAnsi="Arial" w:cs="Arial"/>
          <w:b/>
          <w:bCs/>
          <w:sz w:val="22"/>
          <w:szCs w:val="22"/>
        </w:rPr>
        <w:lastRenderedPageBreak/>
        <w:t>Pharmacokinetics</w:t>
      </w:r>
      <w:r w:rsidR="00A13C6F">
        <w:rPr>
          <w:rFonts w:ascii="Arial" w:hAnsi="Arial" w:cs="Arial"/>
          <w:sz w:val="22"/>
          <w:szCs w:val="22"/>
        </w:rPr>
        <w:t xml:space="preserve"> – </w:t>
      </w:r>
      <w:r w:rsidR="00A13C6F" w:rsidRPr="00DE3570">
        <w:rPr>
          <w:rFonts w:ascii="Arial" w:hAnsi="Arial" w:cs="Arial"/>
          <w:b/>
          <w:bCs/>
          <w:sz w:val="22"/>
          <w:szCs w:val="22"/>
        </w:rPr>
        <w:t>Metabolism</w:t>
      </w:r>
      <w:r w:rsidR="00A13C6F">
        <w:rPr>
          <w:rFonts w:ascii="Arial" w:hAnsi="Arial" w:cs="Arial"/>
          <w:sz w:val="22"/>
          <w:szCs w:val="22"/>
        </w:rPr>
        <w:t xml:space="preserve"> and </w:t>
      </w:r>
      <w:r w:rsidR="00A13C6F" w:rsidRPr="008D58EC">
        <w:rPr>
          <w:rFonts w:ascii="Arial" w:hAnsi="Arial" w:cs="Arial"/>
          <w:b/>
          <w:bCs/>
          <w:sz w:val="22"/>
          <w:szCs w:val="22"/>
        </w:rPr>
        <w:t>PRECAUTIONS</w:t>
      </w:r>
      <w:r w:rsidR="00A13C6F">
        <w:rPr>
          <w:rFonts w:ascii="Arial" w:hAnsi="Arial" w:cs="Arial"/>
          <w:sz w:val="22"/>
          <w:szCs w:val="22"/>
        </w:rPr>
        <w:t xml:space="preserve"> – </w:t>
      </w:r>
      <w:r w:rsidR="00A13C6F" w:rsidRPr="008D58EC">
        <w:rPr>
          <w:rFonts w:ascii="Arial" w:hAnsi="Arial" w:cs="Arial"/>
          <w:b/>
          <w:bCs/>
          <w:sz w:val="22"/>
          <w:szCs w:val="22"/>
        </w:rPr>
        <w:t>Use of Cytochrome P450 3A4 Inhibitors</w:t>
      </w:r>
      <w:r w:rsidR="00A13C6F">
        <w:rPr>
          <w:rFonts w:ascii="Arial" w:hAnsi="Arial" w:cs="Arial"/>
          <w:sz w:val="22"/>
          <w:szCs w:val="22"/>
        </w:rPr>
        <w:t>)</w:t>
      </w:r>
      <w:r w:rsidR="00A13C6F" w:rsidRPr="00FB18F8">
        <w:rPr>
          <w:rFonts w:ascii="Arial" w:hAnsi="Arial" w:cs="Arial"/>
          <w:sz w:val="22"/>
          <w:szCs w:val="22"/>
        </w:rPr>
        <w:t xml:space="preserve">. </w:t>
      </w:r>
    </w:p>
    <w:p w14:paraId="0A8FD6FE" w14:textId="77777777" w:rsidR="007452D0" w:rsidRPr="000F5A54" w:rsidRDefault="007452D0" w:rsidP="00AA1F57">
      <w:pPr>
        <w:pStyle w:val="C-BodyText"/>
        <w:spacing w:before="0" w:after="0" w:line="276" w:lineRule="auto"/>
        <w:rPr>
          <w:rFonts w:ascii="Arial" w:hAnsi="Arial" w:cs="Arial"/>
          <w:sz w:val="22"/>
          <w:szCs w:val="22"/>
        </w:rPr>
      </w:pPr>
    </w:p>
    <w:p w14:paraId="4B379202" w14:textId="77777777" w:rsidR="007452D0" w:rsidRPr="000F5A54" w:rsidRDefault="007452D0" w:rsidP="007452D0">
      <w:pPr>
        <w:pStyle w:val="C-Heading2non-numbered"/>
        <w:spacing w:before="0" w:line="276" w:lineRule="auto"/>
        <w:rPr>
          <w:rFonts w:ascii="Arial" w:hAnsi="Arial" w:cs="Arial"/>
          <w:b w:val="0"/>
          <w:sz w:val="22"/>
          <w:szCs w:val="22"/>
        </w:rPr>
      </w:pPr>
      <w:r w:rsidRPr="000F5A54">
        <w:rPr>
          <w:rFonts w:ascii="Arial" w:hAnsi="Arial" w:cs="Arial"/>
          <w:b w:val="0"/>
          <w:sz w:val="22"/>
          <w:szCs w:val="22"/>
        </w:rPr>
        <w:t>Cimetidine</w:t>
      </w:r>
    </w:p>
    <w:p w14:paraId="2DE9385C" w14:textId="77777777" w:rsidR="007452D0" w:rsidRDefault="007452D0" w:rsidP="007452D0">
      <w:pPr>
        <w:pStyle w:val="C-BodyText"/>
        <w:spacing w:before="0" w:after="0" w:line="276" w:lineRule="auto"/>
        <w:rPr>
          <w:rFonts w:ascii="Arial" w:hAnsi="Arial" w:cs="Arial"/>
          <w:sz w:val="22"/>
          <w:szCs w:val="22"/>
        </w:rPr>
      </w:pPr>
      <w:r w:rsidRPr="00FF1A07">
        <w:rPr>
          <w:rFonts w:ascii="Arial" w:hAnsi="Arial" w:cs="Arial"/>
          <w:sz w:val="22"/>
          <w:szCs w:val="22"/>
        </w:rPr>
        <w:t xml:space="preserve">After oral administration of 4.4 mg </w:t>
      </w:r>
      <w:proofErr w:type="spellStart"/>
      <w:r w:rsidRPr="00FF1A07">
        <w:rPr>
          <w:rFonts w:ascii="Arial" w:hAnsi="Arial" w:cs="Arial"/>
          <w:sz w:val="22"/>
          <w:szCs w:val="22"/>
        </w:rPr>
        <w:t>azelastine</w:t>
      </w:r>
      <w:proofErr w:type="spellEnd"/>
      <w:r w:rsidRPr="00FF1A07">
        <w:rPr>
          <w:rFonts w:ascii="Arial" w:hAnsi="Arial" w:cs="Arial"/>
          <w:sz w:val="22"/>
          <w:szCs w:val="22"/>
        </w:rPr>
        <w:t xml:space="preserve"> hydrochloride twice daily, cimetidine has been shown to increase the plasma levels of </w:t>
      </w:r>
      <w:proofErr w:type="spellStart"/>
      <w:r w:rsidRPr="00FF1A07">
        <w:rPr>
          <w:rFonts w:ascii="Arial" w:hAnsi="Arial" w:cs="Arial"/>
          <w:sz w:val="22"/>
          <w:szCs w:val="22"/>
        </w:rPr>
        <w:t>azelastine</w:t>
      </w:r>
      <w:proofErr w:type="spellEnd"/>
      <w:r w:rsidRPr="00FF1A07">
        <w:rPr>
          <w:rFonts w:ascii="Arial" w:hAnsi="Arial" w:cs="Arial"/>
          <w:sz w:val="22"/>
          <w:szCs w:val="22"/>
        </w:rPr>
        <w:t xml:space="preserve">. This is thought to be due to cimetidine inhibiting the metabolism of </w:t>
      </w:r>
      <w:proofErr w:type="spellStart"/>
      <w:r w:rsidRPr="00FF1A07">
        <w:rPr>
          <w:rFonts w:ascii="Arial" w:hAnsi="Arial" w:cs="Arial"/>
          <w:sz w:val="22"/>
          <w:szCs w:val="22"/>
        </w:rPr>
        <w:t>azelastine</w:t>
      </w:r>
      <w:proofErr w:type="spellEnd"/>
      <w:r w:rsidRPr="00FF1A07">
        <w:rPr>
          <w:rFonts w:ascii="Arial" w:hAnsi="Arial" w:cs="Arial"/>
          <w:sz w:val="22"/>
          <w:szCs w:val="22"/>
        </w:rPr>
        <w:t xml:space="preserve"> by interacting with the hepatic cytochrome P450 system. No interaction was seen following co -medication with ranitidine.</w:t>
      </w:r>
    </w:p>
    <w:p w14:paraId="6723EEE5" w14:textId="77777777" w:rsidR="00A13C6F" w:rsidRPr="00FB18F8" w:rsidRDefault="00A13C6F" w:rsidP="006D46FB">
      <w:pPr>
        <w:pStyle w:val="C-BodyText"/>
        <w:spacing w:before="0" w:after="0" w:line="276" w:lineRule="auto"/>
        <w:rPr>
          <w:rFonts w:ascii="Arial" w:hAnsi="Arial" w:cs="Arial"/>
          <w:sz w:val="22"/>
          <w:szCs w:val="22"/>
        </w:rPr>
      </w:pPr>
    </w:p>
    <w:p w14:paraId="6890C059" w14:textId="77777777" w:rsidR="00A13C6F" w:rsidRDefault="00A13C6F" w:rsidP="006D46FB">
      <w:pPr>
        <w:spacing w:after="0"/>
        <w:rPr>
          <w:rFonts w:ascii="Arial" w:hAnsi="Arial" w:cs="Arial"/>
          <w:b/>
          <w:bCs/>
          <w:sz w:val="24"/>
          <w:szCs w:val="24"/>
        </w:rPr>
      </w:pPr>
      <w:r>
        <w:rPr>
          <w:rFonts w:ascii="Arial" w:hAnsi="Arial" w:cs="Arial"/>
          <w:b/>
          <w:bCs/>
          <w:sz w:val="24"/>
          <w:szCs w:val="24"/>
        </w:rPr>
        <w:t>ADVERSE EFFECTS</w:t>
      </w:r>
    </w:p>
    <w:p w14:paraId="14300B86" w14:textId="004465C6" w:rsidR="00A13C6F" w:rsidRPr="00A36738" w:rsidRDefault="00A13C6F" w:rsidP="00866CD3">
      <w:pPr>
        <w:autoSpaceDE w:val="0"/>
        <w:autoSpaceDN w:val="0"/>
        <w:adjustRightInd w:val="0"/>
        <w:spacing w:after="0"/>
        <w:rPr>
          <w:rFonts w:ascii="Arial" w:hAnsi="Arial" w:cs="Arial"/>
          <w:color w:val="000000"/>
        </w:rPr>
      </w:pPr>
      <w:r w:rsidRPr="00A36738">
        <w:rPr>
          <w:rFonts w:ascii="Arial" w:hAnsi="Arial" w:cs="Arial"/>
          <w:color w:val="000000"/>
        </w:rPr>
        <w:t xml:space="preserve">In the 4 </w:t>
      </w:r>
      <w:r>
        <w:rPr>
          <w:rFonts w:ascii="Arial" w:hAnsi="Arial" w:cs="Arial"/>
          <w:color w:val="000000"/>
        </w:rPr>
        <w:t>placebo-controlled</w:t>
      </w:r>
      <w:r w:rsidRPr="00A36738">
        <w:rPr>
          <w:rFonts w:ascii="Arial" w:hAnsi="Arial" w:cs="Arial"/>
          <w:color w:val="000000"/>
        </w:rPr>
        <w:t xml:space="preserve"> studies (MP4001, MP4002, MP4004 and MP4006), </w:t>
      </w:r>
      <w:r w:rsidRPr="00A36738">
        <w:rPr>
          <w:rFonts w:ascii="Arial" w:hAnsi="Arial" w:cs="Arial"/>
        </w:rPr>
        <w:t>1006 pa</w:t>
      </w:r>
      <w:r w:rsidR="00572FC9">
        <w:rPr>
          <w:rFonts w:ascii="Arial" w:hAnsi="Arial" w:cs="Arial"/>
        </w:rPr>
        <w:t>tients were treated with DYLASTINE</w:t>
      </w:r>
      <w:r w:rsidR="00FD4410">
        <w:rPr>
          <w:rFonts w:ascii="Arial" w:hAnsi="Arial" w:cs="Arial"/>
        </w:rPr>
        <w:t> </w:t>
      </w:r>
      <w:r w:rsidR="00FB7661">
        <w:rPr>
          <w:rFonts w:ascii="Arial" w:hAnsi="Arial" w:cs="Arial"/>
        </w:rPr>
        <w:t>125/50</w:t>
      </w:r>
      <w:r w:rsidRPr="00A36738">
        <w:rPr>
          <w:rFonts w:ascii="Arial" w:hAnsi="Arial" w:cs="Arial"/>
        </w:rPr>
        <w:t xml:space="preserve">, 1012 with placebo, 851 with </w:t>
      </w:r>
      <w:proofErr w:type="spellStart"/>
      <w:r w:rsidRPr="00A36738">
        <w:rPr>
          <w:rFonts w:ascii="Arial" w:hAnsi="Arial" w:cs="Arial"/>
        </w:rPr>
        <w:t>azelastine</w:t>
      </w:r>
      <w:proofErr w:type="spellEnd"/>
      <w:r w:rsidRPr="00A36738">
        <w:rPr>
          <w:rFonts w:ascii="Arial" w:hAnsi="Arial" w:cs="Arial"/>
        </w:rPr>
        <w:t xml:space="preserve"> </w:t>
      </w:r>
      <w:r w:rsidR="00572FC9">
        <w:rPr>
          <w:rFonts w:ascii="Arial" w:hAnsi="Arial" w:cs="Arial"/>
        </w:rPr>
        <w:t>(AZE) in DYLASTINE</w:t>
      </w:r>
      <w:r w:rsidR="00FD4410">
        <w:rPr>
          <w:rFonts w:ascii="Arial" w:hAnsi="Arial" w:cs="Arial"/>
        </w:rPr>
        <w:t> </w:t>
      </w:r>
      <w:r w:rsidR="00FB7661">
        <w:rPr>
          <w:rFonts w:ascii="Arial" w:hAnsi="Arial" w:cs="Arial"/>
        </w:rPr>
        <w:t>125/50</w:t>
      </w:r>
      <w:r w:rsidRPr="00A36738">
        <w:rPr>
          <w:rFonts w:ascii="Arial" w:hAnsi="Arial" w:cs="Arial"/>
        </w:rPr>
        <w:t xml:space="preserve"> vehicle, 846 with flutica</w:t>
      </w:r>
      <w:r w:rsidR="00572FC9">
        <w:rPr>
          <w:rFonts w:ascii="Arial" w:hAnsi="Arial" w:cs="Arial"/>
        </w:rPr>
        <w:t>sone propionate (FLU) in DYLASTINE</w:t>
      </w:r>
      <w:r w:rsidR="00FD4410">
        <w:rPr>
          <w:rFonts w:ascii="Arial" w:hAnsi="Arial" w:cs="Arial"/>
        </w:rPr>
        <w:t> </w:t>
      </w:r>
      <w:r w:rsidR="00FB7661">
        <w:rPr>
          <w:rFonts w:ascii="Arial" w:hAnsi="Arial" w:cs="Arial"/>
        </w:rPr>
        <w:t>125/50</w:t>
      </w:r>
      <w:r w:rsidRPr="00A36738">
        <w:rPr>
          <w:rFonts w:ascii="Arial" w:hAnsi="Arial" w:cs="Arial"/>
        </w:rPr>
        <w:t xml:space="preserve"> vehicle, 152 with </w:t>
      </w:r>
      <w:proofErr w:type="spellStart"/>
      <w:r w:rsidRPr="00A36738">
        <w:rPr>
          <w:rFonts w:ascii="Arial" w:hAnsi="Arial" w:cs="Arial"/>
        </w:rPr>
        <w:t>Astelin</w:t>
      </w:r>
      <w:proofErr w:type="spellEnd"/>
      <w:r w:rsidRPr="001A7F67">
        <w:rPr>
          <w:rFonts w:ascii="Arial" w:hAnsi="Arial" w:cs="Arial"/>
          <w:vertAlign w:val="superscript"/>
        </w:rPr>
        <w:t>®</w:t>
      </w:r>
      <w:r w:rsidRPr="00A36738">
        <w:rPr>
          <w:rFonts w:ascii="Arial" w:hAnsi="Arial" w:cs="Arial"/>
        </w:rPr>
        <w:t xml:space="preserve"> Nasal Spray (marketed AZE), and 153 with fluticasone propionate from Roxanne Laboratories Inc. (marketed FLU). The mean duration of exposure to each of these products was about 14 days. </w:t>
      </w:r>
      <w:r w:rsidRPr="00A36738">
        <w:rPr>
          <w:rFonts w:ascii="Arial" w:hAnsi="Arial" w:cs="Arial"/>
          <w:color w:val="000000"/>
        </w:rPr>
        <w:t>There were no relevant differences between the treatment groups in the overall rate of premature discontinuations and also the primary reason for discontinuation.</w:t>
      </w:r>
    </w:p>
    <w:p w14:paraId="1236CA75" w14:textId="77777777" w:rsidR="00A13C6F" w:rsidRPr="00A36738" w:rsidRDefault="00A13C6F" w:rsidP="00866CD3">
      <w:pPr>
        <w:autoSpaceDE w:val="0"/>
        <w:autoSpaceDN w:val="0"/>
        <w:adjustRightInd w:val="0"/>
        <w:spacing w:after="0"/>
        <w:rPr>
          <w:rFonts w:ascii="Arial" w:hAnsi="Arial" w:cs="Arial"/>
        </w:rPr>
      </w:pPr>
    </w:p>
    <w:p w14:paraId="5B019583" w14:textId="03030130" w:rsidR="00A13C6F" w:rsidRPr="00A36738" w:rsidRDefault="00A13C6F" w:rsidP="00866CD3">
      <w:pPr>
        <w:autoSpaceDE w:val="0"/>
        <w:autoSpaceDN w:val="0"/>
        <w:adjustRightInd w:val="0"/>
        <w:spacing w:after="0"/>
        <w:rPr>
          <w:rFonts w:ascii="Arial" w:hAnsi="Arial" w:cs="Arial"/>
        </w:rPr>
      </w:pPr>
      <w:r>
        <w:rPr>
          <w:rFonts w:ascii="Arial" w:hAnsi="Arial" w:cs="Arial"/>
        </w:rPr>
        <w:t>A</w:t>
      </w:r>
      <w:r w:rsidRPr="00A36738">
        <w:rPr>
          <w:rFonts w:ascii="Arial" w:hAnsi="Arial" w:cs="Arial"/>
        </w:rPr>
        <w:t xml:space="preserve">cross all treatment groups, the percentage of subjects with any AEs was low and majority of AEs were mild in nature. The most frequently reported adverse events (AEs) were </w:t>
      </w:r>
      <w:proofErr w:type="spellStart"/>
      <w:r w:rsidRPr="00A36738">
        <w:rPr>
          <w:rFonts w:ascii="Arial" w:hAnsi="Arial" w:cs="Arial"/>
        </w:rPr>
        <w:t>dysgeusia</w:t>
      </w:r>
      <w:proofErr w:type="spellEnd"/>
      <w:r w:rsidRPr="00A36738">
        <w:rPr>
          <w:rFonts w:ascii="Arial" w:hAnsi="Arial" w:cs="Arial"/>
        </w:rPr>
        <w:t xml:space="preserve">, epistaxis and headache. </w:t>
      </w:r>
      <w:r>
        <w:rPr>
          <w:rFonts w:ascii="Arial" w:hAnsi="Arial" w:cs="Arial"/>
        </w:rPr>
        <w:t xml:space="preserve">However, headache and especially epistaxis were also </w:t>
      </w:r>
      <w:r w:rsidRPr="00A36738">
        <w:rPr>
          <w:rFonts w:ascii="Arial" w:hAnsi="Arial" w:cs="Arial"/>
        </w:rPr>
        <w:t xml:space="preserve">frequently reported </w:t>
      </w:r>
      <w:r>
        <w:rPr>
          <w:rFonts w:ascii="Arial" w:hAnsi="Arial" w:cs="Arial"/>
        </w:rPr>
        <w:t xml:space="preserve">under placebo. </w:t>
      </w:r>
      <w:r w:rsidRPr="00A36738">
        <w:rPr>
          <w:rFonts w:ascii="Arial" w:hAnsi="Arial" w:cs="Arial"/>
        </w:rPr>
        <w:t xml:space="preserve">Treatment-emergent adverse events reported with an incidence of ≥ </w:t>
      </w:r>
      <w:r>
        <w:rPr>
          <w:rFonts w:ascii="Arial" w:hAnsi="Arial" w:cs="Arial"/>
        </w:rPr>
        <w:t>1</w:t>
      </w:r>
      <w:r w:rsidR="00572FC9">
        <w:rPr>
          <w:rFonts w:ascii="Arial" w:hAnsi="Arial" w:cs="Arial"/>
        </w:rPr>
        <w:t>% in the DYLASTINE</w:t>
      </w:r>
      <w:r w:rsidR="00FD4410">
        <w:rPr>
          <w:rFonts w:ascii="Arial" w:hAnsi="Arial" w:cs="Arial"/>
        </w:rPr>
        <w:t> </w:t>
      </w:r>
      <w:r w:rsidR="00FB7661">
        <w:rPr>
          <w:rFonts w:ascii="Arial" w:hAnsi="Arial" w:cs="Arial"/>
        </w:rPr>
        <w:t>125/50</w:t>
      </w:r>
      <w:r w:rsidRPr="00A36738">
        <w:rPr>
          <w:rFonts w:ascii="Arial" w:hAnsi="Arial" w:cs="Arial"/>
        </w:rPr>
        <w:t xml:space="preserve"> treated group, in the 4 pivotal studies, are shown in Table 2.</w:t>
      </w:r>
    </w:p>
    <w:tbl>
      <w:tblPr>
        <w:tblW w:w="9639" w:type="dxa"/>
        <w:tblInd w:w="2" w:type="dxa"/>
        <w:tblBorders>
          <w:top w:val="single" w:sz="4" w:space="0" w:color="auto"/>
          <w:bottom w:val="single" w:sz="4" w:space="0" w:color="auto"/>
        </w:tblBorders>
        <w:tblCellMar>
          <w:left w:w="28" w:type="dxa"/>
          <w:right w:w="28" w:type="dxa"/>
        </w:tblCellMar>
        <w:tblLook w:val="00A0" w:firstRow="1" w:lastRow="0" w:firstColumn="1" w:lastColumn="0" w:noHBand="0" w:noVBand="0"/>
      </w:tblPr>
      <w:tblGrid>
        <w:gridCol w:w="2117"/>
        <w:gridCol w:w="1857"/>
        <w:gridCol w:w="1133"/>
        <w:gridCol w:w="1086"/>
        <w:gridCol w:w="1086"/>
        <w:gridCol w:w="1187"/>
        <w:gridCol w:w="1173"/>
      </w:tblGrid>
      <w:tr w:rsidR="00A13C6F" w:rsidRPr="00C6125C" w14:paraId="13EC284E" w14:textId="77777777">
        <w:trPr>
          <w:trHeight w:val="35"/>
        </w:trPr>
        <w:tc>
          <w:tcPr>
            <w:tcW w:w="9639" w:type="dxa"/>
            <w:gridSpan w:val="7"/>
            <w:tcBorders>
              <w:top w:val="nil"/>
              <w:bottom w:val="single" w:sz="4" w:space="0" w:color="auto"/>
            </w:tcBorders>
          </w:tcPr>
          <w:p w14:paraId="66D1A678" w14:textId="38D92581" w:rsidR="00A13C6F" w:rsidRPr="00C6125C" w:rsidRDefault="00A13C6F" w:rsidP="00B14C5E">
            <w:pPr>
              <w:pStyle w:val="Heading8"/>
              <w:rPr>
                <w:rFonts w:ascii="Arial" w:hAnsi="Arial" w:cs="Arial"/>
                <w:b/>
                <w:bCs/>
                <w:color w:val="auto"/>
              </w:rPr>
            </w:pPr>
            <w:bookmarkStart w:id="7" w:name="_Ref280697855"/>
            <w:bookmarkStart w:id="8" w:name="_Toc293411189"/>
            <w:r w:rsidRPr="00C6125C">
              <w:rPr>
                <w:rFonts w:ascii="Arial" w:hAnsi="Arial" w:cs="Arial"/>
                <w:b/>
                <w:bCs/>
                <w:color w:val="auto"/>
              </w:rPr>
              <w:t xml:space="preserve">Table 2: Treatment-emergent adverse events with an incidence of ≥ </w:t>
            </w:r>
            <w:r>
              <w:rPr>
                <w:rFonts w:ascii="Arial" w:hAnsi="Arial" w:cs="Arial"/>
                <w:b/>
                <w:bCs/>
                <w:color w:val="auto"/>
              </w:rPr>
              <w:t>1</w:t>
            </w:r>
            <w:r w:rsidR="00572FC9">
              <w:rPr>
                <w:rFonts w:ascii="Arial" w:hAnsi="Arial" w:cs="Arial"/>
                <w:b/>
                <w:bCs/>
                <w:color w:val="auto"/>
              </w:rPr>
              <w:t>% in the DYLASTINE</w:t>
            </w:r>
            <w:r w:rsidR="00FD4410">
              <w:rPr>
                <w:rFonts w:ascii="Arial" w:hAnsi="Arial" w:cs="Arial"/>
                <w:b/>
                <w:bCs/>
                <w:color w:val="auto"/>
              </w:rPr>
              <w:t> </w:t>
            </w:r>
            <w:r w:rsidR="00FB7661">
              <w:rPr>
                <w:rFonts w:ascii="Arial" w:hAnsi="Arial" w:cs="Arial"/>
                <w:b/>
                <w:bCs/>
                <w:color w:val="auto"/>
              </w:rPr>
              <w:t>125/50</w:t>
            </w:r>
            <w:r w:rsidRPr="00C6125C">
              <w:rPr>
                <w:rFonts w:ascii="Arial" w:hAnsi="Arial" w:cs="Arial"/>
                <w:b/>
                <w:bCs/>
                <w:color w:val="auto"/>
              </w:rPr>
              <w:t xml:space="preserve"> treated group, in the 4 pivotal studies</w:t>
            </w:r>
            <w:bookmarkEnd w:id="7"/>
            <w:bookmarkEnd w:id="8"/>
            <w:r w:rsidRPr="00C6125C">
              <w:rPr>
                <w:rFonts w:ascii="Arial" w:hAnsi="Arial" w:cs="Arial"/>
                <w:b/>
                <w:bCs/>
                <w:color w:val="auto"/>
              </w:rPr>
              <w:t xml:space="preserve"> </w:t>
            </w:r>
          </w:p>
        </w:tc>
      </w:tr>
      <w:tr w:rsidR="00A13C6F" w:rsidRPr="00C6125C" w14:paraId="2F8D35AA" w14:textId="77777777">
        <w:trPr>
          <w:trHeight w:val="35"/>
        </w:trPr>
        <w:tc>
          <w:tcPr>
            <w:tcW w:w="2383" w:type="dxa"/>
            <w:tcBorders>
              <w:top w:val="single" w:sz="4" w:space="0" w:color="auto"/>
              <w:bottom w:val="nil"/>
            </w:tcBorders>
          </w:tcPr>
          <w:p w14:paraId="65D30297" w14:textId="77777777" w:rsidR="00A13C6F" w:rsidRPr="00BF7340" w:rsidRDefault="00A13C6F" w:rsidP="00224592">
            <w:pPr>
              <w:pStyle w:val="Tableformat"/>
              <w:rPr>
                <w:b/>
                <w:bCs/>
              </w:rPr>
            </w:pPr>
          </w:p>
        </w:tc>
        <w:tc>
          <w:tcPr>
            <w:tcW w:w="1206" w:type="dxa"/>
            <w:tcBorders>
              <w:top w:val="single" w:sz="4" w:space="0" w:color="auto"/>
              <w:bottom w:val="nil"/>
            </w:tcBorders>
            <w:vAlign w:val="center"/>
          </w:tcPr>
          <w:p w14:paraId="6B1734EB" w14:textId="46F244C1" w:rsidR="00A13C6F" w:rsidRPr="00BF7340" w:rsidRDefault="00F535C9" w:rsidP="00224592">
            <w:pPr>
              <w:pStyle w:val="Tableformat"/>
              <w:jc w:val="center"/>
              <w:rPr>
                <w:b/>
                <w:bCs/>
              </w:rPr>
            </w:pPr>
            <w:r>
              <w:rPr>
                <w:b/>
                <w:bCs/>
              </w:rPr>
              <w:t>DYLASTINE</w:t>
            </w:r>
            <w:r w:rsidR="00FD4410">
              <w:rPr>
                <w:b/>
                <w:bCs/>
              </w:rPr>
              <w:t> </w:t>
            </w:r>
            <w:r w:rsidR="00FB7661">
              <w:rPr>
                <w:b/>
                <w:bCs/>
              </w:rPr>
              <w:t>125/50</w:t>
            </w:r>
          </w:p>
        </w:tc>
        <w:tc>
          <w:tcPr>
            <w:tcW w:w="1206" w:type="dxa"/>
            <w:tcBorders>
              <w:top w:val="single" w:sz="4" w:space="0" w:color="auto"/>
              <w:bottom w:val="nil"/>
            </w:tcBorders>
            <w:vAlign w:val="center"/>
          </w:tcPr>
          <w:p w14:paraId="745601F2" w14:textId="77777777" w:rsidR="00A13C6F" w:rsidRPr="00BF7340" w:rsidRDefault="00A13C6F" w:rsidP="00224592">
            <w:pPr>
              <w:pStyle w:val="Tableformat"/>
              <w:jc w:val="center"/>
              <w:rPr>
                <w:b/>
                <w:bCs/>
              </w:rPr>
            </w:pPr>
            <w:r w:rsidRPr="00BF7340">
              <w:rPr>
                <w:b/>
                <w:bCs/>
              </w:rPr>
              <w:t>P</w:t>
            </w:r>
            <w:r>
              <w:rPr>
                <w:b/>
                <w:bCs/>
              </w:rPr>
              <w:t>lacebo</w:t>
            </w:r>
          </w:p>
        </w:tc>
        <w:tc>
          <w:tcPr>
            <w:tcW w:w="1206" w:type="dxa"/>
            <w:tcBorders>
              <w:top w:val="single" w:sz="4" w:space="0" w:color="auto"/>
              <w:bottom w:val="nil"/>
            </w:tcBorders>
            <w:vAlign w:val="center"/>
          </w:tcPr>
          <w:p w14:paraId="22959461" w14:textId="77777777" w:rsidR="00A13C6F" w:rsidRPr="00BF7340" w:rsidRDefault="00A13C6F" w:rsidP="00224592">
            <w:pPr>
              <w:pStyle w:val="Tableformat"/>
              <w:jc w:val="center"/>
              <w:rPr>
                <w:b/>
                <w:bCs/>
              </w:rPr>
            </w:pPr>
            <w:r>
              <w:rPr>
                <w:b/>
                <w:bCs/>
              </w:rPr>
              <w:t>AZE</w:t>
            </w:r>
            <w:r w:rsidRPr="0000667D">
              <w:rPr>
                <w:b/>
                <w:bCs/>
                <w:vertAlign w:val="superscript"/>
              </w:rPr>
              <w:t>§</w:t>
            </w:r>
          </w:p>
        </w:tc>
        <w:tc>
          <w:tcPr>
            <w:tcW w:w="1206" w:type="dxa"/>
            <w:tcBorders>
              <w:top w:val="single" w:sz="4" w:space="0" w:color="auto"/>
              <w:bottom w:val="nil"/>
            </w:tcBorders>
            <w:vAlign w:val="center"/>
          </w:tcPr>
          <w:p w14:paraId="5F6A23A1" w14:textId="77777777" w:rsidR="00A13C6F" w:rsidRPr="00BF7340" w:rsidRDefault="00A13C6F" w:rsidP="00224592">
            <w:pPr>
              <w:pStyle w:val="Tableformat"/>
              <w:jc w:val="center"/>
              <w:rPr>
                <w:b/>
                <w:bCs/>
              </w:rPr>
            </w:pPr>
            <w:r w:rsidRPr="00BF7340">
              <w:rPr>
                <w:b/>
                <w:bCs/>
              </w:rPr>
              <w:t>F</w:t>
            </w:r>
            <w:r>
              <w:rPr>
                <w:b/>
                <w:bCs/>
              </w:rPr>
              <w:t>LU</w:t>
            </w:r>
            <w:r w:rsidRPr="0000667D">
              <w:rPr>
                <w:b/>
                <w:bCs/>
                <w:vertAlign w:val="superscript"/>
              </w:rPr>
              <w:t>§</w:t>
            </w:r>
          </w:p>
        </w:tc>
        <w:tc>
          <w:tcPr>
            <w:tcW w:w="1223" w:type="dxa"/>
            <w:tcBorders>
              <w:top w:val="single" w:sz="4" w:space="0" w:color="auto"/>
              <w:bottom w:val="nil"/>
            </w:tcBorders>
            <w:vAlign w:val="center"/>
          </w:tcPr>
          <w:p w14:paraId="05E5C1E4" w14:textId="77777777" w:rsidR="00A13C6F" w:rsidRPr="00BF7340" w:rsidRDefault="00A13C6F" w:rsidP="00224592">
            <w:pPr>
              <w:pStyle w:val="Tableformat"/>
              <w:jc w:val="center"/>
              <w:rPr>
                <w:b/>
                <w:bCs/>
              </w:rPr>
            </w:pPr>
            <w:proofErr w:type="spellStart"/>
            <w:r>
              <w:rPr>
                <w:b/>
                <w:bCs/>
              </w:rPr>
              <w:t>AZE</w:t>
            </w:r>
            <w:r w:rsidRPr="0000667D">
              <w:rPr>
                <w:b/>
                <w:bCs/>
                <w:vertAlign w:val="superscript"/>
              </w:rPr>
              <w:t>m</w:t>
            </w:r>
            <w:r>
              <w:rPr>
                <w:b/>
                <w:bCs/>
                <w:vertAlign w:val="superscript"/>
              </w:rPr>
              <w:t>arketed</w:t>
            </w:r>
            <w:proofErr w:type="spellEnd"/>
          </w:p>
        </w:tc>
        <w:tc>
          <w:tcPr>
            <w:tcW w:w="1209" w:type="dxa"/>
            <w:tcBorders>
              <w:top w:val="single" w:sz="4" w:space="0" w:color="auto"/>
              <w:bottom w:val="nil"/>
            </w:tcBorders>
            <w:vAlign w:val="center"/>
          </w:tcPr>
          <w:p w14:paraId="5A4BF89B" w14:textId="77777777" w:rsidR="00A13C6F" w:rsidRPr="00BF7340" w:rsidRDefault="00A13C6F" w:rsidP="00224592">
            <w:pPr>
              <w:pStyle w:val="Tableformat"/>
              <w:jc w:val="center"/>
              <w:rPr>
                <w:b/>
                <w:bCs/>
              </w:rPr>
            </w:pPr>
            <w:proofErr w:type="spellStart"/>
            <w:r>
              <w:rPr>
                <w:b/>
                <w:bCs/>
              </w:rPr>
              <w:t>FLU</w:t>
            </w:r>
            <w:r w:rsidRPr="0000667D">
              <w:rPr>
                <w:b/>
                <w:bCs/>
                <w:vertAlign w:val="superscript"/>
              </w:rPr>
              <w:t>m</w:t>
            </w:r>
            <w:r>
              <w:rPr>
                <w:b/>
                <w:bCs/>
                <w:vertAlign w:val="superscript"/>
              </w:rPr>
              <w:t>arketed</w:t>
            </w:r>
            <w:proofErr w:type="spellEnd"/>
          </w:p>
        </w:tc>
      </w:tr>
      <w:tr w:rsidR="00A13C6F" w:rsidRPr="00C6125C" w14:paraId="7C5F98A5" w14:textId="77777777">
        <w:trPr>
          <w:trHeight w:val="25"/>
        </w:trPr>
        <w:tc>
          <w:tcPr>
            <w:tcW w:w="2383" w:type="dxa"/>
            <w:tcBorders>
              <w:top w:val="nil"/>
              <w:bottom w:val="single" w:sz="4" w:space="0" w:color="auto"/>
            </w:tcBorders>
            <w:vAlign w:val="center"/>
          </w:tcPr>
          <w:p w14:paraId="57508F0D" w14:textId="77777777" w:rsidR="00A13C6F" w:rsidRPr="00D3100D" w:rsidRDefault="00A13C6F" w:rsidP="00224592">
            <w:pPr>
              <w:pStyle w:val="Tableformat"/>
            </w:pPr>
          </w:p>
        </w:tc>
        <w:tc>
          <w:tcPr>
            <w:tcW w:w="1206" w:type="dxa"/>
            <w:tcBorders>
              <w:top w:val="nil"/>
              <w:bottom w:val="single" w:sz="4" w:space="0" w:color="auto"/>
            </w:tcBorders>
            <w:vAlign w:val="center"/>
          </w:tcPr>
          <w:p w14:paraId="488CCCD3" w14:textId="77777777" w:rsidR="00A13C6F" w:rsidRPr="0000667D" w:rsidRDefault="00A13C6F" w:rsidP="00224592">
            <w:pPr>
              <w:pStyle w:val="Tableformat"/>
              <w:jc w:val="center"/>
              <w:rPr>
                <w:b/>
                <w:bCs/>
              </w:rPr>
            </w:pPr>
            <w:r w:rsidRPr="0000667D">
              <w:rPr>
                <w:b/>
                <w:bCs/>
              </w:rPr>
              <w:t>N (%)</w:t>
            </w:r>
          </w:p>
        </w:tc>
        <w:tc>
          <w:tcPr>
            <w:tcW w:w="1206" w:type="dxa"/>
            <w:tcBorders>
              <w:top w:val="nil"/>
              <w:bottom w:val="single" w:sz="4" w:space="0" w:color="auto"/>
            </w:tcBorders>
            <w:vAlign w:val="center"/>
          </w:tcPr>
          <w:p w14:paraId="5C9A9218" w14:textId="77777777" w:rsidR="00A13C6F" w:rsidRDefault="00A13C6F" w:rsidP="00224592">
            <w:pPr>
              <w:pStyle w:val="Tableformat"/>
              <w:jc w:val="center"/>
            </w:pPr>
            <w:r w:rsidRPr="0000667D">
              <w:rPr>
                <w:b/>
                <w:bCs/>
              </w:rPr>
              <w:t>N (%)</w:t>
            </w:r>
          </w:p>
        </w:tc>
        <w:tc>
          <w:tcPr>
            <w:tcW w:w="1206" w:type="dxa"/>
            <w:tcBorders>
              <w:top w:val="nil"/>
              <w:bottom w:val="single" w:sz="4" w:space="0" w:color="auto"/>
            </w:tcBorders>
            <w:vAlign w:val="center"/>
          </w:tcPr>
          <w:p w14:paraId="30E37B96" w14:textId="77777777" w:rsidR="00A13C6F" w:rsidRDefault="00A13C6F" w:rsidP="00224592">
            <w:pPr>
              <w:pStyle w:val="Tableformat"/>
              <w:jc w:val="center"/>
            </w:pPr>
            <w:r w:rsidRPr="0000667D">
              <w:rPr>
                <w:b/>
                <w:bCs/>
              </w:rPr>
              <w:t>N (%)</w:t>
            </w:r>
          </w:p>
        </w:tc>
        <w:tc>
          <w:tcPr>
            <w:tcW w:w="1206" w:type="dxa"/>
            <w:tcBorders>
              <w:top w:val="nil"/>
              <w:bottom w:val="single" w:sz="4" w:space="0" w:color="auto"/>
            </w:tcBorders>
            <w:vAlign w:val="center"/>
          </w:tcPr>
          <w:p w14:paraId="2208ED4E" w14:textId="77777777" w:rsidR="00A13C6F" w:rsidRDefault="00A13C6F" w:rsidP="00224592">
            <w:pPr>
              <w:pStyle w:val="Tableformat"/>
              <w:jc w:val="center"/>
            </w:pPr>
            <w:r w:rsidRPr="0000667D">
              <w:rPr>
                <w:b/>
                <w:bCs/>
              </w:rPr>
              <w:t>N (%)</w:t>
            </w:r>
          </w:p>
        </w:tc>
        <w:tc>
          <w:tcPr>
            <w:tcW w:w="1223" w:type="dxa"/>
            <w:tcBorders>
              <w:top w:val="nil"/>
              <w:bottom w:val="single" w:sz="4" w:space="0" w:color="auto"/>
            </w:tcBorders>
            <w:vAlign w:val="center"/>
          </w:tcPr>
          <w:p w14:paraId="4B848B92" w14:textId="77777777" w:rsidR="00A13C6F" w:rsidRDefault="00A13C6F" w:rsidP="00224592">
            <w:pPr>
              <w:pStyle w:val="Tableformat"/>
              <w:jc w:val="center"/>
            </w:pPr>
            <w:r w:rsidRPr="0000667D">
              <w:rPr>
                <w:b/>
                <w:bCs/>
              </w:rPr>
              <w:t>N (%)</w:t>
            </w:r>
          </w:p>
        </w:tc>
        <w:tc>
          <w:tcPr>
            <w:tcW w:w="1209" w:type="dxa"/>
            <w:tcBorders>
              <w:top w:val="nil"/>
              <w:bottom w:val="single" w:sz="4" w:space="0" w:color="auto"/>
            </w:tcBorders>
            <w:vAlign w:val="center"/>
          </w:tcPr>
          <w:p w14:paraId="36EB4FC2" w14:textId="77777777" w:rsidR="00A13C6F" w:rsidRDefault="00A13C6F" w:rsidP="00224592">
            <w:pPr>
              <w:pStyle w:val="Tableformat"/>
              <w:jc w:val="center"/>
            </w:pPr>
            <w:r w:rsidRPr="0000667D">
              <w:rPr>
                <w:b/>
                <w:bCs/>
              </w:rPr>
              <w:t>N (%)</w:t>
            </w:r>
          </w:p>
        </w:tc>
      </w:tr>
      <w:tr w:rsidR="00A13C6F" w:rsidRPr="00C6125C" w14:paraId="4038D750" w14:textId="77777777">
        <w:trPr>
          <w:trHeight w:val="25"/>
        </w:trPr>
        <w:tc>
          <w:tcPr>
            <w:tcW w:w="2383" w:type="dxa"/>
            <w:tcBorders>
              <w:top w:val="single" w:sz="4" w:space="0" w:color="auto"/>
              <w:bottom w:val="single" w:sz="4" w:space="0" w:color="auto"/>
            </w:tcBorders>
            <w:vAlign w:val="center"/>
          </w:tcPr>
          <w:p w14:paraId="7A6FE39B" w14:textId="77777777" w:rsidR="00A13C6F" w:rsidRPr="00D3100D" w:rsidRDefault="00A13C6F" w:rsidP="00224592">
            <w:pPr>
              <w:pStyle w:val="Tableformat"/>
            </w:pPr>
            <w:r>
              <w:t>Safety p</w:t>
            </w:r>
            <w:r w:rsidRPr="00D3100D">
              <w:t>opulation</w:t>
            </w:r>
          </w:p>
        </w:tc>
        <w:tc>
          <w:tcPr>
            <w:tcW w:w="1206" w:type="dxa"/>
            <w:tcBorders>
              <w:top w:val="single" w:sz="4" w:space="0" w:color="auto"/>
              <w:bottom w:val="single" w:sz="4" w:space="0" w:color="auto"/>
            </w:tcBorders>
            <w:vAlign w:val="center"/>
          </w:tcPr>
          <w:p w14:paraId="317BA047" w14:textId="77777777" w:rsidR="00A13C6F" w:rsidRPr="00D3100D" w:rsidRDefault="00A13C6F" w:rsidP="00224592">
            <w:pPr>
              <w:pStyle w:val="Tableformat"/>
              <w:ind w:right="-55" w:hanging="43"/>
              <w:jc w:val="center"/>
            </w:pPr>
            <w:r>
              <w:t>1006 (100)</w:t>
            </w:r>
          </w:p>
        </w:tc>
        <w:tc>
          <w:tcPr>
            <w:tcW w:w="1206" w:type="dxa"/>
            <w:tcBorders>
              <w:top w:val="single" w:sz="4" w:space="0" w:color="auto"/>
              <w:bottom w:val="single" w:sz="4" w:space="0" w:color="auto"/>
            </w:tcBorders>
            <w:vAlign w:val="center"/>
          </w:tcPr>
          <w:p w14:paraId="6EC09E14" w14:textId="77777777" w:rsidR="00A13C6F" w:rsidRPr="00D3100D" w:rsidRDefault="00A13C6F" w:rsidP="00224592">
            <w:pPr>
              <w:pStyle w:val="Tableformat"/>
              <w:jc w:val="center"/>
            </w:pPr>
            <w:r>
              <w:t>1012 (100)</w:t>
            </w:r>
          </w:p>
        </w:tc>
        <w:tc>
          <w:tcPr>
            <w:tcW w:w="1206" w:type="dxa"/>
            <w:tcBorders>
              <w:top w:val="single" w:sz="4" w:space="0" w:color="auto"/>
              <w:bottom w:val="single" w:sz="4" w:space="0" w:color="auto"/>
            </w:tcBorders>
            <w:vAlign w:val="center"/>
          </w:tcPr>
          <w:p w14:paraId="6E7D60BF" w14:textId="77777777" w:rsidR="00A13C6F" w:rsidRPr="00D3100D" w:rsidRDefault="00A13C6F" w:rsidP="00224592">
            <w:pPr>
              <w:pStyle w:val="Tableformat"/>
              <w:jc w:val="center"/>
            </w:pPr>
            <w:r>
              <w:t>851 (100)</w:t>
            </w:r>
          </w:p>
        </w:tc>
        <w:tc>
          <w:tcPr>
            <w:tcW w:w="1206" w:type="dxa"/>
            <w:tcBorders>
              <w:top w:val="single" w:sz="4" w:space="0" w:color="auto"/>
              <w:bottom w:val="single" w:sz="4" w:space="0" w:color="auto"/>
            </w:tcBorders>
            <w:vAlign w:val="center"/>
          </w:tcPr>
          <w:p w14:paraId="5AF56669" w14:textId="77777777" w:rsidR="00A13C6F" w:rsidRPr="00D3100D" w:rsidRDefault="00A13C6F" w:rsidP="00224592">
            <w:pPr>
              <w:pStyle w:val="Tableformat"/>
              <w:jc w:val="center"/>
            </w:pPr>
            <w:r>
              <w:t>846 (100)</w:t>
            </w:r>
          </w:p>
        </w:tc>
        <w:tc>
          <w:tcPr>
            <w:tcW w:w="1223" w:type="dxa"/>
            <w:tcBorders>
              <w:top w:val="single" w:sz="4" w:space="0" w:color="auto"/>
              <w:bottom w:val="single" w:sz="4" w:space="0" w:color="auto"/>
            </w:tcBorders>
            <w:vAlign w:val="center"/>
          </w:tcPr>
          <w:p w14:paraId="1366C10F" w14:textId="77777777" w:rsidR="00A13C6F" w:rsidRPr="00D3100D" w:rsidRDefault="00A13C6F" w:rsidP="00224592">
            <w:pPr>
              <w:pStyle w:val="Tableformat"/>
              <w:jc w:val="center"/>
            </w:pPr>
            <w:r>
              <w:t>152 (100)</w:t>
            </w:r>
          </w:p>
        </w:tc>
        <w:tc>
          <w:tcPr>
            <w:tcW w:w="1209" w:type="dxa"/>
            <w:tcBorders>
              <w:top w:val="single" w:sz="4" w:space="0" w:color="auto"/>
              <w:bottom w:val="single" w:sz="4" w:space="0" w:color="auto"/>
            </w:tcBorders>
            <w:vAlign w:val="center"/>
          </w:tcPr>
          <w:p w14:paraId="68091A0A" w14:textId="77777777" w:rsidR="00A13C6F" w:rsidRPr="00D3100D" w:rsidRDefault="00A13C6F" w:rsidP="00224592">
            <w:pPr>
              <w:pStyle w:val="Tableformat"/>
              <w:jc w:val="center"/>
            </w:pPr>
            <w:r>
              <w:t>153 (100)</w:t>
            </w:r>
          </w:p>
        </w:tc>
      </w:tr>
      <w:tr w:rsidR="00A13C6F" w:rsidRPr="00C6125C" w14:paraId="38195651" w14:textId="77777777">
        <w:trPr>
          <w:trHeight w:val="25"/>
        </w:trPr>
        <w:tc>
          <w:tcPr>
            <w:tcW w:w="2383" w:type="dxa"/>
            <w:tcBorders>
              <w:top w:val="single" w:sz="4" w:space="0" w:color="auto"/>
              <w:bottom w:val="single" w:sz="4" w:space="0" w:color="auto"/>
            </w:tcBorders>
            <w:vAlign w:val="center"/>
          </w:tcPr>
          <w:p w14:paraId="5FA8DE32" w14:textId="77777777" w:rsidR="00A13C6F" w:rsidRPr="00CE4761" w:rsidRDefault="00A13C6F" w:rsidP="00224592">
            <w:pPr>
              <w:pStyle w:val="Tableformat"/>
            </w:pPr>
            <w:r>
              <w:t>Any adverse event</w:t>
            </w:r>
          </w:p>
        </w:tc>
        <w:tc>
          <w:tcPr>
            <w:tcW w:w="1206" w:type="dxa"/>
            <w:tcBorders>
              <w:top w:val="single" w:sz="4" w:space="0" w:color="auto"/>
              <w:bottom w:val="single" w:sz="4" w:space="0" w:color="auto"/>
            </w:tcBorders>
            <w:vAlign w:val="center"/>
          </w:tcPr>
          <w:p w14:paraId="6C60FE9A" w14:textId="77777777" w:rsidR="00A13C6F" w:rsidRDefault="00A13C6F" w:rsidP="00224592">
            <w:pPr>
              <w:pStyle w:val="Tableformat"/>
              <w:jc w:val="center"/>
            </w:pPr>
            <w:r>
              <w:t>165 (16.4)</w:t>
            </w:r>
          </w:p>
        </w:tc>
        <w:tc>
          <w:tcPr>
            <w:tcW w:w="1206" w:type="dxa"/>
            <w:tcBorders>
              <w:top w:val="single" w:sz="4" w:space="0" w:color="auto"/>
              <w:bottom w:val="single" w:sz="4" w:space="0" w:color="auto"/>
            </w:tcBorders>
            <w:vAlign w:val="center"/>
          </w:tcPr>
          <w:p w14:paraId="60143D00" w14:textId="77777777" w:rsidR="00A13C6F" w:rsidRDefault="00A13C6F" w:rsidP="00224592">
            <w:pPr>
              <w:pStyle w:val="Tableformat"/>
              <w:jc w:val="center"/>
            </w:pPr>
            <w:r>
              <w:t>117 (11.6)</w:t>
            </w:r>
          </w:p>
        </w:tc>
        <w:tc>
          <w:tcPr>
            <w:tcW w:w="1206" w:type="dxa"/>
            <w:tcBorders>
              <w:top w:val="single" w:sz="4" w:space="0" w:color="auto"/>
              <w:bottom w:val="single" w:sz="4" w:space="0" w:color="auto"/>
            </w:tcBorders>
            <w:vAlign w:val="center"/>
          </w:tcPr>
          <w:p w14:paraId="037507F0" w14:textId="77777777" w:rsidR="00A13C6F" w:rsidRDefault="00A13C6F" w:rsidP="00224592">
            <w:pPr>
              <w:pStyle w:val="Tableformat"/>
              <w:jc w:val="center"/>
            </w:pPr>
            <w:r>
              <w:t>124 (14.6)</w:t>
            </w:r>
          </w:p>
        </w:tc>
        <w:tc>
          <w:tcPr>
            <w:tcW w:w="1206" w:type="dxa"/>
            <w:tcBorders>
              <w:top w:val="single" w:sz="4" w:space="0" w:color="auto"/>
              <w:bottom w:val="single" w:sz="4" w:space="0" w:color="auto"/>
            </w:tcBorders>
            <w:vAlign w:val="center"/>
          </w:tcPr>
          <w:p w14:paraId="3BBE3AFC" w14:textId="77777777" w:rsidR="00A13C6F" w:rsidRDefault="00A13C6F" w:rsidP="00224592">
            <w:pPr>
              <w:pStyle w:val="Tableformat"/>
              <w:jc w:val="center"/>
            </w:pPr>
            <w:r>
              <w:t>111 (13.1)</w:t>
            </w:r>
          </w:p>
        </w:tc>
        <w:tc>
          <w:tcPr>
            <w:tcW w:w="1223" w:type="dxa"/>
            <w:tcBorders>
              <w:top w:val="single" w:sz="4" w:space="0" w:color="auto"/>
              <w:bottom w:val="single" w:sz="4" w:space="0" w:color="auto"/>
            </w:tcBorders>
            <w:vAlign w:val="center"/>
          </w:tcPr>
          <w:p w14:paraId="0BE9A340" w14:textId="77777777" w:rsidR="00A13C6F" w:rsidRDefault="00A13C6F" w:rsidP="00224592">
            <w:pPr>
              <w:pStyle w:val="Tableformat"/>
              <w:jc w:val="center"/>
            </w:pPr>
            <w:r>
              <w:t>23 (15.1)</w:t>
            </w:r>
          </w:p>
        </w:tc>
        <w:tc>
          <w:tcPr>
            <w:tcW w:w="1209" w:type="dxa"/>
            <w:tcBorders>
              <w:top w:val="single" w:sz="4" w:space="0" w:color="auto"/>
              <w:bottom w:val="single" w:sz="4" w:space="0" w:color="auto"/>
            </w:tcBorders>
            <w:vAlign w:val="center"/>
          </w:tcPr>
          <w:p w14:paraId="1D288F97" w14:textId="77777777" w:rsidR="00A13C6F" w:rsidRDefault="00A13C6F" w:rsidP="00224592">
            <w:pPr>
              <w:pStyle w:val="Tableformat"/>
              <w:jc w:val="center"/>
            </w:pPr>
            <w:r>
              <w:t>22 (14.4)</w:t>
            </w:r>
          </w:p>
        </w:tc>
      </w:tr>
      <w:tr w:rsidR="00A13C6F" w:rsidRPr="00C6125C" w14:paraId="2A43C052" w14:textId="77777777">
        <w:trPr>
          <w:trHeight w:val="25"/>
        </w:trPr>
        <w:tc>
          <w:tcPr>
            <w:tcW w:w="2383" w:type="dxa"/>
            <w:tcBorders>
              <w:top w:val="single" w:sz="4" w:space="0" w:color="auto"/>
            </w:tcBorders>
            <w:vAlign w:val="center"/>
          </w:tcPr>
          <w:p w14:paraId="3F113FB0" w14:textId="77777777" w:rsidR="00A13C6F" w:rsidRPr="00361BBA" w:rsidRDefault="00A13C6F" w:rsidP="00224592">
            <w:pPr>
              <w:pStyle w:val="Tableformat"/>
            </w:pPr>
            <w:proofErr w:type="spellStart"/>
            <w:r w:rsidRPr="00361BBA">
              <w:t>Dysgeusia</w:t>
            </w:r>
            <w:proofErr w:type="spellEnd"/>
          </w:p>
        </w:tc>
        <w:tc>
          <w:tcPr>
            <w:tcW w:w="1206" w:type="dxa"/>
            <w:tcBorders>
              <w:top w:val="single" w:sz="4" w:space="0" w:color="auto"/>
            </w:tcBorders>
            <w:vAlign w:val="center"/>
          </w:tcPr>
          <w:p w14:paraId="13C509BF" w14:textId="77777777" w:rsidR="00A13C6F" w:rsidRPr="00361BBA" w:rsidRDefault="00A13C6F" w:rsidP="00224592">
            <w:pPr>
              <w:pStyle w:val="Tableformat"/>
              <w:jc w:val="center"/>
            </w:pPr>
            <w:r w:rsidRPr="00361BBA">
              <w:t>41 (4.1)</w:t>
            </w:r>
          </w:p>
        </w:tc>
        <w:tc>
          <w:tcPr>
            <w:tcW w:w="1206" w:type="dxa"/>
            <w:tcBorders>
              <w:top w:val="single" w:sz="4" w:space="0" w:color="auto"/>
            </w:tcBorders>
            <w:vAlign w:val="center"/>
          </w:tcPr>
          <w:p w14:paraId="0913B0D1" w14:textId="77777777" w:rsidR="00A13C6F" w:rsidRPr="00361BBA" w:rsidRDefault="00A13C6F" w:rsidP="00224592">
            <w:pPr>
              <w:pStyle w:val="Tableformat"/>
              <w:jc w:val="center"/>
            </w:pPr>
            <w:r w:rsidRPr="00361BBA">
              <w:t>2 (0.2)</w:t>
            </w:r>
          </w:p>
        </w:tc>
        <w:tc>
          <w:tcPr>
            <w:tcW w:w="1206" w:type="dxa"/>
            <w:tcBorders>
              <w:top w:val="single" w:sz="4" w:space="0" w:color="auto"/>
            </w:tcBorders>
            <w:vAlign w:val="center"/>
          </w:tcPr>
          <w:p w14:paraId="5372FFE4" w14:textId="77777777" w:rsidR="00A13C6F" w:rsidRPr="00361BBA" w:rsidRDefault="00A13C6F" w:rsidP="00224592">
            <w:pPr>
              <w:pStyle w:val="Tableformat"/>
              <w:jc w:val="center"/>
            </w:pPr>
            <w:r w:rsidRPr="00361BBA">
              <w:t>44 (5.2)</w:t>
            </w:r>
          </w:p>
        </w:tc>
        <w:tc>
          <w:tcPr>
            <w:tcW w:w="1206" w:type="dxa"/>
            <w:tcBorders>
              <w:top w:val="single" w:sz="4" w:space="0" w:color="auto"/>
            </w:tcBorders>
            <w:vAlign w:val="center"/>
          </w:tcPr>
          <w:p w14:paraId="7DCFAFFB" w14:textId="77777777" w:rsidR="00A13C6F" w:rsidRPr="00361BBA" w:rsidRDefault="00A13C6F" w:rsidP="00224592">
            <w:pPr>
              <w:pStyle w:val="Tableformat"/>
              <w:jc w:val="center"/>
            </w:pPr>
            <w:r w:rsidRPr="00361BBA">
              <w:t>4 (0.5)</w:t>
            </w:r>
          </w:p>
        </w:tc>
        <w:tc>
          <w:tcPr>
            <w:tcW w:w="1223" w:type="dxa"/>
            <w:tcBorders>
              <w:top w:val="single" w:sz="4" w:space="0" w:color="auto"/>
            </w:tcBorders>
            <w:vAlign w:val="center"/>
          </w:tcPr>
          <w:p w14:paraId="239F2E71" w14:textId="77777777" w:rsidR="00A13C6F" w:rsidRPr="00361BBA" w:rsidRDefault="00A13C6F" w:rsidP="00224592">
            <w:pPr>
              <w:pStyle w:val="Tableformat"/>
              <w:jc w:val="center"/>
            </w:pPr>
            <w:r w:rsidRPr="00361BBA">
              <w:t>3 (2.0)</w:t>
            </w:r>
          </w:p>
        </w:tc>
        <w:tc>
          <w:tcPr>
            <w:tcW w:w="1209" w:type="dxa"/>
            <w:tcBorders>
              <w:top w:val="single" w:sz="4" w:space="0" w:color="auto"/>
            </w:tcBorders>
            <w:vAlign w:val="center"/>
          </w:tcPr>
          <w:p w14:paraId="2CC55B13" w14:textId="77777777" w:rsidR="00A13C6F" w:rsidRPr="00361BBA" w:rsidRDefault="00A13C6F" w:rsidP="00224592">
            <w:pPr>
              <w:pStyle w:val="Tableformat"/>
              <w:jc w:val="center"/>
            </w:pPr>
            <w:r>
              <w:t>0 (0.0)</w:t>
            </w:r>
          </w:p>
        </w:tc>
      </w:tr>
      <w:tr w:rsidR="00A13C6F" w:rsidRPr="00C6125C" w14:paraId="3C48DEC2" w14:textId="77777777">
        <w:trPr>
          <w:trHeight w:val="25"/>
        </w:trPr>
        <w:tc>
          <w:tcPr>
            <w:tcW w:w="2383" w:type="dxa"/>
            <w:vAlign w:val="center"/>
          </w:tcPr>
          <w:p w14:paraId="0435CA28" w14:textId="77777777" w:rsidR="00A13C6F" w:rsidRPr="00E405FA" w:rsidRDefault="00A13C6F" w:rsidP="00224592">
            <w:pPr>
              <w:pStyle w:val="Tableformat"/>
            </w:pPr>
            <w:r>
              <w:t>Epistaxis</w:t>
            </w:r>
          </w:p>
        </w:tc>
        <w:tc>
          <w:tcPr>
            <w:tcW w:w="1206" w:type="dxa"/>
            <w:vAlign w:val="center"/>
          </w:tcPr>
          <w:p w14:paraId="1E991522" w14:textId="77777777" w:rsidR="00A13C6F" w:rsidRDefault="00A13C6F" w:rsidP="00224592">
            <w:pPr>
              <w:pStyle w:val="Tableformat"/>
              <w:jc w:val="center"/>
            </w:pPr>
            <w:r>
              <w:t>22 (2.2)</w:t>
            </w:r>
          </w:p>
        </w:tc>
        <w:tc>
          <w:tcPr>
            <w:tcW w:w="1206" w:type="dxa"/>
            <w:vAlign w:val="center"/>
          </w:tcPr>
          <w:p w14:paraId="71CC8075" w14:textId="77777777" w:rsidR="00A13C6F" w:rsidRDefault="00A13C6F" w:rsidP="00224592">
            <w:pPr>
              <w:pStyle w:val="Tableformat"/>
              <w:jc w:val="center"/>
            </w:pPr>
            <w:r>
              <w:t>20 (2.0)</w:t>
            </w:r>
          </w:p>
        </w:tc>
        <w:tc>
          <w:tcPr>
            <w:tcW w:w="1206" w:type="dxa"/>
            <w:vAlign w:val="center"/>
          </w:tcPr>
          <w:p w14:paraId="4D68F0CE" w14:textId="77777777" w:rsidR="00A13C6F" w:rsidRDefault="00A13C6F" w:rsidP="00224592">
            <w:pPr>
              <w:pStyle w:val="Tableformat"/>
              <w:jc w:val="center"/>
            </w:pPr>
            <w:r>
              <w:t>14 (1.6)</w:t>
            </w:r>
          </w:p>
        </w:tc>
        <w:tc>
          <w:tcPr>
            <w:tcW w:w="1206" w:type="dxa"/>
            <w:vAlign w:val="center"/>
          </w:tcPr>
          <w:p w14:paraId="4DEAE2AE" w14:textId="77777777" w:rsidR="00A13C6F" w:rsidRDefault="00A13C6F" w:rsidP="00224592">
            <w:pPr>
              <w:pStyle w:val="Tableformat"/>
              <w:jc w:val="center"/>
            </w:pPr>
            <w:r>
              <w:t>14 (1.7)</w:t>
            </w:r>
          </w:p>
        </w:tc>
        <w:tc>
          <w:tcPr>
            <w:tcW w:w="1223" w:type="dxa"/>
            <w:vAlign w:val="center"/>
          </w:tcPr>
          <w:p w14:paraId="470710DE" w14:textId="77777777" w:rsidR="00A13C6F" w:rsidRDefault="00A13C6F" w:rsidP="00224592">
            <w:pPr>
              <w:pStyle w:val="Tableformat"/>
              <w:jc w:val="center"/>
            </w:pPr>
            <w:r>
              <w:t>4 (2.6)</w:t>
            </w:r>
          </w:p>
        </w:tc>
        <w:tc>
          <w:tcPr>
            <w:tcW w:w="1209" w:type="dxa"/>
            <w:vAlign w:val="center"/>
          </w:tcPr>
          <w:p w14:paraId="751EDE73" w14:textId="77777777" w:rsidR="00A13C6F" w:rsidRDefault="00A13C6F" w:rsidP="00224592">
            <w:pPr>
              <w:pStyle w:val="Tableformat"/>
              <w:jc w:val="center"/>
            </w:pPr>
            <w:r>
              <w:t>6 (3.9)</w:t>
            </w:r>
          </w:p>
        </w:tc>
      </w:tr>
      <w:tr w:rsidR="00A13C6F" w:rsidRPr="00C6125C" w14:paraId="3E22399F" w14:textId="77777777">
        <w:trPr>
          <w:trHeight w:val="25"/>
        </w:trPr>
        <w:tc>
          <w:tcPr>
            <w:tcW w:w="2383" w:type="dxa"/>
            <w:vAlign w:val="center"/>
          </w:tcPr>
          <w:p w14:paraId="5296916A" w14:textId="77777777" w:rsidR="00A13C6F" w:rsidRPr="00CE4761" w:rsidRDefault="00A13C6F" w:rsidP="00224592">
            <w:pPr>
              <w:pStyle w:val="Tableformat"/>
            </w:pPr>
            <w:r>
              <w:t>Headache</w:t>
            </w:r>
          </w:p>
        </w:tc>
        <w:tc>
          <w:tcPr>
            <w:tcW w:w="1206" w:type="dxa"/>
            <w:vAlign w:val="center"/>
          </w:tcPr>
          <w:p w14:paraId="755580A6" w14:textId="77777777" w:rsidR="00A13C6F" w:rsidRDefault="00A13C6F" w:rsidP="00224592">
            <w:pPr>
              <w:pStyle w:val="Tableformat"/>
              <w:jc w:val="center"/>
            </w:pPr>
            <w:r>
              <w:t>22 (2.2)</w:t>
            </w:r>
          </w:p>
        </w:tc>
        <w:tc>
          <w:tcPr>
            <w:tcW w:w="1206" w:type="dxa"/>
            <w:vAlign w:val="center"/>
          </w:tcPr>
          <w:p w14:paraId="6C3544C8" w14:textId="77777777" w:rsidR="00A13C6F" w:rsidRDefault="00A13C6F" w:rsidP="00224592">
            <w:pPr>
              <w:pStyle w:val="Tableformat"/>
              <w:jc w:val="center"/>
            </w:pPr>
            <w:r>
              <w:t>12 (1.2)</w:t>
            </w:r>
          </w:p>
        </w:tc>
        <w:tc>
          <w:tcPr>
            <w:tcW w:w="1206" w:type="dxa"/>
            <w:vAlign w:val="center"/>
          </w:tcPr>
          <w:p w14:paraId="529C9CD3" w14:textId="77777777" w:rsidR="00A13C6F" w:rsidRDefault="00A13C6F" w:rsidP="00224592">
            <w:pPr>
              <w:pStyle w:val="Tableformat"/>
              <w:jc w:val="center"/>
            </w:pPr>
            <w:r>
              <w:t>20 (2.4)</w:t>
            </w:r>
          </w:p>
        </w:tc>
        <w:tc>
          <w:tcPr>
            <w:tcW w:w="1206" w:type="dxa"/>
            <w:vAlign w:val="center"/>
          </w:tcPr>
          <w:p w14:paraId="5D392158" w14:textId="77777777" w:rsidR="00A13C6F" w:rsidRDefault="00A13C6F" w:rsidP="00224592">
            <w:pPr>
              <w:pStyle w:val="Tableformat"/>
              <w:jc w:val="center"/>
            </w:pPr>
            <w:r>
              <w:t>20 (2.4)</w:t>
            </w:r>
          </w:p>
        </w:tc>
        <w:tc>
          <w:tcPr>
            <w:tcW w:w="1223" w:type="dxa"/>
            <w:vAlign w:val="center"/>
          </w:tcPr>
          <w:p w14:paraId="73C10CE0" w14:textId="77777777" w:rsidR="00A13C6F" w:rsidRDefault="00A13C6F" w:rsidP="00224592">
            <w:pPr>
              <w:pStyle w:val="Tableformat"/>
              <w:jc w:val="center"/>
            </w:pPr>
            <w:r>
              <w:t>2 (1.3)</w:t>
            </w:r>
          </w:p>
        </w:tc>
        <w:tc>
          <w:tcPr>
            <w:tcW w:w="1209" w:type="dxa"/>
            <w:vAlign w:val="center"/>
          </w:tcPr>
          <w:p w14:paraId="5017DA65" w14:textId="77777777" w:rsidR="00A13C6F" w:rsidRDefault="00A13C6F" w:rsidP="00224592">
            <w:pPr>
              <w:pStyle w:val="Tableformat"/>
              <w:jc w:val="center"/>
            </w:pPr>
            <w:r>
              <w:t>6 (3.9)</w:t>
            </w:r>
          </w:p>
        </w:tc>
      </w:tr>
      <w:tr w:rsidR="00A13C6F" w:rsidRPr="00C6125C" w14:paraId="44F18657" w14:textId="77777777">
        <w:trPr>
          <w:trHeight w:val="25"/>
        </w:trPr>
        <w:tc>
          <w:tcPr>
            <w:tcW w:w="9639" w:type="dxa"/>
            <w:gridSpan w:val="7"/>
            <w:tcBorders>
              <w:top w:val="single" w:sz="4" w:space="0" w:color="auto"/>
              <w:bottom w:val="nil"/>
            </w:tcBorders>
            <w:vAlign w:val="center"/>
          </w:tcPr>
          <w:p w14:paraId="420955F0" w14:textId="77777777" w:rsidR="00A13C6F" w:rsidRDefault="00A13C6F" w:rsidP="00224592">
            <w:pPr>
              <w:pStyle w:val="Tablefootnote"/>
              <w:ind w:left="0" w:firstLine="0"/>
              <w:jc w:val="both"/>
            </w:pPr>
            <w:r>
              <w:t xml:space="preserve">AEs were coded using the </w:t>
            </w:r>
            <w:proofErr w:type="spellStart"/>
            <w:r>
              <w:t>MedDRA</w:t>
            </w:r>
            <w:proofErr w:type="spellEnd"/>
            <w:r>
              <w:t xml:space="preserve"> dictionary </w:t>
            </w:r>
            <w:r w:rsidRPr="00086A33">
              <w:t>Version 13.1</w:t>
            </w:r>
            <w:r>
              <w:t>, shown are the preferred terms</w:t>
            </w:r>
            <w:r w:rsidRPr="00086A33">
              <w:t>. A subject</w:t>
            </w:r>
            <w:r>
              <w:t xml:space="preserve"> with multiple AEs was counted only once.</w:t>
            </w:r>
          </w:p>
          <w:p w14:paraId="7B32B578" w14:textId="7A4948D3" w:rsidR="00A13C6F" w:rsidRDefault="00F535C9" w:rsidP="00224592">
            <w:pPr>
              <w:pStyle w:val="Tablefootnote"/>
            </w:pPr>
            <w:r>
              <w:t>§</w:t>
            </w:r>
            <w:r>
              <w:tab/>
              <w:t>In DYLASTINE</w:t>
            </w:r>
            <w:r w:rsidR="00FD4410">
              <w:t> </w:t>
            </w:r>
            <w:r w:rsidR="00FB7661">
              <w:t xml:space="preserve">125/50 </w:t>
            </w:r>
            <w:r w:rsidR="00A13C6F">
              <w:t>vehicle.</w:t>
            </w:r>
          </w:p>
          <w:p w14:paraId="6368C244" w14:textId="77777777" w:rsidR="00A13C6F" w:rsidRDefault="00A13C6F" w:rsidP="00224592">
            <w:pPr>
              <w:pStyle w:val="Tablefootnote"/>
            </w:pPr>
          </w:p>
        </w:tc>
      </w:tr>
    </w:tbl>
    <w:p w14:paraId="00BB9711" w14:textId="77777777" w:rsidR="00A13C6F" w:rsidRDefault="00A13C6F" w:rsidP="00A36738">
      <w:pPr>
        <w:autoSpaceDE w:val="0"/>
        <w:autoSpaceDN w:val="0"/>
        <w:adjustRightInd w:val="0"/>
        <w:spacing w:after="0"/>
        <w:rPr>
          <w:rFonts w:ascii="Arial" w:hAnsi="Arial" w:cs="Arial"/>
        </w:rPr>
      </w:pPr>
    </w:p>
    <w:p w14:paraId="379F2A63" w14:textId="6F495426" w:rsidR="00A13C6F" w:rsidRDefault="00A13C6F" w:rsidP="00A36738">
      <w:pPr>
        <w:autoSpaceDE w:val="0"/>
        <w:autoSpaceDN w:val="0"/>
        <w:adjustRightInd w:val="0"/>
        <w:spacing w:after="0"/>
        <w:rPr>
          <w:rFonts w:ascii="Arial" w:hAnsi="Arial" w:cs="Arial"/>
          <w:color w:val="000000"/>
        </w:rPr>
      </w:pPr>
      <w:r>
        <w:rPr>
          <w:rFonts w:ascii="Arial" w:hAnsi="Arial" w:cs="Arial"/>
          <w:color w:val="000000"/>
        </w:rPr>
        <w:t>Table 3</w:t>
      </w:r>
      <w:r w:rsidRPr="00964B81">
        <w:rPr>
          <w:rFonts w:ascii="Arial" w:hAnsi="Arial" w:cs="Arial"/>
          <w:color w:val="000000"/>
        </w:rPr>
        <w:t xml:space="preserve"> </w:t>
      </w:r>
      <w:r>
        <w:rPr>
          <w:rFonts w:ascii="Arial" w:hAnsi="Arial" w:cs="Arial"/>
          <w:color w:val="000000"/>
        </w:rPr>
        <w:t>listed</w:t>
      </w:r>
      <w:r w:rsidRPr="00964B81">
        <w:rPr>
          <w:rFonts w:ascii="Arial" w:hAnsi="Arial" w:cs="Arial"/>
          <w:color w:val="000000"/>
        </w:rPr>
        <w:t xml:space="preserve"> </w:t>
      </w:r>
      <w:r>
        <w:rPr>
          <w:rFonts w:ascii="Arial" w:hAnsi="Arial" w:cs="Arial"/>
          <w:color w:val="000000"/>
        </w:rPr>
        <w:t>possib</w:t>
      </w:r>
      <w:r w:rsidR="00F535C9">
        <w:rPr>
          <w:rFonts w:ascii="Arial" w:hAnsi="Arial" w:cs="Arial"/>
          <w:color w:val="000000"/>
        </w:rPr>
        <w:t>le adverse reactions for DYLASTINE</w:t>
      </w:r>
      <w:r w:rsidR="00FD4410">
        <w:rPr>
          <w:rFonts w:ascii="Arial" w:hAnsi="Arial" w:cs="Arial"/>
          <w:color w:val="000000"/>
        </w:rPr>
        <w:t> </w:t>
      </w:r>
      <w:r w:rsidR="00FB7661">
        <w:rPr>
          <w:rFonts w:ascii="Arial" w:hAnsi="Arial" w:cs="Arial"/>
          <w:color w:val="000000"/>
        </w:rPr>
        <w:t>125/50</w:t>
      </w:r>
      <w:r>
        <w:rPr>
          <w:rFonts w:ascii="Arial" w:hAnsi="Arial" w:cs="Arial"/>
          <w:color w:val="000000"/>
        </w:rPr>
        <w:t>, with frequencies corresponding to:</w:t>
      </w:r>
    </w:p>
    <w:p w14:paraId="7029EF2E" w14:textId="77777777" w:rsidR="00A13C6F" w:rsidRDefault="00A13C6F" w:rsidP="00A36738">
      <w:pPr>
        <w:autoSpaceDE w:val="0"/>
        <w:autoSpaceDN w:val="0"/>
        <w:adjustRightInd w:val="0"/>
        <w:spacing w:after="0"/>
        <w:rPr>
          <w:rFonts w:ascii="Arial" w:hAnsi="Arial" w:cs="Arial"/>
          <w:color w:val="000000"/>
        </w:rPr>
      </w:pPr>
    </w:p>
    <w:p w14:paraId="13C9AD80" w14:textId="77777777" w:rsidR="00A13C6F" w:rsidRPr="00652FA9" w:rsidRDefault="00A13C6F" w:rsidP="00A36738">
      <w:pPr>
        <w:autoSpaceDE w:val="0"/>
        <w:autoSpaceDN w:val="0"/>
        <w:adjustRightInd w:val="0"/>
        <w:spacing w:after="0"/>
        <w:rPr>
          <w:rFonts w:ascii="Arial" w:hAnsi="Arial" w:cs="Arial"/>
          <w:color w:val="000000"/>
        </w:rPr>
      </w:pPr>
      <w:r w:rsidRPr="00652FA9">
        <w:rPr>
          <w:rFonts w:ascii="Arial" w:hAnsi="Arial" w:cs="Arial"/>
          <w:color w:val="000000"/>
        </w:rPr>
        <w:t>Very common</w:t>
      </w:r>
      <w:r w:rsidRPr="00652FA9">
        <w:rPr>
          <w:rFonts w:ascii="Arial" w:hAnsi="Arial" w:cs="Arial"/>
          <w:color w:val="000000"/>
        </w:rPr>
        <w:tab/>
        <w:t>(</w:t>
      </w:r>
      <w:r w:rsidRPr="00652FA9">
        <w:rPr>
          <w:rFonts w:ascii="Arial" w:hAnsi="Arial" w:cs="Arial"/>
          <w:i/>
          <w:iCs/>
          <w:color w:val="000000"/>
        </w:rPr>
        <w:t>≥</w:t>
      </w:r>
      <w:r w:rsidRPr="00652FA9">
        <w:rPr>
          <w:rFonts w:ascii="Arial" w:hAnsi="Arial" w:cs="Arial"/>
          <w:color w:val="000000"/>
        </w:rPr>
        <w:t xml:space="preserve">1/10) </w:t>
      </w:r>
    </w:p>
    <w:p w14:paraId="3B11CFA8" w14:textId="77777777" w:rsidR="00A13C6F" w:rsidRPr="00652FA9" w:rsidRDefault="00A13C6F" w:rsidP="00A36738">
      <w:pPr>
        <w:autoSpaceDE w:val="0"/>
        <w:autoSpaceDN w:val="0"/>
        <w:adjustRightInd w:val="0"/>
        <w:spacing w:after="0"/>
        <w:rPr>
          <w:rFonts w:ascii="Arial" w:hAnsi="Arial" w:cs="Arial"/>
          <w:color w:val="000000"/>
        </w:rPr>
      </w:pPr>
      <w:r w:rsidRPr="00652FA9">
        <w:rPr>
          <w:rFonts w:ascii="Arial" w:hAnsi="Arial" w:cs="Arial"/>
          <w:color w:val="000000"/>
        </w:rPr>
        <w:t>Common</w:t>
      </w:r>
      <w:r w:rsidRPr="00652FA9">
        <w:rPr>
          <w:rFonts w:ascii="Arial" w:hAnsi="Arial" w:cs="Arial"/>
          <w:color w:val="000000"/>
        </w:rPr>
        <w:tab/>
        <w:t>(</w:t>
      </w:r>
      <w:r w:rsidRPr="00652FA9">
        <w:rPr>
          <w:rFonts w:ascii="Arial" w:hAnsi="Arial" w:cs="Arial"/>
          <w:i/>
          <w:iCs/>
          <w:color w:val="000000"/>
        </w:rPr>
        <w:t>≥</w:t>
      </w:r>
      <w:r w:rsidRPr="00652FA9">
        <w:rPr>
          <w:rFonts w:ascii="Arial" w:hAnsi="Arial" w:cs="Arial"/>
          <w:color w:val="000000"/>
        </w:rPr>
        <w:t xml:space="preserve">1/100 to &lt;1/10) </w:t>
      </w:r>
    </w:p>
    <w:p w14:paraId="355836CD" w14:textId="77777777" w:rsidR="00A13C6F" w:rsidRPr="00652FA9" w:rsidRDefault="00A13C6F" w:rsidP="00A36738">
      <w:pPr>
        <w:autoSpaceDE w:val="0"/>
        <w:autoSpaceDN w:val="0"/>
        <w:adjustRightInd w:val="0"/>
        <w:spacing w:after="0"/>
        <w:rPr>
          <w:rFonts w:ascii="Arial" w:hAnsi="Arial" w:cs="Arial"/>
          <w:color w:val="000000"/>
        </w:rPr>
      </w:pPr>
      <w:r w:rsidRPr="00652FA9">
        <w:rPr>
          <w:rFonts w:ascii="Arial" w:hAnsi="Arial" w:cs="Arial"/>
          <w:color w:val="000000"/>
        </w:rPr>
        <w:t xml:space="preserve">Uncommon </w:t>
      </w:r>
      <w:r w:rsidRPr="00652FA9">
        <w:rPr>
          <w:rFonts w:ascii="Arial" w:hAnsi="Arial" w:cs="Arial"/>
          <w:color w:val="000000"/>
        </w:rPr>
        <w:tab/>
        <w:t>(</w:t>
      </w:r>
      <w:r w:rsidRPr="00652FA9">
        <w:rPr>
          <w:rFonts w:ascii="Arial" w:hAnsi="Arial" w:cs="Arial"/>
          <w:i/>
          <w:iCs/>
          <w:color w:val="000000"/>
        </w:rPr>
        <w:t>≥</w:t>
      </w:r>
      <w:r w:rsidRPr="00652FA9">
        <w:rPr>
          <w:rFonts w:ascii="Arial" w:hAnsi="Arial" w:cs="Arial"/>
          <w:color w:val="000000"/>
        </w:rPr>
        <w:t xml:space="preserve">1/1,000 to &lt;1/100) </w:t>
      </w:r>
    </w:p>
    <w:p w14:paraId="143B16FD" w14:textId="77777777" w:rsidR="00A13C6F" w:rsidRPr="00652FA9" w:rsidRDefault="00A13C6F" w:rsidP="00A36738">
      <w:pPr>
        <w:autoSpaceDE w:val="0"/>
        <w:autoSpaceDN w:val="0"/>
        <w:adjustRightInd w:val="0"/>
        <w:spacing w:after="0"/>
        <w:rPr>
          <w:rFonts w:ascii="Arial" w:hAnsi="Arial" w:cs="Arial"/>
          <w:color w:val="000000"/>
        </w:rPr>
      </w:pPr>
      <w:r w:rsidRPr="00652FA9">
        <w:rPr>
          <w:rFonts w:ascii="Arial" w:hAnsi="Arial" w:cs="Arial"/>
          <w:color w:val="000000"/>
        </w:rPr>
        <w:t xml:space="preserve">Rare </w:t>
      </w:r>
      <w:r w:rsidRPr="00652FA9">
        <w:rPr>
          <w:rFonts w:ascii="Arial" w:hAnsi="Arial" w:cs="Arial"/>
          <w:color w:val="000000"/>
        </w:rPr>
        <w:tab/>
      </w:r>
      <w:r w:rsidRPr="00652FA9">
        <w:rPr>
          <w:rFonts w:ascii="Arial" w:hAnsi="Arial" w:cs="Arial"/>
          <w:color w:val="000000"/>
        </w:rPr>
        <w:tab/>
        <w:t>(</w:t>
      </w:r>
      <w:r w:rsidRPr="00652FA9">
        <w:rPr>
          <w:rFonts w:ascii="Arial" w:hAnsi="Arial" w:cs="Arial"/>
          <w:i/>
          <w:iCs/>
          <w:color w:val="000000"/>
        </w:rPr>
        <w:t>≥</w:t>
      </w:r>
      <w:r w:rsidRPr="00652FA9">
        <w:rPr>
          <w:rFonts w:ascii="Arial" w:hAnsi="Arial" w:cs="Arial"/>
          <w:color w:val="000000"/>
        </w:rPr>
        <w:t xml:space="preserve">1/10,000 to &lt;1/1,000) </w:t>
      </w:r>
    </w:p>
    <w:p w14:paraId="39EDAA72" w14:textId="77777777" w:rsidR="00A13C6F" w:rsidRPr="00652FA9" w:rsidRDefault="00A13C6F" w:rsidP="00A36738">
      <w:pPr>
        <w:autoSpaceDE w:val="0"/>
        <w:autoSpaceDN w:val="0"/>
        <w:adjustRightInd w:val="0"/>
        <w:spacing w:after="0"/>
        <w:rPr>
          <w:rFonts w:ascii="Arial" w:hAnsi="Arial" w:cs="Arial"/>
          <w:color w:val="000000"/>
        </w:rPr>
      </w:pPr>
      <w:r w:rsidRPr="00652FA9">
        <w:rPr>
          <w:rFonts w:ascii="Arial" w:hAnsi="Arial" w:cs="Arial"/>
          <w:color w:val="000000"/>
        </w:rPr>
        <w:t xml:space="preserve">Very rare </w:t>
      </w:r>
      <w:r w:rsidRPr="00652FA9">
        <w:rPr>
          <w:rFonts w:ascii="Arial" w:hAnsi="Arial" w:cs="Arial"/>
          <w:color w:val="000000"/>
        </w:rPr>
        <w:tab/>
        <w:t>(&lt;1/10,000)</w:t>
      </w:r>
    </w:p>
    <w:p w14:paraId="6DB0BCA4" w14:textId="1F0F370A" w:rsidR="00A13C6F" w:rsidRPr="00652FA9" w:rsidRDefault="00A13C6F" w:rsidP="00A36738">
      <w:pPr>
        <w:autoSpaceDE w:val="0"/>
        <w:autoSpaceDN w:val="0"/>
        <w:adjustRightInd w:val="0"/>
        <w:spacing w:after="0"/>
        <w:rPr>
          <w:rFonts w:ascii="Arial" w:hAnsi="Arial" w:cs="Arial"/>
          <w:color w:val="000000"/>
        </w:rPr>
      </w:pPr>
      <w:r w:rsidRPr="00652FA9">
        <w:rPr>
          <w:rFonts w:ascii="Arial" w:hAnsi="Arial" w:cs="Arial"/>
          <w:color w:val="000000"/>
        </w:rPr>
        <w:lastRenderedPageBreak/>
        <w:t>Not known</w:t>
      </w:r>
      <w:r w:rsidRPr="00652FA9">
        <w:rPr>
          <w:rFonts w:ascii="Arial" w:hAnsi="Arial" w:cs="Arial"/>
          <w:color w:val="000000"/>
        </w:rPr>
        <w:tab/>
        <w:t>(cannot be estimated from the available data)</w:t>
      </w:r>
    </w:p>
    <w:p w14:paraId="3041C8A1" w14:textId="59E958C4" w:rsidR="001F4A8C" w:rsidRDefault="001F4A8C">
      <w:pPr>
        <w:spacing w:after="0" w:line="240" w:lineRule="auto"/>
        <w:rPr>
          <w:rFonts w:ascii="Times New Roman" w:hAnsi="Times New Roman" w:cs="Times New Roman"/>
          <w:color w:val="000000"/>
        </w:rPr>
      </w:pPr>
    </w:p>
    <w:p w14:paraId="7192DFA1" w14:textId="0DD071CD" w:rsidR="00A13C6F" w:rsidRPr="00E16E74" w:rsidRDefault="00A13C6F" w:rsidP="003E5918">
      <w:pPr>
        <w:autoSpaceDE w:val="0"/>
        <w:autoSpaceDN w:val="0"/>
        <w:adjustRightInd w:val="0"/>
        <w:spacing w:after="0" w:line="240" w:lineRule="auto"/>
        <w:rPr>
          <w:rFonts w:ascii="Arial" w:hAnsi="Arial" w:cs="Arial"/>
          <w:b/>
          <w:bCs/>
          <w:color w:val="000000"/>
          <w:sz w:val="20"/>
          <w:szCs w:val="20"/>
        </w:rPr>
      </w:pPr>
      <w:r w:rsidRPr="00E16E74">
        <w:rPr>
          <w:rFonts w:ascii="Arial" w:hAnsi="Arial" w:cs="Arial"/>
          <w:b/>
          <w:bCs/>
          <w:color w:val="000000"/>
          <w:sz w:val="20"/>
          <w:szCs w:val="20"/>
        </w:rPr>
        <w:t xml:space="preserve">Table </w:t>
      </w:r>
      <w:r>
        <w:rPr>
          <w:rFonts w:ascii="Arial" w:hAnsi="Arial" w:cs="Arial"/>
          <w:b/>
          <w:bCs/>
          <w:color w:val="000000"/>
          <w:sz w:val="20"/>
          <w:szCs w:val="20"/>
        </w:rPr>
        <w:t>3</w:t>
      </w:r>
      <w:r w:rsidRPr="00E16E74">
        <w:rPr>
          <w:rFonts w:ascii="Arial" w:hAnsi="Arial" w:cs="Arial"/>
          <w:b/>
          <w:bCs/>
          <w:color w:val="000000"/>
          <w:sz w:val="20"/>
          <w:szCs w:val="20"/>
        </w:rPr>
        <w:t xml:space="preserve">: </w:t>
      </w:r>
      <w:r>
        <w:rPr>
          <w:rFonts w:ascii="Arial" w:hAnsi="Arial" w:cs="Arial"/>
          <w:b/>
          <w:bCs/>
          <w:color w:val="000000"/>
          <w:sz w:val="20"/>
          <w:szCs w:val="20"/>
        </w:rPr>
        <w:t>Possible a</w:t>
      </w:r>
      <w:r w:rsidRPr="00E16E74">
        <w:rPr>
          <w:rFonts w:ascii="Arial" w:hAnsi="Arial" w:cs="Arial"/>
          <w:b/>
          <w:bCs/>
          <w:color w:val="000000"/>
          <w:sz w:val="20"/>
          <w:szCs w:val="20"/>
        </w:rPr>
        <w:t xml:space="preserve">dverse </w:t>
      </w:r>
      <w:r>
        <w:rPr>
          <w:rFonts w:ascii="Arial" w:hAnsi="Arial" w:cs="Arial"/>
          <w:b/>
          <w:bCs/>
          <w:color w:val="000000"/>
          <w:sz w:val="20"/>
          <w:szCs w:val="20"/>
        </w:rPr>
        <w:t>reactions</w:t>
      </w:r>
      <w:r w:rsidR="00C62BCA">
        <w:rPr>
          <w:rFonts w:ascii="Arial" w:hAnsi="Arial" w:cs="Arial"/>
          <w:b/>
          <w:bCs/>
          <w:color w:val="000000"/>
          <w:sz w:val="20"/>
          <w:szCs w:val="20"/>
        </w:rPr>
        <w:t xml:space="preserve"> of DYLASTINE</w:t>
      </w:r>
      <w:r w:rsidR="00FD4410">
        <w:rPr>
          <w:rFonts w:ascii="Arial" w:hAnsi="Arial" w:cs="Arial"/>
          <w:b/>
          <w:bCs/>
          <w:color w:val="000000"/>
          <w:sz w:val="20"/>
          <w:szCs w:val="20"/>
        </w:rPr>
        <w:t> </w:t>
      </w:r>
      <w:r w:rsidR="00FB7661">
        <w:rPr>
          <w:rFonts w:ascii="Arial" w:hAnsi="Arial" w:cs="Arial"/>
          <w:b/>
          <w:bCs/>
          <w:color w:val="000000"/>
          <w:sz w:val="20"/>
          <w:szCs w:val="20"/>
        </w:rPr>
        <w:t>125/50</w:t>
      </w:r>
      <w:r w:rsidRPr="00E16E74">
        <w:rPr>
          <w:rFonts w:ascii="Arial" w:hAnsi="Arial" w:cs="Arial"/>
          <w:b/>
          <w:bCs/>
          <w:color w:val="000000"/>
          <w:sz w:val="20"/>
          <w:szCs w:val="20"/>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9"/>
        <w:gridCol w:w="1424"/>
        <w:gridCol w:w="1456"/>
        <w:gridCol w:w="1487"/>
        <w:gridCol w:w="1517"/>
        <w:gridCol w:w="1617"/>
      </w:tblGrid>
      <w:tr w:rsidR="00A13C6F" w:rsidRPr="00C6125C" w14:paraId="287450C1" w14:textId="77777777">
        <w:tc>
          <w:tcPr>
            <w:tcW w:w="1540" w:type="dxa"/>
          </w:tcPr>
          <w:p w14:paraId="2A9A245E"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Frequency</w:t>
            </w:r>
          </w:p>
          <w:p w14:paraId="7671EDCE"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System Organ Class</w:t>
            </w:r>
          </w:p>
        </w:tc>
        <w:tc>
          <w:tcPr>
            <w:tcW w:w="1540" w:type="dxa"/>
          </w:tcPr>
          <w:p w14:paraId="0BBCF8DE"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Very common</w:t>
            </w:r>
          </w:p>
        </w:tc>
        <w:tc>
          <w:tcPr>
            <w:tcW w:w="1540" w:type="dxa"/>
          </w:tcPr>
          <w:p w14:paraId="6BA40808"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Common</w:t>
            </w:r>
          </w:p>
        </w:tc>
        <w:tc>
          <w:tcPr>
            <w:tcW w:w="1540" w:type="dxa"/>
          </w:tcPr>
          <w:p w14:paraId="0ED4FB44"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Uncommon</w:t>
            </w:r>
          </w:p>
        </w:tc>
        <w:tc>
          <w:tcPr>
            <w:tcW w:w="1541" w:type="dxa"/>
          </w:tcPr>
          <w:p w14:paraId="1BB829F6"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Rare</w:t>
            </w:r>
          </w:p>
        </w:tc>
        <w:tc>
          <w:tcPr>
            <w:tcW w:w="1541" w:type="dxa"/>
          </w:tcPr>
          <w:p w14:paraId="032E7612" w14:textId="77777777" w:rsidR="00A13C6F" w:rsidRPr="00C6125C" w:rsidRDefault="00A13C6F" w:rsidP="00C6125C">
            <w:pPr>
              <w:spacing w:after="0" w:line="240" w:lineRule="auto"/>
              <w:rPr>
                <w:rFonts w:ascii="Arial" w:hAnsi="Arial" w:cs="Arial"/>
                <w:b/>
                <w:bCs/>
                <w:sz w:val="20"/>
                <w:szCs w:val="20"/>
              </w:rPr>
            </w:pPr>
            <w:r w:rsidRPr="00C6125C">
              <w:rPr>
                <w:rFonts w:ascii="Arial" w:hAnsi="Arial" w:cs="Arial"/>
                <w:b/>
                <w:bCs/>
                <w:sz w:val="20"/>
                <w:szCs w:val="20"/>
              </w:rPr>
              <w:t>Very rare</w:t>
            </w:r>
          </w:p>
        </w:tc>
      </w:tr>
      <w:tr w:rsidR="00A13C6F" w:rsidRPr="00C6125C" w14:paraId="6827AB3A" w14:textId="77777777">
        <w:tc>
          <w:tcPr>
            <w:tcW w:w="1540" w:type="dxa"/>
          </w:tcPr>
          <w:p w14:paraId="114AC925" w14:textId="77777777" w:rsidR="00A13C6F" w:rsidRPr="00C6125C" w:rsidRDefault="00A13C6F" w:rsidP="003E5918">
            <w:pPr>
              <w:pStyle w:val="Default"/>
              <w:rPr>
                <w:b/>
                <w:bCs/>
                <w:sz w:val="20"/>
                <w:szCs w:val="20"/>
              </w:rPr>
            </w:pPr>
            <w:r w:rsidRPr="00C6125C">
              <w:rPr>
                <w:b/>
                <w:bCs/>
                <w:i/>
                <w:iCs/>
                <w:sz w:val="20"/>
                <w:szCs w:val="20"/>
              </w:rPr>
              <w:t xml:space="preserve">Immune system disorders </w:t>
            </w:r>
          </w:p>
        </w:tc>
        <w:tc>
          <w:tcPr>
            <w:tcW w:w="1540" w:type="dxa"/>
          </w:tcPr>
          <w:p w14:paraId="7D13506D" w14:textId="77777777" w:rsidR="00A13C6F" w:rsidRPr="00C6125C" w:rsidRDefault="00A13C6F" w:rsidP="00C6125C">
            <w:pPr>
              <w:spacing w:after="0" w:line="240" w:lineRule="auto"/>
              <w:rPr>
                <w:rFonts w:ascii="Arial" w:hAnsi="Arial" w:cs="Arial"/>
                <w:sz w:val="20"/>
                <w:szCs w:val="20"/>
              </w:rPr>
            </w:pPr>
          </w:p>
        </w:tc>
        <w:tc>
          <w:tcPr>
            <w:tcW w:w="1540" w:type="dxa"/>
          </w:tcPr>
          <w:p w14:paraId="69016A71" w14:textId="77777777" w:rsidR="00A13C6F" w:rsidRPr="00C6125C" w:rsidRDefault="00A13C6F" w:rsidP="00C6125C">
            <w:pPr>
              <w:spacing w:after="0" w:line="240" w:lineRule="auto"/>
              <w:rPr>
                <w:rFonts w:ascii="Arial" w:hAnsi="Arial" w:cs="Arial"/>
                <w:sz w:val="20"/>
                <w:szCs w:val="20"/>
              </w:rPr>
            </w:pPr>
          </w:p>
        </w:tc>
        <w:tc>
          <w:tcPr>
            <w:tcW w:w="1540" w:type="dxa"/>
          </w:tcPr>
          <w:p w14:paraId="765D7333" w14:textId="77777777" w:rsidR="00A13C6F" w:rsidRPr="00C6125C" w:rsidRDefault="00A13C6F" w:rsidP="00C6125C">
            <w:pPr>
              <w:spacing w:after="0" w:line="240" w:lineRule="auto"/>
              <w:rPr>
                <w:rFonts w:ascii="Arial" w:hAnsi="Arial" w:cs="Arial"/>
                <w:sz w:val="20"/>
                <w:szCs w:val="20"/>
              </w:rPr>
            </w:pPr>
          </w:p>
        </w:tc>
        <w:tc>
          <w:tcPr>
            <w:tcW w:w="1541" w:type="dxa"/>
          </w:tcPr>
          <w:p w14:paraId="7A1958EB" w14:textId="77777777" w:rsidR="00A13C6F" w:rsidRPr="00C6125C" w:rsidRDefault="00A13C6F" w:rsidP="00C6125C">
            <w:pPr>
              <w:spacing w:after="0" w:line="240" w:lineRule="auto"/>
              <w:rPr>
                <w:rFonts w:ascii="Arial" w:hAnsi="Arial" w:cs="Arial"/>
                <w:sz w:val="20"/>
                <w:szCs w:val="20"/>
              </w:rPr>
            </w:pPr>
          </w:p>
        </w:tc>
        <w:tc>
          <w:tcPr>
            <w:tcW w:w="1541" w:type="dxa"/>
          </w:tcPr>
          <w:p w14:paraId="39753711" w14:textId="77777777" w:rsidR="00A13C6F" w:rsidRPr="00C6125C" w:rsidRDefault="00A13C6F" w:rsidP="003E5918">
            <w:pPr>
              <w:pStyle w:val="Default"/>
              <w:rPr>
                <w:sz w:val="20"/>
                <w:szCs w:val="20"/>
              </w:rPr>
            </w:pPr>
            <w:r w:rsidRPr="00C6125C">
              <w:rPr>
                <w:sz w:val="20"/>
                <w:szCs w:val="20"/>
              </w:rPr>
              <w:t xml:space="preserve">Hypersensitivity including anaphylactic reactions, angioedema, bronchospasm </w:t>
            </w:r>
          </w:p>
          <w:p w14:paraId="60CE5F37" w14:textId="77777777" w:rsidR="00A13C6F" w:rsidRPr="00C6125C" w:rsidRDefault="00A13C6F" w:rsidP="00C6125C">
            <w:pPr>
              <w:spacing w:after="0" w:line="240" w:lineRule="auto"/>
              <w:rPr>
                <w:rFonts w:ascii="Arial" w:hAnsi="Arial" w:cs="Arial"/>
                <w:sz w:val="20"/>
                <w:szCs w:val="20"/>
              </w:rPr>
            </w:pPr>
          </w:p>
        </w:tc>
      </w:tr>
      <w:tr w:rsidR="00A13C6F" w:rsidRPr="00C6125C" w14:paraId="40EF8954" w14:textId="77777777">
        <w:tc>
          <w:tcPr>
            <w:tcW w:w="1540" w:type="dxa"/>
          </w:tcPr>
          <w:p w14:paraId="54E0BFA3" w14:textId="77777777" w:rsidR="00A13C6F" w:rsidRPr="00C6125C" w:rsidRDefault="00A13C6F" w:rsidP="003E5918">
            <w:pPr>
              <w:pStyle w:val="Default"/>
              <w:rPr>
                <w:b/>
                <w:bCs/>
                <w:sz w:val="20"/>
                <w:szCs w:val="20"/>
              </w:rPr>
            </w:pPr>
            <w:r w:rsidRPr="00C6125C">
              <w:rPr>
                <w:b/>
                <w:bCs/>
                <w:i/>
                <w:iCs/>
                <w:sz w:val="20"/>
                <w:szCs w:val="20"/>
              </w:rPr>
              <w:t xml:space="preserve">Nervous system disorder </w:t>
            </w:r>
          </w:p>
          <w:p w14:paraId="4D24BBD0" w14:textId="77777777" w:rsidR="00A13C6F" w:rsidRPr="00C6125C" w:rsidRDefault="00A13C6F" w:rsidP="00C6125C">
            <w:pPr>
              <w:spacing w:after="0" w:line="240" w:lineRule="auto"/>
              <w:rPr>
                <w:rFonts w:ascii="Arial" w:hAnsi="Arial" w:cs="Arial"/>
                <w:b/>
                <w:bCs/>
                <w:sz w:val="20"/>
                <w:szCs w:val="20"/>
              </w:rPr>
            </w:pPr>
          </w:p>
        </w:tc>
        <w:tc>
          <w:tcPr>
            <w:tcW w:w="1540" w:type="dxa"/>
          </w:tcPr>
          <w:p w14:paraId="1545EE1C" w14:textId="77777777" w:rsidR="00A13C6F" w:rsidRPr="00C6125C" w:rsidRDefault="00A13C6F" w:rsidP="00C6125C">
            <w:pPr>
              <w:spacing w:after="0" w:line="240" w:lineRule="auto"/>
              <w:rPr>
                <w:rFonts w:ascii="Arial" w:hAnsi="Arial" w:cs="Arial"/>
                <w:sz w:val="20"/>
                <w:szCs w:val="20"/>
              </w:rPr>
            </w:pPr>
          </w:p>
        </w:tc>
        <w:tc>
          <w:tcPr>
            <w:tcW w:w="1540" w:type="dxa"/>
          </w:tcPr>
          <w:p w14:paraId="36CC6FF4" w14:textId="77777777" w:rsidR="00A13C6F" w:rsidRPr="00C6125C" w:rsidRDefault="00A13C6F" w:rsidP="003E5918">
            <w:pPr>
              <w:pStyle w:val="Default"/>
              <w:rPr>
                <w:sz w:val="20"/>
                <w:szCs w:val="20"/>
              </w:rPr>
            </w:pPr>
            <w:r w:rsidRPr="00C6125C">
              <w:rPr>
                <w:sz w:val="20"/>
                <w:szCs w:val="20"/>
              </w:rPr>
              <w:t xml:space="preserve">Headache, </w:t>
            </w:r>
          </w:p>
          <w:p w14:paraId="5BEFBDEE" w14:textId="77777777" w:rsidR="00A13C6F" w:rsidRPr="00C6125C" w:rsidRDefault="00A13C6F" w:rsidP="00C6125C">
            <w:pPr>
              <w:spacing w:after="0" w:line="240" w:lineRule="auto"/>
              <w:rPr>
                <w:rFonts w:ascii="Arial" w:hAnsi="Arial" w:cs="Arial"/>
                <w:sz w:val="20"/>
                <w:szCs w:val="20"/>
              </w:rPr>
            </w:pPr>
            <w:proofErr w:type="spellStart"/>
            <w:r w:rsidRPr="00C6125C">
              <w:rPr>
                <w:rFonts w:ascii="Arial" w:hAnsi="Arial" w:cs="Arial"/>
                <w:sz w:val="20"/>
                <w:szCs w:val="20"/>
              </w:rPr>
              <w:t>dysgeusia</w:t>
            </w:r>
            <w:proofErr w:type="spellEnd"/>
            <w:r w:rsidRPr="00C6125C">
              <w:rPr>
                <w:rFonts w:ascii="Arial" w:hAnsi="Arial" w:cs="Arial"/>
                <w:sz w:val="20"/>
                <w:szCs w:val="20"/>
              </w:rPr>
              <w:t xml:space="preserve"> </w:t>
            </w:r>
          </w:p>
        </w:tc>
        <w:tc>
          <w:tcPr>
            <w:tcW w:w="1540" w:type="dxa"/>
          </w:tcPr>
          <w:p w14:paraId="17562895" w14:textId="77777777" w:rsidR="00A13C6F" w:rsidRPr="00C6125C" w:rsidRDefault="00E6038E" w:rsidP="00C6125C">
            <w:pPr>
              <w:spacing w:after="0" w:line="240" w:lineRule="auto"/>
              <w:rPr>
                <w:rFonts w:ascii="Arial" w:hAnsi="Arial" w:cs="Arial"/>
                <w:sz w:val="20"/>
                <w:szCs w:val="20"/>
              </w:rPr>
            </w:pPr>
            <w:r w:rsidRPr="00E6038E">
              <w:rPr>
                <w:rFonts w:ascii="Arial" w:hAnsi="Arial" w:cs="Arial"/>
                <w:sz w:val="20"/>
                <w:szCs w:val="20"/>
              </w:rPr>
              <w:t>Unpleasant smell</w:t>
            </w:r>
          </w:p>
        </w:tc>
        <w:tc>
          <w:tcPr>
            <w:tcW w:w="1541" w:type="dxa"/>
          </w:tcPr>
          <w:p w14:paraId="5F5F9CCA" w14:textId="77777777" w:rsidR="00A13C6F" w:rsidRPr="00C6125C" w:rsidRDefault="001729D2" w:rsidP="00C6125C">
            <w:pPr>
              <w:spacing w:after="0" w:line="240" w:lineRule="auto"/>
              <w:rPr>
                <w:rFonts w:ascii="Arial" w:hAnsi="Arial" w:cs="Arial"/>
                <w:sz w:val="20"/>
                <w:szCs w:val="20"/>
              </w:rPr>
            </w:pPr>
            <w:r>
              <w:rPr>
                <w:rFonts w:ascii="Arial" w:hAnsi="Arial" w:cs="Arial"/>
                <w:sz w:val="20"/>
                <w:szCs w:val="20"/>
              </w:rPr>
              <w:t>Nervousness, taste loss</w:t>
            </w:r>
          </w:p>
        </w:tc>
        <w:tc>
          <w:tcPr>
            <w:tcW w:w="1541" w:type="dxa"/>
          </w:tcPr>
          <w:p w14:paraId="720EE837" w14:textId="77777777" w:rsidR="00A13C6F" w:rsidRPr="00C6125C" w:rsidRDefault="00A13C6F" w:rsidP="003E5918">
            <w:pPr>
              <w:pStyle w:val="Default"/>
              <w:rPr>
                <w:sz w:val="20"/>
                <w:szCs w:val="20"/>
              </w:rPr>
            </w:pPr>
            <w:r w:rsidRPr="00C6125C">
              <w:rPr>
                <w:sz w:val="20"/>
                <w:szCs w:val="20"/>
              </w:rPr>
              <w:t xml:space="preserve">Dizziness, somnolence (drowsiness, sleepiness) </w:t>
            </w:r>
          </w:p>
        </w:tc>
      </w:tr>
      <w:tr w:rsidR="00A13C6F" w:rsidRPr="00C6125C" w14:paraId="67A2598E" w14:textId="77777777">
        <w:tc>
          <w:tcPr>
            <w:tcW w:w="1540" w:type="dxa"/>
          </w:tcPr>
          <w:p w14:paraId="40744564" w14:textId="77777777" w:rsidR="00A13C6F" w:rsidRPr="00C6125C" w:rsidRDefault="00A13C6F" w:rsidP="003E5918">
            <w:pPr>
              <w:pStyle w:val="Default"/>
              <w:rPr>
                <w:sz w:val="20"/>
                <w:szCs w:val="20"/>
              </w:rPr>
            </w:pPr>
            <w:r w:rsidRPr="00C6125C">
              <w:rPr>
                <w:b/>
                <w:bCs/>
                <w:i/>
                <w:iCs/>
                <w:sz w:val="20"/>
                <w:szCs w:val="20"/>
              </w:rPr>
              <w:t xml:space="preserve">Eye disorders </w:t>
            </w:r>
          </w:p>
        </w:tc>
        <w:tc>
          <w:tcPr>
            <w:tcW w:w="1540" w:type="dxa"/>
          </w:tcPr>
          <w:p w14:paraId="4796DA0E" w14:textId="77777777" w:rsidR="00A13C6F" w:rsidRPr="00C6125C" w:rsidRDefault="00A13C6F" w:rsidP="00C6125C">
            <w:pPr>
              <w:spacing w:after="0" w:line="240" w:lineRule="auto"/>
              <w:rPr>
                <w:rFonts w:ascii="Arial" w:hAnsi="Arial" w:cs="Arial"/>
                <w:sz w:val="20"/>
                <w:szCs w:val="20"/>
              </w:rPr>
            </w:pPr>
          </w:p>
        </w:tc>
        <w:tc>
          <w:tcPr>
            <w:tcW w:w="1540" w:type="dxa"/>
          </w:tcPr>
          <w:p w14:paraId="013824EE" w14:textId="77777777" w:rsidR="00A13C6F" w:rsidRPr="00C6125C" w:rsidRDefault="00A13C6F" w:rsidP="00C6125C">
            <w:pPr>
              <w:spacing w:after="0" w:line="240" w:lineRule="auto"/>
              <w:rPr>
                <w:rFonts w:ascii="Arial" w:hAnsi="Arial" w:cs="Arial"/>
                <w:sz w:val="20"/>
                <w:szCs w:val="20"/>
              </w:rPr>
            </w:pPr>
          </w:p>
        </w:tc>
        <w:tc>
          <w:tcPr>
            <w:tcW w:w="1540" w:type="dxa"/>
          </w:tcPr>
          <w:p w14:paraId="61ED69C5" w14:textId="77777777" w:rsidR="00A13C6F" w:rsidRPr="00C6125C" w:rsidRDefault="00A13C6F" w:rsidP="00C6125C">
            <w:pPr>
              <w:spacing w:after="0" w:line="240" w:lineRule="auto"/>
              <w:rPr>
                <w:rFonts w:ascii="Arial" w:hAnsi="Arial" w:cs="Arial"/>
                <w:sz w:val="20"/>
                <w:szCs w:val="20"/>
              </w:rPr>
            </w:pPr>
          </w:p>
        </w:tc>
        <w:tc>
          <w:tcPr>
            <w:tcW w:w="1541" w:type="dxa"/>
          </w:tcPr>
          <w:p w14:paraId="6BFF83F4" w14:textId="77777777" w:rsidR="00A13C6F" w:rsidRPr="00C6125C" w:rsidRDefault="00A13C6F" w:rsidP="00C6125C">
            <w:pPr>
              <w:spacing w:after="0" w:line="240" w:lineRule="auto"/>
              <w:rPr>
                <w:rFonts w:ascii="Arial" w:hAnsi="Arial" w:cs="Arial"/>
                <w:sz w:val="20"/>
                <w:szCs w:val="20"/>
              </w:rPr>
            </w:pPr>
          </w:p>
        </w:tc>
        <w:tc>
          <w:tcPr>
            <w:tcW w:w="1541" w:type="dxa"/>
          </w:tcPr>
          <w:p w14:paraId="447627B1" w14:textId="77777777" w:rsidR="00A13C6F" w:rsidRPr="00C6125C" w:rsidRDefault="00A13C6F" w:rsidP="003E5918">
            <w:pPr>
              <w:pStyle w:val="Default"/>
              <w:rPr>
                <w:sz w:val="20"/>
                <w:szCs w:val="20"/>
              </w:rPr>
            </w:pPr>
            <w:r w:rsidRPr="00C6125C">
              <w:rPr>
                <w:sz w:val="20"/>
                <w:szCs w:val="20"/>
              </w:rPr>
              <w:t xml:space="preserve">Glaucoma, increased intraocular pressure, cataract </w:t>
            </w:r>
          </w:p>
          <w:p w14:paraId="03DD9B7A" w14:textId="77777777" w:rsidR="00A13C6F" w:rsidRPr="00C6125C" w:rsidRDefault="00A13C6F" w:rsidP="00C6125C">
            <w:pPr>
              <w:spacing w:after="0" w:line="240" w:lineRule="auto"/>
              <w:rPr>
                <w:rFonts w:ascii="Arial" w:hAnsi="Arial" w:cs="Arial"/>
                <w:sz w:val="20"/>
                <w:szCs w:val="20"/>
              </w:rPr>
            </w:pPr>
          </w:p>
        </w:tc>
      </w:tr>
      <w:tr w:rsidR="00A13C6F" w:rsidRPr="00C6125C" w14:paraId="4B7309BE" w14:textId="77777777">
        <w:tc>
          <w:tcPr>
            <w:tcW w:w="1540" w:type="dxa"/>
          </w:tcPr>
          <w:p w14:paraId="5A528C4E" w14:textId="77777777" w:rsidR="00A13C6F" w:rsidRPr="00C6125C" w:rsidRDefault="00A13C6F" w:rsidP="003E5918">
            <w:pPr>
              <w:pStyle w:val="Default"/>
              <w:rPr>
                <w:sz w:val="20"/>
                <w:szCs w:val="20"/>
              </w:rPr>
            </w:pPr>
            <w:r w:rsidRPr="00C6125C">
              <w:rPr>
                <w:b/>
                <w:bCs/>
                <w:i/>
                <w:iCs/>
                <w:sz w:val="20"/>
                <w:szCs w:val="20"/>
              </w:rPr>
              <w:t xml:space="preserve">Respiratory, thoracic and </w:t>
            </w:r>
            <w:proofErr w:type="spellStart"/>
            <w:r w:rsidRPr="00C6125C">
              <w:rPr>
                <w:b/>
                <w:bCs/>
                <w:i/>
                <w:iCs/>
                <w:sz w:val="20"/>
                <w:szCs w:val="20"/>
              </w:rPr>
              <w:t>mediastinal</w:t>
            </w:r>
            <w:proofErr w:type="spellEnd"/>
            <w:r w:rsidRPr="00C6125C">
              <w:rPr>
                <w:b/>
                <w:bCs/>
                <w:i/>
                <w:iCs/>
                <w:sz w:val="20"/>
                <w:szCs w:val="20"/>
              </w:rPr>
              <w:t xml:space="preserve"> disorders </w:t>
            </w:r>
          </w:p>
          <w:p w14:paraId="2BDD5F82" w14:textId="77777777" w:rsidR="00A13C6F" w:rsidRPr="00C6125C" w:rsidRDefault="00A13C6F" w:rsidP="00C6125C">
            <w:pPr>
              <w:spacing w:after="0" w:line="240" w:lineRule="auto"/>
              <w:rPr>
                <w:rFonts w:ascii="Arial" w:hAnsi="Arial" w:cs="Arial"/>
                <w:sz w:val="20"/>
                <w:szCs w:val="20"/>
              </w:rPr>
            </w:pPr>
          </w:p>
        </w:tc>
        <w:tc>
          <w:tcPr>
            <w:tcW w:w="1540" w:type="dxa"/>
          </w:tcPr>
          <w:p w14:paraId="66A5C987" w14:textId="77777777" w:rsidR="00A13C6F" w:rsidRPr="00C6125C" w:rsidRDefault="00A13C6F" w:rsidP="00C6125C">
            <w:pPr>
              <w:spacing w:after="0" w:line="240" w:lineRule="auto"/>
              <w:rPr>
                <w:rFonts w:ascii="Arial" w:hAnsi="Arial" w:cs="Arial"/>
                <w:sz w:val="20"/>
                <w:szCs w:val="20"/>
              </w:rPr>
            </w:pPr>
          </w:p>
        </w:tc>
        <w:tc>
          <w:tcPr>
            <w:tcW w:w="1540" w:type="dxa"/>
          </w:tcPr>
          <w:p w14:paraId="01312EF1" w14:textId="77777777" w:rsidR="00A13C6F" w:rsidRPr="00C6125C" w:rsidRDefault="00A13C6F" w:rsidP="00C6125C">
            <w:pPr>
              <w:spacing w:after="0" w:line="240" w:lineRule="auto"/>
              <w:rPr>
                <w:rFonts w:ascii="Arial" w:hAnsi="Arial" w:cs="Arial"/>
                <w:sz w:val="20"/>
                <w:szCs w:val="20"/>
              </w:rPr>
            </w:pPr>
          </w:p>
        </w:tc>
        <w:tc>
          <w:tcPr>
            <w:tcW w:w="1540" w:type="dxa"/>
          </w:tcPr>
          <w:p w14:paraId="56E2806F" w14:textId="77777777" w:rsidR="00A13C6F" w:rsidRPr="00C6125C" w:rsidRDefault="00A13C6F" w:rsidP="003E5918">
            <w:pPr>
              <w:pStyle w:val="Default"/>
              <w:rPr>
                <w:sz w:val="20"/>
                <w:szCs w:val="20"/>
              </w:rPr>
            </w:pPr>
            <w:r w:rsidRPr="00C6125C">
              <w:rPr>
                <w:sz w:val="20"/>
                <w:szCs w:val="20"/>
              </w:rPr>
              <w:t xml:space="preserve">Epistaxis, nasal discomfort (stinging, itching), sneezing, nasal dryness, cough, dry throat, throat irritation </w:t>
            </w:r>
          </w:p>
          <w:p w14:paraId="4A65F499" w14:textId="77777777" w:rsidR="00A13C6F" w:rsidRPr="00C6125C" w:rsidRDefault="00A13C6F" w:rsidP="00C6125C">
            <w:pPr>
              <w:spacing w:after="0" w:line="240" w:lineRule="auto"/>
              <w:rPr>
                <w:rFonts w:ascii="Arial" w:hAnsi="Arial" w:cs="Arial"/>
                <w:sz w:val="20"/>
                <w:szCs w:val="20"/>
              </w:rPr>
            </w:pPr>
          </w:p>
        </w:tc>
        <w:tc>
          <w:tcPr>
            <w:tcW w:w="1541" w:type="dxa"/>
          </w:tcPr>
          <w:p w14:paraId="44656175" w14:textId="77777777" w:rsidR="00A13C6F" w:rsidRPr="00C6125C" w:rsidRDefault="00A13C6F" w:rsidP="00C6125C">
            <w:pPr>
              <w:spacing w:after="0" w:line="240" w:lineRule="auto"/>
              <w:rPr>
                <w:rFonts w:ascii="Arial" w:hAnsi="Arial" w:cs="Arial"/>
                <w:sz w:val="20"/>
                <w:szCs w:val="20"/>
              </w:rPr>
            </w:pPr>
          </w:p>
        </w:tc>
        <w:tc>
          <w:tcPr>
            <w:tcW w:w="1541" w:type="dxa"/>
          </w:tcPr>
          <w:p w14:paraId="0058911C" w14:textId="77777777" w:rsidR="00A13C6F" w:rsidRPr="00C6125C" w:rsidRDefault="00A13C6F" w:rsidP="003E5918">
            <w:pPr>
              <w:pStyle w:val="Default"/>
              <w:rPr>
                <w:sz w:val="20"/>
                <w:szCs w:val="20"/>
              </w:rPr>
            </w:pPr>
            <w:r w:rsidRPr="00C6125C">
              <w:rPr>
                <w:sz w:val="20"/>
                <w:szCs w:val="20"/>
              </w:rPr>
              <w:t xml:space="preserve">Nasal septal perforation, mucosal erosion </w:t>
            </w:r>
          </w:p>
          <w:p w14:paraId="60C39D36" w14:textId="77777777" w:rsidR="00A13C6F" w:rsidRPr="00C6125C" w:rsidRDefault="00A13C6F" w:rsidP="00C6125C">
            <w:pPr>
              <w:spacing w:after="0" w:line="240" w:lineRule="auto"/>
              <w:rPr>
                <w:rFonts w:ascii="Arial" w:hAnsi="Arial" w:cs="Arial"/>
                <w:sz w:val="20"/>
                <w:szCs w:val="20"/>
              </w:rPr>
            </w:pPr>
          </w:p>
        </w:tc>
      </w:tr>
      <w:tr w:rsidR="00A13C6F" w:rsidRPr="00C6125C" w14:paraId="6CC55C5B" w14:textId="77777777">
        <w:tc>
          <w:tcPr>
            <w:tcW w:w="1540" w:type="dxa"/>
          </w:tcPr>
          <w:p w14:paraId="1749A02F" w14:textId="77777777" w:rsidR="00A13C6F" w:rsidRPr="00C6125C" w:rsidRDefault="00A13C6F" w:rsidP="003E5918">
            <w:pPr>
              <w:pStyle w:val="Default"/>
              <w:rPr>
                <w:sz w:val="20"/>
                <w:szCs w:val="20"/>
              </w:rPr>
            </w:pPr>
            <w:r w:rsidRPr="00C6125C">
              <w:rPr>
                <w:b/>
                <w:bCs/>
                <w:i/>
                <w:iCs/>
                <w:sz w:val="20"/>
                <w:szCs w:val="20"/>
              </w:rPr>
              <w:t xml:space="preserve">Gastrointestinal disorders </w:t>
            </w:r>
          </w:p>
          <w:p w14:paraId="7E92DC99" w14:textId="77777777" w:rsidR="00A13C6F" w:rsidRPr="00C6125C" w:rsidRDefault="00A13C6F" w:rsidP="00C6125C">
            <w:pPr>
              <w:spacing w:after="0" w:line="240" w:lineRule="auto"/>
              <w:rPr>
                <w:rFonts w:ascii="Arial" w:hAnsi="Arial" w:cs="Arial"/>
                <w:sz w:val="20"/>
                <w:szCs w:val="20"/>
              </w:rPr>
            </w:pPr>
          </w:p>
        </w:tc>
        <w:tc>
          <w:tcPr>
            <w:tcW w:w="1540" w:type="dxa"/>
          </w:tcPr>
          <w:p w14:paraId="6325DC41" w14:textId="77777777" w:rsidR="00A13C6F" w:rsidRPr="00C6125C" w:rsidRDefault="00A13C6F" w:rsidP="00C6125C">
            <w:pPr>
              <w:spacing w:after="0" w:line="240" w:lineRule="auto"/>
              <w:rPr>
                <w:rFonts w:ascii="Arial" w:hAnsi="Arial" w:cs="Arial"/>
                <w:sz w:val="20"/>
                <w:szCs w:val="20"/>
              </w:rPr>
            </w:pPr>
          </w:p>
        </w:tc>
        <w:tc>
          <w:tcPr>
            <w:tcW w:w="1540" w:type="dxa"/>
          </w:tcPr>
          <w:p w14:paraId="3E7FA16D" w14:textId="77777777" w:rsidR="00A13C6F" w:rsidRPr="00C6125C" w:rsidRDefault="00A13C6F" w:rsidP="00C6125C">
            <w:pPr>
              <w:spacing w:after="0" w:line="240" w:lineRule="auto"/>
              <w:rPr>
                <w:rFonts w:ascii="Arial" w:hAnsi="Arial" w:cs="Arial"/>
                <w:sz w:val="20"/>
                <w:szCs w:val="20"/>
              </w:rPr>
            </w:pPr>
          </w:p>
        </w:tc>
        <w:tc>
          <w:tcPr>
            <w:tcW w:w="1540" w:type="dxa"/>
          </w:tcPr>
          <w:p w14:paraId="41609715" w14:textId="77777777" w:rsidR="00A13C6F" w:rsidRPr="00C6125C" w:rsidRDefault="00A13C6F" w:rsidP="00C6125C">
            <w:pPr>
              <w:spacing w:after="0" w:line="240" w:lineRule="auto"/>
              <w:rPr>
                <w:rFonts w:ascii="Arial" w:hAnsi="Arial" w:cs="Arial"/>
                <w:sz w:val="20"/>
                <w:szCs w:val="20"/>
              </w:rPr>
            </w:pPr>
          </w:p>
        </w:tc>
        <w:tc>
          <w:tcPr>
            <w:tcW w:w="1541" w:type="dxa"/>
          </w:tcPr>
          <w:p w14:paraId="3190DB38" w14:textId="77777777" w:rsidR="00A13C6F" w:rsidRPr="00C6125C" w:rsidRDefault="00A13C6F" w:rsidP="003E5918">
            <w:pPr>
              <w:pStyle w:val="Default"/>
              <w:rPr>
                <w:sz w:val="20"/>
                <w:szCs w:val="20"/>
              </w:rPr>
            </w:pPr>
            <w:r w:rsidRPr="00C6125C">
              <w:rPr>
                <w:sz w:val="20"/>
                <w:szCs w:val="20"/>
              </w:rPr>
              <w:t xml:space="preserve">Dry mouth </w:t>
            </w:r>
          </w:p>
          <w:p w14:paraId="1D36BDFA" w14:textId="77777777" w:rsidR="00A13C6F" w:rsidRPr="00C6125C" w:rsidRDefault="00A13C6F" w:rsidP="00C6125C">
            <w:pPr>
              <w:spacing w:after="0" w:line="240" w:lineRule="auto"/>
              <w:rPr>
                <w:rFonts w:ascii="Arial" w:hAnsi="Arial" w:cs="Arial"/>
                <w:sz w:val="20"/>
                <w:szCs w:val="20"/>
              </w:rPr>
            </w:pPr>
          </w:p>
        </w:tc>
        <w:tc>
          <w:tcPr>
            <w:tcW w:w="1541" w:type="dxa"/>
          </w:tcPr>
          <w:p w14:paraId="5822D000" w14:textId="77777777" w:rsidR="00A13C6F" w:rsidRPr="00C6125C" w:rsidRDefault="00A13C6F" w:rsidP="003E5918">
            <w:pPr>
              <w:pStyle w:val="Default"/>
              <w:rPr>
                <w:sz w:val="20"/>
                <w:szCs w:val="20"/>
              </w:rPr>
            </w:pPr>
            <w:r w:rsidRPr="00C6125C">
              <w:rPr>
                <w:sz w:val="20"/>
                <w:szCs w:val="20"/>
              </w:rPr>
              <w:t xml:space="preserve">Nausea </w:t>
            </w:r>
          </w:p>
          <w:p w14:paraId="4A9261F9" w14:textId="77777777" w:rsidR="00A13C6F" w:rsidRPr="00C6125C" w:rsidRDefault="00A13C6F" w:rsidP="00C6125C">
            <w:pPr>
              <w:spacing w:after="0" w:line="240" w:lineRule="auto"/>
              <w:rPr>
                <w:rFonts w:ascii="Arial" w:hAnsi="Arial" w:cs="Arial"/>
                <w:sz w:val="20"/>
                <w:szCs w:val="20"/>
              </w:rPr>
            </w:pPr>
          </w:p>
        </w:tc>
      </w:tr>
      <w:tr w:rsidR="00A13C6F" w:rsidRPr="00C6125C" w14:paraId="5A5C3666" w14:textId="77777777">
        <w:tc>
          <w:tcPr>
            <w:tcW w:w="1540" w:type="dxa"/>
          </w:tcPr>
          <w:p w14:paraId="6A74F329" w14:textId="77777777" w:rsidR="00A13C6F" w:rsidRPr="00C6125C" w:rsidRDefault="00A13C6F" w:rsidP="003E5918">
            <w:pPr>
              <w:pStyle w:val="Default"/>
              <w:rPr>
                <w:sz w:val="20"/>
                <w:szCs w:val="20"/>
              </w:rPr>
            </w:pPr>
            <w:r w:rsidRPr="00C6125C">
              <w:rPr>
                <w:b/>
                <w:bCs/>
                <w:i/>
                <w:iCs/>
                <w:sz w:val="20"/>
                <w:szCs w:val="20"/>
              </w:rPr>
              <w:t xml:space="preserve">Skin and subcutaneous tissue disorders </w:t>
            </w:r>
          </w:p>
          <w:p w14:paraId="23A15F83" w14:textId="77777777" w:rsidR="00A13C6F" w:rsidRPr="00C6125C" w:rsidRDefault="00A13C6F" w:rsidP="00C6125C">
            <w:pPr>
              <w:spacing w:after="0" w:line="240" w:lineRule="auto"/>
              <w:rPr>
                <w:rFonts w:ascii="Arial" w:hAnsi="Arial" w:cs="Arial"/>
                <w:sz w:val="20"/>
                <w:szCs w:val="20"/>
              </w:rPr>
            </w:pPr>
          </w:p>
        </w:tc>
        <w:tc>
          <w:tcPr>
            <w:tcW w:w="1540" w:type="dxa"/>
          </w:tcPr>
          <w:p w14:paraId="00D9E27C" w14:textId="77777777" w:rsidR="00A13C6F" w:rsidRPr="00C6125C" w:rsidRDefault="00A13C6F" w:rsidP="00C6125C">
            <w:pPr>
              <w:spacing w:after="0" w:line="240" w:lineRule="auto"/>
              <w:rPr>
                <w:rFonts w:ascii="Arial" w:hAnsi="Arial" w:cs="Arial"/>
                <w:sz w:val="20"/>
                <w:szCs w:val="20"/>
              </w:rPr>
            </w:pPr>
          </w:p>
        </w:tc>
        <w:tc>
          <w:tcPr>
            <w:tcW w:w="1540" w:type="dxa"/>
          </w:tcPr>
          <w:p w14:paraId="41D263DF" w14:textId="77777777" w:rsidR="00A13C6F" w:rsidRPr="00C6125C" w:rsidRDefault="00A13C6F" w:rsidP="00C6125C">
            <w:pPr>
              <w:spacing w:after="0" w:line="240" w:lineRule="auto"/>
              <w:rPr>
                <w:rFonts w:ascii="Arial" w:hAnsi="Arial" w:cs="Arial"/>
                <w:sz w:val="20"/>
                <w:szCs w:val="20"/>
              </w:rPr>
            </w:pPr>
          </w:p>
        </w:tc>
        <w:tc>
          <w:tcPr>
            <w:tcW w:w="1540" w:type="dxa"/>
          </w:tcPr>
          <w:p w14:paraId="3F4E3E06" w14:textId="77777777" w:rsidR="00A13C6F" w:rsidRPr="00C6125C" w:rsidRDefault="00A13C6F" w:rsidP="00C6125C">
            <w:pPr>
              <w:spacing w:after="0" w:line="240" w:lineRule="auto"/>
              <w:rPr>
                <w:rFonts w:ascii="Arial" w:hAnsi="Arial" w:cs="Arial"/>
                <w:sz w:val="20"/>
                <w:szCs w:val="20"/>
              </w:rPr>
            </w:pPr>
          </w:p>
        </w:tc>
        <w:tc>
          <w:tcPr>
            <w:tcW w:w="1541" w:type="dxa"/>
          </w:tcPr>
          <w:p w14:paraId="37AE5395" w14:textId="77777777" w:rsidR="00A13C6F" w:rsidRPr="00C6125C" w:rsidRDefault="00A13C6F" w:rsidP="00C6125C">
            <w:pPr>
              <w:spacing w:after="0" w:line="240" w:lineRule="auto"/>
              <w:rPr>
                <w:rFonts w:ascii="Arial" w:hAnsi="Arial" w:cs="Arial"/>
                <w:sz w:val="20"/>
                <w:szCs w:val="20"/>
              </w:rPr>
            </w:pPr>
          </w:p>
        </w:tc>
        <w:tc>
          <w:tcPr>
            <w:tcW w:w="1541" w:type="dxa"/>
          </w:tcPr>
          <w:p w14:paraId="35C94815" w14:textId="77777777" w:rsidR="00A13C6F" w:rsidRPr="00C6125C" w:rsidRDefault="00A13C6F" w:rsidP="003E5918">
            <w:pPr>
              <w:pStyle w:val="Default"/>
              <w:rPr>
                <w:sz w:val="20"/>
                <w:szCs w:val="20"/>
              </w:rPr>
            </w:pPr>
            <w:r w:rsidRPr="00C6125C">
              <w:rPr>
                <w:sz w:val="20"/>
                <w:szCs w:val="20"/>
              </w:rPr>
              <w:t xml:space="preserve">Rash, pruritus, </w:t>
            </w:r>
            <w:proofErr w:type="spellStart"/>
            <w:r w:rsidRPr="00C6125C">
              <w:rPr>
                <w:sz w:val="20"/>
                <w:szCs w:val="20"/>
              </w:rPr>
              <w:t>urticaria</w:t>
            </w:r>
            <w:proofErr w:type="spellEnd"/>
            <w:r w:rsidRPr="00C6125C">
              <w:rPr>
                <w:sz w:val="20"/>
                <w:szCs w:val="20"/>
              </w:rPr>
              <w:t xml:space="preserve"> </w:t>
            </w:r>
          </w:p>
          <w:p w14:paraId="05DF1603" w14:textId="77777777" w:rsidR="00A13C6F" w:rsidRPr="00C6125C" w:rsidRDefault="00A13C6F" w:rsidP="00C6125C">
            <w:pPr>
              <w:spacing w:after="0" w:line="240" w:lineRule="auto"/>
              <w:rPr>
                <w:rFonts w:ascii="Arial" w:hAnsi="Arial" w:cs="Arial"/>
                <w:sz w:val="20"/>
                <w:szCs w:val="20"/>
              </w:rPr>
            </w:pPr>
          </w:p>
        </w:tc>
      </w:tr>
      <w:tr w:rsidR="00A13C6F" w:rsidRPr="00C6125C" w14:paraId="79E06E3C" w14:textId="77777777">
        <w:tc>
          <w:tcPr>
            <w:tcW w:w="1540" w:type="dxa"/>
          </w:tcPr>
          <w:p w14:paraId="1E9FC192" w14:textId="77777777" w:rsidR="00A13C6F" w:rsidRPr="00C6125C" w:rsidRDefault="00A13C6F" w:rsidP="003E5918">
            <w:pPr>
              <w:pStyle w:val="Default"/>
              <w:rPr>
                <w:sz w:val="20"/>
                <w:szCs w:val="20"/>
              </w:rPr>
            </w:pPr>
            <w:r w:rsidRPr="00C6125C">
              <w:rPr>
                <w:b/>
                <w:bCs/>
                <w:i/>
                <w:iCs/>
                <w:sz w:val="20"/>
                <w:szCs w:val="20"/>
              </w:rPr>
              <w:t xml:space="preserve">General disorders and administration site conditions </w:t>
            </w:r>
          </w:p>
          <w:p w14:paraId="71D1C1B2" w14:textId="77777777" w:rsidR="00A13C6F" w:rsidRPr="00C6125C" w:rsidRDefault="00A13C6F" w:rsidP="00C6125C">
            <w:pPr>
              <w:spacing w:after="0" w:line="240" w:lineRule="auto"/>
              <w:rPr>
                <w:rFonts w:ascii="Arial" w:hAnsi="Arial" w:cs="Arial"/>
                <w:sz w:val="20"/>
                <w:szCs w:val="20"/>
              </w:rPr>
            </w:pPr>
          </w:p>
        </w:tc>
        <w:tc>
          <w:tcPr>
            <w:tcW w:w="1540" w:type="dxa"/>
          </w:tcPr>
          <w:p w14:paraId="1700CAB2" w14:textId="77777777" w:rsidR="00A13C6F" w:rsidRPr="00C6125C" w:rsidRDefault="00A13C6F" w:rsidP="00C6125C">
            <w:pPr>
              <w:spacing w:after="0" w:line="240" w:lineRule="auto"/>
              <w:rPr>
                <w:rFonts w:ascii="Arial" w:hAnsi="Arial" w:cs="Arial"/>
                <w:sz w:val="20"/>
                <w:szCs w:val="20"/>
              </w:rPr>
            </w:pPr>
          </w:p>
        </w:tc>
        <w:tc>
          <w:tcPr>
            <w:tcW w:w="1540" w:type="dxa"/>
          </w:tcPr>
          <w:p w14:paraId="146CBA0D" w14:textId="77777777" w:rsidR="00A13C6F" w:rsidRPr="00C6125C" w:rsidRDefault="00A13C6F" w:rsidP="00C6125C">
            <w:pPr>
              <w:spacing w:after="0" w:line="240" w:lineRule="auto"/>
              <w:rPr>
                <w:rFonts w:ascii="Arial" w:hAnsi="Arial" w:cs="Arial"/>
                <w:sz w:val="20"/>
                <w:szCs w:val="20"/>
              </w:rPr>
            </w:pPr>
          </w:p>
        </w:tc>
        <w:tc>
          <w:tcPr>
            <w:tcW w:w="1540" w:type="dxa"/>
          </w:tcPr>
          <w:p w14:paraId="2A2A3EB8" w14:textId="77777777" w:rsidR="00A13C6F" w:rsidRPr="00C6125C" w:rsidRDefault="00A13C6F" w:rsidP="00C6125C">
            <w:pPr>
              <w:spacing w:after="0" w:line="240" w:lineRule="auto"/>
              <w:rPr>
                <w:rFonts w:ascii="Arial" w:hAnsi="Arial" w:cs="Arial"/>
                <w:sz w:val="20"/>
                <w:szCs w:val="20"/>
              </w:rPr>
            </w:pPr>
          </w:p>
        </w:tc>
        <w:tc>
          <w:tcPr>
            <w:tcW w:w="1541" w:type="dxa"/>
          </w:tcPr>
          <w:p w14:paraId="31B4E2F3" w14:textId="77777777" w:rsidR="00A13C6F" w:rsidRPr="00C6125C" w:rsidRDefault="00A13C6F" w:rsidP="00C6125C">
            <w:pPr>
              <w:spacing w:after="0" w:line="240" w:lineRule="auto"/>
              <w:rPr>
                <w:rFonts w:ascii="Arial" w:hAnsi="Arial" w:cs="Arial"/>
                <w:sz w:val="20"/>
                <w:szCs w:val="20"/>
              </w:rPr>
            </w:pPr>
          </w:p>
        </w:tc>
        <w:tc>
          <w:tcPr>
            <w:tcW w:w="1541" w:type="dxa"/>
          </w:tcPr>
          <w:p w14:paraId="03735069" w14:textId="77777777" w:rsidR="00A13C6F" w:rsidRPr="00C6125C" w:rsidRDefault="00A13C6F" w:rsidP="003E5918">
            <w:pPr>
              <w:pStyle w:val="Default"/>
              <w:rPr>
                <w:sz w:val="20"/>
                <w:szCs w:val="20"/>
              </w:rPr>
            </w:pPr>
            <w:r w:rsidRPr="00C6125C">
              <w:rPr>
                <w:sz w:val="20"/>
                <w:szCs w:val="20"/>
              </w:rPr>
              <w:t xml:space="preserve">Fatigue (weariness, exhaustion), weakness </w:t>
            </w:r>
          </w:p>
        </w:tc>
      </w:tr>
    </w:tbl>
    <w:p w14:paraId="31F1E670" w14:textId="77777777" w:rsidR="00A13C6F" w:rsidRDefault="00A13C6F" w:rsidP="005D56D8">
      <w:pPr>
        <w:spacing w:after="0"/>
        <w:rPr>
          <w:rFonts w:ascii="Arial" w:hAnsi="Arial" w:cs="Arial"/>
          <w:b/>
          <w:bCs/>
          <w:sz w:val="24"/>
          <w:szCs w:val="24"/>
        </w:rPr>
      </w:pPr>
    </w:p>
    <w:p w14:paraId="44A19DD0" w14:textId="77777777" w:rsidR="005C6867" w:rsidRDefault="005C6867">
      <w:pPr>
        <w:spacing w:after="0" w:line="240" w:lineRule="auto"/>
        <w:rPr>
          <w:rFonts w:ascii="Arial" w:hAnsi="Arial" w:cs="Arial"/>
          <w:b/>
          <w:bCs/>
          <w:sz w:val="24"/>
          <w:szCs w:val="24"/>
        </w:rPr>
      </w:pPr>
      <w:r>
        <w:rPr>
          <w:rFonts w:ascii="Arial" w:hAnsi="Arial" w:cs="Arial"/>
          <w:b/>
          <w:bCs/>
          <w:sz w:val="24"/>
          <w:szCs w:val="24"/>
        </w:rPr>
        <w:br w:type="page"/>
      </w:r>
    </w:p>
    <w:p w14:paraId="422E0268" w14:textId="67FF3503" w:rsidR="00A13C6F" w:rsidRDefault="00A13C6F" w:rsidP="005D56D8">
      <w:pPr>
        <w:spacing w:after="0"/>
        <w:rPr>
          <w:rFonts w:ascii="Arial" w:hAnsi="Arial" w:cs="Arial"/>
          <w:b/>
          <w:bCs/>
          <w:sz w:val="24"/>
          <w:szCs w:val="24"/>
        </w:rPr>
      </w:pPr>
      <w:r>
        <w:rPr>
          <w:rFonts w:ascii="Arial" w:hAnsi="Arial" w:cs="Arial"/>
          <w:b/>
          <w:bCs/>
          <w:sz w:val="24"/>
          <w:szCs w:val="24"/>
        </w:rPr>
        <w:lastRenderedPageBreak/>
        <w:t>DOSAGE AND ADMINISTRATION</w:t>
      </w:r>
    </w:p>
    <w:p w14:paraId="7A1F1EAD" w14:textId="77777777" w:rsidR="00A13C6F" w:rsidRDefault="00A13C6F" w:rsidP="005D56D8">
      <w:pPr>
        <w:spacing w:after="0"/>
        <w:rPr>
          <w:rFonts w:ascii="Arial" w:hAnsi="Arial" w:cs="Arial"/>
          <w:b/>
          <w:bCs/>
          <w:sz w:val="24"/>
          <w:szCs w:val="24"/>
        </w:rPr>
      </w:pPr>
    </w:p>
    <w:p w14:paraId="16E8DD51" w14:textId="77777777" w:rsidR="00A13C6F" w:rsidRDefault="00A13C6F" w:rsidP="00A36738">
      <w:pPr>
        <w:spacing w:after="0"/>
        <w:rPr>
          <w:rFonts w:ascii="Arial" w:hAnsi="Arial" w:cs="Arial"/>
          <w:b/>
          <w:bCs/>
          <w:sz w:val="24"/>
          <w:szCs w:val="24"/>
        </w:rPr>
      </w:pPr>
      <w:r>
        <w:rPr>
          <w:rFonts w:ascii="Arial" w:hAnsi="Arial" w:cs="Arial"/>
          <w:b/>
          <w:bCs/>
          <w:sz w:val="24"/>
          <w:szCs w:val="24"/>
        </w:rPr>
        <w:t>Dosage</w:t>
      </w:r>
    </w:p>
    <w:p w14:paraId="7E7F39AC" w14:textId="77777777" w:rsidR="00A13C6F" w:rsidRPr="009C3F21" w:rsidRDefault="00A13C6F" w:rsidP="00A36738">
      <w:pPr>
        <w:autoSpaceDE w:val="0"/>
        <w:autoSpaceDN w:val="0"/>
        <w:adjustRightInd w:val="0"/>
        <w:spacing w:after="0"/>
        <w:rPr>
          <w:rFonts w:ascii="Arial" w:hAnsi="Arial" w:cs="Arial"/>
          <w:color w:val="000000"/>
        </w:rPr>
      </w:pPr>
      <w:r w:rsidRPr="009C3F21">
        <w:rPr>
          <w:rFonts w:ascii="Arial" w:hAnsi="Arial" w:cs="Arial"/>
          <w:color w:val="000000"/>
          <w:u w:val="single"/>
        </w:rPr>
        <w:t xml:space="preserve">Adults and adolescents (e.g. 12 years and older) </w:t>
      </w:r>
    </w:p>
    <w:p w14:paraId="71D48619" w14:textId="77777777" w:rsidR="00A13C6F" w:rsidRPr="009C3F21" w:rsidRDefault="00A13C6F" w:rsidP="00A36738">
      <w:pPr>
        <w:autoSpaceDE w:val="0"/>
        <w:autoSpaceDN w:val="0"/>
        <w:adjustRightInd w:val="0"/>
        <w:spacing w:after="0"/>
        <w:rPr>
          <w:rFonts w:ascii="Arial" w:hAnsi="Arial" w:cs="Arial"/>
          <w:color w:val="000000"/>
        </w:rPr>
      </w:pPr>
      <w:proofErr w:type="gramStart"/>
      <w:r w:rsidRPr="009C3F21">
        <w:rPr>
          <w:rFonts w:ascii="Arial" w:hAnsi="Arial" w:cs="Arial"/>
          <w:color w:val="000000"/>
        </w:rPr>
        <w:t>One spray in each nostril twice daily (morning and evening).</w:t>
      </w:r>
      <w:proofErr w:type="gramEnd"/>
      <w:r w:rsidRPr="009C3F21">
        <w:rPr>
          <w:rFonts w:ascii="Arial" w:hAnsi="Arial" w:cs="Arial"/>
          <w:color w:val="000000"/>
        </w:rPr>
        <w:t xml:space="preserve"> </w:t>
      </w:r>
    </w:p>
    <w:p w14:paraId="01296EC9" w14:textId="77777777" w:rsidR="00A13C6F" w:rsidRDefault="00A13C6F" w:rsidP="00A36738">
      <w:pPr>
        <w:autoSpaceDE w:val="0"/>
        <w:autoSpaceDN w:val="0"/>
        <w:adjustRightInd w:val="0"/>
        <w:spacing w:after="0"/>
        <w:rPr>
          <w:rFonts w:ascii="Arial" w:hAnsi="Arial" w:cs="Arial"/>
          <w:color w:val="000000"/>
          <w:u w:val="single"/>
        </w:rPr>
      </w:pPr>
    </w:p>
    <w:p w14:paraId="2D8BD8AE" w14:textId="77777777" w:rsidR="00A13C6F" w:rsidRPr="009C3F21" w:rsidRDefault="00A13C6F" w:rsidP="00A36738">
      <w:pPr>
        <w:autoSpaceDE w:val="0"/>
        <w:autoSpaceDN w:val="0"/>
        <w:adjustRightInd w:val="0"/>
        <w:spacing w:after="0"/>
        <w:rPr>
          <w:rFonts w:ascii="Arial" w:hAnsi="Arial" w:cs="Arial"/>
          <w:color w:val="000000"/>
        </w:rPr>
      </w:pPr>
      <w:r w:rsidRPr="009C3F21">
        <w:rPr>
          <w:rFonts w:ascii="Arial" w:hAnsi="Arial" w:cs="Arial"/>
          <w:color w:val="000000"/>
          <w:u w:val="single"/>
        </w:rPr>
        <w:t xml:space="preserve">Children below 12 years </w:t>
      </w:r>
    </w:p>
    <w:p w14:paraId="690465E0" w14:textId="75C3E165" w:rsidR="00A13C6F" w:rsidRPr="009C3F21" w:rsidRDefault="00C62BCA" w:rsidP="00A36738">
      <w:pPr>
        <w:autoSpaceDE w:val="0"/>
        <w:autoSpaceDN w:val="0"/>
        <w:adjustRightInd w:val="0"/>
        <w:spacing w:after="0"/>
        <w:rPr>
          <w:rFonts w:ascii="Arial" w:hAnsi="Arial" w:cs="Arial"/>
          <w:color w:val="000000"/>
        </w:rPr>
      </w:pPr>
      <w:r>
        <w:rPr>
          <w:rFonts w:ascii="Arial" w:hAnsi="Arial" w:cs="Arial"/>
          <w:color w:val="000000"/>
        </w:rPr>
        <w:t>DYLASTINE</w:t>
      </w:r>
      <w:r w:rsidR="00FD4410">
        <w:rPr>
          <w:rFonts w:ascii="Arial" w:hAnsi="Arial" w:cs="Arial"/>
          <w:color w:val="000000"/>
        </w:rPr>
        <w:t> </w:t>
      </w:r>
      <w:r w:rsidR="00FB7661">
        <w:rPr>
          <w:rFonts w:ascii="Arial" w:hAnsi="Arial" w:cs="Arial"/>
          <w:color w:val="000000"/>
        </w:rPr>
        <w:t>125/50</w:t>
      </w:r>
      <w:r w:rsidR="00A13C6F">
        <w:rPr>
          <w:rFonts w:ascii="Arial" w:hAnsi="Arial" w:cs="Arial"/>
          <w:color w:val="000000"/>
        </w:rPr>
        <w:t xml:space="preserve"> n</w:t>
      </w:r>
      <w:r w:rsidR="00A13C6F" w:rsidRPr="009C3F21">
        <w:rPr>
          <w:rFonts w:ascii="Arial" w:hAnsi="Arial" w:cs="Arial"/>
          <w:color w:val="000000"/>
        </w:rPr>
        <w:t xml:space="preserve">asal </w:t>
      </w:r>
      <w:r w:rsidR="00A13C6F">
        <w:rPr>
          <w:rFonts w:ascii="Arial" w:hAnsi="Arial" w:cs="Arial"/>
          <w:color w:val="000000"/>
        </w:rPr>
        <w:t>s</w:t>
      </w:r>
      <w:r w:rsidR="00A13C6F" w:rsidRPr="009C3F21">
        <w:rPr>
          <w:rFonts w:ascii="Arial" w:hAnsi="Arial" w:cs="Arial"/>
          <w:color w:val="000000"/>
        </w:rPr>
        <w:t xml:space="preserve">pray is not recommended for use in children below 12 years of age as safety and efficacy has not been established in this age group. </w:t>
      </w:r>
    </w:p>
    <w:p w14:paraId="68C51F79" w14:textId="77777777" w:rsidR="00A13C6F" w:rsidRDefault="00A13C6F" w:rsidP="00A36738">
      <w:pPr>
        <w:autoSpaceDE w:val="0"/>
        <w:autoSpaceDN w:val="0"/>
        <w:adjustRightInd w:val="0"/>
        <w:spacing w:after="0"/>
        <w:rPr>
          <w:rFonts w:ascii="Arial" w:hAnsi="Arial" w:cs="Arial"/>
          <w:color w:val="000000"/>
          <w:u w:val="single"/>
        </w:rPr>
      </w:pPr>
    </w:p>
    <w:p w14:paraId="6D554610" w14:textId="77777777" w:rsidR="00A13C6F" w:rsidRPr="009C3F21" w:rsidRDefault="00A13C6F" w:rsidP="00A36738">
      <w:pPr>
        <w:autoSpaceDE w:val="0"/>
        <w:autoSpaceDN w:val="0"/>
        <w:adjustRightInd w:val="0"/>
        <w:spacing w:after="0"/>
        <w:rPr>
          <w:rFonts w:ascii="Arial" w:hAnsi="Arial" w:cs="Arial"/>
          <w:color w:val="000000"/>
        </w:rPr>
      </w:pPr>
      <w:r w:rsidRPr="009C3F21">
        <w:rPr>
          <w:rFonts w:ascii="Arial" w:hAnsi="Arial" w:cs="Arial"/>
          <w:color w:val="000000"/>
          <w:u w:val="single"/>
        </w:rPr>
        <w:t xml:space="preserve">Elderly </w:t>
      </w:r>
    </w:p>
    <w:p w14:paraId="7B6DBD3C" w14:textId="77777777" w:rsidR="00A13C6F" w:rsidRPr="009C3F21" w:rsidRDefault="00A13C6F" w:rsidP="00A36738">
      <w:pPr>
        <w:autoSpaceDE w:val="0"/>
        <w:autoSpaceDN w:val="0"/>
        <w:adjustRightInd w:val="0"/>
        <w:spacing w:after="0"/>
        <w:rPr>
          <w:rFonts w:ascii="Arial" w:hAnsi="Arial" w:cs="Arial"/>
          <w:color w:val="000000"/>
        </w:rPr>
      </w:pPr>
      <w:r w:rsidRPr="009C3F21">
        <w:rPr>
          <w:rFonts w:ascii="Arial" w:hAnsi="Arial" w:cs="Arial"/>
          <w:color w:val="000000"/>
        </w:rPr>
        <w:t>No dose adjustment is required in this population</w:t>
      </w:r>
      <w:r>
        <w:rPr>
          <w:rFonts w:ascii="Arial" w:hAnsi="Arial" w:cs="Arial"/>
          <w:color w:val="000000"/>
        </w:rPr>
        <w:t xml:space="preserve"> (see </w:t>
      </w:r>
      <w:r w:rsidRPr="00C11798">
        <w:rPr>
          <w:rFonts w:ascii="Arial" w:hAnsi="Arial" w:cs="Arial"/>
          <w:b/>
          <w:bCs/>
          <w:color w:val="000000"/>
        </w:rPr>
        <w:t>P</w:t>
      </w:r>
      <w:r w:rsidRPr="005E489F">
        <w:rPr>
          <w:rFonts w:ascii="Arial" w:hAnsi="Arial" w:cs="Arial"/>
          <w:b/>
          <w:bCs/>
        </w:rPr>
        <w:t>harmacokinetics</w:t>
      </w:r>
      <w:r w:rsidRPr="005E489F">
        <w:rPr>
          <w:rFonts w:ascii="Arial" w:hAnsi="Arial" w:cs="Arial"/>
        </w:rPr>
        <w:t xml:space="preserve"> under </w:t>
      </w:r>
      <w:r w:rsidRPr="005E489F">
        <w:rPr>
          <w:rFonts w:ascii="Arial" w:hAnsi="Arial" w:cs="Arial"/>
          <w:b/>
          <w:bCs/>
        </w:rPr>
        <w:t>Special Populations</w:t>
      </w:r>
      <w:r w:rsidRPr="005E489F">
        <w:rPr>
          <w:rFonts w:ascii="Arial" w:hAnsi="Arial" w:cs="Arial"/>
        </w:rPr>
        <w:t xml:space="preserve"> – </w:t>
      </w:r>
      <w:r w:rsidRPr="00C11798">
        <w:rPr>
          <w:rFonts w:ascii="Arial" w:hAnsi="Arial" w:cs="Arial"/>
          <w:b/>
          <w:bCs/>
          <w:i/>
          <w:iCs/>
        </w:rPr>
        <w:t>Age</w:t>
      </w:r>
      <w:r>
        <w:rPr>
          <w:rFonts w:ascii="Arial" w:hAnsi="Arial" w:cs="Arial"/>
        </w:rPr>
        <w:t xml:space="preserve"> and </w:t>
      </w:r>
      <w:r w:rsidRPr="00804552">
        <w:rPr>
          <w:rFonts w:ascii="Arial" w:hAnsi="Arial" w:cs="Arial"/>
          <w:b/>
          <w:bCs/>
        </w:rPr>
        <w:t>PRECAUTIONS</w:t>
      </w:r>
      <w:r>
        <w:rPr>
          <w:rFonts w:ascii="Arial" w:hAnsi="Arial" w:cs="Arial"/>
        </w:rPr>
        <w:t xml:space="preserve"> – </w:t>
      </w:r>
      <w:r>
        <w:rPr>
          <w:rFonts w:ascii="Arial" w:hAnsi="Arial" w:cs="Arial"/>
          <w:b/>
          <w:bCs/>
        </w:rPr>
        <w:t>Use in the Elderly)</w:t>
      </w:r>
      <w:r w:rsidRPr="009C3F21">
        <w:rPr>
          <w:rFonts w:ascii="Arial" w:hAnsi="Arial" w:cs="Arial"/>
          <w:color w:val="000000"/>
        </w:rPr>
        <w:t xml:space="preserve">. </w:t>
      </w:r>
    </w:p>
    <w:p w14:paraId="3C019684" w14:textId="77777777" w:rsidR="00A13C6F" w:rsidRPr="009C3F21" w:rsidRDefault="00A13C6F" w:rsidP="00A36738">
      <w:pPr>
        <w:autoSpaceDE w:val="0"/>
        <w:autoSpaceDN w:val="0"/>
        <w:adjustRightInd w:val="0"/>
        <w:spacing w:after="0"/>
        <w:rPr>
          <w:rFonts w:ascii="Arial" w:hAnsi="Arial" w:cs="Arial"/>
          <w:color w:val="000000"/>
        </w:rPr>
      </w:pPr>
      <w:r>
        <w:rPr>
          <w:rFonts w:ascii="Arial" w:hAnsi="Arial" w:cs="Arial"/>
          <w:color w:val="000000"/>
          <w:u w:val="single"/>
        </w:rPr>
        <w:br/>
      </w:r>
      <w:r w:rsidRPr="009C3F21">
        <w:rPr>
          <w:rFonts w:ascii="Arial" w:hAnsi="Arial" w:cs="Arial"/>
          <w:color w:val="000000"/>
          <w:u w:val="single"/>
        </w:rPr>
        <w:t xml:space="preserve">Renal and hepatic impairment </w:t>
      </w:r>
    </w:p>
    <w:p w14:paraId="23F81933" w14:textId="77777777" w:rsidR="00A13C6F" w:rsidRDefault="00A13C6F" w:rsidP="00A36738">
      <w:pPr>
        <w:autoSpaceDE w:val="0"/>
        <w:autoSpaceDN w:val="0"/>
        <w:adjustRightInd w:val="0"/>
        <w:spacing w:after="0"/>
        <w:rPr>
          <w:rFonts w:ascii="Arial" w:hAnsi="Arial" w:cs="Arial"/>
          <w:color w:val="000000"/>
        </w:rPr>
      </w:pPr>
      <w:r w:rsidRPr="009C3F21">
        <w:rPr>
          <w:rFonts w:ascii="Arial" w:hAnsi="Arial" w:cs="Arial"/>
          <w:color w:val="000000"/>
        </w:rPr>
        <w:t>No dose adjustment is required in patients with renal impairment or mild to moderate hepatic impairment</w:t>
      </w:r>
      <w:r>
        <w:rPr>
          <w:rFonts w:ascii="Arial" w:hAnsi="Arial" w:cs="Arial"/>
          <w:color w:val="000000"/>
        </w:rPr>
        <w:t xml:space="preserve"> (see </w:t>
      </w:r>
      <w:r w:rsidRPr="005E489F">
        <w:rPr>
          <w:rFonts w:ascii="Arial" w:hAnsi="Arial" w:cs="Arial"/>
          <w:b/>
          <w:bCs/>
        </w:rPr>
        <w:t>Pharmacokinetics</w:t>
      </w:r>
      <w:r w:rsidRPr="005E489F">
        <w:rPr>
          <w:rFonts w:ascii="Arial" w:hAnsi="Arial" w:cs="Arial"/>
        </w:rPr>
        <w:t xml:space="preserve"> under </w:t>
      </w:r>
      <w:r w:rsidRPr="005E489F">
        <w:rPr>
          <w:rFonts w:ascii="Arial" w:hAnsi="Arial" w:cs="Arial"/>
          <w:b/>
          <w:bCs/>
        </w:rPr>
        <w:t>Special Populations</w:t>
      </w:r>
      <w:r w:rsidRPr="005E489F">
        <w:rPr>
          <w:rFonts w:ascii="Arial" w:hAnsi="Arial" w:cs="Arial"/>
        </w:rPr>
        <w:t xml:space="preserve"> – </w:t>
      </w:r>
      <w:r w:rsidRPr="005E489F">
        <w:rPr>
          <w:rFonts w:ascii="Arial" w:hAnsi="Arial" w:cs="Arial"/>
          <w:b/>
          <w:bCs/>
          <w:i/>
          <w:iCs/>
        </w:rPr>
        <w:t>Renal Impairment</w:t>
      </w:r>
      <w:r>
        <w:rPr>
          <w:rFonts w:ascii="Arial" w:hAnsi="Arial" w:cs="Arial"/>
          <w:b/>
          <w:bCs/>
          <w:i/>
          <w:iCs/>
        </w:rPr>
        <w:t xml:space="preserve"> </w:t>
      </w:r>
      <w:r>
        <w:rPr>
          <w:rFonts w:ascii="Arial" w:hAnsi="Arial" w:cs="Arial"/>
        </w:rPr>
        <w:t xml:space="preserve">and </w:t>
      </w:r>
      <w:r w:rsidRPr="00F24B85">
        <w:rPr>
          <w:rFonts w:ascii="Arial" w:hAnsi="Arial" w:cs="Arial"/>
          <w:b/>
          <w:bCs/>
        </w:rPr>
        <w:t>PRECAUTIONS</w:t>
      </w:r>
      <w:r>
        <w:rPr>
          <w:rFonts w:ascii="Arial" w:hAnsi="Arial" w:cs="Arial"/>
        </w:rPr>
        <w:t xml:space="preserve"> – </w:t>
      </w:r>
      <w:r w:rsidRPr="00F24B85">
        <w:rPr>
          <w:rFonts w:ascii="Arial" w:hAnsi="Arial" w:cs="Arial"/>
          <w:b/>
          <w:bCs/>
        </w:rPr>
        <w:t>Use in Renal Impairment</w:t>
      </w:r>
      <w:r>
        <w:rPr>
          <w:rFonts w:ascii="Arial" w:hAnsi="Arial" w:cs="Arial"/>
        </w:rPr>
        <w:t>)</w:t>
      </w:r>
      <w:r w:rsidRPr="009C3F21">
        <w:rPr>
          <w:rFonts w:ascii="Arial" w:hAnsi="Arial" w:cs="Arial"/>
          <w:color w:val="000000"/>
        </w:rPr>
        <w:t xml:space="preserve">. </w:t>
      </w:r>
    </w:p>
    <w:p w14:paraId="7FEB8BCC" w14:textId="77777777" w:rsidR="00A13C6F" w:rsidRDefault="00A13C6F" w:rsidP="00A36738">
      <w:pPr>
        <w:autoSpaceDE w:val="0"/>
        <w:autoSpaceDN w:val="0"/>
        <w:adjustRightInd w:val="0"/>
        <w:spacing w:after="0"/>
        <w:rPr>
          <w:rFonts w:ascii="Arial" w:hAnsi="Arial" w:cs="Arial"/>
          <w:color w:val="000000"/>
        </w:rPr>
      </w:pPr>
    </w:p>
    <w:p w14:paraId="0A5EFBE3" w14:textId="77777777" w:rsidR="00A13C6F" w:rsidRPr="009C3F21" w:rsidRDefault="00A13C6F" w:rsidP="00A36738">
      <w:pPr>
        <w:autoSpaceDE w:val="0"/>
        <w:autoSpaceDN w:val="0"/>
        <w:adjustRightInd w:val="0"/>
        <w:spacing w:after="0"/>
        <w:rPr>
          <w:rFonts w:ascii="Arial" w:hAnsi="Arial" w:cs="Arial"/>
          <w:color w:val="000000"/>
        </w:rPr>
      </w:pPr>
      <w:r w:rsidRPr="009C3F21">
        <w:rPr>
          <w:rFonts w:ascii="Arial" w:hAnsi="Arial" w:cs="Arial"/>
          <w:color w:val="000000"/>
        </w:rPr>
        <w:t>There are no data in patients with severe hepatic impairment</w:t>
      </w:r>
      <w:r>
        <w:rPr>
          <w:rFonts w:ascii="Arial" w:hAnsi="Arial" w:cs="Arial"/>
          <w:color w:val="000000"/>
        </w:rPr>
        <w:t xml:space="preserve"> (see </w:t>
      </w:r>
      <w:r w:rsidRPr="005E489F">
        <w:rPr>
          <w:rFonts w:ascii="Arial" w:hAnsi="Arial" w:cs="Arial"/>
          <w:b/>
          <w:bCs/>
        </w:rPr>
        <w:t>Pharmacokinetics</w:t>
      </w:r>
      <w:r w:rsidRPr="005E489F">
        <w:rPr>
          <w:rFonts w:ascii="Arial" w:hAnsi="Arial" w:cs="Arial"/>
        </w:rPr>
        <w:t xml:space="preserve"> under </w:t>
      </w:r>
      <w:r w:rsidRPr="005E489F">
        <w:rPr>
          <w:rFonts w:ascii="Arial" w:hAnsi="Arial" w:cs="Arial"/>
          <w:b/>
          <w:bCs/>
        </w:rPr>
        <w:t>Special Populations</w:t>
      </w:r>
      <w:r w:rsidRPr="005E489F">
        <w:rPr>
          <w:rFonts w:ascii="Arial" w:hAnsi="Arial" w:cs="Arial"/>
        </w:rPr>
        <w:t xml:space="preserve"> – </w:t>
      </w:r>
      <w:r>
        <w:rPr>
          <w:rFonts w:ascii="Arial" w:hAnsi="Arial" w:cs="Arial"/>
          <w:b/>
          <w:bCs/>
          <w:i/>
          <w:iCs/>
        </w:rPr>
        <w:t>Hepatic</w:t>
      </w:r>
      <w:r w:rsidRPr="005E489F">
        <w:rPr>
          <w:rFonts w:ascii="Arial" w:hAnsi="Arial" w:cs="Arial"/>
          <w:b/>
          <w:bCs/>
          <w:i/>
          <w:iCs/>
        </w:rPr>
        <w:t xml:space="preserve"> Impairment</w:t>
      </w:r>
      <w:r>
        <w:rPr>
          <w:rFonts w:ascii="Arial" w:hAnsi="Arial" w:cs="Arial"/>
          <w:b/>
          <w:bCs/>
          <w:i/>
          <w:iCs/>
        </w:rPr>
        <w:t xml:space="preserve"> </w:t>
      </w:r>
      <w:r>
        <w:rPr>
          <w:rFonts w:ascii="Arial" w:hAnsi="Arial" w:cs="Arial"/>
        </w:rPr>
        <w:t xml:space="preserve">and </w:t>
      </w:r>
      <w:r w:rsidRPr="00F24B85">
        <w:rPr>
          <w:rFonts w:ascii="Arial" w:hAnsi="Arial" w:cs="Arial"/>
          <w:b/>
          <w:bCs/>
        </w:rPr>
        <w:t>PRECAUTIONS</w:t>
      </w:r>
      <w:r>
        <w:rPr>
          <w:rFonts w:ascii="Arial" w:hAnsi="Arial" w:cs="Arial"/>
        </w:rPr>
        <w:t xml:space="preserve"> – </w:t>
      </w:r>
      <w:r w:rsidRPr="00F24B85">
        <w:rPr>
          <w:rFonts w:ascii="Arial" w:hAnsi="Arial" w:cs="Arial"/>
          <w:b/>
          <w:bCs/>
        </w:rPr>
        <w:t xml:space="preserve">Use </w:t>
      </w:r>
      <w:r>
        <w:rPr>
          <w:rFonts w:ascii="Arial" w:hAnsi="Arial" w:cs="Arial"/>
          <w:b/>
          <w:bCs/>
        </w:rPr>
        <w:t>in Hepatic</w:t>
      </w:r>
      <w:r w:rsidRPr="00F24B85">
        <w:rPr>
          <w:rFonts w:ascii="Arial" w:hAnsi="Arial" w:cs="Arial"/>
          <w:b/>
          <w:bCs/>
        </w:rPr>
        <w:t xml:space="preserve"> Impairment</w:t>
      </w:r>
      <w:r>
        <w:rPr>
          <w:rFonts w:ascii="Arial" w:hAnsi="Arial" w:cs="Arial"/>
        </w:rPr>
        <w:t>)</w:t>
      </w:r>
      <w:r w:rsidRPr="009C3F21">
        <w:rPr>
          <w:rFonts w:ascii="Arial" w:hAnsi="Arial" w:cs="Arial"/>
          <w:color w:val="000000"/>
        </w:rPr>
        <w:t xml:space="preserve">. </w:t>
      </w:r>
    </w:p>
    <w:p w14:paraId="78F1E0CB" w14:textId="77777777" w:rsidR="00A13C6F" w:rsidRDefault="00A13C6F" w:rsidP="00A36738">
      <w:pPr>
        <w:autoSpaceDE w:val="0"/>
        <w:autoSpaceDN w:val="0"/>
        <w:adjustRightInd w:val="0"/>
        <w:spacing w:after="0"/>
        <w:rPr>
          <w:rFonts w:ascii="Arial" w:hAnsi="Arial" w:cs="Arial"/>
          <w:b/>
          <w:bCs/>
          <w:i/>
          <w:iCs/>
          <w:color w:val="000000"/>
        </w:rPr>
      </w:pPr>
    </w:p>
    <w:p w14:paraId="7249C7D3" w14:textId="77777777" w:rsidR="00A13C6F" w:rsidRPr="009C3F21" w:rsidRDefault="00A13C6F" w:rsidP="00A36738">
      <w:pPr>
        <w:autoSpaceDE w:val="0"/>
        <w:autoSpaceDN w:val="0"/>
        <w:adjustRightInd w:val="0"/>
        <w:spacing w:after="0"/>
        <w:rPr>
          <w:rFonts w:ascii="Arial" w:hAnsi="Arial" w:cs="Arial"/>
          <w:color w:val="000000"/>
        </w:rPr>
      </w:pPr>
      <w:r w:rsidRPr="009C3F21">
        <w:rPr>
          <w:rFonts w:ascii="Arial" w:hAnsi="Arial" w:cs="Arial"/>
          <w:b/>
          <w:bCs/>
          <w:color w:val="000000"/>
        </w:rPr>
        <w:t xml:space="preserve">Duration of treatment </w:t>
      </w:r>
    </w:p>
    <w:p w14:paraId="1383E211" w14:textId="1547DB56" w:rsidR="00A13C6F" w:rsidRPr="009C3F21" w:rsidRDefault="00A13C6F" w:rsidP="00A36738">
      <w:pPr>
        <w:spacing w:after="0"/>
        <w:rPr>
          <w:rFonts w:ascii="Arial" w:hAnsi="Arial" w:cs="Arial"/>
          <w:b/>
          <w:bCs/>
          <w:sz w:val="24"/>
          <w:szCs w:val="24"/>
        </w:rPr>
      </w:pPr>
      <w:r w:rsidRPr="009C3F21">
        <w:rPr>
          <w:rFonts w:ascii="Arial" w:hAnsi="Arial" w:cs="Arial"/>
          <w:color w:val="000000"/>
        </w:rPr>
        <w:t>D</w:t>
      </w:r>
      <w:r w:rsidR="00C62BCA">
        <w:rPr>
          <w:rFonts w:ascii="Arial" w:hAnsi="Arial" w:cs="Arial"/>
          <w:color w:val="000000"/>
        </w:rPr>
        <w:t>YLASTINE</w:t>
      </w:r>
      <w:r w:rsidR="00FD4410">
        <w:rPr>
          <w:rFonts w:ascii="Arial" w:hAnsi="Arial" w:cs="Arial"/>
          <w:color w:val="000000"/>
        </w:rPr>
        <w:t> </w:t>
      </w:r>
      <w:r w:rsidR="00FB7661">
        <w:rPr>
          <w:rFonts w:ascii="Arial" w:hAnsi="Arial" w:cs="Arial"/>
          <w:color w:val="000000"/>
        </w:rPr>
        <w:t>125/50</w:t>
      </w:r>
      <w:r>
        <w:rPr>
          <w:rFonts w:ascii="Arial" w:hAnsi="Arial" w:cs="Arial"/>
          <w:color w:val="000000"/>
        </w:rPr>
        <w:t xml:space="preserve"> n</w:t>
      </w:r>
      <w:r w:rsidRPr="009C3F21">
        <w:rPr>
          <w:rFonts w:ascii="Arial" w:hAnsi="Arial" w:cs="Arial"/>
          <w:color w:val="000000"/>
        </w:rPr>
        <w:t xml:space="preserve">asal </w:t>
      </w:r>
      <w:r>
        <w:rPr>
          <w:rFonts w:ascii="Arial" w:hAnsi="Arial" w:cs="Arial"/>
          <w:color w:val="000000"/>
        </w:rPr>
        <w:t>s</w:t>
      </w:r>
      <w:r w:rsidRPr="009C3F21">
        <w:rPr>
          <w:rFonts w:ascii="Arial" w:hAnsi="Arial" w:cs="Arial"/>
          <w:color w:val="000000"/>
        </w:rPr>
        <w:t>pray is suitable for long-term use. There is no restriction regarding duration of use.</w:t>
      </w:r>
    </w:p>
    <w:p w14:paraId="458455C1" w14:textId="77777777" w:rsidR="00A13C6F" w:rsidRDefault="00A13C6F" w:rsidP="00A36738">
      <w:pPr>
        <w:spacing w:after="0"/>
        <w:rPr>
          <w:rFonts w:ascii="Arial" w:hAnsi="Arial" w:cs="Arial"/>
          <w:b/>
          <w:bCs/>
          <w:sz w:val="24"/>
          <w:szCs w:val="24"/>
        </w:rPr>
      </w:pPr>
    </w:p>
    <w:p w14:paraId="00DAB412" w14:textId="77777777" w:rsidR="00A13C6F" w:rsidRDefault="00A13C6F" w:rsidP="00A36738">
      <w:pPr>
        <w:spacing w:after="0"/>
        <w:rPr>
          <w:rFonts w:ascii="Arial" w:hAnsi="Arial" w:cs="Arial"/>
          <w:b/>
          <w:bCs/>
          <w:sz w:val="24"/>
          <w:szCs w:val="24"/>
        </w:rPr>
      </w:pPr>
      <w:r>
        <w:rPr>
          <w:rFonts w:ascii="Arial" w:hAnsi="Arial" w:cs="Arial"/>
          <w:b/>
          <w:bCs/>
          <w:sz w:val="24"/>
          <w:szCs w:val="24"/>
        </w:rPr>
        <w:t>Method of Administration</w:t>
      </w:r>
    </w:p>
    <w:p w14:paraId="613AB9AE" w14:textId="68E87D75" w:rsidR="00A13C6F" w:rsidRPr="00C861EA" w:rsidRDefault="00C62BCA" w:rsidP="00A36738">
      <w:pPr>
        <w:spacing w:after="0"/>
        <w:rPr>
          <w:rFonts w:ascii="Arial" w:hAnsi="Arial" w:cs="Arial"/>
        </w:rPr>
      </w:pPr>
      <w:r>
        <w:rPr>
          <w:rFonts w:ascii="Arial" w:hAnsi="Arial" w:cs="Arial"/>
        </w:rPr>
        <w:t>DYLASTINE</w:t>
      </w:r>
      <w:r w:rsidR="001876D2">
        <w:rPr>
          <w:rFonts w:ascii="Arial" w:hAnsi="Arial" w:cs="Arial"/>
        </w:rPr>
        <w:t> </w:t>
      </w:r>
      <w:r w:rsidR="00FB7661">
        <w:rPr>
          <w:rFonts w:ascii="Arial" w:hAnsi="Arial" w:cs="Arial"/>
        </w:rPr>
        <w:t>125/50</w:t>
      </w:r>
      <w:r w:rsidR="00A13C6F" w:rsidRPr="00C861EA">
        <w:rPr>
          <w:rFonts w:ascii="Arial" w:hAnsi="Arial" w:cs="Arial"/>
        </w:rPr>
        <w:t xml:space="preserve"> Nasal Spray is for administration by the nasal route only.</w:t>
      </w:r>
    </w:p>
    <w:p w14:paraId="24F22952" w14:textId="77777777" w:rsidR="00A13C6F" w:rsidRPr="00C861EA" w:rsidRDefault="00A13C6F" w:rsidP="00A36738">
      <w:pPr>
        <w:spacing w:after="0"/>
        <w:rPr>
          <w:rFonts w:ascii="Arial" w:hAnsi="Arial" w:cs="Arial"/>
        </w:rPr>
      </w:pPr>
    </w:p>
    <w:p w14:paraId="7927FD50" w14:textId="77777777" w:rsidR="00A13C6F" w:rsidRPr="00C861EA" w:rsidRDefault="00A13C6F" w:rsidP="00A36738">
      <w:pPr>
        <w:autoSpaceDE w:val="0"/>
        <w:autoSpaceDN w:val="0"/>
        <w:adjustRightInd w:val="0"/>
        <w:spacing w:after="0"/>
        <w:rPr>
          <w:rFonts w:ascii="Arial" w:hAnsi="Arial" w:cs="Arial"/>
          <w:color w:val="000000"/>
          <w:u w:val="single"/>
        </w:rPr>
      </w:pPr>
      <w:r w:rsidRPr="00C861EA">
        <w:rPr>
          <w:rFonts w:ascii="Arial" w:hAnsi="Arial" w:cs="Arial"/>
          <w:color w:val="000000"/>
          <w:u w:val="single"/>
        </w:rPr>
        <w:t xml:space="preserve">Preparing the spray: </w:t>
      </w:r>
    </w:p>
    <w:p w14:paraId="0E2DCDB1" w14:textId="77777777" w:rsidR="00A13C6F" w:rsidRDefault="00A13C6F" w:rsidP="00A36738">
      <w:pPr>
        <w:autoSpaceDE w:val="0"/>
        <w:autoSpaceDN w:val="0"/>
        <w:adjustRightInd w:val="0"/>
        <w:spacing w:after="0"/>
        <w:rPr>
          <w:rFonts w:ascii="Arial" w:hAnsi="Arial" w:cs="Arial"/>
          <w:color w:val="000000"/>
        </w:rPr>
      </w:pPr>
      <w:r>
        <w:rPr>
          <w:rFonts w:ascii="Arial" w:hAnsi="Arial" w:cs="Arial"/>
          <w:color w:val="000000"/>
        </w:rPr>
        <w:t>Shake the bottle gently before each use. Then, remove the protective cap.</w:t>
      </w:r>
    </w:p>
    <w:p w14:paraId="0E38BADF" w14:textId="77777777" w:rsidR="00A13C6F" w:rsidRDefault="00A13C6F" w:rsidP="00A36738">
      <w:pPr>
        <w:autoSpaceDE w:val="0"/>
        <w:autoSpaceDN w:val="0"/>
        <w:adjustRightInd w:val="0"/>
        <w:spacing w:after="0"/>
        <w:rPr>
          <w:rFonts w:ascii="Arial" w:hAnsi="Arial" w:cs="Arial"/>
          <w:color w:val="000000"/>
        </w:rPr>
      </w:pPr>
    </w:p>
    <w:p w14:paraId="3165C000" w14:textId="5B0C613B" w:rsidR="00A13C6F" w:rsidRDefault="00A13C6F" w:rsidP="00A36738">
      <w:pPr>
        <w:autoSpaceDE w:val="0"/>
        <w:autoSpaceDN w:val="0"/>
        <w:adjustRightInd w:val="0"/>
        <w:spacing w:after="0"/>
        <w:rPr>
          <w:rFonts w:ascii="Arial" w:hAnsi="Arial" w:cs="Arial"/>
          <w:color w:val="000000"/>
        </w:rPr>
      </w:pPr>
      <w:r w:rsidRPr="00C861EA">
        <w:rPr>
          <w:rFonts w:ascii="Arial" w:hAnsi="Arial" w:cs="Arial"/>
          <w:color w:val="000000"/>
        </w:rPr>
        <w:t>Prior to first use</w:t>
      </w:r>
      <w:r w:rsidR="00C62BCA">
        <w:rPr>
          <w:rFonts w:ascii="Arial" w:hAnsi="Arial" w:cs="Arial"/>
          <w:color w:val="000000"/>
        </w:rPr>
        <w:t>, DYLASTINE</w:t>
      </w:r>
      <w:r w:rsidR="001876D2">
        <w:rPr>
          <w:rFonts w:ascii="Arial" w:hAnsi="Arial" w:cs="Arial"/>
          <w:color w:val="000000"/>
        </w:rPr>
        <w:t> </w:t>
      </w:r>
      <w:r w:rsidR="00FB7661">
        <w:rPr>
          <w:rFonts w:ascii="Arial" w:hAnsi="Arial" w:cs="Arial"/>
          <w:color w:val="000000"/>
        </w:rPr>
        <w:t xml:space="preserve">125/50 </w:t>
      </w:r>
      <w:r>
        <w:rPr>
          <w:rFonts w:ascii="Arial" w:hAnsi="Arial" w:cs="Arial"/>
          <w:color w:val="000000"/>
        </w:rPr>
        <w:t xml:space="preserve">nasal spray </w:t>
      </w:r>
      <w:r w:rsidRPr="00C861EA">
        <w:rPr>
          <w:rFonts w:ascii="Arial" w:hAnsi="Arial" w:cs="Arial"/>
          <w:color w:val="000000"/>
        </w:rPr>
        <w:t xml:space="preserve">must be primed by pressing down and releasing the pump </w:t>
      </w:r>
      <w:r w:rsidR="00E72159">
        <w:rPr>
          <w:rFonts w:ascii="Arial" w:hAnsi="Arial" w:cs="Arial"/>
          <w:color w:val="000000"/>
        </w:rPr>
        <w:t>6</w:t>
      </w:r>
      <w:r w:rsidR="00E72159" w:rsidRPr="00C861EA">
        <w:rPr>
          <w:rFonts w:ascii="Arial" w:hAnsi="Arial" w:cs="Arial"/>
          <w:color w:val="000000"/>
        </w:rPr>
        <w:t xml:space="preserve"> </w:t>
      </w:r>
      <w:r w:rsidRPr="00C861EA">
        <w:rPr>
          <w:rFonts w:ascii="Arial" w:hAnsi="Arial" w:cs="Arial"/>
          <w:color w:val="000000"/>
        </w:rPr>
        <w:t>times</w:t>
      </w:r>
      <w:r>
        <w:rPr>
          <w:rFonts w:ascii="Arial" w:hAnsi="Arial" w:cs="Arial"/>
          <w:color w:val="000000"/>
        </w:rPr>
        <w:t xml:space="preserve"> until a fine mist appears</w:t>
      </w:r>
      <w:r w:rsidRPr="00C861EA">
        <w:rPr>
          <w:rFonts w:ascii="Arial" w:hAnsi="Arial" w:cs="Arial"/>
          <w:color w:val="000000"/>
        </w:rPr>
        <w:t xml:space="preserve">. If </w:t>
      </w:r>
      <w:r w:rsidR="00C62BCA">
        <w:rPr>
          <w:rFonts w:ascii="Arial" w:hAnsi="Arial" w:cs="Arial"/>
          <w:color w:val="000000"/>
        </w:rPr>
        <w:t>DYLASTINE</w:t>
      </w:r>
      <w:r w:rsidR="001876D2">
        <w:rPr>
          <w:rFonts w:ascii="Arial" w:hAnsi="Arial" w:cs="Arial"/>
          <w:color w:val="000000"/>
        </w:rPr>
        <w:t> </w:t>
      </w:r>
      <w:r w:rsidR="00FB7661">
        <w:rPr>
          <w:rFonts w:ascii="Arial" w:hAnsi="Arial" w:cs="Arial"/>
          <w:color w:val="000000"/>
        </w:rPr>
        <w:t xml:space="preserve">125/50 </w:t>
      </w:r>
      <w:r>
        <w:rPr>
          <w:rFonts w:ascii="Arial" w:hAnsi="Arial" w:cs="Arial"/>
          <w:color w:val="000000"/>
        </w:rPr>
        <w:t>nasal spray</w:t>
      </w:r>
      <w:r w:rsidRPr="00C861EA">
        <w:rPr>
          <w:rFonts w:ascii="Arial" w:hAnsi="Arial" w:cs="Arial"/>
          <w:color w:val="000000"/>
        </w:rPr>
        <w:t xml:space="preserve"> has not been used for more than 7 days</w:t>
      </w:r>
      <w:r>
        <w:rPr>
          <w:rFonts w:ascii="Arial" w:hAnsi="Arial" w:cs="Arial"/>
          <w:color w:val="000000"/>
        </w:rPr>
        <w:t>, reprime</w:t>
      </w:r>
      <w:r w:rsidRPr="00C861EA">
        <w:rPr>
          <w:rFonts w:ascii="Arial" w:hAnsi="Arial" w:cs="Arial"/>
          <w:color w:val="000000"/>
        </w:rPr>
        <w:t xml:space="preserve"> by pressing down and releasing the pump a number of times until a fine mist is produced.</w:t>
      </w:r>
    </w:p>
    <w:p w14:paraId="27838250" w14:textId="77777777" w:rsidR="00A13C6F" w:rsidRPr="00C861EA" w:rsidRDefault="00A13C6F" w:rsidP="00A36738">
      <w:pPr>
        <w:autoSpaceDE w:val="0"/>
        <w:autoSpaceDN w:val="0"/>
        <w:adjustRightInd w:val="0"/>
        <w:spacing w:after="0"/>
        <w:rPr>
          <w:rFonts w:ascii="Arial" w:hAnsi="Arial" w:cs="Arial"/>
          <w:color w:val="000000"/>
        </w:rPr>
      </w:pPr>
      <w:r w:rsidRPr="00C861EA">
        <w:rPr>
          <w:rFonts w:ascii="Arial" w:hAnsi="Arial" w:cs="Arial"/>
          <w:color w:val="000000"/>
        </w:rPr>
        <w:t xml:space="preserve"> </w:t>
      </w:r>
    </w:p>
    <w:p w14:paraId="7B2B0762" w14:textId="77777777" w:rsidR="00A13C6F" w:rsidRPr="00C861EA" w:rsidRDefault="00A13C6F" w:rsidP="00A36738">
      <w:pPr>
        <w:autoSpaceDE w:val="0"/>
        <w:autoSpaceDN w:val="0"/>
        <w:adjustRightInd w:val="0"/>
        <w:spacing w:after="0"/>
        <w:rPr>
          <w:rFonts w:ascii="Arial" w:hAnsi="Arial" w:cs="Arial"/>
          <w:color w:val="000000"/>
        </w:rPr>
      </w:pPr>
      <w:r w:rsidRPr="00C861EA">
        <w:rPr>
          <w:rFonts w:ascii="Arial" w:hAnsi="Arial" w:cs="Arial"/>
          <w:color w:val="000000"/>
          <w:u w:val="single"/>
        </w:rPr>
        <w:t xml:space="preserve">Using the spray: </w:t>
      </w:r>
    </w:p>
    <w:p w14:paraId="3CC73004" w14:textId="77777777" w:rsidR="00A13C6F" w:rsidRPr="00C861EA" w:rsidRDefault="00A13C6F" w:rsidP="00A36738">
      <w:pPr>
        <w:spacing w:after="0"/>
        <w:rPr>
          <w:rFonts w:ascii="Arial" w:hAnsi="Arial" w:cs="Arial"/>
          <w:b/>
          <w:bCs/>
          <w:sz w:val="24"/>
          <w:szCs w:val="24"/>
        </w:rPr>
      </w:pPr>
      <w:r w:rsidRPr="00C861EA">
        <w:rPr>
          <w:rFonts w:ascii="Arial" w:hAnsi="Arial" w:cs="Arial"/>
          <w:color w:val="000000"/>
        </w:rPr>
        <w:t>After blowing</w:t>
      </w:r>
      <w:r>
        <w:rPr>
          <w:rFonts w:ascii="Arial" w:hAnsi="Arial" w:cs="Arial"/>
          <w:color w:val="000000"/>
        </w:rPr>
        <w:t xml:space="preserve"> the</w:t>
      </w:r>
      <w:r w:rsidRPr="00C861EA">
        <w:rPr>
          <w:rFonts w:ascii="Arial" w:hAnsi="Arial" w:cs="Arial"/>
          <w:color w:val="000000"/>
        </w:rPr>
        <w:t xml:space="preserve"> nose</w:t>
      </w:r>
      <w:r>
        <w:rPr>
          <w:rFonts w:ascii="Arial" w:hAnsi="Arial" w:cs="Arial"/>
          <w:color w:val="000000"/>
        </w:rPr>
        <w:t xml:space="preserve">, spray </w:t>
      </w:r>
      <w:r w:rsidRPr="00C861EA">
        <w:rPr>
          <w:rFonts w:ascii="Arial" w:hAnsi="Arial" w:cs="Arial"/>
          <w:color w:val="000000"/>
        </w:rPr>
        <w:t xml:space="preserve">the suspension </w:t>
      </w:r>
      <w:r>
        <w:rPr>
          <w:rFonts w:ascii="Arial" w:hAnsi="Arial" w:cs="Arial"/>
          <w:color w:val="000000"/>
        </w:rPr>
        <w:t>o</w:t>
      </w:r>
      <w:r w:rsidRPr="00C861EA">
        <w:rPr>
          <w:rFonts w:ascii="Arial" w:hAnsi="Arial" w:cs="Arial"/>
          <w:color w:val="000000"/>
        </w:rPr>
        <w:t>nce into each nostril keeping the head tilted downward</w:t>
      </w:r>
      <w:r>
        <w:rPr>
          <w:rFonts w:ascii="Arial" w:hAnsi="Arial" w:cs="Arial"/>
          <w:color w:val="000000"/>
        </w:rPr>
        <w:t xml:space="preserve">. </w:t>
      </w:r>
      <w:r w:rsidRPr="00C861EA">
        <w:rPr>
          <w:rFonts w:ascii="Arial" w:hAnsi="Arial" w:cs="Arial"/>
          <w:color w:val="000000"/>
        </w:rPr>
        <w:t xml:space="preserve">After </w:t>
      </w:r>
      <w:r>
        <w:rPr>
          <w:rFonts w:ascii="Arial" w:hAnsi="Arial" w:cs="Arial"/>
          <w:color w:val="000000"/>
        </w:rPr>
        <w:t xml:space="preserve">each </w:t>
      </w:r>
      <w:r w:rsidRPr="00C861EA">
        <w:rPr>
          <w:rFonts w:ascii="Arial" w:hAnsi="Arial" w:cs="Arial"/>
          <w:color w:val="000000"/>
        </w:rPr>
        <w:t>use</w:t>
      </w:r>
      <w:r>
        <w:rPr>
          <w:rFonts w:ascii="Arial" w:hAnsi="Arial" w:cs="Arial"/>
          <w:color w:val="000000"/>
        </w:rPr>
        <w:t>, wipe the spray tip and replace the protective cap.</w:t>
      </w:r>
    </w:p>
    <w:p w14:paraId="4089D535" w14:textId="77777777" w:rsidR="00A13C6F" w:rsidRDefault="00A13C6F" w:rsidP="00A36738">
      <w:pPr>
        <w:spacing w:after="0"/>
        <w:rPr>
          <w:rFonts w:ascii="Arial" w:hAnsi="Arial" w:cs="Arial"/>
          <w:b/>
          <w:bCs/>
          <w:sz w:val="24"/>
          <w:szCs w:val="24"/>
        </w:rPr>
      </w:pPr>
    </w:p>
    <w:p w14:paraId="02C51E3C" w14:textId="77777777" w:rsidR="00A13C6F" w:rsidRDefault="00A13C6F" w:rsidP="00A36738">
      <w:pPr>
        <w:spacing w:after="0"/>
        <w:rPr>
          <w:rFonts w:ascii="Arial" w:hAnsi="Arial" w:cs="Arial"/>
          <w:b/>
          <w:bCs/>
          <w:sz w:val="24"/>
          <w:szCs w:val="24"/>
        </w:rPr>
      </w:pPr>
      <w:r>
        <w:rPr>
          <w:rFonts w:ascii="Arial" w:hAnsi="Arial" w:cs="Arial"/>
          <w:b/>
          <w:bCs/>
          <w:sz w:val="24"/>
          <w:szCs w:val="24"/>
        </w:rPr>
        <w:t>OVERDOSAGE</w:t>
      </w:r>
    </w:p>
    <w:p w14:paraId="5F259E50" w14:textId="77777777" w:rsidR="00A13C6F" w:rsidRDefault="00A13C6F" w:rsidP="00A36738">
      <w:pPr>
        <w:autoSpaceDE w:val="0"/>
        <w:autoSpaceDN w:val="0"/>
        <w:adjustRightInd w:val="0"/>
        <w:spacing w:after="0"/>
        <w:rPr>
          <w:rFonts w:ascii="Times New Roman" w:hAnsi="Times New Roman" w:cs="Times New Roman"/>
          <w:color w:val="000000"/>
        </w:rPr>
      </w:pPr>
    </w:p>
    <w:p w14:paraId="41375DF3" w14:textId="77777777" w:rsidR="00A13C6F" w:rsidRPr="004E6FD2" w:rsidRDefault="00A13C6F" w:rsidP="00A36738">
      <w:pPr>
        <w:autoSpaceDE w:val="0"/>
        <w:autoSpaceDN w:val="0"/>
        <w:adjustRightInd w:val="0"/>
        <w:spacing w:after="0"/>
        <w:rPr>
          <w:rFonts w:ascii="Arial" w:hAnsi="Arial" w:cs="Arial"/>
          <w:color w:val="000000"/>
        </w:rPr>
      </w:pPr>
      <w:r w:rsidRPr="004E6FD2">
        <w:rPr>
          <w:rFonts w:ascii="Arial" w:hAnsi="Arial" w:cs="Arial"/>
          <w:color w:val="000000"/>
        </w:rPr>
        <w:t xml:space="preserve">With the nasal route of administration, overdose reactions are not anticipated. </w:t>
      </w:r>
    </w:p>
    <w:p w14:paraId="4041CB53" w14:textId="04FB0342" w:rsidR="00A13C6F" w:rsidRDefault="00C62BCA" w:rsidP="00A36738">
      <w:pPr>
        <w:pStyle w:val="C-BodyText"/>
        <w:spacing w:before="0" w:after="0" w:line="276" w:lineRule="auto"/>
        <w:rPr>
          <w:rFonts w:ascii="Arial" w:hAnsi="Arial" w:cs="Arial"/>
          <w:sz w:val="22"/>
          <w:szCs w:val="22"/>
        </w:rPr>
      </w:pPr>
      <w:r>
        <w:rPr>
          <w:rFonts w:ascii="Arial" w:hAnsi="Arial" w:cs="Arial"/>
          <w:sz w:val="22"/>
          <w:szCs w:val="22"/>
        </w:rPr>
        <w:lastRenderedPageBreak/>
        <w:t>DYLASTINE</w:t>
      </w:r>
      <w:r w:rsidR="001876D2">
        <w:rPr>
          <w:rFonts w:ascii="Arial" w:hAnsi="Arial" w:cs="Arial"/>
          <w:sz w:val="22"/>
          <w:szCs w:val="22"/>
        </w:rPr>
        <w:t> </w:t>
      </w:r>
      <w:r w:rsidR="00FB7661">
        <w:rPr>
          <w:rFonts w:ascii="Arial" w:hAnsi="Arial" w:cs="Arial"/>
          <w:sz w:val="22"/>
          <w:szCs w:val="22"/>
        </w:rPr>
        <w:t xml:space="preserve">125/50 </w:t>
      </w:r>
      <w:r w:rsidR="00A13C6F" w:rsidRPr="004E6FD2">
        <w:rPr>
          <w:rFonts w:ascii="Arial" w:hAnsi="Arial" w:cs="Arial"/>
          <w:sz w:val="22"/>
          <w:szCs w:val="22"/>
        </w:rPr>
        <w:t xml:space="preserve">nasal spray contains both </w:t>
      </w:r>
      <w:proofErr w:type="spellStart"/>
      <w:r w:rsidR="00A13C6F" w:rsidRPr="004E6FD2">
        <w:rPr>
          <w:rFonts w:ascii="Arial" w:hAnsi="Arial" w:cs="Arial"/>
          <w:sz w:val="22"/>
          <w:szCs w:val="22"/>
        </w:rPr>
        <w:t>azelastine</w:t>
      </w:r>
      <w:proofErr w:type="spellEnd"/>
      <w:r w:rsidR="00A13C6F" w:rsidRPr="004E6FD2">
        <w:rPr>
          <w:rFonts w:ascii="Arial" w:hAnsi="Arial" w:cs="Arial"/>
          <w:sz w:val="22"/>
          <w:szCs w:val="22"/>
        </w:rPr>
        <w:t xml:space="preserve"> and fluticasone propionate; therefore, the risks associated with </w:t>
      </w:r>
      <w:proofErr w:type="spellStart"/>
      <w:r w:rsidR="00A13C6F" w:rsidRPr="004E6FD2">
        <w:rPr>
          <w:rFonts w:ascii="Arial" w:hAnsi="Arial" w:cs="Arial"/>
          <w:sz w:val="22"/>
          <w:szCs w:val="22"/>
        </w:rPr>
        <w:t>overdosage</w:t>
      </w:r>
      <w:proofErr w:type="spellEnd"/>
      <w:r w:rsidR="00A13C6F" w:rsidRPr="004E6FD2">
        <w:rPr>
          <w:rFonts w:ascii="Arial" w:hAnsi="Arial" w:cs="Arial"/>
          <w:sz w:val="22"/>
          <w:szCs w:val="22"/>
        </w:rPr>
        <w:t xml:space="preserve"> for the indivi</w:t>
      </w:r>
      <w:r>
        <w:rPr>
          <w:rFonts w:ascii="Arial" w:hAnsi="Arial" w:cs="Arial"/>
          <w:sz w:val="22"/>
          <w:szCs w:val="22"/>
        </w:rPr>
        <w:t>dual components apply to DYLASTINE</w:t>
      </w:r>
      <w:r w:rsidR="001876D2">
        <w:rPr>
          <w:rFonts w:ascii="Arial" w:hAnsi="Arial" w:cs="Arial"/>
          <w:sz w:val="22"/>
          <w:szCs w:val="22"/>
        </w:rPr>
        <w:t> </w:t>
      </w:r>
      <w:r w:rsidR="00FB7661">
        <w:rPr>
          <w:rFonts w:ascii="Arial" w:hAnsi="Arial" w:cs="Arial"/>
          <w:sz w:val="22"/>
          <w:szCs w:val="22"/>
        </w:rPr>
        <w:t>125/50</w:t>
      </w:r>
      <w:r w:rsidR="00A13C6F" w:rsidRPr="004E6FD2">
        <w:rPr>
          <w:rFonts w:ascii="Arial" w:hAnsi="Arial" w:cs="Arial"/>
          <w:sz w:val="22"/>
          <w:szCs w:val="22"/>
        </w:rPr>
        <w:t>.</w:t>
      </w:r>
    </w:p>
    <w:p w14:paraId="372209F7" w14:textId="77777777" w:rsidR="00A13C6F" w:rsidRPr="004E6FD2" w:rsidRDefault="00A13C6F" w:rsidP="00A36738">
      <w:pPr>
        <w:pStyle w:val="C-BodyText"/>
        <w:spacing w:before="0" w:after="0" w:line="276" w:lineRule="auto"/>
        <w:rPr>
          <w:rFonts w:ascii="Arial" w:hAnsi="Arial" w:cs="Arial"/>
          <w:sz w:val="22"/>
          <w:szCs w:val="22"/>
        </w:rPr>
      </w:pPr>
    </w:p>
    <w:p w14:paraId="2FE52844" w14:textId="2CB8A0E4" w:rsidR="00A13C6F" w:rsidRPr="00AE6AFA" w:rsidRDefault="00A13C6F" w:rsidP="0045255D">
      <w:pPr>
        <w:autoSpaceDE w:val="0"/>
        <w:autoSpaceDN w:val="0"/>
        <w:adjustRightInd w:val="0"/>
        <w:spacing w:after="0"/>
        <w:rPr>
          <w:rFonts w:ascii="Arial" w:hAnsi="Arial" w:cs="Arial"/>
          <w:color w:val="000000"/>
        </w:rPr>
      </w:pPr>
      <w:r w:rsidRPr="00AE6AFA">
        <w:rPr>
          <w:rFonts w:ascii="Arial" w:hAnsi="Arial" w:cs="Arial"/>
          <w:color w:val="000000"/>
        </w:rPr>
        <w:t>With the nasal route of administration</w:t>
      </w:r>
      <w:r>
        <w:rPr>
          <w:rFonts w:ascii="Arial" w:hAnsi="Arial" w:cs="Arial"/>
          <w:color w:val="000000"/>
        </w:rPr>
        <w:t>,</w:t>
      </w:r>
      <w:r w:rsidRPr="00AE6AFA">
        <w:rPr>
          <w:rFonts w:ascii="Arial" w:hAnsi="Arial" w:cs="Arial"/>
          <w:color w:val="000000"/>
        </w:rPr>
        <w:t xml:space="preserve"> </w:t>
      </w:r>
      <w:proofErr w:type="spellStart"/>
      <w:r w:rsidRPr="00AE6AFA">
        <w:rPr>
          <w:rFonts w:ascii="Arial" w:hAnsi="Arial" w:cs="Arial"/>
          <w:color w:val="000000"/>
        </w:rPr>
        <w:t>overdosage</w:t>
      </w:r>
      <w:proofErr w:type="spellEnd"/>
      <w:r w:rsidRPr="00AE6AFA">
        <w:rPr>
          <w:rFonts w:ascii="Arial" w:hAnsi="Arial" w:cs="Arial"/>
          <w:color w:val="000000"/>
        </w:rPr>
        <w:t xml:space="preserve"> reactions </w:t>
      </w:r>
      <w:r>
        <w:rPr>
          <w:rFonts w:ascii="Arial" w:hAnsi="Arial" w:cs="Arial"/>
          <w:color w:val="000000"/>
        </w:rPr>
        <w:t xml:space="preserve">to </w:t>
      </w:r>
      <w:proofErr w:type="spellStart"/>
      <w:r>
        <w:rPr>
          <w:rFonts w:ascii="Arial" w:hAnsi="Arial" w:cs="Arial"/>
          <w:color w:val="000000"/>
        </w:rPr>
        <w:t>azelastine</w:t>
      </w:r>
      <w:proofErr w:type="spellEnd"/>
      <w:r>
        <w:rPr>
          <w:rFonts w:ascii="Arial" w:hAnsi="Arial" w:cs="Arial"/>
          <w:color w:val="000000"/>
        </w:rPr>
        <w:t xml:space="preserve"> </w:t>
      </w:r>
      <w:r w:rsidRPr="00AE6AFA">
        <w:rPr>
          <w:rFonts w:ascii="Arial" w:hAnsi="Arial" w:cs="Arial"/>
          <w:color w:val="000000"/>
        </w:rPr>
        <w:t xml:space="preserve">are not anticipated. To date, there has been only one report of incorrect usage: a 2 year old boy drank approximately 10 mL of </w:t>
      </w:r>
      <w:proofErr w:type="spellStart"/>
      <w:r w:rsidRPr="00AE6AFA">
        <w:rPr>
          <w:rFonts w:ascii="Arial" w:hAnsi="Arial" w:cs="Arial"/>
          <w:color w:val="000000"/>
        </w:rPr>
        <w:t>azelastine</w:t>
      </w:r>
      <w:proofErr w:type="spellEnd"/>
      <w:r w:rsidRPr="00AE6AFA">
        <w:rPr>
          <w:rFonts w:ascii="Arial" w:hAnsi="Arial" w:cs="Arial"/>
          <w:color w:val="000000"/>
        </w:rPr>
        <w:t xml:space="preserve"> nasal spray. This led to a burning sensation in the nose and mouth and to spontaneous vomiting, these events lasting 5 - 10 minutes. Pulse rate, blood pressure and respiration were normal and stable, and a normal pupil reaction was found. No tissue damage in the mouth or throat occurred. The boy recovered completely.</w:t>
      </w:r>
    </w:p>
    <w:p w14:paraId="054682E3" w14:textId="77777777" w:rsidR="00A13C6F" w:rsidRDefault="00A13C6F" w:rsidP="0045255D">
      <w:pPr>
        <w:autoSpaceDE w:val="0"/>
        <w:autoSpaceDN w:val="0"/>
        <w:adjustRightInd w:val="0"/>
        <w:spacing w:after="0"/>
        <w:rPr>
          <w:rFonts w:ascii="Arial" w:hAnsi="Arial" w:cs="Arial"/>
          <w:color w:val="000000"/>
        </w:rPr>
      </w:pPr>
    </w:p>
    <w:p w14:paraId="7D17EB32" w14:textId="77777777" w:rsidR="00A13C6F" w:rsidRDefault="00A13C6F" w:rsidP="0045255D">
      <w:pPr>
        <w:autoSpaceDE w:val="0"/>
        <w:autoSpaceDN w:val="0"/>
        <w:adjustRightInd w:val="0"/>
        <w:spacing w:after="0"/>
        <w:rPr>
          <w:rFonts w:ascii="Arial" w:hAnsi="Arial" w:cs="Arial"/>
        </w:rPr>
      </w:pPr>
      <w:r w:rsidRPr="00AE6AFA">
        <w:rPr>
          <w:rFonts w:ascii="Arial" w:hAnsi="Arial" w:cs="Arial"/>
          <w:color w:val="000000"/>
        </w:rPr>
        <w:t xml:space="preserve">In the event of </w:t>
      </w:r>
      <w:proofErr w:type="spellStart"/>
      <w:r w:rsidRPr="00AE6AFA">
        <w:rPr>
          <w:rFonts w:ascii="Arial" w:hAnsi="Arial" w:cs="Arial"/>
          <w:color w:val="000000"/>
        </w:rPr>
        <w:t>overdosage</w:t>
      </w:r>
      <w:proofErr w:type="spellEnd"/>
      <w:r w:rsidRPr="00AE6AFA">
        <w:rPr>
          <w:rFonts w:ascii="Arial" w:hAnsi="Arial" w:cs="Arial"/>
          <w:color w:val="000000"/>
        </w:rPr>
        <w:t xml:space="preserve"> after accidental oral uptake, disturbances of the central nervous system (including drowsiness, confusion, coma, tachycardia and hypotension) are to be expected based on the results of animal experiments. Symptomatic and supportive treatment should be instigated as there is no known antidote.</w:t>
      </w:r>
      <w:r w:rsidRPr="004E6FD2">
        <w:rPr>
          <w:rFonts w:ascii="Arial" w:hAnsi="Arial" w:cs="Arial"/>
        </w:rPr>
        <w:t xml:space="preserve"> </w:t>
      </w:r>
    </w:p>
    <w:p w14:paraId="19A6C7DD" w14:textId="77777777" w:rsidR="00E6038E" w:rsidRPr="004E6FD2" w:rsidRDefault="00E6038E" w:rsidP="00E6038E">
      <w:pPr>
        <w:pStyle w:val="C-BodyText"/>
        <w:spacing w:before="0" w:after="0" w:line="276" w:lineRule="auto"/>
        <w:rPr>
          <w:rFonts w:ascii="Arial" w:hAnsi="Arial" w:cs="Arial"/>
          <w:sz w:val="22"/>
          <w:szCs w:val="22"/>
        </w:rPr>
      </w:pPr>
      <w:r w:rsidRPr="004E6FD2">
        <w:rPr>
          <w:rFonts w:ascii="Arial" w:hAnsi="Arial" w:cs="Arial"/>
          <w:sz w:val="22"/>
          <w:szCs w:val="22"/>
        </w:rPr>
        <w:t>Contact the Poisons Information Centre on 13 11 26 for advice on management of overdose.</w:t>
      </w:r>
    </w:p>
    <w:p w14:paraId="2E4E35F0" w14:textId="77777777" w:rsidR="00A13C6F" w:rsidRDefault="00A13C6F" w:rsidP="0045255D">
      <w:pPr>
        <w:autoSpaceDE w:val="0"/>
        <w:autoSpaceDN w:val="0"/>
        <w:adjustRightInd w:val="0"/>
        <w:spacing w:after="0"/>
        <w:rPr>
          <w:rFonts w:ascii="Arial" w:hAnsi="Arial" w:cs="Arial"/>
        </w:rPr>
      </w:pPr>
    </w:p>
    <w:p w14:paraId="09780B10" w14:textId="35C27485" w:rsidR="00A13C6F" w:rsidRPr="00AE6AFA" w:rsidRDefault="00A13C6F" w:rsidP="0045255D">
      <w:pPr>
        <w:autoSpaceDE w:val="0"/>
        <w:autoSpaceDN w:val="0"/>
        <w:adjustRightInd w:val="0"/>
        <w:spacing w:after="0"/>
        <w:rPr>
          <w:rFonts w:ascii="Arial" w:hAnsi="Arial" w:cs="Arial"/>
        </w:rPr>
      </w:pPr>
      <w:r w:rsidRPr="00AE6AFA">
        <w:rPr>
          <w:rFonts w:ascii="Arial" w:hAnsi="Arial" w:cs="Arial"/>
        </w:rPr>
        <w:t xml:space="preserve">There are no data available on the effects of acute or chronic </w:t>
      </w:r>
      <w:proofErr w:type="spellStart"/>
      <w:r w:rsidRPr="00AE6AFA">
        <w:rPr>
          <w:rFonts w:ascii="Arial" w:hAnsi="Arial" w:cs="Arial"/>
        </w:rPr>
        <w:t>overdosage</w:t>
      </w:r>
      <w:proofErr w:type="spellEnd"/>
      <w:r w:rsidRPr="00AE6AFA">
        <w:rPr>
          <w:rFonts w:ascii="Arial" w:hAnsi="Arial" w:cs="Arial"/>
        </w:rPr>
        <w:t xml:space="preserve"> with </w:t>
      </w:r>
      <w:r>
        <w:rPr>
          <w:rFonts w:ascii="Arial" w:hAnsi="Arial" w:cs="Arial"/>
        </w:rPr>
        <w:t>f</w:t>
      </w:r>
      <w:r w:rsidRPr="00AE6AFA">
        <w:rPr>
          <w:rFonts w:ascii="Arial" w:hAnsi="Arial" w:cs="Arial"/>
        </w:rPr>
        <w:t xml:space="preserve">luticasone </w:t>
      </w:r>
      <w:r>
        <w:rPr>
          <w:rFonts w:ascii="Arial" w:hAnsi="Arial" w:cs="Arial"/>
        </w:rPr>
        <w:t>p</w:t>
      </w:r>
      <w:r w:rsidRPr="00AE6AFA">
        <w:rPr>
          <w:rFonts w:ascii="Arial" w:hAnsi="Arial" w:cs="Arial"/>
        </w:rPr>
        <w:t xml:space="preserve">ropionate </w:t>
      </w:r>
      <w:r>
        <w:rPr>
          <w:rFonts w:ascii="Arial" w:hAnsi="Arial" w:cs="Arial"/>
        </w:rPr>
        <w:t>nasal s</w:t>
      </w:r>
      <w:r w:rsidRPr="00AE6AFA">
        <w:rPr>
          <w:rFonts w:ascii="Arial" w:hAnsi="Arial" w:cs="Arial"/>
        </w:rPr>
        <w:t>pray. Intra-nasal administration of 2,400</w:t>
      </w:r>
      <w:r w:rsidR="00FE6AE0">
        <w:rPr>
          <w:rFonts w:ascii="Arial" w:hAnsi="Arial" w:cs="Arial"/>
        </w:rPr>
        <w:t> </w:t>
      </w:r>
      <w:proofErr w:type="spellStart"/>
      <w:r w:rsidRPr="00AE6AFA">
        <w:rPr>
          <w:rFonts w:ascii="Arial" w:hAnsi="Arial" w:cs="Arial"/>
        </w:rPr>
        <w:t>μg</w:t>
      </w:r>
      <w:proofErr w:type="spellEnd"/>
      <w:r w:rsidRPr="00AE6AFA">
        <w:rPr>
          <w:rFonts w:ascii="Arial" w:hAnsi="Arial" w:cs="Arial"/>
        </w:rPr>
        <w:t xml:space="preserve"> fluticasone per day (</w:t>
      </w:r>
      <w:r w:rsidR="00E6038E" w:rsidRPr="00AE6AFA">
        <w:rPr>
          <w:rFonts w:ascii="Arial" w:hAnsi="Arial" w:cs="Arial"/>
        </w:rPr>
        <w:t>i.e.</w:t>
      </w:r>
      <w:r w:rsidRPr="00AE6AFA">
        <w:rPr>
          <w:rFonts w:ascii="Arial" w:hAnsi="Arial" w:cs="Arial"/>
        </w:rPr>
        <w:t xml:space="preserve"> 12</w:t>
      </w:r>
      <w:r w:rsidR="00FE6AE0">
        <w:rPr>
          <w:rFonts w:ascii="Arial" w:hAnsi="Arial" w:cs="Arial"/>
        </w:rPr>
        <w:t> </w:t>
      </w:r>
      <w:r w:rsidRPr="00AE6AFA">
        <w:rPr>
          <w:rFonts w:ascii="Arial" w:hAnsi="Arial" w:cs="Arial"/>
        </w:rPr>
        <w:t>times the recommended dose) for four days to healthy human volunteers caused a small degree of suppression of adrenal steroid production.</w:t>
      </w:r>
    </w:p>
    <w:p w14:paraId="5D4D143E" w14:textId="77777777" w:rsidR="00A13C6F" w:rsidRDefault="00A13C6F" w:rsidP="00AE6AFA">
      <w:pPr>
        <w:autoSpaceDE w:val="0"/>
        <w:autoSpaceDN w:val="0"/>
        <w:adjustRightInd w:val="0"/>
        <w:spacing w:after="0"/>
        <w:rPr>
          <w:rFonts w:ascii="Arial" w:hAnsi="Arial" w:cs="Arial"/>
        </w:rPr>
      </w:pPr>
    </w:p>
    <w:p w14:paraId="710E6789" w14:textId="77777777" w:rsidR="00A13C6F" w:rsidRDefault="00A13C6F" w:rsidP="00A36738">
      <w:pPr>
        <w:autoSpaceDE w:val="0"/>
        <w:autoSpaceDN w:val="0"/>
        <w:adjustRightInd w:val="0"/>
        <w:spacing w:after="0"/>
        <w:rPr>
          <w:rFonts w:ascii="Arial" w:hAnsi="Arial" w:cs="Arial"/>
        </w:rPr>
      </w:pPr>
      <w:r w:rsidRPr="00AE6AFA">
        <w:rPr>
          <w:rFonts w:ascii="Arial" w:hAnsi="Arial" w:cs="Arial"/>
        </w:rPr>
        <w:t>Suppression of adrenal steroid production may give rise to typical signs and symptoms of Cushing’s disease, such as buffalo hump, puffiness of face, hypertension and elevated blood glucose. If such a condition were to occur, care should be taken to wean the patient slowly off the steroid due to the probability of adrenal impairment. Recovery from impaired adrenocortical function caused by prolonged steroid therapy is usually slow and has been known to last up to 12 months.</w:t>
      </w:r>
    </w:p>
    <w:p w14:paraId="50A6EAE1" w14:textId="77777777" w:rsidR="00A13C6F" w:rsidRPr="004E6FD2" w:rsidRDefault="00A13C6F" w:rsidP="00A36738">
      <w:pPr>
        <w:autoSpaceDE w:val="0"/>
        <w:autoSpaceDN w:val="0"/>
        <w:adjustRightInd w:val="0"/>
        <w:spacing w:after="0"/>
        <w:rPr>
          <w:rFonts w:ascii="Arial" w:hAnsi="Arial" w:cs="Arial"/>
          <w:color w:val="000000"/>
        </w:rPr>
      </w:pPr>
    </w:p>
    <w:p w14:paraId="0F744F56" w14:textId="77777777" w:rsidR="00A13C6F" w:rsidRDefault="00A13C6F" w:rsidP="00A36738">
      <w:pPr>
        <w:spacing w:after="0"/>
        <w:rPr>
          <w:rFonts w:ascii="Arial" w:hAnsi="Arial" w:cs="Arial"/>
          <w:b/>
          <w:bCs/>
          <w:sz w:val="24"/>
          <w:szCs w:val="24"/>
        </w:rPr>
      </w:pPr>
      <w:r>
        <w:rPr>
          <w:rFonts w:ascii="Arial" w:hAnsi="Arial" w:cs="Arial"/>
          <w:b/>
          <w:bCs/>
          <w:sz w:val="24"/>
          <w:szCs w:val="24"/>
        </w:rPr>
        <w:t>PRESENTATION AND STORAGE CONDITIONS</w:t>
      </w:r>
    </w:p>
    <w:p w14:paraId="7C145EFF" w14:textId="77777777" w:rsidR="00A13C6F" w:rsidRDefault="00A13C6F" w:rsidP="00A36738">
      <w:pPr>
        <w:spacing w:after="0"/>
        <w:rPr>
          <w:rFonts w:ascii="Arial" w:hAnsi="Arial" w:cs="Arial"/>
          <w:b/>
          <w:bCs/>
          <w:sz w:val="24"/>
          <w:szCs w:val="24"/>
        </w:rPr>
      </w:pPr>
    </w:p>
    <w:p w14:paraId="348D44CA" w14:textId="77777777" w:rsidR="00A13C6F" w:rsidRDefault="00A13C6F" w:rsidP="00A36738">
      <w:pPr>
        <w:spacing w:after="0"/>
        <w:rPr>
          <w:rFonts w:ascii="Arial" w:hAnsi="Arial" w:cs="Arial"/>
          <w:b/>
          <w:bCs/>
          <w:sz w:val="24"/>
          <w:szCs w:val="24"/>
        </w:rPr>
      </w:pPr>
      <w:r>
        <w:rPr>
          <w:rFonts w:ascii="Arial" w:hAnsi="Arial" w:cs="Arial"/>
          <w:b/>
          <w:bCs/>
          <w:sz w:val="24"/>
          <w:szCs w:val="24"/>
        </w:rPr>
        <w:t>Presentation</w:t>
      </w:r>
    </w:p>
    <w:p w14:paraId="2A94BF71" w14:textId="2432759E" w:rsidR="004A7E9D" w:rsidRDefault="00C62BCA" w:rsidP="00A36738">
      <w:pPr>
        <w:spacing w:after="0"/>
        <w:rPr>
          <w:rFonts w:ascii="Arial" w:hAnsi="Arial"/>
        </w:rPr>
      </w:pPr>
      <w:r>
        <w:rPr>
          <w:rFonts w:ascii="Arial" w:hAnsi="Arial" w:cs="Arial"/>
        </w:rPr>
        <w:t>DYLASTINE</w:t>
      </w:r>
      <w:r w:rsidR="001876D2">
        <w:rPr>
          <w:rFonts w:ascii="Arial" w:hAnsi="Arial" w:cs="Arial"/>
        </w:rPr>
        <w:t> </w:t>
      </w:r>
      <w:r w:rsidR="00FB7661">
        <w:rPr>
          <w:rFonts w:ascii="Arial" w:hAnsi="Arial" w:cs="Arial"/>
        </w:rPr>
        <w:t>125/50</w:t>
      </w:r>
      <w:r w:rsidR="00A13C6F">
        <w:rPr>
          <w:rFonts w:ascii="Arial" w:hAnsi="Arial" w:cs="Arial"/>
        </w:rPr>
        <w:t xml:space="preserve"> nasal spray</w:t>
      </w:r>
      <w:r w:rsidR="00A13C6F" w:rsidRPr="003C00D8">
        <w:rPr>
          <w:rFonts w:ascii="Arial" w:hAnsi="Arial" w:cs="Arial"/>
        </w:rPr>
        <w:t xml:space="preserve"> is supplied as </w:t>
      </w:r>
      <w:r w:rsidR="00A13C6F">
        <w:rPr>
          <w:rFonts w:ascii="Arial" w:hAnsi="Arial" w:cs="Arial"/>
        </w:rPr>
        <w:t xml:space="preserve">an </w:t>
      </w:r>
      <w:r w:rsidR="00A13C6F" w:rsidRPr="003C00D8">
        <w:rPr>
          <w:rFonts w:ascii="Arial" w:hAnsi="Arial" w:cs="Arial"/>
        </w:rPr>
        <w:t>amber glass bottle</w:t>
      </w:r>
      <w:r w:rsidR="00A13C6F">
        <w:rPr>
          <w:rFonts w:ascii="Arial" w:hAnsi="Arial" w:cs="Arial"/>
        </w:rPr>
        <w:t xml:space="preserve"> (type I)</w:t>
      </w:r>
      <w:r w:rsidR="00A13C6F" w:rsidRPr="003C00D8">
        <w:rPr>
          <w:rFonts w:ascii="Arial" w:hAnsi="Arial" w:cs="Arial"/>
        </w:rPr>
        <w:t xml:space="preserve"> fitted with a metered-dose spray pump unit. The spray pump unit consists of a nasal spray pump with a white nasal adapter and clear plastic dust cap.  </w:t>
      </w:r>
      <w:r w:rsidR="00A13C6F">
        <w:rPr>
          <w:rFonts w:ascii="Arial" w:hAnsi="Arial" w:cs="Arial"/>
        </w:rPr>
        <w:t xml:space="preserve">The available pack sizes are: </w:t>
      </w:r>
    </w:p>
    <w:p w14:paraId="27812586" w14:textId="77777777" w:rsidR="004A7E9D" w:rsidRPr="00E72159" w:rsidRDefault="00A13C6F" w:rsidP="00E72159">
      <w:pPr>
        <w:pStyle w:val="ListParagraph"/>
        <w:numPr>
          <w:ilvl w:val="0"/>
          <w:numId w:val="5"/>
        </w:numPr>
        <w:spacing w:after="0"/>
        <w:rPr>
          <w:rFonts w:ascii="Arial" w:hAnsi="Arial" w:cs="Arial"/>
          <w:color w:val="000000"/>
        </w:rPr>
      </w:pPr>
      <w:r w:rsidRPr="00E72159">
        <w:rPr>
          <w:rFonts w:ascii="Arial" w:hAnsi="Arial" w:cs="Arial"/>
          <w:color w:val="000000"/>
        </w:rPr>
        <w:t>4 mL</w:t>
      </w:r>
      <w:r w:rsidR="00E72159">
        <w:rPr>
          <w:rFonts w:ascii="Arial" w:hAnsi="Arial" w:cs="Arial"/>
          <w:color w:val="000000"/>
        </w:rPr>
        <w:t xml:space="preserve"> bottle</w:t>
      </w:r>
      <w:r w:rsidR="004A7E9D" w:rsidRPr="00E72159">
        <w:rPr>
          <w:rFonts w:ascii="Arial" w:hAnsi="Arial" w:cs="Arial"/>
          <w:color w:val="000000"/>
        </w:rPr>
        <w:t xml:space="preserve"> </w:t>
      </w:r>
      <w:r w:rsidR="00E72159" w:rsidRPr="00E72159">
        <w:rPr>
          <w:rFonts w:ascii="Arial" w:hAnsi="Arial" w:cs="Arial"/>
          <w:color w:val="000000"/>
        </w:rPr>
        <w:t xml:space="preserve">containing 28 sprays </w:t>
      </w:r>
      <w:r w:rsidR="00E72159">
        <w:rPr>
          <w:rFonts w:ascii="Arial" w:hAnsi="Arial" w:cs="Arial"/>
          <w:color w:val="000000"/>
        </w:rPr>
        <w:t>(</w:t>
      </w:r>
      <w:r w:rsidR="004A7E9D" w:rsidRPr="00E72159">
        <w:rPr>
          <w:rFonts w:ascii="Arial" w:hAnsi="Arial" w:cs="Arial"/>
          <w:color w:val="000000"/>
        </w:rPr>
        <w:t>starter pack</w:t>
      </w:r>
      <w:r w:rsidR="00E72159">
        <w:rPr>
          <w:rFonts w:ascii="Arial" w:hAnsi="Arial" w:cs="Arial"/>
          <w:color w:val="000000"/>
        </w:rPr>
        <w:t>)</w:t>
      </w:r>
      <w:r w:rsidR="00866CD3">
        <w:rPr>
          <w:rFonts w:ascii="Arial" w:hAnsi="Arial" w:cs="Arial"/>
          <w:color w:val="000000"/>
        </w:rPr>
        <w:t xml:space="preserve"> </w:t>
      </w:r>
      <w:r w:rsidRPr="00E72159">
        <w:rPr>
          <w:rFonts w:ascii="Arial" w:hAnsi="Arial" w:cs="Arial"/>
          <w:color w:val="000000"/>
        </w:rPr>
        <w:t xml:space="preserve">and </w:t>
      </w:r>
    </w:p>
    <w:p w14:paraId="2089467F" w14:textId="77777777" w:rsidR="00A13C6F" w:rsidRPr="00E72159" w:rsidRDefault="00A13C6F" w:rsidP="00E72159">
      <w:pPr>
        <w:pStyle w:val="ListParagraph"/>
        <w:numPr>
          <w:ilvl w:val="0"/>
          <w:numId w:val="5"/>
        </w:numPr>
        <w:spacing w:after="0"/>
        <w:rPr>
          <w:rFonts w:ascii="Arial" w:hAnsi="Arial" w:cs="Arial"/>
          <w:color w:val="000000"/>
        </w:rPr>
      </w:pPr>
      <w:r w:rsidRPr="00E72159">
        <w:rPr>
          <w:rFonts w:ascii="Arial" w:hAnsi="Arial" w:cs="Arial"/>
          <w:color w:val="000000"/>
        </w:rPr>
        <w:t>17 mL</w:t>
      </w:r>
      <w:r w:rsidR="00E72159">
        <w:rPr>
          <w:rFonts w:ascii="Arial" w:hAnsi="Arial" w:cs="Arial"/>
          <w:color w:val="000000"/>
        </w:rPr>
        <w:t xml:space="preserve"> bottle</w:t>
      </w:r>
      <w:r w:rsidR="004A7E9D" w:rsidRPr="00E72159">
        <w:rPr>
          <w:rFonts w:ascii="Arial" w:hAnsi="Arial" w:cs="Arial"/>
          <w:color w:val="000000"/>
        </w:rPr>
        <w:t xml:space="preserve"> containing 120 sprays</w:t>
      </w:r>
      <w:r w:rsidRPr="00E72159">
        <w:rPr>
          <w:rFonts w:ascii="Arial" w:hAnsi="Arial" w:cs="Arial"/>
          <w:color w:val="000000"/>
        </w:rPr>
        <w:t>.</w:t>
      </w:r>
    </w:p>
    <w:p w14:paraId="4D622E2F" w14:textId="77777777" w:rsidR="00A13C6F" w:rsidRDefault="00A13C6F" w:rsidP="00A36738">
      <w:pPr>
        <w:spacing w:after="0"/>
        <w:rPr>
          <w:rFonts w:ascii="Arial" w:hAnsi="Arial" w:cs="Arial"/>
        </w:rPr>
      </w:pPr>
    </w:p>
    <w:p w14:paraId="4A9295D1" w14:textId="331DCA08" w:rsidR="00A13C6F" w:rsidRPr="003C00D8" w:rsidRDefault="00C62BCA" w:rsidP="00A36738">
      <w:pPr>
        <w:spacing w:after="0"/>
        <w:rPr>
          <w:rFonts w:ascii="Arial" w:hAnsi="Arial" w:cs="Arial"/>
          <w:b/>
          <w:bCs/>
        </w:rPr>
      </w:pPr>
      <w:r>
        <w:rPr>
          <w:rFonts w:ascii="Arial" w:hAnsi="Arial" w:cs="Arial"/>
        </w:rPr>
        <w:t>DYLASTINE</w:t>
      </w:r>
      <w:r w:rsidR="001876D2">
        <w:rPr>
          <w:rFonts w:ascii="Arial" w:hAnsi="Arial" w:cs="Arial"/>
        </w:rPr>
        <w:t> </w:t>
      </w:r>
      <w:r w:rsidR="00FB7661">
        <w:rPr>
          <w:rFonts w:ascii="Arial" w:hAnsi="Arial" w:cs="Arial"/>
        </w:rPr>
        <w:t xml:space="preserve">125/50 </w:t>
      </w:r>
      <w:r w:rsidR="00A13C6F" w:rsidRPr="003C00D8">
        <w:rPr>
          <w:rFonts w:ascii="Arial" w:hAnsi="Arial" w:cs="Arial"/>
        </w:rPr>
        <w:t xml:space="preserve">contains the antimicrobial preservatives </w:t>
      </w:r>
      <w:proofErr w:type="spellStart"/>
      <w:r w:rsidR="00A13C6F" w:rsidRPr="003C00D8">
        <w:rPr>
          <w:rFonts w:ascii="Arial" w:hAnsi="Arial" w:cs="Arial"/>
        </w:rPr>
        <w:t>benzalkonium</w:t>
      </w:r>
      <w:proofErr w:type="spellEnd"/>
      <w:r w:rsidR="00A13C6F" w:rsidRPr="003C00D8">
        <w:rPr>
          <w:rFonts w:ascii="Arial" w:hAnsi="Arial" w:cs="Arial"/>
        </w:rPr>
        <w:t xml:space="preserve"> chloride and </w:t>
      </w:r>
      <w:proofErr w:type="spellStart"/>
      <w:r w:rsidR="00A13C6F" w:rsidRPr="003C00D8">
        <w:rPr>
          <w:rFonts w:ascii="Arial" w:hAnsi="Arial" w:cs="Arial"/>
        </w:rPr>
        <w:t>phenethyl</w:t>
      </w:r>
      <w:proofErr w:type="spellEnd"/>
      <w:r w:rsidR="00A13C6F" w:rsidRPr="003C00D8">
        <w:rPr>
          <w:rFonts w:ascii="Arial" w:hAnsi="Arial" w:cs="Arial"/>
        </w:rPr>
        <w:t xml:space="preserve"> alcohol.</w:t>
      </w:r>
    </w:p>
    <w:p w14:paraId="748A5D79" w14:textId="77777777" w:rsidR="00A13C6F" w:rsidRDefault="00A13C6F" w:rsidP="00A36738">
      <w:pPr>
        <w:spacing w:after="0"/>
        <w:rPr>
          <w:rFonts w:ascii="Arial" w:hAnsi="Arial" w:cs="Arial"/>
          <w:b/>
          <w:bCs/>
          <w:sz w:val="24"/>
          <w:szCs w:val="24"/>
        </w:rPr>
      </w:pPr>
    </w:p>
    <w:p w14:paraId="7B30D008" w14:textId="77777777" w:rsidR="00A13C6F" w:rsidRDefault="00A13C6F" w:rsidP="00A36738">
      <w:pPr>
        <w:spacing w:after="0"/>
        <w:rPr>
          <w:rFonts w:ascii="Arial" w:hAnsi="Arial" w:cs="Arial"/>
          <w:b/>
          <w:bCs/>
          <w:sz w:val="24"/>
          <w:szCs w:val="24"/>
        </w:rPr>
      </w:pPr>
      <w:r>
        <w:rPr>
          <w:rFonts w:ascii="Arial" w:hAnsi="Arial" w:cs="Arial"/>
          <w:b/>
          <w:bCs/>
          <w:sz w:val="24"/>
          <w:szCs w:val="24"/>
        </w:rPr>
        <w:t>Storage Conditions</w:t>
      </w:r>
    </w:p>
    <w:p w14:paraId="1AA9C476" w14:textId="4B8D064D" w:rsidR="00A13C6F" w:rsidRPr="00B903CD" w:rsidRDefault="00A13C6F" w:rsidP="00A36738">
      <w:pPr>
        <w:spacing w:after="0"/>
        <w:rPr>
          <w:rFonts w:ascii="Arial" w:hAnsi="Arial" w:cs="Arial"/>
        </w:rPr>
      </w:pPr>
      <w:r>
        <w:rPr>
          <w:rFonts w:ascii="Arial" w:hAnsi="Arial" w:cs="Arial"/>
        </w:rPr>
        <w:t>DY</w:t>
      </w:r>
      <w:r w:rsidR="00C62BCA">
        <w:rPr>
          <w:rFonts w:ascii="Arial" w:hAnsi="Arial" w:cs="Arial"/>
        </w:rPr>
        <w:t>LASTINE</w:t>
      </w:r>
      <w:r w:rsidR="001876D2">
        <w:rPr>
          <w:rFonts w:ascii="Arial" w:hAnsi="Arial" w:cs="Arial"/>
        </w:rPr>
        <w:t> </w:t>
      </w:r>
      <w:r w:rsidR="00FB7661">
        <w:rPr>
          <w:rFonts w:ascii="Arial" w:hAnsi="Arial" w:cs="Arial"/>
        </w:rPr>
        <w:t xml:space="preserve">125/50 </w:t>
      </w:r>
      <w:r>
        <w:rPr>
          <w:rFonts w:ascii="Arial" w:hAnsi="Arial" w:cs="Arial"/>
        </w:rPr>
        <w:t xml:space="preserve">nasal spray should be kept out of reach of children. Store below 25°C. </w:t>
      </w:r>
      <w:r w:rsidRPr="003C00D8">
        <w:rPr>
          <w:rFonts w:ascii="Arial" w:hAnsi="Arial" w:cs="Arial"/>
        </w:rPr>
        <w:t>Do not refrigerate</w:t>
      </w:r>
      <w:r>
        <w:rPr>
          <w:rFonts w:ascii="Arial" w:hAnsi="Arial" w:cs="Arial"/>
        </w:rPr>
        <w:t xml:space="preserve">. Do not freeze. </w:t>
      </w:r>
      <w:r w:rsidR="004A7E9D">
        <w:rPr>
          <w:rFonts w:ascii="Arial" w:hAnsi="Arial" w:cs="Arial"/>
        </w:rPr>
        <w:t>Discard after 6 months of first opening the bottle</w:t>
      </w:r>
      <w:r w:rsidRPr="003C00D8">
        <w:rPr>
          <w:rFonts w:ascii="Arial" w:hAnsi="Arial" w:cs="Arial"/>
        </w:rPr>
        <w:t>.</w:t>
      </w:r>
    </w:p>
    <w:p w14:paraId="7904BBC2" w14:textId="77777777" w:rsidR="00A13C6F" w:rsidRDefault="00A13C6F" w:rsidP="00A36738">
      <w:pPr>
        <w:spacing w:after="0"/>
        <w:rPr>
          <w:rFonts w:ascii="Arial" w:hAnsi="Arial" w:cs="Arial"/>
          <w:b/>
          <w:bCs/>
          <w:sz w:val="24"/>
          <w:szCs w:val="24"/>
        </w:rPr>
      </w:pPr>
      <w:bookmarkStart w:id="9" w:name="_GoBack"/>
      <w:bookmarkEnd w:id="9"/>
      <w:r>
        <w:rPr>
          <w:rFonts w:ascii="Arial" w:hAnsi="Arial" w:cs="Arial"/>
          <w:b/>
          <w:bCs/>
          <w:sz w:val="24"/>
          <w:szCs w:val="24"/>
        </w:rPr>
        <w:lastRenderedPageBreak/>
        <w:t>POISON SCHEDULE OF THE MEDICINE</w:t>
      </w:r>
    </w:p>
    <w:p w14:paraId="45A3F8B0" w14:textId="77777777" w:rsidR="00A13C6F" w:rsidRDefault="00A13C6F" w:rsidP="00A36738">
      <w:pPr>
        <w:spacing w:after="0"/>
        <w:rPr>
          <w:rFonts w:ascii="Arial" w:hAnsi="Arial" w:cs="Arial"/>
        </w:rPr>
      </w:pPr>
      <w:r>
        <w:rPr>
          <w:rFonts w:ascii="Arial" w:hAnsi="Arial" w:cs="Arial"/>
        </w:rPr>
        <w:t>Schedule 4 – Prescription Only Medicine</w:t>
      </w:r>
    </w:p>
    <w:p w14:paraId="3E88517A" w14:textId="77777777" w:rsidR="00A13C6F" w:rsidRPr="00B903CD" w:rsidRDefault="00A13C6F" w:rsidP="00A36738">
      <w:pPr>
        <w:spacing w:after="0"/>
        <w:rPr>
          <w:rFonts w:ascii="Arial" w:hAnsi="Arial" w:cs="Arial"/>
        </w:rPr>
      </w:pPr>
    </w:p>
    <w:p w14:paraId="0EAA917C" w14:textId="77777777" w:rsidR="00A13C6F" w:rsidRDefault="00A13C6F" w:rsidP="00A36738">
      <w:pPr>
        <w:spacing w:after="0"/>
        <w:rPr>
          <w:rFonts w:ascii="Arial" w:hAnsi="Arial" w:cs="Arial"/>
          <w:b/>
          <w:bCs/>
          <w:sz w:val="24"/>
          <w:szCs w:val="24"/>
        </w:rPr>
      </w:pPr>
      <w:r>
        <w:rPr>
          <w:rFonts w:ascii="Arial" w:hAnsi="Arial" w:cs="Arial"/>
          <w:b/>
          <w:bCs/>
          <w:sz w:val="24"/>
          <w:szCs w:val="24"/>
        </w:rPr>
        <w:t>SPONSOR</w:t>
      </w:r>
    </w:p>
    <w:p w14:paraId="409C058F" w14:textId="77777777" w:rsidR="00A13C6F" w:rsidRPr="00B903CD" w:rsidRDefault="00A13C6F" w:rsidP="00A36738">
      <w:pPr>
        <w:spacing w:after="0"/>
        <w:rPr>
          <w:rFonts w:ascii="Arial" w:hAnsi="Arial" w:cs="Arial"/>
        </w:rPr>
      </w:pPr>
      <w:r w:rsidRPr="0013352C">
        <w:rPr>
          <w:rFonts w:ascii="Arial" w:hAnsi="Arial" w:cs="Arial"/>
          <w:caps/>
        </w:rPr>
        <w:t>Meda</w:t>
      </w:r>
      <w:r w:rsidRPr="00B903CD">
        <w:rPr>
          <w:rFonts w:ascii="Arial" w:hAnsi="Arial" w:cs="Arial"/>
        </w:rPr>
        <w:t xml:space="preserve"> Pharmaceuticals Pty Ltd</w:t>
      </w:r>
    </w:p>
    <w:p w14:paraId="5846C29C" w14:textId="151786E5" w:rsidR="00A13C6F" w:rsidRPr="00FE6AE0" w:rsidRDefault="00FE6AE0" w:rsidP="00A36738">
      <w:pPr>
        <w:spacing w:after="0"/>
        <w:rPr>
          <w:rFonts w:ascii="Arial" w:hAnsi="Arial" w:cs="Arial"/>
        </w:rPr>
      </w:pPr>
      <w:r>
        <w:rPr>
          <w:rFonts w:ascii="Arial" w:hAnsi="Arial" w:cs="Arial"/>
        </w:rPr>
        <w:t>Suite 1, Level 3</w:t>
      </w:r>
      <w:r w:rsidR="0013352C">
        <w:rPr>
          <w:rFonts w:ascii="Arial" w:hAnsi="Arial" w:cs="Arial"/>
        </w:rPr>
        <w:t xml:space="preserve">, </w:t>
      </w:r>
      <w:r>
        <w:rPr>
          <w:rFonts w:ascii="Arial" w:hAnsi="Arial" w:cs="Arial"/>
        </w:rPr>
        <w:t>110</w:t>
      </w:r>
      <w:r w:rsidRPr="00FE6AE0">
        <w:rPr>
          <w:rFonts w:ascii="Arial" w:hAnsi="Arial" w:cs="Arial"/>
        </w:rPr>
        <w:t xml:space="preserve"> </w:t>
      </w:r>
      <w:r w:rsidR="00A13C6F" w:rsidRPr="00FE6AE0">
        <w:rPr>
          <w:rFonts w:ascii="Arial" w:hAnsi="Arial" w:cs="Arial"/>
        </w:rPr>
        <w:t>Pacific Highway</w:t>
      </w:r>
    </w:p>
    <w:p w14:paraId="2DA4B410" w14:textId="20C60D8C" w:rsidR="00A13C6F" w:rsidRDefault="00FE6AE0" w:rsidP="00A36738">
      <w:pPr>
        <w:spacing w:after="0"/>
        <w:rPr>
          <w:rFonts w:ascii="Arial" w:hAnsi="Arial" w:cs="Arial"/>
        </w:rPr>
      </w:pPr>
      <w:r>
        <w:rPr>
          <w:rFonts w:ascii="Arial" w:hAnsi="Arial" w:cs="Arial"/>
        </w:rPr>
        <w:t>ST LEONARDS</w:t>
      </w:r>
      <w:r w:rsidRPr="00FE6AE0">
        <w:rPr>
          <w:rFonts w:ascii="Arial" w:hAnsi="Arial" w:cs="Arial"/>
        </w:rPr>
        <w:t xml:space="preserve"> </w:t>
      </w:r>
      <w:r w:rsidR="00A13C6F" w:rsidRPr="00FE6AE0">
        <w:rPr>
          <w:rFonts w:ascii="Arial" w:hAnsi="Arial" w:cs="Arial"/>
        </w:rPr>
        <w:t>NSW 206</w:t>
      </w:r>
      <w:r>
        <w:rPr>
          <w:rFonts w:ascii="Arial" w:hAnsi="Arial" w:cs="Arial"/>
        </w:rPr>
        <w:t>5</w:t>
      </w:r>
    </w:p>
    <w:p w14:paraId="229C980A" w14:textId="77777777" w:rsidR="00866CD3" w:rsidRDefault="00866CD3" w:rsidP="00A36738">
      <w:pPr>
        <w:spacing w:after="0"/>
        <w:rPr>
          <w:rFonts w:ascii="Arial" w:hAnsi="Arial" w:cs="Arial"/>
        </w:rPr>
      </w:pPr>
      <w:r>
        <w:rPr>
          <w:rFonts w:ascii="Arial" w:hAnsi="Arial" w:cs="Arial"/>
        </w:rPr>
        <w:t>Australia</w:t>
      </w:r>
    </w:p>
    <w:p w14:paraId="6C818362" w14:textId="77777777" w:rsidR="00F80A03" w:rsidRPr="00B903CD" w:rsidRDefault="00F80A03" w:rsidP="00A36738">
      <w:pPr>
        <w:spacing w:after="0"/>
        <w:rPr>
          <w:rFonts w:ascii="Arial" w:hAnsi="Arial" w:cs="Arial"/>
        </w:rPr>
      </w:pPr>
      <w:r>
        <w:rPr>
          <w:rFonts w:ascii="Arial" w:hAnsi="Arial" w:cs="Arial"/>
        </w:rPr>
        <w:t xml:space="preserve">Telephone: 1800 </w:t>
      </w:r>
      <w:r w:rsidRPr="00F80A03">
        <w:rPr>
          <w:rFonts w:ascii="Arial" w:hAnsi="Arial" w:cs="Arial"/>
        </w:rPr>
        <w:t>048 987</w:t>
      </w:r>
    </w:p>
    <w:p w14:paraId="3F9A38F1" w14:textId="77777777" w:rsidR="00A13C6F" w:rsidRDefault="00A13C6F" w:rsidP="00A36738">
      <w:pPr>
        <w:spacing w:after="0"/>
        <w:rPr>
          <w:noProof/>
          <w:sz w:val="16"/>
          <w:lang w:val="en-US"/>
        </w:rPr>
      </w:pPr>
    </w:p>
    <w:p w14:paraId="1A875696" w14:textId="77777777" w:rsidR="00FA7AED" w:rsidRDefault="006B496C" w:rsidP="00A36738">
      <w:pPr>
        <w:spacing w:after="0"/>
        <w:rPr>
          <w:rFonts w:ascii="Arial" w:hAnsi="Arial" w:cs="Arial"/>
          <w:b/>
          <w:bCs/>
          <w:sz w:val="24"/>
          <w:szCs w:val="24"/>
        </w:rPr>
      </w:pPr>
      <w:r w:rsidRPr="00081F54">
        <w:rPr>
          <w:noProof/>
          <w:sz w:val="16"/>
          <w:lang w:eastAsia="en-AU"/>
        </w:rPr>
        <w:drawing>
          <wp:inline distT="0" distB="0" distL="0" distR="0" wp14:anchorId="44AAB76B" wp14:editId="644B4A9A">
            <wp:extent cx="1276350" cy="313968"/>
            <wp:effectExtent l="0" t="0" r="0" b="0"/>
            <wp:docPr id="3" name="Grafik 3" descr="m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313968"/>
                    </a:xfrm>
                    <a:prstGeom prst="rect">
                      <a:avLst/>
                    </a:prstGeom>
                    <a:noFill/>
                    <a:ln>
                      <a:noFill/>
                    </a:ln>
                  </pic:spPr>
                </pic:pic>
              </a:graphicData>
            </a:graphic>
          </wp:inline>
        </w:drawing>
      </w:r>
    </w:p>
    <w:p w14:paraId="55117495" w14:textId="77777777" w:rsidR="0013350D" w:rsidRDefault="0013350D" w:rsidP="00A36738">
      <w:pPr>
        <w:spacing w:after="0"/>
        <w:rPr>
          <w:rFonts w:ascii="Arial" w:hAnsi="Arial" w:cs="Arial"/>
          <w:b/>
          <w:bCs/>
          <w:sz w:val="24"/>
          <w:szCs w:val="24"/>
        </w:rPr>
      </w:pPr>
    </w:p>
    <w:p w14:paraId="19B26BE5" w14:textId="091767BD" w:rsidR="00A13C6F" w:rsidRPr="00875168" w:rsidRDefault="00A13C6F" w:rsidP="00A36738">
      <w:pPr>
        <w:spacing w:after="0"/>
        <w:rPr>
          <w:rFonts w:ascii="Arial" w:hAnsi="Arial" w:cs="Arial"/>
          <w:bCs/>
        </w:rPr>
      </w:pPr>
      <w:r>
        <w:rPr>
          <w:rFonts w:ascii="Arial" w:hAnsi="Arial" w:cs="Arial"/>
          <w:b/>
          <w:bCs/>
          <w:sz w:val="24"/>
          <w:szCs w:val="24"/>
        </w:rPr>
        <w:t>Date of TGA Approval:</w:t>
      </w:r>
      <w:r w:rsidR="00875168">
        <w:rPr>
          <w:rFonts w:ascii="Arial" w:hAnsi="Arial" w:cs="Arial"/>
          <w:bCs/>
        </w:rPr>
        <w:t xml:space="preserve"> 16 December 2013.</w:t>
      </w:r>
    </w:p>
    <w:p w14:paraId="4B3EFBAD" w14:textId="77777777" w:rsidR="00A82CA4" w:rsidRDefault="00A82CA4" w:rsidP="00236D95">
      <w:pPr>
        <w:spacing w:after="0"/>
        <w:rPr>
          <w:rFonts w:ascii="Arial" w:hAnsi="Arial" w:cs="Arial"/>
          <w:b/>
          <w:bCs/>
          <w:sz w:val="24"/>
          <w:szCs w:val="24"/>
        </w:rPr>
      </w:pPr>
    </w:p>
    <w:p w14:paraId="63DCA0FF" w14:textId="77777777" w:rsidR="00000E91" w:rsidRDefault="00866CD3" w:rsidP="00236D95">
      <w:pPr>
        <w:spacing w:after="0"/>
        <w:rPr>
          <w:rFonts w:ascii="Arial" w:hAnsi="Arial" w:cs="Arial"/>
          <w:bCs/>
        </w:rPr>
        <w:sectPr w:rsidR="00000E91" w:rsidSect="00FD4410">
          <w:headerReference w:type="default" r:id="rId12"/>
          <w:footerReference w:type="default" r:id="rId13"/>
          <w:pgSz w:w="11906" w:h="16838"/>
          <w:pgMar w:top="1417" w:right="1440" w:bottom="1134" w:left="1440" w:header="708" w:footer="708" w:gutter="0"/>
          <w:cols w:space="708"/>
          <w:rtlGutter/>
          <w:docGrid w:linePitch="360"/>
        </w:sectPr>
      </w:pPr>
      <w:proofErr w:type="gramStart"/>
      <w:r w:rsidRPr="00866CD3">
        <w:rPr>
          <w:rFonts w:ascii="Arial" w:hAnsi="Arial" w:cs="Arial"/>
          <w:bCs/>
        </w:rPr>
        <w:t xml:space="preserve">Australian Registration Number AUST R </w:t>
      </w:r>
      <w:r w:rsidR="00931CC9">
        <w:rPr>
          <w:rFonts w:ascii="Arial" w:hAnsi="Arial" w:cs="Arial"/>
          <w:bCs/>
        </w:rPr>
        <w:t>203132</w:t>
      </w:r>
      <w:r w:rsidR="00A641B0">
        <w:rPr>
          <w:rFonts w:ascii="Arial" w:hAnsi="Arial" w:cs="Arial"/>
          <w:bCs/>
        </w:rPr>
        <w:t>.</w:t>
      </w:r>
      <w:proofErr w:type="gramEnd"/>
    </w:p>
    <w:p w14:paraId="1B233234" w14:textId="77777777" w:rsidR="00000E91" w:rsidRPr="00000E91" w:rsidRDefault="00000E91" w:rsidP="00000E91">
      <w:pPr>
        <w:pBdr>
          <w:top w:val="single" w:sz="4" w:space="1" w:color="auto"/>
        </w:pBdr>
        <w:rPr>
          <w:rFonts w:ascii="Arial" w:hAnsi="Arial"/>
          <w:b/>
          <w:sz w:val="32"/>
        </w:rPr>
      </w:pPr>
      <w:r w:rsidRPr="00000E91">
        <w:rPr>
          <w:rFonts w:ascii="Arial" w:hAnsi="Arial" w:cs="Arial"/>
          <w:b/>
          <w:bCs/>
          <w:sz w:val="32"/>
          <w:szCs w:val="32"/>
        </w:rPr>
        <w:lastRenderedPageBreak/>
        <w:t>DYMISTA</w:t>
      </w:r>
      <w:r w:rsidRPr="00000E91">
        <w:rPr>
          <w:rFonts w:ascii="Arial" w:hAnsi="Arial"/>
          <w:b/>
          <w:sz w:val="32"/>
          <w:vertAlign w:val="superscript"/>
        </w:rPr>
        <w:t>®</w:t>
      </w:r>
      <w:r w:rsidRPr="00000E91">
        <w:rPr>
          <w:rFonts w:ascii="Arial" w:hAnsi="Arial" w:cs="Arial"/>
          <w:b/>
          <w:sz w:val="32"/>
          <w:szCs w:val="32"/>
        </w:rPr>
        <w:t> 125/50</w:t>
      </w:r>
      <w:r w:rsidRPr="00000E91">
        <w:rPr>
          <w:rFonts w:ascii="Arial" w:hAnsi="Arial" w:cs="Arial"/>
          <w:sz w:val="32"/>
          <w:szCs w:val="32"/>
        </w:rPr>
        <w:t xml:space="preserve"> </w:t>
      </w:r>
    </w:p>
    <w:p w14:paraId="3049B136" w14:textId="77777777" w:rsidR="00000E91" w:rsidRPr="00000E91" w:rsidRDefault="00000E91" w:rsidP="00000E91">
      <w:pPr>
        <w:rPr>
          <w:rFonts w:ascii="Arial" w:hAnsi="Arial" w:cs="Arial"/>
          <w:b/>
          <w:bCs/>
          <w:sz w:val="32"/>
          <w:szCs w:val="32"/>
        </w:rPr>
      </w:pPr>
      <w:r w:rsidRPr="00000E91">
        <w:rPr>
          <w:rFonts w:ascii="Arial" w:hAnsi="Arial" w:cs="Arial"/>
          <w:b/>
          <w:bCs/>
          <w:sz w:val="32"/>
          <w:szCs w:val="32"/>
        </w:rPr>
        <w:t>Nasal Spray</w:t>
      </w:r>
    </w:p>
    <w:p w14:paraId="16202090" w14:textId="77777777" w:rsidR="00000E91" w:rsidRPr="00000E91" w:rsidRDefault="00000E91" w:rsidP="00000E91">
      <w:pPr>
        <w:pBdr>
          <w:bottom w:val="single" w:sz="4" w:space="1" w:color="auto"/>
        </w:pBdr>
        <w:rPr>
          <w:rFonts w:ascii="Arial" w:hAnsi="Arial" w:cs="Arial"/>
          <w:b/>
          <w:bCs/>
          <w:sz w:val="32"/>
          <w:szCs w:val="32"/>
        </w:rPr>
      </w:pPr>
      <w:r w:rsidRPr="00000E91">
        <w:rPr>
          <w:rFonts w:ascii="Arial" w:hAnsi="Arial" w:cs="Arial"/>
          <w:b/>
          <w:bCs/>
          <w:sz w:val="32"/>
          <w:szCs w:val="32"/>
        </w:rPr>
        <w:t>PRODUCT INFORMATION</w:t>
      </w:r>
    </w:p>
    <w:p w14:paraId="698DF3C6"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NAME OF THE MEDICINE</w:t>
      </w:r>
    </w:p>
    <w:p w14:paraId="05CDED5E" w14:textId="77777777" w:rsidR="00000E91" w:rsidRPr="00000E91" w:rsidRDefault="00000E91" w:rsidP="00000E91">
      <w:pPr>
        <w:spacing w:after="0"/>
        <w:rPr>
          <w:rFonts w:ascii="Arial" w:hAnsi="Arial" w:cs="Arial"/>
        </w:rPr>
      </w:pPr>
    </w:p>
    <w:p w14:paraId="4817DAFB" w14:textId="77777777" w:rsidR="00000E91" w:rsidRPr="00000E91" w:rsidRDefault="00000E91" w:rsidP="00000E91">
      <w:pPr>
        <w:spacing w:after="0"/>
        <w:rPr>
          <w:rFonts w:ascii="Arial" w:hAnsi="Arial" w:cs="Arial"/>
        </w:rPr>
      </w:pPr>
      <w:proofErr w:type="spellStart"/>
      <w:r w:rsidRPr="00000E91">
        <w:rPr>
          <w:rFonts w:ascii="Arial" w:hAnsi="Arial" w:cs="Arial"/>
        </w:rPr>
        <w:t>Azelastine</w:t>
      </w:r>
      <w:proofErr w:type="spellEnd"/>
      <w:r w:rsidRPr="00000E91">
        <w:rPr>
          <w:rFonts w:ascii="Arial" w:hAnsi="Arial" w:cs="Arial"/>
        </w:rPr>
        <w:t xml:space="preserve"> hydrochloride and fluticasone propionate</w:t>
      </w:r>
    </w:p>
    <w:p w14:paraId="5638B2FD" w14:textId="77777777" w:rsidR="00000E91" w:rsidRPr="00000E91" w:rsidRDefault="00000E91" w:rsidP="00000E91">
      <w:pPr>
        <w:spacing w:after="0"/>
        <w:rPr>
          <w:rFonts w:ascii="Arial" w:hAnsi="Arial" w:cs="Arial"/>
          <w:color w:val="000000"/>
        </w:rPr>
      </w:pPr>
    </w:p>
    <w:p w14:paraId="58376BA6" w14:textId="77777777" w:rsidR="00000E91" w:rsidRPr="00000E91" w:rsidRDefault="00000E91" w:rsidP="00000E91">
      <w:pPr>
        <w:spacing w:after="0"/>
        <w:rPr>
          <w:rFonts w:ascii="Arial" w:hAnsi="Arial" w:cs="Arial"/>
          <w:color w:val="000000"/>
        </w:rPr>
      </w:pPr>
      <w:r w:rsidRPr="00000E91">
        <w:rPr>
          <w:rFonts w:ascii="Arial" w:hAnsi="Arial" w:cs="Arial"/>
          <w:color w:val="000000"/>
        </w:rPr>
        <w:t xml:space="preserve">The chemical name for </w:t>
      </w:r>
      <w:proofErr w:type="spellStart"/>
      <w:r w:rsidRPr="00000E91">
        <w:rPr>
          <w:rFonts w:ascii="Arial" w:hAnsi="Arial" w:cs="Arial"/>
          <w:color w:val="000000"/>
        </w:rPr>
        <w:t>azelastine</w:t>
      </w:r>
      <w:proofErr w:type="spellEnd"/>
      <w:r w:rsidRPr="00000E91">
        <w:rPr>
          <w:rFonts w:ascii="Arial" w:hAnsi="Arial" w:cs="Arial"/>
          <w:color w:val="000000"/>
        </w:rPr>
        <w:t xml:space="preserve"> hydrochloride is (</w:t>
      </w:r>
      <w:r w:rsidRPr="00000E91">
        <w:rPr>
          <w:rFonts w:ascii="Arial" w:hAnsi="Arial" w:cs="Arial"/>
          <w:i/>
          <w:iCs/>
          <w:color w:val="000000"/>
        </w:rPr>
        <w:t>R</w:t>
      </w:r>
      <w:proofErr w:type="gramStart"/>
      <w:r w:rsidRPr="00000E91">
        <w:rPr>
          <w:rFonts w:ascii="Arial" w:hAnsi="Arial" w:cs="Arial"/>
          <w:i/>
          <w:iCs/>
          <w:color w:val="000000"/>
        </w:rPr>
        <w:t>,S</w:t>
      </w:r>
      <w:proofErr w:type="gramEnd"/>
      <w:r w:rsidRPr="00000E91">
        <w:rPr>
          <w:rFonts w:ascii="Arial" w:hAnsi="Arial" w:cs="Arial"/>
          <w:color w:val="000000"/>
        </w:rPr>
        <w:t>)-4[(4-Chlorophenyl)methyl]-2-(hexahydro-1-methyl-1</w:t>
      </w:r>
      <w:r w:rsidRPr="00000E91">
        <w:rPr>
          <w:rFonts w:ascii="Arial" w:hAnsi="Arial" w:cs="Arial"/>
          <w:i/>
          <w:iCs/>
          <w:color w:val="000000"/>
        </w:rPr>
        <w:t>H</w:t>
      </w:r>
      <w:r w:rsidRPr="00000E91">
        <w:rPr>
          <w:rFonts w:ascii="Arial" w:hAnsi="Arial" w:cs="Arial"/>
          <w:color w:val="000000"/>
        </w:rPr>
        <w:t>-azepin-4-yl)-phthalazin-1(2</w:t>
      </w:r>
      <w:r w:rsidRPr="00000E91">
        <w:rPr>
          <w:rFonts w:ascii="Arial" w:hAnsi="Arial" w:cs="Arial"/>
          <w:i/>
          <w:iCs/>
          <w:color w:val="000000"/>
        </w:rPr>
        <w:t>H</w:t>
      </w:r>
      <w:r w:rsidRPr="00000E91">
        <w:rPr>
          <w:rFonts w:ascii="Arial" w:hAnsi="Arial" w:cs="Arial"/>
          <w:color w:val="000000"/>
        </w:rPr>
        <w:t xml:space="preserve">)-one hydrochloride. </w:t>
      </w:r>
      <w:proofErr w:type="spellStart"/>
      <w:r w:rsidRPr="00000E91">
        <w:rPr>
          <w:rFonts w:ascii="Arial" w:hAnsi="Arial" w:cs="Arial"/>
          <w:color w:val="000000"/>
        </w:rPr>
        <w:t>Azelastine</w:t>
      </w:r>
      <w:proofErr w:type="spellEnd"/>
      <w:r w:rsidRPr="00000E91">
        <w:rPr>
          <w:rFonts w:ascii="Arial" w:hAnsi="Arial" w:cs="Arial"/>
          <w:color w:val="000000"/>
        </w:rPr>
        <w:t xml:space="preserve"> hydrochloride has the following chemical structure:</w:t>
      </w:r>
    </w:p>
    <w:p w14:paraId="6129B40B" w14:textId="77777777" w:rsidR="00000E91" w:rsidRPr="00000E91" w:rsidRDefault="00000E91" w:rsidP="00000E91">
      <w:pPr>
        <w:spacing w:after="0"/>
        <w:rPr>
          <w:rFonts w:ascii="Arial" w:hAnsi="Arial" w:cs="Arial"/>
          <w:color w:val="000000"/>
        </w:rPr>
      </w:pPr>
    </w:p>
    <w:p w14:paraId="17ECE3B0" w14:textId="77777777" w:rsidR="00000E91" w:rsidRPr="00000E91" w:rsidRDefault="00000E91" w:rsidP="00000E91">
      <w:pPr>
        <w:autoSpaceDE w:val="0"/>
        <w:autoSpaceDN w:val="0"/>
        <w:adjustRightInd w:val="0"/>
        <w:spacing w:after="0"/>
        <w:jc w:val="both"/>
        <w:rPr>
          <w:rFonts w:ascii="Arial" w:hAnsi="Arial" w:cs="Arial"/>
          <w:color w:val="000000"/>
        </w:rPr>
      </w:pPr>
      <w:r w:rsidRPr="00000E91">
        <w:rPr>
          <w:rFonts w:ascii="Arial" w:hAnsi="Arial" w:cs="Arial"/>
          <w:noProof/>
          <w:color w:val="000000"/>
          <w:sz w:val="24"/>
          <w:szCs w:val="24"/>
          <w:lang w:eastAsia="en-AU"/>
        </w:rPr>
        <w:drawing>
          <wp:inline distT="0" distB="0" distL="0" distR="0" wp14:anchorId="3F77B6EF" wp14:editId="6EB1C30B">
            <wp:extent cx="2419350" cy="1371600"/>
            <wp:effectExtent l="0" t="0" r="0" b="0"/>
            <wp:docPr id="4" name="Picture 5" descr="Chemical structure of azelast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1633-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371600"/>
                    </a:xfrm>
                    <a:prstGeom prst="rect">
                      <a:avLst/>
                    </a:prstGeom>
                    <a:noFill/>
                    <a:ln>
                      <a:noFill/>
                    </a:ln>
                  </pic:spPr>
                </pic:pic>
              </a:graphicData>
            </a:graphic>
          </wp:inline>
        </w:drawing>
      </w:r>
    </w:p>
    <w:p w14:paraId="75E79AAB" w14:textId="77777777" w:rsidR="00000E91" w:rsidRPr="00000E91" w:rsidRDefault="00000E91" w:rsidP="00000E91">
      <w:pPr>
        <w:autoSpaceDE w:val="0"/>
        <w:autoSpaceDN w:val="0"/>
        <w:adjustRightInd w:val="0"/>
        <w:spacing w:after="0"/>
        <w:jc w:val="both"/>
        <w:rPr>
          <w:rFonts w:ascii="Arial" w:hAnsi="Arial" w:cs="Arial"/>
          <w:color w:val="000000"/>
        </w:rPr>
      </w:pPr>
      <w:proofErr w:type="gramStart"/>
      <w:r w:rsidRPr="00000E91">
        <w:rPr>
          <w:rFonts w:ascii="Arial" w:hAnsi="Arial" w:cs="Arial"/>
          <w:color w:val="000000"/>
        </w:rPr>
        <w:t>C</w:t>
      </w:r>
      <w:r w:rsidRPr="00000E91">
        <w:rPr>
          <w:rFonts w:ascii="Arial" w:hAnsi="Arial" w:cs="Arial"/>
          <w:color w:val="000000"/>
          <w:position w:val="-8"/>
          <w:vertAlign w:val="subscript"/>
        </w:rPr>
        <w:t>22</w:t>
      </w:r>
      <w:r w:rsidRPr="00000E91">
        <w:rPr>
          <w:rFonts w:ascii="Arial" w:hAnsi="Arial" w:cs="Arial"/>
          <w:color w:val="000000"/>
        </w:rPr>
        <w:t>H</w:t>
      </w:r>
      <w:r w:rsidRPr="00000E91">
        <w:rPr>
          <w:rFonts w:ascii="Arial" w:hAnsi="Arial" w:cs="Arial"/>
          <w:color w:val="000000"/>
          <w:position w:val="-8"/>
          <w:vertAlign w:val="subscript"/>
        </w:rPr>
        <w:t>24</w:t>
      </w:r>
      <w:proofErr w:type="spellStart"/>
      <w:r w:rsidRPr="00000E91">
        <w:rPr>
          <w:rFonts w:ascii="Arial" w:hAnsi="Arial" w:cs="Arial"/>
          <w:color w:val="000000"/>
        </w:rPr>
        <w:t>ClN</w:t>
      </w:r>
      <w:proofErr w:type="spellEnd"/>
      <w:r w:rsidRPr="00000E91">
        <w:rPr>
          <w:rFonts w:ascii="Arial" w:hAnsi="Arial" w:cs="Arial"/>
          <w:color w:val="000000"/>
          <w:position w:val="-8"/>
          <w:vertAlign w:val="subscript"/>
        </w:rPr>
        <w:t>3</w:t>
      </w:r>
      <w:r w:rsidRPr="00000E91">
        <w:rPr>
          <w:rFonts w:ascii="Arial" w:hAnsi="Arial" w:cs="Arial"/>
          <w:color w:val="000000"/>
        </w:rPr>
        <w:t xml:space="preserve">O </w:t>
      </w:r>
      <w:r w:rsidRPr="00000E91">
        <w:rPr>
          <w:rFonts w:ascii="Arial" w:hAnsi="Arial" w:cs="Arial"/>
          <w:color w:val="000000"/>
          <w:position w:val="8"/>
          <w:vertAlign w:val="superscript"/>
        </w:rPr>
        <w:t>.</w:t>
      </w:r>
      <w:proofErr w:type="gramEnd"/>
      <w:r w:rsidRPr="00000E91">
        <w:rPr>
          <w:rFonts w:ascii="Arial" w:hAnsi="Arial" w:cs="Arial"/>
          <w:color w:val="000000"/>
          <w:position w:val="8"/>
          <w:vertAlign w:val="superscript"/>
        </w:rPr>
        <w:t xml:space="preserve"> </w:t>
      </w:r>
      <w:proofErr w:type="spellStart"/>
      <w:r w:rsidRPr="00000E91">
        <w:rPr>
          <w:rFonts w:ascii="Arial" w:hAnsi="Arial" w:cs="Arial"/>
          <w:color w:val="000000"/>
        </w:rPr>
        <w:t>HCl</w:t>
      </w:r>
      <w:proofErr w:type="spellEnd"/>
      <w:r w:rsidRPr="00000E91">
        <w:rPr>
          <w:rFonts w:ascii="Arial" w:hAnsi="Arial" w:cs="Arial"/>
          <w:color w:val="000000"/>
        </w:rPr>
        <w:t xml:space="preserve"> </w:t>
      </w:r>
      <w:r w:rsidRPr="00000E91">
        <w:rPr>
          <w:rFonts w:ascii="Arial" w:hAnsi="Arial" w:cs="Arial"/>
          <w:color w:val="000000"/>
        </w:rPr>
        <w:tab/>
      </w:r>
      <w:r w:rsidRPr="00000E91">
        <w:rPr>
          <w:rFonts w:ascii="Arial" w:hAnsi="Arial" w:cs="Arial"/>
          <w:color w:val="000000"/>
        </w:rPr>
        <w:tab/>
        <w:t xml:space="preserve">Molecular weight: 418.37 g </w:t>
      </w:r>
      <w:proofErr w:type="spellStart"/>
      <w:r w:rsidRPr="00000E91">
        <w:rPr>
          <w:rFonts w:ascii="Arial" w:hAnsi="Arial" w:cs="Arial"/>
          <w:color w:val="000000"/>
        </w:rPr>
        <w:t>mol</w:t>
      </w:r>
      <w:proofErr w:type="spellEnd"/>
      <w:r w:rsidRPr="00000E91">
        <w:rPr>
          <w:rFonts w:ascii="Arial" w:hAnsi="Arial" w:cs="Arial"/>
          <w:color w:val="000000"/>
          <w:position w:val="8"/>
          <w:vertAlign w:val="superscript"/>
        </w:rPr>
        <w:t xml:space="preserve">-1 </w:t>
      </w:r>
    </w:p>
    <w:p w14:paraId="51259A1D" w14:textId="77777777" w:rsidR="00000E91" w:rsidRPr="00000E91" w:rsidRDefault="00000E91" w:rsidP="00000E91">
      <w:pPr>
        <w:autoSpaceDE w:val="0"/>
        <w:autoSpaceDN w:val="0"/>
        <w:adjustRightInd w:val="0"/>
        <w:spacing w:after="0"/>
        <w:jc w:val="both"/>
        <w:rPr>
          <w:rFonts w:ascii="Arial" w:hAnsi="Arial" w:cs="Arial"/>
          <w:color w:val="000000"/>
        </w:rPr>
      </w:pPr>
      <w:r w:rsidRPr="00000E91">
        <w:rPr>
          <w:rFonts w:ascii="Arial" w:hAnsi="Arial" w:cs="Arial"/>
          <w:color w:val="000000"/>
        </w:rPr>
        <w:tab/>
      </w:r>
      <w:r w:rsidRPr="00000E91">
        <w:rPr>
          <w:rFonts w:ascii="Arial" w:hAnsi="Arial" w:cs="Arial"/>
          <w:color w:val="000000"/>
        </w:rPr>
        <w:tab/>
      </w:r>
    </w:p>
    <w:p w14:paraId="2A963E73" w14:textId="77777777" w:rsidR="00000E91" w:rsidRPr="00000E91" w:rsidRDefault="00000E91" w:rsidP="00000E91">
      <w:pPr>
        <w:autoSpaceDE w:val="0"/>
        <w:autoSpaceDN w:val="0"/>
        <w:adjustRightInd w:val="0"/>
        <w:spacing w:after="0"/>
        <w:jc w:val="both"/>
        <w:rPr>
          <w:rFonts w:ascii="Arial" w:hAnsi="Arial" w:cs="Arial"/>
          <w:color w:val="000000"/>
        </w:rPr>
      </w:pPr>
      <w:r w:rsidRPr="00000E91">
        <w:rPr>
          <w:rFonts w:ascii="Arial" w:hAnsi="Arial" w:cs="Arial"/>
          <w:color w:val="000000"/>
        </w:rPr>
        <w:t xml:space="preserve">CAS Registry No: 79307-93-0 </w:t>
      </w:r>
    </w:p>
    <w:p w14:paraId="60E69B8A" w14:textId="77777777" w:rsidR="00000E91" w:rsidRPr="00000E91" w:rsidRDefault="00000E91" w:rsidP="00000E91">
      <w:pPr>
        <w:spacing w:after="0"/>
        <w:jc w:val="both"/>
        <w:rPr>
          <w:rFonts w:ascii="Arial" w:hAnsi="Arial" w:cs="Arial"/>
        </w:rPr>
      </w:pPr>
    </w:p>
    <w:p w14:paraId="09E9EE34" w14:textId="77777777" w:rsidR="00000E91" w:rsidRPr="00000E91" w:rsidRDefault="00000E91" w:rsidP="00000E91">
      <w:pPr>
        <w:spacing w:after="0"/>
        <w:rPr>
          <w:rFonts w:ascii="Arial" w:hAnsi="Arial" w:cs="Arial"/>
        </w:rPr>
      </w:pPr>
      <w:r w:rsidRPr="00000E91">
        <w:rPr>
          <w:rFonts w:ascii="Arial" w:hAnsi="Arial" w:cs="Arial"/>
        </w:rPr>
        <w:t>The chemical name for fluticasone propionate is 6α</w:t>
      </w:r>
      <w:proofErr w:type="gramStart"/>
      <w:r w:rsidRPr="00000E91">
        <w:rPr>
          <w:rFonts w:ascii="Arial" w:hAnsi="Arial" w:cs="Arial"/>
        </w:rPr>
        <w:t>,9</w:t>
      </w:r>
      <w:proofErr w:type="gramEnd"/>
      <w:r w:rsidRPr="00000E91">
        <w:rPr>
          <w:rFonts w:ascii="Arial" w:hAnsi="Arial" w:cs="Arial"/>
        </w:rPr>
        <w:t>-Difluoro-17-[[(</w:t>
      </w:r>
      <w:proofErr w:type="spellStart"/>
      <w:r w:rsidRPr="00000E91">
        <w:rPr>
          <w:rFonts w:ascii="Arial" w:hAnsi="Arial" w:cs="Arial"/>
        </w:rPr>
        <w:t>fluoromethyl</w:t>
      </w:r>
      <w:proofErr w:type="spellEnd"/>
      <w:r w:rsidRPr="00000E91">
        <w:rPr>
          <w:rFonts w:ascii="Arial" w:hAnsi="Arial" w:cs="Arial"/>
        </w:rPr>
        <w:t>) sulphanyl]carbonyl]-11β-hydroxy-16α-methyl-3-oxoandrosta-1,4-dien-17α-yl propanoate. Fluticasone propionate has the following chemical structure:</w:t>
      </w:r>
    </w:p>
    <w:p w14:paraId="6E63F809" w14:textId="77777777" w:rsidR="00000E91" w:rsidRPr="00000E91" w:rsidRDefault="00000E91" w:rsidP="00000E91">
      <w:pPr>
        <w:spacing w:after="0"/>
        <w:jc w:val="both"/>
        <w:rPr>
          <w:rFonts w:ascii="Arial" w:hAnsi="Arial" w:cs="Arial"/>
        </w:rPr>
      </w:pPr>
    </w:p>
    <w:p w14:paraId="0C2F657D" w14:textId="77777777" w:rsidR="00000E91" w:rsidRPr="00000E91" w:rsidRDefault="00000E91" w:rsidP="00000E91">
      <w:pPr>
        <w:autoSpaceDE w:val="0"/>
        <w:autoSpaceDN w:val="0"/>
        <w:adjustRightInd w:val="0"/>
        <w:spacing w:after="0"/>
        <w:jc w:val="both"/>
        <w:rPr>
          <w:rFonts w:ascii="Arial" w:hAnsi="Arial" w:cs="Arial"/>
          <w:color w:val="000000"/>
          <w:sz w:val="24"/>
          <w:szCs w:val="24"/>
        </w:rPr>
      </w:pPr>
      <w:r w:rsidRPr="00000E91">
        <w:rPr>
          <w:rFonts w:ascii="Arial" w:hAnsi="Arial" w:cs="Arial"/>
          <w:noProof/>
          <w:color w:val="000000"/>
          <w:sz w:val="24"/>
          <w:szCs w:val="24"/>
          <w:lang w:eastAsia="en-AU"/>
        </w:rPr>
        <w:drawing>
          <wp:inline distT="0" distB="0" distL="0" distR="0" wp14:anchorId="34945D21" wp14:editId="3AC596A0">
            <wp:extent cx="2562225" cy="1466850"/>
            <wp:effectExtent l="0" t="0" r="9525" b="0"/>
            <wp:docPr id="5" name="Picture 9" descr="Chemical structure of fluticasone propi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1750-b.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466850"/>
                    </a:xfrm>
                    <a:prstGeom prst="rect">
                      <a:avLst/>
                    </a:prstGeom>
                    <a:noFill/>
                    <a:ln>
                      <a:noFill/>
                    </a:ln>
                  </pic:spPr>
                </pic:pic>
              </a:graphicData>
            </a:graphic>
          </wp:inline>
        </w:drawing>
      </w:r>
    </w:p>
    <w:p w14:paraId="11551566" w14:textId="77777777" w:rsidR="00000E91" w:rsidRPr="00000E91" w:rsidRDefault="00000E91" w:rsidP="00000E91">
      <w:pPr>
        <w:autoSpaceDE w:val="0"/>
        <w:autoSpaceDN w:val="0"/>
        <w:adjustRightInd w:val="0"/>
        <w:spacing w:after="0"/>
        <w:jc w:val="both"/>
        <w:rPr>
          <w:rFonts w:ascii="Arial" w:hAnsi="Arial" w:cs="Arial"/>
          <w:color w:val="000000"/>
        </w:rPr>
      </w:pPr>
      <w:r w:rsidRPr="00000E91">
        <w:rPr>
          <w:rFonts w:ascii="Arial" w:hAnsi="Arial" w:cs="Arial"/>
          <w:color w:val="000000"/>
        </w:rPr>
        <w:t>C</w:t>
      </w:r>
      <w:r w:rsidRPr="00000E91">
        <w:rPr>
          <w:rFonts w:ascii="Arial" w:hAnsi="Arial" w:cs="Arial"/>
          <w:color w:val="000000"/>
          <w:position w:val="-8"/>
          <w:vertAlign w:val="subscript"/>
        </w:rPr>
        <w:t>25</w:t>
      </w:r>
      <w:r w:rsidRPr="00000E91">
        <w:rPr>
          <w:rFonts w:ascii="Arial" w:hAnsi="Arial" w:cs="Arial"/>
          <w:color w:val="000000"/>
        </w:rPr>
        <w:t>H</w:t>
      </w:r>
      <w:r w:rsidRPr="00000E91">
        <w:rPr>
          <w:rFonts w:ascii="Arial" w:hAnsi="Arial" w:cs="Arial"/>
          <w:color w:val="000000"/>
          <w:position w:val="-8"/>
          <w:vertAlign w:val="subscript"/>
        </w:rPr>
        <w:t>31</w:t>
      </w:r>
      <w:r w:rsidRPr="00000E91">
        <w:rPr>
          <w:rFonts w:ascii="Arial" w:hAnsi="Arial" w:cs="Arial"/>
          <w:color w:val="000000"/>
        </w:rPr>
        <w:t>F</w:t>
      </w:r>
      <w:r w:rsidRPr="00000E91">
        <w:rPr>
          <w:rFonts w:ascii="Arial" w:hAnsi="Arial" w:cs="Arial"/>
          <w:color w:val="000000"/>
          <w:position w:val="-8"/>
          <w:vertAlign w:val="subscript"/>
        </w:rPr>
        <w:t>3</w:t>
      </w:r>
      <w:r w:rsidRPr="00000E91">
        <w:rPr>
          <w:rFonts w:ascii="Arial" w:hAnsi="Arial" w:cs="Arial"/>
          <w:color w:val="000000"/>
        </w:rPr>
        <w:t>O</w:t>
      </w:r>
      <w:r w:rsidRPr="00000E91">
        <w:rPr>
          <w:rFonts w:ascii="Arial" w:hAnsi="Arial" w:cs="Arial"/>
          <w:color w:val="000000"/>
          <w:position w:val="-8"/>
          <w:vertAlign w:val="subscript"/>
        </w:rPr>
        <w:t>5</w:t>
      </w:r>
      <w:r w:rsidRPr="00000E91">
        <w:rPr>
          <w:rFonts w:ascii="Arial" w:hAnsi="Arial" w:cs="Arial"/>
          <w:color w:val="000000"/>
        </w:rPr>
        <w:t xml:space="preserve">S </w:t>
      </w:r>
      <w:r w:rsidRPr="00000E91">
        <w:rPr>
          <w:rFonts w:ascii="Arial" w:hAnsi="Arial" w:cs="Arial"/>
          <w:color w:val="000000"/>
        </w:rPr>
        <w:tab/>
      </w:r>
      <w:r w:rsidRPr="00000E91">
        <w:rPr>
          <w:rFonts w:ascii="Arial" w:hAnsi="Arial" w:cs="Arial"/>
          <w:color w:val="000000"/>
        </w:rPr>
        <w:tab/>
      </w:r>
      <w:r w:rsidRPr="00000E91">
        <w:rPr>
          <w:rFonts w:ascii="Arial" w:hAnsi="Arial" w:cs="Arial"/>
          <w:color w:val="000000"/>
        </w:rPr>
        <w:tab/>
        <w:t xml:space="preserve">Molecular weight: 500.6 g </w:t>
      </w:r>
      <w:proofErr w:type="spellStart"/>
      <w:r w:rsidRPr="00000E91">
        <w:rPr>
          <w:rFonts w:ascii="Arial" w:hAnsi="Arial" w:cs="Arial"/>
          <w:color w:val="000000"/>
        </w:rPr>
        <w:t>mol</w:t>
      </w:r>
      <w:proofErr w:type="spellEnd"/>
      <w:r w:rsidRPr="00000E91">
        <w:rPr>
          <w:rFonts w:ascii="Arial" w:hAnsi="Arial" w:cs="Arial"/>
          <w:color w:val="000000"/>
          <w:position w:val="8"/>
          <w:vertAlign w:val="superscript"/>
        </w:rPr>
        <w:t xml:space="preserve">-1 </w:t>
      </w:r>
    </w:p>
    <w:p w14:paraId="0822AB3F" w14:textId="77777777" w:rsidR="00000E91" w:rsidRPr="00000E91" w:rsidRDefault="00000E91" w:rsidP="00000E91">
      <w:pPr>
        <w:autoSpaceDE w:val="0"/>
        <w:autoSpaceDN w:val="0"/>
        <w:adjustRightInd w:val="0"/>
        <w:spacing w:after="0"/>
        <w:jc w:val="both"/>
        <w:rPr>
          <w:rFonts w:ascii="Arial" w:hAnsi="Arial" w:cs="Arial"/>
          <w:color w:val="000000"/>
        </w:rPr>
      </w:pPr>
      <w:r w:rsidRPr="00000E91">
        <w:rPr>
          <w:rFonts w:ascii="Arial" w:hAnsi="Arial" w:cs="Arial"/>
          <w:color w:val="000000"/>
        </w:rPr>
        <w:tab/>
      </w:r>
    </w:p>
    <w:p w14:paraId="3510446A" w14:textId="77777777" w:rsidR="00000E91" w:rsidRPr="00000E91" w:rsidRDefault="00000E91" w:rsidP="00000E91">
      <w:pPr>
        <w:autoSpaceDE w:val="0"/>
        <w:autoSpaceDN w:val="0"/>
        <w:adjustRightInd w:val="0"/>
        <w:spacing w:after="0"/>
        <w:jc w:val="both"/>
        <w:rPr>
          <w:rFonts w:ascii="Arial" w:hAnsi="Arial" w:cs="Arial"/>
          <w:color w:val="000000"/>
        </w:rPr>
      </w:pPr>
      <w:r w:rsidRPr="00000E91">
        <w:rPr>
          <w:rFonts w:ascii="Arial" w:hAnsi="Arial" w:cs="Arial"/>
          <w:color w:val="000000"/>
        </w:rPr>
        <w:t xml:space="preserve">CAS Registry No: 80474-14-2 </w:t>
      </w:r>
    </w:p>
    <w:p w14:paraId="4C1D56A5" w14:textId="77777777" w:rsidR="00000E91" w:rsidRPr="00000E91" w:rsidRDefault="00000E91" w:rsidP="00000E91">
      <w:pPr>
        <w:spacing w:after="0" w:line="240" w:lineRule="auto"/>
        <w:rPr>
          <w:rFonts w:ascii="Arial" w:hAnsi="Arial" w:cs="Arial"/>
          <w:b/>
          <w:bCs/>
          <w:sz w:val="24"/>
          <w:szCs w:val="24"/>
        </w:rPr>
      </w:pPr>
      <w:r w:rsidRPr="00000E91">
        <w:rPr>
          <w:rFonts w:ascii="Arial" w:hAnsi="Arial" w:cs="Arial"/>
          <w:b/>
          <w:bCs/>
          <w:sz w:val="24"/>
          <w:szCs w:val="24"/>
        </w:rPr>
        <w:br w:type="page"/>
      </w:r>
    </w:p>
    <w:p w14:paraId="1C91E45D" w14:textId="77777777" w:rsidR="00000E91" w:rsidRPr="00000E91" w:rsidRDefault="00000E91" w:rsidP="00000E91">
      <w:pPr>
        <w:spacing w:after="0"/>
        <w:jc w:val="both"/>
        <w:rPr>
          <w:rFonts w:ascii="Arial" w:hAnsi="Arial" w:cs="Arial"/>
          <w:b/>
          <w:bCs/>
          <w:sz w:val="24"/>
          <w:szCs w:val="24"/>
        </w:rPr>
      </w:pPr>
      <w:r w:rsidRPr="00000E91">
        <w:rPr>
          <w:rFonts w:ascii="Arial" w:hAnsi="Arial" w:cs="Arial"/>
          <w:b/>
          <w:bCs/>
          <w:sz w:val="24"/>
          <w:szCs w:val="24"/>
        </w:rPr>
        <w:lastRenderedPageBreak/>
        <w:t>DESCRIPTION</w:t>
      </w:r>
    </w:p>
    <w:p w14:paraId="23F29742" w14:textId="77777777" w:rsidR="00000E91" w:rsidRPr="00000E91" w:rsidRDefault="00000E91" w:rsidP="00000E91">
      <w:pPr>
        <w:spacing w:after="0"/>
        <w:jc w:val="both"/>
        <w:rPr>
          <w:rFonts w:ascii="Arial" w:hAnsi="Arial" w:cs="Arial"/>
          <w:b/>
          <w:bCs/>
          <w:sz w:val="24"/>
          <w:szCs w:val="24"/>
        </w:rPr>
      </w:pPr>
    </w:p>
    <w:p w14:paraId="2CA17FCB"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DYMISTA</w:t>
      </w:r>
      <w:r w:rsidRPr="00000E91">
        <w:rPr>
          <w:rFonts w:ascii="Arial" w:hAnsi="Arial" w:cs="Arial"/>
          <w:color w:val="000000"/>
          <w:sz w:val="24"/>
          <w:szCs w:val="24"/>
        </w:rPr>
        <w:t xml:space="preserve"> 125/50 </w:t>
      </w:r>
      <w:r w:rsidRPr="00000E91">
        <w:rPr>
          <w:rFonts w:ascii="Arial" w:hAnsi="Arial" w:cs="Arial"/>
          <w:color w:val="000000"/>
        </w:rPr>
        <w:t xml:space="preserve">is formulated as a white, homogeneous and </w:t>
      </w:r>
      <w:proofErr w:type="spellStart"/>
      <w:r w:rsidRPr="00000E91">
        <w:rPr>
          <w:rFonts w:ascii="Arial" w:hAnsi="Arial" w:cs="Arial"/>
          <w:color w:val="000000"/>
        </w:rPr>
        <w:t>redispersible</w:t>
      </w:r>
      <w:proofErr w:type="spellEnd"/>
      <w:r w:rsidRPr="00000E91">
        <w:rPr>
          <w:rFonts w:ascii="Arial" w:hAnsi="Arial" w:cs="Arial"/>
          <w:color w:val="000000"/>
        </w:rPr>
        <w:t xml:space="preserve"> suspension. It is available as a metered-spray suspension for intranasal administration. </w:t>
      </w:r>
    </w:p>
    <w:p w14:paraId="4AB046CB" w14:textId="77777777" w:rsidR="00000E91" w:rsidRPr="00000E91" w:rsidRDefault="00000E91" w:rsidP="00000E91">
      <w:pPr>
        <w:autoSpaceDE w:val="0"/>
        <w:autoSpaceDN w:val="0"/>
        <w:adjustRightInd w:val="0"/>
        <w:spacing w:after="0"/>
        <w:rPr>
          <w:rFonts w:ascii="Arial" w:hAnsi="Arial" w:cs="Arial"/>
          <w:color w:val="000000"/>
        </w:rPr>
      </w:pPr>
    </w:p>
    <w:p w14:paraId="6798AE7D"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DYMISTA</w:t>
      </w:r>
      <w:r w:rsidRPr="00000E91">
        <w:rPr>
          <w:rFonts w:ascii="Arial" w:hAnsi="Arial" w:cs="Arial"/>
          <w:color w:val="000000"/>
          <w:sz w:val="24"/>
          <w:szCs w:val="24"/>
        </w:rPr>
        <w:t> 125/50</w:t>
      </w:r>
      <w:r w:rsidRPr="00000E91">
        <w:rPr>
          <w:rFonts w:ascii="Arial" w:hAnsi="Arial" w:cs="Arial"/>
          <w:color w:val="000000"/>
        </w:rPr>
        <w:t xml:space="preserve"> nasal spray is a fixed combination product containing the following active ingredients: </w:t>
      </w:r>
      <w:proofErr w:type="spellStart"/>
      <w:r w:rsidRPr="00000E91">
        <w:rPr>
          <w:rFonts w:ascii="Arial" w:hAnsi="Arial" w:cs="Arial"/>
          <w:color w:val="000000"/>
        </w:rPr>
        <w:t>azelastine</w:t>
      </w:r>
      <w:proofErr w:type="spellEnd"/>
      <w:r w:rsidRPr="00000E91">
        <w:rPr>
          <w:rFonts w:ascii="Arial" w:hAnsi="Arial" w:cs="Arial"/>
          <w:color w:val="000000"/>
        </w:rPr>
        <w:t xml:space="preserve"> hydrochloride and fluticasone propionate. Each g of suspension contains 1 mg </w:t>
      </w:r>
      <w:proofErr w:type="spellStart"/>
      <w:r w:rsidRPr="00000E91">
        <w:rPr>
          <w:rFonts w:ascii="Arial" w:hAnsi="Arial" w:cs="Arial"/>
          <w:color w:val="000000"/>
        </w:rPr>
        <w:t>azelastine</w:t>
      </w:r>
      <w:proofErr w:type="spellEnd"/>
      <w:r w:rsidRPr="00000E91">
        <w:rPr>
          <w:rFonts w:ascii="Arial" w:hAnsi="Arial" w:cs="Arial"/>
          <w:color w:val="000000"/>
        </w:rPr>
        <w:t xml:space="preserve"> hydrochloride and 0.365 mg fluticasone propionate. One spray (137 mg) contains 125 µg of </w:t>
      </w:r>
      <w:proofErr w:type="spellStart"/>
      <w:r w:rsidRPr="00000E91">
        <w:rPr>
          <w:rFonts w:ascii="Arial" w:hAnsi="Arial" w:cs="Arial"/>
          <w:color w:val="000000"/>
        </w:rPr>
        <w:t>azelastine</w:t>
      </w:r>
      <w:proofErr w:type="spellEnd"/>
      <w:r w:rsidRPr="00000E91">
        <w:rPr>
          <w:rFonts w:ascii="Arial" w:hAnsi="Arial" w:cs="Arial"/>
          <w:color w:val="000000"/>
        </w:rPr>
        <w:t xml:space="preserve"> (as the base) and 50 µg of fluticasone propionate.  </w:t>
      </w:r>
    </w:p>
    <w:p w14:paraId="676ADBF5" w14:textId="77777777" w:rsidR="00000E91" w:rsidRPr="00000E91" w:rsidRDefault="00000E91" w:rsidP="00000E91">
      <w:pPr>
        <w:autoSpaceDE w:val="0"/>
        <w:autoSpaceDN w:val="0"/>
        <w:adjustRightInd w:val="0"/>
        <w:spacing w:after="0"/>
        <w:rPr>
          <w:rFonts w:ascii="Arial" w:hAnsi="Arial" w:cs="Arial"/>
          <w:color w:val="000000"/>
        </w:rPr>
      </w:pPr>
    </w:p>
    <w:p w14:paraId="09852B16"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DYMISTA</w:t>
      </w:r>
      <w:r w:rsidRPr="00000E91">
        <w:rPr>
          <w:rFonts w:ascii="Arial" w:hAnsi="Arial" w:cs="Arial"/>
          <w:color w:val="000000"/>
          <w:sz w:val="24"/>
          <w:szCs w:val="24"/>
        </w:rPr>
        <w:t> 125/50</w:t>
      </w:r>
      <w:r w:rsidRPr="00000E91">
        <w:rPr>
          <w:rFonts w:ascii="Arial" w:hAnsi="Arial" w:cs="Arial"/>
          <w:color w:val="000000"/>
        </w:rPr>
        <w:t xml:space="preserve"> nasal spray contains the following inactive ingredients: disodium </w:t>
      </w:r>
      <w:proofErr w:type="spellStart"/>
      <w:r w:rsidRPr="00000E91">
        <w:rPr>
          <w:rFonts w:ascii="Arial" w:hAnsi="Arial" w:cs="Arial"/>
          <w:color w:val="000000"/>
        </w:rPr>
        <w:t>edetate</w:t>
      </w:r>
      <w:proofErr w:type="spellEnd"/>
      <w:r w:rsidRPr="00000E91">
        <w:rPr>
          <w:rFonts w:ascii="Arial" w:hAnsi="Arial" w:cs="Arial"/>
          <w:color w:val="000000"/>
        </w:rPr>
        <w:t xml:space="preserve">, glycerol, microcrystalline cellulose, </w:t>
      </w:r>
      <w:proofErr w:type="spellStart"/>
      <w:r w:rsidRPr="00000E91">
        <w:rPr>
          <w:rFonts w:ascii="Arial" w:hAnsi="Arial" w:cs="Arial"/>
          <w:color w:val="000000"/>
        </w:rPr>
        <w:t>carmellose</w:t>
      </w:r>
      <w:proofErr w:type="spellEnd"/>
      <w:r w:rsidRPr="00000E91">
        <w:rPr>
          <w:rFonts w:ascii="Arial" w:hAnsi="Arial" w:cs="Arial"/>
          <w:color w:val="000000"/>
        </w:rPr>
        <w:t xml:space="preserve"> sodium, </w:t>
      </w:r>
      <w:proofErr w:type="spellStart"/>
      <w:r w:rsidRPr="00000E91">
        <w:rPr>
          <w:rFonts w:ascii="Arial" w:hAnsi="Arial" w:cs="Arial"/>
          <w:color w:val="000000"/>
        </w:rPr>
        <w:t>polysorbate</w:t>
      </w:r>
      <w:proofErr w:type="spellEnd"/>
      <w:r w:rsidRPr="00000E91">
        <w:rPr>
          <w:rFonts w:ascii="Arial" w:hAnsi="Arial" w:cs="Arial"/>
          <w:color w:val="000000"/>
        </w:rPr>
        <w:t xml:space="preserve"> 80, </w:t>
      </w:r>
      <w:proofErr w:type="spellStart"/>
      <w:r w:rsidRPr="00000E91">
        <w:rPr>
          <w:rFonts w:ascii="Arial" w:hAnsi="Arial" w:cs="Arial"/>
          <w:color w:val="000000"/>
        </w:rPr>
        <w:t>benzalkonium</w:t>
      </w:r>
      <w:proofErr w:type="spellEnd"/>
      <w:r w:rsidRPr="00000E91">
        <w:rPr>
          <w:rFonts w:ascii="Arial" w:hAnsi="Arial" w:cs="Arial"/>
          <w:color w:val="000000"/>
        </w:rPr>
        <w:t xml:space="preserve"> chloride, </w:t>
      </w:r>
      <w:proofErr w:type="spellStart"/>
      <w:r w:rsidRPr="00000E91">
        <w:rPr>
          <w:rFonts w:ascii="Arial" w:hAnsi="Arial" w:cs="Arial"/>
          <w:color w:val="000000"/>
        </w:rPr>
        <w:t>phenethyl</w:t>
      </w:r>
      <w:proofErr w:type="spellEnd"/>
      <w:r w:rsidRPr="00000E91">
        <w:rPr>
          <w:rFonts w:ascii="Arial" w:hAnsi="Arial" w:cs="Arial"/>
          <w:color w:val="000000"/>
        </w:rPr>
        <w:t xml:space="preserve"> alcohol and purified water.</w:t>
      </w:r>
    </w:p>
    <w:p w14:paraId="54D29FBE" w14:textId="77777777" w:rsidR="00000E91" w:rsidRPr="00000E91" w:rsidRDefault="00000E91" w:rsidP="00000E91">
      <w:pPr>
        <w:spacing w:after="0"/>
        <w:jc w:val="both"/>
        <w:rPr>
          <w:rFonts w:ascii="Arial" w:hAnsi="Arial" w:cs="Arial"/>
        </w:rPr>
      </w:pPr>
    </w:p>
    <w:p w14:paraId="2F471112" w14:textId="77777777" w:rsidR="00000E91" w:rsidRPr="00000E91" w:rsidRDefault="00000E91" w:rsidP="00000E91">
      <w:pPr>
        <w:spacing w:after="0"/>
        <w:rPr>
          <w:rFonts w:ascii="Arial" w:eastAsia="Times New Roman" w:hAnsi="Arial" w:cs="Arial"/>
          <w:b/>
          <w:bCs/>
          <w:sz w:val="24"/>
          <w:szCs w:val="24"/>
          <w:lang w:val="en-US"/>
        </w:rPr>
      </w:pPr>
      <w:r w:rsidRPr="00000E91">
        <w:rPr>
          <w:rFonts w:ascii="Arial" w:eastAsia="Times New Roman" w:hAnsi="Arial" w:cs="Arial"/>
          <w:b/>
          <w:bCs/>
          <w:sz w:val="24"/>
          <w:szCs w:val="24"/>
          <w:lang w:val="en-US"/>
        </w:rPr>
        <w:t>Physical and Chemical Properties</w:t>
      </w:r>
    </w:p>
    <w:p w14:paraId="5466993C" w14:textId="77777777" w:rsidR="00000E91" w:rsidRPr="00000E91" w:rsidRDefault="00000E91" w:rsidP="00000E91">
      <w:pPr>
        <w:spacing w:after="0"/>
        <w:rPr>
          <w:rFonts w:ascii="Arial" w:eastAsia="Times New Roman" w:hAnsi="Arial" w:cs="Arial"/>
          <w:lang w:val="en-US"/>
        </w:rPr>
      </w:pP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hydrochloride occurs as a white, </w:t>
      </w:r>
      <w:proofErr w:type="spellStart"/>
      <w:r w:rsidRPr="00000E91">
        <w:rPr>
          <w:rFonts w:ascii="Arial" w:eastAsia="Times New Roman" w:hAnsi="Arial" w:cs="Arial"/>
          <w:lang w:val="en-US"/>
        </w:rPr>
        <w:t>odourless</w:t>
      </w:r>
      <w:proofErr w:type="spellEnd"/>
      <w:r w:rsidRPr="00000E91">
        <w:rPr>
          <w:rFonts w:ascii="Arial" w:eastAsia="Times New Roman" w:hAnsi="Arial" w:cs="Arial"/>
          <w:lang w:val="en-US"/>
        </w:rPr>
        <w:t xml:space="preserve">, crystalline powder with a bitter taste. It is sparingly soluble in water, and soluble in ethanol and dichloromethane.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hydrochloride is slightly hygroscopic. </w:t>
      </w:r>
    </w:p>
    <w:p w14:paraId="7F116763" w14:textId="77777777" w:rsidR="00000E91" w:rsidRPr="00000E91" w:rsidRDefault="00000E91" w:rsidP="00000E91">
      <w:pPr>
        <w:spacing w:after="0"/>
        <w:rPr>
          <w:rFonts w:ascii="Arial" w:eastAsia="Times New Roman" w:hAnsi="Arial" w:cs="Arial"/>
          <w:noProof/>
          <w:lang w:val="en-US"/>
        </w:rPr>
      </w:pPr>
    </w:p>
    <w:p w14:paraId="59B843F0" w14:textId="77777777" w:rsidR="00000E91" w:rsidRPr="00000E91" w:rsidRDefault="00000E91" w:rsidP="00000E91">
      <w:pPr>
        <w:spacing w:after="0"/>
        <w:rPr>
          <w:rFonts w:ascii="Arial" w:eastAsia="Times New Roman" w:hAnsi="Arial" w:cs="Arial"/>
          <w:noProof/>
          <w:lang w:val="en-US"/>
        </w:rPr>
      </w:pPr>
      <w:r w:rsidRPr="00000E91">
        <w:rPr>
          <w:rFonts w:ascii="Arial" w:eastAsia="Times New Roman" w:hAnsi="Arial" w:cs="Arial"/>
          <w:noProof/>
          <w:lang w:val="en-US"/>
        </w:rPr>
        <w:t>Fluticasone propionate is a white or almost white powder. It is practically insoluble in water, sparingly soluble in dichloromethane and slightly soluble in alcohol.</w:t>
      </w:r>
    </w:p>
    <w:p w14:paraId="0D133B83" w14:textId="77777777" w:rsidR="00000E91" w:rsidRPr="00000E91" w:rsidRDefault="00000E91" w:rsidP="00000E91">
      <w:pPr>
        <w:spacing w:after="0"/>
        <w:rPr>
          <w:rFonts w:ascii="Arial" w:eastAsia="Times New Roman" w:hAnsi="Arial" w:cs="Arial"/>
          <w:noProof/>
          <w:lang w:val="en-US"/>
        </w:rPr>
      </w:pPr>
    </w:p>
    <w:p w14:paraId="35DEC497"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PHARMACOLOGY</w:t>
      </w:r>
    </w:p>
    <w:p w14:paraId="3E28B0F1" w14:textId="77777777" w:rsidR="00000E91" w:rsidRPr="00000E91" w:rsidRDefault="00000E91" w:rsidP="00000E91">
      <w:pPr>
        <w:spacing w:after="0"/>
        <w:rPr>
          <w:rFonts w:ascii="Arial" w:hAnsi="Arial" w:cs="Arial"/>
          <w:b/>
          <w:bCs/>
          <w:sz w:val="24"/>
          <w:szCs w:val="24"/>
        </w:rPr>
      </w:pPr>
    </w:p>
    <w:p w14:paraId="3A18F075"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Pharmacodynamics</w:t>
      </w:r>
    </w:p>
    <w:p w14:paraId="69CD8959" w14:textId="77777777" w:rsidR="00000E91" w:rsidRPr="00000E91" w:rsidRDefault="00000E91" w:rsidP="00000E91">
      <w:pPr>
        <w:autoSpaceDE w:val="0"/>
        <w:autoSpaceDN w:val="0"/>
        <w:adjustRightInd w:val="0"/>
        <w:spacing w:after="0"/>
        <w:rPr>
          <w:rFonts w:ascii="Arial" w:hAnsi="Arial" w:cs="Arial"/>
          <w:color w:val="000000"/>
        </w:rPr>
      </w:pPr>
      <w:proofErr w:type="spellStart"/>
      <w:r w:rsidRPr="00000E91">
        <w:rPr>
          <w:rFonts w:ascii="Arial" w:hAnsi="Arial" w:cs="Arial"/>
          <w:color w:val="000000"/>
        </w:rPr>
        <w:t>Pharmacotherapeutic</w:t>
      </w:r>
      <w:proofErr w:type="spellEnd"/>
      <w:r w:rsidRPr="00000E91">
        <w:rPr>
          <w:rFonts w:ascii="Arial" w:hAnsi="Arial" w:cs="Arial"/>
          <w:color w:val="000000"/>
        </w:rPr>
        <w:t xml:space="preserve"> group: Decongestants and other nasal preparations for topical use, corticosteroids/ fluticasone, combinations, ATC code: R01AD58. </w:t>
      </w:r>
    </w:p>
    <w:p w14:paraId="0D1B1B2A" w14:textId="77777777" w:rsidR="00000E91" w:rsidRPr="00000E91" w:rsidRDefault="00000E91" w:rsidP="00000E91">
      <w:pPr>
        <w:autoSpaceDE w:val="0"/>
        <w:autoSpaceDN w:val="0"/>
        <w:adjustRightInd w:val="0"/>
        <w:spacing w:after="0"/>
        <w:rPr>
          <w:rFonts w:ascii="Arial" w:hAnsi="Arial" w:cs="Arial"/>
          <w:color w:val="000000"/>
        </w:rPr>
      </w:pPr>
    </w:p>
    <w:p w14:paraId="63EDC916" w14:textId="77777777" w:rsidR="00000E91" w:rsidRPr="00000E91" w:rsidRDefault="00000E91" w:rsidP="00000E91">
      <w:pPr>
        <w:autoSpaceDE w:val="0"/>
        <w:autoSpaceDN w:val="0"/>
        <w:adjustRightInd w:val="0"/>
        <w:spacing w:after="0"/>
        <w:rPr>
          <w:rFonts w:ascii="Arial" w:hAnsi="Arial" w:cs="Arial"/>
        </w:rPr>
      </w:pPr>
      <w:r w:rsidRPr="00000E91">
        <w:rPr>
          <w:rFonts w:ascii="Arial" w:hAnsi="Arial" w:cs="Arial"/>
        </w:rPr>
        <w:t xml:space="preserve">DYMISTA 125/50 is a novel formulation of </w:t>
      </w:r>
      <w:proofErr w:type="spellStart"/>
      <w:r w:rsidRPr="00000E91">
        <w:rPr>
          <w:rFonts w:ascii="Arial" w:hAnsi="Arial" w:cs="Arial"/>
        </w:rPr>
        <w:t>azelastine</w:t>
      </w:r>
      <w:proofErr w:type="spellEnd"/>
      <w:r w:rsidRPr="00000E91">
        <w:rPr>
          <w:rFonts w:ascii="Arial" w:hAnsi="Arial" w:cs="Arial"/>
        </w:rPr>
        <w:t xml:space="preserve"> hydrochloride and fluticasone propionate. Therefore, the mechanisms of actions described below for the individual components apply to DYMISTA 125/50. </w:t>
      </w:r>
    </w:p>
    <w:p w14:paraId="34483EFD" w14:textId="77777777" w:rsidR="00000E91" w:rsidRPr="00000E91" w:rsidRDefault="00000E91" w:rsidP="00000E91">
      <w:pPr>
        <w:autoSpaceDE w:val="0"/>
        <w:autoSpaceDN w:val="0"/>
        <w:adjustRightInd w:val="0"/>
        <w:spacing w:after="0"/>
      </w:pPr>
    </w:p>
    <w:p w14:paraId="52A53C43" w14:textId="77777777" w:rsidR="00000E91" w:rsidRPr="00000E91" w:rsidRDefault="00000E91" w:rsidP="00000E91">
      <w:pPr>
        <w:autoSpaceDE w:val="0"/>
        <w:autoSpaceDN w:val="0"/>
        <w:adjustRightInd w:val="0"/>
        <w:spacing w:after="0"/>
        <w:rPr>
          <w:rFonts w:ascii="Arial" w:hAnsi="Arial" w:cs="Arial"/>
          <w:color w:val="000000"/>
        </w:rPr>
      </w:pPr>
      <w:proofErr w:type="spellStart"/>
      <w:r w:rsidRPr="00000E91">
        <w:rPr>
          <w:rFonts w:ascii="Arial" w:hAnsi="Arial" w:cs="Arial"/>
          <w:color w:val="000000"/>
        </w:rPr>
        <w:t>Azelastine</w:t>
      </w:r>
      <w:proofErr w:type="spellEnd"/>
      <w:r w:rsidRPr="00000E91">
        <w:rPr>
          <w:rFonts w:ascii="Arial" w:hAnsi="Arial" w:cs="Arial"/>
          <w:color w:val="000000"/>
        </w:rPr>
        <w:t xml:space="preserve"> hydrochloride, a </w:t>
      </w:r>
      <w:proofErr w:type="spellStart"/>
      <w:r w:rsidRPr="00000E91">
        <w:rPr>
          <w:rFonts w:ascii="Arial" w:hAnsi="Arial" w:cs="Arial"/>
          <w:color w:val="000000"/>
        </w:rPr>
        <w:t>phthalazinone</w:t>
      </w:r>
      <w:proofErr w:type="spellEnd"/>
      <w:r w:rsidRPr="00000E91">
        <w:rPr>
          <w:rFonts w:ascii="Arial" w:hAnsi="Arial" w:cs="Arial"/>
          <w:color w:val="000000"/>
        </w:rPr>
        <w:t xml:space="preserve"> derivative, is classified as a potent long-acting anti-allergic compound with selective H</w:t>
      </w:r>
      <w:r w:rsidRPr="00000E91">
        <w:rPr>
          <w:rFonts w:ascii="Arial" w:hAnsi="Arial" w:cs="Arial"/>
          <w:color w:val="000000"/>
          <w:vertAlign w:val="subscript"/>
        </w:rPr>
        <w:t>1</w:t>
      </w:r>
      <w:r w:rsidRPr="00000E91">
        <w:rPr>
          <w:rFonts w:ascii="Arial" w:hAnsi="Arial" w:cs="Arial"/>
          <w:color w:val="000000"/>
        </w:rPr>
        <w:t>-antagonist, mast cell stabilizing and anti-inflammatory properties. Data from</w:t>
      </w:r>
      <w:r w:rsidRPr="00000E91">
        <w:rPr>
          <w:rFonts w:ascii="Arial" w:hAnsi="Arial" w:cs="Arial"/>
          <w:i/>
          <w:color w:val="000000"/>
        </w:rPr>
        <w:t xml:space="preserve"> in vivo</w:t>
      </w:r>
      <w:r w:rsidRPr="00000E91">
        <w:rPr>
          <w:rFonts w:ascii="Arial" w:hAnsi="Arial" w:cs="Arial"/>
          <w:color w:val="000000"/>
        </w:rPr>
        <w:t xml:space="preserve"> (preclinical) and </w:t>
      </w:r>
      <w:r w:rsidRPr="00000E91">
        <w:rPr>
          <w:rFonts w:ascii="Arial" w:hAnsi="Arial" w:cs="Arial"/>
          <w:i/>
          <w:color w:val="000000"/>
        </w:rPr>
        <w:t>in vitro</w:t>
      </w:r>
      <w:r w:rsidRPr="00000E91">
        <w:rPr>
          <w:rFonts w:ascii="Arial" w:hAnsi="Arial" w:cs="Arial"/>
          <w:color w:val="000000"/>
        </w:rPr>
        <w:t xml:space="preserve"> studies show that </w:t>
      </w:r>
      <w:proofErr w:type="spellStart"/>
      <w:r w:rsidRPr="00000E91">
        <w:rPr>
          <w:rFonts w:ascii="Arial" w:hAnsi="Arial" w:cs="Arial"/>
          <w:color w:val="000000"/>
        </w:rPr>
        <w:t>azelastine</w:t>
      </w:r>
      <w:proofErr w:type="spellEnd"/>
      <w:r w:rsidRPr="00000E91">
        <w:rPr>
          <w:rFonts w:ascii="Arial" w:hAnsi="Arial" w:cs="Arial"/>
          <w:color w:val="000000"/>
        </w:rPr>
        <w:t xml:space="preserve"> inhibits the synthesis or release of the chemical mediators known to be involved in early and late stage allergic reactions, e.g. </w:t>
      </w:r>
      <w:proofErr w:type="spellStart"/>
      <w:r w:rsidRPr="00000E91">
        <w:rPr>
          <w:rFonts w:ascii="Arial" w:hAnsi="Arial" w:cs="Arial"/>
          <w:color w:val="000000"/>
        </w:rPr>
        <w:t>leukotrienes</w:t>
      </w:r>
      <w:proofErr w:type="spellEnd"/>
      <w:r w:rsidRPr="00000E91">
        <w:rPr>
          <w:rFonts w:ascii="Arial" w:hAnsi="Arial" w:cs="Arial"/>
          <w:color w:val="000000"/>
        </w:rPr>
        <w:t xml:space="preserve">, histamine, platelet-activating factor (PAF) and serotonin. The major metabolite, </w:t>
      </w:r>
      <w:proofErr w:type="spellStart"/>
      <w:r w:rsidRPr="00000E91">
        <w:rPr>
          <w:rFonts w:ascii="Arial" w:hAnsi="Arial" w:cs="Arial"/>
          <w:color w:val="000000"/>
        </w:rPr>
        <w:t>desmethylazelastine</w:t>
      </w:r>
      <w:proofErr w:type="spellEnd"/>
      <w:r w:rsidRPr="00000E91">
        <w:rPr>
          <w:rFonts w:ascii="Arial" w:hAnsi="Arial" w:cs="Arial"/>
          <w:color w:val="000000"/>
        </w:rPr>
        <w:t>, also exhibits H</w:t>
      </w:r>
      <w:r w:rsidRPr="00000E91">
        <w:rPr>
          <w:rFonts w:ascii="Arial" w:hAnsi="Arial" w:cs="Arial"/>
          <w:color w:val="000000"/>
          <w:vertAlign w:val="subscript"/>
        </w:rPr>
        <w:t>1</w:t>
      </w:r>
      <w:r w:rsidRPr="00000E91">
        <w:rPr>
          <w:rFonts w:ascii="Arial" w:hAnsi="Arial" w:cs="Arial"/>
          <w:color w:val="000000"/>
        </w:rPr>
        <w:t xml:space="preserve"> – receptor antagonist activity. DYMISTA 125/50 is administered as a racemic mixture.  The </w:t>
      </w:r>
      <w:proofErr w:type="spellStart"/>
      <w:r w:rsidRPr="00000E91">
        <w:rPr>
          <w:rFonts w:ascii="Arial" w:hAnsi="Arial" w:cs="Arial"/>
          <w:color w:val="000000"/>
        </w:rPr>
        <w:t>racemate</w:t>
      </w:r>
      <w:proofErr w:type="spellEnd"/>
      <w:r w:rsidRPr="00000E91">
        <w:rPr>
          <w:rFonts w:ascii="Arial" w:hAnsi="Arial" w:cs="Arial"/>
          <w:color w:val="000000"/>
        </w:rPr>
        <w:t>, R- and S- enantiomers were equally potent at inhibiting eyelid histamine-induced oedema in rats, however the R-enantiomer was 2-fold less active at inhibiting eyeball histamine-induced oedema.</w:t>
      </w:r>
    </w:p>
    <w:p w14:paraId="2805B3B4" w14:textId="77777777" w:rsidR="00000E91" w:rsidRPr="00000E91" w:rsidRDefault="00000E91" w:rsidP="00000E91">
      <w:pPr>
        <w:autoSpaceDE w:val="0"/>
        <w:autoSpaceDN w:val="0"/>
        <w:adjustRightInd w:val="0"/>
        <w:spacing w:after="0"/>
        <w:rPr>
          <w:rFonts w:ascii="Arial" w:hAnsi="Arial" w:cs="Arial"/>
          <w:color w:val="000000"/>
        </w:rPr>
      </w:pPr>
    </w:p>
    <w:p w14:paraId="7DCBC04D" w14:textId="77777777" w:rsidR="00000E91" w:rsidRPr="00000E91" w:rsidRDefault="00000E91" w:rsidP="00000E91">
      <w:pPr>
        <w:autoSpaceDE w:val="0"/>
        <w:autoSpaceDN w:val="0"/>
        <w:adjustRightInd w:val="0"/>
        <w:spacing w:after="0"/>
        <w:rPr>
          <w:rFonts w:ascii="Arial" w:hAnsi="Arial" w:cs="Arial"/>
          <w:color w:val="000000"/>
        </w:rPr>
      </w:pPr>
      <w:proofErr w:type="spellStart"/>
      <w:r w:rsidRPr="00000E91">
        <w:rPr>
          <w:rFonts w:ascii="Arial" w:hAnsi="Arial" w:cs="Arial"/>
          <w:color w:val="000000"/>
        </w:rPr>
        <w:lastRenderedPageBreak/>
        <w:t>Azelastine</w:t>
      </w:r>
      <w:proofErr w:type="spellEnd"/>
      <w:r w:rsidRPr="00000E91">
        <w:rPr>
          <w:rFonts w:ascii="Arial" w:hAnsi="Arial" w:cs="Arial"/>
          <w:color w:val="000000"/>
        </w:rPr>
        <w:t xml:space="preserve"> nasal spray has a faster onset of action than orally administered antihistamines and nasally administered corticosteroids. A relief of nasal allergic symptoms is observed within 15 minutes after administration.</w:t>
      </w:r>
    </w:p>
    <w:p w14:paraId="0C9D47DB" w14:textId="77777777" w:rsidR="00000E91" w:rsidRPr="00000E91" w:rsidRDefault="00000E91" w:rsidP="00000E91">
      <w:pPr>
        <w:autoSpaceDE w:val="0"/>
        <w:autoSpaceDN w:val="0"/>
        <w:adjustRightInd w:val="0"/>
        <w:spacing w:after="0"/>
        <w:rPr>
          <w:rFonts w:ascii="Arial" w:hAnsi="Arial" w:cs="Arial"/>
          <w:b/>
          <w:bCs/>
          <w:color w:val="000000"/>
        </w:rPr>
      </w:pPr>
    </w:p>
    <w:p w14:paraId="08DA5608" w14:textId="77777777" w:rsidR="00000E91" w:rsidRPr="00000E91" w:rsidDel="00835FDC" w:rsidRDefault="00000E91" w:rsidP="00000E91">
      <w:pPr>
        <w:autoSpaceDE w:val="0"/>
        <w:autoSpaceDN w:val="0"/>
        <w:adjustRightInd w:val="0"/>
        <w:spacing w:after="0"/>
        <w:rPr>
          <w:rFonts w:ascii="Arial" w:hAnsi="Arial" w:cs="Arial"/>
          <w:color w:val="000000"/>
        </w:rPr>
      </w:pPr>
      <w:r w:rsidRPr="00000E91" w:rsidDel="00835FDC">
        <w:rPr>
          <w:rFonts w:ascii="Arial" w:hAnsi="Arial" w:cs="Arial"/>
          <w:color w:val="000000"/>
        </w:rPr>
        <w:t>Fluticasone propionate has potent anti-inflammatory activity but when used topically on the nasal mucosa at recommended doses has little or no detectable systemic activity.</w:t>
      </w:r>
    </w:p>
    <w:p w14:paraId="3B233099" w14:textId="77777777" w:rsidR="00000E91" w:rsidRPr="00000E91" w:rsidDel="00835FDC" w:rsidRDefault="00000E91" w:rsidP="00000E91">
      <w:pPr>
        <w:autoSpaceDE w:val="0"/>
        <w:autoSpaceDN w:val="0"/>
        <w:adjustRightInd w:val="0"/>
        <w:spacing w:after="0"/>
        <w:rPr>
          <w:rFonts w:ascii="Arial" w:hAnsi="Arial" w:cs="Arial"/>
          <w:b/>
          <w:bCs/>
          <w:color w:val="000000"/>
        </w:rPr>
      </w:pPr>
    </w:p>
    <w:p w14:paraId="500C2031"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Pharmacokinetics</w:t>
      </w:r>
    </w:p>
    <w:p w14:paraId="7C3BE3FE" w14:textId="77777777" w:rsidR="00000E91" w:rsidRPr="00000E91" w:rsidRDefault="00000E91" w:rsidP="00000E91">
      <w:pPr>
        <w:spacing w:after="0"/>
        <w:rPr>
          <w:rFonts w:ascii="Arial" w:hAnsi="Arial" w:cs="Arial"/>
          <w:b/>
          <w:bCs/>
        </w:rPr>
      </w:pPr>
      <w:r w:rsidRPr="00000E91">
        <w:rPr>
          <w:rFonts w:ascii="Arial" w:hAnsi="Arial" w:cs="Arial"/>
        </w:rPr>
        <w:t xml:space="preserve">Two pharmacokinetic studies demonstrated that simultaneous intranasal administration of </w:t>
      </w:r>
      <w:proofErr w:type="spellStart"/>
      <w:r w:rsidRPr="00000E91">
        <w:rPr>
          <w:rFonts w:ascii="Arial" w:hAnsi="Arial" w:cs="Arial"/>
        </w:rPr>
        <w:t>azelastine</w:t>
      </w:r>
      <w:proofErr w:type="spellEnd"/>
      <w:r w:rsidRPr="00000E91">
        <w:rPr>
          <w:rFonts w:ascii="Arial" w:hAnsi="Arial" w:cs="Arial"/>
        </w:rPr>
        <w:t xml:space="preserve"> hydrochloride and fluticasone propionate with DYMISTA 125/50 does not result in altered systemic absorption of either agent.</w:t>
      </w:r>
      <w:r w:rsidRPr="00000E91">
        <w:rPr>
          <w:rFonts w:ascii="Arial" w:hAnsi="Arial" w:cs="Arial"/>
          <w:b/>
          <w:bCs/>
        </w:rPr>
        <w:t xml:space="preserve"> </w:t>
      </w:r>
    </w:p>
    <w:p w14:paraId="20A69291" w14:textId="77777777" w:rsidR="00000E91" w:rsidRPr="00000E91" w:rsidRDefault="00000E91" w:rsidP="00000E91">
      <w:pPr>
        <w:spacing w:after="0"/>
        <w:rPr>
          <w:rFonts w:ascii="Arial" w:hAnsi="Arial" w:cs="Arial"/>
          <w:b/>
          <w:bCs/>
        </w:rPr>
      </w:pPr>
    </w:p>
    <w:p w14:paraId="315191EE" w14:textId="77777777" w:rsidR="00000E91" w:rsidRPr="00000E91" w:rsidRDefault="00000E91" w:rsidP="00000E91">
      <w:pPr>
        <w:spacing w:after="0"/>
        <w:rPr>
          <w:rFonts w:ascii="Arial" w:hAnsi="Arial" w:cs="Arial"/>
          <w:b/>
          <w:bCs/>
        </w:rPr>
      </w:pPr>
      <w:r w:rsidRPr="00000E91">
        <w:rPr>
          <w:rFonts w:ascii="Arial" w:hAnsi="Arial" w:cs="Arial"/>
          <w:b/>
          <w:bCs/>
        </w:rPr>
        <w:t>Absorption</w:t>
      </w:r>
    </w:p>
    <w:p w14:paraId="2158155B" w14:textId="77777777" w:rsidR="00000E91" w:rsidRPr="00000E91" w:rsidRDefault="00000E91" w:rsidP="00000E91">
      <w:pPr>
        <w:spacing w:after="0"/>
        <w:rPr>
          <w:rFonts w:ascii="Arial" w:hAnsi="Arial" w:cs="Arial"/>
        </w:rPr>
      </w:pPr>
      <w:r w:rsidRPr="00000E91">
        <w:rPr>
          <w:rFonts w:ascii="Arial" w:hAnsi="Arial" w:cs="Arial"/>
        </w:rPr>
        <w:t xml:space="preserve">After intranasal administration of two sprays per nostril (500 µg of </w:t>
      </w:r>
      <w:proofErr w:type="spellStart"/>
      <w:r w:rsidRPr="00000E91">
        <w:rPr>
          <w:rFonts w:ascii="Arial" w:hAnsi="Arial" w:cs="Arial"/>
        </w:rPr>
        <w:t>azelastine</w:t>
      </w:r>
      <w:proofErr w:type="spellEnd"/>
      <w:r w:rsidRPr="00000E91">
        <w:rPr>
          <w:rFonts w:ascii="Arial" w:hAnsi="Arial" w:cs="Arial"/>
        </w:rPr>
        <w:t xml:space="preserve"> and 200 µg of fluticasone propionate) of DYMISTA 125/50 nasal spray, the mean (± standard deviation) peak plasma exposure (</w:t>
      </w:r>
      <w:proofErr w:type="spellStart"/>
      <w:r w:rsidRPr="00000E91">
        <w:rPr>
          <w:rFonts w:ascii="Arial" w:hAnsi="Arial" w:cs="Arial"/>
        </w:rPr>
        <w:t>Cmax</w:t>
      </w:r>
      <w:proofErr w:type="spellEnd"/>
      <w:r w:rsidRPr="00000E91">
        <w:rPr>
          <w:rFonts w:ascii="Arial" w:hAnsi="Arial" w:cs="Arial"/>
        </w:rPr>
        <w:t xml:space="preserve">) was 194.5 ± 74.4 </w:t>
      </w:r>
      <w:proofErr w:type="spellStart"/>
      <w:r w:rsidRPr="00000E91">
        <w:rPr>
          <w:rFonts w:ascii="Arial" w:hAnsi="Arial" w:cs="Arial"/>
        </w:rPr>
        <w:t>pg</w:t>
      </w:r>
      <w:proofErr w:type="spellEnd"/>
      <w:r w:rsidRPr="00000E91">
        <w:rPr>
          <w:rFonts w:ascii="Arial" w:hAnsi="Arial" w:cs="Arial"/>
        </w:rPr>
        <w:t xml:space="preserve">/mL for </w:t>
      </w:r>
      <w:proofErr w:type="spellStart"/>
      <w:r w:rsidRPr="00000E91">
        <w:rPr>
          <w:rFonts w:ascii="Arial" w:hAnsi="Arial" w:cs="Arial"/>
        </w:rPr>
        <w:t>azelastine</w:t>
      </w:r>
      <w:proofErr w:type="spellEnd"/>
      <w:r w:rsidRPr="00000E91">
        <w:rPr>
          <w:rFonts w:ascii="Arial" w:hAnsi="Arial" w:cs="Arial"/>
        </w:rPr>
        <w:t xml:space="preserve"> and 10.3±3.9 </w:t>
      </w:r>
      <w:proofErr w:type="spellStart"/>
      <w:r w:rsidRPr="00000E91">
        <w:rPr>
          <w:rFonts w:ascii="Arial" w:hAnsi="Arial" w:cs="Arial"/>
        </w:rPr>
        <w:t>pg</w:t>
      </w:r>
      <w:proofErr w:type="spellEnd"/>
      <w:r w:rsidRPr="00000E91">
        <w:rPr>
          <w:rFonts w:ascii="Arial" w:hAnsi="Arial" w:cs="Arial"/>
        </w:rPr>
        <w:t xml:space="preserve">/mL for fluticasone and the mean total exposure (AUC) was 4217 ± 2618 </w:t>
      </w:r>
      <w:proofErr w:type="spellStart"/>
      <w:r w:rsidRPr="00000E91">
        <w:rPr>
          <w:rFonts w:ascii="Arial" w:hAnsi="Arial" w:cs="Arial"/>
        </w:rPr>
        <w:t>pg</w:t>
      </w:r>
      <w:proofErr w:type="spellEnd"/>
      <w:r w:rsidRPr="00000E91">
        <w:rPr>
          <w:rFonts w:ascii="Arial" w:hAnsi="Arial" w:cs="Arial"/>
        </w:rPr>
        <w:t>/mL*</w:t>
      </w:r>
      <w:proofErr w:type="spellStart"/>
      <w:r w:rsidRPr="00000E91">
        <w:rPr>
          <w:rFonts w:ascii="Arial" w:hAnsi="Arial" w:cs="Arial"/>
        </w:rPr>
        <w:t>hr</w:t>
      </w:r>
      <w:proofErr w:type="spellEnd"/>
      <w:r w:rsidRPr="00000E91">
        <w:rPr>
          <w:rFonts w:ascii="Arial" w:hAnsi="Arial" w:cs="Arial"/>
        </w:rPr>
        <w:t xml:space="preserve"> for </w:t>
      </w:r>
      <w:proofErr w:type="spellStart"/>
      <w:r w:rsidRPr="00000E91">
        <w:rPr>
          <w:rFonts w:ascii="Arial" w:hAnsi="Arial" w:cs="Arial"/>
        </w:rPr>
        <w:t>azelastine</w:t>
      </w:r>
      <w:proofErr w:type="spellEnd"/>
      <w:r w:rsidRPr="00000E91">
        <w:rPr>
          <w:rFonts w:ascii="Arial" w:hAnsi="Arial" w:cs="Arial"/>
        </w:rPr>
        <w:t xml:space="preserve"> and 97.7 ± 43.1 </w:t>
      </w:r>
      <w:proofErr w:type="spellStart"/>
      <w:r w:rsidRPr="00000E91">
        <w:rPr>
          <w:rFonts w:ascii="Arial" w:hAnsi="Arial" w:cs="Arial"/>
        </w:rPr>
        <w:t>pg</w:t>
      </w:r>
      <w:proofErr w:type="spellEnd"/>
      <w:r w:rsidRPr="00000E91">
        <w:rPr>
          <w:rFonts w:ascii="Arial" w:hAnsi="Arial" w:cs="Arial"/>
        </w:rPr>
        <w:t>/mL*</w:t>
      </w:r>
      <w:proofErr w:type="spellStart"/>
      <w:r w:rsidRPr="00000E91">
        <w:rPr>
          <w:rFonts w:ascii="Arial" w:hAnsi="Arial" w:cs="Arial"/>
        </w:rPr>
        <w:t>hr</w:t>
      </w:r>
      <w:proofErr w:type="spellEnd"/>
      <w:r w:rsidRPr="00000E91">
        <w:rPr>
          <w:rFonts w:ascii="Arial" w:hAnsi="Arial" w:cs="Arial"/>
        </w:rPr>
        <w:t xml:space="preserve"> for fluticasone. The median time to peak exposure (</w:t>
      </w:r>
      <w:proofErr w:type="spellStart"/>
      <w:r w:rsidRPr="00000E91">
        <w:rPr>
          <w:rFonts w:ascii="Arial" w:hAnsi="Arial" w:cs="Arial"/>
        </w:rPr>
        <w:t>tmax</w:t>
      </w:r>
      <w:proofErr w:type="spellEnd"/>
      <w:r w:rsidRPr="00000E91">
        <w:rPr>
          <w:rFonts w:ascii="Arial" w:hAnsi="Arial" w:cs="Arial"/>
        </w:rPr>
        <w:t xml:space="preserve">) from a single dose was 0.5 hours for </w:t>
      </w:r>
      <w:proofErr w:type="spellStart"/>
      <w:r w:rsidRPr="00000E91">
        <w:rPr>
          <w:rFonts w:ascii="Arial" w:hAnsi="Arial" w:cs="Arial"/>
        </w:rPr>
        <w:t>azelastine</w:t>
      </w:r>
      <w:proofErr w:type="spellEnd"/>
      <w:r w:rsidRPr="00000E91">
        <w:rPr>
          <w:rFonts w:ascii="Arial" w:hAnsi="Arial" w:cs="Arial"/>
        </w:rPr>
        <w:t xml:space="preserve"> and 1.0 hours for fluticasone.</w:t>
      </w:r>
    </w:p>
    <w:p w14:paraId="4B37F8E2" w14:textId="77777777" w:rsidR="00000E91" w:rsidRPr="00000E91" w:rsidRDefault="00000E91" w:rsidP="00000E91">
      <w:pPr>
        <w:spacing w:after="0"/>
        <w:rPr>
          <w:rFonts w:ascii="Arial" w:hAnsi="Arial" w:cs="Arial"/>
        </w:rPr>
      </w:pPr>
      <w:r w:rsidRPr="00000E91">
        <w:rPr>
          <w:rFonts w:ascii="Arial" w:hAnsi="Arial" w:cs="Arial"/>
        </w:rPr>
        <w:t xml:space="preserve">After intranasal administration, the systemic bioavailability of </w:t>
      </w:r>
      <w:proofErr w:type="spellStart"/>
      <w:r w:rsidRPr="00000E91">
        <w:rPr>
          <w:rFonts w:ascii="Arial" w:hAnsi="Arial" w:cs="Arial"/>
        </w:rPr>
        <w:t>azelastine</w:t>
      </w:r>
      <w:proofErr w:type="spellEnd"/>
      <w:r w:rsidRPr="00000E91">
        <w:rPr>
          <w:rFonts w:ascii="Arial" w:hAnsi="Arial" w:cs="Arial"/>
        </w:rPr>
        <w:t xml:space="preserve"> hydrochloride is approximately 40%.  The absolute bioavailability of intranasal fluticasone at high doses (2,400 </w:t>
      </w:r>
      <w:proofErr w:type="spellStart"/>
      <w:r w:rsidRPr="00000E91">
        <w:rPr>
          <w:rFonts w:ascii="Arial" w:hAnsi="Arial" w:cs="Arial"/>
        </w:rPr>
        <w:t>μg</w:t>
      </w:r>
      <w:proofErr w:type="spellEnd"/>
      <w:r w:rsidRPr="00000E91">
        <w:rPr>
          <w:rFonts w:ascii="Arial" w:hAnsi="Arial" w:cs="Arial"/>
        </w:rPr>
        <w:t xml:space="preserve">/day i.e. 12 times the recommended dose) is estimated as 1.26% (90% CI 0.85, 1.86). </w:t>
      </w:r>
    </w:p>
    <w:p w14:paraId="3D53D21D" w14:textId="77777777" w:rsidR="00000E91" w:rsidRPr="00000E91" w:rsidRDefault="00000E91" w:rsidP="00000E91">
      <w:pPr>
        <w:spacing w:after="0"/>
        <w:rPr>
          <w:rFonts w:ascii="Arial" w:hAnsi="Arial" w:cs="Arial"/>
          <w:b/>
          <w:bCs/>
        </w:rPr>
      </w:pPr>
    </w:p>
    <w:p w14:paraId="53B07E79" w14:textId="77777777" w:rsidR="00000E91" w:rsidRPr="00000E91" w:rsidRDefault="00000E91" w:rsidP="00000E91">
      <w:pPr>
        <w:spacing w:after="0"/>
        <w:rPr>
          <w:rFonts w:ascii="Arial" w:hAnsi="Arial" w:cs="Arial"/>
          <w:b/>
          <w:bCs/>
        </w:rPr>
      </w:pPr>
      <w:r w:rsidRPr="00000E91">
        <w:rPr>
          <w:rFonts w:ascii="Arial" w:hAnsi="Arial" w:cs="Arial"/>
          <w:b/>
          <w:bCs/>
        </w:rPr>
        <w:t>Distribution</w:t>
      </w:r>
    </w:p>
    <w:p w14:paraId="34F0BCED" w14:textId="77777777" w:rsidR="00000E91" w:rsidRPr="00000E91" w:rsidRDefault="00000E91" w:rsidP="00000E91">
      <w:pPr>
        <w:spacing w:after="0"/>
        <w:rPr>
          <w:rFonts w:ascii="Arial" w:hAnsi="Arial" w:cs="Arial"/>
        </w:rPr>
      </w:pPr>
      <w:r w:rsidRPr="00000E91">
        <w:rPr>
          <w:rFonts w:ascii="Arial" w:hAnsi="Arial" w:cs="Arial"/>
        </w:rPr>
        <w:t xml:space="preserve">After oral and intravenous administration of </w:t>
      </w:r>
      <w:proofErr w:type="spellStart"/>
      <w:r w:rsidRPr="00000E91">
        <w:rPr>
          <w:rFonts w:ascii="Arial" w:hAnsi="Arial" w:cs="Arial"/>
        </w:rPr>
        <w:t>azelastine</w:t>
      </w:r>
      <w:proofErr w:type="spellEnd"/>
      <w:r w:rsidRPr="00000E91">
        <w:rPr>
          <w:rFonts w:ascii="Arial" w:hAnsi="Arial" w:cs="Arial"/>
        </w:rPr>
        <w:t xml:space="preserve">, the mean volume of distribution was 14.5 L/kg. </w:t>
      </w:r>
      <w:r w:rsidRPr="00000E91">
        <w:rPr>
          <w:rFonts w:ascii="Arial" w:hAnsi="Arial" w:cs="Arial"/>
          <w:i/>
        </w:rPr>
        <w:t>In vitro</w:t>
      </w:r>
      <w:r w:rsidRPr="00000E91">
        <w:rPr>
          <w:rFonts w:ascii="Arial" w:hAnsi="Arial" w:cs="Arial"/>
        </w:rPr>
        <w:t xml:space="preserve"> studies with human plasma indicate that the plasma protein binding of </w:t>
      </w:r>
      <w:proofErr w:type="spellStart"/>
      <w:r w:rsidRPr="00000E91">
        <w:rPr>
          <w:rFonts w:ascii="Arial" w:hAnsi="Arial" w:cs="Arial"/>
        </w:rPr>
        <w:t>azelastine</w:t>
      </w:r>
      <w:proofErr w:type="spellEnd"/>
      <w:r w:rsidRPr="00000E91">
        <w:rPr>
          <w:rFonts w:ascii="Arial" w:hAnsi="Arial" w:cs="Arial"/>
        </w:rPr>
        <w:t xml:space="preserve"> and </w:t>
      </w:r>
      <w:proofErr w:type="spellStart"/>
      <w:r w:rsidRPr="00000E91">
        <w:rPr>
          <w:rFonts w:ascii="Arial" w:hAnsi="Arial" w:cs="Arial"/>
        </w:rPr>
        <w:t>desmethylazelastine</w:t>
      </w:r>
      <w:proofErr w:type="spellEnd"/>
      <w:r w:rsidRPr="00000E91">
        <w:rPr>
          <w:rFonts w:ascii="Arial" w:hAnsi="Arial" w:cs="Arial"/>
        </w:rPr>
        <w:t xml:space="preserve"> are approximately 88% and 97%, respectively. </w:t>
      </w:r>
    </w:p>
    <w:p w14:paraId="128CA931" w14:textId="77777777" w:rsidR="00000E91" w:rsidRPr="00000E91" w:rsidRDefault="00000E91" w:rsidP="00000E91">
      <w:pPr>
        <w:spacing w:after="0"/>
        <w:rPr>
          <w:rFonts w:ascii="Arial" w:hAnsi="Arial" w:cs="Arial"/>
        </w:rPr>
      </w:pPr>
    </w:p>
    <w:p w14:paraId="39436F27" w14:textId="77777777" w:rsidR="00000E91" w:rsidRPr="00000E91" w:rsidRDefault="00000E91" w:rsidP="00000E91">
      <w:pPr>
        <w:spacing w:after="0"/>
        <w:rPr>
          <w:rFonts w:ascii="Arial" w:hAnsi="Arial" w:cs="Arial"/>
        </w:rPr>
      </w:pPr>
      <w:r w:rsidRPr="00000E91">
        <w:rPr>
          <w:rFonts w:ascii="Arial" w:hAnsi="Arial" w:cs="Arial"/>
        </w:rPr>
        <w:t>Fluticasone propionate has a large volume of distribution at steady-state (approximately 318 L). Plasma protein binding is 91%.</w:t>
      </w:r>
    </w:p>
    <w:p w14:paraId="6B0C0767" w14:textId="77777777" w:rsidR="00000E91" w:rsidRPr="00000E91" w:rsidRDefault="00000E91" w:rsidP="00000E91">
      <w:pPr>
        <w:spacing w:after="0"/>
        <w:rPr>
          <w:rFonts w:ascii="Arial" w:hAnsi="Arial" w:cs="Arial"/>
        </w:rPr>
      </w:pPr>
    </w:p>
    <w:p w14:paraId="4784EB43" w14:textId="77777777" w:rsidR="00000E91" w:rsidRPr="00000E91" w:rsidRDefault="00000E91" w:rsidP="00000E91">
      <w:pPr>
        <w:spacing w:after="0"/>
        <w:rPr>
          <w:rFonts w:ascii="Arial" w:hAnsi="Arial" w:cs="Arial"/>
          <w:b/>
          <w:bCs/>
        </w:rPr>
      </w:pPr>
      <w:r w:rsidRPr="00000E91">
        <w:rPr>
          <w:rFonts w:ascii="Arial" w:hAnsi="Arial" w:cs="Arial"/>
          <w:b/>
          <w:bCs/>
        </w:rPr>
        <w:t>Metabolism</w:t>
      </w:r>
    </w:p>
    <w:p w14:paraId="514231F2" w14:textId="77777777" w:rsidR="00000E91" w:rsidRPr="00000E91" w:rsidRDefault="00000E91" w:rsidP="00000E91">
      <w:pPr>
        <w:spacing w:after="0"/>
        <w:rPr>
          <w:rFonts w:ascii="Arial" w:hAnsi="Arial" w:cs="Arial"/>
        </w:rPr>
      </w:pPr>
      <w:proofErr w:type="spellStart"/>
      <w:r w:rsidRPr="00000E91">
        <w:rPr>
          <w:rFonts w:ascii="Arial" w:hAnsi="Arial" w:cs="Arial"/>
        </w:rPr>
        <w:t>Azelastine</w:t>
      </w:r>
      <w:proofErr w:type="spellEnd"/>
      <w:r w:rsidRPr="00000E91">
        <w:rPr>
          <w:rFonts w:ascii="Arial" w:hAnsi="Arial" w:cs="Arial"/>
        </w:rPr>
        <w:t xml:space="preserve"> is extensively metabolised, </w:t>
      </w:r>
      <w:proofErr w:type="spellStart"/>
      <w:r w:rsidRPr="00000E91">
        <w:rPr>
          <w:rFonts w:ascii="Arial" w:hAnsi="Arial" w:cs="Arial"/>
        </w:rPr>
        <w:t>desmethylazelastine</w:t>
      </w:r>
      <w:proofErr w:type="spellEnd"/>
      <w:r w:rsidRPr="00000E91">
        <w:rPr>
          <w:rFonts w:ascii="Arial" w:hAnsi="Arial" w:cs="Arial"/>
        </w:rPr>
        <w:t xml:space="preserve"> being the principal metabolite. No specific isoform of cytochrome P450 was found to be specific in the metabolism of </w:t>
      </w:r>
      <w:proofErr w:type="spellStart"/>
      <w:r w:rsidRPr="00000E91">
        <w:rPr>
          <w:rFonts w:ascii="Arial" w:hAnsi="Arial" w:cs="Arial"/>
        </w:rPr>
        <w:t>azelastine</w:t>
      </w:r>
      <w:proofErr w:type="spellEnd"/>
      <w:r w:rsidRPr="00000E91">
        <w:rPr>
          <w:rFonts w:ascii="Arial" w:hAnsi="Arial" w:cs="Arial"/>
        </w:rPr>
        <w:t xml:space="preserve"> at low concentrations (6 - 30 ng/mL) in human liver </w:t>
      </w:r>
      <w:proofErr w:type="spellStart"/>
      <w:r w:rsidRPr="00000E91">
        <w:rPr>
          <w:rFonts w:ascii="Arial" w:hAnsi="Arial" w:cs="Arial"/>
        </w:rPr>
        <w:t>microsomes</w:t>
      </w:r>
      <w:proofErr w:type="spellEnd"/>
      <w:r w:rsidRPr="00000E91">
        <w:rPr>
          <w:rFonts w:ascii="Arial" w:hAnsi="Arial" w:cs="Arial"/>
        </w:rPr>
        <w:t xml:space="preserve">. </w:t>
      </w:r>
    </w:p>
    <w:p w14:paraId="7382EB20" w14:textId="77777777" w:rsidR="00000E91" w:rsidRPr="00000E91" w:rsidRDefault="00000E91" w:rsidP="00000E91">
      <w:pPr>
        <w:spacing w:after="0"/>
        <w:rPr>
          <w:rFonts w:ascii="Arial" w:hAnsi="Arial" w:cs="Arial"/>
        </w:rPr>
      </w:pPr>
    </w:p>
    <w:p w14:paraId="00831F25" w14:textId="77777777" w:rsidR="00000E91" w:rsidRPr="00000E91" w:rsidRDefault="00000E91" w:rsidP="00000E91">
      <w:pPr>
        <w:spacing w:after="0"/>
        <w:rPr>
          <w:rFonts w:ascii="Arial" w:hAnsi="Arial" w:cs="Arial"/>
        </w:rPr>
      </w:pPr>
      <w:r w:rsidRPr="00000E91">
        <w:rPr>
          <w:rFonts w:ascii="Arial" w:hAnsi="Arial" w:cs="Arial"/>
        </w:rPr>
        <w:t xml:space="preserve">Fluticasone propionate is cleared rapidly from the systemic circulation, principally by hepatic metabolism to an inactive carboxylic acid metabolite, by the cytochrome P450 enzyme CYP3A4. Swallowed fluticasone propionate is also subject to extensive first pass metabolism. Care should be taken when co-administering potent CYP3A4 inhibitors such as ketoconazole and ritonavir as there is potential for increased systemic exposure to fluticasone propionate (see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of Cytochrome P450 3A4 Inhibitors</w:t>
      </w:r>
      <w:r w:rsidRPr="00000E91">
        <w:rPr>
          <w:rFonts w:ascii="Arial" w:hAnsi="Arial" w:cs="Arial"/>
        </w:rPr>
        <w:t xml:space="preserve">) and </w:t>
      </w:r>
      <w:r w:rsidRPr="00000E91">
        <w:rPr>
          <w:rFonts w:ascii="Arial" w:hAnsi="Arial" w:cs="Arial"/>
          <w:b/>
          <w:bCs/>
        </w:rPr>
        <w:t>INTERACTIONS WITH OTHER MEDICINES</w:t>
      </w:r>
      <w:r w:rsidRPr="00000E91">
        <w:rPr>
          <w:rFonts w:ascii="Arial" w:hAnsi="Arial" w:cs="Arial"/>
        </w:rPr>
        <w:t>).</w:t>
      </w:r>
    </w:p>
    <w:p w14:paraId="414E6CF0" w14:textId="77777777" w:rsidR="00000E91" w:rsidRPr="00000E91" w:rsidRDefault="00000E91" w:rsidP="00000E91">
      <w:pPr>
        <w:spacing w:after="0"/>
        <w:rPr>
          <w:rFonts w:ascii="Arial" w:hAnsi="Arial" w:cs="Arial"/>
        </w:rPr>
      </w:pPr>
    </w:p>
    <w:p w14:paraId="78B60A41" w14:textId="77777777" w:rsidR="00000E91" w:rsidRPr="00000E91" w:rsidRDefault="00000E91" w:rsidP="00000E91">
      <w:pPr>
        <w:spacing w:after="0"/>
        <w:rPr>
          <w:rFonts w:ascii="Arial" w:hAnsi="Arial" w:cs="Arial"/>
          <w:b/>
          <w:bCs/>
        </w:rPr>
      </w:pPr>
      <w:r w:rsidRPr="00000E91">
        <w:rPr>
          <w:rFonts w:ascii="Arial" w:hAnsi="Arial" w:cs="Arial"/>
          <w:b/>
          <w:bCs/>
        </w:rPr>
        <w:lastRenderedPageBreak/>
        <w:t>Elimination</w:t>
      </w:r>
    </w:p>
    <w:p w14:paraId="7AB44776" w14:textId="77777777" w:rsidR="00000E91" w:rsidRPr="00000E91" w:rsidRDefault="00000E91" w:rsidP="00000E91">
      <w:pPr>
        <w:spacing w:after="0"/>
        <w:rPr>
          <w:rFonts w:ascii="Arial" w:hAnsi="Arial" w:cs="Arial"/>
        </w:rPr>
      </w:pPr>
      <w:r w:rsidRPr="00000E91">
        <w:rPr>
          <w:rFonts w:ascii="Arial" w:hAnsi="Arial" w:cs="Arial"/>
        </w:rPr>
        <w:t xml:space="preserve">Plasma elimination half-lives after a single dose of </w:t>
      </w:r>
      <w:proofErr w:type="spellStart"/>
      <w:r w:rsidRPr="00000E91">
        <w:rPr>
          <w:rFonts w:ascii="Arial" w:hAnsi="Arial" w:cs="Arial"/>
        </w:rPr>
        <w:t>azelastine</w:t>
      </w:r>
      <w:proofErr w:type="spellEnd"/>
      <w:r w:rsidRPr="00000E91">
        <w:rPr>
          <w:rFonts w:ascii="Arial" w:hAnsi="Arial" w:cs="Arial"/>
        </w:rPr>
        <w:t xml:space="preserve"> are 22 hours for </w:t>
      </w:r>
      <w:proofErr w:type="spellStart"/>
      <w:r w:rsidRPr="00000E91">
        <w:rPr>
          <w:rFonts w:ascii="Arial" w:hAnsi="Arial" w:cs="Arial"/>
        </w:rPr>
        <w:t>azelastine</w:t>
      </w:r>
      <w:proofErr w:type="spellEnd"/>
      <w:r w:rsidRPr="00000E91">
        <w:rPr>
          <w:rFonts w:ascii="Arial" w:hAnsi="Arial" w:cs="Arial"/>
        </w:rPr>
        <w:t xml:space="preserve"> and 56 hours for the therapeutically active metabolite N-</w:t>
      </w:r>
      <w:proofErr w:type="spellStart"/>
      <w:r w:rsidRPr="00000E91">
        <w:rPr>
          <w:rFonts w:ascii="Arial" w:hAnsi="Arial" w:cs="Arial"/>
        </w:rPr>
        <w:t>desmethyl</w:t>
      </w:r>
      <w:proofErr w:type="spellEnd"/>
      <w:r w:rsidRPr="00000E91">
        <w:rPr>
          <w:rFonts w:ascii="Arial" w:hAnsi="Arial" w:cs="Arial"/>
        </w:rPr>
        <w:t xml:space="preserve"> </w:t>
      </w:r>
      <w:proofErr w:type="spellStart"/>
      <w:r w:rsidRPr="00000E91">
        <w:rPr>
          <w:rFonts w:ascii="Arial" w:hAnsi="Arial" w:cs="Arial"/>
        </w:rPr>
        <w:t>azelastine</w:t>
      </w:r>
      <w:proofErr w:type="spellEnd"/>
      <w:r w:rsidRPr="00000E91">
        <w:rPr>
          <w:rFonts w:ascii="Arial" w:hAnsi="Arial" w:cs="Arial"/>
        </w:rPr>
        <w:t xml:space="preserve">. Up to 74% of radiolabelled oral or intravenous dose is excreted in faeces and 26% in urine.  Thirteen percent is excreted in urine as unchanged </w:t>
      </w:r>
      <w:proofErr w:type="spellStart"/>
      <w:r w:rsidRPr="00000E91">
        <w:rPr>
          <w:rFonts w:ascii="Arial" w:hAnsi="Arial" w:cs="Arial"/>
        </w:rPr>
        <w:t>azelastine</w:t>
      </w:r>
      <w:proofErr w:type="spellEnd"/>
      <w:r w:rsidRPr="00000E91">
        <w:rPr>
          <w:rFonts w:ascii="Arial" w:hAnsi="Arial" w:cs="Arial"/>
        </w:rPr>
        <w:t xml:space="preserve">. </w:t>
      </w:r>
    </w:p>
    <w:p w14:paraId="712670A0" w14:textId="77777777" w:rsidR="00000E91" w:rsidRPr="00000E91" w:rsidRDefault="00000E91" w:rsidP="00000E91">
      <w:pPr>
        <w:spacing w:after="0"/>
        <w:rPr>
          <w:rFonts w:ascii="Arial" w:hAnsi="Arial" w:cs="Arial"/>
        </w:rPr>
      </w:pPr>
      <w:r w:rsidRPr="00000E91">
        <w:rPr>
          <w:rFonts w:ascii="Arial" w:hAnsi="Arial" w:cs="Arial"/>
        </w:rPr>
        <w:t>The elimination rate of intravenous administered fluticasone propionate is linear over the 250—1000 µg dose range and is characterised by a high plasma clearance (CL=1.1 L/min). Peak plasma concentrations are reduced by approximately 98% within 3-4 hours and only low plasma concentrations were associated with the 7.8 h terminal half-life. The renal clearance of fluticasone propionate is negligible (&lt;0.2%) and less than 5% as the carboxylic acid metabolite. The major route of elimination is the excretion of fluticasone propionate and its metabolites in the bile.</w:t>
      </w:r>
    </w:p>
    <w:p w14:paraId="6ABBA694" w14:textId="77777777" w:rsidR="00000E91" w:rsidRPr="00000E91" w:rsidRDefault="00000E91" w:rsidP="00000E91">
      <w:pPr>
        <w:spacing w:after="0"/>
        <w:rPr>
          <w:rFonts w:ascii="Arial" w:hAnsi="Arial" w:cs="Arial"/>
        </w:rPr>
      </w:pPr>
    </w:p>
    <w:p w14:paraId="3BF270BB"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 xml:space="preserve">Special Populations </w:t>
      </w:r>
    </w:p>
    <w:p w14:paraId="5EDB7E2A" w14:textId="77777777" w:rsidR="00000E91" w:rsidRPr="00000E91" w:rsidRDefault="00000E91" w:rsidP="00000E91">
      <w:pPr>
        <w:spacing w:after="0"/>
        <w:rPr>
          <w:rFonts w:ascii="Arial" w:hAnsi="Arial" w:cs="Arial"/>
        </w:rPr>
      </w:pPr>
      <w:r w:rsidRPr="00000E91">
        <w:rPr>
          <w:rFonts w:ascii="Arial" w:hAnsi="Arial" w:cs="Arial"/>
        </w:rPr>
        <w:t xml:space="preserve">DYMISTA 125/50 was not studied in any special populations, and no gender-specific pharmacokinetic data have been obtained. The following data are available for the individual active component, </w:t>
      </w:r>
      <w:proofErr w:type="spellStart"/>
      <w:r w:rsidRPr="00000E91">
        <w:rPr>
          <w:rFonts w:ascii="Arial" w:hAnsi="Arial" w:cs="Arial"/>
        </w:rPr>
        <w:t>azelastine</w:t>
      </w:r>
      <w:proofErr w:type="spellEnd"/>
      <w:r w:rsidRPr="00000E91">
        <w:rPr>
          <w:rFonts w:ascii="Arial" w:hAnsi="Arial" w:cs="Arial"/>
        </w:rPr>
        <w:t>:</w:t>
      </w:r>
    </w:p>
    <w:p w14:paraId="2583EEFF" w14:textId="77777777" w:rsidR="00000E91" w:rsidRPr="00000E91" w:rsidRDefault="00000E91" w:rsidP="00000E91">
      <w:pPr>
        <w:spacing w:after="0"/>
        <w:rPr>
          <w:rFonts w:ascii="Arial" w:hAnsi="Arial" w:cs="Arial"/>
        </w:rPr>
      </w:pPr>
    </w:p>
    <w:p w14:paraId="51746907" w14:textId="77777777" w:rsidR="00000E91" w:rsidRPr="00000E91" w:rsidRDefault="00000E91" w:rsidP="00000E91">
      <w:pPr>
        <w:spacing w:after="0"/>
        <w:rPr>
          <w:rFonts w:ascii="Arial" w:hAnsi="Arial" w:cs="Arial"/>
        </w:rPr>
      </w:pPr>
      <w:r w:rsidRPr="00000E91">
        <w:rPr>
          <w:rFonts w:ascii="Arial" w:hAnsi="Arial" w:cs="Arial"/>
          <w:b/>
          <w:bCs/>
          <w:i/>
          <w:iCs/>
        </w:rPr>
        <w:t>Hepatic Impairment</w:t>
      </w:r>
    </w:p>
    <w:p w14:paraId="79EE1AD0" w14:textId="77777777" w:rsidR="00000E91" w:rsidRPr="00000E91" w:rsidRDefault="00000E91" w:rsidP="00000E91">
      <w:pPr>
        <w:spacing w:after="0"/>
        <w:rPr>
          <w:rFonts w:ascii="Arial" w:hAnsi="Arial" w:cs="Arial"/>
        </w:rPr>
      </w:pPr>
      <w:r w:rsidRPr="00000E91">
        <w:rPr>
          <w:rFonts w:ascii="Arial" w:hAnsi="Arial" w:cs="Arial"/>
        </w:rPr>
        <w:t xml:space="preserve">No significant difference was found in t½, </w:t>
      </w:r>
      <w:proofErr w:type="spellStart"/>
      <w:r w:rsidRPr="00000E91">
        <w:rPr>
          <w:rFonts w:ascii="Arial" w:hAnsi="Arial" w:cs="Arial"/>
        </w:rPr>
        <w:t>Cmax</w:t>
      </w:r>
      <w:proofErr w:type="spellEnd"/>
      <w:r w:rsidRPr="00000E91">
        <w:rPr>
          <w:rFonts w:ascii="Arial" w:hAnsi="Arial" w:cs="Arial"/>
        </w:rPr>
        <w:t xml:space="preserve"> or AUC in an oral single dose study of </w:t>
      </w:r>
      <w:proofErr w:type="spellStart"/>
      <w:r w:rsidRPr="00000E91">
        <w:rPr>
          <w:rFonts w:ascii="Arial" w:hAnsi="Arial" w:cs="Arial"/>
        </w:rPr>
        <w:t>azelastine</w:t>
      </w:r>
      <w:proofErr w:type="spellEnd"/>
      <w:r w:rsidRPr="00000E91">
        <w:rPr>
          <w:rFonts w:ascii="Arial" w:hAnsi="Arial" w:cs="Arial"/>
        </w:rPr>
        <w:t xml:space="preserve"> in 6 patients with hepatic impairment compared to normal subjects. Caution is warranted in extrapolating these data to long - term use.</w:t>
      </w:r>
      <w:r w:rsidRPr="00000E91" w:rsidDel="00F37058">
        <w:rPr>
          <w:rFonts w:ascii="Arial" w:hAnsi="Arial" w:cs="Arial"/>
        </w:rPr>
        <w:t xml:space="preserve"> </w:t>
      </w:r>
      <w:r w:rsidRPr="00000E91">
        <w:rPr>
          <w:rFonts w:ascii="Arial" w:hAnsi="Arial" w:cs="Arial"/>
        </w:rPr>
        <w:t>(</w:t>
      </w:r>
      <w:proofErr w:type="gramStart"/>
      <w:r w:rsidRPr="00000E91">
        <w:rPr>
          <w:rFonts w:ascii="Arial" w:hAnsi="Arial" w:cs="Arial"/>
        </w:rPr>
        <w:t>see</w:t>
      </w:r>
      <w:proofErr w:type="gramEnd"/>
      <w:r w:rsidRPr="00000E91">
        <w:rPr>
          <w:rFonts w:ascii="Arial" w:hAnsi="Arial" w:cs="Arial"/>
        </w:rPr>
        <w:t xml:space="preserve">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in Patients with Hepatic Impairment</w:t>
      </w:r>
      <w:r w:rsidRPr="00000E91">
        <w:rPr>
          <w:rFonts w:ascii="Arial" w:hAnsi="Arial" w:cs="Arial"/>
        </w:rPr>
        <w:t>).</w:t>
      </w:r>
    </w:p>
    <w:p w14:paraId="3E87A5A2" w14:textId="77777777" w:rsidR="00000E91" w:rsidRPr="00000E91" w:rsidRDefault="00000E91" w:rsidP="00000E91">
      <w:pPr>
        <w:spacing w:after="0"/>
        <w:rPr>
          <w:rFonts w:ascii="Arial" w:hAnsi="Arial" w:cs="Arial"/>
        </w:rPr>
      </w:pPr>
    </w:p>
    <w:p w14:paraId="74EA0C4B" w14:textId="77777777" w:rsidR="00000E91" w:rsidRPr="00000E91" w:rsidRDefault="00000E91" w:rsidP="00000E91">
      <w:pPr>
        <w:spacing w:after="0"/>
        <w:rPr>
          <w:rFonts w:ascii="Arial" w:hAnsi="Arial" w:cs="Arial"/>
          <w:b/>
          <w:bCs/>
          <w:i/>
          <w:iCs/>
        </w:rPr>
      </w:pPr>
      <w:r w:rsidRPr="00000E91">
        <w:rPr>
          <w:rFonts w:ascii="Arial" w:hAnsi="Arial" w:cs="Arial"/>
          <w:b/>
          <w:bCs/>
          <w:i/>
          <w:iCs/>
        </w:rPr>
        <w:t>Renal Impairment</w:t>
      </w:r>
    </w:p>
    <w:p w14:paraId="51E68E49" w14:textId="77777777" w:rsidR="00000E91" w:rsidRPr="00000E91" w:rsidRDefault="00000E91" w:rsidP="00000E91">
      <w:pPr>
        <w:spacing w:after="0"/>
        <w:rPr>
          <w:rFonts w:ascii="Arial" w:hAnsi="Arial" w:cs="Arial"/>
        </w:rPr>
      </w:pPr>
      <w:proofErr w:type="gramStart"/>
      <w:r w:rsidRPr="00000E91">
        <w:rPr>
          <w:rFonts w:ascii="Arial" w:hAnsi="Arial" w:cs="Arial"/>
        </w:rPr>
        <w:t xml:space="preserve">In a single oral dose study of </w:t>
      </w:r>
      <w:proofErr w:type="spellStart"/>
      <w:r w:rsidRPr="00000E91">
        <w:rPr>
          <w:rFonts w:ascii="Arial" w:hAnsi="Arial" w:cs="Arial"/>
        </w:rPr>
        <w:t>azelastine</w:t>
      </w:r>
      <w:proofErr w:type="spellEnd"/>
      <w:r w:rsidRPr="00000E91">
        <w:rPr>
          <w:rFonts w:ascii="Arial" w:hAnsi="Arial" w:cs="Arial"/>
        </w:rPr>
        <w:t xml:space="preserve"> in 9 patients, renal insufficiency (creatinine clearance &lt;50 mL/min) resulted in a 70-75% higher </w:t>
      </w:r>
      <w:proofErr w:type="spellStart"/>
      <w:r w:rsidRPr="00000E91">
        <w:rPr>
          <w:rFonts w:ascii="Arial" w:hAnsi="Arial" w:cs="Arial"/>
        </w:rPr>
        <w:t>Cmax</w:t>
      </w:r>
      <w:proofErr w:type="spellEnd"/>
      <w:r w:rsidRPr="00000E91">
        <w:rPr>
          <w:rFonts w:ascii="Arial" w:hAnsi="Arial" w:cs="Arial"/>
        </w:rPr>
        <w:t xml:space="preserve"> and AUC compared to normal subjects.</w:t>
      </w:r>
      <w:proofErr w:type="gramEnd"/>
      <w:r w:rsidRPr="00000E91">
        <w:rPr>
          <w:rFonts w:ascii="Arial" w:hAnsi="Arial" w:cs="Arial"/>
        </w:rPr>
        <w:t xml:space="preserve"> However, the number of patients evaluated in this study is too small to draw meaningful conclusions. No information regarding the use of </w:t>
      </w:r>
      <w:proofErr w:type="spellStart"/>
      <w:r w:rsidRPr="00000E91">
        <w:rPr>
          <w:rFonts w:ascii="Arial" w:hAnsi="Arial" w:cs="Arial"/>
        </w:rPr>
        <w:t>azelastine</w:t>
      </w:r>
      <w:proofErr w:type="spellEnd"/>
      <w:r w:rsidRPr="00000E91">
        <w:rPr>
          <w:rFonts w:ascii="Arial" w:hAnsi="Arial" w:cs="Arial"/>
        </w:rPr>
        <w:t xml:space="preserve"> nasal spray in </w:t>
      </w:r>
      <w:proofErr w:type="spellStart"/>
      <w:r w:rsidRPr="00000E91">
        <w:rPr>
          <w:rFonts w:ascii="Arial" w:hAnsi="Arial" w:cs="Arial"/>
        </w:rPr>
        <w:t>renally</w:t>
      </w:r>
      <w:proofErr w:type="spellEnd"/>
      <w:r w:rsidRPr="00000E91">
        <w:rPr>
          <w:rFonts w:ascii="Arial" w:hAnsi="Arial" w:cs="Arial"/>
        </w:rPr>
        <w:t xml:space="preserve"> impaired patients is available. (</w:t>
      </w:r>
      <w:proofErr w:type="gramStart"/>
      <w:r w:rsidRPr="00000E91">
        <w:rPr>
          <w:rFonts w:ascii="Arial" w:hAnsi="Arial" w:cs="Arial"/>
        </w:rPr>
        <w:t>see</w:t>
      </w:r>
      <w:proofErr w:type="gramEnd"/>
      <w:r w:rsidRPr="00000E91">
        <w:rPr>
          <w:rFonts w:ascii="Arial" w:hAnsi="Arial" w:cs="Arial"/>
        </w:rPr>
        <w:t xml:space="preserve">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in Patients with Renal Impairment</w:t>
      </w:r>
      <w:r w:rsidRPr="00000E91">
        <w:rPr>
          <w:rFonts w:ascii="Arial" w:hAnsi="Arial" w:cs="Arial"/>
        </w:rPr>
        <w:t xml:space="preserve">). </w:t>
      </w:r>
    </w:p>
    <w:p w14:paraId="14ED55B9" w14:textId="77777777" w:rsidR="00000E91" w:rsidRPr="00000E91" w:rsidRDefault="00000E91" w:rsidP="00000E91">
      <w:pPr>
        <w:spacing w:after="0"/>
        <w:rPr>
          <w:rFonts w:ascii="Arial" w:hAnsi="Arial" w:cs="Arial"/>
        </w:rPr>
      </w:pPr>
    </w:p>
    <w:p w14:paraId="6FFE4D75" w14:textId="77777777" w:rsidR="00000E91" w:rsidRPr="00000E91" w:rsidRDefault="00000E91" w:rsidP="00000E91">
      <w:pPr>
        <w:spacing w:after="0"/>
        <w:rPr>
          <w:rFonts w:ascii="Arial" w:hAnsi="Arial" w:cs="Arial"/>
          <w:b/>
          <w:bCs/>
          <w:i/>
          <w:iCs/>
        </w:rPr>
      </w:pPr>
      <w:r w:rsidRPr="00000E91">
        <w:rPr>
          <w:rFonts w:ascii="Arial" w:hAnsi="Arial" w:cs="Arial"/>
          <w:b/>
          <w:bCs/>
          <w:i/>
          <w:iCs/>
        </w:rPr>
        <w:t>Age</w:t>
      </w:r>
    </w:p>
    <w:p w14:paraId="09EE64A3" w14:textId="77777777" w:rsidR="00000E91" w:rsidRPr="00000E91" w:rsidRDefault="00000E91" w:rsidP="00000E91">
      <w:pPr>
        <w:spacing w:after="0"/>
        <w:rPr>
          <w:rFonts w:ascii="Arial" w:hAnsi="Arial" w:cs="Arial"/>
        </w:rPr>
      </w:pPr>
      <w:r w:rsidRPr="00000E91">
        <w:rPr>
          <w:rFonts w:ascii="Arial" w:hAnsi="Arial" w:cs="Arial"/>
        </w:rPr>
        <w:t xml:space="preserve">A pharmacokinetic study in elderly patients (n=15) receiving oral </w:t>
      </w:r>
      <w:proofErr w:type="spellStart"/>
      <w:r w:rsidRPr="00000E91">
        <w:rPr>
          <w:rFonts w:ascii="Arial" w:hAnsi="Arial" w:cs="Arial"/>
        </w:rPr>
        <w:t>azelastine</w:t>
      </w:r>
      <w:proofErr w:type="spellEnd"/>
      <w:r w:rsidRPr="00000E91">
        <w:rPr>
          <w:rFonts w:ascii="Arial" w:hAnsi="Arial" w:cs="Arial"/>
        </w:rPr>
        <w:t xml:space="preserve"> 4.4 mg twice daily found a prolongation of the </w:t>
      </w:r>
      <w:proofErr w:type="spellStart"/>
      <w:r w:rsidRPr="00000E91">
        <w:rPr>
          <w:rFonts w:ascii="Arial" w:hAnsi="Arial" w:cs="Arial"/>
        </w:rPr>
        <w:t>Tmax</w:t>
      </w:r>
      <w:proofErr w:type="spellEnd"/>
      <w:r w:rsidRPr="00000E91">
        <w:rPr>
          <w:rFonts w:ascii="Arial" w:hAnsi="Arial" w:cs="Arial"/>
        </w:rPr>
        <w:t xml:space="preserve"> and an increase in </w:t>
      </w:r>
      <w:proofErr w:type="spellStart"/>
      <w:r w:rsidRPr="00000E91">
        <w:rPr>
          <w:rFonts w:ascii="Arial" w:hAnsi="Arial" w:cs="Arial"/>
        </w:rPr>
        <w:t>Cmax</w:t>
      </w:r>
      <w:proofErr w:type="spellEnd"/>
      <w:r w:rsidRPr="00000E91">
        <w:rPr>
          <w:rFonts w:ascii="Arial" w:hAnsi="Arial" w:cs="Arial"/>
        </w:rPr>
        <w:t xml:space="preserve"> and AUC compared to results in healthy volunteers. There have been no specific studies in the elderly with the nasal spray. In clinical and post-marketing studies of the nasal spray, no increase in the incidence of adverse reactions has been seen in elderly patients. </w:t>
      </w:r>
    </w:p>
    <w:p w14:paraId="199780AF" w14:textId="77777777" w:rsidR="00000E91" w:rsidRPr="00000E91" w:rsidRDefault="00000E91" w:rsidP="00000E91">
      <w:pPr>
        <w:spacing w:after="0"/>
        <w:rPr>
          <w:rFonts w:ascii="Arial" w:hAnsi="Arial" w:cs="Arial"/>
        </w:rPr>
      </w:pPr>
    </w:p>
    <w:p w14:paraId="64306747" w14:textId="77777777" w:rsidR="00000E91" w:rsidRPr="00000E91" w:rsidRDefault="00000E91" w:rsidP="00000E91">
      <w:pPr>
        <w:spacing w:after="0"/>
        <w:rPr>
          <w:rFonts w:ascii="Arial" w:hAnsi="Arial" w:cs="Arial"/>
        </w:rPr>
      </w:pPr>
      <w:r w:rsidRPr="00000E91">
        <w:rPr>
          <w:rFonts w:ascii="Arial" w:hAnsi="Arial" w:cs="Arial"/>
        </w:rPr>
        <w:t>The efficacy and safety of DYMISTA 125/50 in children under 12 years of age have not been established</w:t>
      </w:r>
      <w:r w:rsidRPr="00000E91">
        <w:rPr>
          <w:sz w:val="16"/>
          <w:szCs w:val="16"/>
        </w:rPr>
        <w:t xml:space="preserve"> </w:t>
      </w:r>
      <w:r w:rsidRPr="00000E91">
        <w:rPr>
          <w:rFonts w:ascii="Arial" w:hAnsi="Arial" w:cs="Arial"/>
        </w:rPr>
        <w:t xml:space="preserve">(see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in Children and Adolescents</w:t>
      </w:r>
      <w:r w:rsidRPr="00000E91">
        <w:rPr>
          <w:rFonts w:ascii="Arial" w:hAnsi="Arial" w:cs="Arial"/>
        </w:rPr>
        <w:t>).</w:t>
      </w:r>
    </w:p>
    <w:p w14:paraId="2FF7075B" w14:textId="77777777" w:rsidR="00000E91" w:rsidRPr="00000E91" w:rsidRDefault="00000E91" w:rsidP="00000E91">
      <w:pPr>
        <w:spacing w:after="0"/>
        <w:rPr>
          <w:rFonts w:ascii="Arial" w:hAnsi="Arial" w:cs="Arial"/>
        </w:rPr>
      </w:pPr>
    </w:p>
    <w:p w14:paraId="32E1EB80" w14:textId="77777777" w:rsidR="00000E91" w:rsidRPr="00000E91" w:rsidRDefault="00000E91" w:rsidP="00000E91">
      <w:pPr>
        <w:spacing w:after="0"/>
        <w:rPr>
          <w:rFonts w:ascii="Arial" w:hAnsi="Arial" w:cs="Arial"/>
          <w:b/>
          <w:bCs/>
          <w:i/>
          <w:iCs/>
        </w:rPr>
      </w:pPr>
      <w:r w:rsidRPr="00000E91">
        <w:rPr>
          <w:rFonts w:ascii="Arial" w:hAnsi="Arial" w:cs="Arial"/>
          <w:b/>
          <w:bCs/>
          <w:i/>
          <w:iCs/>
        </w:rPr>
        <w:t>Race</w:t>
      </w:r>
    </w:p>
    <w:p w14:paraId="2014653E" w14:textId="77777777" w:rsidR="00000E91" w:rsidRPr="00000E91" w:rsidRDefault="00000E91" w:rsidP="00000E91">
      <w:pPr>
        <w:spacing w:after="0"/>
        <w:rPr>
          <w:rFonts w:ascii="Arial" w:hAnsi="Arial" w:cs="Arial"/>
        </w:rPr>
      </w:pPr>
      <w:r w:rsidRPr="00000E91">
        <w:rPr>
          <w:rFonts w:ascii="Arial" w:hAnsi="Arial" w:cs="Arial"/>
        </w:rPr>
        <w:t>The effect of race has not been evaluated.</w:t>
      </w:r>
    </w:p>
    <w:p w14:paraId="497CC9E6" w14:textId="77777777" w:rsidR="00000E91" w:rsidRPr="00000E91" w:rsidRDefault="00000E91" w:rsidP="00000E91">
      <w:pPr>
        <w:spacing w:after="0"/>
        <w:rPr>
          <w:rFonts w:ascii="Arial" w:hAnsi="Arial" w:cs="Arial"/>
        </w:rPr>
      </w:pPr>
    </w:p>
    <w:p w14:paraId="535A563E"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lastRenderedPageBreak/>
        <w:t>CLINICAL TRIALS</w:t>
      </w:r>
    </w:p>
    <w:p w14:paraId="4BAB729F" w14:textId="77777777" w:rsidR="00000E91" w:rsidRPr="00000E91" w:rsidRDefault="00000E91" w:rsidP="00000E91">
      <w:pPr>
        <w:spacing w:after="0"/>
        <w:rPr>
          <w:rFonts w:ascii="Arial" w:hAnsi="Arial" w:cs="Arial"/>
          <w:lang w:val="en-GB"/>
        </w:rPr>
      </w:pPr>
      <w:r w:rsidRPr="00000E91">
        <w:rPr>
          <w:rFonts w:ascii="Arial" w:hAnsi="Arial" w:cs="Arial"/>
          <w:lang w:val="en-GB"/>
        </w:rPr>
        <w:t>The efficacy of DYMISTA 125/50 was established in four randomised, double-blind, placebo-controlled studies in subjects with seasonal allergic rhinitis (SAR), namely MP4001, MP4002, MP4004, and MP4006.</w:t>
      </w:r>
    </w:p>
    <w:p w14:paraId="0B591F66" w14:textId="77777777" w:rsidR="00000E91" w:rsidRPr="00000E91" w:rsidRDefault="00000E91" w:rsidP="00000E91">
      <w:pPr>
        <w:spacing w:after="0"/>
        <w:rPr>
          <w:rFonts w:ascii="Arial" w:hAnsi="Arial" w:cs="Arial"/>
          <w:lang w:val="en-GB"/>
        </w:rPr>
      </w:pPr>
    </w:p>
    <w:p w14:paraId="7516332A" w14:textId="77777777" w:rsidR="00000E91" w:rsidRPr="00000E91" w:rsidRDefault="00000E91" w:rsidP="00000E91">
      <w:pPr>
        <w:spacing w:after="0"/>
        <w:rPr>
          <w:rFonts w:ascii="Arial" w:hAnsi="Arial" w:cs="Arial"/>
          <w:lang w:val="en-GB"/>
        </w:rPr>
      </w:pPr>
      <w:r w:rsidRPr="00000E91">
        <w:rPr>
          <w:rFonts w:ascii="Arial" w:hAnsi="Arial" w:cs="Arial"/>
          <w:lang w:val="en-GB"/>
        </w:rPr>
        <w:t xml:space="preserve">Study MP4001 compared DYMISTA 125/50 with commercial </w:t>
      </w:r>
      <w:proofErr w:type="spellStart"/>
      <w:r w:rsidRPr="00000E91">
        <w:rPr>
          <w:rFonts w:ascii="Arial" w:hAnsi="Arial" w:cs="Arial"/>
          <w:lang w:val="en-GB"/>
        </w:rPr>
        <w:t>azelastine</w:t>
      </w:r>
      <w:proofErr w:type="spellEnd"/>
      <w:r w:rsidRPr="00000E91">
        <w:rPr>
          <w:rFonts w:ascii="Arial" w:hAnsi="Arial" w:cs="Arial"/>
          <w:lang w:val="en-GB"/>
        </w:rPr>
        <w:t xml:space="preserve"> nasal spray (</w:t>
      </w:r>
      <w:proofErr w:type="spellStart"/>
      <w:r w:rsidRPr="00000E91">
        <w:rPr>
          <w:rFonts w:ascii="Arial" w:hAnsi="Arial" w:cs="Arial"/>
          <w:lang w:val="en-GB"/>
        </w:rPr>
        <w:t>Astelin</w:t>
      </w:r>
      <w:proofErr w:type="spellEnd"/>
      <w:r w:rsidRPr="00000E91">
        <w:rPr>
          <w:rFonts w:ascii="Arial" w:hAnsi="Arial" w:cs="Arial"/>
          <w:vertAlign w:val="superscript"/>
          <w:lang w:val="en-GB"/>
        </w:rPr>
        <w:t>®</w:t>
      </w:r>
      <w:r w:rsidRPr="00000E91">
        <w:rPr>
          <w:rFonts w:ascii="Arial" w:hAnsi="Arial" w:cs="Arial"/>
          <w:lang w:val="en-GB"/>
        </w:rPr>
        <w:t xml:space="preserve"> Nasal Spray) and commercial Fluticasone propionate Nasal Spray from </w:t>
      </w:r>
      <w:proofErr w:type="spellStart"/>
      <w:r w:rsidRPr="00000E91">
        <w:rPr>
          <w:rFonts w:ascii="Arial" w:hAnsi="Arial" w:cs="Arial"/>
          <w:lang w:val="en-GB"/>
        </w:rPr>
        <w:t>Roxane</w:t>
      </w:r>
      <w:proofErr w:type="spellEnd"/>
      <w:r w:rsidRPr="00000E91">
        <w:rPr>
          <w:rFonts w:ascii="Arial" w:hAnsi="Arial" w:cs="Arial"/>
          <w:lang w:val="en-GB"/>
        </w:rPr>
        <w:t xml:space="preserve"> Laboratories </w:t>
      </w:r>
      <w:proofErr w:type="spellStart"/>
      <w:r w:rsidRPr="00000E91">
        <w:rPr>
          <w:rFonts w:ascii="Arial" w:hAnsi="Arial" w:cs="Arial"/>
          <w:lang w:val="en-GB"/>
        </w:rPr>
        <w:t>Inc</w:t>
      </w:r>
      <w:proofErr w:type="spellEnd"/>
      <w:r w:rsidRPr="00000E91">
        <w:rPr>
          <w:rFonts w:ascii="Arial" w:hAnsi="Arial" w:cs="Arial"/>
          <w:lang w:val="en-GB"/>
        </w:rPr>
        <w:t xml:space="preserve"> available in the US at that time. Studies MP4002, MP4004, and MP4006 compared DYMISTA 125/50 with the single compounds in the DYMISTA 125/50 vehicle. All 4 trials had in common 4 treatment groups, the same regimen (1 spray per nostril twice daily), the same duration of treatment (2 weeks), and the same primary and almost the same secondary endpoints. These studies included male and female subjects 12 years of age or older with a minimum 2-year history of SAR.</w:t>
      </w:r>
    </w:p>
    <w:p w14:paraId="6FB5CB6A" w14:textId="77777777" w:rsidR="00000E91" w:rsidRPr="00000E91" w:rsidRDefault="00000E91" w:rsidP="00000E91">
      <w:pPr>
        <w:spacing w:after="0"/>
        <w:rPr>
          <w:rFonts w:ascii="Arial" w:hAnsi="Arial" w:cs="Arial"/>
          <w:lang w:val="en-GB"/>
        </w:rPr>
      </w:pPr>
    </w:p>
    <w:p w14:paraId="2C4996C6" w14:textId="77777777" w:rsidR="00000E91" w:rsidRPr="00000E91" w:rsidRDefault="00000E91" w:rsidP="00000E91">
      <w:pPr>
        <w:spacing w:after="0"/>
        <w:rPr>
          <w:rFonts w:ascii="Arial" w:hAnsi="Arial" w:cs="Arial"/>
          <w:lang w:val="en-GB"/>
        </w:rPr>
      </w:pPr>
      <w:r w:rsidRPr="00000E91">
        <w:rPr>
          <w:rFonts w:ascii="Arial" w:hAnsi="Arial" w:cs="Arial"/>
          <w:lang w:val="en-GB"/>
        </w:rPr>
        <w:t xml:space="preserve">During the study, nasal symptoms of itchy nose, nasal congestion, runny nose, sneezing, and ocular symptoms of itchy eyes, watery eyes, and eye redness were rated twice daily in a diary, using a 4-point scale from 0 (no symptoms) to 3 (severe symptoms). The scores were summed up to a total nasal symptom score (TNSS) and a total ocular symptom score (TOSS), respectively. In addition, postnasal drip was rated on the same 4-point scale. The </w:t>
      </w:r>
      <w:proofErr w:type="spellStart"/>
      <w:r w:rsidRPr="00000E91">
        <w:rPr>
          <w:rFonts w:ascii="Arial" w:hAnsi="Arial" w:cs="Arial"/>
          <w:lang w:val="en-GB"/>
        </w:rPr>
        <w:t>Rhinoconjunctivitis</w:t>
      </w:r>
      <w:proofErr w:type="spellEnd"/>
      <w:r w:rsidRPr="00000E91">
        <w:rPr>
          <w:rFonts w:ascii="Arial" w:hAnsi="Arial" w:cs="Arial"/>
          <w:lang w:val="en-GB"/>
        </w:rPr>
        <w:t xml:space="preserve"> Quality of Life Questionnaire (RQLQ) was completed by each subject 18 years of age or older, at the start and end of 14-day treatment (or early termination).</w:t>
      </w:r>
    </w:p>
    <w:p w14:paraId="1E29E7BF" w14:textId="77777777" w:rsidR="00000E91" w:rsidRPr="00000E91" w:rsidRDefault="00000E91" w:rsidP="00000E91">
      <w:pPr>
        <w:spacing w:after="0"/>
        <w:rPr>
          <w:rFonts w:ascii="Arial" w:hAnsi="Arial" w:cs="Arial"/>
          <w:lang w:val="en-GB"/>
        </w:rPr>
      </w:pPr>
    </w:p>
    <w:p w14:paraId="48AC5E9B" w14:textId="77777777" w:rsidR="00000E91" w:rsidRPr="00000E91" w:rsidRDefault="00000E91" w:rsidP="00000E91">
      <w:pPr>
        <w:spacing w:after="0"/>
        <w:rPr>
          <w:rFonts w:ascii="Arial" w:hAnsi="Arial" w:cs="Arial"/>
          <w:lang w:val="en-GB"/>
        </w:rPr>
      </w:pPr>
      <w:r w:rsidRPr="00000E91">
        <w:rPr>
          <w:rFonts w:ascii="Arial" w:hAnsi="Arial" w:cs="Arial"/>
          <w:lang w:val="en-GB"/>
        </w:rPr>
        <w:t>The primary efficacy endpoint for all four placebo-controlled studies was the change from baseline in the combined (i.e. AM and PM data added) 12-hour reflective total nasal symptom score (</w:t>
      </w:r>
      <w:proofErr w:type="spellStart"/>
      <w:r w:rsidRPr="00000E91">
        <w:rPr>
          <w:rFonts w:ascii="Arial" w:hAnsi="Arial" w:cs="Arial"/>
          <w:lang w:val="en-GB"/>
        </w:rPr>
        <w:t>crTNSS</w:t>
      </w:r>
      <w:proofErr w:type="spellEnd"/>
      <w:r w:rsidRPr="00000E91">
        <w:rPr>
          <w:rFonts w:ascii="Arial" w:hAnsi="Arial" w:cs="Arial"/>
          <w:lang w:val="en-GB"/>
        </w:rPr>
        <w:t>) over the 14 day treatment period, tested primarily in the ITT set based on last observation. Secondary efficacy endpoints included the 12-hour AM and PM reflective TNSS, the instantaneous TNSS (</w:t>
      </w:r>
      <w:proofErr w:type="spellStart"/>
      <w:r w:rsidRPr="00000E91">
        <w:rPr>
          <w:rFonts w:ascii="Arial" w:hAnsi="Arial" w:cs="Arial"/>
          <w:lang w:val="en-GB"/>
        </w:rPr>
        <w:t>iTNSS</w:t>
      </w:r>
      <w:proofErr w:type="spellEnd"/>
      <w:r w:rsidRPr="00000E91">
        <w:rPr>
          <w:rFonts w:ascii="Arial" w:hAnsi="Arial" w:cs="Arial"/>
          <w:lang w:val="en-GB"/>
        </w:rPr>
        <w:t xml:space="preserve">), the 12-hour reflective score for postnasal drip, the 12-hour reflective TOSS, the instantaneous TOSS, the 12-hour reflective and instantaneous individual nasal and ocular symptoms and the RQLQ score. In studies MP4002, MP4004 and MP4006, an attempt was made to evaluate the onset of action. </w:t>
      </w:r>
    </w:p>
    <w:p w14:paraId="17B64072" w14:textId="77777777" w:rsidR="00000E91" w:rsidRPr="00000E91" w:rsidRDefault="00000E91" w:rsidP="00000E91">
      <w:pPr>
        <w:spacing w:after="0"/>
        <w:rPr>
          <w:rFonts w:ascii="Arial" w:hAnsi="Arial" w:cs="Arial"/>
          <w:lang w:val="en-GB"/>
        </w:rPr>
      </w:pPr>
    </w:p>
    <w:p w14:paraId="45D30A9D" w14:textId="77777777" w:rsidR="00000E91" w:rsidRPr="00000E91" w:rsidRDefault="00000E91" w:rsidP="00000E91">
      <w:pPr>
        <w:spacing w:after="0"/>
        <w:rPr>
          <w:rFonts w:ascii="Arial" w:hAnsi="Arial" w:cs="Arial"/>
          <w:lang w:val="en-GB"/>
        </w:rPr>
      </w:pPr>
      <w:r w:rsidRPr="00000E91">
        <w:rPr>
          <w:rFonts w:ascii="Arial" w:hAnsi="Arial" w:cs="Arial"/>
          <w:lang w:val="en-GB"/>
        </w:rPr>
        <w:t>The pooled study population was primarily female (62.9%), white (80.3%) and between 18 and 65 years of age (87.3%).</w:t>
      </w:r>
    </w:p>
    <w:p w14:paraId="4C4B0186" w14:textId="77777777" w:rsidR="00000E91" w:rsidRPr="00000E91" w:rsidRDefault="00000E91" w:rsidP="00000E91">
      <w:pPr>
        <w:autoSpaceDE w:val="0"/>
        <w:autoSpaceDN w:val="0"/>
        <w:adjustRightInd w:val="0"/>
        <w:spacing w:after="0"/>
        <w:rPr>
          <w:rFonts w:ascii="Arial" w:hAnsi="Arial" w:cs="Arial"/>
          <w:color w:val="000000"/>
        </w:rPr>
      </w:pPr>
    </w:p>
    <w:p w14:paraId="74865F5F" w14:textId="77777777" w:rsidR="00000E91" w:rsidRPr="00000E91" w:rsidRDefault="00000E91" w:rsidP="00000E91">
      <w:pPr>
        <w:autoSpaceDE w:val="0"/>
        <w:autoSpaceDN w:val="0"/>
        <w:adjustRightInd w:val="0"/>
        <w:spacing w:after="0"/>
        <w:rPr>
          <w:rFonts w:ascii="Arial" w:hAnsi="Arial" w:cs="Arial"/>
        </w:rPr>
      </w:pPr>
      <w:r w:rsidRPr="00000E91">
        <w:rPr>
          <w:rFonts w:ascii="Arial" w:hAnsi="Arial" w:cs="Arial"/>
          <w:color w:val="000000"/>
        </w:rPr>
        <w:t xml:space="preserve">Table 1 shows the primary efficacy results for the individual pivotal studies expressed as absolute change in </w:t>
      </w:r>
      <w:proofErr w:type="spellStart"/>
      <w:r w:rsidRPr="00000E91">
        <w:rPr>
          <w:rFonts w:ascii="Arial" w:hAnsi="Arial" w:cs="Arial"/>
          <w:color w:val="000000"/>
        </w:rPr>
        <w:t>crTNSS</w:t>
      </w:r>
      <w:proofErr w:type="spellEnd"/>
      <w:r w:rsidRPr="00000E91">
        <w:rPr>
          <w:rFonts w:ascii="Arial" w:hAnsi="Arial" w:cs="Arial"/>
          <w:color w:val="000000"/>
        </w:rPr>
        <w:t xml:space="preserve"> compared with placebo and all active treatments. </w:t>
      </w:r>
      <w:r w:rsidRPr="00000E91">
        <w:rPr>
          <w:rFonts w:ascii="Arial" w:hAnsi="Arial" w:cs="Arial"/>
        </w:rPr>
        <w:t>Across the individual studies, DYMISTA 125/50 was significantly superior to placebo and the monotherapy components. In addition, each individual component was significantly superior to placebo.</w:t>
      </w:r>
    </w:p>
    <w:p w14:paraId="6205BCB7" w14:textId="77777777" w:rsidR="00000E91" w:rsidRPr="00000E91" w:rsidRDefault="00000E91" w:rsidP="00000E91">
      <w:pPr>
        <w:spacing w:after="0" w:line="240" w:lineRule="auto"/>
        <w:rPr>
          <w:rFonts w:ascii="Arial" w:hAnsi="Arial" w:cs="Arial"/>
        </w:rPr>
      </w:pPr>
      <w:r w:rsidRPr="00000E91">
        <w:rPr>
          <w:rFonts w:ascii="Arial" w:hAnsi="Arial" w:cs="Arial"/>
        </w:rPr>
        <w:br w:type="page"/>
      </w:r>
    </w:p>
    <w:p w14:paraId="1125A667" w14:textId="77777777" w:rsidR="00000E91" w:rsidRPr="00000E91" w:rsidRDefault="00000E91" w:rsidP="00000E91">
      <w:pPr>
        <w:autoSpaceDE w:val="0"/>
        <w:autoSpaceDN w:val="0"/>
        <w:adjustRightInd w:val="0"/>
        <w:spacing w:after="0" w:line="240" w:lineRule="auto"/>
        <w:rPr>
          <w:rFonts w:ascii="Arial" w:hAnsi="Arial" w:cs="Arial"/>
          <w:b/>
          <w:bCs/>
          <w:sz w:val="20"/>
          <w:szCs w:val="20"/>
        </w:rPr>
      </w:pPr>
      <w:r w:rsidRPr="00000E91">
        <w:rPr>
          <w:rFonts w:ascii="Arial" w:hAnsi="Arial" w:cs="Arial"/>
          <w:b/>
          <w:bCs/>
          <w:sz w:val="20"/>
          <w:szCs w:val="20"/>
        </w:rPr>
        <w:lastRenderedPageBreak/>
        <w:t>Table 1: Combined 12-hour reflective total nasal symptom score (</w:t>
      </w:r>
      <w:proofErr w:type="spellStart"/>
      <w:r w:rsidRPr="00000E91">
        <w:rPr>
          <w:rFonts w:ascii="Arial" w:hAnsi="Arial" w:cs="Arial"/>
          <w:b/>
          <w:bCs/>
          <w:sz w:val="20"/>
          <w:szCs w:val="20"/>
        </w:rPr>
        <w:t>crTNSS</w:t>
      </w:r>
      <w:proofErr w:type="spellEnd"/>
      <w:r w:rsidRPr="00000E91">
        <w:rPr>
          <w:rFonts w:ascii="Arial" w:hAnsi="Arial" w:cs="Arial"/>
          <w:b/>
          <w:bCs/>
          <w:sz w:val="20"/>
          <w:szCs w:val="20"/>
        </w:rPr>
        <w:t>) over the 14 day treatment period for studies MP 4001, 4002, 4004 and 4006 (ITT population)</w:t>
      </w:r>
    </w:p>
    <w:tbl>
      <w:tblPr>
        <w:tblW w:w="9108" w:type="dxa"/>
        <w:tblInd w:w="-106" w:type="dxa"/>
        <w:tblLook w:val="00A0" w:firstRow="1" w:lastRow="0" w:firstColumn="1" w:lastColumn="0" w:noHBand="0" w:noVBand="0"/>
      </w:tblPr>
      <w:tblGrid>
        <w:gridCol w:w="998"/>
        <w:gridCol w:w="3194"/>
        <w:gridCol w:w="1784"/>
        <w:gridCol w:w="1034"/>
        <w:gridCol w:w="1060"/>
        <w:gridCol w:w="1038"/>
      </w:tblGrid>
      <w:tr w:rsidR="00000E91" w:rsidRPr="00000E91" w14:paraId="40365AE5" w14:textId="77777777" w:rsidTr="007D538C">
        <w:tc>
          <w:tcPr>
            <w:tcW w:w="1008" w:type="dxa"/>
            <w:tcBorders>
              <w:top w:val="single" w:sz="4" w:space="0" w:color="auto"/>
              <w:bottom w:val="single" w:sz="4" w:space="0" w:color="auto"/>
            </w:tcBorders>
          </w:tcPr>
          <w:p w14:paraId="6C6D82CD" w14:textId="77777777" w:rsidR="00000E91" w:rsidRPr="00000E91" w:rsidRDefault="00000E91" w:rsidP="00000E91">
            <w:pPr>
              <w:autoSpaceDE w:val="0"/>
              <w:autoSpaceDN w:val="0"/>
              <w:adjustRightInd w:val="0"/>
              <w:spacing w:after="0" w:line="240" w:lineRule="auto"/>
              <w:jc w:val="center"/>
              <w:rPr>
                <w:rFonts w:ascii="Arial" w:hAnsi="Arial" w:cs="Arial"/>
                <w:b/>
                <w:bCs/>
                <w:color w:val="000000"/>
                <w:sz w:val="20"/>
                <w:szCs w:val="20"/>
              </w:rPr>
            </w:pPr>
            <w:r w:rsidRPr="00000E91">
              <w:rPr>
                <w:rFonts w:ascii="Arial" w:hAnsi="Arial" w:cs="Arial"/>
                <w:b/>
                <w:bCs/>
                <w:color w:val="000000"/>
                <w:sz w:val="20"/>
                <w:szCs w:val="20"/>
              </w:rPr>
              <w:t>Study No.</w:t>
            </w:r>
          </w:p>
        </w:tc>
        <w:tc>
          <w:tcPr>
            <w:tcW w:w="3600" w:type="dxa"/>
            <w:tcBorders>
              <w:top w:val="single" w:sz="4" w:space="0" w:color="auto"/>
              <w:bottom w:val="single" w:sz="4" w:space="0" w:color="auto"/>
            </w:tcBorders>
          </w:tcPr>
          <w:p w14:paraId="403FD3F4" w14:textId="77777777" w:rsidR="00000E91" w:rsidRPr="00000E91" w:rsidRDefault="00000E91" w:rsidP="00000E91">
            <w:pPr>
              <w:autoSpaceDE w:val="0"/>
              <w:autoSpaceDN w:val="0"/>
              <w:adjustRightInd w:val="0"/>
              <w:spacing w:after="0" w:line="240" w:lineRule="auto"/>
              <w:jc w:val="center"/>
              <w:rPr>
                <w:rFonts w:ascii="Arial" w:hAnsi="Arial" w:cs="Arial"/>
                <w:b/>
                <w:bCs/>
                <w:color w:val="000000"/>
                <w:sz w:val="20"/>
                <w:szCs w:val="20"/>
              </w:rPr>
            </w:pPr>
            <w:r w:rsidRPr="00000E91">
              <w:rPr>
                <w:rFonts w:ascii="Arial" w:hAnsi="Arial" w:cs="Arial"/>
                <w:b/>
                <w:bCs/>
                <w:color w:val="000000"/>
                <w:sz w:val="20"/>
                <w:szCs w:val="20"/>
              </w:rPr>
              <w:t>Parameters</w:t>
            </w:r>
          </w:p>
        </w:tc>
        <w:tc>
          <w:tcPr>
            <w:tcW w:w="1125" w:type="dxa"/>
            <w:tcBorders>
              <w:top w:val="single" w:sz="4" w:space="0" w:color="auto"/>
              <w:bottom w:val="single" w:sz="4" w:space="0" w:color="auto"/>
            </w:tcBorders>
          </w:tcPr>
          <w:p w14:paraId="6BB31D9E" w14:textId="77777777" w:rsidR="00000E91" w:rsidRPr="00000E91" w:rsidRDefault="00000E91" w:rsidP="00000E91">
            <w:pPr>
              <w:autoSpaceDE w:val="0"/>
              <w:autoSpaceDN w:val="0"/>
              <w:adjustRightInd w:val="0"/>
              <w:spacing w:after="0" w:line="240" w:lineRule="auto"/>
              <w:jc w:val="center"/>
              <w:rPr>
                <w:rFonts w:ascii="Arial" w:hAnsi="Arial" w:cs="Arial"/>
                <w:b/>
                <w:bCs/>
                <w:color w:val="000000"/>
                <w:sz w:val="20"/>
                <w:szCs w:val="20"/>
              </w:rPr>
            </w:pPr>
            <w:r w:rsidRPr="00000E91">
              <w:rPr>
                <w:rFonts w:ascii="Arial" w:hAnsi="Arial" w:cs="Arial"/>
                <w:b/>
                <w:bCs/>
                <w:color w:val="000000"/>
                <w:sz w:val="20"/>
                <w:szCs w:val="20"/>
              </w:rPr>
              <w:t>DYMISTA 125/50</w:t>
            </w:r>
          </w:p>
        </w:tc>
        <w:tc>
          <w:tcPr>
            <w:tcW w:w="1125" w:type="dxa"/>
            <w:tcBorders>
              <w:top w:val="single" w:sz="4" w:space="0" w:color="auto"/>
              <w:bottom w:val="single" w:sz="4" w:space="0" w:color="auto"/>
            </w:tcBorders>
          </w:tcPr>
          <w:p w14:paraId="51841867" w14:textId="77777777" w:rsidR="00000E91" w:rsidRPr="00000E91" w:rsidRDefault="00000E91" w:rsidP="00000E91">
            <w:pPr>
              <w:autoSpaceDE w:val="0"/>
              <w:autoSpaceDN w:val="0"/>
              <w:adjustRightInd w:val="0"/>
              <w:spacing w:after="0" w:line="240" w:lineRule="auto"/>
              <w:jc w:val="center"/>
              <w:rPr>
                <w:rFonts w:ascii="Arial" w:hAnsi="Arial" w:cs="Arial"/>
                <w:b/>
                <w:bCs/>
                <w:color w:val="000000"/>
                <w:sz w:val="20"/>
                <w:szCs w:val="20"/>
              </w:rPr>
            </w:pPr>
            <w:r w:rsidRPr="00000E91">
              <w:rPr>
                <w:rFonts w:ascii="Arial" w:hAnsi="Arial" w:cs="Arial"/>
                <w:b/>
                <w:bCs/>
                <w:color w:val="000000"/>
                <w:sz w:val="20"/>
                <w:szCs w:val="20"/>
              </w:rPr>
              <w:t>FLU*</w:t>
            </w:r>
          </w:p>
        </w:tc>
        <w:tc>
          <w:tcPr>
            <w:tcW w:w="1125" w:type="dxa"/>
            <w:tcBorders>
              <w:top w:val="single" w:sz="4" w:space="0" w:color="auto"/>
              <w:bottom w:val="single" w:sz="4" w:space="0" w:color="auto"/>
            </w:tcBorders>
          </w:tcPr>
          <w:p w14:paraId="53A917BC" w14:textId="77777777" w:rsidR="00000E91" w:rsidRPr="00000E91" w:rsidRDefault="00000E91" w:rsidP="00000E91">
            <w:pPr>
              <w:autoSpaceDE w:val="0"/>
              <w:autoSpaceDN w:val="0"/>
              <w:adjustRightInd w:val="0"/>
              <w:spacing w:after="0" w:line="240" w:lineRule="auto"/>
              <w:jc w:val="center"/>
              <w:rPr>
                <w:rFonts w:ascii="Arial" w:hAnsi="Arial" w:cs="Arial"/>
                <w:b/>
                <w:bCs/>
                <w:color w:val="000000"/>
                <w:sz w:val="20"/>
                <w:szCs w:val="20"/>
              </w:rPr>
            </w:pPr>
            <w:r w:rsidRPr="00000E91">
              <w:rPr>
                <w:rFonts w:ascii="Arial" w:hAnsi="Arial" w:cs="Arial"/>
                <w:b/>
                <w:bCs/>
                <w:color w:val="000000"/>
                <w:sz w:val="20"/>
                <w:szCs w:val="20"/>
              </w:rPr>
              <w:t>AZE**</w:t>
            </w:r>
          </w:p>
        </w:tc>
        <w:tc>
          <w:tcPr>
            <w:tcW w:w="1125" w:type="dxa"/>
            <w:tcBorders>
              <w:top w:val="single" w:sz="4" w:space="0" w:color="auto"/>
              <w:bottom w:val="single" w:sz="4" w:space="0" w:color="auto"/>
            </w:tcBorders>
          </w:tcPr>
          <w:p w14:paraId="19006BDA" w14:textId="77777777" w:rsidR="00000E91" w:rsidRPr="00000E91" w:rsidRDefault="00000E91" w:rsidP="00000E91">
            <w:pPr>
              <w:autoSpaceDE w:val="0"/>
              <w:autoSpaceDN w:val="0"/>
              <w:adjustRightInd w:val="0"/>
              <w:spacing w:after="0" w:line="240" w:lineRule="auto"/>
              <w:jc w:val="center"/>
              <w:rPr>
                <w:rFonts w:ascii="Arial" w:hAnsi="Arial" w:cs="Arial"/>
                <w:b/>
                <w:bCs/>
                <w:color w:val="000000"/>
                <w:sz w:val="20"/>
                <w:szCs w:val="20"/>
              </w:rPr>
            </w:pPr>
            <w:r w:rsidRPr="00000E91">
              <w:rPr>
                <w:rFonts w:ascii="Arial" w:hAnsi="Arial" w:cs="Arial"/>
                <w:b/>
                <w:bCs/>
                <w:color w:val="000000"/>
                <w:sz w:val="20"/>
                <w:szCs w:val="20"/>
              </w:rPr>
              <w:t>PLA^</w:t>
            </w:r>
          </w:p>
        </w:tc>
      </w:tr>
      <w:tr w:rsidR="00000E91" w:rsidRPr="00000E91" w14:paraId="1088E776" w14:textId="77777777" w:rsidTr="007D538C">
        <w:tc>
          <w:tcPr>
            <w:tcW w:w="1008" w:type="dxa"/>
            <w:tcBorders>
              <w:top w:val="single" w:sz="4" w:space="0" w:color="auto"/>
            </w:tcBorders>
          </w:tcPr>
          <w:p w14:paraId="0049CEB9"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MP4001</w:t>
            </w:r>
          </w:p>
        </w:tc>
        <w:tc>
          <w:tcPr>
            <w:tcW w:w="3600" w:type="dxa"/>
            <w:tcBorders>
              <w:top w:val="single" w:sz="4" w:space="0" w:color="auto"/>
            </w:tcBorders>
          </w:tcPr>
          <w:p w14:paraId="2A8C464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N</w:t>
            </w:r>
          </w:p>
        </w:tc>
        <w:tc>
          <w:tcPr>
            <w:tcW w:w="1125" w:type="dxa"/>
            <w:tcBorders>
              <w:top w:val="single" w:sz="4" w:space="0" w:color="auto"/>
            </w:tcBorders>
          </w:tcPr>
          <w:p w14:paraId="6270FF0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153</w:t>
            </w:r>
          </w:p>
        </w:tc>
        <w:tc>
          <w:tcPr>
            <w:tcW w:w="1125" w:type="dxa"/>
            <w:tcBorders>
              <w:top w:val="single" w:sz="4" w:space="0" w:color="auto"/>
            </w:tcBorders>
          </w:tcPr>
          <w:p w14:paraId="23F5046B"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151</w:t>
            </w:r>
          </w:p>
        </w:tc>
        <w:tc>
          <w:tcPr>
            <w:tcW w:w="1125" w:type="dxa"/>
            <w:tcBorders>
              <w:top w:val="single" w:sz="4" w:space="0" w:color="auto"/>
            </w:tcBorders>
          </w:tcPr>
          <w:p w14:paraId="09B731ED"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152</w:t>
            </w:r>
          </w:p>
        </w:tc>
        <w:tc>
          <w:tcPr>
            <w:tcW w:w="1125" w:type="dxa"/>
            <w:tcBorders>
              <w:top w:val="single" w:sz="4" w:space="0" w:color="auto"/>
            </w:tcBorders>
          </w:tcPr>
          <w:p w14:paraId="5402F54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150</w:t>
            </w:r>
          </w:p>
        </w:tc>
      </w:tr>
      <w:tr w:rsidR="00000E91" w:rsidRPr="00000E91" w14:paraId="49E08E1E" w14:textId="77777777" w:rsidTr="007D538C">
        <w:tc>
          <w:tcPr>
            <w:tcW w:w="1008" w:type="dxa"/>
          </w:tcPr>
          <w:p w14:paraId="6F24499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5E28411B"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BL</w:t>
            </w:r>
          </w:p>
        </w:tc>
        <w:tc>
          <w:tcPr>
            <w:tcW w:w="1125" w:type="dxa"/>
          </w:tcPr>
          <w:p w14:paraId="4956906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18.6</w:t>
            </w:r>
          </w:p>
        </w:tc>
        <w:tc>
          <w:tcPr>
            <w:tcW w:w="1125" w:type="dxa"/>
          </w:tcPr>
          <w:p w14:paraId="18EFD42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18.1</w:t>
            </w:r>
          </w:p>
        </w:tc>
        <w:tc>
          <w:tcPr>
            <w:tcW w:w="1125" w:type="dxa"/>
          </w:tcPr>
          <w:p w14:paraId="43ABCB1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17.9</w:t>
            </w:r>
          </w:p>
        </w:tc>
        <w:tc>
          <w:tcPr>
            <w:tcW w:w="1125" w:type="dxa"/>
          </w:tcPr>
          <w:p w14:paraId="309B1E27"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18.5</w:t>
            </w:r>
          </w:p>
        </w:tc>
      </w:tr>
      <w:tr w:rsidR="00000E91" w:rsidRPr="00000E91" w14:paraId="4576839C" w14:textId="77777777" w:rsidTr="007D538C">
        <w:tc>
          <w:tcPr>
            <w:tcW w:w="1008" w:type="dxa"/>
          </w:tcPr>
          <w:p w14:paraId="46B8E77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3E94C6E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(SD) overall change from BL</w:t>
            </w:r>
          </w:p>
        </w:tc>
        <w:tc>
          <w:tcPr>
            <w:tcW w:w="1125" w:type="dxa"/>
          </w:tcPr>
          <w:p w14:paraId="6C9E68D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-5.3 (5.1)</w:t>
            </w:r>
          </w:p>
        </w:tc>
        <w:tc>
          <w:tcPr>
            <w:tcW w:w="1125" w:type="dxa"/>
          </w:tcPr>
          <w:p w14:paraId="142A29A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-3.8 (4.8)</w:t>
            </w:r>
          </w:p>
        </w:tc>
        <w:tc>
          <w:tcPr>
            <w:tcW w:w="1125" w:type="dxa"/>
          </w:tcPr>
          <w:p w14:paraId="308BA74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-3.3 (4.2)</w:t>
            </w:r>
          </w:p>
        </w:tc>
        <w:tc>
          <w:tcPr>
            <w:tcW w:w="1125" w:type="dxa"/>
          </w:tcPr>
          <w:p w14:paraId="789D4BE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-2.2 (4.2)</w:t>
            </w:r>
          </w:p>
        </w:tc>
      </w:tr>
      <w:tr w:rsidR="00000E91" w:rsidRPr="00000E91" w14:paraId="71E63C9E" w14:textId="77777777" w:rsidTr="007D538C">
        <w:tc>
          <w:tcPr>
            <w:tcW w:w="1008" w:type="dxa"/>
          </w:tcPr>
          <w:p w14:paraId="6EA3E0A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1FEE062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P-values (ANCOVA) vs.</w:t>
            </w:r>
          </w:p>
          <w:p w14:paraId="096E51A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DYMISTA 125/50</w:t>
            </w:r>
          </w:p>
        </w:tc>
        <w:tc>
          <w:tcPr>
            <w:tcW w:w="1125" w:type="dxa"/>
          </w:tcPr>
          <w:p w14:paraId="683EF41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w:t>
            </w:r>
          </w:p>
        </w:tc>
        <w:tc>
          <w:tcPr>
            <w:tcW w:w="1125" w:type="dxa"/>
          </w:tcPr>
          <w:p w14:paraId="5228002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0.003</w:t>
            </w:r>
          </w:p>
        </w:tc>
        <w:tc>
          <w:tcPr>
            <w:tcW w:w="1125" w:type="dxa"/>
          </w:tcPr>
          <w:p w14:paraId="639BEA6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&lt;0.001</w:t>
            </w:r>
          </w:p>
        </w:tc>
        <w:tc>
          <w:tcPr>
            <w:tcW w:w="1125" w:type="dxa"/>
          </w:tcPr>
          <w:p w14:paraId="6F7B8D3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&lt; 0.001</w:t>
            </w:r>
          </w:p>
        </w:tc>
      </w:tr>
      <w:tr w:rsidR="00000E91" w:rsidRPr="00000E91" w14:paraId="02C99CA0" w14:textId="77777777" w:rsidTr="007D538C">
        <w:tc>
          <w:tcPr>
            <w:tcW w:w="1008" w:type="dxa"/>
          </w:tcPr>
          <w:p w14:paraId="28B062F9"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MP4002</w:t>
            </w:r>
          </w:p>
        </w:tc>
        <w:tc>
          <w:tcPr>
            <w:tcW w:w="3600" w:type="dxa"/>
          </w:tcPr>
          <w:p w14:paraId="11D1C1C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N</w:t>
            </w:r>
          </w:p>
        </w:tc>
        <w:tc>
          <w:tcPr>
            <w:tcW w:w="1125" w:type="dxa"/>
          </w:tcPr>
          <w:p w14:paraId="3702ADA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207</w:t>
            </w:r>
          </w:p>
        </w:tc>
        <w:tc>
          <w:tcPr>
            <w:tcW w:w="1125" w:type="dxa"/>
          </w:tcPr>
          <w:p w14:paraId="7CCDB843"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207</w:t>
            </w:r>
          </w:p>
        </w:tc>
        <w:tc>
          <w:tcPr>
            <w:tcW w:w="1125" w:type="dxa"/>
          </w:tcPr>
          <w:p w14:paraId="7B22CA3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208</w:t>
            </w:r>
          </w:p>
        </w:tc>
        <w:tc>
          <w:tcPr>
            <w:tcW w:w="1125" w:type="dxa"/>
          </w:tcPr>
          <w:p w14:paraId="00B38A3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209</w:t>
            </w:r>
          </w:p>
        </w:tc>
      </w:tr>
      <w:tr w:rsidR="00000E91" w:rsidRPr="00000E91" w14:paraId="67C0F9B6" w14:textId="77777777" w:rsidTr="007D538C">
        <w:tc>
          <w:tcPr>
            <w:tcW w:w="1008" w:type="dxa"/>
          </w:tcPr>
          <w:p w14:paraId="0B8A4E4B"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53EA39A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BL</w:t>
            </w:r>
          </w:p>
        </w:tc>
        <w:tc>
          <w:tcPr>
            <w:tcW w:w="1125" w:type="dxa"/>
          </w:tcPr>
          <w:p w14:paraId="5BB2487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18.3</w:t>
            </w:r>
          </w:p>
        </w:tc>
        <w:tc>
          <w:tcPr>
            <w:tcW w:w="1125" w:type="dxa"/>
          </w:tcPr>
          <w:p w14:paraId="61925EE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18.2</w:t>
            </w:r>
          </w:p>
        </w:tc>
        <w:tc>
          <w:tcPr>
            <w:tcW w:w="1125" w:type="dxa"/>
          </w:tcPr>
          <w:p w14:paraId="474EEEA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18.3</w:t>
            </w:r>
          </w:p>
        </w:tc>
        <w:tc>
          <w:tcPr>
            <w:tcW w:w="1125" w:type="dxa"/>
          </w:tcPr>
          <w:p w14:paraId="3A263B6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18.6</w:t>
            </w:r>
          </w:p>
        </w:tc>
      </w:tr>
      <w:tr w:rsidR="00000E91" w:rsidRPr="00000E91" w14:paraId="36F9E95E" w14:textId="77777777" w:rsidTr="007D538C">
        <w:tc>
          <w:tcPr>
            <w:tcW w:w="1008" w:type="dxa"/>
          </w:tcPr>
          <w:p w14:paraId="7138B68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27BF12BD"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(SD) overall change from BL</w:t>
            </w:r>
          </w:p>
        </w:tc>
        <w:tc>
          <w:tcPr>
            <w:tcW w:w="1125" w:type="dxa"/>
          </w:tcPr>
          <w:p w14:paraId="683EB14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-5.6 (5.2)</w:t>
            </w:r>
          </w:p>
        </w:tc>
        <w:tc>
          <w:tcPr>
            <w:tcW w:w="1125" w:type="dxa"/>
          </w:tcPr>
          <w:p w14:paraId="4822E739"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-4.7 (4.7)</w:t>
            </w:r>
          </w:p>
        </w:tc>
        <w:tc>
          <w:tcPr>
            <w:tcW w:w="1125" w:type="dxa"/>
          </w:tcPr>
          <w:p w14:paraId="7E0D630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-4.2 (4.6)</w:t>
            </w:r>
          </w:p>
        </w:tc>
        <w:tc>
          <w:tcPr>
            <w:tcW w:w="1125" w:type="dxa"/>
          </w:tcPr>
          <w:p w14:paraId="629CDDE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-2.9 (3.9)</w:t>
            </w:r>
          </w:p>
        </w:tc>
      </w:tr>
      <w:tr w:rsidR="00000E91" w:rsidRPr="00000E91" w14:paraId="552D850F" w14:textId="77777777" w:rsidTr="007D538C">
        <w:tc>
          <w:tcPr>
            <w:tcW w:w="1008" w:type="dxa"/>
          </w:tcPr>
          <w:p w14:paraId="2C7A9E0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770E4FE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P-values (ANCOVA) vs. </w:t>
            </w:r>
          </w:p>
          <w:p w14:paraId="7B1D5D49"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DYMISTA 125/50</w:t>
            </w:r>
          </w:p>
        </w:tc>
        <w:tc>
          <w:tcPr>
            <w:tcW w:w="1125" w:type="dxa"/>
          </w:tcPr>
          <w:p w14:paraId="3090B51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w:t>
            </w:r>
          </w:p>
        </w:tc>
        <w:tc>
          <w:tcPr>
            <w:tcW w:w="1125" w:type="dxa"/>
          </w:tcPr>
          <w:p w14:paraId="3A7F87F9"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0.034</w:t>
            </w:r>
          </w:p>
        </w:tc>
        <w:tc>
          <w:tcPr>
            <w:tcW w:w="1125" w:type="dxa"/>
          </w:tcPr>
          <w:p w14:paraId="49902EC7"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0.001</w:t>
            </w:r>
          </w:p>
        </w:tc>
        <w:tc>
          <w:tcPr>
            <w:tcW w:w="1125" w:type="dxa"/>
          </w:tcPr>
          <w:p w14:paraId="3B5F618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&lt; 0.001</w:t>
            </w:r>
          </w:p>
        </w:tc>
      </w:tr>
      <w:tr w:rsidR="00000E91" w:rsidRPr="00000E91" w14:paraId="38C1DD4C" w14:textId="77777777" w:rsidTr="007D538C">
        <w:tc>
          <w:tcPr>
            <w:tcW w:w="1008" w:type="dxa"/>
          </w:tcPr>
          <w:p w14:paraId="4E56647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MP4004</w:t>
            </w:r>
          </w:p>
        </w:tc>
        <w:tc>
          <w:tcPr>
            <w:tcW w:w="3600" w:type="dxa"/>
          </w:tcPr>
          <w:p w14:paraId="635834A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N</w:t>
            </w:r>
          </w:p>
        </w:tc>
        <w:tc>
          <w:tcPr>
            <w:tcW w:w="1125" w:type="dxa"/>
          </w:tcPr>
          <w:p w14:paraId="49E85F8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193</w:t>
            </w:r>
          </w:p>
        </w:tc>
        <w:tc>
          <w:tcPr>
            <w:tcW w:w="1125" w:type="dxa"/>
          </w:tcPr>
          <w:p w14:paraId="72A4AF3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188</w:t>
            </w:r>
          </w:p>
        </w:tc>
        <w:tc>
          <w:tcPr>
            <w:tcW w:w="1125" w:type="dxa"/>
          </w:tcPr>
          <w:p w14:paraId="32E33C5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193</w:t>
            </w:r>
          </w:p>
        </w:tc>
        <w:tc>
          <w:tcPr>
            <w:tcW w:w="1125" w:type="dxa"/>
          </w:tcPr>
          <w:p w14:paraId="528E50E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199</w:t>
            </w:r>
          </w:p>
        </w:tc>
      </w:tr>
      <w:tr w:rsidR="00000E91" w:rsidRPr="00000E91" w14:paraId="69B89D30" w14:textId="77777777" w:rsidTr="007D538C">
        <w:tc>
          <w:tcPr>
            <w:tcW w:w="1008" w:type="dxa"/>
          </w:tcPr>
          <w:p w14:paraId="0053755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1CCA58F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BL</w:t>
            </w:r>
          </w:p>
        </w:tc>
        <w:tc>
          <w:tcPr>
            <w:tcW w:w="1125" w:type="dxa"/>
          </w:tcPr>
          <w:p w14:paraId="19C2B51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18.3</w:t>
            </w:r>
          </w:p>
        </w:tc>
        <w:tc>
          <w:tcPr>
            <w:tcW w:w="1125" w:type="dxa"/>
          </w:tcPr>
          <w:p w14:paraId="5DAA540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18.6</w:t>
            </w:r>
          </w:p>
        </w:tc>
        <w:tc>
          <w:tcPr>
            <w:tcW w:w="1125" w:type="dxa"/>
          </w:tcPr>
          <w:p w14:paraId="6A656E9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18.5</w:t>
            </w:r>
          </w:p>
        </w:tc>
        <w:tc>
          <w:tcPr>
            <w:tcW w:w="1125" w:type="dxa"/>
          </w:tcPr>
          <w:p w14:paraId="5051B5C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18.2</w:t>
            </w:r>
          </w:p>
        </w:tc>
      </w:tr>
      <w:tr w:rsidR="00000E91" w:rsidRPr="00000E91" w14:paraId="7A24B925" w14:textId="77777777" w:rsidTr="007D538C">
        <w:tc>
          <w:tcPr>
            <w:tcW w:w="1008" w:type="dxa"/>
          </w:tcPr>
          <w:p w14:paraId="6A733637"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60F3DEE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(SD) overall change from BL</w:t>
            </w:r>
          </w:p>
        </w:tc>
        <w:tc>
          <w:tcPr>
            <w:tcW w:w="1125" w:type="dxa"/>
          </w:tcPr>
          <w:p w14:paraId="06BA441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-5.5 (5.2)</w:t>
            </w:r>
          </w:p>
        </w:tc>
        <w:tc>
          <w:tcPr>
            <w:tcW w:w="1125" w:type="dxa"/>
          </w:tcPr>
          <w:p w14:paraId="32D304D7"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-4.6 (5.1)</w:t>
            </w:r>
          </w:p>
        </w:tc>
        <w:tc>
          <w:tcPr>
            <w:tcW w:w="1125" w:type="dxa"/>
          </w:tcPr>
          <w:p w14:paraId="646D87D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-4.5 (4.6)</w:t>
            </w:r>
          </w:p>
        </w:tc>
        <w:tc>
          <w:tcPr>
            <w:tcW w:w="1125" w:type="dxa"/>
          </w:tcPr>
          <w:p w14:paraId="5900435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-3.0 (3.9)</w:t>
            </w:r>
          </w:p>
        </w:tc>
      </w:tr>
      <w:tr w:rsidR="00000E91" w:rsidRPr="00000E91" w14:paraId="20E2A550" w14:textId="77777777" w:rsidTr="007D538C">
        <w:tc>
          <w:tcPr>
            <w:tcW w:w="1008" w:type="dxa"/>
          </w:tcPr>
          <w:p w14:paraId="6DDFBE6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3B980F9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P-values (ANCOVA) vs.</w:t>
            </w:r>
          </w:p>
          <w:p w14:paraId="539A16A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DYMISTA 125/50</w:t>
            </w:r>
          </w:p>
        </w:tc>
        <w:tc>
          <w:tcPr>
            <w:tcW w:w="1125" w:type="dxa"/>
          </w:tcPr>
          <w:p w14:paraId="5963CA8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w:t>
            </w:r>
          </w:p>
        </w:tc>
        <w:tc>
          <w:tcPr>
            <w:tcW w:w="1125" w:type="dxa"/>
          </w:tcPr>
          <w:p w14:paraId="645C756D"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0.038</w:t>
            </w:r>
          </w:p>
        </w:tc>
        <w:tc>
          <w:tcPr>
            <w:tcW w:w="1125" w:type="dxa"/>
          </w:tcPr>
          <w:p w14:paraId="4A11CA23"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0.032</w:t>
            </w:r>
          </w:p>
        </w:tc>
        <w:tc>
          <w:tcPr>
            <w:tcW w:w="1125" w:type="dxa"/>
          </w:tcPr>
          <w:p w14:paraId="27847E01"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&lt; 0.001</w:t>
            </w:r>
          </w:p>
        </w:tc>
      </w:tr>
      <w:tr w:rsidR="00000E91" w:rsidRPr="00000E91" w14:paraId="3DD2F26E" w14:textId="77777777" w:rsidTr="007D538C">
        <w:tc>
          <w:tcPr>
            <w:tcW w:w="1008" w:type="dxa"/>
          </w:tcPr>
          <w:p w14:paraId="31ECA35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MP4006</w:t>
            </w:r>
          </w:p>
        </w:tc>
        <w:tc>
          <w:tcPr>
            <w:tcW w:w="3600" w:type="dxa"/>
          </w:tcPr>
          <w:p w14:paraId="5E42F9B3"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N</w:t>
            </w:r>
          </w:p>
        </w:tc>
        <w:tc>
          <w:tcPr>
            <w:tcW w:w="1125" w:type="dxa"/>
          </w:tcPr>
          <w:p w14:paraId="4A72319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448</w:t>
            </w:r>
          </w:p>
        </w:tc>
        <w:tc>
          <w:tcPr>
            <w:tcW w:w="1125" w:type="dxa"/>
          </w:tcPr>
          <w:p w14:paraId="19E5B82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450</w:t>
            </w:r>
          </w:p>
        </w:tc>
        <w:tc>
          <w:tcPr>
            <w:tcW w:w="1125" w:type="dxa"/>
          </w:tcPr>
          <w:p w14:paraId="1CD6E738"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443</w:t>
            </w:r>
          </w:p>
        </w:tc>
        <w:tc>
          <w:tcPr>
            <w:tcW w:w="1125" w:type="dxa"/>
          </w:tcPr>
          <w:p w14:paraId="7B711F8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448</w:t>
            </w:r>
          </w:p>
        </w:tc>
      </w:tr>
      <w:tr w:rsidR="00000E91" w:rsidRPr="00000E91" w14:paraId="41914738" w14:textId="77777777" w:rsidTr="007D538C">
        <w:tc>
          <w:tcPr>
            <w:tcW w:w="1008" w:type="dxa"/>
          </w:tcPr>
          <w:p w14:paraId="60AB39F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23DB373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BL</w:t>
            </w:r>
          </w:p>
        </w:tc>
        <w:tc>
          <w:tcPr>
            <w:tcW w:w="1125" w:type="dxa"/>
          </w:tcPr>
          <w:p w14:paraId="2BE2BA5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19.3</w:t>
            </w:r>
          </w:p>
        </w:tc>
        <w:tc>
          <w:tcPr>
            <w:tcW w:w="1125" w:type="dxa"/>
          </w:tcPr>
          <w:p w14:paraId="341432C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19.4</w:t>
            </w:r>
          </w:p>
        </w:tc>
        <w:tc>
          <w:tcPr>
            <w:tcW w:w="1125" w:type="dxa"/>
          </w:tcPr>
          <w:p w14:paraId="05ED4149"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19.5</w:t>
            </w:r>
          </w:p>
        </w:tc>
        <w:tc>
          <w:tcPr>
            <w:tcW w:w="1125" w:type="dxa"/>
          </w:tcPr>
          <w:p w14:paraId="79EE2F1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19.4</w:t>
            </w:r>
          </w:p>
        </w:tc>
      </w:tr>
      <w:tr w:rsidR="00000E91" w:rsidRPr="00000E91" w14:paraId="59BA0344" w14:textId="77777777" w:rsidTr="007D538C">
        <w:tc>
          <w:tcPr>
            <w:tcW w:w="1008" w:type="dxa"/>
          </w:tcPr>
          <w:p w14:paraId="7D65FC4B"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Pr>
          <w:p w14:paraId="4C8CB7FD"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LS mean (SD) overall change from BL</w:t>
            </w:r>
          </w:p>
        </w:tc>
        <w:tc>
          <w:tcPr>
            <w:tcW w:w="1125" w:type="dxa"/>
          </w:tcPr>
          <w:p w14:paraId="4D7B509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-5.5 (5.2)</w:t>
            </w:r>
          </w:p>
        </w:tc>
        <w:tc>
          <w:tcPr>
            <w:tcW w:w="1125" w:type="dxa"/>
          </w:tcPr>
          <w:p w14:paraId="0ECF3EA5"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-4.9 (4.7)</w:t>
            </w:r>
          </w:p>
        </w:tc>
        <w:tc>
          <w:tcPr>
            <w:tcW w:w="1125" w:type="dxa"/>
          </w:tcPr>
          <w:p w14:paraId="3FA3039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-4.8 (4.8)</w:t>
            </w:r>
          </w:p>
        </w:tc>
        <w:tc>
          <w:tcPr>
            <w:tcW w:w="1125" w:type="dxa"/>
          </w:tcPr>
          <w:p w14:paraId="6BCE059B"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-3.4 (4.3)</w:t>
            </w:r>
          </w:p>
        </w:tc>
      </w:tr>
      <w:tr w:rsidR="00000E91" w:rsidRPr="00000E91" w14:paraId="1698FEC5" w14:textId="77777777" w:rsidTr="007D538C">
        <w:tc>
          <w:tcPr>
            <w:tcW w:w="1008" w:type="dxa"/>
            <w:tcBorders>
              <w:bottom w:val="single" w:sz="4" w:space="0" w:color="auto"/>
            </w:tcBorders>
          </w:tcPr>
          <w:p w14:paraId="501C409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p>
        </w:tc>
        <w:tc>
          <w:tcPr>
            <w:tcW w:w="3600" w:type="dxa"/>
            <w:tcBorders>
              <w:bottom w:val="single" w:sz="4" w:space="0" w:color="auto"/>
            </w:tcBorders>
          </w:tcPr>
          <w:p w14:paraId="66E5ADA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P-values (ANCOVA) vs. DYMISTA 125/50</w:t>
            </w:r>
          </w:p>
        </w:tc>
        <w:tc>
          <w:tcPr>
            <w:tcW w:w="1125" w:type="dxa"/>
            <w:tcBorders>
              <w:bottom w:val="single" w:sz="4" w:space="0" w:color="auto"/>
            </w:tcBorders>
          </w:tcPr>
          <w:p w14:paraId="1442C0C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w:t>
            </w:r>
          </w:p>
        </w:tc>
        <w:tc>
          <w:tcPr>
            <w:tcW w:w="1125" w:type="dxa"/>
            <w:tcBorders>
              <w:bottom w:val="single" w:sz="4" w:space="0" w:color="auto"/>
            </w:tcBorders>
          </w:tcPr>
          <w:p w14:paraId="5FE92F4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0.029</w:t>
            </w:r>
          </w:p>
        </w:tc>
        <w:tc>
          <w:tcPr>
            <w:tcW w:w="1125" w:type="dxa"/>
            <w:tcBorders>
              <w:bottom w:val="single" w:sz="4" w:space="0" w:color="auto"/>
            </w:tcBorders>
          </w:tcPr>
          <w:p w14:paraId="0FC6E8F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0.016</w:t>
            </w:r>
          </w:p>
        </w:tc>
        <w:tc>
          <w:tcPr>
            <w:tcW w:w="1125" w:type="dxa"/>
            <w:tcBorders>
              <w:bottom w:val="single" w:sz="4" w:space="0" w:color="auto"/>
            </w:tcBorders>
          </w:tcPr>
          <w:p w14:paraId="5CE349F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&lt; 0.001</w:t>
            </w:r>
          </w:p>
        </w:tc>
      </w:tr>
    </w:tbl>
    <w:p w14:paraId="067278F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 MP4001: Fluticasone Propionate Nasal Spray from </w:t>
      </w:r>
      <w:proofErr w:type="spellStart"/>
      <w:r w:rsidRPr="00000E91">
        <w:rPr>
          <w:rFonts w:ascii="Arial" w:hAnsi="Arial" w:cs="Arial"/>
          <w:color w:val="000000"/>
          <w:sz w:val="20"/>
          <w:szCs w:val="20"/>
        </w:rPr>
        <w:t>Roxane</w:t>
      </w:r>
      <w:proofErr w:type="spellEnd"/>
      <w:r w:rsidRPr="00000E91">
        <w:rPr>
          <w:rFonts w:ascii="Arial" w:hAnsi="Arial" w:cs="Arial"/>
          <w:color w:val="000000"/>
          <w:sz w:val="20"/>
          <w:szCs w:val="20"/>
        </w:rPr>
        <w:t xml:space="preserve"> Laboratories Inc.; Other studies: FLU in DYMISTA 125/50 vehicle</w:t>
      </w:r>
    </w:p>
    <w:p w14:paraId="7097C52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 MP4001: </w:t>
      </w:r>
      <w:proofErr w:type="spellStart"/>
      <w:r w:rsidRPr="00000E91">
        <w:rPr>
          <w:rFonts w:ascii="Arial" w:hAnsi="Arial" w:cs="Arial"/>
          <w:color w:val="000000"/>
          <w:sz w:val="20"/>
          <w:szCs w:val="20"/>
        </w:rPr>
        <w:t>Astelin</w:t>
      </w:r>
      <w:proofErr w:type="spellEnd"/>
      <w:r w:rsidRPr="00000E91">
        <w:rPr>
          <w:rFonts w:ascii="Arial" w:hAnsi="Arial" w:cs="Arial"/>
          <w:color w:val="000000"/>
          <w:sz w:val="20"/>
          <w:szCs w:val="20"/>
          <w:vertAlign w:val="superscript"/>
        </w:rPr>
        <w:t>®</w:t>
      </w:r>
      <w:r w:rsidRPr="00000E91">
        <w:rPr>
          <w:rFonts w:ascii="Arial" w:hAnsi="Arial" w:cs="Arial"/>
          <w:color w:val="000000"/>
          <w:sz w:val="20"/>
          <w:szCs w:val="20"/>
        </w:rPr>
        <w:t xml:space="preserve"> Nasal Spray; Other studies: AZE in DYMISTA 125/50 vehicle</w:t>
      </w:r>
    </w:p>
    <w:p w14:paraId="0972EA5F"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DYMISTA 125/50 vehicle</w:t>
      </w:r>
    </w:p>
    <w:p w14:paraId="1895EE65" w14:textId="77777777" w:rsidR="00000E91" w:rsidRPr="00000E91" w:rsidRDefault="00000E91" w:rsidP="00000E91">
      <w:pPr>
        <w:autoSpaceDE w:val="0"/>
        <w:autoSpaceDN w:val="0"/>
        <w:adjustRightInd w:val="0"/>
        <w:spacing w:after="0" w:line="240" w:lineRule="auto"/>
        <w:rPr>
          <w:rFonts w:ascii="Arial" w:hAnsi="Arial" w:cs="Arial"/>
          <w:sz w:val="20"/>
          <w:szCs w:val="20"/>
        </w:rPr>
      </w:pPr>
    </w:p>
    <w:p w14:paraId="4AE74ECA" w14:textId="77777777" w:rsidR="00000E91" w:rsidRPr="00000E91" w:rsidRDefault="00000E91" w:rsidP="00000E91">
      <w:pPr>
        <w:spacing w:after="0"/>
        <w:rPr>
          <w:rFonts w:ascii="Arial" w:hAnsi="Arial" w:cs="Arial"/>
          <w:lang w:val="en-GB"/>
        </w:rPr>
      </w:pPr>
      <w:r w:rsidRPr="00000E91">
        <w:rPr>
          <w:rFonts w:ascii="Arial" w:hAnsi="Arial" w:cs="Arial"/>
          <w:lang w:val="en-GB"/>
        </w:rPr>
        <w:t>Data from studies MP4004 and MP4006 indicate that the onset of clinically relevant action for DYMISTA 125/50 occurs within 30 minutes after first application of the combination.</w:t>
      </w:r>
    </w:p>
    <w:p w14:paraId="26C67AC5" w14:textId="77777777" w:rsidR="00000E91" w:rsidRPr="00000E91" w:rsidRDefault="00000E91" w:rsidP="00000E91">
      <w:pPr>
        <w:autoSpaceDE w:val="0"/>
        <w:autoSpaceDN w:val="0"/>
        <w:adjustRightInd w:val="0"/>
        <w:spacing w:after="0"/>
        <w:rPr>
          <w:rFonts w:ascii="Arial" w:hAnsi="Arial" w:cs="Arial"/>
          <w:color w:val="000000"/>
        </w:rPr>
      </w:pPr>
    </w:p>
    <w:p w14:paraId="276093D0" w14:textId="77777777" w:rsidR="00000E91" w:rsidRPr="00000E91" w:rsidRDefault="00000E91" w:rsidP="00000E91">
      <w:pPr>
        <w:spacing w:after="0"/>
        <w:rPr>
          <w:rFonts w:ascii="Arial" w:hAnsi="Arial" w:cs="Arial"/>
          <w:lang w:val="en-GB"/>
        </w:rPr>
      </w:pPr>
      <w:r w:rsidRPr="00000E91">
        <w:rPr>
          <w:rFonts w:ascii="Arial" w:hAnsi="Arial" w:cs="Arial"/>
          <w:lang w:val="en-GB"/>
        </w:rPr>
        <w:t xml:space="preserve">In the meta-analysis that pooled data from the 4 efficacy studies, DYMISTA 125/50 was shown to be </w:t>
      </w:r>
      <w:r w:rsidRPr="00000E91">
        <w:rPr>
          <w:rFonts w:ascii="Arial" w:hAnsi="Arial" w:cs="Arial"/>
          <w:color w:val="000000"/>
          <w:lang w:val="en-GB"/>
        </w:rPr>
        <w:t xml:space="preserve">statistically significantly </w:t>
      </w:r>
      <w:r w:rsidRPr="00000E91">
        <w:rPr>
          <w:rFonts w:ascii="Arial" w:hAnsi="Arial" w:cs="Arial"/>
          <w:lang w:val="en-GB"/>
        </w:rPr>
        <w:t xml:space="preserve">superior to both </w:t>
      </w:r>
      <w:proofErr w:type="spellStart"/>
      <w:r w:rsidRPr="00000E91">
        <w:rPr>
          <w:rFonts w:ascii="Arial" w:hAnsi="Arial" w:cs="Arial"/>
          <w:lang w:val="en-GB"/>
        </w:rPr>
        <w:t>azelastine</w:t>
      </w:r>
      <w:proofErr w:type="spellEnd"/>
      <w:r w:rsidRPr="00000E91">
        <w:rPr>
          <w:rFonts w:ascii="Arial" w:hAnsi="Arial" w:cs="Arial"/>
          <w:lang w:val="en-GB"/>
        </w:rPr>
        <w:t xml:space="preserve"> and fluticasone </w:t>
      </w:r>
      <w:proofErr w:type="spellStart"/>
      <w:r w:rsidRPr="00000E91">
        <w:rPr>
          <w:rFonts w:ascii="Arial" w:hAnsi="Arial" w:cs="Arial"/>
          <w:lang w:val="en-GB"/>
        </w:rPr>
        <w:t>monoproducts</w:t>
      </w:r>
      <w:proofErr w:type="spellEnd"/>
      <w:r w:rsidRPr="00000E91">
        <w:rPr>
          <w:rFonts w:ascii="Arial" w:hAnsi="Arial" w:cs="Arial"/>
          <w:lang w:val="en-GB"/>
        </w:rPr>
        <w:t xml:space="preserve"> and all active treatments were </w:t>
      </w:r>
      <w:r w:rsidRPr="00000E91">
        <w:rPr>
          <w:rFonts w:ascii="Arial" w:hAnsi="Arial" w:cs="Arial"/>
          <w:color w:val="000000"/>
          <w:lang w:val="en-GB"/>
        </w:rPr>
        <w:t xml:space="preserve">statistically significantly </w:t>
      </w:r>
      <w:r w:rsidRPr="00000E91">
        <w:rPr>
          <w:rFonts w:ascii="Arial" w:hAnsi="Arial" w:cs="Arial"/>
          <w:lang w:val="en-GB"/>
        </w:rPr>
        <w:t xml:space="preserve">superior to placebo  for almost all secondary efficacy variables including </w:t>
      </w:r>
      <w:r w:rsidRPr="00000E91">
        <w:rPr>
          <w:rFonts w:ascii="Arial" w:hAnsi="Arial" w:cs="Arial"/>
          <w:color w:val="000000"/>
          <w:lang w:val="en-GB"/>
        </w:rPr>
        <w:t xml:space="preserve">the reflective TNSS confined to daytime (denominated as 12hr PM) or night time (12hr AM), the instantaneous TNSS, </w:t>
      </w:r>
      <w:r w:rsidRPr="00000E91">
        <w:rPr>
          <w:rFonts w:ascii="Arial" w:hAnsi="Arial" w:cs="Arial"/>
          <w:lang w:val="en-GB"/>
        </w:rPr>
        <w:t xml:space="preserve">the reflective TOSS, post nasal drip, and all individual nasal and ocular symptom scores (all p&lt;0.05) except the comparison DYMISTA 125/50 with </w:t>
      </w:r>
      <w:proofErr w:type="spellStart"/>
      <w:r w:rsidRPr="00000E91">
        <w:rPr>
          <w:rFonts w:ascii="Arial" w:hAnsi="Arial" w:cs="Arial"/>
          <w:lang w:val="en-GB"/>
        </w:rPr>
        <w:t>azelastine</w:t>
      </w:r>
      <w:proofErr w:type="spellEnd"/>
      <w:r w:rsidRPr="00000E91">
        <w:rPr>
          <w:rFonts w:ascii="Arial" w:hAnsi="Arial" w:cs="Arial"/>
          <w:lang w:val="en-GB"/>
        </w:rPr>
        <w:t xml:space="preserve"> for eye redness (p=0.0513). DYMISTA 125/50 at least doubled the effect of </w:t>
      </w:r>
      <w:proofErr w:type="spellStart"/>
      <w:r w:rsidRPr="00000E91">
        <w:rPr>
          <w:rFonts w:ascii="Arial" w:hAnsi="Arial" w:cs="Arial"/>
          <w:lang w:val="en-GB"/>
        </w:rPr>
        <w:t>azelastine</w:t>
      </w:r>
      <w:proofErr w:type="spellEnd"/>
      <w:r w:rsidRPr="00000E91">
        <w:rPr>
          <w:rFonts w:ascii="Arial" w:hAnsi="Arial" w:cs="Arial"/>
          <w:lang w:val="en-GB"/>
        </w:rPr>
        <w:t xml:space="preserve"> and fluticasone propionate in reducing nasal and ocular symptoms score.</w:t>
      </w:r>
    </w:p>
    <w:p w14:paraId="3F13478A" w14:textId="77777777" w:rsidR="00000E91" w:rsidRPr="00000E91" w:rsidRDefault="00000E91" w:rsidP="00000E91">
      <w:pPr>
        <w:spacing w:after="0"/>
        <w:rPr>
          <w:rFonts w:ascii="Arial" w:hAnsi="Arial" w:cs="Arial"/>
          <w:lang w:val="en-GB"/>
        </w:rPr>
      </w:pPr>
    </w:p>
    <w:p w14:paraId="61AC3CB7" w14:textId="77777777" w:rsidR="00000E91" w:rsidRPr="00000E91" w:rsidRDefault="00000E91" w:rsidP="00000E91">
      <w:pPr>
        <w:spacing w:after="0"/>
        <w:rPr>
          <w:rFonts w:ascii="Arial" w:hAnsi="Arial" w:cs="Arial"/>
          <w:lang w:val="en-GB"/>
        </w:rPr>
      </w:pPr>
      <w:r w:rsidRPr="00000E91">
        <w:rPr>
          <w:rFonts w:ascii="Arial" w:hAnsi="Arial" w:cs="Arial"/>
          <w:lang w:val="en-GB"/>
        </w:rPr>
        <w:t>The RQLQ score for DYMISTA 125/50 was significantly improved over placebo for overall score and for each individual RQLQ domain in each individual study and in the meta-analysis. Across all studies and in the meta-analysis, the treatment difference in overall score between DYMISTA 125/50 and placebo exceeded the minimum clinically significant difference of -0.50.</w:t>
      </w:r>
    </w:p>
    <w:p w14:paraId="27A2328A" w14:textId="77777777" w:rsidR="00000E91" w:rsidRPr="00000E91" w:rsidRDefault="00000E91" w:rsidP="00000E91">
      <w:pPr>
        <w:spacing w:after="0"/>
        <w:rPr>
          <w:rFonts w:ascii="Arial" w:hAnsi="Arial" w:cs="Arial"/>
          <w:lang w:val="en-GB"/>
        </w:rPr>
      </w:pPr>
    </w:p>
    <w:p w14:paraId="1479ADDB" w14:textId="77777777" w:rsidR="00000E91" w:rsidRPr="00000E91" w:rsidRDefault="00000E91" w:rsidP="00000E91">
      <w:pPr>
        <w:spacing w:after="0"/>
        <w:rPr>
          <w:rFonts w:ascii="Arial" w:hAnsi="Arial" w:cs="Arial"/>
          <w:lang w:val="en-GB"/>
        </w:rPr>
      </w:pPr>
      <w:proofErr w:type="spellStart"/>
      <w:r w:rsidRPr="00000E91">
        <w:rPr>
          <w:rFonts w:ascii="Arial" w:hAnsi="Arial" w:cs="Arial"/>
          <w:lang w:val="en-GB"/>
        </w:rPr>
        <w:lastRenderedPageBreak/>
        <w:t>Dymista</w:t>
      </w:r>
      <w:proofErr w:type="spellEnd"/>
      <w:r w:rsidRPr="00000E91">
        <w:rPr>
          <w:rFonts w:ascii="Arial" w:hAnsi="Arial" w:cs="Arial"/>
          <w:lang w:val="en-GB"/>
        </w:rPr>
        <w:t xml:space="preserve"> 125/50 provided substantial allergic rhinitis symptom relief (50% reduction in </w:t>
      </w:r>
      <w:proofErr w:type="spellStart"/>
      <w:r w:rsidRPr="00000E91">
        <w:rPr>
          <w:rFonts w:ascii="Arial" w:hAnsi="Arial" w:cs="Arial"/>
          <w:lang w:val="en-GB"/>
        </w:rPr>
        <w:t>crTNSS</w:t>
      </w:r>
      <w:proofErr w:type="spellEnd"/>
      <w:r w:rsidRPr="00000E91">
        <w:rPr>
          <w:rFonts w:ascii="Arial" w:hAnsi="Arial" w:cs="Arial"/>
          <w:lang w:val="en-GB"/>
        </w:rPr>
        <w:t xml:space="preserve">) at least 3 days faster than </w:t>
      </w:r>
      <w:proofErr w:type="spellStart"/>
      <w:r w:rsidRPr="00000E91">
        <w:rPr>
          <w:rFonts w:ascii="Arial" w:hAnsi="Arial" w:cs="Arial"/>
          <w:lang w:val="en-GB"/>
        </w:rPr>
        <w:t>azelastine</w:t>
      </w:r>
      <w:proofErr w:type="spellEnd"/>
      <w:r w:rsidRPr="00000E91">
        <w:rPr>
          <w:rFonts w:ascii="Arial" w:hAnsi="Arial" w:cs="Arial"/>
          <w:lang w:val="en-GB"/>
        </w:rPr>
        <w:t xml:space="preserve"> and 6 days faster than fluticasone propionate nasal spray. The superior effect of DYMISTA 125/50 to fluticasone propionate nasal spray was maintained throughout a one-year study in patients with chronic persistent allergic rhinitis and </w:t>
      </w:r>
      <w:proofErr w:type="spellStart"/>
      <w:r w:rsidRPr="00000E91">
        <w:rPr>
          <w:rFonts w:ascii="Arial" w:hAnsi="Arial" w:cs="Arial"/>
          <w:lang w:val="en-GB"/>
        </w:rPr>
        <w:t>nonallergic</w:t>
      </w:r>
      <w:proofErr w:type="spellEnd"/>
      <w:r w:rsidRPr="00000E91">
        <w:rPr>
          <w:rFonts w:ascii="Arial" w:hAnsi="Arial" w:cs="Arial"/>
          <w:lang w:val="en-GB"/>
        </w:rPr>
        <w:t>/vasomotor rhinitis.</w:t>
      </w:r>
    </w:p>
    <w:p w14:paraId="1B0F563F" w14:textId="77777777" w:rsidR="00000E91" w:rsidRPr="00000E91" w:rsidRDefault="00000E91" w:rsidP="00000E91">
      <w:pPr>
        <w:spacing w:after="0"/>
        <w:rPr>
          <w:rFonts w:ascii="Arial" w:hAnsi="Arial" w:cs="Arial"/>
          <w:lang w:val="en-GB"/>
        </w:rPr>
      </w:pPr>
    </w:p>
    <w:p w14:paraId="366C5E64"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INDICATIONS</w:t>
      </w:r>
    </w:p>
    <w:p w14:paraId="766E024F" w14:textId="77777777" w:rsidR="00000E91" w:rsidRPr="00000E91" w:rsidRDefault="00000E91" w:rsidP="00000E91">
      <w:pPr>
        <w:spacing w:after="0"/>
        <w:rPr>
          <w:rFonts w:ascii="Arial" w:hAnsi="Arial" w:cs="Arial"/>
        </w:rPr>
      </w:pPr>
      <w:proofErr w:type="gramStart"/>
      <w:r w:rsidRPr="00000E91">
        <w:rPr>
          <w:rFonts w:ascii="Arial" w:hAnsi="Arial" w:cs="Arial"/>
        </w:rPr>
        <w:t>Symptomatic treatment of moderate to severe allergic rhinitis and rhino-conjunctivitis in adults and children 12 years and older where use of a combination (intranasal antihistamine and glucocorticoid) is appropriate.</w:t>
      </w:r>
      <w:proofErr w:type="gramEnd"/>
    </w:p>
    <w:p w14:paraId="755B84AF" w14:textId="77777777" w:rsidR="00000E91" w:rsidRPr="00000E91" w:rsidRDefault="00000E91" w:rsidP="00000E91">
      <w:pPr>
        <w:spacing w:after="0"/>
        <w:rPr>
          <w:rFonts w:ascii="Arial" w:hAnsi="Arial" w:cs="Arial"/>
          <w:b/>
          <w:bCs/>
        </w:rPr>
      </w:pPr>
    </w:p>
    <w:p w14:paraId="52FE34AB"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CONTRAINDICATIONS</w:t>
      </w:r>
    </w:p>
    <w:p w14:paraId="7D377123" w14:textId="77777777" w:rsidR="00000E91" w:rsidRPr="00000E91" w:rsidRDefault="00000E91" w:rsidP="00000E91">
      <w:pPr>
        <w:spacing w:after="0"/>
        <w:rPr>
          <w:rFonts w:ascii="Arial" w:hAnsi="Arial" w:cs="Arial"/>
          <w:b/>
          <w:bCs/>
          <w:sz w:val="24"/>
          <w:szCs w:val="24"/>
        </w:rPr>
      </w:pPr>
      <w:proofErr w:type="gramStart"/>
      <w:r w:rsidRPr="00000E91">
        <w:rPr>
          <w:rFonts w:ascii="Arial" w:hAnsi="Arial" w:cs="Arial"/>
        </w:rPr>
        <w:t>Hypersensitivity to the active substance(s) or to any of the excipients.</w:t>
      </w:r>
      <w:proofErr w:type="gramEnd"/>
    </w:p>
    <w:p w14:paraId="52FC56EE" w14:textId="77777777" w:rsidR="00000E91" w:rsidRPr="00000E91" w:rsidRDefault="00000E91" w:rsidP="00000E91">
      <w:pPr>
        <w:spacing w:after="0"/>
        <w:rPr>
          <w:rFonts w:ascii="Arial" w:hAnsi="Arial" w:cs="Arial"/>
          <w:b/>
          <w:bCs/>
          <w:sz w:val="24"/>
          <w:szCs w:val="24"/>
        </w:rPr>
      </w:pPr>
    </w:p>
    <w:p w14:paraId="359FD508"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PRECAUTIONS</w:t>
      </w:r>
    </w:p>
    <w:p w14:paraId="4FBC7550"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 xml:space="preserve">Somnolence   </w:t>
      </w:r>
    </w:p>
    <w:p w14:paraId="0BED5D00"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In clinical studies, the occurrence of somnolence has been reported in some patients taking DYMISTA 125/50 (see </w:t>
      </w:r>
      <w:r w:rsidRPr="00000E91">
        <w:rPr>
          <w:rFonts w:ascii="Arial" w:eastAsia="Times New Roman" w:hAnsi="Arial" w:cs="Arial"/>
          <w:b/>
          <w:bCs/>
          <w:lang w:val="en-US"/>
        </w:rPr>
        <w:t>ADVERSE EFFECTS</w:t>
      </w:r>
      <w:r w:rsidRPr="00000E91">
        <w:rPr>
          <w:rFonts w:ascii="Arial" w:eastAsia="Times New Roman" w:hAnsi="Arial" w:cs="Arial"/>
          <w:lang w:val="en-US"/>
        </w:rPr>
        <w:t xml:space="preserve">). The overall incidence of somnolence was much lower than that reported for oral antihistamines. Even so, patients should be cautioned against engaging in hazardous occupations requiring complete mental alertness and motor coordination such as operating machinery or driving a motor vehicle after administration of DYMISTA 125/50 until they know how they react to the nasal spray. When administered orally in combination,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hydrochloride 4.4 mg tablets and alcohol showed sedative effects. As no specific information is available with the nasal spray, caution is required if DYMISTA 125/50 is used concomitantly with alcohol or other CNS depressants</w:t>
      </w:r>
      <w:r w:rsidRPr="00000E91" w:rsidDel="007B2F77">
        <w:rPr>
          <w:rFonts w:ascii="Arial" w:eastAsia="Times New Roman" w:hAnsi="Arial" w:cs="Arial"/>
          <w:lang w:val="en-US"/>
        </w:rPr>
        <w:t xml:space="preserve"> </w:t>
      </w:r>
      <w:r w:rsidRPr="00000E91">
        <w:rPr>
          <w:rFonts w:ascii="Arial" w:eastAsia="Times New Roman" w:hAnsi="Arial" w:cs="Arial"/>
          <w:lang w:val="en-US"/>
        </w:rPr>
        <w:t>(see</w:t>
      </w:r>
      <w:r w:rsidRPr="00000E91">
        <w:rPr>
          <w:rFonts w:ascii="Arial" w:eastAsia="Times New Roman" w:hAnsi="Arial" w:cs="Arial"/>
          <w:sz w:val="24"/>
          <w:szCs w:val="24"/>
          <w:lang w:val="en-US"/>
        </w:rPr>
        <w:t xml:space="preserve"> </w:t>
      </w:r>
      <w:r w:rsidRPr="00000E91">
        <w:rPr>
          <w:rFonts w:ascii="Arial" w:eastAsia="Times New Roman" w:hAnsi="Arial" w:cs="Arial"/>
          <w:b/>
          <w:bCs/>
          <w:sz w:val="24"/>
          <w:szCs w:val="24"/>
          <w:lang w:val="en-US"/>
        </w:rPr>
        <w:t>PRECAUTIONS</w:t>
      </w:r>
      <w:r w:rsidRPr="00000E91">
        <w:rPr>
          <w:rFonts w:ascii="Arial" w:eastAsia="Times New Roman" w:hAnsi="Arial" w:cs="Arial"/>
          <w:sz w:val="24"/>
          <w:szCs w:val="24"/>
          <w:lang w:val="en-US"/>
        </w:rPr>
        <w:t xml:space="preserve"> –</w:t>
      </w:r>
      <w:r w:rsidRPr="00000E91">
        <w:rPr>
          <w:rFonts w:ascii="Arial" w:eastAsia="Times New Roman" w:hAnsi="Arial" w:cs="Arial"/>
          <w:b/>
          <w:bCs/>
          <w:sz w:val="24"/>
          <w:szCs w:val="24"/>
          <w:lang w:val="en-US"/>
        </w:rPr>
        <w:t>Effects on Ability to Drive and Operate Machinery</w:t>
      </w:r>
      <w:r w:rsidRPr="00000E91">
        <w:rPr>
          <w:rFonts w:ascii="Arial" w:eastAsia="Times New Roman" w:hAnsi="Arial" w:cs="Arial"/>
          <w:sz w:val="24"/>
          <w:szCs w:val="24"/>
          <w:lang w:val="en-US"/>
        </w:rPr>
        <w:t xml:space="preserve"> and </w:t>
      </w:r>
      <w:r w:rsidRPr="00000E91">
        <w:rPr>
          <w:rFonts w:ascii="Arial" w:eastAsia="Times New Roman" w:hAnsi="Arial" w:cs="Arial"/>
          <w:b/>
          <w:bCs/>
          <w:sz w:val="24"/>
          <w:szCs w:val="24"/>
          <w:lang w:val="en-US"/>
        </w:rPr>
        <w:t>INTERACTIONS WITH OTHER MEDICINES</w:t>
      </w:r>
      <w:r w:rsidRPr="00000E91">
        <w:rPr>
          <w:rFonts w:ascii="Arial" w:eastAsia="Times New Roman" w:hAnsi="Arial" w:cs="Arial"/>
          <w:sz w:val="24"/>
          <w:szCs w:val="24"/>
          <w:lang w:val="en-US"/>
        </w:rPr>
        <w:t xml:space="preserve"> – </w:t>
      </w:r>
      <w:r w:rsidRPr="00000E91">
        <w:rPr>
          <w:rFonts w:ascii="Arial" w:eastAsia="Times New Roman" w:hAnsi="Arial" w:cs="Arial"/>
          <w:b/>
          <w:bCs/>
          <w:sz w:val="24"/>
          <w:szCs w:val="24"/>
          <w:lang w:val="en-US"/>
        </w:rPr>
        <w:t>Central Nervous System Depressants</w:t>
      </w:r>
      <w:r w:rsidRPr="00000E91">
        <w:rPr>
          <w:rFonts w:ascii="Arial" w:eastAsia="Times New Roman" w:hAnsi="Arial" w:cs="Arial"/>
          <w:lang w:val="en-US"/>
        </w:rPr>
        <w:t xml:space="preserve">).  </w:t>
      </w:r>
    </w:p>
    <w:p w14:paraId="2C1581CC" w14:textId="77777777" w:rsidR="00000E91" w:rsidRPr="00000E91" w:rsidRDefault="00000E91" w:rsidP="00000E91">
      <w:pPr>
        <w:spacing w:after="0"/>
        <w:rPr>
          <w:rFonts w:ascii="Arial" w:hAnsi="Arial" w:cs="Arial"/>
        </w:rPr>
      </w:pPr>
    </w:p>
    <w:p w14:paraId="50213CCF"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Local Effects</w:t>
      </w:r>
    </w:p>
    <w:p w14:paraId="2626B8E7"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Instances of nasal ulceration and nasal septal perforation have been reported in patients following the intranasal application of corticosteroids.  There were no instances of nasal ulceration or nasal septal perforation observed in clinical studies with DYMISTA 125/50.</w:t>
      </w:r>
    </w:p>
    <w:p w14:paraId="36903861"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Because of the inhibitory effect of corticosteroids on wound healing, patients who have experienced recent nasal ulcers, nasal surgery, or nasal trauma should not use DYMISTA 125/50 until healing has occurred.</w:t>
      </w:r>
    </w:p>
    <w:p w14:paraId="55CFBF7F" w14:textId="77777777" w:rsidR="00000E91" w:rsidRPr="00000E91" w:rsidRDefault="00000E91" w:rsidP="00000E91">
      <w:pPr>
        <w:spacing w:after="0"/>
        <w:rPr>
          <w:rFonts w:ascii="Arial" w:eastAsia="Times New Roman" w:hAnsi="Arial" w:cs="Arial"/>
          <w:lang w:val="en-US"/>
        </w:rPr>
      </w:pPr>
    </w:p>
    <w:p w14:paraId="1DF2584F"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Local infections of the nasal airways should be appropriately treated but do not constitute a specific contra-indication to treatment with DYMISTA 125/50. Candidiasis of the throat can occur in patients treated with intranasal steroids. Special care should be taken when treating patients who may be susceptible to candida infections (</w:t>
      </w:r>
      <w:proofErr w:type="spellStart"/>
      <w:r w:rsidRPr="00000E91">
        <w:rPr>
          <w:rFonts w:ascii="Arial" w:eastAsia="Times New Roman" w:hAnsi="Arial" w:cs="Arial"/>
          <w:lang w:val="en-US"/>
        </w:rPr>
        <w:t>eg</w:t>
      </w:r>
      <w:proofErr w:type="spellEnd"/>
      <w:r w:rsidRPr="00000E91">
        <w:rPr>
          <w:rFonts w:ascii="Arial" w:eastAsia="Times New Roman" w:hAnsi="Arial" w:cs="Arial"/>
          <w:lang w:val="en-US"/>
        </w:rPr>
        <w:t xml:space="preserve"> diabetics).</w:t>
      </w:r>
    </w:p>
    <w:p w14:paraId="75329B20" w14:textId="77777777" w:rsidR="00000E91" w:rsidRPr="00000E91" w:rsidRDefault="00000E91" w:rsidP="00000E91">
      <w:pPr>
        <w:spacing w:after="0"/>
        <w:rPr>
          <w:rFonts w:ascii="Arial" w:hAnsi="Arial" w:cs="Arial"/>
        </w:rPr>
      </w:pPr>
    </w:p>
    <w:p w14:paraId="3175FEF5"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Glaucoma and Cataracts</w:t>
      </w:r>
    </w:p>
    <w:p w14:paraId="16C2B8E0"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Rare instances of glaucoma and increased intra-ocular pressure have been reported following administration of intranasal corticosteroids, as a class effect. Therefore, close </w:t>
      </w:r>
      <w:r w:rsidRPr="00000E91">
        <w:rPr>
          <w:rFonts w:ascii="Arial" w:eastAsia="Times New Roman" w:hAnsi="Arial" w:cs="Arial"/>
          <w:lang w:val="en-US"/>
        </w:rPr>
        <w:lastRenderedPageBreak/>
        <w:t>monitoring is warranted in patients with a change in vision or with a history of increased intraocular pressure, glaucoma, and/or cataracts.</w:t>
      </w:r>
    </w:p>
    <w:p w14:paraId="473B21DF" w14:textId="77777777" w:rsidR="00000E91" w:rsidRPr="00000E91" w:rsidRDefault="00000E91" w:rsidP="00000E91">
      <w:pPr>
        <w:spacing w:after="0"/>
        <w:rPr>
          <w:rFonts w:ascii="Arial" w:eastAsia="Times New Roman" w:hAnsi="Arial" w:cs="Arial"/>
          <w:lang w:val="en-US"/>
        </w:rPr>
      </w:pPr>
    </w:p>
    <w:p w14:paraId="428F4034"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Hypothalamic-Pituitary-Adrenal (HPA) Axis Effects</w:t>
      </w:r>
    </w:p>
    <w:p w14:paraId="0C9EDCB7"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Intranasal steroid products are designed to deliver drug directly to the nasal mucosa in order to </w:t>
      </w:r>
      <w:proofErr w:type="spellStart"/>
      <w:r w:rsidRPr="00000E91">
        <w:rPr>
          <w:rFonts w:ascii="Arial" w:eastAsia="Times New Roman" w:hAnsi="Arial" w:cs="Arial"/>
          <w:lang w:val="en-US"/>
        </w:rPr>
        <w:t>minimise</w:t>
      </w:r>
      <w:proofErr w:type="spellEnd"/>
      <w:r w:rsidRPr="00000E91">
        <w:rPr>
          <w:rFonts w:ascii="Arial" w:eastAsia="Times New Roman" w:hAnsi="Arial" w:cs="Arial"/>
          <w:lang w:val="en-US"/>
        </w:rPr>
        <w:t xml:space="preserve"> overall systemic glucocorticoid exposure and side effects. Systemic effects such as HPA axis suppression, reduction of bone density and retardation of growth rate in children may occur with intranasal steroids, particularly at high doses prescribed for prolonged periods of time. </w:t>
      </w:r>
    </w:p>
    <w:p w14:paraId="45861971" w14:textId="77777777" w:rsidR="00000E91" w:rsidRPr="00000E91" w:rsidRDefault="00000E91" w:rsidP="00000E91">
      <w:pPr>
        <w:spacing w:after="0"/>
        <w:rPr>
          <w:rFonts w:ascii="Arial" w:eastAsia="Times New Roman" w:hAnsi="Arial" w:cs="Arial"/>
          <w:lang w:val="en-US"/>
        </w:rPr>
      </w:pPr>
    </w:p>
    <w:p w14:paraId="448AF066"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The lowest dose of fluticasone propionate nasal spray that causes suppression of the HPA axis or effects on bone mineral density or growth retardation has not yet been established. However, the systemic bioavailability of fluticasone propionate is low (estimated at 1.26% using high doses), when given as fluticasone propionate nasal spray, and this limits the potential for such systemic side effects. Measurement of serum cortisol and 24 hour urinary cortisol in the clinical studies in adults did not suggest any HPA axis suppression with recommended doses. Studies of effects on the HPA axis in children have not been conducted.</w:t>
      </w:r>
    </w:p>
    <w:p w14:paraId="2135458F" w14:textId="77777777" w:rsidR="00000E91" w:rsidRPr="00000E91" w:rsidRDefault="00000E91" w:rsidP="00000E91">
      <w:pPr>
        <w:spacing w:after="0"/>
        <w:rPr>
          <w:rFonts w:ascii="Arial" w:eastAsia="Times New Roman" w:hAnsi="Arial" w:cs="Arial"/>
          <w:lang w:val="en-US"/>
        </w:rPr>
      </w:pPr>
    </w:p>
    <w:p w14:paraId="13BA43E3"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Care must be taken while transferring patients from systemic steroid treatment to DYMISTA 125/50 if there is any reason to suppose that their adrenal function is impaired. </w:t>
      </w:r>
    </w:p>
    <w:p w14:paraId="6BCB1322"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p>
    <w:p w14:paraId="68A9FDFA"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Use of Cytochrome P450 3A4 Inhibitors</w:t>
      </w:r>
    </w:p>
    <w:p w14:paraId="5C815EF9"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Care should be taken when co-administering known, strong CYP3A4 inhibitors, </w:t>
      </w:r>
      <w:proofErr w:type="spellStart"/>
      <w:r w:rsidRPr="00000E91">
        <w:rPr>
          <w:rFonts w:ascii="Arial" w:eastAsia="Times New Roman" w:hAnsi="Arial" w:cs="Arial"/>
          <w:lang w:val="en-US"/>
        </w:rPr>
        <w:t>eg</w:t>
      </w:r>
      <w:proofErr w:type="spellEnd"/>
      <w:r w:rsidRPr="00000E91">
        <w:rPr>
          <w:rFonts w:ascii="Arial" w:eastAsia="Times New Roman" w:hAnsi="Arial" w:cs="Arial"/>
          <w:lang w:val="en-US"/>
        </w:rPr>
        <w:t xml:space="preserve">. </w:t>
      </w:r>
      <w:proofErr w:type="gramStart"/>
      <w:r w:rsidRPr="00000E91">
        <w:rPr>
          <w:rFonts w:ascii="Arial" w:eastAsia="Times New Roman" w:hAnsi="Arial" w:cs="Arial"/>
          <w:lang w:val="en-US"/>
        </w:rPr>
        <w:t>ritonavir</w:t>
      </w:r>
      <w:proofErr w:type="gramEnd"/>
      <w:r w:rsidRPr="00000E91">
        <w:rPr>
          <w:rFonts w:ascii="Arial" w:eastAsia="Times New Roman" w:hAnsi="Arial" w:cs="Arial"/>
          <w:lang w:val="en-US"/>
        </w:rPr>
        <w:t xml:space="preserve"> and ketoconazole, as there is potential for increased systemic exposure to fluticasone propionate.</w:t>
      </w:r>
      <w:r w:rsidRPr="00000E91" w:rsidDel="00ED6929">
        <w:rPr>
          <w:rFonts w:ascii="Arial" w:eastAsia="Times New Roman" w:hAnsi="Arial" w:cs="Arial"/>
          <w:lang w:val="en-US"/>
        </w:rPr>
        <w:t xml:space="preserve"> </w:t>
      </w:r>
      <w:r w:rsidRPr="00000E91">
        <w:rPr>
          <w:rFonts w:ascii="Arial" w:eastAsia="Times New Roman" w:hAnsi="Arial" w:cs="Arial"/>
          <w:lang w:val="en-US"/>
        </w:rPr>
        <w:t>(</w:t>
      </w:r>
      <w:proofErr w:type="gramStart"/>
      <w:r w:rsidRPr="00000E91">
        <w:rPr>
          <w:rFonts w:ascii="Arial" w:eastAsia="Times New Roman" w:hAnsi="Arial" w:cs="Arial"/>
          <w:lang w:val="en-US"/>
        </w:rPr>
        <w:t>see</w:t>
      </w:r>
      <w:proofErr w:type="gramEnd"/>
      <w:r w:rsidRPr="00000E91">
        <w:rPr>
          <w:rFonts w:ascii="Arial" w:eastAsia="Times New Roman" w:hAnsi="Arial" w:cs="Arial"/>
          <w:lang w:val="en-US"/>
        </w:rPr>
        <w:t xml:space="preserve"> </w:t>
      </w:r>
      <w:r w:rsidRPr="00000E91">
        <w:rPr>
          <w:rFonts w:ascii="Arial" w:eastAsia="Times New Roman" w:hAnsi="Arial" w:cs="Arial"/>
          <w:b/>
          <w:bCs/>
          <w:lang w:val="en-US"/>
        </w:rPr>
        <w:t>INTERACTIONS WITH OTHER MEDICINES</w:t>
      </w:r>
      <w:r w:rsidRPr="00000E91">
        <w:rPr>
          <w:rFonts w:ascii="Arial" w:eastAsia="Times New Roman" w:hAnsi="Arial" w:cs="Arial"/>
          <w:lang w:val="en-US"/>
        </w:rPr>
        <w:t xml:space="preserve"> and </w:t>
      </w:r>
      <w:r w:rsidRPr="00000E91">
        <w:rPr>
          <w:rFonts w:ascii="Arial" w:eastAsia="Times New Roman" w:hAnsi="Arial" w:cs="Arial"/>
          <w:b/>
          <w:bCs/>
          <w:lang w:val="en-US"/>
        </w:rPr>
        <w:t>Pharmacokinetics</w:t>
      </w:r>
      <w:r w:rsidRPr="00000E91">
        <w:rPr>
          <w:rFonts w:ascii="Arial" w:eastAsia="Times New Roman" w:hAnsi="Arial" w:cs="Arial"/>
          <w:lang w:val="en-US"/>
        </w:rPr>
        <w:t xml:space="preserve"> – </w:t>
      </w:r>
      <w:r w:rsidRPr="00000E91">
        <w:rPr>
          <w:rFonts w:ascii="Arial" w:eastAsia="Times New Roman" w:hAnsi="Arial" w:cs="Arial"/>
          <w:b/>
          <w:bCs/>
          <w:lang w:val="en-US"/>
        </w:rPr>
        <w:t>Metabolism</w:t>
      </w:r>
      <w:r w:rsidRPr="00000E91">
        <w:rPr>
          <w:rFonts w:ascii="Arial" w:eastAsia="Times New Roman" w:hAnsi="Arial" w:cs="Arial"/>
          <w:lang w:val="en-US"/>
        </w:rPr>
        <w:t xml:space="preserve">). </w:t>
      </w:r>
    </w:p>
    <w:p w14:paraId="6A2559A9"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p>
    <w:p w14:paraId="35ED951E"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Effect on Growth</w:t>
      </w:r>
    </w:p>
    <w:p w14:paraId="767E68E0"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Retardation of growth rate in children may occur with intranasal steroids, particularly at high doses prescribed for prolonged periods of time.</w:t>
      </w:r>
      <w:r w:rsidRPr="00000E91" w:rsidDel="00ED6929">
        <w:rPr>
          <w:rFonts w:ascii="Arial" w:eastAsia="Times New Roman" w:hAnsi="Arial" w:cs="Arial"/>
          <w:lang w:val="en-US"/>
        </w:rPr>
        <w:t xml:space="preserve"> </w:t>
      </w:r>
      <w:r w:rsidRPr="00000E91">
        <w:rPr>
          <w:rFonts w:ascii="Arial" w:eastAsia="Times New Roman" w:hAnsi="Arial" w:cs="Arial"/>
          <w:lang w:val="en-US"/>
        </w:rPr>
        <w:t>(</w:t>
      </w:r>
      <w:proofErr w:type="gramStart"/>
      <w:r w:rsidRPr="00000E91">
        <w:rPr>
          <w:rFonts w:ascii="Arial" w:eastAsia="Times New Roman" w:hAnsi="Arial" w:cs="Arial"/>
          <w:lang w:val="en-US"/>
        </w:rPr>
        <w:t>see</w:t>
      </w:r>
      <w:proofErr w:type="gramEnd"/>
      <w:r w:rsidRPr="00000E91">
        <w:rPr>
          <w:rFonts w:ascii="Arial" w:eastAsia="Times New Roman" w:hAnsi="Arial" w:cs="Arial"/>
          <w:b/>
          <w:bCs/>
          <w:lang w:val="en-US"/>
        </w:rPr>
        <w:t xml:space="preserve"> PRECAUTIONS</w:t>
      </w:r>
      <w:r w:rsidRPr="00000E91">
        <w:rPr>
          <w:rFonts w:ascii="Arial" w:eastAsia="Times New Roman" w:hAnsi="Arial" w:cs="Arial"/>
          <w:lang w:val="en-US"/>
        </w:rPr>
        <w:t xml:space="preserve"> – </w:t>
      </w:r>
      <w:r w:rsidRPr="00000E91">
        <w:rPr>
          <w:rFonts w:ascii="Arial" w:eastAsia="Times New Roman" w:hAnsi="Arial" w:cs="Arial"/>
          <w:b/>
          <w:bCs/>
          <w:lang w:val="en-US"/>
        </w:rPr>
        <w:t>Use in Children and Adolescents</w:t>
      </w:r>
      <w:r w:rsidRPr="00000E91">
        <w:rPr>
          <w:rFonts w:ascii="Arial" w:eastAsia="Times New Roman" w:hAnsi="Arial" w:cs="Arial"/>
          <w:lang w:val="en-US"/>
        </w:rPr>
        <w:t>).</w:t>
      </w:r>
    </w:p>
    <w:p w14:paraId="6A8A566E" w14:textId="77777777" w:rsidR="00000E91" w:rsidRPr="00000E91" w:rsidRDefault="00000E91" w:rsidP="00000E91">
      <w:pPr>
        <w:spacing w:after="0"/>
        <w:rPr>
          <w:rFonts w:ascii="Arial" w:hAnsi="Arial" w:cs="Arial"/>
          <w:b/>
          <w:bCs/>
        </w:rPr>
      </w:pPr>
    </w:p>
    <w:p w14:paraId="582299F1" w14:textId="77777777" w:rsidR="00000E91" w:rsidRPr="00000E91" w:rsidRDefault="00000E91" w:rsidP="00000E91">
      <w:pPr>
        <w:spacing w:after="0"/>
        <w:rPr>
          <w:rFonts w:ascii="Arial" w:hAnsi="Arial" w:cs="Arial"/>
          <w:b/>
          <w:bCs/>
        </w:rPr>
      </w:pPr>
      <w:r w:rsidRPr="00000E91">
        <w:rPr>
          <w:rFonts w:ascii="Arial" w:hAnsi="Arial" w:cs="Arial"/>
          <w:b/>
          <w:bCs/>
        </w:rPr>
        <w:t>Use in Patients with Renal Impairment</w:t>
      </w:r>
    </w:p>
    <w:p w14:paraId="4278A68A" w14:textId="77777777" w:rsidR="00000E91" w:rsidRPr="00000E91" w:rsidRDefault="00000E91" w:rsidP="00000E91">
      <w:pPr>
        <w:spacing w:after="0"/>
        <w:rPr>
          <w:rFonts w:ascii="Arial" w:hAnsi="Arial" w:cs="Arial"/>
        </w:rPr>
      </w:pPr>
      <w:r w:rsidRPr="00000E91">
        <w:rPr>
          <w:rFonts w:ascii="Arial" w:hAnsi="Arial" w:cs="Arial"/>
        </w:rPr>
        <w:t xml:space="preserve">See </w:t>
      </w:r>
      <w:r w:rsidRPr="00000E91">
        <w:rPr>
          <w:rFonts w:ascii="Arial" w:hAnsi="Arial" w:cs="Arial"/>
          <w:b/>
          <w:bCs/>
        </w:rPr>
        <w:t>Pharmacokinetics</w:t>
      </w:r>
      <w:r w:rsidRPr="00000E91">
        <w:rPr>
          <w:rFonts w:ascii="Arial" w:hAnsi="Arial" w:cs="Arial"/>
        </w:rPr>
        <w:t xml:space="preserve"> under </w:t>
      </w:r>
      <w:r w:rsidRPr="00000E91">
        <w:rPr>
          <w:rFonts w:ascii="Arial" w:hAnsi="Arial" w:cs="Arial"/>
          <w:b/>
          <w:bCs/>
        </w:rPr>
        <w:t>Special Populations</w:t>
      </w:r>
      <w:r w:rsidRPr="00000E91">
        <w:rPr>
          <w:rFonts w:ascii="Arial" w:hAnsi="Arial" w:cs="Arial"/>
        </w:rPr>
        <w:t xml:space="preserve"> – </w:t>
      </w:r>
      <w:r w:rsidRPr="00000E91">
        <w:rPr>
          <w:rFonts w:ascii="Arial" w:hAnsi="Arial" w:cs="Arial"/>
          <w:b/>
          <w:bCs/>
          <w:i/>
          <w:iCs/>
        </w:rPr>
        <w:t>Renal Impairment</w:t>
      </w:r>
      <w:r w:rsidRPr="00000E91">
        <w:rPr>
          <w:rFonts w:ascii="Arial" w:hAnsi="Arial" w:cs="Arial"/>
        </w:rPr>
        <w:t>.</w:t>
      </w:r>
    </w:p>
    <w:p w14:paraId="2999DCDE" w14:textId="77777777" w:rsidR="00000E91" w:rsidRPr="00000E91" w:rsidRDefault="00000E91" w:rsidP="00000E91">
      <w:pPr>
        <w:spacing w:after="0"/>
        <w:rPr>
          <w:rFonts w:ascii="Arial" w:hAnsi="Arial" w:cs="Arial"/>
          <w:sz w:val="24"/>
          <w:szCs w:val="24"/>
        </w:rPr>
      </w:pPr>
    </w:p>
    <w:p w14:paraId="0EBAF73C" w14:textId="77777777" w:rsidR="00000E91" w:rsidRPr="00000E91" w:rsidRDefault="00000E91" w:rsidP="00000E91">
      <w:pPr>
        <w:spacing w:after="0"/>
        <w:rPr>
          <w:rFonts w:ascii="Arial" w:hAnsi="Arial" w:cs="Arial"/>
          <w:b/>
          <w:bCs/>
        </w:rPr>
      </w:pPr>
      <w:r w:rsidRPr="00000E91">
        <w:rPr>
          <w:rFonts w:ascii="Arial" w:hAnsi="Arial" w:cs="Arial"/>
          <w:b/>
          <w:bCs/>
        </w:rPr>
        <w:t>Use in Patients with Hepatic Impairment</w:t>
      </w:r>
    </w:p>
    <w:p w14:paraId="35AB7052" w14:textId="77777777" w:rsidR="00000E91" w:rsidRPr="00000E91" w:rsidRDefault="00000E91" w:rsidP="00000E91">
      <w:pPr>
        <w:spacing w:after="0"/>
        <w:rPr>
          <w:rFonts w:ascii="Arial" w:hAnsi="Arial" w:cs="Arial"/>
        </w:rPr>
      </w:pPr>
      <w:r w:rsidRPr="00000E91">
        <w:rPr>
          <w:rFonts w:ascii="Arial" w:hAnsi="Arial" w:cs="Arial"/>
        </w:rPr>
        <w:t xml:space="preserve">See </w:t>
      </w:r>
      <w:r w:rsidRPr="00000E91">
        <w:rPr>
          <w:rFonts w:ascii="Arial" w:hAnsi="Arial" w:cs="Arial"/>
          <w:b/>
          <w:bCs/>
        </w:rPr>
        <w:t>Pharmacokinetics</w:t>
      </w:r>
      <w:r w:rsidRPr="00000E91">
        <w:rPr>
          <w:rFonts w:ascii="Arial" w:hAnsi="Arial" w:cs="Arial"/>
        </w:rPr>
        <w:t xml:space="preserve"> under </w:t>
      </w:r>
      <w:r w:rsidRPr="00000E91">
        <w:rPr>
          <w:rFonts w:ascii="Arial" w:hAnsi="Arial" w:cs="Arial"/>
          <w:b/>
          <w:bCs/>
        </w:rPr>
        <w:t>Special Populations</w:t>
      </w:r>
      <w:r w:rsidRPr="00000E91">
        <w:rPr>
          <w:rFonts w:ascii="Arial" w:hAnsi="Arial" w:cs="Arial"/>
        </w:rPr>
        <w:t xml:space="preserve"> – </w:t>
      </w:r>
      <w:r w:rsidRPr="00000E91">
        <w:rPr>
          <w:rFonts w:ascii="Arial" w:hAnsi="Arial" w:cs="Arial"/>
          <w:b/>
          <w:bCs/>
          <w:i/>
          <w:iCs/>
        </w:rPr>
        <w:t>Hepatic Impairment</w:t>
      </w:r>
      <w:r w:rsidRPr="00000E91">
        <w:rPr>
          <w:rFonts w:ascii="Arial" w:hAnsi="Arial" w:cs="Arial"/>
        </w:rPr>
        <w:t>.</w:t>
      </w:r>
    </w:p>
    <w:p w14:paraId="0D00C41F" w14:textId="77777777" w:rsidR="00000E91" w:rsidRPr="00000E91" w:rsidRDefault="00000E91" w:rsidP="00000E91">
      <w:pPr>
        <w:spacing w:after="0"/>
        <w:rPr>
          <w:rFonts w:ascii="Arial" w:hAnsi="Arial" w:cs="Arial"/>
          <w:sz w:val="24"/>
          <w:szCs w:val="24"/>
        </w:rPr>
      </w:pPr>
    </w:p>
    <w:p w14:paraId="717093EE"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Effects on Fertility</w:t>
      </w:r>
    </w:p>
    <w:p w14:paraId="06E7F3EC" w14:textId="77777777" w:rsidR="00000E91" w:rsidRPr="00000E91" w:rsidRDefault="00000E91" w:rsidP="00000E91">
      <w:pPr>
        <w:spacing w:after="0"/>
        <w:rPr>
          <w:rFonts w:ascii="Arial" w:hAnsi="Arial" w:cs="Arial"/>
        </w:rPr>
      </w:pPr>
      <w:r w:rsidRPr="00000E91">
        <w:rPr>
          <w:rFonts w:ascii="Arial" w:hAnsi="Arial" w:cs="Arial"/>
        </w:rPr>
        <w:t xml:space="preserve">No studies on impairment of fertility were conducted with DYMISTA 125/50. However, non-clinical studies are available for the individual active component, </w:t>
      </w:r>
      <w:proofErr w:type="spellStart"/>
      <w:r w:rsidRPr="00000E91">
        <w:rPr>
          <w:rFonts w:ascii="Arial" w:hAnsi="Arial" w:cs="Arial"/>
        </w:rPr>
        <w:t>azelastine</w:t>
      </w:r>
      <w:proofErr w:type="spellEnd"/>
      <w:r w:rsidRPr="00000E91">
        <w:rPr>
          <w:rFonts w:ascii="Arial" w:hAnsi="Arial" w:cs="Arial"/>
        </w:rPr>
        <w:t>.</w:t>
      </w:r>
    </w:p>
    <w:p w14:paraId="0B854BC7" w14:textId="77777777" w:rsidR="00000E91" w:rsidRPr="00000E91" w:rsidRDefault="00000E91" w:rsidP="00000E91">
      <w:pPr>
        <w:spacing w:after="0"/>
        <w:rPr>
          <w:rFonts w:ascii="Arial" w:eastAsia="Times New Roman" w:hAnsi="Arial" w:cs="Arial"/>
          <w:lang w:val="en-US"/>
        </w:rPr>
      </w:pPr>
    </w:p>
    <w:p w14:paraId="13B8B6C3" w14:textId="77777777" w:rsidR="00000E91" w:rsidRPr="00000E91" w:rsidRDefault="00000E91" w:rsidP="00000E91">
      <w:pPr>
        <w:spacing w:after="0"/>
        <w:rPr>
          <w:rFonts w:ascii="Arial" w:hAnsi="Arial" w:cs="Arial"/>
        </w:rPr>
      </w:pPr>
      <w:r w:rsidRPr="00000E91">
        <w:rPr>
          <w:rFonts w:ascii="Arial" w:hAnsi="Arial" w:cs="Arial"/>
        </w:rPr>
        <w:t xml:space="preserve">In male and female rats, </w:t>
      </w:r>
      <w:proofErr w:type="spellStart"/>
      <w:r w:rsidRPr="00000E91">
        <w:rPr>
          <w:rFonts w:ascii="Arial" w:hAnsi="Arial" w:cs="Arial"/>
        </w:rPr>
        <w:t>azelastine</w:t>
      </w:r>
      <w:proofErr w:type="spellEnd"/>
      <w:r w:rsidRPr="00000E91">
        <w:rPr>
          <w:rFonts w:ascii="Arial" w:hAnsi="Arial" w:cs="Arial"/>
        </w:rPr>
        <w:t xml:space="preserve"> at oral doses of 30 mg/kg/day and greater (resulting in plasma levels which were at least about 400 times above the plasma levels at the </w:t>
      </w:r>
      <w:r w:rsidRPr="00000E91">
        <w:rPr>
          <w:rFonts w:ascii="Arial" w:hAnsi="Arial" w:cs="Arial"/>
        </w:rPr>
        <w:lastRenderedPageBreak/>
        <w:t>recommended therapeutic intranasal dose) caused a decrease in the fertility index, but in long term toxicity studies up to 2 years there were no drug-related alterations in reproductive organs either in males or in females in this species. A clinical study in 21 healthy human females using an intranasal dose of 1.12 mg/day found no effect on ovulation or sexual hormone pattern.</w:t>
      </w:r>
    </w:p>
    <w:p w14:paraId="3048036C" w14:textId="77777777" w:rsidR="00000E91" w:rsidRPr="00000E91" w:rsidRDefault="00000E91" w:rsidP="00000E91">
      <w:pPr>
        <w:spacing w:after="0"/>
        <w:rPr>
          <w:rFonts w:ascii="Arial" w:hAnsi="Arial" w:cs="Arial"/>
          <w:b/>
          <w:bCs/>
          <w:sz w:val="24"/>
          <w:szCs w:val="24"/>
        </w:rPr>
      </w:pPr>
    </w:p>
    <w:p w14:paraId="55B822FF"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Use in Pregnancy</w:t>
      </w:r>
    </w:p>
    <w:p w14:paraId="14236589"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Category B3</w:t>
      </w:r>
    </w:p>
    <w:p w14:paraId="2CFAE487" w14:textId="77777777" w:rsidR="00000E91" w:rsidRPr="00000E91" w:rsidRDefault="00000E91" w:rsidP="00000E91">
      <w:pPr>
        <w:spacing w:after="0"/>
      </w:pPr>
      <w:r w:rsidRPr="00000E91">
        <w:rPr>
          <w:rFonts w:ascii="Arial" w:hAnsi="Arial" w:cs="Arial"/>
        </w:rPr>
        <w:t xml:space="preserve">There is no or insufficient evidence of safety of DYMISTA 125/50, </w:t>
      </w:r>
      <w:proofErr w:type="spellStart"/>
      <w:r w:rsidRPr="00000E91">
        <w:rPr>
          <w:rFonts w:ascii="Arial" w:hAnsi="Arial" w:cs="Arial"/>
        </w:rPr>
        <w:t>azelastine</w:t>
      </w:r>
      <w:proofErr w:type="spellEnd"/>
      <w:r w:rsidRPr="00000E91">
        <w:rPr>
          <w:rFonts w:ascii="Arial" w:hAnsi="Arial" w:cs="Arial"/>
        </w:rPr>
        <w:t xml:space="preserve"> or fluticasone propionate in human pregnancy. No studies on the effect on </w:t>
      </w:r>
      <w:proofErr w:type="spellStart"/>
      <w:r w:rsidRPr="00000E91">
        <w:rPr>
          <w:rFonts w:ascii="Arial" w:hAnsi="Arial" w:cs="Arial"/>
        </w:rPr>
        <w:t>embryofetal</w:t>
      </w:r>
      <w:proofErr w:type="spellEnd"/>
      <w:r w:rsidRPr="00000E91">
        <w:rPr>
          <w:rFonts w:ascii="Arial" w:hAnsi="Arial" w:cs="Arial"/>
        </w:rPr>
        <w:t xml:space="preserve"> development have been conducted with </w:t>
      </w:r>
      <w:proofErr w:type="spellStart"/>
      <w:r w:rsidRPr="00000E91">
        <w:rPr>
          <w:rFonts w:ascii="Arial" w:hAnsi="Arial" w:cs="Arial"/>
        </w:rPr>
        <w:t>azelastine</w:t>
      </w:r>
      <w:proofErr w:type="spellEnd"/>
      <w:r w:rsidRPr="00000E91">
        <w:rPr>
          <w:rFonts w:ascii="Arial" w:hAnsi="Arial" w:cs="Arial"/>
        </w:rPr>
        <w:t xml:space="preserve">/fluticasone combination. Animal reproductive studies of </w:t>
      </w:r>
      <w:proofErr w:type="spellStart"/>
      <w:r w:rsidRPr="00000E91">
        <w:rPr>
          <w:rFonts w:ascii="Arial" w:hAnsi="Arial" w:cs="Arial"/>
        </w:rPr>
        <w:t>azelastine</w:t>
      </w:r>
      <w:proofErr w:type="spellEnd"/>
      <w:r w:rsidRPr="00000E91">
        <w:rPr>
          <w:rFonts w:ascii="Arial" w:hAnsi="Arial" w:cs="Arial"/>
        </w:rPr>
        <w:t xml:space="preserve"> and fluticasone propionate in mice and rats revealed evidence of teratogenicity as well as other developmental toxic effects. However, equivalent effects have not been reported when these individual compounds have been given to humans during pregnancy. Direct intranasal application ensures minimal systemic exposure. As with other medicines, the use of DYMISTA 125/50 during pregnancy should only be considered if the expected benefit to the mother is greater than any possible risk to the foetus.</w:t>
      </w:r>
    </w:p>
    <w:p w14:paraId="301DEBE1" w14:textId="77777777" w:rsidR="00000E91" w:rsidRPr="00000E91" w:rsidRDefault="00000E91" w:rsidP="00000E91">
      <w:pPr>
        <w:spacing w:before="120" w:after="0" w:line="280" w:lineRule="atLeast"/>
        <w:rPr>
          <w:rFonts w:ascii="Arial" w:eastAsia="Times New Roman" w:hAnsi="Arial" w:cs="Arial"/>
          <w:lang w:val="en-US"/>
        </w:rPr>
      </w:pPr>
      <w:r w:rsidRPr="00000E91">
        <w:rPr>
          <w:rFonts w:ascii="Arial" w:eastAsia="Times New Roman" w:hAnsi="Arial" w:cs="Arial"/>
          <w:lang w:val="en-US"/>
        </w:rPr>
        <w:t xml:space="preserve">In pregnant rats there was evidence of significant </w:t>
      </w:r>
      <w:proofErr w:type="spellStart"/>
      <w:r w:rsidRPr="00000E91">
        <w:rPr>
          <w:rFonts w:ascii="Arial" w:eastAsia="Times New Roman" w:hAnsi="Arial" w:cs="Arial"/>
          <w:lang w:val="en-US"/>
        </w:rPr>
        <w:t>diapiacental</w:t>
      </w:r>
      <w:proofErr w:type="spellEnd"/>
      <w:r w:rsidRPr="00000E91">
        <w:rPr>
          <w:rFonts w:ascii="Arial" w:eastAsia="Times New Roman" w:hAnsi="Arial" w:cs="Arial"/>
          <w:lang w:val="en-US"/>
        </w:rPr>
        <w:t xml:space="preserve"> transfer of the drug to the </w:t>
      </w:r>
      <w:proofErr w:type="spellStart"/>
      <w:r w:rsidRPr="00000E91">
        <w:rPr>
          <w:rFonts w:ascii="Arial" w:eastAsia="Times New Roman" w:hAnsi="Arial" w:cs="Arial"/>
          <w:lang w:val="en-US"/>
        </w:rPr>
        <w:t>foetuses</w:t>
      </w:r>
      <w:proofErr w:type="spellEnd"/>
      <w:r w:rsidRPr="00000E91">
        <w:rPr>
          <w:rFonts w:ascii="Arial" w:eastAsia="Times New Roman" w:hAnsi="Arial" w:cs="Arial"/>
          <w:lang w:val="en-US"/>
        </w:rPr>
        <w:t xml:space="preserve">.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was embryo lethal and teratogenic in mice at oral doses greater than 30 mg/kg/day. In rats,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was embryo-toxic at oral doses greater than 3 mg/kg/day, and teratogenicity and </w:t>
      </w:r>
      <w:proofErr w:type="spellStart"/>
      <w:r w:rsidRPr="00000E91">
        <w:rPr>
          <w:rFonts w:ascii="Arial" w:eastAsia="Times New Roman" w:hAnsi="Arial" w:cs="Arial"/>
          <w:lang w:val="en-US"/>
        </w:rPr>
        <w:t>embryolethality</w:t>
      </w:r>
      <w:proofErr w:type="spellEnd"/>
      <w:r w:rsidRPr="00000E91">
        <w:rPr>
          <w:rFonts w:ascii="Arial" w:eastAsia="Times New Roman" w:hAnsi="Arial" w:cs="Arial"/>
          <w:lang w:val="en-US"/>
        </w:rPr>
        <w:t xml:space="preserve"> were seen at doses greater than 30 mg/kg/day. In rabbits,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was teratogenic at oral doses greater than 20 mg/kg/day. In pregnant rats,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demonstrated no </w:t>
      </w:r>
      <w:proofErr w:type="spellStart"/>
      <w:r w:rsidRPr="00000E91">
        <w:rPr>
          <w:rFonts w:ascii="Arial" w:eastAsia="Times New Roman" w:hAnsi="Arial" w:cs="Arial"/>
          <w:lang w:val="en-US"/>
        </w:rPr>
        <w:t>peri</w:t>
      </w:r>
      <w:proofErr w:type="spellEnd"/>
      <w:r w:rsidRPr="00000E91">
        <w:rPr>
          <w:rFonts w:ascii="Arial" w:eastAsia="Times New Roman" w:hAnsi="Arial" w:cs="Arial"/>
          <w:lang w:val="en-US"/>
        </w:rPr>
        <w:t>/ postnatal toxicity at oral doses up to 30 mg/kg/day.</w:t>
      </w:r>
    </w:p>
    <w:p w14:paraId="06EEF29B" w14:textId="77777777" w:rsidR="00000E91" w:rsidRPr="00000E91" w:rsidRDefault="00000E91" w:rsidP="00000E91">
      <w:pPr>
        <w:spacing w:after="0"/>
        <w:rPr>
          <w:rFonts w:ascii="Arial" w:eastAsia="Times New Roman" w:hAnsi="Arial" w:cs="Arial"/>
          <w:lang w:val="en-US"/>
        </w:rPr>
      </w:pPr>
    </w:p>
    <w:p w14:paraId="17DDCBF3"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In rats, the no effect doses resulted in plasma levels which were at least about 25 times above the plasma levels at the recommended therapeutic intranasal dose in humans. (The calculation of the safety factor is based on plasma levels derived from oral </w:t>
      </w:r>
      <w:proofErr w:type="spellStart"/>
      <w:r w:rsidRPr="00000E91">
        <w:rPr>
          <w:rFonts w:ascii="Arial" w:eastAsia="Times New Roman" w:hAnsi="Arial" w:cs="Arial"/>
          <w:lang w:val="en-US"/>
        </w:rPr>
        <w:t>subchronic</w:t>
      </w:r>
      <w:proofErr w:type="spellEnd"/>
      <w:r w:rsidRPr="00000E91">
        <w:rPr>
          <w:rFonts w:ascii="Arial" w:eastAsia="Times New Roman" w:hAnsi="Arial" w:cs="Arial"/>
          <w:lang w:val="en-US"/>
        </w:rPr>
        <w:t xml:space="preserve"> toxicity studies).</w:t>
      </w:r>
    </w:p>
    <w:p w14:paraId="32E5E020" w14:textId="77777777" w:rsidR="00000E91" w:rsidRPr="00000E91" w:rsidRDefault="00000E91" w:rsidP="00000E91">
      <w:pPr>
        <w:spacing w:after="0"/>
        <w:rPr>
          <w:rFonts w:ascii="Arial" w:eastAsia="Times New Roman" w:hAnsi="Arial" w:cs="Arial"/>
          <w:lang w:val="en-US"/>
        </w:rPr>
      </w:pPr>
    </w:p>
    <w:p w14:paraId="37D403F7"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Reproductive toxicity studies with fluticasone propionate in mice and rats have shown the expected </w:t>
      </w:r>
      <w:proofErr w:type="spellStart"/>
      <w:r w:rsidRPr="00000E91">
        <w:rPr>
          <w:rFonts w:ascii="Arial" w:eastAsia="Times New Roman" w:hAnsi="Arial" w:cs="Arial"/>
          <w:lang w:val="en-US"/>
        </w:rPr>
        <w:t>foetotoxic</w:t>
      </w:r>
      <w:proofErr w:type="spellEnd"/>
      <w:r w:rsidRPr="00000E91">
        <w:rPr>
          <w:rFonts w:ascii="Arial" w:eastAsia="Times New Roman" w:hAnsi="Arial" w:cs="Arial"/>
          <w:lang w:val="en-US"/>
        </w:rPr>
        <w:t xml:space="preserve"> and teratogenic effects at subcutaneous doses of 100 to 150 </w:t>
      </w:r>
      <w:proofErr w:type="spellStart"/>
      <w:r w:rsidRPr="00000E91">
        <w:rPr>
          <w:rFonts w:ascii="Arial" w:eastAsia="Times New Roman" w:hAnsi="Arial" w:cs="Arial"/>
          <w:lang w:val="en-US"/>
        </w:rPr>
        <w:t>μg</w:t>
      </w:r>
      <w:proofErr w:type="spellEnd"/>
      <w:r w:rsidRPr="00000E91">
        <w:rPr>
          <w:rFonts w:ascii="Arial" w:eastAsia="Times New Roman" w:hAnsi="Arial" w:cs="Arial"/>
          <w:lang w:val="en-US"/>
        </w:rPr>
        <w:t xml:space="preserve"> /kg/day and above. As with previous compounds of this class, these effects are unlikely to be relevant to human therapy.</w:t>
      </w:r>
    </w:p>
    <w:p w14:paraId="5BA8FA7D" w14:textId="77777777" w:rsidR="00000E91" w:rsidRPr="00000E91" w:rsidRDefault="00000E91" w:rsidP="00000E91">
      <w:pPr>
        <w:spacing w:after="0"/>
        <w:rPr>
          <w:rFonts w:ascii="Arial" w:hAnsi="Arial" w:cs="Arial"/>
          <w:b/>
          <w:bCs/>
          <w:sz w:val="24"/>
          <w:szCs w:val="24"/>
        </w:rPr>
      </w:pPr>
    </w:p>
    <w:p w14:paraId="7C9E6C7E"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Use in Lactation</w:t>
      </w:r>
    </w:p>
    <w:p w14:paraId="64B50ADE"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It is not known whether DYMISTA 125/50 is excreted in human breast milk. Because many drugs are excreted in human milk, caution should be exercised when DYMISTA 125/50 is administered to a nursing woman. Since there are no data from well-controlled human studies on the use of DYMISTA 125/50 by nursing mothers, based on data from the individual components, a decision should be made whether to discontinue nursing or to discontinue DYMISTA 125/50, taking into account the importance of DYMISTA 125/50 to the mother.  No studies in lactating animals have been conducted with the combination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/fluticasone.</w:t>
      </w:r>
    </w:p>
    <w:p w14:paraId="106ED279" w14:textId="77777777" w:rsidR="00000E91" w:rsidRPr="00000E91" w:rsidRDefault="00000E91" w:rsidP="00000E91">
      <w:pPr>
        <w:spacing w:after="0"/>
        <w:rPr>
          <w:rFonts w:ascii="Arial" w:eastAsia="Times New Roman" w:hAnsi="Arial" w:cs="Arial"/>
          <w:lang w:val="en-US"/>
        </w:rPr>
      </w:pPr>
    </w:p>
    <w:p w14:paraId="068D2E0C"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It is not known if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is excreted in human milk. </w:t>
      </w:r>
    </w:p>
    <w:p w14:paraId="712C3DC6" w14:textId="77777777" w:rsidR="00000E91" w:rsidRPr="00000E91" w:rsidRDefault="00000E91" w:rsidP="00000E91">
      <w:pPr>
        <w:spacing w:after="0"/>
        <w:rPr>
          <w:rFonts w:ascii="Arial" w:hAnsi="Arial" w:cs="Arial"/>
        </w:rPr>
      </w:pPr>
      <w:r w:rsidRPr="00000E91">
        <w:rPr>
          <w:rFonts w:ascii="Arial" w:hAnsi="Arial" w:cs="Arial"/>
        </w:rPr>
        <w:lastRenderedPageBreak/>
        <w:t xml:space="preserve">The excretion of fluticasone propionate into human breast milk has not been investigated. Subcutaneous administration of </w:t>
      </w:r>
      <w:proofErr w:type="spellStart"/>
      <w:r w:rsidRPr="00000E91">
        <w:rPr>
          <w:rFonts w:ascii="Arial" w:hAnsi="Arial" w:cs="Arial"/>
        </w:rPr>
        <w:t>tritiated</w:t>
      </w:r>
      <w:proofErr w:type="spellEnd"/>
      <w:r w:rsidRPr="00000E91">
        <w:rPr>
          <w:rFonts w:ascii="Arial" w:hAnsi="Arial" w:cs="Arial"/>
        </w:rPr>
        <w:t xml:space="preserve"> drug to lactating rats resulted in measurable radioactivity in both plasma and milk (levels in milk were 3-7 times plasma levels) 1-8 hours post-dosing. However plasma levels in patients following intranasal application of fluticasone propionate at recommended doses are low and the amount of fluticasone ingested by the newborn is estimated to be very small as a consequence of very low maternal plasma concentration.</w:t>
      </w:r>
    </w:p>
    <w:p w14:paraId="494AD6B5" w14:textId="77777777" w:rsidR="00000E91" w:rsidRPr="00000E91" w:rsidRDefault="00000E91" w:rsidP="00000E91">
      <w:pPr>
        <w:spacing w:after="0"/>
        <w:rPr>
          <w:rFonts w:ascii="Arial" w:hAnsi="Arial" w:cs="Arial"/>
          <w:b/>
          <w:bCs/>
          <w:sz w:val="24"/>
          <w:szCs w:val="24"/>
        </w:rPr>
      </w:pPr>
    </w:p>
    <w:p w14:paraId="571BA84E"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Use in Children and Adolescents</w:t>
      </w:r>
    </w:p>
    <w:p w14:paraId="5B14AE46"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Safety and effectiveness of DYMISTA 125/50 in pediatric patients below the age of 12 years have not been established.</w:t>
      </w:r>
    </w:p>
    <w:p w14:paraId="436E8986" w14:textId="77777777" w:rsidR="00000E91" w:rsidRPr="00000E91" w:rsidRDefault="00000E91" w:rsidP="00000E91">
      <w:pPr>
        <w:spacing w:after="0"/>
        <w:rPr>
          <w:rFonts w:ascii="Arial" w:eastAsia="Times New Roman" w:hAnsi="Arial" w:cs="Arial"/>
          <w:lang w:val="en-US"/>
        </w:rPr>
      </w:pPr>
    </w:p>
    <w:p w14:paraId="029EA835"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Retardation of growth rate in children may occur with intranasal steroids, particularly at high doses prescribed for prolonged periods of time</w:t>
      </w:r>
      <w:r w:rsidRPr="00000E91" w:rsidDel="00BB0B6D">
        <w:rPr>
          <w:rFonts w:ascii="Arial" w:eastAsia="Times New Roman" w:hAnsi="Arial" w:cs="Arial"/>
          <w:lang w:val="en-US"/>
        </w:rPr>
        <w:t xml:space="preserve"> </w:t>
      </w:r>
      <w:r w:rsidRPr="00000E91">
        <w:rPr>
          <w:rFonts w:ascii="Arial" w:eastAsia="Times New Roman" w:hAnsi="Arial" w:cs="Arial"/>
          <w:lang w:val="en-US"/>
        </w:rPr>
        <w:t xml:space="preserve">(see </w:t>
      </w:r>
      <w:r w:rsidRPr="00000E91">
        <w:rPr>
          <w:rFonts w:ascii="Arial" w:eastAsia="Times New Roman" w:hAnsi="Arial" w:cs="Arial"/>
          <w:b/>
          <w:bCs/>
          <w:lang w:val="en-US"/>
        </w:rPr>
        <w:t>PRECAUTIONS</w:t>
      </w:r>
      <w:r w:rsidRPr="00000E91">
        <w:rPr>
          <w:rFonts w:ascii="Arial" w:eastAsia="Times New Roman" w:hAnsi="Arial" w:cs="Arial"/>
          <w:lang w:val="en-US"/>
        </w:rPr>
        <w:t xml:space="preserve"> – </w:t>
      </w:r>
      <w:r w:rsidRPr="00000E91">
        <w:rPr>
          <w:rFonts w:ascii="Arial" w:eastAsia="Times New Roman" w:hAnsi="Arial" w:cs="Arial"/>
          <w:b/>
          <w:bCs/>
          <w:lang w:val="en-US"/>
        </w:rPr>
        <w:t>Effect on Growth</w:t>
      </w:r>
      <w:r w:rsidRPr="00000E91">
        <w:rPr>
          <w:rFonts w:ascii="Arial" w:eastAsia="Times New Roman" w:hAnsi="Arial" w:cs="Arial"/>
          <w:bCs/>
          <w:lang w:val="en-US"/>
        </w:rPr>
        <w:t>).</w:t>
      </w:r>
      <w:r w:rsidRPr="00000E91">
        <w:rPr>
          <w:rFonts w:ascii="Arial" w:eastAsia="Times New Roman" w:hAnsi="Arial" w:cs="Arial"/>
          <w:lang w:val="en-US"/>
        </w:rPr>
        <w:t xml:space="preserve"> </w:t>
      </w:r>
    </w:p>
    <w:p w14:paraId="1BA7BA85" w14:textId="77777777" w:rsidR="00000E91" w:rsidRPr="00000E91" w:rsidRDefault="00000E91" w:rsidP="00000E91">
      <w:pPr>
        <w:spacing w:after="0"/>
        <w:rPr>
          <w:rFonts w:ascii="Arial" w:hAnsi="Arial" w:cs="Arial"/>
          <w:b/>
          <w:bCs/>
          <w:sz w:val="24"/>
          <w:szCs w:val="24"/>
          <w:lang w:val="en-US"/>
        </w:rPr>
      </w:pPr>
    </w:p>
    <w:p w14:paraId="0CAB3BD1"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Use in the Elderly</w:t>
      </w:r>
    </w:p>
    <w:p w14:paraId="20226D96"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(See </w:t>
      </w:r>
      <w:r w:rsidRPr="00000E91">
        <w:rPr>
          <w:rFonts w:ascii="Arial" w:eastAsia="Times New Roman" w:hAnsi="Arial" w:cs="Arial"/>
          <w:b/>
          <w:bCs/>
          <w:lang w:val="en-US"/>
        </w:rPr>
        <w:t>Pharmacokinetics</w:t>
      </w:r>
      <w:r w:rsidRPr="00000E91">
        <w:rPr>
          <w:rFonts w:ascii="Arial" w:eastAsia="Times New Roman" w:hAnsi="Arial" w:cs="Arial"/>
          <w:lang w:val="en-US"/>
        </w:rPr>
        <w:t xml:space="preserve"> under Special Populations – Age)</w:t>
      </w:r>
    </w:p>
    <w:p w14:paraId="63D2D0DB" w14:textId="77777777" w:rsidR="00000E91" w:rsidRPr="00000E91" w:rsidRDefault="00000E91" w:rsidP="00000E91">
      <w:pPr>
        <w:spacing w:after="0"/>
        <w:rPr>
          <w:rFonts w:ascii="Arial" w:hAnsi="Arial" w:cs="Arial"/>
          <w:b/>
          <w:bCs/>
          <w:sz w:val="24"/>
          <w:szCs w:val="24"/>
        </w:rPr>
      </w:pPr>
    </w:p>
    <w:p w14:paraId="29A358B2"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Carcinogenicity</w:t>
      </w:r>
    </w:p>
    <w:p w14:paraId="7A8E7728" w14:textId="77777777" w:rsidR="00000E91" w:rsidRPr="00000E91" w:rsidRDefault="00000E91" w:rsidP="00000E91">
      <w:pPr>
        <w:spacing w:after="0"/>
        <w:rPr>
          <w:rFonts w:ascii="Arial" w:hAnsi="Arial" w:cs="Arial"/>
        </w:rPr>
      </w:pPr>
      <w:r w:rsidRPr="00000E91">
        <w:rPr>
          <w:rFonts w:ascii="Arial" w:hAnsi="Arial" w:cs="Arial"/>
        </w:rPr>
        <w:t xml:space="preserve">No studies of carcinogenicity were conducted with DYMISTA 125/50; however, studies are available for the individual active components, </w:t>
      </w:r>
      <w:proofErr w:type="spellStart"/>
      <w:r w:rsidRPr="00000E91">
        <w:rPr>
          <w:rFonts w:ascii="Arial" w:hAnsi="Arial" w:cs="Arial"/>
        </w:rPr>
        <w:t>azelastine</w:t>
      </w:r>
      <w:proofErr w:type="spellEnd"/>
      <w:r w:rsidRPr="00000E91">
        <w:rPr>
          <w:rFonts w:ascii="Arial" w:hAnsi="Arial" w:cs="Arial"/>
        </w:rPr>
        <w:t xml:space="preserve"> and fluticasone propionate.</w:t>
      </w:r>
    </w:p>
    <w:p w14:paraId="467E3936" w14:textId="77777777" w:rsidR="00000E91" w:rsidRPr="00000E91" w:rsidRDefault="00000E91" w:rsidP="00000E91">
      <w:pPr>
        <w:spacing w:after="0"/>
        <w:rPr>
          <w:rFonts w:ascii="Arial" w:eastAsia="Times New Roman" w:hAnsi="Arial" w:cs="Arial"/>
          <w:lang w:val="en-US"/>
        </w:rPr>
      </w:pP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demonstrated no carcinogenic potential in mice and rats at dietary doses up to 25 and 30 mg/kg/day respectively.  </w:t>
      </w:r>
    </w:p>
    <w:p w14:paraId="736593DF" w14:textId="77777777" w:rsidR="00000E91" w:rsidRPr="00000E91" w:rsidRDefault="00000E91" w:rsidP="00000E91">
      <w:pPr>
        <w:spacing w:after="0"/>
        <w:rPr>
          <w:rFonts w:ascii="Arial" w:eastAsia="Times New Roman" w:hAnsi="Arial" w:cs="Arial"/>
          <w:lang w:val="en-US"/>
        </w:rPr>
      </w:pPr>
    </w:p>
    <w:p w14:paraId="1AE6C840"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No evidence of a tumorigenic effect was observed in either a 2 year study in rats receiving doses of fluticasone propionate up to 57 </w:t>
      </w:r>
      <w:proofErr w:type="spellStart"/>
      <w:r w:rsidRPr="00000E91">
        <w:rPr>
          <w:rFonts w:ascii="Arial" w:eastAsia="Times New Roman" w:hAnsi="Arial" w:cs="Arial"/>
          <w:lang w:val="en-US"/>
        </w:rPr>
        <w:t>μg</w:t>
      </w:r>
      <w:proofErr w:type="spellEnd"/>
      <w:r w:rsidRPr="00000E91">
        <w:rPr>
          <w:rFonts w:ascii="Arial" w:eastAsia="Times New Roman" w:hAnsi="Arial" w:cs="Arial"/>
          <w:lang w:val="en-US"/>
        </w:rPr>
        <w:t xml:space="preserve"> /kg/day by inhalation or in an 18 month study in mice receiving oral doses of fluticasone propionate up to 1 mg/kg/day.</w:t>
      </w:r>
    </w:p>
    <w:p w14:paraId="229D0ADB" w14:textId="77777777" w:rsidR="00000E91" w:rsidRPr="00000E91" w:rsidRDefault="00000E91" w:rsidP="00000E91">
      <w:pPr>
        <w:spacing w:after="0"/>
        <w:rPr>
          <w:rFonts w:ascii="Arial" w:hAnsi="Arial" w:cs="Arial"/>
          <w:b/>
          <w:bCs/>
          <w:sz w:val="24"/>
          <w:szCs w:val="24"/>
        </w:rPr>
      </w:pPr>
    </w:p>
    <w:p w14:paraId="7DB63199" w14:textId="77777777" w:rsidR="00000E91" w:rsidRPr="00000E91" w:rsidRDefault="00000E91" w:rsidP="00000E91">
      <w:pPr>
        <w:spacing w:after="0"/>
        <w:rPr>
          <w:rFonts w:ascii="Arial" w:hAnsi="Arial" w:cs="Arial"/>
          <w:b/>
          <w:bCs/>
          <w:sz w:val="24"/>
          <w:szCs w:val="24"/>
        </w:rPr>
      </w:pPr>
      <w:proofErr w:type="spellStart"/>
      <w:r w:rsidRPr="00000E91">
        <w:rPr>
          <w:rFonts w:ascii="Arial" w:hAnsi="Arial" w:cs="Arial"/>
          <w:b/>
          <w:bCs/>
          <w:sz w:val="24"/>
          <w:szCs w:val="24"/>
        </w:rPr>
        <w:t>Genotoxicity</w:t>
      </w:r>
      <w:proofErr w:type="spellEnd"/>
    </w:p>
    <w:p w14:paraId="5199A3B5" w14:textId="77777777" w:rsidR="00000E91" w:rsidRPr="00000E91" w:rsidRDefault="00000E91" w:rsidP="00000E91">
      <w:pPr>
        <w:spacing w:after="0"/>
        <w:rPr>
          <w:rFonts w:ascii="Arial" w:hAnsi="Arial" w:cs="Arial"/>
        </w:rPr>
      </w:pPr>
      <w:r w:rsidRPr="00000E91">
        <w:rPr>
          <w:rFonts w:ascii="Arial" w:hAnsi="Arial" w:cs="Arial"/>
        </w:rPr>
        <w:t xml:space="preserve">No studies of </w:t>
      </w:r>
      <w:proofErr w:type="spellStart"/>
      <w:r w:rsidRPr="00000E91">
        <w:rPr>
          <w:rFonts w:ascii="Arial" w:hAnsi="Arial" w:cs="Arial"/>
        </w:rPr>
        <w:t>genotoxicity</w:t>
      </w:r>
      <w:proofErr w:type="spellEnd"/>
      <w:r w:rsidRPr="00000E91">
        <w:rPr>
          <w:rFonts w:ascii="Arial" w:hAnsi="Arial" w:cs="Arial"/>
        </w:rPr>
        <w:t xml:space="preserve"> were conducted with DYMISTA 125/50. However, studies are available for the individual active components, </w:t>
      </w:r>
      <w:proofErr w:type="spellStart"/>
      <w:r w:rsidRPr="00000E91">
        <w:rPr>
          <w:rFonts w:ascii="Arial" w:hAnsi="Arial" w:cs="Arial"/>
        </w:rPr>
        <w:t>azelastine</w:t>
      </w:r>
      <w:proofErr w:type="spellEnd"/>
      <w:r w:rsidRPr="00000E91">
        <w:rPr>
          <w:rFonts w:ascii="Arial" w:hAnsi="Arial" w:cs="Arial"/>
        </w:rPr>
        <w:t xml:space="preserve"> and fluticasone propionate.</w:t>
      </w:r>
    </w:p>
    <w:p w14:paraId="0E2A2A9A" w14:textId="77777777" w:rsidR="00000E91" w:rsidRPr="00000E91" w:rsidRDefault="00000E91" w:rsidP="00000E91">
      <w:pPr>
        <w:spacing w:after="0"/>
        <w:rPr>
          <w:rFonts w:ascii="Arial" w:hAnsi="Arial" w:cs="Arial"/>
        </w:rPr>
      </w:pPr>
      <w:proofErr w:type="spellStart"/>
      <w:r w:rsidRPr="00000E91">
        <w:rPr>
          <w:rFonts w:ascii="Arial" w:hAnsi="Arial" w:cs="Arial"/>
        </w:rPr>
        <w:t>Azelastine</w:t>
      </w:r>
      <w:proofErr w:type="spellEnd"/>
      <w:r w:rsidRPr="00000E91">
        <w:rPr>
          <w:rFonts w:ascii="Arial" w:hAnsi="Arial" w:cs="Arial"/>
        </w:rPr>
        <w:t xml:space="preserve"> demonstrated no </w:t>
      </w:r>
      <w:proofErr w:type="spellStart"/>
      <w:r w:rsidRPr="00000E91">
        <w:rPr>
          <w:rFonts w:ascii="Arial" w:hAnsi="Arial" w:cs="Arial"/>
        </w:rPr>
        <w:t>genotoxic</w:t>
      </w:r>
      <w:proofErr w:type="spellEnd"/>
      <w:r w:rsidRPr="00000E91">
        <w:rPr>
          <w:rFonts w:ascii="Arial" w:hAnsi="Arial" w:cs="Arial"/>
        </w:rPr>
        <w:t xml:space="preserve"> potential in standard assays for gene mutations, chromosomal damage and DNA damage. </w:t>
      </w:r>
    </w:p>
    <w:p w14:paraId="02B1133E" w14:textId="77777777" w:rsidR="00000E91" w:rsidRPr="00000E91" w:rsidRDefault="00000E91" w:rsidP="00000E91">
      <w:pPr>
        <w:spacing w:after="0"/>
        <w:rPr>
          <w:rFonts w:ascii="Arial" w:hAnsi="Arial" w:cs="Arial"/>
        </w:rPr>
      </w:pPr>
    </w:p>
    <w:p w14:paraId="5E3BD4F7" w14:textId="77777777" w:rsidR="00000E91" w:rsidRPr="00000E91" w:rsidRDefault="00000E91" w:rsidP="00000E91">
      <w:pPr>
        <w:spacing w:after="0"/>
        <w:rPr>
          <w:rFonts w:ascii="Arial" w:hAnsi="Arial" w:cs="Arial"/>
        </w:rPr>
      </w:pPr>
      <w:r w:rsidRPr="00000E91">
        <w:rPr>
          <w:rFonts w:ascii="Arial" w:hAnsi="Arial" w:cs="Arial"/>
        </w:rPr>
        <w:t xml:space="preserve">Fluticasone propionate has no mutagenic effect </w:t>
      </w:r>
      <w:r w:rsidRPr="00000E91">
        <w:rPr>
          <w:rFonts w:ascii="Arial" w:hAnsi="Arial" w:cs="Arial"/>
          <w:i/>
        </w:rPr>
        <w:t xml:space="preserve">in vivo </w:t>
      </w:r>
      <w:r w:rsidRPr="00000E91">
        <w:rPr>
          <w:rFonts w:ascii="Arial" w:hAnsi="Arial" w:cs="Arial"/>
        </w:rPr>
        <w:t xml:space="preserve">or </w:t>
      </w:r>
      <w:r w:rsidRPr="00000E91">
        <w:rPr>
          <w:rFonts w:ascii="Arial" w:hAnsi="Arial" w:cs="Arial"/>
          <w:i/>
        </w:rPr>
        <w:t>in vitro</w:t>
      </w:r>
      <w:r w:rsidRPr="00000E91">
        <w:rPr>
          <w:rFonts w:ascii="Arial" w:hAnsi="Arial" w:cs="Arial"/>
        </w:rPr>
        <w:t>. There was no evidence of a mutagenic potential in a standard battery of mutagenicity assays.</w:t>
      </w:r>
    </w:p>
    <w:p w14:paraId="3865DE5A" w14:textId="77777777" w:rsidR="00000E91" w:rsidRPr="00000E91" w:rsidRDefault="00000E91" w:rsidP="00000E91">
      <w:pPr>
        <w:spacing w:after="0"/>
        <w:rPr>
          <w:rFonts w:ascii="Arial" w:hAnsi="Arial" w:cs="Arial"/>
          <w:b/>
          <w:bCs/>
          <w:sz w:val="24"/>
          <w:szCs w:val="24"/>
        </w:rPr>
      </w:pPr>
    </w:p>
    <w:p w14:paraId="370FEC47"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Effects on Laboratory Tests</w:t>
      </w:r>
    </w:p>
    <w:p w14:paraId="78E82180" w14:textId="77777777" w:rsidR="00000E91" w:rsidRPr="00000E91" w:rsidRDefault="00000E91" w:rsidP="00000E91">
      <w:pPr>
        <w:spacing w:after="0"/>
        <w:rPr>
          <w:rFonts w:ascii="Arial" w:hAnsi="Arial" w:cs="Arial"/>
        </w:rPr>
      </w:pPr>
      <w:r w:rsidRPr="00000E91">
        <w:rPr>
          <w:rFonts w:ascii="Arial" w:hAnsi="Arial" w:cs="Arial"/>
        </w:rPr>
        <w:t>No effects are known.</w:t>
      </w:r>
    </w:p>
    <w:p w14:paraId="7C5A372A" w14:textId="77777777" w:rsidR="00000E91" w:rsidRPr="00000E91" w:rsidRDefault="00000E91" w:rsidP="00000E91">
      <w:pPr>
        <w:spacing w:after="0"/>
        <w:rPr>
          <w:rFonts w:ascii="Arial" w:hAnsi="Arial" w:cs="Arial"/>
          <w:b/>
          <w:bCs/>
          <w:sz w:val="24"/>
          <w:szCs w:val="24"/>
        </w:rPr>
      </w:pPr>
    </w:p>
    <w:p w14:paraId="2C033647"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Effects on Ability to Drive or Operate Machinery</w:t>
      </w:r>
    </w:p>
    <w:p w14:paraId="12460A8D" w14:textId="77777777" w:rsidR="00000E91" w:rsidRPr="00000E91" w:rsidRDefault="00000E91" w:rsidP="00000E91">
      <w:pPr>
        <w:spacing w:after="0"/>
        <w:rPr>
          <w:rFonts w:ascii="Arial" w:hAnsi="Arial" w:cs="Arial"/>
        </w:rPr>
      </w:pPr>
      <w:r w:rsidRPr="00000E91">
        <w:rPr>
          <w:rFonts w:ascii="Arial" w:hAnsi="Arial" w:cs="Arial"/>
        </w:rPr>
        <w:t xml:space="preserve">Due to the potential occurrence of somnolence (see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Somnolence</w:t>
      </w:r>
      <w:r w:rsidRPr="00000E91">
        <w:rPr>
          <w:rFonts w:ascii="Arial" w:hAnsi="Arial" w:cs="Arial"/>
        </w:rPr>
        <w:t xml:space="preserve">), patients using DYMISTA 125/50 should be cautioned against engaging in hazardous occupations requiring complete mental alertness and motor coordination such as driving or </w:t>
      </w:r>
      <w:r w:rsidRPr="00000E91">
        <w:rPr>
          <w:rFonts w:ascii="Arial" w:hAnsi="Arial" w:cs="Arial"/>
        </w:rPr>
        <w:lastRenderedPageBreak/>
        <w:t>operating machinery after administration of DYMISTA 125/50 until they know how they react to the nasal spray.  Caution is required if DYMISTA 125/50 is used concomitantly with alcohol or other CNS depressants. (</w:t>
      </w:r>
      <w:proofErr w:type="gramStart"/>
      <w:r w:rsidRPr="00000E91">
        <w:rPr>
          <w:rFonts w:ascii="Arial" w:hAnsi="Arial" w:cs="Arial"/>
        </w:rPr>
        <w:t>see</w:t>
      </w:r>
      <w:proofErr w:type="gramEnd"/>
      <w:r w:rsidRPr="00000E91">
        <w:rPr>
          <w:rFonts w:ascii="Arial" w:hAnsi="Arial" w:cs="Arial"/>
        </w:rPr>
        <w:t xml:space="preserve"> </w:t>
      </w:r>
      <w:r w:rsidRPr="00000E91">
        <w:rPr>
          <w:rFonts w:ascii="Arial" w:hAnsi="Arial" w:cs="Arial"/>
          <w:b/>
          <w:bCs/>
        </w:rPr>
        <w:t>PRECAUTIONS</w:t>
      </w:r>
      <w:r w:rsidRPr="00000E91">
        <w:rPr>
          <w:rFonts w:ascii="Arial" w:hAnsi="Arial" w:cs="Arial"/>
        </w:rPr>
        <w:t xml:space="preserve"> –</w:t>
      </w:r>
      <w:r w:rsidRPr="00000E91">
        <w:rPr>
          <w:rFonts w:ascii="Arial" w:hAnsi="Arial" w:cs="Arial"/>
          <w:b/>
          <w:bCs/>
        </w:rPr>
        <w:t>Somnolence</w:t>
      </w:r>
      <w:r w:rsidRPr="00000E91">
        <w:rPr>
          <w:rFonts w:ascii="Arial" w:hAnsi="Arial" w:cs="Arial"/>
        </w:rPr>
        <w:t xml:space="preserve"> and </w:t>
      </w:r>
      <w:r w:rsidRPr="00000E91">
        <w:rPr>
          <w:rFonts w:ascii="Arial" w:hAnsi="Arial" w:cs="Arial"/>
          <w:b/>
          <w:bCs/>
        </w:rPr>
        <w:t>INTERACTIONS WITH OTHER MEDICINES</w:t>
      </w:r>
      <w:r w:rsidRPr="00000E91">
        <w:rPr>
          <w:rFonts w:ascii="Arial" w:hAnsi="Arial" w:cs="Arial"/>
        </w:rPr>
        <w:t xml:space="preserve"> – </w:t>
      </w:r>
      <w:r w:rsidRPr="00000E91">
        <w:rPr>
          <w:rFonts w:ascii="Arial" w:hAnsi="Arial" w:cs="Arial"/>
          <w:b/>
          <w:bCs/>
        </w:rPr>
        <w:t>Central Nervous System Depressants</w:t>
      </w:r>
      <w:r w:rsidRPr="00000E91">
        <w:rPr>
          <w:rFonts w:ascii="Arial" w:hAnsi="Arial" w:cs="Arial"/>
        </w:rPr>
        <w:t>).</w:t>
      </w:r>
    </w:p>
    <w:p w14:paraId="240F8503" w14:textId="77777777" w:rsidR="00000E91" w:rsidRPr="00000E91" w:rsidRDefault="00000E91" w:rsidP="00000E91">
      <w:pPr>
        <w:spacing w:after="0"/>
        <w:rPr>
          <w:rFonts w:ascii="Arial" w:hAnsi="Arial" w:cs="Arial"/>
          <w:b/>
          <w:bCs/>
          <w:sz w:val="24"/>
          <w:szCs w:val="24"/>
        </w:rPr>
      </w:pPr>
    </w:p>
    <w:p w14:paraId="026E8A01"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INTERACTIONS WITH OTHER MEDICINES</w:t>
      </w:r>
    </w:p>
    <w:p w14:paraId="65B0E788"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No formal drug interaction studies have been performed with DYMISTA 125/50. The drug interactions of DYMISTA 125/50 are expected to reflect those of the individual components as described below.</w:t>
      </w:r>
    </w:p>
    <w:p w14:paraId="4EAF3BD4"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p>
    <w:p w14:paraId="33970251"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Central Nervous System Depressants</w:t>
      </w:r>
    </w:p>
    <w:p w14:paraId="4340B026"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When administered orally in combination,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hydrochloride 4.4 mg tablets and alcohol showed sedative effects. As no specific information is available with the nasal spray, caution is required if DYMISTA 125/50 is used concomitantly with alcohol or other CNS depressants. (</w:t>
      </w:r>
      <w:proofErr w:type="gramStart"/>
      <w:r w:rsidRPr="00000E91">
        <w:rPr>
          <w:rFonts w:ascii="Arial" w:eastAsia="Times New Roman" w:hAnsi="Arial" w:cs="Arial"/>
          <w:lang w:val="en-US"/>
        </w:rPr>
        <w:t>see</w:t>
      </w:r>
      <w:proofErr w:type="gramEnd"/>
      <w:r w:rsidRPr="00000E91">
        <w:rPr>
          <w:rFonts w:ascii="Arial" w:eastAsia="Times New Roman" w:hAnsi="Arial" w:cs="Arial"/>
          <w:lang w:val="en-US"/>
        </w:rPr>
        <w:t xml:space="preserve"> </w:t>
      </w:r>
      <w:r w:rsidRPr="00000E91">
        <w:rPr>
          <w:rFonts w:ascii="Arial" w:eastAsia="Times New Roman" w:hAnsi="Arial" w:cs="Arial"/>
          <w:b/>
          <w:bCs/>
          <w:lang w:val="en-US"/>
        </w:rPr>
        <w:t>PRECAUTIONS</w:t>
      </w:r>
      <w:r w:rsidRPr="00000E91">
        <w:rPr>
          <w:rFonts w:ascii="Arial" w:eastAsia="Times New Roman" w:hAnsi="Arial" w:cs="Arial"/>
          <w:lang w:val="en-US"/>
        </w:rPr>
        <w:t xml:space="preserve"> – </w:t>
      </w:r>
      <w:r w:rsidRPr="00000E91">
        <w:rPr>
          <w:rFonts w:ascii="Arial" w:eastAsia="Times New Roman" w:hAnsi="Arial" w:cs="Arial"/>
          <w:b/>
          <w:bCs/>
          <w:lang w:val="en-US"/>
        </w:rPr>
        <w:t xml:space="preserve">Somnolence </w:t>
      </w:r>
      <w:r w:rsidRPr="00000E91">
        <w:rPr>
          <w:rFonts w:ascii="Arial" w:eastAsia="Times New Roman" w:hAnsi="Arial" w:cs="Arial"/>
          <w:lang w:val="en-US"/>
        </w:rPr>
        <w:t>and</w:t>
      </w:r>
      <w:r w:rsidRPr="00000E91">
        <w:rPr>
          <w:rFonts w:ascii="Arial" w:eastAsia="Times New Roman" w:hAnsi="Arial" w:cs="Arial"/>
          <w:b/>
          <w:bCs/>
          <w:lang w:val="en-US"/>
        </w:rPr>
        <w:t xml:space="preserve"> Effects on Ability to Drive and Operate Machinery</w:t>
      </w:r>
      <w:r w:rsidRPr="00000E91">
        <w:rPr>
          <w:rFonts w:ascii="Arial" w:eastAsia="Times New Roman" w:hAnsi="Arial" w:cs="Arial"/>
          <w:lang w:val="en-US"/>
        </w:rPr>
        <w:t xml:space="preserve">). </w:t>
      </w:r>
    </w:p>
    <w:p w14:paraId="23B269AA"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p>
    <w:p w14:paraId="0E8C59A8" w14:textId="77777777" w:rsidR="00000E91" w:rsidRPr="00000E91" w:rsidRDefault="00000E91" w:rsidP="00000E91">
      <w:pPr>
        <w:keepNext/>
        <w:tabs>
          <w:tab w:val="left" w:pos="1080"/>
        </w:tabs>
        <w:spacing w:after="0"/>
        <w:ind w:left="1080" w:hanging="1080"/>
        <w:outlineLvl w:val="1"/>
        <w:rPr>
          <w:rFonts w:ascii="Arial" w:eastAsia="Times New Roman" w:hAnsi="Arial" w:cs="Arial"/>
          <w:b/>
          <w:bCs/>
          <w:lang w:val="en-US"/>
        </w:rPr>
      </w:pPr>
      <w:r w:rsidRPr="00000E91">
        <w:rPr>
          <w:rFonts w:ascii="Arial" w:eastAsia="Times New Roman" w:hAnsi="Arial" w:cs="Arial"/>
          <w:b/>
          <w:bCs/>
          <w:lang w:val="en-US"/>
        </w:rPr>
        <w:t>Cytochrome P450 Inhibitors</w:t>
      </w:r>
    </w:p>
    <w:p w14:paraId="39582CAB" w14:textId="77777777" w:rsidR="00000E91" w:rsidRPr="00000E91" w:rsidRDefault="00000E91" w:rsidP="00000E91">
      <w:pPr>
        <w:spacing w:before="120" w:after="0" w:line="280" w:lineRule="atLeast"/>
        <w:rPr>
          <w:rFonts w:ascii="Arial" w:eastAsia="Times New Roman" w:hAnsi="Arial" w:cs="Arial"/>
          <w:lang w:val="en-US"/>
        </w:rPr>
      </w:pPr>
      <w:r w:rsidRPr="00000E91">
        <w:rPr>
          <w:rFonts w:ascii="Arial" w:eastAsia="Times New Roman" w:hAnsi="Arial" w:cs="Arial"/>
          <w:lang w:val="en-US"/>
        </w:rPr>
        <w:t>Under normal circumstances, very low plasma concentrations of fluticasone propionate are achieved after intranasal dosing, due to extensive first pass metabolism and high systemic clearance mediated by cytochrome P450 3A4 in the gut and liver. Hence, clinically significant drug interactions mediated by fluticasone propionate are unlikely.</w:t>
      </w:r>
    </w:p>
    <w:p w14:paraId="06B65D2A" w14:textId="77777777" w:rsidR="00000E91" w:rsidRPr="00000E91" w:rsidRDefault="00000E91" w:rsidP="00000E91">
      <w:pPr>
        <w:spacing w:before="120" w:after="0" w:line="280" w:lineRule="atLeast"/>
        <w:rPr>
          <w:rFonts w:ascii="Arial" w:eastAsia="Times New Roman" w:hAnsi="Arial" w:cs="Arial"/>
          <w:lang w:val="en-US"/>
        </w:rPr>
      </w:pPr>
    </w:p>
    <w:p w14:paraId="1D20BAD9" w14:textId="77777777" w:rsidR="00000E91" w:rsidRPr="00000E91" w:rsidRDefault="00000E91" w:rsidP="00000E91">
      <w:pPr>
        <w:spacing w:before="120" w:after="0" w:line="280" w:lineRule="atLeast"/>
        <w:rPr>
          <w:rFonts w:ascii="Arial" w:eastAsia="Times New Roman" w:hAnsi="Arial" w:cs="Arial"/>
          <w:lang w:val="en-US"/>
        </w:rPr>
      </w:pPr>
      <w:r w:rsidRPr="00000E91">
        <w:rPr>
          <w:rFonts w:ascii="Arial" w:eastAsia="Times New Roman" w:hAnsi="Arial" w:cs="Arial"/>
          <w:lang w:val="en-US"/>
        </w:rPr>
        <w:t>Ritonavir</w:t>
      </w:r>
    </w:p>
    <w:p w14:paraId="0BACDF37"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A drug interaction study in healthy subjects has shown that ritonavir (a highly potent cytochrome P450 3A4 inhibitor) can greatly increase fluticasone propionate plasma concentrations, resulting in markedly reduced serum cortisol concentrations. During post-marketing use, there have been reports of clinically significant drug interactions in patients receiving fluticasone propionate and ritonavir, resulting in systemic corticosteroid effects including Cushing’s syndrome and adrenal suppression. Therefore, concomitant use of fluticasone propionate and ritonavir should be avoided, unless the potential benefit to the patient outweighs the risk of systemic corticosteroid side effects.</w:t>
      </w:r>
    </w:p>
    <w:p w14:paraId="01FC064B" w14:textId="77777777" w:rsidR="00000E91" w:rsidRPr="00000E91" w:rsidRDefault="00000E91" w:rsidP="00000E91">
      <w:pPr>
        <w:spacing w:before="120" w:after="0" w:line="280" w:lineRule="atLeast"/>
        <w:rPr>
          <w:rFonts w:ascii="Arial" w:eastAsia="Times New Roman" w:hAnsi="Arial" w:cs="Arial"/>
          <w:lang w:val="en-US"/>
        </w:rPr>
      </w:pPr>
    </w:p>
    <w:p w14:paraId="3C8A1F66" w14:textId="77777777" w:rsidR="00000E91" w:rsidRPr="00000E91" w:rsidRDefault="00000E91" w:rsidP="00000E91">
      <w:pPr>
        <w:spacing w:before="120" w:after="0" w:line="280" w:lineRule="atLeast"/>
        <w:rPr>
          <w:rFonts w:ascii="Arial" w:eastAsia="Times New Roman" w:hAnsi="Arial" w:cs="Arial"/>
          <w:lang w:val="en-US"/>
        </w:rPr>
      </w:pPr>
      <w:r w:rsidRPr="00000E91">
        <w:rPr>
          <w:rFonts w:ascii="Arial" w:eastAsia="Times New Roman" w:hAnsi="Arial" w:cs="Arial"/>
          <w:lang w:val="en-US"/>
        </w:rPr>
        <w:t>Ketoconazole</w:t>
      </w:r>
    </w:p>
    <w:p w14:paraId="19E34FB8"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Studies have shown that other inhibitors of cytochrome P450 3A4 produce negligible (erythromycin) and minor (ketoconazole) increases in systemic exposure to fluticasone propionate without notable reductions in serum cortisol concentrations. Nevertheless, care is advised when co-administering potent cytochrome P450 3A4 inhibitors (e.g. ketoconazole), as there is potential for increased systemic exposure to fluticasone propionate (see </w:t>
      </w:r>
      <w:r w:rsidRPr="00000E91">
        <w:rPr>
          <w:rFonts w:ascii="Arial" w:eastAsia="Times New Roman" w:hAnsi="Arial" w:cs="Arial"/>
          <w:b/>
          <w:bCs/>
          <w:lang w:val="en-US"/>
        </w:rPr>
        <w:t>Pharmacokinetics</w:t>
      </w:r>
      <w:r w:rsidRPr="00000E91">
        <w:rPr>
          <w:rFonts w:ascii="Arial" w:eastAsia="Times New Roman" w:hAnsi="Arial" w:cs="Arial"/>
          <w:lang w:val="en-US"/>
        </w:rPr>
        <w:t xml:space="preserve"> – </w:t>
      </w:r>
      <w:r w:rsidRPr="00000E91">
        <w:rPr>
          <w:rFonts w:ascii="Arial" w:eastAsia="Times New Roman" w:hAnsi="Arial" w:cs="Arial"/>
          <w:b/>
          <w:bCs/>
          <w:lang w:val="en-US"/>
        </w:rPr>
        <w:t>Metabolism</w:t>
      </w:r>
      <w:r w:rsidRPr="00000E91">
        <w:rPr>
          <w:rFonts w:ascii="Arial" w:eastAsia="Times New Roman" w:hAnsi="Arial" w:cs="Arial"/>
          <w:lang w:val="en-US"/>
        </w:rPr>
        <w:t xml:space="preserve"> and </w:t>
      </w:r>
      <w:r w:rsidRPr="00000E91">
        <w:rPr>
          <w:rFonts w:ascii="Arial" w:eastAsia="Times New Roman" w:hAnsi="Arial" w:cs="Arial"/>
          <w:b/>
          <w:bCs/>
          <w:lang w:val="en-US"/>
        </w:rPr>
        <w:t>PRECAUTIONS</w:t>
      </w:r>
      <w:r w:rsidRPr="00000E91">
        <w:rPr>
          <w:rFonts w:ascii="Arial" w:eastAsia="Times New Roman" w:hAnsi="Arial" w:cs="Arial"/>
          <w:lang w:val="en-US"/>
        </w:rPr>
        <w:t xml:space="preserve"> – </w:t>
      </w:r>
      <w:r w:rsidRPr="00000E91">
        <w:rPr>
          <w:rFonts w:ascii="Arial" w:eastAsia="Times New Roman" w:hAnsi="Arial" w:cs="Arial"/>
          <w:b/>
          <w:bCs/>
          <w:lang w:val="en-US"/>
        </w:rPr>
        <w:t>Use of Cytochrome P450 3A4 Inhibitors</w:t>
      </w:r>
      <w:r w:rsidRPr="00000E91">
        <w:rPr>
          <w:rFonts w:ascii="Arial" w:eastAsia="Times New Roman" w:hAnsi="Arial" w:cs="Arial"/>
          <w:lang w:val="en-US"/>
        </w:rPr>
        <w:t xml:space="preserve">). </w:t>
      </w:r>
    </w:p>
    <w:p w14:paraId="40761126" w14:textId="77777777" w:rsidR="00000E91" w:rsidRPr="00000E91" w:rsidRDefault="00000E91" w:rsidP="00000E91">
      <w:pPr>
        <w:spacing w:after="0"/>
        <w:rPr>
          <w:rFonts w:ascii="Arial" w:eastAsia="Times New Roman" w:hAnsi="Arial" w:cs="Arial"/>
          <w:lang w:val="en-US"/>
        </w:rPr>
      </w:pPr>
    </w:p>
    <w:p w14:paraId="0C7CA757" w14:textId="77777777" w:rsidR="00000E91" w:rsidRPr="00000E91" w:rsidRDefault="00000E91" w:rsidP="00000E91">
      <w:pPr>
        <w:keepNext/>
        <w:tabs>
          <w:tab w:val="left" w:pos="1080"/>
        </w:tabs>
        <w:spacing w:after="0"/>
        <w:ind w:left="1080" w:hanging="1080"/>
        <w:outlineLvl w:val="1"/>
        <w:rPr>
          <w:rFonts w:ascii="Arial" w:eastAsia="Times New Roman" w:hAnsi="Arial" w:cs="Arial"/>
          <w:bCs/>
          <w:lang w:val="en-US"/>
        </w:rPr>
      </w:pPr>
      <w:r w:rsidRPr="00000E91">
        <w:rPr>
          <w:rFonts w:ascii="Arial" w:eastAsia="Times New Roman" w:hAnsi="Arial" w:cs="Arial"/>
          <w:bCs/>
          <w:lang w:val="en-US"/>
        </w:rPr>
        <w:lastRenderedPageBreak/>
        <w:t>Cimetidine</w:t>
      </w:r>
    </w:p>
    <w:p w14:paraId="252C617D"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After oral administration of 4.4 mg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hydrochloride twice daily, cimetidine has been shown to increase the plasma levels of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This is thought to be due to cimetidine inhibiting the metabolism of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by interacting with the hepatic cytochrome P450 system. No interaction was seen following co -medication with ranitidine.</w:t>
      </w:r>
    </w:p>
    <w:p w14:paraId="32A4CAAF" w14:textId="77777777" w:rsidR="00000E91" w:rsidRPr="00000E91" w:rsidRDefault="00000E91" w:rsidP="00000E91">
      <w:pPr>
        <w:spacing w:after="0"/>
        <w:rPr>
          <w:rFonts w:ascii="Arial" w:eastAsia="Times New Roman" w:hAnsi="Arial" w:cs="Arial"/>
          <w:lang w:val="en-US"/>
        </w:rPr>
      </w:pPr>
    </w:p>
    <w:p w14:paraId="77005FFB"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ADVERSE EFFECTS</w:t>
      </w:r>
    </w:p>
    <w:p w14:paraId="646F1A2A"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In the 4 placebo-controlled studies (MP4001, MP4002, MP4004 and MP4006), </w:t>
      </w:r>
      <w:r w:rsidRPr="00000E91">
        <w:rPr>
          <w:rFonts w:ascii="Arial" w:hAnsi="Arial" w:cs="Arial"/>
        </w:rPr>
        <w:t xml:space="preserve">1006 patients were treated with DYMISTA 125/50, 1012 with placebo, 851 with </w:t>
      </w:r>
      <w:proofErr w:type="spellStart"/>
      <w:r w:rsidRPr="00000E91">
        <w:rPr>
          <w:rFonts w:ascii="Arial" w:hAnsi="Arial" w:cs="Arial"/>
        </w:rPr>
        <w:t>azelastine</w:t>
      </w:r>
      <w:proofErr w:type="spellEnd"/>
      <w:r w:rsidRPr="00000E91">
        <w:rPr>
          <w:rFonts w:ascii="Arial" w:hAnsi="Arial" w:cs="Arial"/>
        </w:rPr>
        <w:t xml:space="preserve"> (AZE) in DYMISTA 125/50 vehicle, 846 with fluticasone propionate (FLU) in DYMISTA 125/50 vehicle, 152 with </w:t>
      </w:r>
      <w:proofErr w:type="spellStart"/>
      <w:r w:rsidRPr="00000E91">
        <w:rPr>
          <w:rFonts w:ascii="Arial" w:hAnsi="Arial" w:cs="Arial"/>
        </w:rPr>
        <w:t>Astelin</w:t>
      </w:r>
      <w:proofErr w:type="spellEnd"/>
      <w:r w:rsidRPr="00000E91">
        <w:rPr>
          <w:rFonts w:ascii="Arial" w:hAnsi="Arial" w:cs="Arial"/>
          <w:vertAlign w:val="superscript"/>
        </w:rPr>
        <w:t>®</w:t>
      </w:r>
      <w:r w:rsidRPr="00000E91">
        <w:rPr>
          <w:rFonts w:ascii="Arial" w:hAnsi="Arial" w:cs="Arial"/>
        </w:rPr>
        <w:t xml:space="preserve"> Nasal Spray (marketed AZE), and 153 with fluticasone propionate from Roxanne Laboratories Inc. (marketed FLU). The mean duration of exposure to each of these products was about 14 days. </w:t>
      </w:r>
      <w:r w:rsidRPr="00000E91">
        <w:rPr>
          <w:rFonts w:ascii="Arial" w:hAnsi="Arial" w:cs="Arial"/>
          <w:color w:val="000000"/>
        </w:rPr>
        <w:t>There were no relevant differences between the treatment groups in the overall rate of premature discontinuations and also the primary reason for discontinuation.</w:t>
      </w:r>
    </w:p>
    <w:p w14:paraId="154BB260" w14:textId="77777777" w:rsidR="00000E91" w:rsidRPr="00000E91" w:rsidRDefault="00000E91" w:rsidP="00000E91">
      <w:pPr>
        <w:autoSpaceDE w:val="0"/>
        <w:autoSpaceDN w:val="0"/>
        <w:adjustRightInd w:val="0"/>
        <w:spacing w:after="0"/>
        <w:rPr>
          <w:rFonts w:ascii="Arial" w:hAnsi="Arial" w:cs="Arial"/>
        </w:rPr>
      </w:pPr>
    </w:p>
    <w:p w14:paraId="1406BCAF" w14:textId="77777777" w:rsidR="00000E91" w:rsidRPr="00000E91" w:rsidRDefault="00000E91" w:rsidP="00000E91">
      <w:pPr>
        <w:autoSpaceDE w:val="0"/>
        <w:autoSpaceDN w:val="0"/>
        <w:adjustRightInd w:val="0"/>
        <w:spacing w:after="0"/>
        <w:rPr>
          <w:rFonts w:ascii="Arial" w:hAnsi="Arial" w:cs="Arial"/>
        </w:rPr>
      </w:pPr>
      <w:r w:rsidRPr="00000E91">
        <w:rPr>
          <w:rFonts w:ascii="Arial" w:hAnsi="Arial" w:cs="Arial"/>
        </w:rPr>
        <w:t xml:space="preserve">Across all treatment groups, the percentage of subjects with any AEs was low and majority of AEs were mild in nature. The most frequently reported adverse events (AEs) were </w:t>
      </w:r>
      <w:proofErr w:type="spellStart"/>
      <w:r w:rsidRPr="00000E91">
        <w:rPr>
          <w:rFonts w:ascii="Arial" w:hAnsi="Arial" w:cs="Arial"/>
        </w:rPr>
        <w:t>dysgeusia</w:t>
      </w:r>
      <w:proofErr w:type="spellEnd"/>
      <w:r w:rsidRPr="00000E91">
        <w:rPr>
          <w:rFonts w:ascii="Arial" w:hAnsi="Arial" w:cs="Arial"/>
        </w:rPr>
        <w:t>, epistaxis and headache. However, headache and especially epistaxis were also frequently reported under placebo. Treatment-emergent adverse events reported with an incidence of ≥ 1% in the DYMISTA 125/50 treated group, in the 4 pivotal studies, are shown in Table 2.</w:t>
      </w:r>
    </w:p>
    <w:tbl>
      <w:tblPr>
        <w:tblW w:w="9639" w:type="dxa"/>
        <w:tblInd w:w="2" w:type="dxa"/>
        <w:tblBorders>
          <w:top w:val="single" w:sz="4" w:space="0" w:color="auto"/>
          <w:bottom w:val="single" w:sz="4" w:space="0" w:color="auto"/>
        </w:tblBorders>
        <w:tblCellMar>
          <w:left w:w="28" w:type="dxa"/>
          <w:right w:w="28" w:type="dxa"/>
        </w:tblCellMar>
        <w:tblLook w:val="00A0" w:firstRow="1" w:lastRow="0" w:firstColumn="1" w:lastColumn="0" w:noHBand="0" w:noVBand="0"/>
      </w:tblPr>
      <w:tblGrid>
        <w:gridCol w:w="2212"/>
        <w:gridCol w:w="1624"/>
        <w:gridCol w:w="1159"/>
        <w:gridCol w:w="1129"/>
        <w:gridCol w:w="1129"/>
        <w:gridCol w:w="1200"/>
        <w:gridCol w:w="1186"/>
      </w:tblGrid>
      <w:tr w:rsidR="00000E91" w:rsidRPr="00000E91" w14:paraId="34CFC0E5" w14:textId="77777777" w:rsidTr="007D538C">
        <w:trPr>
          <w:trHeight w:val="35"/>
        </w:trPr>
        <w:tc>
          <w:tcPr>
            <w:tcW w:w="9639" w:type="dxa"/>
            <w:gridSpan w:val="7"/>
            <w:tcBorders>
              <w:top w:val="nil"/>
              <w:bottom w:val="single" w:sz="4" w:space="0" w:color="auto"/>
            </w:tcBorders>
          </w:tcPr>
          <w:p w14:paraId="618134B4" w14:textId="77777777" w:rsidR="00000E91" w:rsidRPr="00000E91" w:rsidRDefault="00000E91" w:rsidP="00000E91">
            <w:pPr>
              <w:keepNext/>
              <w:keepLines/>
              <w:spacing w:before="200" w:after="0"/>
              <w:outlineLvl w:val="7"/>
              <w:rPr>
                <w:rFonts w:ascii="Arial" w:eastAsia="Times New Roman" w:hAnsi="Arial" w:cs="Arial"/>
                <w:b/>
                <w:bCs/>
                <w:sz w:val="20"/>
                <w:szCs w:val="20"/>
              </w:rPr>
            </w:pPr>
            <w:r w:rsidRPr="00000E91">
              <w:rPr>
                <w:rFonts w:ascii="Arial" w:eastAsia="Times New Roman" w:hAnsi="Arial" w:cs="Arial"/>
                <w:b/>
                <w:bCs/>
                <w:sz w:val="20"/>
                <w:szCs w:val="20"/>
              </w:rPr>
              <w:t xml:space="preserve">Table 2: Treatment-emergent adverse events with an incidence of ≥ 1% in the DYMISTA 125/50 treated group, in the 4 pivotal studies </w:t>
            </w:r>
          </w:p>
        </w:tc>
      </w:tr>
      <w:tr w:rsidR="00000E91" w:rsidRPr="00000E91" w14:paraId="06999474" w14:textId="77777777" w:rsidTr="007D538C">
        <w:trPr>
          <w:trHeight w:val="35"/>
        </w:trPr>
        <w:tc>
          <w:tcPr>
            <w:tcW w:w="2383" w:type="dxa"/>
            <w:tcBorders>
              <w:top w:val="single" w:sz="4" w:space="0" w:color="auto"/>
              <w:bottom w:val="nil"/>
            </w:tcBorders>
          </w:tcPr>
          <w:p w14:paraId="2127F36D" w14:textId="77777777" w:rsidR="00000E91" w:rsidRPr="00000E91" w:rsidRDefault="00000E91" w:rsidP="00000E91">
            <w:pPr>
              <w:keepNext/>
              <w:keepLines/>
              <w:widowControl w:val="0"/>
              <w:spacing w:after="0" w:line="240" w:lineRule="auto"/>
              <w:rPr>
                <w:rFonts w:ascii="Arial" w:hAnsi="Arial" w:cs="Arial"/>
                <w:b/>
                <w:bCs/>
                <w:sz w:val="20"/>
                <w:szCs w:val="20"/>
                <w:lang w:val="en-GB"/>
              </w:rPr>
            </w:pPr>
          </w:p>
        </w:tc>
        <w:tc>
          <w:tcPr>
            <w:tcW w:w="1206" w:type="dxa"/>
            <w:tcBorders>
              <w:top w:val="single" w:sz="4" w:space="0" w:color="auto"/>
              <w:bottom w:val="nil"/>
            </w:tcBorders>
            <w:vAlign w:val="center"/>
          </w:tcPr>
          <w:p w14:paraId="14B25519"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r w:rsidRPr="00000E91">
              <w:rPr>
                <w:rFonts w:ascii="Arial" w:hAnsi="Arial" w:cs="Arial"/>
                <w:b/>
                <w:bCs/>
                <w:sz w:val="20"/>
                <w:szCs w:val="20"/>
                <w:lang w:val="en-GB"/>
              </w:rPr>
              <w:t>DYMISTA 125/50</w:t>
            </w:r>
          </w:p>
        </w:tc>
        <w:tc>
          <w:tcPr>
            <w:tcW w:w="1206" w:type="dxa"/>
            <w:tcBorders>
              <w:top w:val="single" w:sz="4" w:space="0" w:color="auto"/>
              <w:bottom w:val="nil"/>
            </w:tcBorders>
            <w:vAlign w:val="center"/>
          </w:tcPr>
          <w:p w14:paraId="187751E9"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r w:rsidRPr="00000E91">
              <w:rPr>
                <w:rFonts w:ascii="Arial" w:hAnsi="Arial" w:cs="Arial"/>
                <w:b/>
                <w:bCs/>
                <w:sz w:val="20"/>
                <w:szCs w:val="20"/>
                <w:lang w:val="en-GB"/>
              </w:rPr>
              <w:t>Placebo</w:t>
            </w:r>
          </w:p>
        </w:tc>
        <w:tc>
          <w:tcPr>
            <w:tcW w:w="1206" w:type="dxa"/>
            <w:tcBorders>
              <w:top w:val="single" w:sz="4" w:space="0" w:color="auto"/>
              <w:bottom w:val="nil"/>
            </w:tcBorders>
            <w:vAlign w:val="center"/>
          </w:tcPr>
          <w:p w14:paraId="348E2978"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r w:rsidRPr="00000E91">
              <w:rPr>
                <w:rFonts w:ascii="Arial" w:hAnsi="Arial" w:cs="Arial"/>
                <w:b/>
                <w:bCs/>
                <w:sz w:val="20"/>
                <w:szCs w:val="20"/>
                <w:lang w:val="en-GB"/>
              </w:rPr>
              <w:t>AZE</w:t>
            </w:r>
            <w:r w:rsidRPr="00000E91">
              <w:rPr>
                <w:rFonts w:ascii="Arial" w:hAnsi="Arial" w:cs="Arial"/>
                <w:b/>
                <w:bCs/>
                <w:sz w:val="20"/>
                <w:szCs w:val="20"/>
                <w:vertAlign w:val="superscript"/>
                <w:lang w:val="en-GB"/>
              </w:rPr>
              <w:t>§</w:t>
            </w:r>
          </w:p>
        </w:tc>
        <w:tc>
          <w:tcPr>
            <w:tcW w:w="1206" w:type="dxa"/>
            <w:tcBorders>
              <w:top w:val="single" w:sz="4" w:space="0" w:color="auto"/>
              <w:bottom w:val="nil"/>
            </w:tcBorders>
            <w:vAlign w:val="center"/>
          </w:tcPr>
          <w:p w14:paraId="4CD9A18E"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r w:rsidRPr="00000E91">
              <w:rPr>
                <w:rFonts w:ascii="Arial" w:hAnsi="Arial" w:cs="Arial"/>
                <w:b/>
                <w:bCs/>
                <w:sz w:val="20"/>
                <w:szCs w:val="20"/>
                <w:lang w:val="en-GB"/>
              </w:rPr>
              <w:t>FLU</w:t>
            </w:r>
            <w:r w:rsidRPr="00000E91">
              <w:rPr>
                <w:rFonts w:ascii="Arial" w:hAnsi="Arial" w:cs="Arial"/>
                <w:b/>
                <w:bCs/>
                <w:sz w:val="20"/>
                <w:szCs w:val="20"/>
                <w:vertAlign w:val="superscript"/>
                <w:lang w:val="en-GB"/>
              </w:rPr>
              <w:t>§</w:t>
            </w:r>
          </w:p>
        </w:tc>
        <w:tc>
          <w:tcPr>
            <w:tcW w:w="1223" w:type="dxa"/>
            <w:tcBorders>
              <w:top w:val="single" w:sz="4" w:space="0" w:color="auto"/>
              <w:bottom w:val="nil"/>
            </w:tcBorders>
            <w:vAlign w:val="center"/>
          </w:tcPr>
          <w:p w14:paraId="5417B0EE"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proofErr w:type="spellStart"/>
            <w:r w:rsidRPr="00000E91">
              <w:rPr>
                <w:rFonts w:ascii="Arial" w:hAnsi="Arial" w:cs="Arial"/>
                <w:b/>
                <w:bCs/>
                <w:sz w:val="20"/>
                <w:szCs w:val="20"/>
                <w:lang w:val="en-GB"/>
              </w:rPr>
              <w:t>AZE</w:t>
            </w:r>
            <w:r w:rsidRPr="00000E91">
              <w:rPr>
                <w:rFonts w:ascii="Arial" w:hAnsi="Arial" w:cs="Arial"/>
                <w:b/>
                <w:bCs/>
                <w:sz w:val="20"/>
                <w:szCs w:val="20"/>
                <w:vertAlign w:val="superscript"/>
                <w:lang w:val="en-GB"/>
              </w:rPr>
              <w:t>marketed</w:t>
            </w:r>
            <w:proofErr w:type="spellEnd"/>
          </w:p>
        </w:tc>
        <w:tc>
          <w:tcPr>
            <w:tcW w:w="1209" w:type="dxa"/>
            <w:tcBorders>
              <w:top w:val="single" w:sz="4" w:space="0" w:color="auto"/>
              <w:bottom w:val="nil"/>
            </w:tcBorders>
            <w:vAlign w:val="center"/>
          </w:tcPr>
          <w:p w14:paraId="2BEB8D54"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proofErr w:type="spellStart"/>
            <w:r w:rsidRPr="00000E91">
              <w:rPr>
                <w:rFonts w:ascii="Arial" w:hAnsi="Arial" w:cs="Arial"/>
                <w:b/>
                <w:bCs/>
                <w:sz w:val="20"/>
                <w:szCs w:val="20"/>
                <w:lang w:val="en-GB"/>
              </w:rPr>
              <w:t>FLU</w:t>
            </w:r>
            <w:r w:rsidRPr="00000E91">
              <w:rPr>
                <w:rFonts w:ascii="Arial" w:hAnsi="Arial" w:cs="Arial"/>
                <w:b/>
                <w:bCs/>
                <w:sz w:val="20"/>
                <w:szCs w:val="20"/>
                <w:vertAlign w:val="superscript"/>
                <w:lang w:val="en-GB"/>
              </w:rPr>
              <w:t>marketed</w:t>
            </w:r>
            <w:proofErr w:type="spellEnd"/>
          </w:p>
        </w:tc>
      </w:tr>
      <w:tr w:rsidR="00000E91" w:rsidRPr="00000E91" w14:paraId="023E06F5" w14:textId="77777777" w:rsidTr="007D538C">
        <w:trPr>
          <w:trHeight w:val="25"/>
        </w:trPr>
        <w:tc>
          <w:tcPr>
            <w:tcW w:w="2383" w:type="dxa"/>
            <w:tcBorders>
              <w:top w:val="nil"/>
              <w:bottom w:val="single" w:sz="4" w:space="0" w:color="auto"/>
            </w:tcBorders>
            <w:vAlign w:val="center"/>
          </w:tcPr>
          <w:p w14:paraId="4CE0DDD0" w14:textId="77777777" w:rsidR="00000E91" w:rsidRPr="00000E91" w:rsidRDefault="00000E91" w:rsidP="00000E91">
            <w:pPr>
              <w:keepNext/>
              <w:keepLines/>
              <w:widowControl w:val="0"/>
              <w:spacing w:after="0" w:line="240" w:lineRule="auto"/>
              <w:rPr>
                <w:rFonts w:ascii="Arial" w:hAnsi="Arial" w:cs="Arial"/>
                <w:sz w:val="20"/>
                <w:szCs w:val="20"/>
                <w:lang w:val="en-GB"/>
              </w:rPr>
            </w:pPr>
          </w:p>
        </w:tc>
        <w:tc>
          <w:tcPr>
            <w:tcW w:w="1206" w:type="dxa"/>
            <w:tcBorders>
              <w:top w:val="nil"/>
              <w:bottom w:val="single" w:sz="4" w:space="0" w:color="auto"/>
            </w:tcBorders>
            <w:vAlign w:val="center"/>
          </w:tcPr>
          <w:p w14:paraId="69AA4CD3" w14:textId="77777777" w:rsidR="00000E91" w:rsidRPr="00000E91" w:rsidRDefault="00000E91" w:rsidP="00000E91">
            <w:pPr>
              <w:keepNext/>
              <w:keepLines/>
              <w:widowControl w:val="0"/>
              <w:spacing w:after="0" w:line="240" w:lineRule="auto"/>
              <w:jc w:val="center"/>
              <w:rPr>
                <w:rFonts w:ascii="Arial" w:hAnsi="Arial" w:cs="Arial"/>
                <w:b/>
                <w:bCs/>
                <w:sz w:val="20"/>
                <w:szCs w:val="20"/>
                <w:lang w:val="en-GB"/>
              </w:rPr>
            </w:pPr>
            <w:r w:rsidRPr="00000E91">
              <w:rPr>
                <w:rFonts w:ascii="Arial" w:hAnsi="Arial" w:cs="Arial"/>
                <w:b/>
                <w:bCs/>
                <w:sz w:val="20"/>
                <w:szCs w:val="20"/>
                <w:lang w:val="en-GB"/>
              </w:rPr>
              <w:t>N (%)</w:t>
            </w:r>
          </w:p>
        </w:tc>
        <w:tc>
          <w:tcPr>
            <w:tcW w:w="1206" w:type="dxa"/>
            <w:tcBorders>
              <w:top w:val="nil"/>
              <w:bottom w:val="single" w:sz="4" w:space="0" w:color="auto"/>
            </w:tcBorders>
            <w:vAlign w:val="center"/>
          </w:tcPr>
          <w:p w14:paraId="455239CE"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b/>
                <w:bCs/>
                <w:sz w:val="20"/>
                <w:szCs w:val="20"/>
                <w:lang w:val="en-GB"/>
              </w:rPr>
              <w:t>N (%)</w:t>
            </w:r>
          </w:p>
        </w:tc>
        <w:tc>
          <w:tcPr>
            <w:tcW w:w="1206" w:type="dxa"/>
            <w:tcBorders>
              <w:top w:val="nil"/>
              <w:bottom w:val="single" w:sz="4" w:space="0" w:color="auto"/>
            </w:tcBorders>
            <w:vAlign w:val="center"/>
          </w:tcPr>
          <w:p w14:paraId="7E80770A"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b/>
                <w:bCs/>
                <w:sz w:val="20"/>
                <w:szCs w:val="20"/>
                <w:lang w:val="en-GB"/>
              </w:rPr>
              <w:t>N (%)</w:t>
            </w:r>
          </w:p>
        </w:tc>
        <w:tc>
          <w:tcPr>
            <w:tcW w:w="1206" w:type="dxa"/>
            <w:tcBorders>
              <w:top w:val="nil"/>
              <w:bottom w:val="single" w:sz="4" w:space="0" w:color="auto"/>
            </w:tcBorders>
            <w:vAlign w:val="center"/>
          </w:tcPr>
          <w:p w14:paraId="2163A75B"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b/>
                <w:bCs/>
                <w:sz w:val="20"/>
                <w:szCs w:val="20"/>
                <w:lang w:val="en-GB"/>
              </w:rPr>
              <w:t>N (%)</w:t>
            </w:r>
          </w:p>
        </w:tc>
        <w:tc>
          <w:tcPr>
            <w:tcW w:w="1223" w:type="dxa"/>
            <w:tcBorders>
              <w:top w:val="nil"/>
              <w:bottom w:val="single" w:sz="4" w:space="0" w:color="auto"/>
            </w:tcBorders>
            <w:vAlign w:val="center"/>
          </w:tcPr>
          <w:p w14:paraId="0718171E"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b/>
                <w:bCs/>
                <w:sz w:val="20"/>
                <w:szCs w:val="20"/>
                <w:lang w:val="en-GB"/>
              </w:rPr>
              <w:t>N (%)</w:t>
            </w:r>
          </w:p>
        </w:tc>
        <w:tc>
          <w:tcPr>
            <w:tcW w:w="1209" w:type="dxa"/>
            <w:tcBorders>
              <w:top w:val="nil"/>
              <w:bottom w:val="single" w:sz="4" w:space="0" w:color="auto"/>
            </w:tcBorders>
            <w:vAlign w:val="center"/>
          </w:tcPr>
          <w:p w14:paraId="423B9132"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b/>
                <w:bCs/>
                <w:sz w:val="20"/>
                <w:szCs w:val="20"/>
                <w:lang w:val="en-GB"/>
              </w:rPr>
              <w:t>N (%)</w:t>
            </w:r>
          </w:p>
        </w:tc>
      </w:tr>
      <w:tr w:rsidR="00000E91" w:rsidRPr="00000E91" w14:paraId="53AF5513" w14:textId="77777777" w:rsidTr="007D538C">
        <w:trPr>
          <w:trHeight w:val="25"/>
        </w:trPr>
        <w:tc>
          <w:tcPr>
            <w:tcW w:w="2383" w:type="dxa"/>
            <w:tcBorders>
              <w:top w:val="single" w:sz="4" w:space="0" w:color="auto"/>
              <w:bottom w:val="single" w:sz="4" w:space="0" w:color="auto"/>
            </w:tcBorders>
            <w:vAlign w:val="center"/>
          </w:tcPr>
          <w:p w14:paraId="209D85AD" w14:textId="77777777" w:rsidR="00000E91" w:rsidRPr="00000E91" w:rsidRDefault="00000E91" w:rsidP="00000E91">
            <w:pPr>
              <w:keepNext/>
              <w:keepLines/>
              <w:widowControl w:val="0"/>
              <w:spacing w:after="0" w:line="240" w:lineRule="auto"/>
              <w:rPr>
                <w:rFonts w:ascii="Arial" w:hAnsi="Arial" w:cs="Arial"/>
                <w:sz w:val="20"/>
                <w:szCs w:val="20"/>
                <w:lang w:val="en-GB"/>
              </w:rPr>
            </w:pPr>
            <w:r w:rsidRPr="00000E91">
              <w:rPr>
                <w:rFonts w:ascii="Arial" w:hAnsi="Arial" w:cs="Arial"/>
                <w:sz w:val="20"/>
                <w:szCs w:val="20"/>
                <w:lang w:val="en-GB"/>
              </w:rPr>
              <w:t>Safety population</w:t>
            </w:r>
          </w:p>
        </w:tc>
        <w:tc>
          <w:tcPr>
            <w:tcW w:w="1206" w:type="dxa"/>
            <w:tcBorders>
              <w:top w:val="single" w:sz="4" w:space="0" w:color="auto"/>
              <w:bottom w:val="single" w:sz="4" w:space="0" w:color="auto"/>
            </w:tcBorders>
            <w:vAlign w:val="center"/>
          </w:tcPr>
          <w:p w14:paraId="561DF8D1" w14:textId="77777777" w:rsidR="00000E91" w:rsidRPr="00000E91" w:rsidRDefault="00000E91" w:rsidP="00000E91">
            <w:pPr>
              <w:keepNext/>
              <w:keepLines/>
              <w:widowControl w:val="0"/>
              <w:spacing w:after="0" w:line="240" w:lineRule="auto"/>
              <w:ind w:right="-55" w:hanging="43"/>
              <w:jc w:val="center"/>
              <w:rPr>
                <w:rFonts w:ascii="Arial" w:hAnsi="Arial" w:cs="Arial"/>
                <w:sz w:val="20"/>
                <w:szCs w:val="20"/>
                <w:lang w:val="en-GB"/>
              </w:rPr>
            </w:pPr>
            <w:r w:rsidRPr="00000E91">
              <w:rPr>
                <w:rFonts w:ascii="Arial" w:hAnsi="Arial" w:cs="Arial"/>
                <w:sz w:val="20"/>
                <w:szCs w:val="20"/>
                <w:lang w:val="en-GB"/>
              </w:rPr>
              <w:t>1006 (100)</w:t>
            </w:r>
          </w:p>
        </w:tc>
        <w:tc>
          <w:tcPr>
            <w:tcW w:w="1206" w:type="dxa"/>
            <w:tcBorders>
              <w:top w:val="single" w:sz="4" w:space="0" w:color="auto"/>
              <w:bottom w:val="single" w:sz="4" w:space="0" w:color="auto"/>
            </w:tcBorders>
            <w:vAlign w:val="center"/>
          </w:tcPr>
          <w:p w14:paraId="56DF58E5"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1012 (100)</w:t>
            </w:r>
          </w:p>
        </w:tc>
        <w:tc>
          <w:tcPr>
            <w:tcW w:w="1206" w:type="dxa"/>
            <w:tcBorders>
              <w:top w:val="single" w:sz="4" w:space="0" w:color="auto"/>
              <w:bottom w:val="single" w:sz="4" w:space="0" w:color="auto"/>
            </w:tcBorders>
            <w:vAlign w:val="center"/>
          </w:tcPr>
          <w:p w14:paraId="51622368"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851 (100)</w:t>
            </w:r>
          </w:p>
        </w:tc>
        <w:tc>
          <w:tcPr>
            <w:tcW w:w="1206" w:type="dxa"/>
            <w:tcBorders>
              <w:top w:val="single" w:sz="4" w:space="0" w:color="auto"/>
              <w:bottom w:val="single" w:sz="4" w:space="0" w:color="auto"/>
            </w:tcBorders>
            <w:vAlign w:val="center"/>
          </w:tcPr>
          <w:p w14:paraId="3CF51AEF"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846 (100)</w:t>
            </w:r>
          </w:p>
        </w:tc>
        <w:tc>
          <w:tcPr>
            <w:tcW w:w="1223" w:type="dxa"/>
            <w:tcBorders>
              <w:top w:val="single" w:sz="4" w:space="0" w:color="auto"/>
              <w:bottom w:val="single" w:sz="4" w:space="0" w:color="auto"/>
            </w:tcBorders>
            <w:vAlign w:val="center"/>
          </w:tcPr>
          <w:p w14:paraId="2217079C"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152 (100)</w:t>
            </w:r>
          </w:p>
        </w:tc>
        <w:tc>
          <w:tcPr>
            <w:tcW w:w="1209" w:type="dxa"/>
            <w:tcBorders>
              <w:top w:val="single" w:sz="4" w:space="0" w:color="auto"/>
              <w:bottom w:val="single" w:sz="4" w:space="0" w:color="auto"/>
            </w:tcBorders>
            <w:vAlign w:val="center"/>
          </w:tcPr>
          <w:p w14:paraId="688BBBC5"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153 (100)</w:t>
            </w:r>
          </w:p>
        </w:tc>
      </w:tr>
      <w:tr w:rsidR="00000E91" w:rsidRPr="00000E91" w14:paraId="4BE6B7D6" w14:textId="77777777" w:rsidTr="007D538C">
        <w:trPr>
          <w:trHeight w:val="25"/>
        </w:trPr>
        <w:tc>
          <w:tcPr>
            <w:tcW w:w="2383" w:type="dxa"/>
            <w:tcBorders>
              <w:top w:val="single" w:sz="4" w:space="0" w:color="auto"/>
              <w:bottom w:val="single" w:sz="4" w:space="0" w:color="auto"/>
            </w:tcBorders>
            <w:vAlign w:val="center"/>
          </w:tcPr>
          <w:p w14:paraId="085F91F2" w14:textId="77777777" w:rsidR="00000E91" w:rsidRPr="00000E91" w:rsidRDefault="00000E91" w:rsidP="00000E91">
            <w:pPr>
              <w:keepNext/>
              <w:keepLines/>
              <w:widowControl w:val="0"/>
              <w:spacing w:after="0" w:line="240" w:lineRule="auto"/>
              <w:rPr>
                <w:rFonts w:ascii="Arial" w:hAnsi="Arial" w:cs="Arial"/>
                <w:sz w:val="20"/>
                <w:szCs w:val="20"/>
                <w:lang w:val="en-GB"/>
              </w:rPr>
            </w:pPr>
            <w:r w:rsidRPr="00000E91">
              <w:rPr>
                <w:rFonts w:ascii="Arial" w:hAnsi="Arial" w:cs="Arial"/>
                <w:sz w:val="20"/>
                <w:szCs w:val="20"/>
                <w:lang w:val="en-GB"/>
              </w:rPr>
              <w:t>Any adverse event</w:t>
            </w:r>
          </w:p>
        </w:tc>
        <w:tc>
          <w:tcPr>
            <w:tcW w:w="1206" w:type="dxa"/>
            <w:tcBorders>
              <w:top w:val="single" w:sz="4" w:space="0" w:color="auto"/>
              <w:bottom w:val="single" w:sz="4" w:space="0" w:color="auto"/>
            </w:tcBorders>
            <w:vAlign w:val="center"/>
          </w:tcPr>
          <w:p w14:paraId="556EB4CC"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165 (16.4)</w:t>
            </w:r>
          </w:p>
        </w:tc>
        <w:tc>
          <w:tcPr>
            <w:tcW w:w="1206" w:type="dxa"/>
            <w:tcBorders>
              <w:top w:val="single" w:sz="4" w:space="0" w:color="auto"/>
              <w:bottom w:val="single" w:sz="4" w:space="0" w:color="auto"/>
            </w:tcBorders>
            <w:vAlign w:val="center"/>
          </w:tcPr>
          <w:p w14:paraId="131AE5AE"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117 (11.6)</w:t>
            </w:r>
          </w:p>
        </w:tc>
        <w:tc>
          <w:tcPr>
            <w:tcW w:w="1206" w:type="dxa"/>
            <w:tcBorders>
              <w:top w:val="single" w:sz="4" w:space="0" w:color="auto"/>
              <w:bottom w:val="single" w:sz="4" w:space="0" w:color="auto"/>
            </w:tcBorders>
            <w:vAlign w:val="center"/>
          </w:tcPr>
          <w:p w14:paraId="09EA0973"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124 (14.6)</w:t>
            </w:r>
          </w:p>
        </w:tc>
        <w:tc>
          <w:tcPr>
            <w:tcW w:w="1206" w:type="dxa"/>
            <w:tcBorders>
              <w:top w:val="single" w:sz="4" w:space="0" w:color="auto"/>
              <w:bottom w:val="single" w:sz="4" w:space="0" w:color="auto"/>
            </w:tcBorders>
            <w:vAlign w:val="center"/>
          </w:tcPr>
          <w:p w14:paraId="72792DF5"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111 (13.1)</w:t>
            </w:r>
          </w:p>
        </w:tc>
        <w:tc>
          <w:tcPr>
            <w:tcW w:w="1223" w:type="dxa"/>
            <w:tcBorders>
              <w:top w:val="single" w:sz="4" w:space="0" w:color="auto"/>
              <w:bottom w:val="single" w:sz="4" w:space="0" w:color="auto"/>
            </w:tcBorders>
            <w:vAlign w:val="center"/>
          </w:tcPr>
          <w:p w14:paraId="2DE4FE26"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23 (15.1)</w:t>
            </w:r>
          </w:p>
        </w:tc>
        <w:tc>
          <w:tcPr>
            <w:tcW w:w="1209" w:type="dxa"/>
            <w:tcBorders>
              <w:top w:val="single" w:sz="4" w:space="0" w:color="auto"/>
              <w:bottom w:val="single" w:sz="4" w:space="0" w:color="auto"/>
            </w:tcBorders>
            <w:vAlign w:val="center"/>
          </w:tcPr>
          <w:p w14:paraId="44F6D218"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22 (14.4)</w:t>
            </w:r>
          </w:p>
        </w:tc>
      </w:tr>
      <w:tr w:rsidR="00000E91" w:rsidRPr="00000E91" w14:paraId="391A7518" w14:textId="77777777" w:rsidTr="007D538C">
        <w:trPr>
          <w:trHeight w:val="25"/>
        </w:trPr>
        <w:tc>
          <w:tcPr>
            <w:tcW w:w="2383" w:type="dxa"/>
            <w:tcBorders>
              <w:top w:val="single" w:sz="4" w:space="0" w:color="auto"/>
            </w:tcBorders>
            <w:vAlign w:val="center"/>
          </w:tcPr>
          <w:p w14:paraId="6D2773C4" w14:textId="77777777" w:rsidR="00000E91" w:rsidRPr="00000E91" w:rsidRDefault="00000E91" w:rsidP="00000E91">
            <w:pPr>
              <w:keepNext/>
              <w:keepLines/>
              <w:widowControl w:val="0"/>
              <w:spacing w:after="0" w:line="240" w:lineRule="auto"/>
              <w:rPr>
                <w:rFonts w:ascii="Arial" w:hAnsi="Arial" w:cs="Arial"/>
                <w:sz w:val="20"/>
                <w:szCs w:val="20"/>
                <w:lang w:val="en-GB"/>
              </w:rPr>
            </w:pPr>
            <w:proofErr w:type="spellStart"/>
            <w:r w:rsidRPr="00000E91">
              <w:rPr>
                <w:rFonts w:ascii="Arial" w:hAnsi="Arial" w:cs="Arial"/>
                <w:sz w:val="20"/>
                <w:szCs w:val="20"/>
                <w:lang w:val="en-GB"/>
              </w:rPr>
              <w:t>Dysgeusia</w:t>
            </w:r>
            <w:proofErr w:type="spellEnd"/>
          </w:p>
        </w:tc>
        <w:tc>
          <w:tcPr>
            <w:tcW w:w="1206" w:type="dxa"/>
            <w:tcBorders>
              <w:top w:val="single" w:sz="4" w:space="0" w:color="auto"/>
            </w:tcBorders>
            <w:vAlign w:val="center"/>
          </w:tcPr>
          <w:p w14:paraId="1D911D0B"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41 (4.1)</w:t>
            </w:r>
          </w:p>
        </w:tc>
        <w:tc>
          <w:tcPr>
            <w:tcW w:w="1206" w:type="dxa"/>
            <w:tcBorders>
              <w:top w:val="single" w:sz="4" w:space="0" w:color="auto"/>
            </w:tcBorders>
            <w:vAlign w:val="center"/>
          </w:tcPr>
          <w:p w14:paraId="6313E59E"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 (0.2)</w:t>
            </w:r>
          </w:p>
        </w:tc>
        <w:tc>
          <w:tcPr>
            <w:tcW w:w="1206" w:type="dxa"/>
            <w:tcBorders>
              <w:top w:val="single" w:sz="4" w:space="0" w:color="auto"/>
            </w:tcBorders>
            <w:vAlign w:val="center"/>
          </w:tcPr>
          <w:p w14:paraId="0D5CC833"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44 (5.2)</w:t>
            </w:r>
          </w:p>
        </w:tc>
        <w:tc>
          <w:tcPr>
            <w:tcW w:w="1206" w:type="dxa"/>
            <w:tcBorders>
              <w:top w:val="single" w:sz="4" w:space="0" w:color="auto"/>
            </w:tcBorders>
            <w:vAlign w:val="center"/>
          </w:tcPr>
          <w:p w14:paraId="3B791249"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4 (0.5)</w:t>
            </w:r>
          </w:p>
        </w:tc>
        <w:tc>
          <w:tcPr>
            <w:tcW w:w="1223" w:type="dxa"/>
            <w:tcBorders>
              <w:top w:val="single" w:sz="4" w:space="0" w:color="auto"/>
            </w:tcBorders>
            <w:vAlign w:val="center"/>
          </w:tcPr>
          <w:p w14:paraId="2EBF587B"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3 (2.0)</w:t>
            </w:r>
          </w:p>
        </w:tc>
        <w:tc>
          <w:tcPr>
            <w:tcW w:w="1209" w:type="dxa"/>
            <w:tcBorders>
              <w:top w:val="single" w:sz="4" w:space="0" w:color="auto"/>
            </w:tcBorders>
            <w:vAlign w:val="center"/>
          </w:tcPr>
          <w:p w14:paraId="7DB237FA"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0 (0.0)</w:t>
            </w:r>
          </w:p>
        </w:tc>
      </w:tr>
      <w:tr w:rsidR="00000E91" w:rsidRPr="00000E91" w14:paraId="6CD857FB" w14:textId="77777777" w:rsidTr="007D538C">
        <w:trPr>
          <w:trHeight w:val="25"/>
        </w:trPr>
        <w:tc>
          <w:tcPr>
            <w:tcW w:w="2383" w:type="dxa"/>
            <w:vAlign w:val="center"/>
          </w:tcPr>
          <w:p w14:paraId="470AFC8D" w14:textId="77777777" w:rsidR="00000E91" w:rsidRPr="00000E91" w:rsidRDefault="00000E91" w:rsidP="00000E91">
            <w:pPr>
              <w:keepNext/>
              <w:keepLines/>
              <w:widowControl w:val="0"/>
              <w:spacing w:after="0" w:line="240" w:lineRule="auto"/>
              <w:rPr>
                <w:rFonts w:ascii="Arial" w:hAnsi="Arial" w:cs="Arial"/>
                <w:sz w:val="20"/>
                <w:szCs w:val="20"/>
                <w:lang w:val="en-GB"/>
              </w:rPr>
            </w:pPr>
            <w:r w:rsidRPr="00000E91">
              <w:rPr>
                <w:rFonts w:ascii="Arial" w:hAnsi="Arial" w:cs="Arial"/>
                <w:sz w:val="20"/>
                <w:szCs w:val="20"/>
                <w:lang w:val="en-GB"/>
              </w:rPr>
              <w:t>Epistaxis</w:t>
            </w:r>
          </w:p>
        </w:tc>
        <w:tc>
          <w:tcPr>
            <w:tcW w:w="1206" w:type="dxa"/>
            <w:vAlign w:val="center"/>
          </w:tcPr>
          <w:p w14:paraId="0B87771B"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22 (2.2)</w:t>
            </w:r>
          </w:p>
        </w:tc>
        <w:tc>
          <w:tcPr>
            <w:tcW w:w="1206" w:type="dxa"/>
            <w:vAlign w:val="center"/>
          </w:tcPr>
          <w:p w14:paraId="66F0FE07"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20 (2.0)</w:t>
            </w:r>
          </w:p>
        </w:tc>
        <w:tc>
          <w:tcPr>
            <w:tcW w:w="1206" w:type="dxa"/>
            <w:vAlign w:val="center"/>
          </w:tcPr>
          <w:p w14:paraId="464E4DBA"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14 (1.6)</w:t>
            </w:r>
          </w:p>
        </w:tc>
        <w:tc>
          <w:tcPr>
            <w:tcW w:w="1206" w:type="dxa"/>
            <w:vAlign w:val="center"/>
          </w:tcPr>
          <w:p w14:paraId="4508A3B9"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14 (1.7)</w:t>
            </w:r>
          </w:p>
        </w:tc>
        <w:tc>
          <w:tcPr>
            <w:tcW w:w="1223" w:type="dxa"/>
            <w:vAlign w:val="center"/>
          </w:tcPr>
          <w:p w14:paraId="777DD129"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4 (2.6)</w:t>
            </w:r>
          </w:p>
        </w:tc>
        <w:tc>
          <w:tcPr>
            <w:tcW w:w="1209" w:type="dxa"/>
            <w:vAlign w:val="center"/>
          </w:tcPr>
          <w:p w14:paraId="30CE13BF"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6 (3.9)</w:t>
            </w:r>
          </w:p>
        </w:tc>
      </w:tr>
      <w:tr w:rsidR="00000E91" w:rsidRPr="00000E91" w14:paraId="758F7B23" w14:textId="77777777" w:rsidTr="007D538C">
        <w:trPr>
          <w:trHeight w:val="25"/>
        </w:trPr>
        <w:tc>
          <w:tcPr>
            <w:tcW w:w="2383" w:type="dxa"/>
            <w:vAlign w:val="center"/>
          </w:tcPr>
          <w:p w14:paraId="42B430F8" w14:textId="77777777" w:rsidR="00000E91" w:rsidRPr="00000E91" w:rsidRDefault="00000E91" w:rsidP="00000E91">
            <w:pPr>
              <w:keepNext/>
              <w:keepLines/>
              <w:widowControl w:val="0"/>
              <w:spacing w:after="0" w:line="240" w:lineRule="auto"/>
              <w:rPr>
                <w:rFonts w:ascii="Arial" w:hAnsi="Arial" w:cs="Arial"/>
                <w:sz w:val="20"/>
                <w:szCs w:val="20"/>
                <w:lang w:val="en-GB"/>
              </w:rPr>
            </w:pPr>
            <w:r w:rsidRPr="00000E91">
              <w:rPr>
                <w:rFonts w:ascii="Arial" w:hAnsi="Arial" w:cs="Arial"/>
                <w:sz w:val="20"/>
                <w:szCs w:val="20"/>
                <w:lang w:val="en-GB"/>
              </w:rPr>
              <w:t>Headache</w:t>
            </w:r>
          </w:p>
        </w:tc>
        <w:tc>
          <w:tcPr>
            <w:tcW w:w="1206" w:type="dxa"/>
            <w:vAlign w:val="center"/>
          </w:tcPr>
          <w:p w14:paraId="15C76C71"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22 (2.2)</w:t>
            </w:r>
          </w:p>
        </w:tc>
        <w:tc>
          <w:tcPr>
            <w:tcW w:w="1206" w:type="dxa"/>
            <w:vAlign w:val="center"/>
          </w:tcPr>
          <w:p w14:paraId="1E97F66E"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12 (1.2)</w:t>
            </w:r>
          </w:p>
        </w:tc>
        <w:tc>
          <w:tcPr>
            <w:tcW w:w="1206" w:type="dxa"/>
            <w:vAlign w:val="center"/>
          </w:tcPr>
          <w:p w14:paraId="46D5A976"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20 (2.4)</w:t>
            </w:r>
          </w:p>
        </w:tc>
        <w:tc>
          <w:tcPr>
            <w:tcW w:w="1206" w:type="dxa"/>
            <w:vAlign w:val="center"/>
          </w:tcPr>
          <w:p w14:paraId="0DD2E2FF"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20 (2.4)</w:t>
            </w:r>
          </w:p>
        </w:tc>
        <w:tc>
          <w:tcPr>
            <w:tcW w:w="1223" w:type="dxa"/>
            <w:vAlign w:val="center"/>
          </w:tcPr>
          <w:p w14:paraId="6E5AFCEB"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2 (1.3)</w:t>
            </w:r>
          </w:p>
        </w:tc>
        <w:tc>
          <w:tcPr>
            <w:tcW w:w="1209" w:type="dxa"/>
            <w:vAlign w:val="center"/>
          </w:tcPr>
          <w:p w14:paraId="33A5AAA0" w14:textId="77777777" w:rsidR="00000E91" w:rsidRPr="00000E91" w:rsidRDefault="00000E91" w:rsidP="00000E91">
            <w:pPr>
              <w:keepNext/>
              <w:keepLines/>
              <w:widowControl w:val="0"/>
              <w:spacing w:after="0" w:line="240" w:lineRule="auto"/>
              <w:jc w:val="center"/>
              <w:rPr>
                <w:rFonts w:ascii="Arial" w:hAnsi="Arial" w:cs="Arial"/>
                <w:sz w:val="20"/>
                <w:szCs w:val="20"/>
                <w:lang w:val="en-GB"/>
              </w:rPr>
            </w:pPr>
            <w:r w:rsidRPr="00000E91">
              <w:rPr>
                <w:rFonts w:ascii="Arial" w:hAnsi="Arial" w:cs="Arial"/>
                <w:sz w:val="20"/>
                <w:szCs w:val="20"/>
                <w:lang w:val="en-GB"/>
              </w:rPr>
              <w:t>6 (3.9)</w:t>
            </w:r>
          </w:p>
        </w:tc>
      </w:tr>
      <w:tr w:rsidR="00000E91" w:rsidRPr="00000E91" w14:paraId="7D56F03F" w14:textId="77777777" w:rsidTr="007D538C">
        <w:trPr>
          <w:trHeight w:val="25"/>
        </w:trPr>
        <w:tc>
          <w:tcPr>
            <w:tcW w:w="9639" w:type="dxa"/>
            <w:gridSpan w:val="7"/>
            <w:tcBorders>
              <w:top w:val="single" w:sz="4" w:space="0" w:color="auto"/>
              <w:bottom w:val="nil"/>
            </w:tcBorders>
            <w:vAlign w:val="center"/>
          </w:tcPr>
          <w:p w14:paraId="1C73E4B4" w14:textId="77777777" w:rsidR="00000E91" w:rsidRPr="00000E91" w:rsidRDefault="00000E91" w:rsidP="00000E91">
            <w:pPr>
              <w:keepNext/>
              <w:keepLines/>
              <w:widowControl w:val="0"/>
              <w:spacing w:after="0" w:line="240" w:lineRule="auto"/>
              <w:jc w:val="both"/>
              <w:rPr>
                <w:rFonts w:ascii="Arial" w:hAnsi="Arial" w:cs="Arial"/>
                <w:sz w:val="18"/>
                <w:szCs w:val="18"/>
                <w:lang w:val="en-GB"/>
              </w:rPr>
            </w:pPr>
            <w:r w:rsidRPr="00000E91">
              <w:rPr>
                <w:rFonts w:ascii="Arial" w:hAnsi="Arial" w:cs="Arial"/>
                <w:sz w:val="18"/>
                <w:szCs w:val="18"/>
                <w:lang w:val="en-GB"/>
              </w:rPr>
              <w:t xml:space="preserve">AEs were coded using the </w:t>
            </w:r>
            <w:proofErr w:type="spellStart"/>
            <w:r w:rsidRPr="00000E91">
              <w:rPr>
                <w:rFonts w:ascii="Arial" w:hAnsi="Arial" w:cs="Arial"/>
                <w:sz w:val="18"/>
                <w:szCs w:val="18"/>
                <w:lang w:val="en-GB"/>
              </w:rPr>
              <w:t>MedDRA</w:t>
            </w:r>
            <w:proofErr w:type="spellEnd"/>
            <w:r w:rsidRPr="00000E91">
              <w:rPr>
                <w:rFonts w:ascii="Arial" w:hAnsi="Arial" w:cs="Arial"/>
                <w:sz w:val="18"/>
                <w:szCs w:val="18"/>
                <w:lang w:val="en-GB"/>
              </w:rPr>
              <w:t xml:space="preserve"> dictionary Version 13.1, shown are the preferred terms. A subject with multiple AEs was counted only once.</w:t>
            </w:r>
          </w:p>
          <w:p w14:paraId="251991F4" w14:textId="77777777" w:rsidR="00000E91" w:rsidRPr="00000E91" w:rsidRDefault="00000E91" w:rsidP="00000E91">
            <w:pPr>
              <w:keepNext/>
              <w:keepLines/>
              <w:widowControl w:val="0"/>
              <w:spacing w:after="0" w:line="240" w:lineRule="auto"/>
              <w:ind w:left="499" w:hanging="499"/>
              <w:rPr>
                <w:rFonts w:ascii="Arial" w:hAnsi="Arial" w:cs="Arial"/>
                <w:sz w:val="18"/>
                <w:szCs w:val="18"/>
                <w:lang w:val="en-GB"/>
              </w:rPr>
            </w:pPr>
            <w:r w:rsidRPr="00000E91">
              <w:rPr>
                <w:rFonts w:ascii="Arial" w:hAnsi="Arial" w:cs="Arial"/>
                <w:sz w:val="18"/>
                <w:szCs w:val="18"/>
                <w:lang w:val="en-GB"/>
              </w:rPr>
              <w:t>§</w:t>
            </w:r>
            <w:r w:rsidRPr="00000E91">
              <w:rPr>
                <w:rFonts w:ascii="Arial" w:hAnsi="Arial" w:cs="Arial"/>
                <w:sz w:val="18"/>
                <w:szCs w:val="18"/>
                <w:lang w:val="en-GB"/>
              </w:rPr>
              <w:tab/>
              <w:t>In DYMISTA 125/50 vehicle.</w:t>
            </w:r>
          </w:p>
          <w:p w14:paraId="6100F8D5" w14:textId="77777777" w:rsidR="00000E91" w:rsidRPr="00000E91" w:rsidRDefault="00000E91" w:rsidP="00000E91">
            <w:pPr>
              <w:keepNext/>
              <w:keepLines/>
              <w:widowControl w:val="0"/>
              <w:spacing w:after="0" w:line="240" w:lineRule="auto"/>
              <w:ind w:left="499" w:hanging="499"/>
              <w:rPr>
                <w:rFonts w:ascii="Arial" w:hAnsi="Arial" w:cs="Arial"/>
                <w:sz w:val="18"/>
                <w:szCs w:val="18"/>
                <w:lang w:val="en-GB"/>
              </w:rPr>
            </w:pPr>
          </w:p>
        </w:tc>
      </w:tr>
    </w:tbl>
    <w:p w14:paraId="0B4B9E2C" w14:textId="77777777" w:rsidR="00000E91" w:rsidRPr="00000E91" w:rsidRDefault="00000E91" w:rsidP="00000E91">
      <w:pPr>
        <w:autoSpaceDE w:val="0"/>
        <w:autoSpaceDN w:val="0"/>
        <w:adjustRightInd w:val="0"/>
        <w:spacing w:after="0"/>
        <w:rPr>
          <w:rFonts w:ascii="Arial" w:hAnsi="Arial" w:cs="Arial"/>
        </w:rPr>
      </w:pPr>
    </w:p>
    <w:p w14:paraId="6EFFA612"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Table 3 listed possible adverse reactions for DYMISTA 125/50, with frequencies corresponding to:</w:t>
      </w:r>
    </w:p>
    <w:p w14:paraId="6092E132" w14:textId="77777777" w:rsidR="00000E91" w:rsidRPr="00000E91" w:rsidRDefault="00000E91" w:rsidP="00000E91">
      <w:pPr>
        <w:autoSpaceDE w:val="0"/>
        <w:autoSpaceDN w:val="0"/>
        <w:adjustRightInd w:val="0"/>
        <w:spacing w:after="0"/>
        <w:rPr>
          <w:rFonts w:ascii="Arial" w:hAnsi="Arial" w:cs="Arial"/>
          <w:color w:val="000000"/>
        </w:rPr>
      </w:pPr>
    </w:p>
    <w:p w14:paraId="7DD62123"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Very common</w:t>
      </w:r>
      <w:r w:rsidRPr="00000E91">
        <w:rPr>
          <w:rFonts w:ascii="Arial" w:hAnsi="Arial" w:cs="Arial"/>
          <w:color w:val="000000"/>
        </w:rPr>
        <w:tab/>
        <w:t>(</w:t>
      </w:r>
      <w:r w:rsidRPr="00000E91">
        <w:rPr>
          <w:rFonts w:ascii="Arial" w:hAnsi="Arial" w:cs="Arial"/>
          <w:i/>
          <w:iCs/>
          <w:color w:val="000000"/>
        </w:rPr>
        <w:t>≥</w:t>
      </w:r>
      <w:r w:rsidRPr="00000E91">
        <w:rPr>
          <w:rFonts w:ascii="Arial" w:hAnsi="Arial" w:cs="Arial"/>
          <w:color w:val="000000"/>
        </w:rPr>
        <w:t xml:space="preserve">1/10) </w:t>
      </w:r>
    </w:p>
    <w:p w14:paraId="1AC24416"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Common</w:t>
      </w:r>
      <w:r w:rsidRPr="00000E91">
        <w:rPr>
          <w:rFonts w:ascii="Arial" w:hAnsi="Arial" w:cs="Arial"/>
          <w:color w:val="000000"/>
        </w:rPr>
        <w:tab/>
        <w:t>(</w:t>
      </w:r>
      <w:r w:rsidRPr="00000E91">
        <w:rPr>
          <w:rFonts w:ascii="Arial" w:hAnsi="Arial" w:cs="Arial"/>
          <w:i/>
          <w:iCs/>
          <w:color w:val="000000"/>
        </w:rPr>
        <w:t>≥</w:t>
      </w:r>
      <w:r w:rsidRPr="00000E91">
        <w:rPr>
          <w:rFonts w:ascii="Arial" w:hAnsi="Arial" w:cs="Arial"/>
          <w:color w:val="000000"/>
        </w:rPr>
        <w:t xml:space="preserve">1/100 to &lt;1/10) </w:t>
      </w:r>
    </w:p>
    <w:p w14:paraId="29BAC9F3"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Uncommon </w:t>
      </w:r>
      <w:r w:rsidRPr="00000E91">
        <w:rPr>
          <w:rFonts w:ascii="Arial" w:hAnsi="Arial" w:cs="Arial"/>
          <w:color w:val="000000"/>
        </w:rPr>
        <w:tab/>
        <w:t>(</w:t>
      </w:r>
      <w:r w:rsidRPr="00000E91">
        <w:rPr>
          <w:rFonts w:ascii="Arial" w:hAnsi="Arial" w:cs="Arial"/>
          <w:i/>
          <w:iCs/>
          <w:color w:val="000000"/>
        </w:rPr>
        <w:t>≥</w:t>
      </w:r>
      <w:r w:rsidRPr="00000E91">
        <w:rPr>
          <w:rFonts w:ascii="Arial" w:hAnsi="Arial" w:cs="Arial"/>
          <w:color w:val="000000"/>
        </w:rPr>
        <w:t xml:space="preserve">1/1,000 to &lt;1/100) </w:t>
      </w:r>
    </w:p>
    <w:p w14:paraId="7DE22D77"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Rare </w:t>
      </w:r>
      <w:r w:rsidRPr="00000E91">
        <w:rPr>
          <w:rFonts w:ascii="Arial" w:hAnsi="Arial" w:cs="Arial"/>
          <w:color w:val="000000"/>
        </w:rPr>
        <w:tab/>
      </w:r>
      <w:r w:rsidRPr="00000E91">
        <w:rPr>
          <w:rFonts w:ascii="Arial" w:hAnsi="Arial" w:cs="Arial"/>
          <w:color w:val="000000"/>
        </w:rPr>
        <w:tab/>
        <w:t>(</w:t>
      </w:r>
      <w:r w:rsidRPr="00000E91">
        <w:rPr>
          <w:rFonts w:ascii="Arial" w:hAnsi="Arial" w:cs="Arial"/>
          <w:i/>
          <w:iCs/>
          <w:color w:val="000000"/>
        </w:rPr>
        <w:t>≥</w:t>
      </w:r>
      <w:r w:rsidRPr="00000E91">
        <w:rPr>
          <w:rFonts w:ascii="Arial" w:hAnsi="Arial" w:cs="Arial"/>
          <w:color w:val="000000"/>
        </w:rPr>
        <w:t xml:space="preserve">1/10,000 to &lt;1/1,000) </w:t>
      </w:r>
    </w:p>
    <w:p w14:paraId="68F7254A"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Very rare </w:t>
      </w:r>
      <w:r w:rsidRPr="00000E91">
        <w:rPr>
          <w:rFonts w:ascii="Arial" w:hAnsi="Arial" w:cs="Arial"/>
          <w:color w:val="000000"/>
        </w:rPr>
        <w:tab/>
        <w:t>(&lt;1/10,000)</w:t>
      </w:r>
    </w:p>
    <w:p w14:paraId="6C5E79D9"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Not known</w:t>
      </w:r>
      <w:r w:rsidRPr="00000E91">
        <w:rPr>
          <w:rFonts w:ascii="Arial" w:hAnsi="Arial" w:cs="Arial"/>
          <w:color w:val="000000"/>
        </w:rPr>
        <w:tab/>
        <w:t>(cannot be estimated from the available data)</w:t>
      </w:r>
    </w:p>
    <w:p w14:paraId="7F755E3B" w14:textId="77777777" w:rsidR="00000E91" w:rsidRPr="00000E91" w:rsidRDefault="00000E91" w:rsidP="00000E91">
      <w:pPr>
        <w:spacing w:after="0" w:line="240" w:lineRule="auto"/>
        <w:rPr>
          <w:rFonts w:ascii="Times New Roman" w:hAnsi="Times New Roman" w:cs="Times New Roman"/>
          <w:color w:val="000000"/>
        </w:rPr>
      </w:pPr>
      <w:r w:rsidRPr="00000E91">
        <w:rPr>
          <w:rFonts w:ascii="Times New Roman" w:hAnsi="Times New Roman" w:cs="Times New Roman"/>
          <w:color w:val="000000"/>
        </w:rPr>
        <w:br w:type="page"/>
      </w:r>
    </w:p>
    <w:p w14:paraId="54AD0CEC" w14:textId="77777777" w:rsidR="00000E91" w:rsidRPr="00000E91" w:rsidRDefault="00000E91" w:rsidP="00000E91">
      <w:pPr>
        <w:autoSpaceDE w:val="0"/>
        <w:autoSpaceDN w:val="0"/>
        <w:adjustRightInd w:val="0"/>
        <w:spacing w:after="0" w:line="240" w:lineRule="auto"/>
        <w:rPr>
          <w:rFonts w:ascii="Arial" w:hAnsi="Arial" w:cs="Arial"/>
          <w:b/>
          <w:bCs/>
          <w:color w:val="000000"/>
          <w:sz w:val="20"/>
          <w:szCs w:val="20"/>
        </w:rPr>
      </w:pPr>
      <w:r w:rsidRPr="00000E91">
        <w:rPr>
          <w:rFonts w:ascii="Arial" w:hAnsi="Arial" w:cs="Arial"/>
          <w:b/>
          <w:bCs/>
          <w:color w:val="000000"/>
          <w:sz w:val="20"/>
          <w:szCs w:val="20"/>
        </w:rPr>
        <w:lastRenderedPageBreak/>
        <w:t xml:space="preserve">Table 3: Possible adverse reactions of DYMISTA 125/50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9"/>
        <w:gridCol w:w="1424"/>
        <w:gridCol w:w="1456"/>
        <w:gridCol w:w="1487"/>
        <w:gridCol w:w="1517"/>
        <w:gridCol w:w="1617"/>
      </w:tblGrid>
      <w:tr w:rsidR="00000E91" w:rsidRPr="00000E91" w14:paraId="32E00582" w14:textId="77777777" w:rsidTr="007D538C">
        <w:tc>
          <w:tcPr>
            <w:tcW w:w="1540" w:type="dxa"/>
          </w:tcPr>
          <w:p w14:paraId="0DD58D95"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Frequency</w:t>
            </w:r>
          </w:p>
          <w:p w14:paraId="54A54A6B"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System Organ Class</w:t>
            </w:r>
          </w:p>
        </w:tc>
        <w:tc>
          <w:tcPr>
            <w:tcW w:w="1540" w:type="dxa"/>
          </w:tcPr>
          <w:p w14:paraId="6424DB09"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Very common</w:t>
            </w:r>
          </w:p>
        </w:tc>
        <w:tc>
          <w:tcPr>
            <w:tcW w:w="1540" w:type="dxa"/>
          </w:tcPr>
          <w:p w14:paraId="74F3E53F"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Common</w:t>
            </w:r>
          </w:p>
        </w:tc>
        <w:tc>
          <w:tcPr>
            <w:tcW w:w="1540" w:type="dxa"/>
          </w:tcPr>
          <w:p w14:paraId="4BAEA131"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Uncommon</w:t>
            </w:r>
          </w:p>
        </w:tc>
        <w:tc>
          <w:tcPr>
            <w:tcW w:w="1541" w:type="dxa"/>
          </w:tcPr>
          <w:p w14:paraId="056A9FA8"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Rare</w:t>
            </w:r>
          </w:p>
        </w:tc>
        <w:tc>
          <w:tcPr>
            <w:tcW w:w="1541" w:type="dxa"/>
          </w:tcPr>
          <w:p w14:paraId="667BB51D" w14:textId="77777777" w:rsidR="00000E91" w:rsidRPr="00000E91" w:rsidRDefault="00000E91" w:rsidP="00000E91">
            <w:pPr>
              <w:spacing w:after="0" w:line="240" w:lineRule="auto"/>
              <w:rPr>
                <w:rFonts w:ascii="Arial" w:hAnsi="Arial" w:cs="Arial"/>
                <w:b/>
                <w:bCs/>
                <w:sz w:val="20"/>
                <w:szCs w:val="20"/>
              </w:rPr>
            </w:pPr>
            <w:r w:rsidRPr="00000E91">
              <w:rPr>
                <w:rFonts w:ascii="Arial" w:hAnsi="Arial" w:cs="Arial"/>
                <w:b/>
                <w:bCs/>
                <w:sz w:val="20"/>
                <w:szCs w:val="20"/>
              </w:rPr>
              <w:t>Very rare</w:t>
            </w:r>
          </w:p>
        </w:tc>
      </w:tr>
      <w:tr w:rsidR="00000E91" w:rsidRPr="00000E91" w14:paraId="45A58D21" w14:textId="77777777" w:rsidTr="007D538C">
        <w:tc>
          <w:tcPr>
            <w:tcW w:w="1540" w:type="dxa"/>
          </w:tcPr>
          <w:p w14:paraId="57401C40" w14:textId="77777777" w:rsidR="00000E91" w:rsidRPr="00000E91" w:rsidRDefault="00000E91" w:rsidP="00000E91">
            <w:pPr>
              <w:autoSpaceDE w:val="0"/>
              <w:autoSpaceDN w:val="0"/>
              <w:adjustRightInd w:val="0"/>
              <w:spacing w:after="0" w:line="240" w:lineRule="auto"/>
              <w:rPr>
                <w:rFonts w:ascii="Arial" w:hAnsi="Arial" w:cs="Arial"/>
                <w:b/>
                <w:bCs/>
                <w:color w:val="000000"/>
                <w:sz w:val="20"/>
                <w:szCs w:val="20"/>
              </w:rPr>
            </w:pPr>
            <w:r w:rsidRPr="00000E91">
              <w:rPr>
                <w:rFonts w:ascii="Arial" w:hAnsi="Arial" w:cs="Arial"/>
                <w:b/>
                <w:bCs/>
                <w:i/>
                <w:iCs/>
                <w:color w:val="000000"/>
                <w:sz w:val="20"/>
                <w:szCs w:val="20"/>
              </w:rPr>
              <w:t xml:space="preserve">Immune system disorders </w:t>
            </w:r>
          </w:p>
        </w:tc>
        <w:tc>
          <w:tcPr>
            <w:tcW w:w="1540" w:type="dxa"/>
          </w:tcPr>
          <w:p w14:paraId="51889CCA" w14:textId="77777777" w:rsidR="00000E91" w:rsidRPr="00000E91" w:rsidRDefault="00000E91" w:rsidP="00000E91">
            <w:pPr>
              <w:spacing w:after="0" w:line="240" w:lineRule="auto"/>
              <w:rPr>
                <w:rFonts w:ascii="Arial" w:hAnsi="Arial" w:cs="Arial"/>
                <w:sz w:val="20"/>
                <w:szCs w:val="20"/>
              </w:rPr>
            </w:pPr>
          </w:p>
        </w:tc>
        <w:tc>
          <w:tcPr>
            <w:tcW w:w="1540" w:type="dxa"/>
          </w:tcPr>
          <w:p w14:paraId="00F3CD8C" w14:textId="77777777" w:rsidR="00000E91" w:rsidRPr="00000E91" w:rsidRDefault="00000E91" w:rsidP="00000E91">
            <w:pPr>
              <w:spacing w:after="0" w:line="240" w:lineRule="auto"/>
              <w:rPr>
                <w:rFonts w:ascii="Arial" w:hAnsi="Arial" w:cs="Arial"/>
                <w:sz w:val="20"/>
                <w:szCs w:val="20"/>
              </w:rPr>
            </w:pPr>
          </w:p>
        </w:tc>
        <w:tc>
          <w:tcPr>
            <w:tcW w:w="1540" w:type="dxa"/>
          </w:tcPr>
          <w:p w14:paraId="2421375F" w14:textId="77777777" w:rsidR="00000E91" w:rsidRPr="00000E91" w:rsidRDefault="00000E91" w:rsidP="00000E91">
            <w:pPr>
              <w:spacing w:after="0" w:line="240" w:lineRule="auto"/>
              <w:rPr>
                <w:rFonts w:ascii="Arial" w:hAnsi="Arial" w:cs="Arial"/>
                <w:sz w:val="20"/>
                <w:szCs w:val="20"/>
              </w:rPr>
            </w:pPr>
          </w:p>
        </w:tc>
        <w:tc>
          <w:tcPr>
            <w:tcW w:w="1541" w:type="dxa"/>
          </w:tcPr>
          <w:p w14:paraId="2956043E" w14:textId="77777777" w:rsidR="00000E91" w:rsidRPr="00000E91" w:rsidRDefault="00000E91" w:rsidP="00000E91">
            <w:pPr>
              <w:spacing w:after="0" w:line="240" w:lineRule="auto"/>
              <w:rPr>
                <w:rFonts w:ascii="Arial" w:hAnsi="Arial" w:cs="Arial"/>
                <w:sz w:val="20"/>
                <w:szCs w:val="20"/>
              </w:rPr>
            </w:pPr>
          </w:p>
        </w:tc>
        <w:tc>
          <w:tcPr>
            <w:tcW w:w="1541" w:type="dxa"/>
          </w:tcPr>
          <w:p w14:paraId="63ED7D80"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Hypersensitivity including anaphylactic reactions, angioedema, bronchospasm </w:t>
            </w:r>
          </w:p>
          <w:p w14:paraId="28F477D2" w14:textId="77777777" w:rsidR="00000E91" w:rsidRPr="00000E91" w:rsidRDefault="00000E91" w:rsidP="00000E91">
            <w:pPr>
              <w:spacing w:after="0" w:line="240" w:lineRule="auto"/>
              <w:rPr>
                <w:rFonts w:ascii="Arial" w:hAnsi="Arial" w:cs="Arial"/>
                <w:sz w:val="20"/>
                <w:szCs w:val="20"/>
              </w:rPr>
            </w:pPr>
          </w:p>
        </w:tc>
      </w:tr>
      <w:tr w:rsidR="00000E91" w:rsidRPr="00000E91" w14:paraId="38FF95F2" w14:textId="77777777" w:rsidTr="007D538C">
        <w:tc>
          <w:tcPr>
            <w:tcW w:w="1540" w:type="dxa"/>
          </w:tcPr>
          <w:p w14:paraId="7B23FCA8" w14:textId="77777777" w:rsidR="00000E91" w:rsidRPr="00000E91" w:rsidRDefault="00000E91" w:rsidP="00000E91">
            <w:pPr>
              <w:autoSpaceDE w:val="0"/>
              <w:autoSpaceDN w:val="0"/>
              <w:adjustRightInd w:val="0"/>
              <w:spacing w:after="0" w:line="240" w:lineRule="auto"/>
              <w:rPr>
                <w:rFonts w:ascii="Arial" w:hAnsi="Arial" w:cs="Arial"/>
                <w:b/>
                <w:bCs/>
                <w:color w:val="000000"/>
                <w:sz w:val="20"/>
                <w:szCs w:val="20"/>
              </w:rPr>
            </w:pPr>
            <w:r w:rsidRPr="00000E91">
              <w:rPr>
                <w:rFonts w:ascii="Arial" w:hAnsi="Arial" w:cs="Arial"/>
                <w:b/>
                <w:bCs/>
                <w:i/>
                <w:iCs/>
                <w:color w:val="000000"/>
                <w:sz w:val="20"/>
                <w:szCs w:val="20"/>
              </w:rPr>
              <w:t xml:space="preserve">Nervous system disorder </w:t>
            </w:r>
          </w:p>
          <w:p w14:paraId="2EA0B8C9" w14:textId="77777777" w:rsidR="00000E91" w:rsidRPr="00000E91" w:rsidRDefault="00000E91" w:rsidP="00000E91">
            <w:pPr>
              <w:spacing w:after="0" w:line="240" w:lineRule="auto"/>
              <w:rPr>
                <w:rFonts w:ascii="Arial" w:hAnsi="Arial" w:cs="Arial"/>
                <w:b/>
                <w:bCs/>
                <w:sz w:val="20"/>
                <w:szCs w:val="20"/>
              </w:rPr>
            </w:pPr>
          </w:p>
        </w:tc>
        <w:tc>
          <w:tcPr>
            <w:tcW w:w="1540" w:type="dxa"/>
          </w:tcPr>
          <w:p w14:paraId="66DDC551" w14:textId="77777777" w:rsidR="00000E91" w:rsidRPr="00000E91" w:rsidRDefault="00000E91" w:rsidP="00000E91">
            <w:pPr>
              <w:spacing w:after="0" w:line="240" w:lineRule="auto"/>
              <w:rPr>
                <w:rFonts w:ascii="Arial" w:hAnsi="Arial" w:cs="Arial"/>
                <w:sz w:val="20"/>
                <w:szCs w:val="20"/>
              </w:rPr>
            </w:pPr>
          </w:p>
        </w:tc>
        <w:tc>
          <w:tcPr>
            <w:tcW w:w="1540" w:type="dxa"/>
          </w:tcPr>
          <w:p w14:paraId="64E7AD82"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Headache, </w:t>
            </w:r>
          </w:p>
          <w:p w14:paraId="26F84273" w14:textId="77777777" w:rsidR="00000E91" w:rsidRPr="00000E91" w:rsidRDefault="00000E91" w:rsidP="00000E91">
            <w:pPr>
              <w:spacing w:after="0" w:line="240" w:lineRule="auto"/>
              <w:rPr>
                <w:rFonts w:ascii="Arial" w:hAnsi="Arial" w:cs="Arial"/>
                <w:sz w:val="20"/>
                <w:szCs w:val="20"/>
              </w:rPr>
            </w:pPr>
            <w:proofErr w:type="spellStart"/>
            <w:r w:rsidRPr="00000E91">
              <w:rPr>
                <w:rFonts w:ascii="Arial" w:hAnsi="Arial" w:cs="Arial"/>
                <w:sz w:val="20"/>
                <w:szCs w:val="20"/>
              </w:rPr>
              <w:t>dysgeusia</w:t>
            </w:r>
            <w:proofErr w:type="spellEnd"/>
            <w:r w:rsidRPr="00000E91">
              <w:rPr>
                <w:rFonts w:ascii="Arial" w:hAnsi="Arial" w:cs="Arial"/>
                <w:sz w:val="20"/>
                <w:szCs w:val="20"/>
              </w:rPr>
              <w:t xml:space="preserve"> </w:t>
            </w:r>
          </w:p>
        </w:tc>
        <w:tc>
          <w:tcPr>
            <w:tcW w:w="1540" w:type="dxa"/>
          </w:tcPr>
          <w:p w14:paraId="1D19F0AC" w14:textId="77777777" w:rsidR="00000E91" w:rsidRPr="00000E91" w:rsidRDefault="00000E91" w:rsidP="00000E91">
            <w:pPr>
              <w:spacing w:after="0" w:line="240" w:lineRule="auto"/>
              <w:rPr>
                <w:rFonts w:ascii="Arial" w:hAnsi="Arial" w:cs="Arial"/>
                <w:sz w:val="20"/>
                <w:szCs w:val="20"/>
              </w:rPr>
            </w:pPr>
            <w:r w:rsidRPr="00000E91">
              <w:rPr>
                <w:rFonts w:ascii="Arial" w:hAnsi="Arial" w:cs="Arial"/>
                <w:sz w:val="20"/>
                <w:szCs w:val="20"/>
              </w:rPr>
              <w:t>Unpleasant smell</w:t>
            </w:r>
          </w:p>
        </w:tc>
        <w:tc>
          <w:tcPr>
            <w:tcW w:w="1541" w:type="dxa"/>
          </w:tcPr>
          <w:p w14:paraId="0732C77C" w14:textId="77777777" w:rsidR="00000E91" w:rsidRPr="00000E91" w:rsidRDefault="00000E91" w:rsidP="00000E91">
            <w:pPr>
              <w:spacing w:after="0" w:line="240" w:lineRule="auto"/>
              <w:rPr>
                <w:rFonts w:ascii="Arial" w:hAnsi="Arial" w:cs="Arial"/>
                <w:sz w:val="20"/>
                <w:szCs w:val="20"/>
              </w:rPr>
            </w:pPr>
            <w:r w:rsidRPr="00000E91">
              <w:rPr>
                <w:rFonts w:ascii="Arial" w:hAnsi="Arial" w:cs="Arial"/>
                <w:sz w:val="20"/>
                <w:szCs w:val="20"/>
              </w:rPr>
              <w:t>Nervousness, taste loss</w:t>
            </w:r>
          </w:p>
        </w:tc>
        <w:tc>
          <w:tcPr>
            <w:tcW w:w="1541" w:type="dxa"/>
          </w:tcPr>
          <w:p w14:paraId="421BA116"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Dizziness, somnolence (drowsiness, sleepiness) </w:t>
            </w:r>
          </w:p>
        </w:tc>
      </w:tr>
      <w:tr w:rsidR="00000E91" w:rsidRPr="00000E91" w14:paraId="00D95F08" w14:textId="77777777" w:rsidTr="007D538C">
        <w:tc>
          <w:tcPr>
            <w:tcW w:w="1540" w:type="dxa"/>
          </w:tcPr>
          <w:p w14:paraId="40282D4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b/>
                <w:bCs/>
                <w:i/>
                <w:iCs/>
                <w:color w:val="000000"/>
                <w:sz w:val="20"/>
                <w:szCs w:val="20"/>
              </w:rPr>
              <w:t xml:space="preserve">Eye disorders </w:t>
            </w:r>
          </w:p>
        </w:tc>
        <w:tc>
          <w:tcPr>
            <w:tcW w:w="1540" w:type="dxa"/>
          </w:tcPr>
          <w:p w14:paraId="605E81EB" w14:textId="77777777" w:rsidR="00000E91" w:rsidRPr="00000E91" w:rsidRDefault="00000E91" w:rsidP="00000E91">
            <w:pPr>
              <w:spacing w:after="0" w:line="240" w:lineRule="auto"/>
              <w:rPr>
                <w:rFonts w:ascii="Arial" w:hAnsi="Arial" w:cs="Arial"/>
                <w:sz w:val="20"/>
                <w:szCs w:val="20"/>
              </w:rPr>
            </w:pPr>
          </w:p>
        </w:tc>
        <w:tc>
          <w:tcPr>
            <w:tcW w:w="1540" w:type="dxa"/>
          </w:tcPr>
          <w:p w14:paraId="24AAEEE3" w14:textId="77777777" w:rsidR="00000E91" w:rsidRPr="00000E91" w:rsidRDefault="00000E91" w:rsidP="00000E91">
            <w:pPr>
              <w:spacing w:after="0" w:line="240" w:lineRule="auto"/>
              <w:rPr>
                <w:rFonts w:ascii="Arial" w:hAnsi="Arial" w:cs="Arial"/>
                <w:sz w:val="20"/>
                <w:szCs w:val="20"/>
              </w:rPr>
            </w:pPr>
          </w:p>
        </w:tc>
        <w:tc>
          <w:tcPr>
            <w:tcW w:w="1540" w:type="dxa"/>
          </w:tcPr>
          <w:p w14:paraId="4C9B3E20" w14:textId="77777777" w:rsidR="00000E91" w:rsidRPr="00000E91" w:rsidRDefault="00000E91" w:rsidP="00000E91">
            <w:pPr>
              <w:spacing w:after="0" w:line="240" w:lineRule="auto"/>
              <w:rPr>
                <w:rFonts w:ascii="Arial" w:hAnsi="Arial" w:cs="Arial"/>
                <w:sz w:val="20"/>
                <w:szCs w:val="20"/>
              </w:rPr>
            </w:pPr>
          </w:p>
        </w:tc>
        <w:tc>
          <w:tcPr>
            <w:tcW w:w="1541" w:type="dxa"/>
          </w:tcPr>
          <w:p w14:paraId="7AAB2C49" w14:textId="77777777" w:rsidR="00000E91" w:rsidRPr="00000E91" w:rsidRDefault="00000E91" w:rsidP="00000E91">
            <w:pPr>
              <w:spacing w:after="0" w:line="240" w:lineRule="auto"/>
              <w:rPr>
                <w:rFonts w:ascii="Arial" w:hAnsi="Arial" w:cs="Arial"/>
                <w:sz w:val="20"/>
                <w:szCs w:val="20"/>
              </w:rPr>
            </w:pPr>
          </w:p>
        </w:tc>
        <w:tc>
          <w:tcPr>
            <w:tcW w:w="1541" w:type="dxa"/>
          </w:tcPr>
          <w:p w14:paraId="13CEE47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Glaucoma, increased intraocular pressure, cataract </w:t>
            </w:r>
          </w:p>
          <w:p w14:paraId="0320152F" w14:textId="77777777" w:rsidR="00000E91" w:rsidRPr="00000E91" w:rsidRDefault="00000E91" w:rsidP="00000E91">
            <w:pPr>
              <w:spacing w:after="0" w:line="240" w:lineRule="auto"/>
              <w:rPr>
                <w:rFonts w:ascii="Arial" w:hAnsi="Arial" w:cs="Arial"/>
                <w:sz w:val="20"/>
                <w:szCs w:val="20"/>
              </w:rPr>
            </w:pPr>
          </w:p>
        </w:tc>
      </w:tr>
      <w:tr w:rsidR="00000E91" w:rsidRPr="00000E91" w14:paraId="5D7B58E8" w14:textId="77777777" w:rsidTr="007D538C">
        <w:tc>
          <w:tcPr>
            <w:tcW w:w="1540" w:type="dxa"/>
          </w:tcPr>
          <w:p w14:paraId="2E1F56C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b/>
                <w:bCs/>
                <w:i/>
                <w:iCs/>
                <w:color w:val="000000"/>
                <w:sz w:val="20"/>
                <w:szCs w:val="20"/>
              </w:rPr>
              <w:t xml:space="preserve">Respiratory, thoracic and </w:t>
            </w:r>
            <w:proofErr w:type="spellStart"/>
            <w:r w:rsidRPr="00000E91">
              <w:rPr>
                <w:rFonts w:ascii="Arial" w:hAnsi="Arial" w:cs="Arial"/>
                <w:b/>
                <w:bCs/>
                <w:i/>
                <w:iCs/>
                <w:color w:val="000000"/>
                <w:sz w:val="20"/>
                <w:szCs w:val="20"/>
              </w:rPr>
              <w:t>mediastinal</w:t>
            </w:r>
            <w:proofErr w:type="spellEnd"/>
            <w:r w:rsidRPr="00000E91">
              <w:rPr>
                <w:rFonts w:ascii="Arial" w:hAnsi="Arial" w:cs="Arial"/>
                <w:b/>
                <w:bCs/>
                <w:i/>
                <w:iCs/>
                <w:color w:val="000000"/>
                <w:sz w:val="20"/>
                <w:szCs w:val="20"/>
              </w:rPr>
              <w:t xml:space="preserve"> disorders </w:t>
            </w:r>
          </w:p>
          <w:p w14:paraId="0351DD59" w14:textId="77777777" w:rsidR="00000E91" w:rsidRPr="00000E91" w:rsidRDefault="00000E91" w:rsidP="00000E91">
            <w:pPr>
              <w:spacing w:after="0" w:line="240" w:lineRule="auto"/>
              <w:rPr>
                <w:rFonts w:ascii="Arial" w:hAnsi="Arial" w:cs="Arial"/>
                <w:sz w:val="20"/>
                <w:szCs w:val="20"/>
              </w:rPr>
            </w:pPr>
          </w:p>
        </w:tc>
        <w:tc>
          <w:tcPr>
            <w:tcW w:w="1540" w:type="dxa"/>
          </w:tcPr>
          <w:p w14:paraId="76A54EC2" w14:textId="77777777" w:rsidR="00000E91" w:rsidRPr="00000E91" w:rsidRDefault="00000E91" w:rsidP="00000E91">
            <w:pPr>
              <w:spacing w:after="0" w:line="240" w:lineRule="auto"/>
              <w:rPr>
                <w:rFonts w:ascii="Arial" w:hAnsi="Arial" w:cs="Arial"/>
                <w:sz w:val="20"/>
                <w:szCs w:val="20"/>
              </w:rPr>
            </w:pPr>
          </w:p>
        </w:tc>
        <w:tc>
          <w:tcPr>
            <w:tcW w:w="1540" w:type="dxa"/>
          </w:tcPr>
          <w:p w14:paraId="3ECB67DB" w14:textId="77777777" w:rsidR="00000E91" w:rsidRPr="00000E91" w:rsidRDefault="00000E91" w:rsidP="00000E91">
            <w:pPr>
              <w:spacing w:after="0" w:line="240" w:lineRule="auto"/>
              <w:rPr>
                <w:rFonts w:ascii="Arial" w:hAnsi="Arial" w:cs="Arial"/>
                <w:sz w:val="20"/>
                <w:szCs w:val="20"/>
              </w:rPr>
            </w:pPr>
          </w:p>
        </w:tc>
        <w:tc>
          <w:tcPr>
            <w:tcW w:w="1540" w:type="dxa"/>
          </w:tcPr>
          <w:p w14:paraId="1C5C253C"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Epistaxis, nasal discomfort (stinging, itching), sneezing, nasal dryness, cough, dry throat, throat irritation </w:t>
            </w:r>
          </w:p>
          <w:p w14:paraId="160D3F1F" w14:textId="77777777" w:rsidR="00000E91" w:rsidRPr="00000E91" w:rsidRDefault="00000E91" w:rsidP="00000E91">
            <w:pPr>
              <w:spacing w:after="0" w:line="240" w:lineRule="auto"/>
              <w:rPr>
                <w:rFonts w:ascii="Arial" w:hAnsi="Arial" w:cs="Arial"/>
                <w:sz w:val="20"/>
                <w:szCs w:val="20"/>
              </w:rPr>
            </w:pPr>
          </w:p>
        </w:tc>
        <w:tc>
          <w:tcPr>
            <w:tcW w:w="1541" w:type="dxa"/>
          </w:tcPr>
          <w:p w14:paraId="153B5750" w14:textId="77777777" w:rsidR="00000E91" w:rsidRPr="00000E91" w:rsidRDefault="00000E91" w:rsidP="00000E91">
            <w:pPr>
              <w:spacing w:after="0" w:line="240" w:lineRule="auto"/>
              <w:rPr>
                <w:rFonts w:ascii="Arial" w:hAnsi="Arial" w:cs="Arial"/>
                <w:sz w:val="20"/>
                <w:szCs w:val="20"/>
              </w:rPr>
            </w:pPr>
          </w:p>
        </w:tc>
        <w:tc>
          <w:tcPr>
            <w:tcW w:w="1541" w:type="dxa"/>
          </w:tcPr>
          <w:p w14:paraId="209163BE"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Nasal septal perforation, mucosal erosion </w:t>
            </w:r>
          </w:p>
          <w:p w14:paraId="04AC3509" w14:textId="77777777" w:rsidR="00000E91" w:rsidRPr="00000E91" w:rsidRDefault="00000E91" w:rsidP="00000E91">
            <w:pPr>
              <w:spacing w:after="0" w:line="240" w:lineRule="auto"/>
              <w:rPr>
                <w:rFonts w:ascii="Arial" w:hAnsi="Arial" w:cs="Arial"/>
                <w:sz w:val="20"/>
                <w:szCs w:val="20"/>
              </w:rPr>
            </w:pPr>
          </w:p>
        </w:tc>
      </w:tr>
      <w:tr w:rsidR="00000E91" w:rsidRPr="00000E91" w14:paraId="424D4917" w14:textId="77777777" w:rsidTr="007D538C">
        <w:tc>
          <w:tcPr>
            <w:tcW w:w="1540" w:type="dxa"/>
          </w:tcPr>
          <w:p w14:paraId="600EB6C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b/>
                <w:bCs/>
                <w:i/>
                <w:iCs/>
                <w:color w:val="000000"/>
                <w:sz w:val="20"/>
                <w:szCs w:val="20"/>
              </w:rPr>
              <w:t xml:space="preserve">Gastrointestinal disorders </w:t>
            </w:r>
          </w:p>
          <w:p w14:paraId="2F873C8C" w14:textId="77777777" w:rsidR="00000E91" w:rsidRPr="00000E91" w:rsidRDefault="00000E91" w:rsidP="00000E91">
            <w:pPr>
              <w:spacing w:after="0" w:line="240" w:lineRule="auto"/>
              <w:rPr>
                <w:rFonts w:ascii="Arial" w:hAnsi="Arial" w:cs="Arial"/>
                <w:sz w:val="20"/>
                <w:szCs w:val="20"/>
              </w:rPr>
            </w:pPr>
          </w:p>
        </w:tc>
        <w:tc>
          <w:tcPr>
            <w:tcW w:w="1540" w:type="dxa"/>
          </w:tcPr>
          <w:p w14:paraId="722AA68A" w14:textId="77777777" w:rsidR="00000E91" w:rsidRPr="00000E91" w:rsidRDefault="00000E91" w:rsidP="00000E91">
            <w:pPr>
              <w:spacing w:after="0" w:line="240" w:lineRule="auto"/>
              <w:rPr>
                <w:rFonts w:ascii="Arial" w:hAnsi="Arial" w:cs="Arial"/>
                <w:sz w:val="20"/>
                <w:szCs w:val="20"/>
              </w:rPr>
            </w:pPr>
          </w:p>
        </w:tc>
        <w:tc>
          <w:tcPr>
            <w:tcW w:w="1540" w:type="dxa"/>
          </w:tcPr>
          <w:p w14:paraId="6943FA9C" w14:textId="77777777" w:rsidR="00000E91" w:rsidRPr="00000E91" w:rsidRDefault="00000E91" w:rsidP="00000E91">
            <w:pPr>
              <w:spacing w:after="0" w:line="240" w:lineRule="auto"/>
              <w:rPr>
                <w:rFonts w:ascii="Arial" w:hAnsi="Arial" w:cs="Arial"/>
                <w:sz w:val="20"/>
                <w:szCs w:val="20"/>
              </w:rPr>
            </w:pPr>
          </w:p>
        </w:tc>
        <w:tc>
          <w:tcPr>
            <w:tcW w:w="1540" w:type="dxa"/>
          </w:tcPr>
          <w:p w14:paraId="6FF223E3" w14:textId="77777777" w:rsidR="00000E91" w:rsidRPr="00000E91" w:rsidRDefault="00000E91" w:rsidP="00000E91">
            <w:pPr>
              <w:spacing w:after="0" w:line="240" w:lineRule="auto"/>
              <w:rPr>
                <w:rFonts w:ascii="Arial" w:hAnsi="Arial" w:cs="Arial"/>
                <w:sz w:val="20"/>
                <w:szCs w:val="20"/>
              </w:rPr>
            </w:pPr>
          </w:p>
        </w:tc>
        <w:tc>
          <w:tcPr>
            <w:tcW w:w="1541" w:type="dxa"/>
          </w:tcPr>
          <w:p w14:paraId="3757A6EA"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Dry mouth </w:t>
            </w:r>
          </w:p>
          <w:p w14:paraId="38AB249E" w14:textId="77777777" w:rsidR="00000E91" w:rsidRPr="00000E91" w:rsidRDefault="00000E91" w:rsidP="00000E91">
            <w:pPr>
              <w:spacing w:after="0" w:line="240" w:lineRule="auto"/>
              <w:rPr>
                <w:rFonts w:ascii="Arial" w:hAnsi="Arial" w:cs="Arial"/>
                <w:sz w:val="20"/>
                <w:szCs w:val="20"/>
              </w:rPr>
            </w:pPr>
          </w:p>
        </w:tc>
        <w:tc>
          <w:tcPr>
            <w:tcW w:w="1541" w:type="dxa"/>
          </w:tcPr>
          <w:p w14:paraId="18A8916D"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Nausea </w:t>
            </w:r>
          </w:p>
          <w:p w14:paraId="15DFB5C7" w14:textId="77777777" w:rsidR="00000E91" w:rsidRPr="00000E91" w:rsidRDefault="00000E91" w:rsidP="00000E91">
            <w:pPr>
              <w:spacing w:after="0" w:line="240" w:lineRule="auto"/>
              <w:rPr>
                <w:rFonts w:ascii="Arial" w:hAnsi="Arial" w:cs="Arial"/>
                <w:sz w:val="20"/>
                <w:szCs w:val="20"/>
              </w:rPr>
            </w:pPr>
          </w:p>
        </w:tc>
      </w:tr>
      <w:tr w:rsidR="00000E91" w:rsidRPr="00000E91" w14:paraId="11BAB7E2" w14:textId="77777777" w:rsidTr="007D538C">
        <w:tc>
          <w:tcPr>
            <w:tcW w:w="1540" w:type="dxa"/>
          </w:tcPr>
          <w:p w14:paraId="29F9E13B"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b/>
                <w:bCs/>
                <w:i/>
                <w:iCs/>
                <w:color w:val="000000"/>
                <w:sz w:val="20"/>
                <w:szCs w:val="20"/>
              </w:rPr>
              <w:t xml:space="preserve">Skin and subcutaneous tissue disorders </w:t>
            </w:r>
          </w:p>
          <w:p w14:paraId="72426128" w14:textId="77777777" w:rsidR="00000E91" w:rsidRPr="00000E91" w:rsidRDefault="00000E91" w:rsidP="00000E91">
            <w:pPr>
              <w:spacing w:after="0" w:line="240" w:lineRule="auto"/>
              <w:rPr>
                <w:rFonts w:ascii="Arial" w:hAnsi="Arial" w:cs="Arial"/>
                <w:sz w:val="20"/>
                <w:szCs w:val="20"/>
              </w:rPr>
            </w:pPr>
          </w:p>
        </w:tc>
        <w:tc>
          <w:tcPr>
            <w:tcW w:w="1540" w:type="dxa"/>
          </w:tcPr>
          <w:p w14:paraId="77963BBB" w14:textId="77777777" w:rsidR="00000E91" w:rsidRPr="00000E91" w:rsidRDefault="00000E91" w:rsidP="00000E91">
            <w:pPr>
              <w:spacing w:after="0" w:line="240" w:lineRule="auto"/>
              <w:rPr>
                <w:rFonts w:ascii="Arial" w:hAnsi="Arial" w:cs="Arial"/>
                <w:sz w:val="20"/>
                <w:szCs w:val="20"/>
              </w:rPr>
            </w:pPr>
          </w:p>
        </w:tc>
        <w:tc>
          <w:tcPr>
            <w:tcW w:w="1540" w:type="dxa"/>
          </w:tcPr>
          <w:p w14:paraId="597E6D0B" w14:textId="77777777" w:rsidR="00000E91" w:rsidRPr="00000E91" w:rsidRDefault="00000E91" w:rsidP="00000E91">
            <w:pPr>
              <w:spacing w:after="0" w:line="240" w:lineRule="auto"/>
              <w:rPr>
                <w:rFonts w:ascii="Arial" w:hAnsi="Arial" w:cs="Arial"/>
                <w:sz w:val="20"/>
                <w:szCs w:val="20"/>
              </w:rPr>
            </w:pPr>
          </w:p>
        </w:tc>
        <w:tc>
          <w:tcPr>
            <w:tcW w:w="1540" w:type="dxa"/>
          </w:tcPr>
          <w:p w14:paraId="622A1F6D" w14:textId="77777777" w:rsidR="00000E91" w:rsidRPr="00000E91" w:rsidRDefault="00000E91" w:rsidP="00000E91">
            <w:pPr>
              <w:spacing w:after="0" w:line="240" w:lineRule="auto"/>
              <w:rPr>
                <w:rFonts w:ascii="Arial" w:hAnsi="Arial" w:cs="Arial"/>
                <w:sz w:val="20"/>
                <w:szCs w:val="20"/>
              </w:rPr>
            </w:pPr>
          </w:p>
        </w:tc>
        <w:tc>
          <w:tcPr>
            <w:tcW w:w="1541" w:type="dxa"/>
          </w:tcPr>
          <w:p w14:paraId="0504900A" w14:textId="77777777" w:rsidR="00000E91" w:rsidRPr="00000E91" w:rsidRDefault="00000E91" w:rsidP="00000E91">
            <w:pPr>
              <w:spacing w:after="0" w:line="240" w:lineRule="auto"/>
              <w:rPr>
                <w:rFonts w:ascii="Arial" w:hAnsi="Arial" w:cs="Arial"/>
                <w:sz w:val="20"/>
                <w:szCs w:val="20"/>
              </w:rPr>
            </w:pPr>
          </w:p>
        </w:tc>
        <w:tc>
          <w:tcPr>
            <w:tcW w:w="1541" w:type="dxa"/>
          </w:tcPr>
          <w:p w14:paraId="1B167147"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Rash, pruritus, </w:t>
            </w:r>
            <w:proofErr w:type="spellStart"/>
            <w:r w:rsidRPr="00000E91">
              <w:rPr>
                <w:rFonts w:ascii="Arial" w:hAnsi="Arial" w:cs="Arial"/>
                <w:color w:val="000000"/>
                <w:sz w:val="20"/>
                <w:szCs w:val="20"/>
              </w:rPr>
              <w:t>urticaria</w:t>
            </w:r>
            <w:proofErr w:type="spellEnd"/>
            <w:r w:rsidRPr="00000E91">
              <w:rPr>
                <w:rFonts w:ascii="Arial" w:hAnsi="Arial" w:cs="Arial"/>
                <w:color w:val="000000"/>
                <w:sz w:val="20"/>
                <w:szCs w:val="20"/>
              </w:rPr>
              <w:t xml:space="preserve"> </w:t>
            </w:r>
          </w:p>
          <w:p w14:paraId="470479A0" w14:textId="77777777" w:rsidR="00000E91" w:rsidRPr="00000E91" w:rsidRDefault="00000E91" w:rsidP="00000E91">
            <w:pPr>
              <w:spacing w:after="0" w:line="240" w:lineRule="auto"/>
              <w:rPr>
                <w:rFonts w:ascii="Arial" w:hAnsi="Arial" w:cs="Arial"/>
                <w:sz w:val="20"/>
                <w:szCs w:val="20"/>
              </w:rPr>
            </w:pPr>
          </w:p>
        </w:tc>
      </w:tr>
      <w:tr w:rsidR="00000E91" w:rsidRPr="00000E91" w14:paraId="4235E5DC" w14:textId="77777777" w:rsidTr="007D538C">
        <w:tc>
          <w:tcPr>
            <w:tcW w:w="1540" w:type="dxa"/>
          </w:tcPr>
          <w:p w14:paraId="432D1AE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b/>
                <w:bCs/>
                <w:i/>
                <w:iCs/>
                <w:color w:val="000000"/>
                <w:sz w:val="20"/>
                <w:szCs w:val="20"/>
              </w:rPr>
              <w:t xml:space="preserve">General disorders and administration site conditions </w:t>
            </w:r>
          </w:p>
          <w:p w14:paraId="346D62BD" w14:textId="77777777" w:rsidR="00000E91" w:rsidRPr="00000E91" w:rsidRDefault="00000E91" w:rsidP="00000E91">
            <w:pPr>
              <w:spacing w:after="0" w:line="240" w:lineRule="auto"/>
              <w:rPr>
                <w:rFonts w:ascii="Arial" w:hAnsi="Arial" w:cs="Arial"/>
                <w:sz w:val="20"/>
                <w:szCs w:val="20"/>
              </w:rPr>
            </w:pPr>
          </w:p>
        </w:tc>
        <w:tc>
          <w:tcPr>
            <w:tcW w:w="1540" w:type="dxa"/>
          </w:tcPr>
          <w:p w14:paraId="6371B231" w14:textId="77777777" w:rsidR="00000E91" w:rsidRPr="00000E91" w:rsidRDefault="00000E91" w:rsidP="00000E91">
            <w:pPr>
              <w:spacing w:after="0" w:line="240" w:lineRule="auto"/>
              <w:rPr>
                <w:rFonts w:ascii="Arial" w:hAnsi="Arial" w:cs="Arial"/>
                <w:sz w:val="20"/>
                <w:szCs w:val="20"/>
              </w:rPr>
            </w:pPr>
          </w:p>
        </w:tc>
        <w:tc>
          <w:tcPr>
            <w:tcW w:w="1540" w:type="dxa"/>
          </w:tcPr>
          <w:p w14:paraId="1BCDF139" w14:textId="77777777" w:rsidR="00000E91" w:rsidRPr="00000E91" w:rsidRDefault="00000E91" w:rsidP="00000E91">
            <w:pPr>
              <w:spacing w:after="0" w:line="240" w:lineRule="auto"/>
              <w:rPr>
                <w:rFonts w:ascii="Arial" w:hAnsi="Arial" w:cs="Arial"/>
                <w:sz w:val="20"/>
                <w:szCs w:val="20"/>
              </w:rPr>
            </w:pPr>
          </w:p>
        </w:tc>
        <w:tc>
          <w:tcPr>
            <w:tcW w:w="1540" w:type="dxa"/>
          </w:tcPr>
          <w:p w14:paraId="46ABCF01" w14:textId="77777777" w:rsidR="00000E91" w:rsidRPr="00000E91" w:rsidRDefault="00000E91" w:rsidP="00000E91">
            <w:pPr>
              <w:spacing w:after="0" w:line="240" w:lineRule="auto"/>
              <w:rPr>
                <w:rFonts w:ascii="Arial" w:hAnsi="Arial" w:cs="Arial"/>
                <w:sz w:val="20"/>
                <w:szCs w:val="20"/>
              </w:rPr>
            </w:pPr>
          </w:p>
        </w:tc>
        <w:tc>
          <w:tcPr>
            <w:tcW w:w="1541" w:type="dxa"/>
          </w:tcPr>
          <w:p w14:paraId="48313526" w14:textId="77777777" w:rsidR="00000E91" w:rsidRPr="00000E91" w:rsidRDefault="00000E91" w:rsidP="00000E91">
            <w:pPr>
              <w:spacing w:after="0" w:line="240" w:lineRule="auto"/>
              <w:rPr>
                <w:rFonts w:ascii="Arial" w:hAnsi="Arial" w:cs="Arial"/>
                <w:sz w:val="20"/>
                <w:szCs w:val="20"/>
              </w:rPr>
            </w:pPr>
          </w:p>
        </w:tc>
        <w:tc>
          <w:tcPr>
            <w:tcW w:w="1541" w:type="dxa"/>
          </w:tcPr>
          <w:p w14:paraId="22D0E034" w14:textId="77777777" w:rsidR="00000E91" w:rsidRPr="00000E91" w:rsidRDefault="00000E91" w:rsidP="00000E91">
            <w:pPr>
              <w:autoSpaceDE w:val="0"/>
              <w:autoSpaceDN w:val="0"/>
              <w:adjustRightInd w:val="0"/>
              <w:spacing w:after="0" w:line="240" w:lineRule="auto"/>
              <w:rPr>
                <w:rFonts w:ascii="Arial" w:hAnsi="Arial" w:cs="Arial"/>
                <w:color w:val="000000"/>
                <w:sz w:val="20"/>
                <w:szCs w:val="20"/>
              </w:rPr>
            </w:pPr>
            <w:r w:rsidRPr="00000E91">
              <w:rPr>
                <w:rFonts w:ascii="Arial" w:hAnsi="Arial" w:cs="Arial"/>
                <w:color w:val="000000"/>
                <w:sz w:val="20"/>
                <w:szCs w:val="20"/>
              </w:rPr>
              <w:t xml:space="preserve">Fatigue (weariness, exhaustion), weakness </w:t>
            </w:r>
          </w:p>
        </w:tc>
      </w:tr>
    </w:tbl>
    <w:p w14:paraId="28C000E4" w14:textId="77777777" w:rsidR="00000E91" w:rsidRPr="00000E91" w:rsidRDefault="00000E91" w:rsidP="00000E91">
      <w:pPr>
        <w:spacing w:after="0"/>
        <w:rPr>
          <w:rFonts w:ascii="Arial" w:hAnsi="Arial" w:cs="Arial"/>
          <w:b/>
          <w:bCs/>
          <w:sz w:val="24"/>
          <w:szCs w:val="24"/>
        </w:rPr>
      </w:pPr>
    </w:p>
    <w:p w14:paraId="68EEE7BE" w14:textId="77777777" w:rsidR="00000E91" w:rsidRPr="00000E91" w:rsidRDefault="00000E91" w:rsidP="00000E91">
      <w:pPr>
        <w:spacing w:after="0"/>
        <w:rPr>
          <w:rFonts w:ascii="Arial" w:hAnsi="Arial" w:cs="Arial"/>
          <w:b/>
          <w:bCs/>
          <w:sz w:val="24"/>
          <w:szCs w:val="24"/>
        </w:rPr>
      </w:pPr>
    </w:p>
    <w:p w14:paraId="303D57B7"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DOSAGE AND ADMINISTRATION</w:t>
      </w:r>
    </w:p>
    <w:p w14:paraId="3C5ACC57" w14:textId="77777777" w:rsidR="00000E91" w:rsidRPr="00000E91" w:rsidRDefault="00000E91" w:rsidP="00000E91">
      <w:pPr>
        <w:spacing w:after="0"/>
        <w:rPr>
          <w:rFonts w:ascii="Arial" w:hAnsi="Arial" w:cs="Arial"/>
          <w:b/>
          <w:bCs/>
          <w:sz w:val="24"/>
          <w:szCs w:val="24"/>
        </w:rPr>
      </w:pPr>
    </w:p>
    <w:p w14:paraId="025DFCAD"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Dosage</w:t>
      </w:r>
    </w:p>
    <w:p w14:paraId="6AB32EDE"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u w:val="single"/>
        </w:rPr>
        <w:t xml:space="preserve">Adults and adolescents (e.g. 12 years and older) </w:t>
      </w:r>
    </w:p>
    <w:p w14:paraId="7719F96D" w14:textId="77777777" w:rsidR="00000E91" w:rsidRPr="00000E91" w:rsidRDefault="00000E91" w:rsidP="00000E91">
      <w:pPr>
        <w:autoSpaceDE w:val="0"/>
        <w:autoSpaceDN w:val="0"/>
        <w:adjustRightInd w:val="0"/>
        <w:spacing w:after="0"/>
        <w:rPr>
          <w:rFonts w:ascii="Arial" w:hAnsi="Arial" w:cs="Arial"/>
          <w:color w:val="000000"/>
        </w:rPr>
      </w:pPr>
      <w:proofErr w:type="gramStart"/>
      <w:r w:rsidRPr="00000E91">
        <w:rPr>
          <w:rFonts w:ascii="Arial" w:hAnsi="Arial" w:cs="Arial"/>
          <w:color w:val="000000"/>
        </w:rPr>
        <w:t>One spray in each nostril twice daily (morning and evening).</w:t>
      </w:r>
      <w:proofErr w:type="gramEnd"/>
      <w:r w:rsidRPr="00000E91">
        <w:rPr>
          <w:rFonts w:ascii="Arial" w:hAnsi="Arial" w:cs="Arial"/>
          <w:color w:val="000000"/>
        </w:rPr>
        <w:t xml:space="preserve"> </w:t>
      </w:r>
    </w:p>
    <w:p w14:paraId="3A82C854" w14:textId="77777777" w:rsidR="00000E91" w:rsidRPr="00000E91" w:rsidRDefault="00000E91" w:rsidP="00000E91">
      <w:pPr>
        <w:autoSpaceDE w:val="0"/>
        <w:autoSpaceDN w:val="0"/>
        <w:adjustRightInd w:val="0"/>
        <w:spacing w:after="0"/>
        <w:rPr>
          <w:rFonts w:ascii="Arial" w:hAnsi="Arial" w:cs="Arial"/>
          <w:color w:val="000000"/>
          <w:u w:val="single"/>
        </w:rPr>
      </w:pPr>
    </w:p>
    <w:p w14:paraId="464C106A"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u w:val="single"/>
        </w:rPr>
        <w:lastRenderedPageBreak/>
        <w:t xml:space="preserve">Children below 12 years </w:t>
      </w:r>
    </w:p>
    <w:p w14:paraId="6F1E7A70"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DYMISTA 125/50 nasal spray is not recommended for use in children below 12 years of age as safety and efficacy has not been established in this age group. </w:t>
      </w:r>
    </w:p>
    <w:p w14:paraId="7F4C02E9" w14:textId="77777777" w:rsidR="00000E91" w:rsidRPr="00000E91" w:rsidRDefault="00000E91" w:rsidP="00000E91">
      <w:pPr>
        <w:autoSpaceDE w:val="0"/>
        <w:autoSpaceDN w:val="0"/>
        <w:adjustRightInd w:val="0"/>
        <w:spacing w:after="0"/>
        <w:rPr>
          <w:rFonts w:ascii="Arial" w:hAnsi="Arial" w:cs="Arial"/>
          <w:color w:val="000000"/>
          <w:u w:val="single"/>
        </w:rPr>
      </w:pPr>
    </w:p>
    <w:p w14:paraId="221897F6"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u w:val="single"/>
        </w:rPr>
        <w:t xml:space="preserve">Elderly </w:t>
      </w:r>
    </w:p>
    <w:p w14:paraId="248A80D3"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No dose adjustment is required in this population (see </w:t>
      </w:r>
      <w:r w:rsidRPr="00000E91">
        <w:rPr>
          <w:rFonts w:ascii="Arial" w:hAnsi="Arial" w:cs="Arial"/>
          <w:b/>
          <w:bCs/>
          <w:color w:val="000000"/>
        </w:rPr>
        <w:t>P</w:t>
      </w:r>
      <w:r w:rsidRPr="00000E91">
        <w:rPr>
          <w:rFonts w:ascii="Arial" w:hAnsi="Arial" w:cs="Arial"/>
          <w:b/>
          <w:bCs/>
        </w:rPr>
        <w:t>harmacokinetics</w:t>
      </w:r>
      <w:r w:rsidRPr="00000E91">
        <w:rPr>
          <w:rFonts w:ascii="Arial" w:hAnsi="Arial" w:cs="Arial"/>
        </w:rPr>
        <w:t xml:space="preserve"> under </w:t>
      </w:r>
      <w:r w:rsidRPr="00000E91">
        <w:rPr>
          <w:rFonts w:ascii="Arial" w:hAnsi="Arial" w:cs="Arial"/>
          <w:b/>
          <w:bCs/>
        </w:rPr>
        <w:t>Special Populations</w:t>
      </w:r>
      <w:r w:rsidRPr="00000E91">
        <w:rPr>
          <w:rFonts w:ascii="Arial" w:hAnsi="Arial" w:cs="Arial"/>
        </w:rPr>
        <w:t xml:space="preserve"> – </w:t>
      </w:r>
      <w:r w:rsidRPr="00000E91">
        <w:rPr>
          <w:rFonts w:ascii="Arial" w:hAnsi="Arial" w:cs="Arial"/>
          <w:b/>
          <w:bCs/>
          <w:i/>
          <w:iCs/>
        </w:rPr>
        <w:t>Age</w:t>
      </w:r>
      <w:r w:rsidRPr="00000E91">
        <w:rPr>
          <w:rFonts w:ascii="Arial" w:hAnsi="Arial" w:cs="Arial"/>
        </w:rPr>
        <w:t xml:space="preserve"> and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in the Elderly)</w:t>
      </w:r>
      <w:r w:rsidRPr="00000E91">
        <w:rPr>
          <w:rFonts w:ascii="Arial" w:hAnsi="Arial" w:cs="Arial"/>
          <w:color w:val="000000"/>
        </w:rPr>
        <w:t xml:space="preserve">. </w:t>
      </w:r>
    </w:p>
    <w:p w14:paraId="707CEAED"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u w:val="single"/>
        </w:rPr>
        <w:br/>
        <w:t xml:space="preserve">Renal and hepatic impairment </w:t>
      </w:r>
    </w:p>
    <w:p w14:paraId="034D82DB"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No dose adjustment is required in patients with renal impairment or mild to moderate hepatic impairment (see </w:t>
      </w:r>
      <w:r w:rsidRPr="00000E91">
        <w:rPr>
          <w:rFonts w:ascii="Arial" w:hAnsi="Arial" w:cs="Arial"/>
          <w:b/>
          <w:bCs/>
        </w:rPr>
        <w:t>Pharmacokinetics</w:t>
      </w:r>
      <w:r w:rsidRPr="00000E91">
        <w:rPr>
          <w:rFonts w:ascii="Arial" w:hAnsi="Arial" w:cs="Arial"/>
        </w:rPr>
        <w:t xml:space="preserve"> under </w:t>
      </w:r>
      <w:r w:rsidRPr="00000E91">
        <w:rPr>
          <w:rFonts w:ascii="Arial" w:hAnsi="Arial" w:cs="Arial"/>
          <w:b/>
          <w:bCs/>
        </w:rPr>
        <w:t>Special Populations</w:t>
      </w:r>
      <w:r w:rsidRPr="00000E91">
        <w:rPr>
          <w:rFonts w:ascii="Arial" w:hAnsi="Arial" w:cs="Arial"/>
        </w:rPr>
        <w:t xml:space="preserve"> – </w:t>
      </w:r>
      <w:r w:rsidRPr="00000E91">
        <w:rPr>
          <w:rFonts w:ascii="Arial" w:hAnsi="Arial" w:cs="Arial"/>
          <w:b/>
          <w:bCs/>
          <w:i/>
          <w:iCs/>
        </w:rPr>
        <w:t xml:space="preserve">Renal Impairment </w:t>
      </w:r>
      <w:r w:rsidRPr="00000E91">
        <w:rPr>
          <w:rFonts w:ascii="Arial" w:hAnsi="Arial" w:cs="Arial"/>
        </w:rPr>
        <w:t xml:space="preserve">and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in Renal Impairment</w:t>
      </w:r>
      <w:r w:rsidRPr="00000E91">
        <w:rPr>
          <w:rFonts w:ascii="Arial" w:hAnsi="Arial" w:cs="Arial"/>
        </w:rPr>
        <w:t>)</w:t>
      </w:r>
      <w:r w:rsidRPr="00000E91">
        <w:rPr>
          <w:rFonts w:ascii="Arial" w:hAnsi="Arial" w:cs="Arial"/>
          <w:color w:val="000000"/>
        </w:rPr>
        <w:t xml:space="preserve">. </w:t>
      </w:r>
    </w:p>
    <w:p w14:paraId="4FA1CFAB" w14:textId="77777777" w:rsidR="00000E91" w:rsidRPr="00000E91" w:rsidRDefault="00000E91" w:rsidP="00000E91">
      <w:pPr>
        <w:autoSpaceDE w:val="0"/>
        <w:autoSpaceDN w:val="0"/>
        <w:adjustRightInd w:val="0"/>
        <w:spacing w:after="0"/>
        <w:rPr>
          <w:rFonts w:ascii="Arial" w:hAnsi="Arial" w:cs="Arial"/>
          <w:color w:val="000000"/>
        </w:rPr>
      </w:pPr>
    </w:p>
    <w:p w14:paraId="0DA8B13D"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There are no data in patients with severe hepatic impairment (see </w:t>
      </w:r>
      <w:r w:rsidRPr="00000E91">
        <w:rPr>
          <w:rFonts w:ascii="Arial" w:hAnsi="Arial" w:cs="Arial"/>
          <w:b/>
          <w:bCs/>
        </w:rPr>
        <w:t>Pharmacokinetics</w:t>
      </w:r>
      <w:r w:rsidRPr="00000E91">
        <w:rPr>
          <w:rFonts w:ascii="Arial" w:hAnsi="Arial" w:cs="Arial"/>
        </w:rPr>
        <w:t xml:space="preserve"> under </w:t>
      </w:r>
      <w:r w:rsidRPr="00000E91">
        <w:rPr>
          <w:rFonts w:ascii="Arial" w:hAnsi="Arial" w:cs="Arial"/>
          <w:b/>
          <w:bCs/>
        </w:rPr>
        <w:t>Special Populations</w:t>
      </w:r>
      <w:r w:rsidRPr="00000E91">
        <w:rPr>
          <w:rFonts w:ascii="Arial" w:hAnsi="Arial" w:cs="Arial"/>
        </w:rPr>
        <w:t xml:space="preserve"> – </w:t>
      </w:r>
      <w:r w:rsidRPr="00000E91">
        <w:rPr>
          <w:rFonts w:ascii="Arial" w:hAnsi="Arial" w:cs="Arial"/>
          <w:b/>
          <w:bCs/>
          <w:i/>
          <w:iCs/>
        </w:rPr>
        <w:t xml:space="preserve">Hepatic Impairment </w:t>
      </w:r>
      <w:r w:rsidRPr="00000E91">
        <w:rPr>
          <w:rFonts w:ascii="Arial" w:hAnsi="Arial" w:cs="Arial"/>
        </w:rPr>
        <w:t xml:space="preserve">and </w:t>
      </w:r>
      <w:r w:rsidRPr="00000E91">
        <w:rPr>
          <w:rFonts w:ascii="Arial" w:hAnsi="Arial" w:cs="Arial"/>
          <w:b/>
          <w:bCs/>
        </w:rPr>
        <w:t>PRECAUTIONS</w:t>
      </w:r>
      <w:r w:rsidRPr="00000E91">
        <w:rPr>
          <w:rFonts w:ascii="Arial" w:hAnsi="Arial" w:cs="Arial"/>
        </w:rPr>
        <w:t xml:space="preserve"> – </w:t>
      </w:r>
      <w:r w:rsidRPr="00000E91">
        <w:rPr>
          <w:rFonts w:ascii="Arial" w:hAnsi="Arial" w:cs="Arial"/>
          <w:b/>
          <w:bCs/>
        </w:rPr>
        <w:t>Use in Hepatic Impairment</w:t>
      </w:r>
      <w:r w:rsidRPr="00000E91">
        <w:rPr>
          <w:rFonts w:ascii="Arial" w:hAnsi="Arial" w:cs="Arial"/>
        </w:rPr>
        <w:t>)</w:t>
      </w:r>
      <w:r w:rsidRPr="00000E91">
        <w:rPr>
          <w:rFonts w:ascii="Arial" w:hAnsi="Arial" w:cs="Arial"/>
          <w:color w:val="000000"/>
        </w:rPr>
        <w:t xml:space="preserve">. </w:t>
      </w:r>
    </w:p>
    <w:p w14:paraId="1BA41AAC" w14:textId="77777777" w:rsidR="00000E91" w:rsidRPr="00000E91" w:rsidRDefault="00000E91" w:rsidP="00000E91">
      <w:pPr>
        <w:autoSpaceDE w:val="0"/>
        <w:autoSpaceDN w:val="0"/>
        <w:adjustRightInd w:val="0"/>
        <w:spacing w:after="0"/>
        <w:rPr>
          <w:rFonts w:ascii="Arial" w:hAnsi="Arial" w:cs="Arial"/>
          <w:b/>
          <w:bCs/>
          <w:i/>
          <w:iCs/>
          <w:color w:val="000000"/>
        </w:rPr>
      </w:pPr>
    </w:p>
    <w:p w14:paraId="01A00417"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b/>
          <w:bCs/>
          <w:color w:val="000000"/>
        </w:rPr>
        <w:t xml:space="preserve">Duration of treatment </w:t>
      </w:r>
    </w:p>
    <w:p w14:paraId="72C9A465" w14:textId="77777777" w:rsidR="00000E91" w:rsidRPr="00000E91" w:rsidRDefault="00000E91" w:rsidP="00000E91">
      <w:pPr>
        <w:spacing w:after="0"/>
        <w:rPr>
          <w:rFonts w:ascii="Arial" w:hAnsi="Arial" w:cs="Arial"/>
          <w:b/>
          <w:bCs/>
          <w:sz w:val="24"/>
          <w:szCs w:val="24"/>
        </w:rPr>
      </w:pPr>
      <w:r w:rsidRPr="00000E91">
        <w:rPr>
          <w:rFonts w:ascii="Arial" w:hAnsi="Arial" w:cs="Arial"/>
          <w:color w:val="000000"/>
        </w:rPr>
        <w:t>DYMISTA 125/50 nasal spray is suitable for long-term use. There is no restriction regarding duration of use.</w:t>
      </w:r>
    </w:p>
    <w:p w14:paraId="3CB49FD1" w14:textId="77777777" w:rsidR="00000E91" w:rsidRPr="00000E91" w:rsidRDefault="00000E91" w:rsidP="00000E91">
      <w:pPr>
        <w:spacing w:after="0"/>
        <w:rPr>
          <w:rFonts w:ascii="Arial" w:hAnsi="Arial" w:cs="Arial"/>
          <w:b/>
          <w:bCs/>
          <w:sz w:val="24"/>
          <w:szCs w:val="24"/>
        </w:rPr>
      </w:pPr>
    </w:p>
    <w:p w14:paraId="7863F428"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Method of Administration</w:t>
      </w:r>
    </w:p>
    <w:p w14:paraId="2D9A9D91" w14:textId="77777777" w:rsidR="00000E91" w:rsidRPr="00000E91" w:rsidRDefault="00000E91" w:rsidP="00000E91">
      <w:pPr>
        <w:spacing w:after="0"/>
        <w:rPr>
          <w:rFonts w:ascii="Arial" w:hAnsi="Arial" w:cs="Arial"/>
        </w:rPr>
      </w:pPr>
      <w:proofErr w:type="spellStart"/>
      <w:r w:rsidRPr="00000E91">
        <w:rPr>
          <w:rFonts w:ascii="Arial" w:hAnsi="Arial" w:cs="Arial"/>
        </w:rPr>
        <w:t>Dymista</w:t>
      </w:r>
      <w:proofErr w:type="spellEnd"/>
      <w:r w:rsidRPr="00000E91">
        <w:rPr>
          <w:rFonts w:ascii="Arial" w:hAnsi="Arial" w:cs="Arial"/>
        </w:rPr>
        <w:t> 125/50 Nasal Spray is for administration by the nasal route only.</w:t>
      </w:r>
    </w:p>
    <w:p w14:paraId="1F9B80E5" w14:textId="77777777" w:rsidR="00000E91" w:rsidRPr="00000E91" w:rsidRDefault="00000E91" w:rsidP="00000E91">
      <w:pPr>
        <w:spacing w:after="0"/>
        <w:rPr>
          <w:rFonts w:ascii="Arial" w:hAnsi="Arial" w:cs="Arial"/>
        </w:rPr>
      </w:pPr>
    </w:p>
    <w:p w14:paraId="2BAC9407" w14:textId="77777777" w:rsidR="00000E91" w:rsidRPr="00000E91" w:rsidRDefault="00000E91" w:rsidP="00000E91">
      <w:pPr>
        <w:autoSpaceDE w:val="0"/>
        <w:autoSpaceDN w:val="0"/>
        <w:adjustRightInd w:val="0"/>
        <w:spacing w:after="0"/>
        <w:rPr>
          <w:rFonts w:ascii="Arial" w:hAnsi="Arial" w:cs="Arial"/>
          <w:color w:val="000000"/>
          <w:u w:val="single"/>
        </w:rPr>
      </w:pPr>
      <w:r w:rsidRPr="00000E91">
        <w:rPr>
          <w:rFonts w:ascii="Arial" w:hAnsi="Arial" w:cs="Arial"/>
          <w:color w:val="000000"/>
          <w:u w:val="single"/>
        </w:rPr>
        <w:t xml:space="preserve">Preparing the spray: </w:t>
      </w:r>
    </w:p>
    <w:p w14:paraId="16B7AB49"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Shake the bottle gently before each use. Then, remove the protective cap.</w:t>
      </w:r>
    </w:p>
    <w:p w14:paraId="1F32C1B9" w14:textId="77777777" w:rsidR="00000E91" w:rsidRPr="00000E91" w:rsidRDefault="00000E91" w:rsidP="00000E91">
      <w:pPr>
        <w:autoSpaceDE w:val="0"/>
        <w:autoSpaceDN w:val="0"/>
        <w:adjustRightInd w:val="0"/>
        <w:spacing w:after="0"/>
        <w:rPr>
          <w:rFonts w:ascii="Arial" w:hAnsi="Arial" w:cs="Arial"/>
          <w:color w:val="000000"/>
        </w:rPr>
      </w:pPr>
    </w:p>
    <w:p w14:paraId="793EA481"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Prior to first use, DYMISTA 125/50 nasal spray must be primed by pressing down and releasing the pump 6 times until a fine mist appears. If DYMISTA 125/50 nasal spray has not been used for more than 7 days, reprime by pressing down and releasing the pump a number of times until a fine mist is produced.</w:t>
      </w:r>
    </w:p>
    <w:p w14:paraId="7339E1F2"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 </w:t>
      </w:r>
    </w:p>
    <w:p w14:paraId="0E9DEF23"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u w:val="single"/>
        </w:rPr>
        <w:t xml:space="preserve">Using the spray: </w:t>
      </w:r>
    </w:p>
    <w:p w14:paraId="5BEBCCAF" w14:textId="77777777" w:rsidR="00000E91" w:rsidRPr="00000E91" w:rsidRDefault="00000E91" w:rsidP="00000E91">
      <w:pPr>
        <w:spacing w:after="0"/>
        <w:rPr>
          <w:rFonts w:ascii="Arial" w:hAnsi="Arial" w:cs="Arial"/>
          <w:b/>
          <w:bCs/>
          <w:sz w:val="24"/>
          <w:szCs w:val="24"/>
        </w:rPr>
      </w:pPr>
      <w:r w:rsidRPr="00000E91">
        <w:rPr>
          <w:rFonts w:ascii="Arial" w:hAnsi="Arial" w:cs="Arial"/>
          <w:color w:val="000000"/>
        </w:rPr>
        <w:t>After blowing the nose, spray the suspension once into each nostril keeping the head tilted downward. After each use, wipe the spray tip and replace the protective cap.</w:t>
      </w:r>
    </w:p>
    <w:p w14:paraId="00182D8B" w14:textId="77777777" w:rsidR="00000E91" w:rsidRPr="00000E91" w:rsidRDefault="00000E91" w:rsidP="00000E91">
      <w:pPr>
        <w:spacing w:after="0"/>
        <w:rPr>
          <w:rFonts w:ascii="Arial" w:hAnsi="Arial" w:cs="Arial"/>
          <w:b/>
          <w:bCs/>
          <w:sz w:val="24"/>
          <w:szCs w:val="24"/>
        </w:rPr>
      </w:pPr>
    </w:p>
    <w:p w14:paraId="3A97EA6A"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OVERDOSAGE</w:t>
      </w:r>
    </w:p>
    <w:p w14:paraId="7108B1D5" w14:textId="77777777" w:rsidR="00000E91" w:rsidRPr="00000E91" w:rsidRDefault="00000E91" w:rsidP="00000E91">
      <w:pPr>
        <w:autoSpaceDE w:val="0"/>
        <w:autoSpaceDN w:val="0"/>
        <w:adjustRightInd w:val="0"/>
        <w:spacing w:after="0"/>
        <w:rPr>
          <w:rFonts w:ascii="Times New Roman" w:hAnsi="Times New Roman" w:cs="Times New Roman"/>
          <w:color w:val="000000"/>
        </w:rPr>
      </w:pPr>
    </w:p>
    <w:p w14:paraId="759B313C"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t xml:space="preserve">With the nasal route of administration, overdose reactions are not anticipated. </w:t>
      </w:r>
    </w:p>
    <w:p w14:paraId="5DBCCA8C" w14:textId="77777777" w:rsidR="00000E91" w:rsidRPr="00000E91" w:rsidRDefault="00000E91" w:rsidP="00000E91">
      <w:pPr>
        <w:spacing w:after="0"/>
        <w:rPr>
          <w:rFonts w:ascii="Arial" w:eastAsia="Times New Roman" w:hAnsi="Arial" w:cs="Arial"/>
          <w:lang w:val="en-US"/>
        </w:rPr>
      </w:pPr>
    </w:p>
    <w:p w14:paraId="2EB35186"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 xml:space="preserve">DYMISTA 125/50 nasal spray contains both </w:t>
      </w:r>
      <w:proofErr w:type="spellStart"/>
      <w:r w:rsidRPr="00000E91">
        <w:rPr>
          <w:rFonts w:ascii="Arial" w:eastAsia="Times New Roman" w:hAnsi="Arial" w:cs="Arial"/>
          <w:lang w:val="en-US"/>
        </w:rPr>
        <w:t>azelastine</w:t>
      </w:r>
      <w:proofErr w:type="spellEnd"/>
      <w:r w:rsidRPr="00000E91">
        <w:rPr>
          <w:rFonts w:ascii="Arial" w:eastAsia="Times New Roman" w:hAnsi="Arial" w:cs="Arial"/>
          <w:lang w:val="en-US"/>
        </w:rPr>
        <w:t xml:space="preserve"> and fluticasone propionate; therefore, the risks associated with </w:t>
      </w:r>
      <w:proofErr w:type="spellStart"/>
      <w:r w:rsidRPr="00000E91">
        <w:rPr>
          <w:rFonts w:ascii="Arial" w:eastAsia="Times New Roman" w:hAnsi="Arial" w:cs="Arial"/>
          <w:lang w:val="en-US"/>
        </w:rPr>
        <w:t>overdosage</w:t>
      </w:r>
      <w:proofErr w:type="spellEnd"/>
      <w:r w:rsidRPr="00000E91">
        <w:rPr>
          <w:rFonts w:ascii="Arial" w:eastAsia="Times New Roman" w:hAnsi="Arial" w:cs="Arial"/>
          <w:lang w:val="en-US"/>
        </w:rPr>
        <w:t xml:space="preserve"> for the individual components apply to DYMISTA 125/50.</w:t>
      </w:r>
    </w:p>
    <w:p w14:paraId="304B5467" w14:textId="77777777" w:rsidR="00000E91" w:rsidRPr="00000E91" w:rsidRDefault="00000E91" w:rsidP="00000E91">
      <w:pPr>
        <w:spacing w:after="0"/>
        <w:rPr>
          <w:rFonts w:ascii="Arial" w:eastAsia="Times New Roman" w:hAnsi="Arial" w:cs="Arial"/>
          <w:lang w:val="en-US"/>
        </w:rPr>
      </w:pPr>
    </w:p>
    <w:p w14:paraId="54F1BB46" w14:textId="77777777" w:rsidR="00000E91" w:rsidRPr="00000E91" w:rsidRDefault="00000E91" w:rsidP="00000E91">
      <w:pPr>
        <w:autoSpaceDE w:val="0"/>
        <w:autoSpaceDN w:val="0"/>
        <w:adjustRightInd w:val="0"/>
        <w:spacing w:after="0"/>
        <w:rPr>
          <w:rFonts w:ascii="Arial" w:hAnsi="Arial" w:cs="Arial"/>
          <w:color w:val="000000"/>
        </w:rPr>
      </w:pPr>
      <w:r w:rsidRPr="00000E91">
        <w:rPr>
          <w:rFonts w:ascii="Arial" w:hAnsi="Arial" w:cs="Arial"/>
          <w:color w:val="000000"/>
        </w:rPr>
        <w:lastRenderedPageBreak/>
        <w:t xml:space="preserve">With the nasal route of administration, </w:t>
      </w:r>
      <w:proofErr w:type="spellStart"/>
      <w:r w:rsidRPr="00000E91">
        <w:rPr>
          <w:rFonts w:ascii="Arial" w:hAnsi="Arial" w:cs="Arial"/>
          <w:color w:val="000000"/>
        </w:rPr>
        <w:t>overdosage</w:t>
      </w:r>
      <w:proofErr w:type="spellEnd"/>
      <w:r w:rsidRPr="00000E91">
        <w:rPr>
          <w:rFonts w:ascii="Arial" w:hAnsi="Arial" w:cs="Arial"/>
          <w:color w:val="000000"/>
        </w:rPr>
        <w:t xml:space="preserve"> reactions to </w:t>
      </w:r>
      <w:proofErr w:type="spellStart"/>
      <w:r w:rsidRPr="00000E91">
        <w:rPr>
          <w:rFonts w:ascii="Arial" w:hAnsi="Arial" w:cs="Arial"/>
          <w:color w:val="000000"/>
        </w:rPr>
        <w:t>azelastine</w:t>
      </w:r>
      <w:proofErr w:type="spellEnd"/>
      <w:r w:rsidRPr="00000E91">
        <w:rPr>
          <w:rFonts w:ascii="Arial" w:hAnsi="Arial" w:cs="Arial"/>
          <w:color w:val="000000"/>
        </w:rPr>
        <w:t xml:space="preserve"> are not anticipated. To date, there has been only one report of incorrect usage: a 2 year old boy drank approximately 10 mL of </w:t>
      </w:r>
      <w:proofErr w:type="spellStart"/>
      <w:r w:rsidRPr="00000E91">
        <w:rPr>
          <w:rFonts w:ascii="Arial" w:hAnsi="Arial" w:cs="Arial"/>
          <w:color w:val="000000"/>
        </w:rPr>
        <w:t>azelastine</w:t>
      </w:r>
      <w:proofErr w:type="spellEnd"/>
      <w:r w:rsidRPr="00000E91">
        <w:rPr>
          <w:rFonts w:ascii="Arial" w:hAnsi="Arial" w:cs="Arial"/>
          <w:color w:val="000000"/>
        </w:rPr>
        <w:t xml:space="preserve"> nasal spray. This led to a burning sensation in the nose and mouth and to spontaneous vomiting, these events lasting 5 - 10 minutes. Pulse rate, blood pressure and respiration were normal and stable, and a normal pupil reaction was found. No tissue damage in the mouth or throat occurred. The boy recovered completely.</w:t>
      </w:r>
    </w:p>
    <w:p w14:paraId="58AA4DAF" w14:textId="77777777" w:rsidR="00000E91" w:rsidRPr="00000E91" w:rsidRDefault="00000E91" w:rsidP="00000E91">
      <w:pPr>
        <w:autoSpaceDE w:val="0"/>
        <w:autoSpaceDN w:val="0"/>
        <w:adjustRightInd w:val="0"/>
        <w:spacing w:after="0"/>
        <w:rPr>
          <w:rFonts w:ascii="Arial" w:hAnsi="Arial" w:cs="Arial"/>
          <w:color w:val="000000"/>
        </w:rPr>
      </w:pPr>
    </w:p>
    <w:p w14:paraId="187329F0" w14:textId="77777777" w:rsidR="00000E91" w:rsidRPr="00000E91" w:rsidRDefault="00000E91" w:rsidP="00000E91">
      <w:pPr>
        <w:autoSpaceDE w:val="0"/>
        <w:autoSpaceDN w:val="0"/>
        <w:adjustRightInd w:val="0"/>
        <w:spacing w:after="0"/>
        <w:rPr>
          <w:rFonts w:ascii="Arial" w:hAnsi="Arial" w:cs="Arial"/>
        </w:rPr>
      </w:pPr>
      <w:r w:rsidRPr="00000E91">
        <w:rPr>
          <w:rFonts w:ascii="Arial" w:hAnsi="Arial" w:cs="Arial"/>
          <w:color w:val="000000"/>
        </w:rPr>
        <w:t xml:space="preserve">In the event of </w:t>
      </w:r>
      <w:proofErr w:type="spellStart"/>
      <w:r w:rsidRPr="00000E91">
        <w:rPr>
          <w:rFonts w:ascii="Arial" w:hAnsi="Arial" w:cs="Arial"/>
          <w:color w:val="000000"/>
        </w:rPr>
        <w:t>overdosage</w:t>
      </w:r>
      <w:proofErr w:type="spellEnd"/>
      <w:r w:rsidRPr="00000E91">
        <w:rPr>
          <w:rFonts w:ascii="Arial" w:hAnsi="Arial" w:cs="Arial"/>
          <w:color w:val="000000"/>
        </w:rPr>
        <w:t xml:space="preserve"> after accidental oral uptake, disturbances of the central nervous system (including drowsiness, confusion, coma, tachycardia and hypotension) are to be expected based on the results of animal experiments. Symptomatic and supportive treatment should be instigated as there is no known antidote.</w:t>
      </w:r>
      <w:r w:rsidRPr="00000E91">
        <w:rPr>
          <w:rFonts w:ascii="Arial" w:hAnsi="Arial" w:cs="Arial"/>
        </w:rPr>
        <w:t xml:space="preserve"> </w:t>
      </w:r>
    </w:p>
    <w:p w14:paraId="151C9D3A" w14:textId="77777777" w:rsidR="00000E91" w:rsidRPr="00000E91" w:rsidRDefault="00000E91" w:rsidP="00000E91">
      <w:pPr>
        <w:spacing w:after="0"/>
        <w:rPr>
          <w:rFonts w:ascii="Arial" w:eastAsia="Times New Roman" w:hAnsi="Arial" w:cs="Arial"/>
          <w:lang w:val="en-US"/>
        </w:rPr>
      </w:pPr>
      <w:r w:rsidRPr="00000E91">
        <w:rPr>
          <w:rFonts w:ascii="Arial" w:eastAsia="Times New Roman" w:hAnsi="Arial" w:cs="Arial"/>
          <w:lang w:val="en-US"/>
        </w:rPr>
        <w:t>Contact the Poisons Information Centre on 13 11 26 for advice on management of overdose.</w:t>
      </w:r>
    </w:p>
    <w:p w14:paraId="05C88707" w14:textId="77777777" w:rsidR="00000E91" w:rsidRPr="00000E91" w:rsidRDefault="00000E91" w:rsidP="00000E91">
      <w:pPr>
        <w:autoSpaceDE w:val="0"/>
        <w:autoSpaceDN w:val="0"/>
        <w:adjustRightInd w:val="0"/>
        <w:spacing w:after="0"/>
        <w:rPr>
          <w:rFonts w:ascii="Arial" w:hAnsi="Arial" w:cs="Arial"/>
        </w:rPr>
      </w:pPr>
    </w:p>
    <w:p w14:paraId="78F0B98F" w14:textId="77777777" w:rsidR="00000E91" w:rsidRPr="00000E91" w:rsidRDefault="00000E91" w:rsidP="00000E91">
      <w:pPr>
        <w:autoSpaceDE w:val="0"/>
        <w:autoSpaceDN w:val="0"/>
        <w:adjustRightInd w:val="0"/>
        <w:spacing w:after="0"/>
        <w:rPr>
          <w:rFonts w:ascii="Arial" w:hAnsi="Arial" w:cs="Arial"/>
        </w:rPr>
      </w:pPr>
      <w:r w:rsidRPr="00000E91">
        <w:rPr>
          <w:rFonts w:ascii="Arial" w:hAnsi="Arial" w:cs="Arial"/>
        </w:rPr>
        <w:t xml:space="preserve">There are no data available on the effects of acute or chronic </w:t>
      </w:r>
      <w:proofErr w:type="spellStart"/>
      <w:r w:rsidRPr="00000E91">
        <w:rPr>
          <w:rFonts w:ascii="Arial" w:hAnsi="Arial" w:cs="Arial"/>
        </w:rPr>
        <w:t>overdosage</w:t>
      </w:r>
      <w:proofErr w:type="spellEnd"/>
      <w:r w:rsidRPr="00000E91">
        <w:rPr>
          <w:rFonts w:ascii="Arial" w:hAnsi="Arial" w:cs="Arial"/>
        </w:rPr>
        <w:t xml:space="preserve"> with fluticasone propionate nasal spray. Intra-nasal administration of 2,400 </w:t>
      </w:r>
      <w:proofErr w:type="spellStart"/>
      <w:r w:rsidRPr="00000E91">
        <w:rPr>
          <w:rFonts w:ascii="Arial" w:hAnsi="Arial" w:cs="Arial"/>
        </w:rPr>
        <w:t>μg</w:t>
      </w:r>
      <w:proofErr w:type="spellEnd"/>
      <w:r w:rsidRPr="00000E91">
        <w:rPr>
          <w:rFonts w:ascii="Arial" w:hAnsi="Arial" w:cs="Arial"/>
        </w:rPr>
        <w:t xml:space="preserve"> fluticasone per day (i.e. 12 times the recommended dose) for four days to healthy human volunteers caused a small degree of suppression of adrenal steroid production.</w:t>
      </w:r>
    </w:p>
    <w:p w14:paraId="460B8E9F" w14:textId="77777777" w:rsidR="00000E91" w:rsidRPr="00000E91" w:rsidRDefault="00000E91" w:rsidP="00000E91">
      <w:pPr>
        <w:autoSpaceDE w:val="0"/>
        <w:autoSpaceDN w:val="0"/>
        <w:adjustRightInd w:val="0"/>
        <w:spacing w:after="0"/>
        <w:rPr>
          <w:rFonts w:ascii="Arial" w:hAnsi="Arial" w:cs="Arial"/>
        </w:rPr>
      </w:pPr>
    </w:p>
    <w:p w14:paraId="446B445A" w14:textId="77777777" w:rsidR="00000E91" w:rsidRPr="00000E91" w:rsidRDefault="00000E91" w:rsidP="00000E91">
      <w:pPr>
        <w:autoSpaceDE w:val="0"/>
        <w:autoSpaceDN w:val="0"/>
        <w:adjustRightInd w:val="0"/>
        <w:spacing w:after="0"/>
        <w:rPr>
          <w:rFonts w:ascii="Arial" w:hAnsi="Arial" w:cs="Arial"/>
        </w:rPr>
      </w:pPr>
      <w:r w:rsidRPr="00000E91">
        <w:rPr>
          <w:rFonts w:ascii="Arial" w:hAnsi="Arial" w:cs="Arial"/>
        </w:rPr>
        <w:t>Suppression of adrenal steroid production may give rise to typical signs and symptoms of Cushing’s disease, such as buffalo hump, puffiness of face, hypertension and elevated blood glucose. If such a condition were to occur, care should be taken to wean the patient slowly off the steroid due to the probability of adrenal impairment. Recovery from impaired adrenocortical function caused by prolonged steroid therapy is usually slow and has been known to last up to 12 months.</w:t>
      </w:r>
    </w:p>
    <w:p w14:paraId="6229FB52" w14:textId="77777777" w:rsidR="00000E91" w:rsidRPr="00000E91" w:rsidRDefault="00000E91" w:rsidP="00000E91">
      <w:pPr>
        <w:autoSpaceDE w:val="0"/>
        <w:autoSpaceDN w:val="0"/>
        <w:adjustRightInd w:val="0"/>
        <w:spacing w:after="0"/>
        <w:rPr>
          <w:rFonts w:ascii="Arial" w:hAnsi="Arial" w:cs="Arial"/>
          <w:color w:val="000000"/>
        </w:rPr>
      </w:pPr>
    </w:p>
    <w:p w14:paraId="7F9B75B1"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PRESENTATION AND STORAGE CONDITIONS</w:t>
      </w:r>
    </w:p>
    <w:p w14:paraId="09FEFFA4" w14:textId="77777777" w:rsidR="00000E91" w:rsidRPr="00000E91" w:rsidRDefault="00000E91" w:rsidP="00000E91">
      <w:pPr>
        <w:spacing w:after="0"/>
        <w:rPr>
          <w:rFonts w:ascii="Arial" w:hAnsi="Arial" w:cs="Arial"/>
          <w:b/>
          <w:bCs/>
          <w:sz w:val="24"/>
          <w:szCs w:val="24"/>
        </w:rPr>
      </w:pPr>
    </w:p>
    <w:p w14:paraId="16A1DF1E"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Presentation</w:t>
      </w:r>
    </w:p>
    <w:p w14:paraId="5AF93FA3" w14:textId="77777777" w:rsidR="00000E91" w:rsidRPr="00000E91" w:rsidRDefault="00000E91" w:rsidP="00000E91">
      <w:pPr>
        <w:spacing w:after="0"/>
        <w:rPr>
          <w:rFonts w:ascii="Arial" w:hAnsi="Arial"/>
        </w:rPr>
      </w:pPr>
      <w:r w:rsidRPr="00000E91">
        <w:rPr>
          <w:rFonts w:ascii="Arial" w:hAnsi="Arial" w:cs="Arial"/>
        </w:rPr>
        <w:t xml:space="preserve">DYMISTA 125/50 nasal spray is supplied as an amber glass bottle (type I) fitted with a metered-dose spray pump unit. The spray pump unit consists of a nasal spray pump with a white nasal adapter and clear plastic dust cap.  The available pack sizes are: </w:t>
      </w:r>
    </w:p>
    <w:p w14:paraId="270B43D5" w14:textId="77777777" w:rsidR="00000E91" w:rsidRPr="00000E91" w:rsidRDefault="00000E91" w:rsidP="00000E91">
      <w:pPr>
        <w:numPr>
          <w:ilvl w:val="0"/>
          <w:numId w:val="5"/>
        </w:numPr>
        <w:spacing w:after="0"/>
        <w:rPr>
          <w:rFonts w:ascii="Arial" w:hAnsi="Arial" w:cs="Arial"/>
          <w:color w:val="000000"/>
        </w:rPr>
      </w:pPr>
      <w:r w:rsidRPr="00000E91">
        <w:rPr>
          <w:rFonts w:ascii="Arial" w:hAnsi="Arial" w:cs="Arial"/>
          <w:color w:val="000000"/>
        </w:rPr>
        <w:t xml:space="preserve">4 mL bottle containing 28 sprays (starter pack) and </w:t>
      </w:r>
    </w:p>
    <w:p w14:paraId="76360044" w14:textId="77777777" w:rsidR="00000E91" w:rsidRPr="00000E91" w:rsidRDefault="00000E91" w:rsidP="00000E91">
      <w:pPr>
        <w:numPr>
          <w:ilvl w:val="0"/>
          <w:numId w:val="5"/>
        </w:numPr>
        <w:spacing w:after="0"/>
        <w:rPr>
          <w:rFonts w:ascii="Arial" w:hAnsi="Arial" w:cs="Arial"/>
          <w:color w:val="000000"/>
        </w:rPr>
      </w:pPr>
      <w:r w:rsidRPr="00000E91">
        <w:rPr>
          <w:rFonts w:ascii="Arial" w:hAnsi="Arial" w:cs="Arial"/>
          <w:color w:val="000000"/>
        </w:rPr>
        <w:t>17 mL bottle containing 120 sprays.</w:t>
      </w:r>
    </w:p>
    <w:p w14:paraId="10B53242" w14:textId="77777777" w:rsidR="00000E91" w:rsidRPr="00000E91" w:rsidRDefault="00000E91" w:rsidP="00000E91">
      <w:pPr>
        <w:spacing w:after="0"/>
        <w:rPr>
          <w:rFonts w:ascii="Arial" w:hAnsi="Arial" w:cs="Arial"/>
        </w:rPr>
      </w:pPr>
    </w:p>
    <w:p w14:paraId="1255C3B4" w14:textId="77777777" w:rsidR="00000E91" w:rsidRPr="00000E91" w:rsidRDefault="00000E91" w:rsidP="00000E91">
      <w:pPr>
        <w:spacing w:after="0"/>
        <w:rPr>
          <w:rFonts w:ascii="Arial" w:hAnsi="Arial" w:cs="Arial"/>
          <w:b/>
          <w:bCs/>
        </w:rPr>
      </w:pPr>
      <w:r w:rsidRPr="00000E91">
        <w:rPr>
          <w:rFonts w:ascii="Arial" w:hAnsi="Arial" w:cs="Arial"/>
        </w:rPr>
        <w:t xml:space="preserve">DYMISTA 125/50 contains the antimicrobial preservatives </w:t>
      </w:r>
      <w:proofErr w:type="spellStart"/>
      <w:r w:rsidRPr="00000E91">
        <w:rPr>
          <w:rFonts w:ascii="Arial" w:hAnsi="Arial" w:cs="Arial"/>
        </w:rPr>
        <w:t>benzalkonium</w:t>
      </w:r>
      <w:proofErr w:type="spellEnd"/>
      <w:r w:rsidRPr="00000E91">
        <w:rPr>
          <w:rFonts w:ascii="Arial" w:hAnsi="Arial" w:cs="Arial"/>
        </w:rPr>
        <w:t xml:space="preserve"> chloride and </w:t>
      </w:r>
      <w:proofErr w:type="spellStart"/>
      <w:r w:rsidRPr="00000E91">
        <w:rPr>
          <w:rFonts w:ascii="Arial" w:hAnsi="Arial" w:cs="Arial"/>
        </w:rPr>
        <w:t>phenethyl</w:t>
      </w:r>
      <w:proofErr w:type="spellEnd"/>
      <w:r w:rsidRPr="00000E91">
        <w:rPr>
          <w:rFonts w:ascii="Arial" w:hAnsi="Arial" w:cs="Arial"/>
        </w:rPr>
        <w:t xml:space="preserve"> alcohol.</w:t>
      </w:r>
    </w:p>
    <w:p w14:paraId="7F418CEE" w14:textId="77777777" w:rsidR="00000E91" w:rsidRPr="00000E91" w:rsidRDefault="00000E91" w:rsidP="00000E91">
      <w:pPr>
        <w:spacing w:after="0"/>
        <w:rPr>
          <w:rFonts w:ascii="Arial" w:hAnsi="Arial" w:cs="Arial"/>
          <w:b/>
          <w:bCs/>
          <w:sz w:val="24"/>
          <w:szCs w:val="24"/>
        </w:rPr>
      </w:pPr>
    </w:p>
    <w:p w14:paraId="10C87DAD"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Storage Conditions</w:t>
      </w:r>
    </w:p>
    <w:p w14:paraId="768A0905" w14:textId="77777777" w:rsidR="00000E91" w:rsidRPr="00000E91" w:rsidRDefault="00000E91" w:rsidP="00000E91">
      <w:pPr>
        <w:spacing w:after="0"/>
        <w:rPr>
          <w:rFonts w:ascii="Arial" w:hAnsi="Arial" w:cs="Arial"/>
        </w:rPr>
      </w:pPr>
      <w:r w:rsidRPr="00000E91">
        <w:rPr>
          <w:rFonts w:ascii="Arial" w:hAnsi="Arial" w:cs="Arial"/>
        </w:rPr>
        <w:t>DYMISTA 125/50 nasal spray should be kept out of reach of children. Store below 25°C. Do not refrigerate. Do not freeze. Discard after 6 months of first opening the bottle.</w:t>
      </w:r>
    </w:p>
    <w:p w14:paraId="28890758" w14:textId="77777777" w:rsidR="00000E91" w:rsidRPr="00000E91" w:rsidRDefault="00000E91" w:rsidP="00000E91">
      <w:pPr>
        <w:spacing w:after="0"/>
        <w:rPr>
          <w:rFonts w:ascii="Arial" w:hAnsi="Arial" w:cs="Arial"/>
          <w:b/>
          <w:bCs/>
          <w:sz w:val="24"/>
          <w:szCs w:val="24"/>
        </w:rPr>
      </w:pPr>
    </w:p>
    <w:p w14:paraId="2BEB7E7B"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POISON SCHEDULE OF THE MEDICINE</w:t>
      </w:r>
    </w:p>
    <w:p w14:paraId="0460016A" w14:textId="77777777" w:rsidR="00000E91" w:rsidRPr="00000E91" w:rsidRDefault="00000E91" w:rsidP="00000E91">
      <w:pPr>
        <w:spacing w:after="0"/>
        <w:rPr>
          <w:rFonts w:ascii="Arial" w:hAnsi="Arial" w:cs="Arial"/>
        </w:rPr>
      </w:pPr>
      <w:r w:rsidRPr="00000E91">
        <w:rPr>
          <w:rFonts w:ascii="Arial" w:hAnsi="Arial" w:cs="Arial"/>
        </w:rPr>
        <w:t>Schedule 4 – Prescription Only Medicine</w:t>
      </w:r>
    </w:p>
    <w:p w14:paraId="7222F2FB" w14:textId="77777777" w:rsidR="00000E91" w:rsidRPr="00000E91" w:rsidRDefault="00000E91" w:rsidP="00000E91">
      <w:pPr>
        <w:spacing w:after="0"/>
        <w:rPr>
          <w:rFonts w:ascii="Arial" w:hAnsi="Arial" w:cs="Arial"/>
        </w:rPr>
      </w:pPr>
    </w:p>
    <w:p w14:paraId="41D07F38"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lastRenderedPageBreak/>
        <w:t>SPONSOR</w:t>
      </w:r>
    </w:p>
    <w:p w14:paraId="76AD60BB" w14:textId="77777777" w:rsidR="00000E91" w:rsidRPr="00000E91" w:rsidRDefault="00000E91" w:rsidP="00000E91">
      <w:pPr>
        <w:spacing w:after="0"/>
        <w:rPr>
          <w:rFonts w:ascii="Arial" w:hAnsi="Arial" w:cs="Arial"/>
        </w:rPr>
      </w:pPr>
      <w:r w:rsidRPr="00000E91">
        <w:rPr>
          <w:rFonts w:ascii="Arial" w:hAnsi="Arial" w:cs="Arial"/>
          <w:caps/>
        </w:rPr>
        <w:t>Meda</w:t>
      </w:r>
      <w:r w:rsidRPr="00000E91">
        <w:rPr>
          <w:rFonts w:ascii="Arial" w:hAnsi="Arial" w:cs="Arial"/>
        </w:rPr>
        <w:t xml:space="preserve"> Pharmaceuticals Pty Ltd</w:t>
      </w:r>
    </w:p>
    <w:p w14:paraId="7464DA85" w14:textId="77777777" w:rsidR="00000E91" w:rsidRPr="00000E91" w:rsidRDefault="00000E91" w:rsidP="00000E91">
      <w:pPr>
        <w:spacing w:after="0"/>
        <w:rPr>
          <w:rFonts w:ascii="Arial" w:hAnsi="Arial" w:cs="Arial"/>
        </w:rPr>
      </w:pPr>
      <w:r w:rsidRPr="00000E91">
        <w:rPr>
          <w:rFonts w:ascii="Arial" w:hAnsi="Arial" w:cs="Arial"/>
        </w:rPr>
        <w:t>Suite 1, Level 3, 110 Pacific Highway</w:t>
      </w:r>
    </w:p>
    <w:p w14:paraId="5C20126E" w14:textId="77777777" w:rsidR="00000E91" w:rsidRPr="00000E91" w:rsidRDefault="00000E91" w:rsidP="00000E91">
      <w:pPr>
        <w:spacing w:after="0"/>
        <w:rPr>
          <w:rFonts w:ascii="Arial" w:hAnsi="Arial" w:cs="Arial"/>
        </w:rPr>
      </w:pPr>
      <w:r w:rsidRPr="00000E91">
        <w:rPr>
          <w:rFonts w:ascii="Arial" w:hAnsi="Arial" w:cs="Arial"/>
        </w:rPr>
        <w:t>ST LEONARDS NSW 2065</w:t>
      </w:r>
    </w:p>
    <w:p w14:paraId="556FF860" w14:textId="77777777" w:rsidR="00000E91" w:rsidRPr="00000E91" w:rsidRDefault="00000E91" w:rsidP="00000E91">
      <w:pPr>
        <w:spacing w:after="0"/>
        <w:rPr>
          <w:rFonts w:ascii="Arial" w:hAnsi="Arial" w:cs="Arial"/>
        </w:rPr>
      </w:pPr>
      <w:r w:rsidRPr="00000E91">
        <w:rPr>
          <w:rFonts w:ascii="Arial" w:hAnsi="Arial" w:cs="Arial"/>
        </w:rPr>
        <w:t>Australia</w:t>
      </w:r>
    </w:p>
    <w:p w14:paraId="439862BA" w14:textId="77777777" w:rsidR="00000E91" w:rsidRPr="00000E91" w:rsidRDefault="00000E91" w:rsidP="00000E91">
      <w:pPr>
        <w:spacing w:after="0"/>
        <w:rPr>
          <w:rFonts w:ascii="Arial" w:hAnsi="Arial" w:cs="Arial"/>
        </w:rPr>
      </w:pPr>
      <w:r w:rsidRPr="00000E91">
        <w:rPr>
          <w:rFonts w:ascii="Arial" w:hAnsi="Arial" w:cs="Arial"/>
        </w:rPr>
        <w:t>Telephone: 1800 048 987</w:t>
      </w:r>
    </w:p>
    <w:p w14:paraId="481049F8" w14:textId="77777777" w:rsidR="00000E91" w:rsidRPr="00000E91" w:rsidRDefault="00000E91" w:rsidP="00000E91">
      <w:pPr>
        <w:spacing w:after="0"/>
        <w:rPr>
          <w:noProof/>
          <w:sz w:val="16"/>
          <w:lang w:val="en-US"/>
        </w:rPr>
      </w:pPr>
    </w:p>
    <w:p w14:paraId="33F2851D" w14:textId="77777777" w:rsidR="00000E91" w:rsidRPr="00000E91" w:rsidRDefault="00000E91" w:rsidP="00000E91">
      <w:pPr>
        <w:spacing w:after="0"/>
        <w:rPr>
          <w:rFonts w:ascii="Arial" w:hAnsi="Arial" w:cs="Arial"/>
          <w:b/>
          <w:bCs/>
          <w:sz w:val="24"/>
          <w:szCs w:val="24"/>
        </w:rPr>
      </w:pPr>
      <w:r w:rsidRPr="00000E91">
        <w:rPr>
          <w:noProof/>
          <w:sz w:val="16"/>
          <w:lang w:eastAsia="en-AU"/>
        </w:rPr>
        <w:drawing>
          <wp:inline distT="0" distB="0" distL="0" distR="0" wp14:anchorId="49305795" wp14:editId="5E9CD8B4">
            <wp:extent cx="1276350" cy="313968"/>
            <wp:effectExtent l="0" t="0" r="0" b="0"/>
            <wp:docPr id="6" name="Grafik 3" descr="m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313968"/>
                    </a:xfrm>
                    <a:prstGeom prst="rect">
                      <a:avLst/>
                    </a:prstGeom>
                    <a:noFill/>
                    <a:ln>
                      <a:noFill/>
                    </a:ln>
                  </pic:spPr>
                </pic:pic>
              </a:graphicData>
            </a:graphic>
          </wp:inline>
        </w:drawing>
      </w:r>
    </w:p>
    <w:p w14:paraId="79E97117" w14:textId="77777777" w:rsidR="00000E91" w:rsidRPr="00000E91" w:rsidRDefault="00000E91" w:rsidP="00000E91">
      <w:pPr>
        <w:spacing w:after="0"/>
        <w:rPr>
          <w:rFonts w:ascii="Arial" w:hAnsi="Arial" w:cs="Arial"/>
          <w:b/>
          <w:bCs/>
          <w:sz w:val="24"/>
          <w:szCs w:val="24"/>
        </w:rPr>
      </w:pPr>
    </w:p>
    <w:p w14:paraId="0BA46B1B" w14:textId="77777777" w:rsidR="00000E91" w:rsidRPr="00000E91" w:rsidRDefault="00000E91" w:rsidP="00000E91">
      <w:pPr>
        <w:spacing w:after="0"/>
        <w:rPr>
          <w:rFonts w:ascii="Arial" w:hAnsi="Arial" w:cs="Arial"/>
          <w:b/>
          <w:bCs/>
        </w:rPr>
      </w:pPr>
      <w:r w:rsidRPr="00000E91">
        <w:rPr>
          <w:rFonts w:ascii="Arial" w:hAnsi="Arial" w:cs="Arial"/>
          <w:b/>
          <w:bCs/>
          <w:sz w:val="24"/>
          <w:szCs w:val="24"/>
        </w:rPr>
        <w:t xml:space="preserve">Date of TGA Approval: </w:t>
      </w:r>
      <w:r w:rsidRPr="00000E91">
        <w:rPr>
          <w:rFonts w:ascii="Arial" w:hAnsi="Arial" w:cs="Arial"/>
          <w:bCs/>
        </w:rPr>
        <w:t>16 December 2013.</w:t>
      </w:r>
    </w:p>
    <w:p w14:paraId="3DADA5ED" w14:textId="77777777" w:rsidR="00000E91" w:rsidRPr="00000E91" w:rsidRDefault="00000E91" w:rsidP="00000E91">
      <w:pPr>
        <w:spacing w:after="0"/>
        <w:rPr>
          <w:rFonts w:ascii="Arial" w:hAnsi="Arial" w:cs="Arial"/>
          <w:b/>
          <w:bCs/>
          <w:sz w:val="24"/>
          <w:szCs w:val="24"/>
        </w:rPr>
      </w:pPr>
    </w:p>
    <w:p w14:paraId="49C35B00" w14:textId="77777777" w:rsidR="00000E91" w:rsidRPr="00000E91" w:rsidRDefault="00000E91" w:rsidP="00000E91">
      <w:pPr>
        <w:spacing w:after="0"/>
        <w:rPr>
          <w:rFonts w:ascii="Arial" w:hAnsi="Arial" w:cs="Arial"/>
          <w:b/>
          <w:bCs/>
          <w:sz w:val="24"/>
          <w:szCs w:val="24"/>
        </w:rPr>
      </w:pPr>
      <w:r w:rsidRPr="00000E91">
        <w:rPr>
          <w:rFonts w:ascii="Arial" w:hAnsi="Arial" w:cs="Arial"/>
          <w:b/>
          <w:bCs/>
          <w:sz w:val="24"/>
          <w:szCs w:val="24"/>
        </w:rPr>
        <w:t>Date of most recent amendment:</w:t>
      </w:r>
    </w:p>
    <w:p w14:paraId="6686EA09" w14:textId="77777777" w:rsidR="00000E91" w:rsidRPr="00000E91" w:rsidRDefault="00000E91" w:rsidP="00000E91">
      <w:pPr>
        <w:spacing w:after="0"/>
        <w:rPr>
          <w:rFonts w:ascii="Arial" w:hAnsi="Arial" w:cs="Arial"/>
          <w:b/>
          <w:bCs/>
          <w:sz w:val="24"/>
          <w:szCs w:val="24"/>
        </w:rPr>
      </w:pPr>
    </w:p>
    <w:p w14:paraId="60CD4FB5" w14:textId="77777777" w:rsidR="00000E91" w:rsidRPr="00000E91" w:rsidRDefault="00000E91" w:rsidP="00000E91">
      <w:pPr>
        <w:spacing w:after="0"/>
        <w:rPr>
          <w:rFonts w:ascii="Arial" w:hAnsi="Arial"/>
        </w:rPr>
      </w:pPr>
      <w:proofErr w:type="gramStart"/>
      <w:r w:rsidRPr="00000E91">
        <w:rPr>
          <w:rFonts w:ascii="Arial" w:hAnsi="Arial" w:cs="Arial"/>
          <w:bCs/>
        </w:rPr>
        <w:t>Australian Registration Number AUST R 203131.</w:t>
      </w:r>
      <w:proofErr w:type="gramEnd"/>
    </w:p>
    <w:sectPr w:rsidR="00000E91" w:rsidRPr="00000E91" w:rsidSect="00FD4410">
      <w:headerReference w:type="default" r:id="rId14"/>
      <w:footerReference w:type="default" r:id="rId15"/>
      <w:pgSz w:w="11906" w:h="16838"/>
      <w:pgMar w:top="1417" w:right="1440" w:bottom="1134" w:left="144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32A27" w14:textId="77777777" w:rsidR="00F04713" w:rsidRDefault="00F04713" w:rsidP="00AD0640">
      <w:pPr>
        <w:spacing w:after="0" w:line="240" w:lineRule="auto"/>
      </w:pPr>
      <w:r>
        <w:separator/>
      </w:r>
    </w:p>
  </w:endnote>
  <w:endnote w:type="continuationSeparator" w:id="0">
    <w:p w14:paraId="715D9D3A" w14:textId="77777777" w:rsidR="00F04713" w:rsidRDefault="00F04713" w:rsidP="00AD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968F8" w14:textId="77777777" w:rsidR="001F4A8C" w:rsidRDefault="001F4A8C">
    <w:pPr>
      <w:pStyle w:val="Footer"/>
      <w:jc w:val="right"/>
    </w:pPr>
  </w:p>
  <w:p w14:paraId="430CC5DD" w14:textId="77777777" w:rsidR="001F4A8C" w:rsidRPr="00F9550D" w:rsidRDefault="001F4A8C" w:rsidP="00C75A91">
    <w:pPr>
      <w:pStyle w:val="Footer"/>
      <w:pBdr>
        <w:top w:val="thinThickSmallGap" w:sz="24" w:space="1" w:color="622423"/>
      </w:pBdr>
      <w:tabs>
        <w:tab w:val="clear" w:pos="4513"/>
      </w:tabs>
      <w:jc w:val="right"/>
      <w:rPr>
        <w:rFonts w:ascii="Arial" w:hAnsi="Arial" w:cs="Arial"/>
        <w:sz w:val="20"/>
        <w:szCs w:val="20"/>
      </w:rPr>
    </w:pPr>
    <w:r w:rsidRPr="00F9550D">
      <w:rPr>
        <w:rFonts w:ascii="Arial" w:hAnsi="Arial" w:cs="Arial"/>
        <w:sz w:val="20"/>
        <w:szCs w:val="20"/>
      </w:rPr>
      <w:t xml:space="preserve">Page </w:t>
    </w:r>
    <w:r w:rsidRPr="00F9550D">
      <w:rPr>
        <w:rFonts w:ascii="Arial" w:hAnsi="Arial" w:cs="Arial"/>
      </w:rPr>
      <w:fldChar w:fldCharType="begin"/>
    </w:r>
    <w:r w:rsidRPr="00F9550D">
      <w:rPr>
        <w:rFonts w:ascii="Arial" w:hAnsi="Arial" w:cs="Arial"/>
        <w:sz w:val="20"/>
        <w:szCs w:val="20"/>
      </w:rPr>
      <w:instrText xml:space="preserve"> PAGE  \* Arabic  \* MERGEFORMAT </w:instrText>
    </w:r>
    <w:r w:rsidRPr="00F9550D">
      <w:rPr>
        <w:rFonts w:ascii="Arial" w:hAnsi="Arial" w:cs="Arial"/>
      </w:rPr>
      <w:fldChar w:fldCharType="separate"/>
    </w:r>
    <w:r w:rsidR="00000E91">
      <w:rPr>
        <w:rFonts w:ascii="Arial" w:hAnsi="Arial" w:cs="Arial"/>
        <w:noProof/>
        <w:sz w:val="20"/>
        <w:szCs w:val="20"/>
      </w:rPr>
      <w:t>16</w:t>
    </w:r>
    <w:r w:rsidRPr="00F9550D">
      <w:rPr>
        <w:rFonts w:ascii="Arial" w:hAnsi="Arial" w:cs="Arial"/>
      </w:rPr>
      <w:fldChar w:fldCharType="end"/>
    </w:r>
    <w:r w:rsidRPr="00F9550D">
      <w:rPr>
        <w:rFonts w:ascii="Arial" w:hAnsi="Arial" w:cs="Arial"/>
        <w:sz w:val="20"/>
        <w:szCs w:val="20"/>
      </w:rPr>
      <w:t xml:space="preserve"> of </w:t>
    </w:r>
    <w:r w:rsidRPr="00F9550D">
      <w:rPr>
        <w:rFonts w:ascii="Arial" w:hAnsi="Arial" w:cs="Arial"/>
        <w:sz w:val="20"/>
        <w:szCs w:val="20"/>
      </w:rPr>
      <w:fldChar w:fldCharType="begin"/>
    </w:r>
    <w:r w:rsidRPr="00F9550D">
      <w:rPr>
        <w:rFonts w:ascii="Arial" w:hAnsi="Arial" w:cs="Arial"/>
        <w:sz w:val="20"/>
        <w:szCs w:val="20"/>
      </w:rPr>
      <w:instrText xml:space="preserve"> NUMPAGES  \* Arabic  \* MERGEFORMAT </w:instrText>
    </w:r>
    <w:r w:rsidRPr="00F9550D">
      <w:rPr>
        <w:rFonts w:ascii="Arial" w:hAnsi="Arial" w:cs="Arial"/>
        <w:sz w:val="20"/>
        <w:szCs w:val="20"/>
      </w:rPr>
      <w:fldChar w:fldCharType="separate"/>
    </w:r>
    <w:r w:rsidR="00000E91">
      <w:rPr>
        <w:rFonts w:ascii="Arial" w:hAnsi="Arial" w:cs="Arial"/>
        <w:noProof/>
        <w:sz w:val="20"/>
        <w:szCs w:val="20"/>
      </w:rPr>
      <w:t>32</w:t>
    </w:r>
    <w:r w:rsidRPr="00F9550D">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D0B9A" w14:textId="77777777" w:rsidR="008B0457" w:rsidRDefault="008B0457">
    <w:pPr>
      <w:pStyle w:val="Footer"/>
      <w:jc w:val="right"/>
    </w:pPr>
  </w:p>
  <w:p w14:paraId="1AA2E9F1" w14:textId="77777777" w:rsidR="008B0457" w:rsidRPr="00F9550D" w:rsidRDefault="008B0457" w:rsidP="00C75A91">
    <w:pPr>
      <w:pStyle w:val="Footer"/>
      <w:pBdr>
        <w:top w:val="thinThickSmallGap" w:sz="24" w:space="1" w:color="622423"/>
      </w:pBdr>
      <w:tabs>
        <w:tab w:val="clear" w:pos="4513"/>
      </w:tabs>
      <w:jc w:val="right"/>
      <w:rPr>
        <w:rFonts w:ascii="Arial" w:hAnsi="Arial" w:cs="Arial"/>
        <w:sz w:val="20"/>
        <w:szCs w:val="20"/>
      </w:rPr>
    </w:pPr>
    <w:r w:rsidRPr="00F9550D">
      <w:rPr>
        <w:rFonts w:ascii="Arial" w:hAnsi="Arial" w:cs="Arial"/>
        <w:sz w:val="20"/>
        <w:szCs w:val="20"/>
      </w:rPr>
      <w:t xml:space="preserve">Page </w:t>
    </w:r>
    <w:r w:rsidRPr="00F9550D">
      <w:rPr>
        <w:rFonts w:ascii="Arial" w:hAnsi="Arial" w:cs="Arial"/>
      </w:rPr>
      <w:fldChar w:fldCharType="begin"/>
    </w:r>
    <w:r w:rsidRPr="00F9550D">
      <w:rPr>
        <w:rFonts w:ascii="Arial" w:hAnsi="Arial" w:cs="Arial"/>
        <w:sz w:val="20"/>
        <w:szCs w:val="20"/>
      </w:rPr>
      <w:instrText xml:space="preserve"> PAGE  \* Arabic  \* MERGEFORMAT </w:instrText>
    </w:r>
    <w:r w:rsidRPr="00F9550D">
      <w:rPr>
        <w:rFonts w:ascii="Arial" w:hAnsi="Arial" w:cs="Arial"/>
      </w:rPr>
      <w:fldChar w:fldCharType="separate"/>
    </w:r>
    <w:r w:rsidR="00000E91">
      <w:rPr>
        <w:rFonts w:ascii="Arial" w:hAnsi="Arial" w:cs="Arial"/>
        <w:noProof/>
        <w:sz w:val="20"/>
        <w:szCs w:val="20"/>
      </w:rPr>
      <w:t>18</w:t>
    </w:r>
    <w:r w:rsidRPr="00F9550D">
      <w:rPr>
        <w:rFonts w:ascii="Arial" w:hAnsi="Arial" w:cs="Arial"/>
      </w:rPr>
      <w:fldChar w:fldCharType="end"/>
    </w:r>
    <w:r w:rsidRPr="00F9550D">
      <w:rPr>
        <w:rFonts w:ascii="Arial" w:hAnsi="Arial" w:cs="Arial"/>
        <w:sz w:val="20"/>
        <w:szCs w:val="20"/>
      </w:rPr>
      <w:t xml:space="preserve"> of </w:t>
    </w:r>
    <w:r w:rsidRPr="00F9550D">
      <w:rPr>
        <w:rFonts w:ascii="Arial" w:hAnsi="Arial" w:cs="Arial"/>
        <w:sz w:val="20"/>
        <w:szCs w:val="20"/>
      </w:rPr>
      <w:fldChar w:fldCharType="begin"/>
    </w:r>
    <w:r w:rsidRPr="00F9550D">
      <w:rPr>
        <w:rFonts w:ascii="Arial" w:hAnsi="Arial" w:cs="Arial"/>
        <w:sz w:val="20"/>
        <w:szCs w:val="20"/>
      </w:rPr>
      <w:instrText xml:space="preserve"> NUMPAGES  \* Arabic  \* MERGEFORMAT </w:instrText>
    </w:r>
    <w:r w:rsidRPr="00F9550D">
      <w:rPr>
        <w:rFonts w:ascii="Arial" w:hAnsi="Arial" w:cs="Arial"/>
        <w:sz w:val="20"/>
        <w:szCs w:val="20"/>
      </w:rPr>
      <w:fldChar w:fldCharType="separate"/>
    </w:r>
    <w:r w:rsidR="00000E91">
      <w:rPr>
        <w:rFonts w:ascii="Arial" w:hAnsi="Arial" w:cs="Arial"/>
        <w:noProof/>
        <w:sz w:val="20"/>
        <w:szCs w:val="20"/>
      </w:rPr>
      <w:t>32</w:t>
    </w:r>
    <w:r w:rsidRPr="00F9550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7C886" w14:textId="77777777" w:rsidR="00F04713" w:rsidRDefault="00F04713" w:rsidP="00AD0640">
      <w:pPr>
        <w:spacing w:after="0" w:line="240" w:lineRule="auto"/>
      </w:pPr>
      <w:r>
        <w:separator/>
      </w:r>
    </w:p>
  </w:footnote>
  <w:footnote w:type="continuationSeparator" w:id="0">
    <w:p w14:paraId="027EF160" w14:textId="77777777" w:rsidR="00F04713" w:rsidRDefault="00F04713" w:rsidP="00AD0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75907" w14:paraId="079F6FBA" w14:textId="77777777" w:rsidTr="00175907">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6861B667" w14:textId="655DA3B0" w:rsidR="00175907" w:rsidRDefault="00175907" w:rsidP="00175907">
          <w:pPr>
            <w:spacing w:before="40" w:after="40" w:line="240" w:lineRule="atLeast"/>
            <w:rPr>
              <w:rFonts w:ascii="Cambria" w:hAnsi="Cambria" w:cs="Times New Roman"/>
              <w:b/>
            </w:rPr>
          </w:pPr>
          <w:r>
            <w:rPr>
              <w:b/>
            </w:rPr>
            <w:t xml:space="preserve">Attachment 1: Product information for </w:t>
          </w:r>
          <w:r w:rsidRPr="00175907">
            <w:rPr>
              <w:b/>
            </w:rPr>
            <w:t xml:space="preserve">AusPAR fluticasone propionate and </w:t>
          </w:r>
          <w:proofErr w:type="spellStart"/>
          <w:r w:rsidRPr="00175907">
            <w:rPr>
              <w:b/>
            </w:rPr>
            <w:t>azelastine</w:t>
          </w:r>
          <w:proofErr w:type="spellEnd"/>
          <w:r w:rsidRPr="00175907">
            <w:rPr>
              <w:b/>
            </w:rPr>
            <w:t xml:space="preserve"> hydrochloride </w:t>
          </w:r>
          <w:proofErr w:type="spellStart"/>
          <w:r w:rsidRPr="00175907">
            <w:rPr>
              <w:b/>
            </w:rPr>
            <w:t>Dymista</w:t>
          </w:r>
          <w:proofErr w:type="spellEnd"/>
          <w:r w:rsidRPr="00175907">
            <w:rPr>
              <w:b/>
            </w:rPr>
            <w:t>/</w:t>
          </w:r>
          <w:proofErr w:type="spellStart"/>
          <w:r w:rsidRPr="00175907">
            <w:rPr>
              <w:b/>
            </w:rPr>
            <w:t>Dylastine</w:t>
          </w:r>
          <w:proofErr w:type="spellEnd"/>
          <w:r w:rsidRPr="00175907">
            <w:rPr>
              <w:b/>
            </w:rPr>
            <w:t xml:space="preserve"> </w:t>
          </w:r>
          <w:proofErr w:type="spellStart"/>
          <w:r w:rsidRPr="00175907">
            <w:rPr>
              <w:b/>
            </w:rPr>
            <w:t>Meda</w:t>
          </w:r>
          <w:proofErr w:type="spellEnd"/>
          <w:r w:rsidRPr="00175907">
            <w:rPr>
              <w:b/>
            </w:rPr>
            <w:t xml:space="preserve"> Pharmaceuticals PM-2012-03466-1-5 Final 24 July 2014</w:t>
          </w:r>
          <w:r>
            <w:rPr>
              <w:b/>
            </w:rPr>
            <w:t>. This Product Information was approved at the time this AusPAR was published.</w:t>
          </w:r>
        </w:p>
      </w:tc>
    </w:tr>
  </w:tbl>
  <w:p w14:paraId="7056A1B5" w14:textId="77777777" w:rsidR="00175907" w:rsidRDefault="00175907">
    <w:pPr>
      <w:pStyle w:val="Header"/>
      <w:rPr>
        <w:rFonts w:ascii="Arial" w:hAnsi="Arial" w:cs="Arial"/>
        <w:sz w:val="20"/>
        <w:szCs w:val="20"/>
      </w:rPr>
    </w:pPr>
  </w:p>
  <w:p w14:paraId="30190B86" w14:textId="21294683" w:rsidR="001F4A8C" w:rsidRDefault="00875168">
    <w:pPr>
      <w:pStyle w:val="Header"/>
      <w:rPr>
        <w:rFonts w:ascii="Arial" w:hAnsi="Arial" w:cs="Arial"/>
        <w:sz w:val="20"/>
        <w:szCs w:val="20"/>
      </w:rPr>
    </w:pPr>
    <w:r>
      <w:rPr>
        <w:rFonts w:ascii="Arial" w:hAnsi="Arial" w:cs="Arial"/>
        <w:sz w:val="20"/>
        <w:szCs w:val="20"/>
      </w:rPr>
      <w:t>Product Information v3</w:t>
    </w:r>
    <w:r w:rsidR="001F4A8C" w:rsidRPr="006D46FB">
      <w:rPr>
        <w:rFonts w:ascii="Arial" w:hAnsi="Arial" w:cs="Arial"/>
        <w:sz w:val="20"/>
        <w:szCs w:val="20"/>
      </w:rPr>
      <w:tab/>
    </w:r>
    <w:r w:rsidR="001F4A8C" w:rsidRPr="006D46FB">
      <w:rPr>
        <w:rFonts w:ascii="Arial" w:hAnsi="Arial" w:cs="Arial"/>
        <w:sz w:val="20"/>
        <w:szCs w:val="20"/>
      </w:rPr>
      <w:tab/>
    </w:r>
    <w:proofErr w:type="spellStart"/>
    <w:r w:rsidR="001F4A8C" w:rsidRPr="006D46FB">
      <w:rPr>
        <w:rFonts w:ascii="Arial" w:hAnsi="Arial" w:cs="Arial"/>
        <w:sz w:val="20"/>
        <w:szCs w:val="20"/>
      </w:rPr>
      <w:t>Meda</w:t>
    </w:r>
    <w:proofErr w:type="spellEnd"/>
    <w:r w:rsidR="001F4A8C" w:rsidRPr="006D46FB">
      <w:rPr>
        <w:rFonts w:ascii="Arial" w:hAnsi="Arial" w:cs="Arial"/>
        <w:sz w:val="20"/>
        <w:szCs w:val="20"/>
      </w:rPr>
      <w:t xml:space="preserve"> Pharmaceuticals Pty Ltd</w:t>
    </w:r>
  </w:p>
  <w:p w14:paraId="412EBAFE" w14:textId="77777777" w:rsidR="00D700C2" w:rsidRPr="006D46FB" w:rsidRDefault="00D700C2">
    <w:pPr>
      <w:pStyle w:val="Header"/>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4182D" w14:paraId="1E184CA2" w14:textId="77777777" w:rsidTr="0044182D">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4232489B" w14:textId="77777777" w:rsidR="0044182D" w:rsidRDefault="00000E91">
          <w:pPr>
            <w:spacing w:before="40" w:after="40" w:line="240" w:lineRule="atLeast"/>
            <w:rPr>
              <w:rFonts w:ascii="Cambria" w:hAnsi="Cambria" w:cs="Times New Roman"/>
              <w:b/>
              <w:lang w:val="de-DE"/>
            </w:rPr>
          </w:pPr>
          <w:r w:rsidRPr="0044182D">
            <w:rPr>
              <w:rFonts w:ascii="Cambria" w:hAnsi="Cambria"/>
              <w:b/>
              <w:lang w:val="de-DE"/>
            </w:rPr>
            <w:t xml:space="preserve">Attachment 1: Product information for AusPAR fluticasone propionate and azelastine hydrochloride </w:t>
          </w:r>
          <w:r w:rsidRPr="0044182D">
            <w:rPr>
              <w:rFonts w:ascii="Cambria" w:hAnsi="Cambria"/>
              <w:b/>
              <w:lang w:val="de-DE"/>
            </w:rPr>
            <w:t>Dymista/Dylastine Meda Pharmaceuticals PM-2012-03466-1-5 Final 24 July 2014. This Product Information was approved at the time this AusPAR was published.</w:t>
          </w:r>
        </w:p>
      </w:tc>
    </w:tr>
  </w:tbl>
  <w:p w14:paraId="2540B307" w14:textId="77777777" w:rsidR="0044182D" w:rsidRDefault="00000E91">
    <w:pPr>
      <w:pStyle w:val="Header"/>
      <w:rPr>
        <w:rFonts w:ascii="Arial" w:hAnsi="Arial" w:cs="Arial"/>
        <w:sz w:val="20"/>
        <w:szCs w:val="20"/>
      </w:rPr>
    </w:pPr>
  </w:p>
  <w:p w14:paraId="3E20D4A8" w14:textId="77777777" w:rsidR="008B0457" w:rsidRDefault="00000E91">
    <w:pPr>
      <w:pStyle w:val="Header"/>
      <w:rPr>
        <w:rFonts w:ascii="Arial" w:hAnsi="Arial" w:cs="Arial"/>
        <w:sz w:val="20"/>
        <w:szCs w:val="20"/>
      </w:rPr>
    </w:pPr>
    <w:r>
      <w:rPr>
        <w:rFonts w:ascii="Arial" w:hAnsi="Arial" w:cs="Arial"/>
        <w:sz w:val="20"/>
        <w:szCs w:val="20"/>
      </w:rPr>
      <w:t>Product Information v3</w:t>
    </w:r>
    <w:r w:rsidR="008B0457" w:rsidRPr="006D46FB">
      <w:rPr>
        <w:rFonts w:ascii="Arial" w:hAnsi="Arial" w:cs="Arial"/>
        <w:sz w:val="20"/>
        <w:szCs w:val="20"/>
      </w:rPr>
      <w:tab/>
    </w:r>
    <w:r w:rsidR="008B0457" w:rsidRPr="006D46FB">
      <w:rPr>
        <w:rFonts w:ascii="Arial" w:hAnsi="Arial" w:cs="Arial"/>
        <w:sz w:val="20"/>
        <w:szCs w:val="20"/>
      </w:rPr>
      <w:tab/>
    </w:r>
    <w:proofErr w:type="spellStart"/>
    <w:r w:rsidR="008B0457" w:rsidRPr="006D46FB">
      <w:rPr>
        <w:rFonts w:ascii="Arial" w:hAnsi="Arial" w:cs="Arial"/>
        <w:sz w:val="20"/>
        <w:szCs w:val="20"/>
      </w:rPr>
      <w:t>Meda</w:t>
    </w:r>
    <w:proofErr w:type="spellEnd"/>
    <w:r w:rsidR="008B0457" w:rsidRPr="006D46FB">
      <w:rPr>
        <w:rFonts w:ascii="Arial" w:hAnsi="Arial" w:cs="Arial"/>
        <w:sz w:val="20"/>
        <w:szCs w:val="20"/>
      </w:rPr>
      <w:t xml:space="preserve"> Pharmaceuticals Pty Ltd</w:t>
    </w:r>
  </w:p>
  <w:p w14:paraId="0C8B04F4" w14:textId="77777777" w:rsidR="00EB38A4" w:rsidRPr="006D46FB" w:rsidRDefault="00000E91">
    <w:pPr>
      <w:pStyle w:val="Header"/>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CF6"/>
    <w:multiLevelType w:val="hybridMultilevel"/>
    <w:tmpl w:val="C768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0F728F"/>
    <w:multiLevelType w:val="hybridMultilevel"/>
    <w:tmpl w:val="4B1037E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
    <w:nsid w:val="21DB7F75"/>
    <w:multiLevelType w:val="multilevel"/>
    <w:tmpl w:val="E9E45E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4BA76FB"/>
    <w:multiLevelType w:val="multilevel"/>
    <w:tmpl w:val="B4BAC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5B32F6"/>
    <w:multiLevelType w:val="hybridMultilevel"/>
    <w:tmpl w:val="7A00B754"/>
    <w:lvl w:ilvl="0" w:tplc="A1327FD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EC"/>
    <w:rsid w:val="00000E91"/>
    <w:rsid w:val="00002154"/>
    <w:rsid w:val="00002E5C"/>
    <w:rsid w:val="0000667D"/>
    <w:rsid w:val="00007573"/>
    <w:rsid w:val="00023C87"/>
    <w:rsid w:val="00023D5D"/>
    <w:rsid w:val="00024D5F"/>
    <w:rsid w:val="00044ED0"/>
    <w:rsid w:val="00050403"/>
    <w:rsid w:val="0005307F"/>
    <w:rsid w:val="0005529B"/>
    <w:rsid w:val="000564AE"/>
    <w:rsid w:val="0006091B"/>
    <w:rsid w:val="00060921"/>
    <w:rsid w:val="0006177B"/>
    <w:rsid w:val="0006279E"/>
    <w:rsid w:val="000627E0"/>
    <w:rsid w:val="00071E70"/>
    <w:rsid w:val="00081F54"/>
    <w:rsid w:val="00086A33"/>
    <w:rsid w:val="00086D89"/>
    <w:rsid w:val="00087B57"/>
    <w:rsid w:val="00093955"/>
    <w:rsid w:val="000972B9"/>
    <w:rsid w:val="000A7C76"/>
    <w:rsid w:val="000B7055"/>
    <w:rsid w:val="000C3D8B"/>
    <w:rsid w:val="000D09BD"/>
    <w:rsid w:val="000D5B5C"/>
    <w:rsid w:val="000E356E"/>
    <w:rsid w:val="000E57B2"/>
    <w:rsid w:val="000E5D4A"/>
    <w:rsid w:val="000F01AA"/>
    <w:rsid w:val="000F3501"/>
    <w:rsid w:val="000F5A54"/>
    <w:rsid w:val="000F64BB"/>
    <w:rsid w:val="00105245"/>
    <w:rsid w:val="00106EEF"/>
    <w:rsid w:val="001135EC"/>
    <w:rsid w:val="001139E5"/>
    <w:rsid w:val="00113C88"/>
    <w:rsid w:val="00131F60"/>
    <w:rsid w:val="0013350D"/>
    <w:rsid w:val="0013352C"/>
    <w:rsid w:val="001335C4"/>
    <w:rsid w:val="0013637B"/>
    <w:rsid w:val="0014375E"/>
    <w:rsid w:val="00147F5E"/>
    <w:rsid w:val="001665FA"/>
    <w:rsid w:val="001729D2"/>
    <w:rsid w:val="00175907"/>
    <w:rsid w:val="00186CFC"/>
    <w:rsid w:val="001876D2"/>
    <w:rsid w:val="0019025D"/>
    <w:rsid w:val="0019602A"/>
    <w:rsid w:val="001A05CC"/>
    <w:rsid w:val="001A42B7"/>
    <w:rsid w:val="001A5B85"/>
    <w:rsid w:val="001A77BA"/>
    <w:rsid w:val="001A7F67"/>
    <w:rsid w:val="001C4A63"/>
    <w:rsid w:val="001C7AA8"/>
    <w:rsid w:val="001D3017"/>
    <w:rsid w:val="001D6282"/>
    <w:rsid w:val="001D6790"/>
    <w:rsid w:val="001E7E89"/>
    <w:rsid w:val="001F006A"/>
    <w:rsid w:val="001F2C67"/>
    <w:rsid w:val="001F4501"/>
    <w:rsid w:val="001F4A8C"/>
    <w:rsid w:val="001F7F88"/>
    <w:rsid w:val="00202FB1"/>
    <w:rsid w:val="00222D93"/>
    <w:rsid w:val="00223441"/>
    <w:rsid w:val="00224592"/>
    <w:rsid w:val="002266C5"/>
    <w:rsid w:val="00230C89"/>
    <w:rsid w:val="002318A7"/>
    <w:rsid w:val="00236D95"/>
    <w:rsid w:val="0024096A"/>
    <w:rsid w:val="00243818"/>
    <w:rsid w:val="0025303B"/>
    <w:rsid w:val="00263F25"/>
    <w:rsid w:val="002768A5"/>
    <w:rsid w:val="00281CE8"/>
    <w:rsid w:val="00285CD2"/>
    <w:rsid w:val="0028603B"/>
    <w:rsid w:val="002868F3"/>
    <w:rsid w:val="00290AFB"/>
    <w:rsid w:val="002A59AA"/>
    <w:rsid w:val="002A6803"/>
    <w:rsid w:val="002B7329"/>
    <w:rsid w:val="002B7A16"/>
    <w:rsid w:val="002B7A73"/>
    <w:rsid w:val="002C054F"/>
    <w:rsid w:val="002C2AB2"/>
    <w:rsid w:val="002D00B3"/>
    <w:rsid w:val="002D16F6"/>
    <w:rsid w:val="002D5E29"/>
    <w:rsid w:val="002E7319"/>
    <w:rsid w:val="002F25A1"/>
    <w:rsid w:val="002F7C92"/>
    <w:rsid w:val="00303354"/>
    <w:rsid w:val="00306EF6"/>
    <w:rsid w:val="0031056C"/>
    <w:rsid w:val="003115CD"/>
    <w:rsid w:val="00327005"/>
    <w:rsid w:val="00335DCB"/>
    <w:rsid w:val="00340497"/>
    <w:rsid w:val="003410E2"/>
    <w:rsid w:val="00345E78"/>
    <w:rsid w:val="0034766E"/>
    <w:rsid w:val="003539EB"/>
    <w:rsid w:val="003571ED"/>
    <w:rsid w:val="00361BBA"/>
    <w:rsid w:val="00371E58"/>
    <w:rsid w:val="003721C2"/>
    <w:rsid w:val="0037684B"/>
    <w:rsid w:val="00377604"/>
    <w:rsid w:val="0038191B"/>
    <w:rsid w:val="0038250C"/>
    <w:rsid w:val="00396D06"/>
    <w:rsid w:val="003A25D7"/>
    <w:rsid w:val="003A4FAD"/>
    <w:rsid w:val="003B082C"/>
    <w:rsid w:val="003C00D8"/>
    <w:rsid w:val="003C21EC"/>
    <w:rsid w:val="003C239F"/>
    <w:rsid w:val="003C6716"/>
    <w:rsid w:val="003D04B4"/>
    <w:rsid w:val="003D4A93"/>
    <w:rsid w:val="003D6541"/>
    <w:rsid w:val="003D6F1D"/>
    <w:rsid w:val="003E3BA9"/>
    <w:rsid w:val="003E5918"/>
    <w:rsid w:val="00402C5D"/>
    <w:rsid w:val="00407D01"/>
    <w:rsid w:val="00410E9A"/>
    <w:rsid w:val="00416A93"/>
    <w:rsid w:val="004228F6"/>
    <w:rsid w:val="00423456"/>
    <w:rsid w:val="00424AEF"/>
    <w:rsid w:val="00424F91"/>
    <w:rsid w:val="004300BC"/>
    <w:rsid w:val="004377A3"/>
    <w:rsid w:val="004415E5"/>
    <w:rsid w:val="004443EA"/>
    <w:rsid w:val="004471B4"/>
    <w:rsid w:val="0045255D"/>
    <w:rsid w:val="0045324F"/>
    <w:rsid w:val="00461FA9"/>
    <w:rsid w:val="0048182B"/>
    <w:rsid w:val="0048287C"/>
    <w:rsid w:val="00490AD5"/>
    <w:rsid w:val="004A469F"/>
    <w:rsid w:val="004A4EC9"/>
    <w:rsid w:val="004A5F48"/>
    <w:rsid w:val="004A6FDE"/>
    <w:rsid w:val="004A7E9D"/>
    <w:rsid w:val="004B6C93"/>
    <w:rsid w:val="004C4415"/>
    <w:rsid w:val="004D416E"/>
    <w:rsid w:val="004E6FD2"/>
    <w:rsid w:val="004F10EB"/>
    <w:rsid w:val="004F6C25"/>
    <w:rsid w:val="004F7B96"/>
    <w:rsid w:val="005009F2"/>
    <w:rsid w:val="00501891"/>
    <w:rsid w:val="00501ABA"/>
    <w:rsid w:val="0050202E"/>
    <w:rsid w:val="00510FD3"/>
    <w:rsid w:val="00511324"/>
    <w:rsid w:val="0051542B"/>
    <w:rsid w:val="00517DFD"/>
    <w:rsid w:val="005214B3"/>
    <w:rsid w:val="0052242E"/>
    <w:rsid w:val="00526564"/>
    <w:rsid w:val="00533721"/>
    <w:rsid w:val="00572FC9"/>
    <w:rsid w:val="005757E5"/>
    <w:rsid w:val="00591482"/>
    <w:rsid w:val="00593E2B"/>
    <w:rsid w:val="005A0738"/>
    <w:rsid w:val="005A4545"/>
    <w:rsid w:val="005A49B1"/>
    <w:rsid w:val="005A797A"/>
    <w:rsid w:val="005B67D7"/>
    <w:rsid w:val="005B798C"/>
    <w:rsid w:val="005C0DEB"/>
    <w:rsid w:val="005C4BE3"/>
    <w:rsid w:val="005C6867"/>
    <w:rsid w:val="005D56D8"/>
    <w:rsid w:val="005D6BB3"/>
    <w:rsid w:val="005D6E38"/>
    <w:rsid w:val="005E489F"/>
    <w:rsid w:val="005F345D"/>
    <w:rsid w:val="00612CEB"/>
    <w:rsid w:val="00615DCA"/>
    <w:rsid w:val="00623F7F"/>
    <w:rsid w:val="00626690"/>
    <w:rsid w:val="00633DAE"/>
    <w:rsid w:val="00635091"/>
    <w:rsid w:val="0064239B"/>
    <w:rsid w:val="006461C0"/>
    <w:rsid w:val="00647276"/>
    <w:rsid w:val="00650406"/>
    <w:rsid w:val="006515BB"/>
    <w:rsid w:val="00652FA9"/>
    <w:rsid w:val="00655541"/>
    <w:rsid w:val="0066034A"/>
    <w:rsid w:val="00665A98"/>
    <w:rsid w:val="006848A3"/>
    <w:rsid w:val="0069097A"/>
    <w:rsid w:val="00693596"/>
    <w:rsid w:val="006941D4"/>
    <w:rsid w:val="0069656E"/>
    <w:rsid w:val="006B09C2"/>
    <w:rsid w:val="006B496C"/>
    <w:rsid w:val="006C790D"/>
    <w:rsid w:val="006D3DCC"/>
    <w:rsid w:val="006D46FB"/>
    <w:rsid w:val="006E0F37"/>
    <w:rsid w:val="006F21A1"/>
    <w:rsid w:val="006F667A"/>
    <w:rsid w:val="00711A25"/>
    <w:rsid w:val="00715F47"/>
    <w:rsid w:val="0073195B"/>
    <w:rsid w:val="00742FE4"/>
    <w:rsid w:val="007452D0"/>
    <w:rsid w:val="00746AE9"/>
    <w:rsid w:val="007506DA"/>
    <w:rsid w:val="007535C9"/>
    <w:rsid w:val="007543F2"/>
    <w:rsid w:val="00774A70"/>
    <w:rsid w:val="00776D5B"/>
    <w:rsid w:val="007914DA"/>
    <w:rsid w:val="00794B35"/>
    <w:rsid w:val="00795CDB"/>
    <w:rsid w:val="00796142"/>
    <w:rsid w:val="00796277"/>
    <w:rsid w:val="007A3B55"/>
    <w:rsid w:val="007A648F"/>
    <w:rsid w:val="007A6C5C"/>
    <w:rsid w:val="007B0B36"/>
    <w:rsid w:val="007B0F26"/>
    <w:rsid w:val="007B2F77"/>
    <w:rsid w:val="007B577F"/>
    <w:rsid w:val="007B7667"/>
    <w:rsid w:val="007D5CE3"/>
    <w:rsid w:val="007D64FA"/>
    <w:rsid w:val="007E5563"/>
    <w:rsid w:val="007F2CF6"/>
    <w:rsid w:val="00802D09"/>
    <w:rsid w:val="0080369C"/>
    <w:rsid w:val="00804552"/>
    <w:rsid w:val="0081713B"/>
    <w:rsid w:val="0082071D"/>
    <w:rsid w:val="00827011"/>
    <w:rsid w:val="00835FDC"/>
    <w:rsid w:val="00837288"/>
    <w:rsid w:val="0084207E"/>
    <w:rsid w:val="00843921"/>
    <w:rsid w:val="0084473A"/>
    <w:rsid w:val="008505C2"/>
    <w:rsid w:val="00856EC4"/>
    <w:rsid w:val="00857116"/>
    <w:rsid w:val="00866CD3"/>
    <w:rsid w:val="00871D19"/>
    <w:rsid w:val="00872257"/>
    <w:rsid w:val="00872431"/>
    <w:rsid w:val="00874C3F"/>
    <w:rsid w:val="00875168"/>
    <w:rsid w:val="00877AF6"/>
    <w:rsid w:val="008817C5"/>
    <w:rsid w:val="00884CF2"/>
    <w:rsid w:val="00896E8D"/>
    <w:rsid w:val="00897D5A"/>
    <w:rsid w:val="008B0457"/>
    <w:rsid w:val="008C4949"/>
    <w:rsid w:val="008D4F4F"/>
    <w:rsid w:val="008D58EC"/>
    <w:rsid w:val="008E0E54"/>
    <w:rsid w:val="008E7132"/>
    <w:rsid w:val="008E7D8E"/>
    <w:rsid w:val="008F2D57"/>
    <w:rsid w:val="008F409C"/>
    <w:rsid w:val="009260F2"/>
    <w:rsid w:val="00931CC9"/>
    <w:rsid w:val="009328E9"/>
    <w:rsid w:val="00945231"/>
    <w:rsid w:val="00956DEA"/>
    <w:rsid w:val="00964B81"/>
    <w:rsid w:val="009715FE"/>
    <w:rsid w:val="0097579B"/>
    <w:rsid w:val="009826F5"/>
    <w:rsid w:val="0099347F"/>
    <w:rsid w:val="00994BD3"/>
    <w:rsid w:val="0099701E"/>
    <w:rsid w:val="009A04F1"/>
    <w:rsid w:val="009A0799"/>
    <w:rsid w:val="009A671C"/>
    <w:rsid w:val="009B1A1E"/>
    <w:rsid w:val="009B4296"/>
    <w:rsid w:val="009B7264"/>
    <w:rsid w:val="009C0D97"/>
    <w:rsid w:val="009C3F21"/>
    <w:rsid w:val="009D0B24"/>
    <w:rsid w:val="009D66CF"/>
    <w:rsid w:val="009D66F0"/>
    <w:rsid w:val="009E26C7"/>
    <w:rsid w:val="009E3D89"/>
    <w:rsid w:val="00A036E3"/>
    <w:rsid w:val="00A07239"/>
    <w:rsid w:val="00A13C6F"/>
    <w:rsid w:val="00A2190D"/>
    <w:rsid w:val="00A224F7"/>
    <w:rsid w:val="00A2679F"/>
    <w:rsid w:val="00A30916"/>
    <w:rsid w:val="00A358D1"/>
    <w:rsid w:val="00A36738"/>
    <w:rsid w:val="00A4052D"/>
    <w:rsid w:val="00A53274"/>
    <w:rsid w:val="00A53611"/>
    <w:rsid w:val="00A55B4E"/>
    <w:rsid w:val="00A55FA2"/>
    <w:rsid w:val="00A5659D"/>
    <w:rsid w:val="00A641B0"/>
    <w:rsid w:val="00A75C26"/>
    <w:rsid w:val="00A8016C"/>
    <w:rsid w:val="00A82CA4"/>
    <w:rsid w:val="00A9000C"/>
    <w:rsid w:val="00A9673C"/>
    <w:rsid w:val="00AA1F57"/>
    <w:rsid w:val="00AB2787"/>
    <w:rsid w:val="00AB6EFB"/>
    <w:rsid w:val="00AB7ADA"/>
    <w:rsid w:val="00AC12A7"/>
    <w:rsid w:val="00AC289F"/>
    <w:rsid w:val="00AC506F"/>
    <w:rsid w:val="00AD0640"/>
    <w:rsid w:val="00AD546F"/>
    <w:rsid w:val="00AD7629"/>
    <w:rsid w:val="00AE4DAE"/>
    <w:rsid w:val="00AE6AFA"/>
    <w:rsid w:val="00AE763E"/>
    <w:rsid w:val="00AF11DA"/>
    <w:rsid w:val="00AF1448"/>
    <w:rsid w:val="00AF53E6"/>
    <w:rsid w:val="00B00676"/>
    <w:rsid w:val="00B12042"/>
    <w:rsid w:val="00B14C5E"/>
    <w:rsid w:val="00B162A6"/>
    <w:rsid w:val="00B17D9B"/>
    <w:rsid w:val="00B378CB"/>
    <w:rsid w:val="00B60296"/>
    <w:rsid w:val="00B71481"/>
    <w:rsid w:val="00B8333B"/>
    <w:rsid w:val="00B903CD"/>
    <w:rsid w:val="00B93342"/>
    <w:rsid w:val="00B94615"/>
    <w:rsid w:val="00B94734"/>
    <w:rsid w:val="00BA0DA3"/>
    <w:rsid w:val="00BA1205"/>
    <w:rsid w:val="00BB0B6D"/>
    <w:rsid w:val="00BB1F0A"/>
    <w:rsid w:val="00BB1FAA"/>
    <w:rsid w:val="00BB5AE0"/>
    <w:rsid w:val="00BB5B81"/>
    <w:rsid w:val="00BC4C7C"/>
    <w:rsid w:val="00BE02ED"/>
    <w:rsid w:val="00BF287C"/>
    <w:rsid w:val="00BF3195"/>
    <w:rsid w:val="00BF7340"/>
    <w:rsid w:val="00C064E9"/>
    <w:rsid w:val="00C11798"/>
    <w:rsid w:val="00C43547"/>
    <w:rsid w:val="00C5143F"/>
    <w:rsid w:val="00C55787"/>
    <w:rsid w:val="00C6125C"/>
    <w:rsid w:val="00C62BCA"/>
    <w:rsid w:val="00C747AB"/>
    <w:rsid w:val="00C75A91"/>
    <w:rsid w:val="00C84701"/>
    <w:rsid w:val="00C85854"/>
    <w:rsid w:val="00C861EA"/>
    <w:rsid w:val="00C87963"/>
    <w:rsid w:val="00CA2744"/>
    <w:rsid w:val="00CB11EA"/>
    <w:rsid w:val="00CB2C37"/>
    <w:rsid w:val="00CC453A"/>
    <w:rsid w:val="00CC5EAD"/>
    <w:rsid w:val="00CC5FCD"/>
    <w:rsid w:val="00CD4384"/>
    <w:rsid w:val="00CD7C62"/>
    <w:rsid w:val="00CE45D9"/>
    <w:rsid w:val="00CE4761"/>
    <w:rsid w:val="00CF1088"/>
    <w:rsid w:val="00D10D6E"/>
    <w:rsid w:val="00D24F35"/>
    <w:rsid w:val="00D3100D"/>
    <w:rsid w:val="00D33631"/>
    <w:rsid w:val="00D4286A"/>
    <w:rsid w:val="00D60032"/>
    <w:rsid w:val="00D65FCF"/>
    <w:rsid w:val="00D66A88"/>
    <w:rsid w:val="00D700C2"/>
    <w:rsid w:val="00D712DC"/>
    <w:rsid w:val="00D76478"/>
    <w:rsid w:val="00D81023"/>
    <w:rsid w:val="00D83518"/>
    <w:rsid w:val="00D910D2"/>
    <w:rsid w:val="00D970A1"/>
    <w:rsid w:val="00DA0287"/>
    <w:rsid w:val="00DA78A3"/>
    <w:rsid w:val="00DA7D61"/>
    <w:rsid w:val="00DB1648"/>
    <w:rsid w:val="00DD0777"/>
    <w:rsid w:val="00DD223F"/>
    <w:rsid w:val="00DD4B19"/>
    <w:rsid w:val="00DE32E7"/>
    <w:rsid w:val="00DE3570"/>
    <w:rsid w:val="00DE5D4E"/>
    <w:rsid w:val="00DE790D"/>
    <w:rsid w:val="00E0609D"/>
    <w:rsid w:val="00E12BC5"/>
    <w:rsid w:val="00E16E74"/>
    <w:rsid w:val="00E218A1"/>
    <w:rsid w:val="00E36FA9"/>
    <w:rsid w:val="00E405FA"/>
    <w:rsid w:val="00E506BA"/>
    <w:rsid w:val="00E53592"/>
    <w:rsid w:val="00E56C06"/>
    <w:rsid w:val="00E6038E"/>
    <w:rsid w:val="00E6231D"/>
    <w:rsid w:val="00E6272D"/>
    <w:rsid w:val="00E63A65"/>
    <w:rsid w:val="00E72159"/>
    <w:rsid w:val="00E75C06"/>
    <w:rsid w:val="00E87A0C"/>
    <w:rsid w:val="00E91931"/>
    <w:rsid w:val="00E92CF8"/>
    <w:rsid w:val="00E9370B"/>
    <w:rsid w:val="00EB4DA7"/>
    <w:rsid w:val="00ED66CF"/>
    <w:rsid w:val="00ED6929"/>
    <w:rsid w:val="00ED7B28"/>
    <w:rsid w:val="00EF07D4"/>
    <w:rsid w:val="00F00665"/>
    <w:rsid w:val="00F04713"/>
    <w:rsid w:val="00F05597"/>
    <w:rsid w:val="00F15F6C"/>
    <w:rsid w:val="00F24B85"/>
    <w:rsid w:val="00F25F18"/>
    <w:rsid w:val="00F26E93"/>
    <w:rsid w:val="00F30D76"/>
    <w:rsid w:val="00F35A85"/>
    <w:rsid w:val="00F36C06"/>
    <w:rsid w:val="00F37032"/>
    <w:rsid w:val="00F37058"/>
    <w:rsid w:val="00F40711"/>
    <w:rsid w:val="00F42E8B"/>
    <w:rsid w:val="00F47F69"/>
    <w:rsid w:val="00F50C8F"/>
    <w:rsid w:val="00F51CB9"/>
    <w:rsid w:val="00F535C9"/>
    <w:rsid w:val="00F5427A"/>
    <w:rsid w:val="00F54AA7"/>
    <w:rsid w:val="00F71E1B"/>
    <w:rsid w:val="00F73477"/>
    <w:rsid w:val="00F80A03"/>
    <w:rsid w:val="00F82BA5"/>
    <w:rsid w:val="00F847A8"/>
    <w:rsid w:val="00F94B24"/>
    <w:rsid w:val="00F9550D"/>
    <w:rsid w:val="00FA6C96"/>
    <w:rsid w:val="00FA7AED"/>
    <w:rsid w:val="00FB18F8"/>
    <w:rsid w:val="00FB1E54"/>
    <w:rsid w:val="00FB7661"/>
    <w:rsid w:val="00FC00D6"/>
    <w:rsid w:val="00FC2139"/>
    <w:rsid w:val="00FC2336"/>
    <w:rsid w:val="00FC346F"/>
    <w:rsid w:val="00FC3CEF"/>
    <w:rsid w:val="00FC49EB"/>
    <w:rsid w:val="00FD2924"/>
    <w:rsid w:val="00FD4410"/>
    <w:rsid w:val="00FE5351"/>
    <w:rsid w:val="00FE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4F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26"/>
    <w:pPr>
      <w:spacing w:after="200" w:line="276" w:lineRule="auto"/>
    </w:pPr>
    <w:rPr>
      <w:rFonts w:cs="Calibri"/>
      <w:lang w:val="en-AU" w:eastAsia="en-US"/>
    </w:rPr>
  </w:style>
  <w:style w:type="paragraph" w:styleId="Heading1">
    <w:name w:val="heading 1"/>
    <w:basedOn w:val="Normal"/>
    <w:next w:val="Normal"/>
    <w:link w:val="Heading1Char"/>
    <w:uiPriority w:val="99"/>
    <w:qFormat/>
    <w:rsid w:val="009A671C"/>
    <w:pPr>
      <w:keepNext/>
      <w:keepLines/>
      <w:spacing w:before="480" w:after="0"/>
      <w:outlineLvl w:val="0"/>
    </w:pPr>
    <w:rPr>
      <w:rFonts w:ascii="Cambria" w:eastAsia="Times New Roman" w:hAnsi="Cambria" w:cs="Cambria"/>
      <w:b/>
      <w:bCs/>
      <w:color w:val="365F91"/>
      <w:sz w:val="28"/>
      <w:szCs w:val="28"/>
    </w:rPr>
  </w:style>
  <w:style w:type="paragraph" w:styleId="Heading8">
    <w:name w:val="heading 8"/>
    <w:basedOn w:val="Normal"/>
    <w:next w:val="Normal"/>
    <w:link w:val="Heading8Char"/>
    <w:uiPriority w:val="99"/>
    <w:qFormat/>
    <w:rsid w:val="000B7055"/>
    <w:pPr>
      <w:keepNext/>
      <w:keepLines/>
      <w:spacing w:before="200" w:after="0"/>
      <w:outlineLvl w:val="7"/>
    </w:pPr>
    <w:rPr>
      <w:rFonts w:ascii="Cambria" w:eastAsia="Times New Roman" w:hAnsi="Cambria" w:cs="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671C"/>
    <w:rPr>
      <w:rFonts w:ascii="Cambria" w:hAnsi="Cambria" w:cs="Cambria"/>
      <w:b/>
      <w:bCs/>
      <w:color w:val="365F91"/>
      <w:sz w:val="28"/>
      <w:szCs w:val="28"/>
    </w:rPr>
  </w:style>
  <w:style w:type="character" w:customStyle="1" w:styleId="Heading8Char">
    <w:name w:val="Heading 8 Char"/>
    <w:basedOn w:val="DefaultParagraphFont"/>
    <w:link w:val="Heading8"/>
    <w:uiPriority w:val="99"/>
    <w:locked/>
    <w:rsid w:val="000B7055"/>
    <w:rPr>
      <w:rFonts w:ascii="Cambria" w:hAnsi="Cambria" w:cs="Cambria"/>
      <w:color w:val="404040"/>
      <w:sz w:val="20"/>
      <w:szCs w:val="20"/>
    </w:rPr>
  </w:style>
  <w:style w:type="paragraph" w:styleId="BalloonText">
    <w:name w:val="Balloon Text"/>
    <w:basedOn w:val="Normal"/>
    <w:link w:val="BalloonTextChar"/>
    <w:uiPriority w:val="99"/>
    <w:semiHidden/>
    <w:rsid w:val="00F2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F18"/>
    <w:rPr>
      <w:rFonts w:ascii="Tahoma" w:hAnsi="Tahoma" w:cs="Tahoma"/>
      <w:sz w:val="16"/>
      <w:szCs w:val="16"/>
    </w:rPr>
  </w:style>
  <w:style w:type="paragraph" w:customStyle="1" w:styleId="Default">
    <w:name w:val="Default"/>
    <w:uiPriority w:val="99"/>
    <w:rsid w:val="00F25F18"/>
    <w:pPr>
      <w:autoSpaceDE w:val="0"/>
      <w:autoSpaceDN w:val="0"/>
      <w:adjustRightInd w:val="0"/>
    </w:pPr>
    <w:rPr>
      <w:rFonts w:ascii="Arial" w:hAnsi="Arial" w:cs="Arial"/>
      <w:color w:val="000000"/>
      <w:sz w:val="24"/>
      <w:szCs w:val="24"/>
      <w:lang w:val="en-AU" w:eastAsia="en-US"/>
    </w:rPr>
  </w:style>
  <w:style w:type="paragraph" w:customStyle="1" w:styleId="C-BodyText">
    <w:name w:val="C-Body Text"/>
    <w:uiPriority w:val="99"/>
    <w:rsid w:val="006941D4"/>
    <w:pPr>
      <w:spacing w:before="120" w:after="120" w:line="280" w:lineRule="atLeast"/>
    </w:pPr>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rsid w:val="00BE02ED"/>
    <w:rPr>
      <w:sz w:val="16"/>
      <w:szCs w:val="16"/>
    </w:rPr>
  </w:style>
  <w:style w:type="paragraph" w:styleId="CommentText">
    <w:name w:val="annotation text"/>
    <w:basedOn w:val="Normal"/>
    <w:link w:val="CommentTextChar"/>
    <w:uiPriority w:val="99"/>
    <w:semiHidden/>
    <w:rsid w:val="00BE02E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E02ED"/>
    <w:rPr>
      <w:sz w:val="20"/>
      <w:szCs w:val="20"/>
    </w:rPr>
  </w:style>
  <w:style w:type="paragraph" w:styleId="CommentSubject">
    <w:name w:val="annotation subject"/>
    <w:basedOn w:val="CommentText"/>
    <w:next w:val="CommentText"/>
    <w:link w:val="CommentSubjectChar"/>
    <w:uiPriority w:val="99"/>
    <w:semiHidden/>
    <w:rsid w:val="00BE02ED"/>
    <w:rPr>
      <w:b/>
      <w:bCs/>
    </w:rPr>
  </w:style>
  <w:style w:type="character" w:customStyle="1" w:styleId="CommentSubjectChar">
    <w:name w:val="Comment Subject Char"/>
    <w:basedOn w:val="CommentTextChar"/>
    <w:link w:val="CommentSubject"/>
    <w:uiPriority w:val="99"/>
    <w:semiHidden/>
    <w:locked/>
    <w:rsid w:val="00BE02ED"/>
    <w:rPr>
      <w:b/>
      <w:bCs/>
      <w:sz w:val="20"/>
      <w:szCs w:val="20"/>
    </w:rPr>
  </w:style>
  <w:style w:type="paragraph" w:styleId="ListParagraph">
    <w:name w:val="List Paragraph"/>
    <w:basedOn w:val="Normal"/>
    <w:uiPriority w:val="99"/>
    <w:qFormat/>
    <w:rsid w:val="003C00D8"/>
    <w:pPr>
      <w:ind w:left="720"/>
    </w:pPr>
  </w:style>
  <w:style w:type="paragraph" w:styleId="BodyText">
    <w:name w:val="Body Text"/>
    <w:basedOn w:val="Normal"/>
    <w:link w:val="BodyTextChar"/>
    <w:uiPriority w:val="99"/>
    <w:rsid w:val="005D6E38"/>
    <w:pPr>
      <w:spacing w:after="120" w:line="240" w:lineRule="auto"/>
      <w:jc w:val="both"/>
    </w:pPr>
    <w:rPr>
      <w:rFonts w:ascii="Arial" w:hAnsi="Arial" w:cs="Arial"/>
      <w:lang w:val="en-GB"/>
    </w:rPr>
  </w:style>
  <w:style w:type="character" w:customStyle="1" w:styleId="BodyTextChar">
    <w:name w:val="Body Text Char"/>
    <w:basedOn w:val="DefaultParagraphFont"/>
    <w:link w:val="BodyText"/>
    <w:uiPriority w:val="99"/>
    <w:locked/>
    <w:rsid w:val="005D6E38"/>
    <w:rPr>
      <w:rFonts w:ascii="Arial" w:hAnsi="Arial" w:cs="Arial"/>
      <w:lang w:val="en-GB"/>
    </w:rPr>
  </w:style>
  <w:style w:type="paragraph" w:customStyle="1" w:styleId="Tableformat">
    <w:name w:val="Table_format"/>
    <w:basedOn w:val="Normal"/>
    <w:uiPriority w:val="99"/>
    <w:rsid w:val="000B7055"/>
    <w:pPr>
      <w:keepNext/>
      <w:keepLines/>
      <w:widowControl w:val="0"/>
      <w:spacing w:after="0" w:line="240" w:lineRule="auto"/>
    </w:pPr>
    <w:rPr>
      <w:rFonts w:ascii="Arial" w:hAnsi="Arial" w:cs="Arial"/>
      <w:sz w:val="20"/>
      <w:szCs w:val="20"/>
      <w:lang w:val="en-GB"/>
    </w:rPr>
  </w:style>
  <w:style w:type="paragraph" w:customStyle="1" w:styleId="Tablefootnote">
    <w:name w:val="Table_footnote"/>
    <w:basedOn w:val="Tableformat"/>
    <w:uiPriority w:val="99"/>
    <w:rsid w:val="000B7055"/>
    <w:pPr>
      <w:ind w:left="499" w:hanging="499"/>
    </w:pPr>
    <w:rPr>
      <w:sz w:val="18"/>
      <w:szCs w:val="18"/>
    </w:rPr>
  </w:style>
  <w:style w:type="paragraph" w:customStyle="1" w:styleId="C-Heading2non-numbered">
    <w:name w:val="C-Heading 2 (non-numbered)"/>
    <w:basedOn w:val="Normal"/>
    <w:next w:val="C-BodyText"/>
    <w:uiPriority w:val="99"/>
    <w:rsid w:val="007B7667"/>
    <w:pPr>
      <w:keepNext/>
      <w:tabs>
        <w:tab w:val="left" w:pos="1080"/>
      </w:tabs>
      <w:spacing w:before="240" w:after="0" w:line="240" w:lineRule="auto"/>
      <w:ind w:left="1080" w:hanging="1080"/>
      <w:outlineLvl w:val="1"/>
    </w:pPr>
    <w:rPr>
      <w:rFonts w:ascii="Times New Roman" w:eastAsia="Times New Roman" w:hAnsi="Times New Roman" w:cs="Times New Roman"/>
      <w:b/>
      <w:bCs/>
      <w:sz w:val="28"/>
      <w:szCs w:val="28"/>
      <w:lang w:val="en-US"/>
    </w:rPr>
  </w:style>
  <w:style w:type="paragraph" w:styleId="NormalWeb">
    <w:name w:val="Normal (Web)"/>
    <w:basedOn w:val="Normal"/>
    <w:uiPriority w:val="99"/>
    <w:semiHidden/>
    <w:rsid w:val="00AB2787"/>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3E591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F6C25"/>
    <w:rPr>
      <w:color w:val="0000FF"/>
      <w:u w:val="single"/>
    </w:rPr>
  </w:style>
  <w:style w:type="paragraph" w:styleId="Header">
    <w:name w:val="header"/>
    <w:basedOn w:val="Normal"/>
    <w:link w:val="HeaderChar"/>
    <w:uiPriority w:val="99"/>
    <w:rsid w:val="00AD064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D0640"/>
    <w:rPr>
      <w:lang w:val="en-AU" w:eastAsia="en-US"/>
    </w:rPr>
  </w:style>
  <w:style w:type="paragraph" w:styleId="Footer">
    <w:name w:val="footer"/>
    <w:basedOn w:val="Normal"/>
    <w:link w:val="FooterChar"/>
    <w:uiPriority w:val="99"/>
    <w:rsid w:val="00AD064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D0640"/>
    <w:rPr>
      <w:lang w:val="en-AU" w:eastAsia="en-US"/>
    </w:rPr>
  </w:style>
  <w:style w:type="paragraph" w:styleId="Revision">
    <w:name w:val="Revision"/>
    <w:hidden/>
    <w:uiPriority w:val="99"/>
    <w:semiHidden/>
    <w:rsid w:val="00E56C06"/>
    <w:rPr>
      <w:rFonts w:cs="Calibri"/>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26"/>
    <w:pPr>
      <w:spacing w:after="200" w:line="276" w:lineRule="auto"/>
    </w:pPr>
    <w:rPr>
      <w:rFonts w:cs="Calibri"/>
      <w:lang w:val="en-AU" w:eastAsia="en-US"/>
    </w:rPr>
  </w:style>
  <w:style w:type="paragraph" w:styleId="Heading1">
    <w:name w:val="heading 1"/>
    <w:basedOn w:val="Normal"/>
    <w:next w:val="Normal"/>
    <w:link w:val="Heading1Char"/>
    <w:uiPriority w:val="99"/>
    <w:qFormat/>
    <w:rsid w:val="009A671C"/>
    <w:pPr>
      <w:keepNext/>
      <w:keepLines/>
      <w:spacing w:before="480" w:after="0"/>
      <w:outlineLvl w:val="0"/>
    </w:pPr>
    <w:rPr>
      <w:rFonts w:ascii="Cambria" w:eastAsia="Times New Roman" w:hAnsi="Cambria" w:cs="Cambria"/>
      <w:b/>
      <w:bCs/>
      <w:color w:val="365F91"/>
      <w:sz w:val="28"/>
      <w:szCs w:val="28"/>
    </w:rPr>
  </w:style>
  <w:style w:type="paragraph" w:styleId="Heading8">
    <w:name w:val="heading 8"/>
    <w:basedOn w:val="Normal"/>
    <w:next w:val="Normal"/>
    <w:link w:val="Heading8Char"/>
    <w:uiPriority w:val="99"/>
    <w:qFormat/>
    <w:rsid w:val="000B7055"/>
    <w:pPr>
      <w:keepNext/>
      <w:keepLines/>
      <w:spacing w:before="200" w:after="0"/>
      <w:outlineLvl w:val="7"/>
    </w:pPr>
    <w:rPr>
      <w:rFonts w:ascii="Cambria" w:eastAsia="Times New Roman" w:hAnsi="Cambria" w:cs="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671C"/>
    <w:rPr>
      <w:rFonts w:ascii="Cambria" w:hAnsi="Cambria" w:cs="Cambria"/>
      <w:b/>
      <w:bCs/>
      <w:color w:val="365F91"/>
      <w:sz w:val="28"/>
      <w:szCs w:val="28"/>
    </w:rPr>
  </w:style>
  <w:style w:type="character" w:customStyle="1" w:styleId="Heading8Char">
    <w:name w:val="Heading 8 Char"/>
    <w:basedOn w:val="DefaultParagraphFont"/>
    <w:link w:val="Heading8"/>
    <w:uiPriority w:val="99"/>
    <w:locked/>
    <w:rsid w:val="000B7055"/>
    <w:rPr>
      <w:rFonts w:ascii="Cambria" w:hAnsi="Cambria" w:cs="Cambria"/>
      <w:color w:val="404040"/>
      <w:sz w:val="20"/>
      <w:szCs w:val="20"/>
    </w:rPr>
  </w:style>
  <w:style w:type="paragraph" w:styleId="BalloonText">
    <w:name w:val="Balloon Text"/>
    <w:basedOn w:val="Normal"/>
    <w:link w:val="BalloonTextChar"/>
    <w:uiPriority w:val="99"/>
    <w:semiHidden/>
    <w:rsid w:val="00F2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F18"/>
    <w:rPr>
      <w:rFonts w:ascii="Tahoma" w:hAnsi="Tahoma" w:cs="Tahoma"/>
      <w:sz w:val="16"/>
      <w:szCs w:val="16"/>
    </w:rPr>
  </w:style>
  <w:style w:type="paragraph" w:customStyle="1" w:styleId="Default">
    <w:name w:val="Default"/>
    <w:uiPriority w:val="99"/>
    <w:rsid w:val="00F25F18"/>
    <w:pPr>
      <w:autoSpaceDE w:val="0"/>
      <w:autoSpaceDN w:val="0"/>
      <w:adjustRightInd w:val="0"/>
    </w:pPr>
    <w:rPr>
      <w:rFonts w:ascii="Arial" w:hAnsi="Arial" w:cs="Arial"/>
      <w:color w:val="000000"/>
      <w:sz w:val="24"/>
      <w:szCs w:val="24"/>
      <w:lang w:val="en-AU" w:eastAsia="en-US"/>
    </w:rPr>
  </w:style>
  <w:style w:type="paragraph" w:customStyle="1" w:styleId="C-BodyText">
    <w:name w:val="C-Body Text"/>
    <w:uiPriority w:val="99"/>
    <w:rsid w:val="006941D4"/>
    <w:pPr>
      <w:spacing w:before="120" w:after="120" w:line="280" w:lineRule="atLeast"/>
    </w:pPr>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rsid w:val="00BE02ED"/>
    <w:rPr>
      <w:sz w:val="16"/>
      <w:szCs w:val="16"/>
    </w:rPr>
  </w:style>
  <w:style w:type="paragraph" w:styleId="CommentText">
    <w:name w:val="annotation text"/>
    <w:basedOn w:val="Normal"/>
    <w:link w:val="CommentTextChar"/>
    <w:uiPriority w:val="99"/>
    <w:semiHidden/>
    <w:rsid w:val="00BE02E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E02ED"/>
    <w:rPr>
      <w:sz w:val="20"/>
      <w:szCs w:val="20"/>
    </w:rPr>
  </w:style>
  <w:style w:type="paragraph" w:styleId="CommentSubject">
    <w:name w:val="annotation subject"/>
    <w:basedOn w:val="CommentText"/>
    <w:next w:val="CommentText"/>
    <w:link w:val="CommentSubjectChar"/>
    <w:uiPriority w:val="99"/>
    <w:semiHidden/>
    <w:rsid w:val="00BE02ED"/>
    <w:rPr>
      <w:b/>
      <w:bCs/>
    </w:rPr>
  </w:style>
  <w:style w:type="character" w:customStyle="1" w:styleId="CommentSubjectChar">
    <w:name w:val="Comment Subject Char"/>
    <w:basedOn w:val="CommentTextChar"/>
    <w:link w:val="CommentSubject"/>
    <w:uiPriority w:val="99"/>
    <w:semiHidden/>
    <w:locked/>
    <w:rsid w:val="00BE02ED"/>
    <w:rPr>
      <w:b/>
      <w:bCs/>
      <w:sz w:val="20"/>
      <w:szCs w:val="20"/>
    </w:rPr>
  </w:style>
  <w:style w:type="paragraph" w:styleId="ListParagraph">
    <w:name w:val="List Paragraph"/>
    <w:basedOn w:val="Normal"/>
    <w:uiPriority w:val="99"/>
    <w:qFormat/>
    <w:rsid w:val="003C00D8"/>
    <w:pPr>
      <w:ind w:left="720"/>
    </w:pPr>
  </w:style>
  <w:style w:type="paragraph" w:styleId="BodyText">
    <w:name w:val="Body Text"/>
    <w:basedOn w:val="Normal"/>
    <w:link w:val="BodyTextChar"/>
    <w:uiPriority w:val="99"/>
    <w:rsid w:val="005D6E38"/>
    <w:pPr>
      <w:spacing w:after="120" w:line="240" w:lineRule="auto"/>
      <w:jc w:val="both"/>
    </w:pPr>
    <w:rPr>
      <w:rFonts w:ascii="Arial" w:hAnsi="Arial" w:cs="Arial"/>
      <w:lang w:val="en-GB"/>
    </w:rPr>
  </w:style>
  <w:style w:type="character" w:customStyle="1" w:styleId="BodyTextChar">
    <w:name w:val="Body Text Char"/>
    <w:basedOn w:val="DefaultParagraphFont"/>
    <w:link w:val="BodyText"/>
    <w:uiPriority w:val="99"/>
    <w:locked/>
    <w:rsid w:val="005D6E38"/>
    <w:rPr>
      <w:rFonts w:ascii="Arial" w:hAnsi="Arial" w:cs="Arial"/>
      <w:lang w:val="en-GB"/>
    </w:rPr>
  </w:style>
  <w:style w:type="paragraph" w:customStyle="1" w:styleId="Tableformat">
    <w:name w:val="Table_format"/>
    <w:basedOn w:val="Normal"/>
    <w:uiPriority w:val="99"/>
    <w:rsid w:val="000B7055"/>
    <w:pPr>
      <w:keepNext/>
      <w:keepLines/>
      <w:widowControl w:val="0"/>
      <w:spacing w:after="0" w:line="240" w:lineRule="auto"/>
    </w:pPr>
    <w:rPr>
      <w:rFonts w:ascii="Arial" w:hAnsi="Arial" w:cs="Arial"/>
      <w:sz w:val="20"/>
      <w:szCs w:val="20"/>
      <w:lang w:val="en-GB"/>
    </w:rPr>
  </w:style>
  <w:style w:type="paragraph" w:customStyle="1" w:styleId="Tablefootnote">
    <w:name w:val="Table_footnote"/>
    <w:basedOn w:val="Tableformat"/>
    <w:uiPriority w:val="99"/>
    <w:rsid w:val="000B7055"/>
    <w:pPr>
      <w:ind w:left="499" w:hanging="499"/>
    </w:pPr>
    <w:rPr>
      <w:sz w:val="18"/>
      <w:szCs w:val="18"/>
    </w:rPr>
  </w:style>
  <w:style w:type="paragraph" w:customStyle="1" w:styleId="C-Heading2non-numbered">
    <w:name w:val="C-Heading 2 (non-numbered)"/>
    <w:basedOn w:val="Normal"/>
    <w:next w:val="C-BodyText"/>
    <w:uiPriority w:val="99"/>
    <w:rsid w:val="007B7667"/>
    <w:pPr>
      <w:keepNext/>
      <w:tabs>
        <w:tab w:val="left" w:pos="1080"/>
      </w:tabs>
      <w:spacing w:before="240" w:after="0" w:line="240" w:lineRule="auto"/>
      <w:ind w:left="1080" w:hanging="1080"/>
      <w:outlineLvl w:val="1"/>
    </w:pPr>
    <w:rPr>
      <w:rFonts w:ascii="Times New Roman" w:eastAsia="Times New Roman" w:hAnsi="Times New Roman" w:cs="Times New Roman"/>
      <w:b/>
      <w:bCs/>
      <w:sz w:val="28"/>
      <w:szCs w:val="28"/>
      <w:lang w:val="en-US"/>
    </w:rPr>
  </w:style>
  <w:style w:type="paragraph" w:styleId="NormalWeb">
    <w:name w:val="Normal (Web)"/>
    <w:basedOn w:val="Normal"/>
    <w:uiPriority w:val="99"/>
    <w:semiHidden/>
    <w:rsid w:val="00AB2787"/>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3E591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F6C25"/>
    <w:rPr>
      <w:color w:val="0000FF"/>
      <w:u w:val="single"/>
    </w:rPr>
  </w:style>
  <w:style w:type="paragraph" w:styleId="Header">
    <w:name w:val="header"/>
    <w:basedOn w:val="Normal"/>
    <w:link w:val="HeaderChar"/>
    <w:uiPriority w:val="99"/>
    <w:rsid w:val="00AD064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D0640"/>
    <w:rPr>
      <w:lang w:val="en-AU" w:eastAsia="en-US"/>
    </w:rPr>
  </w:style>
  <w:style w:type="paragraph" w:styleId="Footer">
    <w:name w:val="footer"/>
    <w:basedOn w:val="Normal"/>
    <w:link w:val="FooterChar"/>
    <w:uiPriority w:val="99"/>
    <w:rsid w:val="00AD064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D0640"/>
    <w:rPr>
      <w:lang w:val="en-AU" w:eastAsia="en-US"/>
    </w:rPr>
  </w:style>
  <w:style w:type="paragraph" w:styleId="Revision">
    <w:name w:val="Revision"/>
    <w:hidden/>
    <w:uiPriority w:val="99"/>
    <w:semiHidden/>
    <w:rsid w:val="00E56C06"/>
    <w:rPr>
      <w:rFonts w:cs="Calibri"/>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7014">
      <w:marLeft w:val="0"/>
      <w:marRight w:val="0"/>
      <w:marTop w:val="0"/>
      <w:marBottom w:val="0"/>
      <w:divBdr>
        <w:top w:val="none" w:sz="0" w:space="0" w:color="auto"/>
        <w:left w:val="none" w:sz="0" w:space="0" w:color="auto"/>
        <w:bottom w:val="none" w:sz="0" w:space="0" w:color="auto"/>
        <w:right w:val="none" w:sz="0" w:space="0" w:color="auto"/>
      </w:divBdr>
    </w:div>
    <w:div w:id="187527015">
      <w:marLeft w:val="0"/>
      <w:marRight w:val="0"/>
      <w:marTop w:val="0"/>
      <w:marBottom w:val="0"/>
      <w:divBdr>
        <w:top w:val="none" w:sz="0" w:space="0" w:color="auto"/>
        <w:left w:val="none" w:sz="0" w:space="0" w:color="auto"/>
        <w:bottom w:val="none" w:sz="0" w:space="0" w:color="auto"/>
        <w:right w:val="none" w:sz="0" w:space="0" w:color="auto"/>
      </w:divBdr>
      <w:divsChild>
        <w:div w:id="187527018">
          <w:marLeft w:val="0"/>
          <w:marRight w:val="0"/>
          <w:marTop w:val="0"/>
          <w:marBottom w:val="0"/>
          <w:divBdr>
            <w:top w:val="none" w:sz="0" w:space="0" w:color="auto"/>
            <w:left w:val="none" w:sz="0" w:space="0" w:color="auto"/>
            <w:bottom w:val="none" w:sz="0" w:space="0" w:color="auto"/>
            <w:right w:val="none" w:sz="0" w:space="0" w:color="auto"/>
          </w:divBdr>
          <w:divsChild>
            <w:div w:id="1875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7016">
      <w:marLeft w:val="0"/>
      <w:marRight w:val="0"/>
      <w:marTop w:val="0"/>
      <w:marBottom w:val="0"/>
      <w:divBdr>
        <w:top w:val="none" w:sz="0" w:space="0" w:color="auto"/>
        <w:left w:val="none" w:sz="0" w:space="0" w:color="auto"/>
        <w:bottom w:val="none" w:sz="0" w:space="0" w:color="auto"/>
        <w:right w:val="none" w:sz="0" w:space="0" w:color="auto"/>
      </w:divBdr>
    </w:div>
    <w:div w:id="187527017">
      <w:marLeft w:val="0"/>
      <w:marRight w:val="0"/>
      <w:marTop w:val="0"/>
      <w:marBottom w:val="0"/>
      <w:divBdr>
        <w:top w:val="none" w:sz="0" w:space="0" w:color="auto"/>
        <w:left w:val="none" w:sz="0" w:space="0" w:color="auto"/>
        <w:bottom w:val="none" w:sz="0" w:space="0" w:color="auto"/>
        <w:right w:val="none" w:sz="0" w:space="0" w:color="auto"/>
      </w:divBdr>
    </w:div>
    <w:div w:id="187527021">
      <w:marLeft w:val="0"/>
      <w:marRight w:val="0"/>
      <w:marTop w:val="0"/>
      <w:marBottom w:val="0"/>
      <w:divBdr>
        <w:top w:val="none" w:sz="0" w:space="0" w:color="auto"/>
        <w:left w:val="none" w:sz="0" w:space="0" w:color="auto"/>
        <w:bottom w:val="none" w:sz="0" w:space="0" w:color="auto"/>
        <w:right w:val="none" w:sz="0" w:space="0" w:color="auto"/>
      </w:divBdr>
      <w:divsChild>
        <w:div w:id="187527010">
          <w:marLeft w:val="0"/>
          <w:marRight w:val="0"/>
          <w:marTop w:val="0"/>
          <w:marBottom w:val="0"/>
          <w:divBdr>
            <w:top w:val="none" w:sz="0" w:space="0" w:color="auto"/>
            <w:left w:val="none" w:sz="0" w:space="0" w:color="auto"/>
            <w:bottom w:val="none" w:sz="0" w:space="0" w:color="auto"/>
            <w:right w:val="none" w:sz="0" w:space="0" w:color="auto"/>
          </w:divBdr>
          <w:divsChild>
            <w:div w:id="187527013">
              <w:marLeft w:val="0"/>
              <w:marRight w:val="0"/>
              <w:marTop w:val="0"/>
              <w:marBottom w:val="0"/>
              <w:divBdr>
                <w:top w:val="none" w:sz="0" w:space="0" w:color="auto"/>
                <w:left w:val="none" w:sz="0" w:space="0" w:color="auto"/>
                <w:bottom w:val="none" w:sz="0" w:space="0" w:color="auto"/>
                <w:right w:val="none" w:sz="0" w:space="0" w:color="auto"/>
              </w:divBdr>
              <w:divsChild>
                <w:div w:id="187527019">
                  <w:marLeft w:val="0"/>
                  <w:marRight w:val="0"/>
                  <w:marTop w:val="0"/>
                  <w:marBottom w:val="0"/>
                  <w:divBdr>
                    <w:top w:val="none" w:sz="0" w:space="0" w:color="auto"/>
                    <w:left w:val="none" w:sz="0" w:space="0" w:color="auto"/>
                    <w:bottom w:val="none" w:sz="0" w:space="0" w:color="auto"/>
                    <w:right w:val="none" w:sz="0" w:space="0" w:color="auto"/>
                  </w:divBdr>
                  <w:divsChild>
                    <w:div w:id="187527020">
                      <w:marLeft w:val="0"/>
                      <w:marRight w:val="0"/>
                      <w:marTop w:val="0"/>
                      <w:marBottom w:val="0"/>
                      <w:divBdr>
                        <w:top w:val="none" w:sz="0" w:space="0" w:color="auto"/>
                        <w:left w:val="none" w:sz="0" w:space="0" w:color="auto"/>
                        <w:bottom w:val="none" w:sz="0" w:space="0" w:color="auto"/>
                        <w:right w:val="none" w:sz="0" w:space="0" w:color="auto"/>
                      </w:divBdr>
                      <w:divsChild>
                        <w:div w:id="1875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7022">
      <w:marLeft w:val="0"/>
      <w:marRight w:val="0"/>
      <w:marTop w:val="0"/>
      <w:marBottom w:val="0"/>
      <w:divBdr>
        <w:top w:val="none" w:sz="0" w:space="0" w:color="auto"/>
        <w:left w:val="none" w:sz="0" w:space="0" w:color="auto"/>
        <w:bottom w:val="none" w:sz="0" w:space="0" w:color="auto"/>
        <w:right w:val="none" w:sz="0" w:space="0" w:color="auto"/>
      </w:divBdr>
    </w:div>
    <w:div w:id="199053865">
      <w:bodyDiv w:val="1"/>
      <w:marLeft w:val="0"/>
      <w:marRight w:val="0"/>
      <w:marTop w:val="0"/>
      <w:marBottom w:val="0"/>
      <w:divBdr>
        <w:top w:val="none" w:sz="0" w:space="0" w:color="auto"/>
        <w:left w:val="none" w:sz="0" w:space="0" w:color="auto"/>
        <w:bottom w:val="none" w:sz="0" w:space="0" w:color="auto"/>
        <w:right w:val="none" w:sz="0" w:space="0" w:color="auto"/>
      </w:divBdr>
    </w:div>
    <w:div w:id="574710210">
      <w:bodyDiv w:val="1"/>
      <w:marLeft w:val="0"/>
      <w:marRight w:val="0"/>
      <w:marTop w:val="0"/>
      <w:marBottom w:val="0"/>
      <w:divBdr>
        <w:top w:val="none" w:sz="0" w:space="0" w:color="auto"/>
        <w:left w:val="none" w:sz="0" w:space="0" w:color="auto"/>
        <w:bottom w:val="none" w:sz="0" w:space="0" w:color="auto"/>
        <w:right w:val="none" w:sz="0" w:space="0" w:color="auto"/>
      </w:divBdr>
    </w:div>
    <w:div w:id="21444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2C57-112D-4D31-AF60-5F5FD470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10126</Words>
  <Characters>59668</Characters>
  <Application>Microsoft Office Word</Application>
  <DocSecurity>0</DocSecurity>
  <Lines>497</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fluticasone propionate and azelastine hydrochloride</vt:lpstr>
      <vt:lpstr>DYMISTA®</vt:lpstr>
    </vt:vector>
  </TitlesOfParts>
  <Company>Meda Pharmaceuticals</Company>
  <LinksUpToDate>false</LinksUpToDate>
  <CharactersWithSpaces>69655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fluticasone propionate and azelastine hydrochloride</dc:title>
  <dc:subject>prescription medicine regulation</dc:subject>
  <dc:creator>Meda Pharmaceuticals</dc:creator>
  <cp:keywords>product, information, pi, prescription, medicine, fluticasone, propionate, azelastine, hydrochloride, dylastine, dymista, meda</cp:keywords>
  <cp:lastModifiedBy>Sheppard, Fran</cp:lastModifiedBy>
  <cp:revision>10</cp:revision>
  <cp:lastPrinted>2013-11-16T03:01:00Z</cp:lastPrinted>
  <dcterms:created xsi:type="dcterms:W3CDTF">2014-07-24T05:57:00Z</dcterms:created>
  <dcterms:modified xsi:type="dcterms:W3CDTF">2014-09-01T06:16:00Z</dcterms:modified>
</cp:coreProperties>
</file>