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50" w:rsidRPr="00692B72" w:rsidRDefault="000D1E50" w:rsidP="00017E54">
      <w:pPr>
        <w:pStyle w:val="Default"/>
        <w:rPr>
          <w:rFonts w:ascii="Calibri" w:hAnsi="Calibri"/>
          <w:b/>
          <w:bCs/>
          <w:sz w:val="36"/>
          <w:szCs w:val="22"/>
        </w:rPr>
      </w:pPr>
      <w:r w:rsidRPr="00692B72">
        <w:rPr>
          <w:rFonts w:ascii="Calibri" w:hAnsi="Calibri"/>
          <w:b/>
          <w:bCs/>
          <w:sz w:val="36"/>
          <w:szCs w:val="22"/>
        </w:rPr>
        <w:t>PRODUCT INFORMATION</w:t>
      </w:r>
    </w:p>
    <w:p w:rsidR="000D1E50" w:rsidRPr="00692B72" w:rsidRDefault="000D1E50" w:rsidP="000D1E50">
      <w:pPr>
        <w:pStyle w:val="Default"/>
        <w:jc w:val="center"/>
        <w:rPr>
          <w:rFonts w:ascii="Calibri" w:hAnsi="Calibri"/>
          <w:sz w:val="36"/>
          <w:szCs w:val="22"/>
        </w:rPr>
      </w:pPr>
    </w:p>
    <w:p w:rsidR="000D1E50" w:rsidRPr="00692B72" w:rsidRDefault="000D1E50" w:rsidP="00017E54">
      <w:pPr>
        <w:pStyle w:val="Default"/>
        <w:rPr>
          <w:rFonts w:ascii="Calibri" w:hAnsi="Calibri"/>
          <w:sz w:val="32"/>
          <w:szCs w:val="22"/>
        </w:rPr>
      </w:pPr>
      <w:r w:rsidRPr="00692B72">
        <w:rPr>
          <w:rFonts w:ascii="Calibri" w:hAnsi="Calibri"/>
          <w:b/>
          <w:bCs/>
          <w:sz w:val="32"/>
          <w:szCs w:val="22"/>
        </w:rPr>
        <w:t>BEMFOLA</w:t>
      </w:r>
    </w:p>
    <w:p w:rsidR="000D1E50" w:rsidRPr="00692B72" w:rsidRDefault="000D1E50" w:rsidP="00017E54">
      <w:pPr>
        <w:pStyle w:val="Default"/>
        <w:rPr>
          <w:rFonts w:ascii="Calibri" w:hAnsi="Calibri"/>
          <w:sz w:val="28"/>
          <w:szCs w:val="22"/>
        </w:rPr>
      </w:pPr>
      <w:r w:rsidRPr="00692B72">
        <w:rPr>
          <w:rFonts w:ascii="Calibri" w:hAnsi="Calibri"/>
          <w:b/>
          <w:bCs/>
          <w:sz w:val="28"/>
          <w:szCs w:val="22"/>
        </w:rPr>
        <w:t>Recombinant human follicle stimulating hormone (</w:t>
      </w:r>
      <w:proofErr w:type="spellStart"/>
      <w:r w:rsidRPr="00692B72">
        <w:rPr>
          <w:rFonts w:ascii="Calibri" w:hAnsi="Calibri"/>
          <w:b/>
          <w:bCs/>
          <w:sz w:val="28"/>
          <w:szCs w:val="22"/>
        </w:rPr>
        <w:t>follitropin</w:t>
      </w:r>
      <w:proofErr w:type="spellEnd"/>
      <w:r w:rsidRPr="00692B72">
        <w:rPr>
          <w:rFonts w:ascii="Calibri" w:hAnsi="Calibri"/>
          <w:b/>
          <w:bCs/>
          <w:sz w:val="28"/>
          <w:szCs w:val="22"/>
        </w:rPr>
        <w:t xml:space="preserve"> alfa (</w:t>
      </w:r>
      <w:proofErr w:type="spellStart"/>
      <w:r w:rsidRPr="00692B72">
        <w:rPr>
          <w:rFonts w:ascii="Calibri" w:hAnsi="Calibri"/>
          <w:b/>
          <w:bCs/>
          <w:sz w:val="28"/>
          <w:szCs w:val="22"/>
        </w:rPr>
        <w:t>rch</w:t>
      </w:r>
      <w:proofErr w:type="spellEnd"/>
      <w:r w:rsidRPr="00692B72">
        <w:rPr>
          <w:rFonts w:ascii="Calibri" w:hAnsi="Calibri"/>
          <w:b/>
          <w:bCs/>
          <w:sz w:val="28"/>
          <w:szCs w:val="22"/>
        </w:rPr>
        <w:t>))</w:t>
      </w:r>
    </w:p>
    <w:p w:rsidR="000D1E50" w:rsidRPr="00692B72" w:rsidRDefault="000D1E50" w:rsidP="000D1E50">
      <w:pPr>
        <w:pStyle w:val="Default"/>
        <w:rPr>
          <w:rFonts w:ascii="Calibri" w:hAnsi="Calibri"/>
          <w:b/>
          <w:bCs/>
          <w:sz w:val="22"/>
          <w:szCs w:val="22"/>
        </w:rPr>
      </w:pPr>
    </w:p>
    <w:p w:rsidR="000D1E50" w:rsidRPr="00692B72" w:rsidRDefault="000D1E50" w:rsidP="000D1E50">
      <w:pPr>
        <w:pStyle w:val="Default"/>
        <w:rPr>
          <w:rFonts w:ascii="Calibri" w:hAnsi="Calibri"/>
          <w:b/>
          <w:bCs/>
          <w:sz w:val="22"/>
          <w:szCs w:val="22"/>
        </w:rPr>
      </w:pPr>
    </w:p>
    <w:p w:rsidR="000D1E50" w:rsidRPr="00692B72" w:rsidRDefault="000D1E50" w:rsidP="00017E54">
      <w:pPr>
        <w:pStyle w:val="Default"/>
        <w:rPr>
          <w:rFonts w:ascii="Calibri" w:hAnsi="Calibri"/>
          <w:b/>
          <w:bCs/>
          <w:sz w:val="28"/>
          <w:szCs w:val="22"/>
          <w:u w:val="single"/>
        </w:rPr>
      </w:pPr>
      <w:r w:rsidRPr="00692B72">
        <w:rPr>
          <w:rFonts w:ascii="Calibri" w:hAnsi="Calibri"/>
          <w:b/>
          <w:bCs/>
          <w:sz w:val="28"/>
          <w:szCs w:val="22"/>
          <w:u w:val="single"/>
        </w:rPr>
        <w:t>NAME OF THE MEDICINE</w:t>
      </w:r>
    </w:p>
    <w:p w:rsidR="000D1E50" w:rsidRPr="00692B72" w:rsidRDefault="000D1E50" w:rsidP="000D1E50">
      <w:pPr>
        <w:pStyle w:val="Default"/>
        <w:jc w:val="center"/>
        <w:rPr>
          <w:rFonts w:ascii="Calibri" w:hAnsi="Calibri"/>
          <w:sz w:val="16"/>
          <w:szCs w:val="16"/>
          <w:u w:val="single"/>
        </w:rPr>
      </w:pPr>
    </w:p>
    <w:p w:rsidR="00017E54" w:rsidRPr="00692B72" w:rsidRDefault="000D1E50" w:rsidP="000D1E50">
      <w:pPr>
        <w:pStyle w:val="Default"/>
        <w:rPr>
          <w:rFonts w:ascii="Calibri" w:hAnsi="Calibri"/>
          <w:sz w:val="22"/>
          <w:szCs w:val="22"/>
        </w:rPr>
      </w:pPr>
      <w:r w:rsidRPr="00692B72">
        <w:rPr>
          <w:rFonts w:ascii="Calibri" w:hAnsi="Calibri"/>
          <w:sz w:val="22"/>
          <w:szCs w:val="22"/>
        </w:rPr>
        <w:t>BEMFOLA contains recombinant human follicle stimulating hormone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w:t>
      </w:r>
      <w:proofErr w:type="spellStart"/>
      <w:r w:rsidRPr="00692B72">
        <w:rPr>
          <w:rFonts w:ascii="Calibri" w:hAnsi="Calibri"/>
          <w:sz w:val="22"/>
          <w:szCs w:val="22"/>
        </w:rPr>
        <w:t>rch</w:t>
      </w:r>
      <w:proofErr w:type="spellEnd"/>
      <w:r w:rsidRPr="00692B72">
        <w:rPr>
          <w:rFonts w:ascii="Calibri" w:hAnsi="Calibri"/>
          <w:sz w:val="22"/>
          <w:szCs w:val="22"/>
        </w:rPr>
        <w:t xml:space="preserve">)). </w:t>
      </w:r>
    </w:p>
    <w:p w:rsidR="00017E54" w:rsidRDefault="00017E54" w:rsidP="000D1E50">
      <w:pPr>
        <w:pStyle w:val="Default"/>
        <w:rPr>
          <w:rFonts w:ascii="Calibri" w:hAnsi="Calibri"/>
          <w:sz w:val="22"/>
          <w:szCs w:val="22"/>
        </w:rPr>
      </w:pPr>
    </w:p>
    <w:p w:rsidR="00BC5A9F" w:rsidRPr="00BC5A9F" w:rsidRDefault="00BC5A9F" w:rsidP="00BC5A9F">
      <w:pPr>
        <w:spacing w:after="0" w:line="240" w:lineRule="auto"/>
        <w:jc w:val="both"/>
        <w:rPr>
          <w:rFonts w:asciiTheme="minorHAnsi" w:eastAsiaTheme="minorHAnsi" w:hAnsiTheme="minorHAnsi" w:cstheme="minorBidi"/>
          <w:iCs/>
          <w:lang w:val="en-US"/>
        </w:rPr>
      </w:pPr>
      <w:r w:rsidRPr="00BC5A9F">
        <w:rPr>
          <w:rFonts w:asciiTheme="minorHAnsi" w:eastAsiaTheme="minorHAnsi" w:hAnsiTheme="minorHAnsi" w:cstheme="minorBidi"/>
          <w:iCs/>
          <w:lang w:val="en-US"/>
        </w:rPr>
        <w:t>The 92-amino-acid FSH alpha subunit in humans has the following sequence:</w:t>
      </w:r>
    </w:p>
    <w:p w:rsidR="00BC5A9F" w:rsidRPr="00BC5A9F" w:rsidRDefault="00BC5A9F" w:rsidP="00BC5A9F">
      <w:pPr>
        <w:spacing w:after="0" w:line="240" w:lineRule="auto"/>
        <w:jc w:val="both"/>
        <w:rPr>
          <w:rFonts w:asciiTheme="minorHAnsi" w:eastAsiaTheme="minorHAnsi" w:hAnsiTheme="minorHAnsi" w:cstheme="minorBidi"/>
          <w:iCs/>
          <w:lang w:val="en"/>
        </w:rPr>
      </w:pPr>
      <w:r w:rsidRPr="00BC5A9F">
        <w:rPr>
          <w:rFonts w:asciiTheme="minorHAnsi" w:eastAsiaTheme="minorHAnsi" w:hAnsiTheme="minorHAnsi" w:cstheme="minorBidi"/>
          <w:iCs/>
          <w:lang w:val="en"/>
        </w:rPr>
        <w:t>NH</w:t>
      </w:r>
      <w:r w:rsidRPr="00BC5A9F">
        <w:rPr>
          <w:rFonts w:asciiTheme="minorHAnsi" w:eastAsiaTheme="minorHAnsi" w:hAnsiTheme="minorHAnsi" w:cstheme="minorBidi"/>
          <w:iCs/>
          <w:vertAlign w:val="subscript"/>
          <w:lang w:val="en"/>
        </w:rPr>
        <w:t>2</w:t>
      </w:r>
      <w:r w:rsidRPr="00BC5A9F">
        <w:rPr>
          <w:rFonts w:asciiTheme="minorHAnsi" w:eastAsiaTheme="minorHAnsi" w:hAnsiTheme="minorHAnsi" w:cstheme="minorBidi"/>
          <w:iCs/>
          <w:lang w:val="en"/>
        </w:rPr>
        <w:t xml:space="preserve"> – Ala – Pro – Asp – Val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Asn</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Ala – Pro – Ile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Met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Ala – Tyr – Pro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Lys – Lys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Met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b/>
          <w:iCs/>
          <w:lang w:val="en"/>
        </w:rPr>
        <w:t>Asn</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Val – Ala – Lys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Asn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Val – Met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Lys – Val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b/>
          <w:iCs/>
          <w:lang w:val="en"/>
        </w:rPr>
        <w:t>Asn</w:t>
      </w:r>
      <w:proofErr w:type="spellEnd"/>
      <w:r w:rsidRPr="00BC5A9F">
        <w:rPr>
          <w:rFonts w:asciiTheme="minorHAnsi" w:eastAsiaTheme="minorHAnsi" w:hAnsiTheme="minorHAnsi" w:cstheme="minorBidi"/>
          <w:iCs/>
          <w:lang w:val="en"/>
        </w:rPr>
        <w:t xml:space="preserve"> – His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Ala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His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Tyr – Tyr – His – Lys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OH</w:t>
      </w:r>
    </w:p>
    <w:p w:rsidR="00BC5A9F" w:rsidRPr="00BC5A9F" w:rsidRDefault="00BC5A9F" w:rsidP="00BC5A9F">
      <w:pPr>
        <w:spacing w:after="0" w:line="240" w:lineRule="auto"/>
        <w:jc w:val="both"/>
        <w:rPr>
          <w:rFonts w:asciiTheme="minorHAnsi" w:eastAsiaTheme="minorHAnsi" w:hAnsiTheme="minorHAnsi" w:cstheme="minorBidi"/>
          <w:iCs/>
          <w:lang w:val="en-GB"/>
        </w:rPr>
      </w:pPr>
      <w:r w:rsidRPr="00BC5A9F">
        <w:rPr>
          <w:rFonts w:asciiTheme="minorHAnsi" w:eastAsiaTheme="minorHAnsi" w:hAnsiTheme="minorHAnsi" w:cstheme="minorBidi"/>
          <w:iCs/>
          <w:lang w:val="en-GB"/>
        </w:rPr>
        <w:t>Note: The carbohydrate moiety is linked to the asparagine at positions 52 and 78.</w:t>
      </w:r>
    </w:p>
    <w:p w:rsidR="00BC5A9F" w:rsidRDefault="00BC5A9F" w:rsidP="00BC5A9F">
      <w:pPr>
        <w:spacing w:after="0" w:line="240" w:lineRule="auto"/>
        <w:jc w:val="both"/>
        <w:rPr>
          <w:rFonts w:asciiTheme="minorHAnsi" w:eastAsiaTheme="minorHAnsi" w:hAnsiTheme="minorHAnsi" w:cstheme="minorBidi"/>
          <w:iCs/>
          <w:lang w:val="en-US"/>
        </w:rPr>
      </w:pPr>
    </w:p>
    <w:p w:rsidR="00BC5A9F" w:rsidRPr="00BC5A9F" w:rsidRDefault="00BC5A9F" w:rsidP="00BC5A9F">
      <w:pPr>
        <w:spacing w:after="0" w:line="240" w:lineRule="auto"/>
        <w:jc w:val="both"/>
        <w:rPr>
          <w:rFonts w:asciiTheme="minorHAnsi" w:eastAsiaTheme="minorHAnsi" w:hAnsiTheme="minorHAnsi" w:cstheme="minorBidi"/>
          <w:iCs/>
          <w:lang w:val="en-US"/>
        </w:rPr>
      </w:pPr>
      <w:r w:rsidRPr="00BC5A9F">
        <w:rPr>
          <w:rFonts w:asciiTheme="minorHAnsi" w:eastAsiaTheme="minorHAnsi" w:hAnsiTheme="minorHAnsi" w:cstheme="minorBidi"/>
          <w:iCs/>
          <w:lang w:val="en-US"/>
        </w:rPr>
        <w:t>The 111-amino-acid FSH beta subunit in humans has the following sequence:</w:t>
      </w:r>
    </w:p>
    <w:p w:rsidR="00BC5A9F" w:rsidRPr="00BC5A9F" w:rsidRDefault="00BC5A9F" w:rsidP="00BC5A9F">
      <w:pPr>
        <w:spacing w:after="0" w:line="240" w:lineRule="auto"/>
        <w:jc w:val="both"/>
        <w:rPr>
          <w:rFonts w:asciiTheme="minorHAnsi" w:eastAsiaTheme="minorHAnsi" w:hAnsiTheme="minorHAnsi" w:cstheme="minorBidi"/>
          <w:iCs/>
          <w:lang w:val="en"/>
        </w:rPr>
      </w:pPr>
      <w:r w:rsidRPr="00BC5A9F">
        <w:rPr>
          <w:rFonts w:asciiTheme="minorHAnsi" w:eastAsiaTheme="minorHAnsi" w:hAnsiTheme="minorHAnsi" w:cstheme="minorBidi"/>
          <w:iCs/>
          <w:lang w:val="en"/>
        </w:rPr>
        <w:t>NH</w:t>
      </w:r>
      <w:r w:rsidRPr="00BC5A9F">
        <w:rPr>
          <w:rFonts w:asciiTheme="minorHAnsi" w:eastAsiaTheme="minorHAnsi" w:hAnsiTheme="minorHAnsi" w:cstheme="minorBidi"/>
          <w:iCs/>
          <w:vertAlign w:val="subscript"/>
          <w:lang w:val="en"/>
        </w:rPr>
        <w:t>2</w:t>
      </w:r>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Asn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b/>
          <w:iCs/>
          <w:lang w:val="en"/>
        </w:rPr>
        <w:t>Asn</w:t>
      </w:r>
      <w:proofErr w:type="spellEnd"/>
      <w:r w:rsidRPr="00BC5A9F">
        <w:rPr>
          <w:rFonts w:asciiTheme="minorHAnsi" w:eastAsiaTheme="minorHAnsi" w:hAnsiTheme="minorHAnsi" w:cstheme="minorBidi"/>
          <w:iCs/>
          <w:lang w:val="en"/>
        </w:rPr>
        <w:t xml:space="preserve"> – Ile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Ile – Ala – Ile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Ile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Ile – </w:t>
      </w:r>
      <w:proofErr w:type="spellStart"/>
      <w:r w:rsidRPr="00BC5A9F">
        <w:rPr>
          <w:rFonts w:asciiTheme="minorHAnsi" w:eastAsiaTheme="minorHAnsi" w:hAnsiTheme="minorHAnsi" w:cstheme="minorBidi"/>
          <w:b/>
          <w:iCs/>
          <w:lang w:val="en"/>
        </w:rPr>
        <w:t>Asn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Trp</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Ala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Val – Tyr – Lys – Asp – Pro – Ala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Pro – Lys – Ile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Val – Tyr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Val – Pro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Ala – His – His – Ala – Asp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Tyr – Pro – Val – Ala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His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Met – Lys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OH</w:t>
      </w:r>
    </w:p>
    <w:p w:rsidR="00BC5A9F" w:rsidRPr="00BC5A9F" w:rsidRDefault="00BC5A9F" w:rsidP="00BC5A9F">
      <w:pPr>
        <w:spacing w:after="0" w:line="240" w:lineRule="auto"/>
        <w:jc w:val="both"/>
        <w:rPr>
          <w:rFonts w:asciiTheme="minorHAnsi" w:eastAsiaTheme="minorHAnsi" w:hAnsiTheme="minorHAnsi" w:cstheme="minorBidi"/>
          <w:iCs/>
          <w:lang w:val="en-GB"/>
        </w:rPr>
      </w:pPr>
      <w:r w:rsidRPr="00BC5A9F">
        <w:rPr>
          <w:rFonts w:asciiTheme="minorHAnsi" w:eastAsiaTheme="minorHAnsi" w:hAnsiTheme="minorHAnsi" w:cstheme="minorBidi"/>
          <w:iCs/>
          <w:lang w:val="en-GB"/>
        </w:rPr>
        <w:t>Note: The carbohydrate moiety is linked to the asparagine at positions 7 and 24.</w:t>
      </w:r>
    </w:p>
    <w:p w:rsidR="006A7F36" w:rsidRPr="00692B72" w:rsidRDefault="006A7F3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CAS registry number 146479-72-3. </w:t>
      </w:r>
    </w:p>
    <w:p w:rsidR="000D1E50" w:rsidRPr="002955CD" w:rsidRDefault="000D1E50" w:rsidP="000D1E50">
      <w:pPr>
        <w:pStyle w:val="Default"/>
        <w:rPr>
          <w:rFonts w:ascii="Calibri" w:hAnsi="Calibri"/>
          <w:sz w:val="22"/>
          <w:szCs w:val="22"/>
        </w:rPr>
      </w:pPr>
    </w:p>
    <w:p w:rsidR="000D1E50" w:rsidRPr="00692B72" w:rsidRDefault="000D1E50" w:rsidP="00017E54">
      <w:pPr>
        <w:pStyle w:val="Default"/>
        <w:rPr>
          <w:rFonts w:ascii="Calibri" w:hAnsi="Calibri"/>
          <w:b/>
          <w:bCs/>
          <w:sz w:val="28"/>
          <w:szCs w:val="22"/>
          <w:u w:val="single"/>
        </w:rPr>
      </w:pPr>
      <w:r w:rsidRPr="00692B72">
        <w:rPr>
          <w:rFonts w:ascii="Calibri" w:hAnsi="Calibri"/>
          <w:b/>
          <w:bCs/>
          <w:sz w:val="28"/>
          <w:szCs w:val="22"/>
          <w:u w:val="single"/>
        </w:rPr>
        <w:t>DESCRIPTION</w:t>
      </w:r>
    </w:p>
    <w:p w:rsidR="000D1E50" w:rsidRPr="00692B72" w:rsidRDefault="000D1E50" w:rsidP="000D1E50">
      <w:pPr>
        <w:pStyle w:val="Default"/>
        <w:jc w:val="center"/>
        <w:rPr>
          <w:rFonts w:ascii="Calibri" w:hAnsi="Calibri"/>
          <w:sz w:val="16"/>
          <w:szCs w:val="22"/>
          <w:u w:val="single"/>
        </w:rPr>
      </w:pPr>
    </w:p>
    <w:p w:rsidR="006A7F36" w:rsidRDefault="006A7F36" w:rsidP="000D1E50">
      <w:pPr>
        <w:pStyle w:val="Default"/>
        <w:rPr>
          <w:rFonts w:ascii="Verdana" w:hAnsi="Verdana"/>
          <w:i/>
          <w:iCs/>
          <w:sz w:val="20"/>
          <w:szCs w:val="20"/>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Human follicle stimulating hormone (FSH) is a glycoprotein (MW about 30,000) and is characterised by two amino acid chains known as α and β. The β-chain confers biological activity. The α-chain is common to all gonadotrophins with specificity residing in the β-chain. </w:t>
      </w:r>
    </w:p>
    <w:p w:rsidR="000802B9" w:rsidRPr="00692B72" w:rsidRDefault="000802B9" w:rsidP="000D1E50">
      <w:pPr>
        <w:pStyle w:val="Default"/>
        <w:rPr>
          <w:rFonts w:ascii="Calibri" w:hAnsi="Calibri"/>
          <w:sz w:val="22"/>
          <w:szCs w:val="22"/>
        </w:rPr>
      </w:pPr>
    </w:p>
    <w:p w:rsidR="00DA2250" w:rsidRPr="00692B72" w:rsidRDefault="000D1E50" w:rsidP="000D1E50">
      <w:pPr>
        <w:pStyle w:val="Default"/>
        <w:rPr>
          <w:rFonts w:ascii="Calibri" w:hAnsi="Calibri"/>
          <w:sz w:val="22"/>
          <w:szCs w:val="22"/>
        </w:rPr>
      </w:pPr>
      <w:r w:rsidRPr="00692B72">
        <w:rPr>
          <w:rFonts w:ascii="Calibri" w:hAnsi="Calibri"/>
          <w:sz w:val="22"/>
          <w:szCs w:val="22"/>
        </w:rPr>
        <w:t xml:space="preserve">BEMFOLA contains the active ingredient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w:t>
      </w:r>
      <w:proofErr w:type="spellStart"/>
      <w:r w:rsidRPr="00692B72">
        <w:rPr>
          <w:rFonts w:ascii="Calibri" w:hAnsi="Calibri"/>
          <w:sz w:val="22"/>
          <w:szCs w:val="22"/>
        </w:rPr>
        <w:t>rch</w:t>
      </w:r>
      <w:proofErr w:type="spellEnd"/>
      <w:r w:rsidRPr="00692B72">
        <w:rPr>
          <w:rFonts w:ascii="Calibri" w:hAnsi="Calibri"/>
          <w:sz w:val="22"/>
          <w:szCs w:val="22"/>
        </w:rPr>
        <w:t>). This is produced by a Chinese Hamster Ovary cell line transfected with the human FSH subunit genes (i.e. by recombinant DNA technology).</w:t>
      </w:r>
    </w:p>
    <w:p w:rsidR="000802B9" w:rsidRPr="00692B72" w:rsidRDefault="000802B9" w:rsidP="000D1E50">
      <w:pPr>
        <w:pStyle w:val="Default"/>
        <w:rPr>
          <w:rFonts w:ascii="Calibri" w:hAnsi="Calibri"/>
          <w:sz w:val="22"/>
          <w:szCs w:val="22"/>
        </w:rPr>
      </w:pPr>
    </w:p>
    <w:p w:rsidR="00017E54" w:rsidRPr="00692B72" w:rsidRDefault="00017E54" w:rsidP="00017E54">
      <w:pPr>
        <w:pStyle w:val="Default"/>
        <w:rPr>
          <w:rFonts w:ascii="Calibri" w:hAnsi="Calibri"/>
          <w:sz w:val="22"/>
          <w:szCs w:val="22"/>
        </w:rPr>
      </w:pPr>
      <w:r w:rsidRPr="00692B72">
        <w:rPr>
          <w:rFonts w:ascii="Calibri" w:hAnsi="Calibri"/>
          <w:sz w:val="22"/>
          <w:szCs w:val="22"/>
        </w:rPr>
        <w:t>Clear glass cartridges containing BEMFOLA solution for injection are designed for subcutaneous injection pre-assembled in a disposable pen. BEMFOLA is available as solution for injection, containing follitropin alfa 75 IU/0.125 mL, 150 IU/0.25 mL, 225 IU/0.375 mL, 300 IU/0.5 mL or 450</w:t>
      </w:r>
      <w:r w:rsidR="000802B9" w:rsidRPr="00692B72">
        <w:rPr>
          <w:rFonts w:ascii="Calibri" w:hAnsi="Calibri"/>
          <w:sz w:val="22"/>
          <w:szCs w:val="22"/>
        </w:rPr>
        <w:t> </w:t>
      </w:r>
      <w:r w:rsidRPr="00692B72">
        <w:rPr>
          <w:rFonts w:ascii="Calibri" w:hAnsi="Calibri"/>
          <w:sz w:val="22"/>
          <w:szCs w:val="22"/>
        </w:rPr>
        <w:t xml:space="preserve">IU/0.75 </w:t>
      </w:r>
      <w:proofErr w:type="spellStart"/>
      <w:r w:rsidRPr="00692B72">
        <w:rPr>
          <w:rFonts w:ascii="Calibri" w:hAnsi="Calibri"/>
          <w:sz w:val="22"/>
          <w:szCs w:val="22"/>
        </w:rPr>
        <w:t>mL.</w:t>
      </w:r>
      <w:proofErr w:type="spellEnd"/>
      <w:r w:rsidRPr="00692B72">
        <w:rPr>
          <w:rFonts w:ascii="Calibri" w:hAnsi="Calibri"/>
          <w:sz w:val="22"/>
          <w:szCs w:val="22"/>
        </w:rPr>
        <w:t xml:space="preserve"> </w:t>
      </w:r>
    </w:p>
    <w:p w:rsidR="000802B9" w:rsidRPr="00692B72" w:rsidRDefault="000802B9" w:rsidP="00017E54">
      <w:pPr>
        <w:pStyle w:val="Default"/>
        <w:rPr>
          <w:rFonts w:ascii="Calibri" w:hAnsi="Calibri"/>
          <w:sz w:val="22"/>
          <w:szCs w:val="22"/>
        </w:rPr>
      </w:pPr>
    </w:p>
    <w:p w:rsidR="00017E54" w:rsidRPr="00692B72" w:rsidRDefault="00017E54" w:rsidP="00017E54">
      <w:pPr>
        <w:pStyle w:val="Default"/>
        <w:rPr>
          <w:rFonts w:ascii="Calibri" w:hAnsi="Calibri"/>
          <w:sz w:val="22"/>
          <w:szCs w:val="22"/>
        </w:rPr>
      </w:pPr>
      <w:r w:rsidRPr="00692B72">
        <w:rPr>
          <w:rFonts w:ascii="Calibri" w:hAnsi="Calibri"/>
          <w:sz w:val="22"/>
          <w:szCs w:val="22"/>
        </w:rPr>
        <w:t>Each cartridge contains the active ingredient follitropin alfa and the following excipients: sucrose, L</w:t>
      </w:r>
      <w:r w:rsidR="000802B9" w:rsidRPr="00692B72">
        <w:rPr>
          <w:rFonts w:ascii="Calibri" w:hAnsi="Calibri"/>
          <w:sz w:val="22"/>
          <w:szCs w:val="22"/>
        </w:rPr>
        <w:noBreakHyphen/>
      </w:r>
      <w:r w:rsidRPr="00692B72">
        <w:rPr>
          <w:rFonts w:ascii="Calibri" w:hAnsi="Calibri"/>
          <w:sz w:val="22"/>
          <w:szCs w:val="22"/>
        </w:rPr>
        <w:t xml:space="preserve">methionine, phosphoric acid, disodium hydrogen phosphate </w:t>
      </w:r>
      <w:proofErr w:type="spellStart"/>
      <w:r w:rsidRPr="00692B72">
        <w:rPr>
          <w:rFonts w:ascii="Calibri" w:hAnsi="Calibri"/>
          <w:sz w:val="22"/>
          <w:szCs w:val="22"/>
        </w:rPr>
        <w:t>dihydrate</w:t>
      </w:r>
      <w:proofErr w:type="spellEnd"/>
      <w:r w:rsidRPr="00692B72">
        <w:rPr>
          <w:rFonts w:ascii="Calibri" w:hAnsi="Calibri"/>
          <w:sz w:val="22"/>
          <w:szCs w:val="22"/>
        </w:rPr>
        <w:t xml:space="preserve">, sodium dihydrogen phosphate </w:t>
      </w:r>
      <w:proofErr w:type="spellStart"/>
      <w:r w:rsidRPr="00692B72">
        <w:rPr>
          <w:rFonts w:ascii="Calibri" w:hAnsi="Calibri"/>
          <w:sz w:val="22"/>
          <w:szCs w:val="22"/>
        </w:rPr>
        <w:t>dihydrate</w:t>
      </w:r>
      <w:proofErr w:type="spellEnd"/>
      <w:r w:rsidRPr="00692B72">
        <w:rPr>
          <w:rFonts w:ascii="Calibri" w:hAnsi="Calibri"/>
          <w:sz w:val="22"/>
          <w:szCs w:val="22"/>
        </w:rPr>
        <w:t xml:space="preserve">, </w:t>
      </w:r>
      <w:proofErr w:type="spellStart"/>
      <w:r w:rsidR="004B7DA1" w:rsidRPr="004B7DA1">
        <w:rPr>
          <w:rFonts w:asciiTheme="minorHAnsi" w:hAnsiTheme="minorHAnsi"/>
          <w:sz w:val="22"/>
          <w:szCs w:val="22"/>
        </w:rPr>
        <w:t>polaxamer</w:t>
      </w:r>
      <w:proofErr w:type="spellEnd"/>
      <w:r w:rsidRPr="004B7DA1">
        <w:rPr>
          <w:rFonts w:asciiTheme="minorHAnsi" w:hAnsiTheme="minorHAnsi"/>
          <w:sz w:val="22"/>
          <w:szCs w:val="22"/>
        </w:rPr>
        <w:t xml:space="preserve"> a</w:t>
      </w:r>
      <w:r w:rsidRPr="00692B72">
        <w:rPr>
          <w:rFonts w:ascii="Calibri" w:hAnsi="Calibri"/>
          <w:sz w:val="22"/>
          <w:szCs w:val="22"/>
        </w:rPr>
        <w:t xml:space="preserve">nd Water for Injections. </w:t>
      </w:r>
    </w:p>
    <w:p w:rsidR="006A7F36" w:rsidRDefault="006A7F36" w:rsidP="00017E54">
      <w:pPr>
        <w:pStyle w:val="Default"/>
        <w:rPr>
          <w:color w:val="auto"/>
          <w:sz w:val="22"/>
          <w:szCs w:val="22"/>
        </w:rPr>
      </w:pPr>
    </w:p>
    <w:p w:rsidR="00017E54" w:rsidRPr="002955CD" w:rsidRDefault="00DD798A" w:rsidP="00017E54">
      <w:pPr>
        <w:pStyle w:val="Default"/>
        <w:rPr>
          <w:rFonts w:ascii="Calibri" w:hAnsi="Calibri"/>
          <w:sz w:val="22"/>
          <w:szCs w:val="22"/>
        </w:rPr>
      </w:pPr>
      <w:r>
        <w:rPr>
          <w:rFonts w:ascii="Calibri" w:hAnsi="Calibri"/>
          <w:sz w:val="22"/>
          <w:szCs w:val="22"/>
        </w:rPr>
        <w:t xml:space="preserve">BEMFOLA </w:t>
      </w:r>
      <w:r w:rsidR="006A7F36" w:rsidRPr="008B6245">
        <w:rPr>
          <w:rFonts w:ascii="Calibri" w:hAnsi="Calibri"/>
          <w:sz w:val="22"/>
          <w:szCs w:val="22"/>
        </w:rPr>
        <w:t xml:space="preserve">is </w:t>
      </w:r>
      <w:r w:rsidR="00E374E6">
        <w:rPr>
          <w:rFonts w:ascii="Calibri" w:hAnsi="Calibri"/>
          <w:sz w:val="22"/>
          <w:szCs w:val="22"/>
        </w:rPr>
        <w:t>a biosimilar medicinal product, i.e. a medicine that has been demonstrated to be similar in quality, safety and efficacy to the reference medicinal product GONAL-f</w:t>
      </w:r>
      <w:r w:rsidR="00E374E6" w:rsidRPr="008B6245">
        <w:rPr>
          <w:rFonts w:ascii="Calibri" w:hAnsi="Calibri"/>
          <w:sz w:val="22"/>
          <w:szCs w:val="22"/>
        </w:rPr>
        <w:t>®</w:t>
      </w:r>
      <w:r w:rsidR="00E374E6" w:rsidRPr="00DD798A">
        <w:rPr>
          <w:rFonts w:ascii="Calibri" w:hAnsi="Calibri"/>
          <w:sz w:val="22"/>
          <w:szCs w:val="22"/>
        </w:rPr>
        <w:t xml:space="preserve">. </w:t>
      </w:r>
      <w:r w:rsidR="00E374E6" w:rsidRPr="008B6245">
        <w:rPr>
          <w:rFonts w:ascii="Calibri" w:hAnsi="Calibri"/>
          <w:sz w:val="22"/>
          <w:szCs w:val="22"/>
        </w:rPr>
        <w:t xml:space="preserve"> </w:t>
      </w:r>
      <w:r w:rsidR="00E374E6">
        <w:rPr>
          <w:rFonts w:ascii="Calibri" w:hAnsi="Calibri"/>
          <w:sz w:val="22"/>
          <w:szCs w:val="22"/>
        </w:rPr>
        <w:t xml:space="preserve"> </w:t>
      </w:r>
    </w:p>
    <w:p w:rsidR="006A7F36" w:rsidRDefault="006A7F36" w:rsidP="00017E54">
      <w:pPr>
        <w:pStyle w:val="Default"/>
        <w:rPr>
          <w:rFonts w:ascii="Calibri" w:hAnsi="Calibri"/>
          <w:b/>
          <w:bCs/>
          <w:sz w:val="28"/>
          <w:szCs w:val="22"/>
          <w:u w:val="single"/>
        </w:rPr>
      </w:pPr>
    </w:p>
    <w:p w:rsidR="000D1E50" w:rsidRPr="00692B72" w:rsidRDefault="000D1E50" w:rsidP="00017E54">
      <w:pPr>
        <w:pStyle w:val="Default"/>
        <w:rPr>
          <w:rFonts w:ascii="Calibri" w:hAnsi="Calibri"/>
          <w:b/>
          <w:bCs/>
          <w:sz w:val="28"/>
          <w:szCs w:val="22"/>
          <w:u w:val="single"/>
        </w:rPr>
      </w:pPr>
      <w:r w:rsidRPr="00692B72">
        <w:rPr>
          <w:rFonts w:ascii="Calibri" w:hAnsi="Calibri"/>
          <w:b/>
          <w:bCs/>
          <w:sz w:val="28"/>
          <w:szCs w:val="22"/>
          <w:u w:val="single"/>
        </w:rPr>
        <w:t>PHARMACOLOGY</w:t>
      </w:r>
    </w:p>
    <w:p w:rsidR="00DA2250" w:rsidRPr="00692B72" w:rsidRDefault="00DA2250" w:rsidP="00DA2250">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females, the most important effect resulting from parenteral administration of FSH is the development of mature Graafian follicles. To complete follicular maturation and to stimulate ovulation in the absence of an endogenous luteinising hormone (LH) surge, human chorionic gonadotrophin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is given once monitoring of the patient indicates that sufficient follicular development has occurred. There may be a degree of inter-patient variability in response to FSH administration, with lack of response to FSH in some patients. In males, FSH stimulates spermatogenesis without significant effect on the androgen secreting interstitial cells. </w:t>
      </w:r>
    </w:p>
    <w:p w:rsidR="009E7CB6" w:rsidRDefault="009E7CB6" w:rsidP="000D1E50">
      <w:pPr>
        <w:pStyle w:val="Default"/>
        <w:rPr>
          <w:rFonts w:ascii="Calibri" w:hAnsi="Calibri"/>
          <w:b/>
          <w:bCs/>
          <w:szCs w:val="22"/>
        </w:rPr>
      </w:pPr>
    </w:p>
    <w:p w:rsidR="000D1E50" w:rsidRPr="00692B72" w:rsidRDefault="000D1E50" w:rsidP="000D1E50">
      <w:pPr>
        <w:pStyle w:val="Default"/>
        <w:rPr>
          <w:rFonts w:ascii="Calibri" w:hAnsi="Calibri"/>
          <w:b/>
          <w:bCs/>
          <w:szCs w:val="22"/>
        </w:rPr>
      </w:pPr>
      <w:r w:rsidRPr="00692B72">
        <w:rPr>
          <w:rFonts w:ascii="Calibri" w:hAnsi="Calibri"/>
          <w:b/>
          <w:bCs/>
          <w:szCs w:val="22"/>
        </w:rPr>
        <w:t xml:space="preserve">Pharmacokinetics </w:t>
      </w:r>
    </w:p>
    <w:p w:rsidR="00DA2250" w:rsidRPr="002D7B30" w:rsidRDefault="00DA2250" w:rsidP="000D1E50">
      <w:pPr>
        <w:pStyle w:val="Default"/>
        <w:rPr>
          <w:rFonts w:ascii="Calibri" w:hAnsi="Calibri"/>
          <w:sz w:val="16"/>
          <w:szCs w:val="16"/>
        </w:rPr>
      </w:pPr>
    </w:p>
    <w:p w:rsidR="00975E96" w:rsidRDefault="000D1E50" w:rsidP="00975E96">
      <w:pPr>
        <w:spacing w:after="0"/>
      </w:pPr>
      <w:r w:rsidRPr="000D1E50">
        <w:t xml:space="preserve">Following intravenous administration, </w:t>
      </w:r>
      <w:r w:rsidR="00017E54" w:rsidRPr="00597243">
        <w:t>follitropin alfa</w:t>
      </w:r>
      <w:r w:rsidRPr="00597243">
        <w:t xml:space="preserve"> is</w:t>
      </w:r>
      <w:r w:rsidRPr="000D1E50">
        <w:t xml:space="preserve"> distributed to the extracellular fluid space with an initial half-life of around 2 hours and eliminated from the body with a terminal half-life of about 1 day. The steady state volume of distribution and total clearance are 10 L (0.17 L/kg) and 0.6</w:t>
      </w:r>
      <w:r w:rsidR="000802B9">
        <w:t> </w:t>
      </w:r>
      <w:r w:rsidRPr="000D1E50">
        <w:t xml:space="preserve">L/h (0.01 L/h/kg), respectively. One-eighth of the </w:t>
      </w:r>
      <w:r w:rsidR="00017E54" w:rsidRPr="00597243">
        <w:t>follitropin alfa</w:t>
      </w:r>
      <w:r w:rsidRPr="000D1E50">
        <w:t xml:space="preserve"> dose is excreted in the urine.</w:t>
      </w:r>
    </w:p>
    <w:p w:rsidR="00975E96" w:rsidRPr="000802B9" w:rsidRDefault="00975E96" w:rsidP="00975E96">
      <w:pPr>
        <w:spacing w:after="0"/>
      </w:pPr>
    </w:p>
    <w:p w:rsidR="000D1E50" w:rsidRDefault="000D1E50" w:rsidP="00975E96">
      <w:pPr>
        <w:spacing w:after="0"/>
      </w:pPr>
      <w:r w:rsidRPr="000D1E50">
        <w:t xml:space="preserve">Following subcutaneous administration, the absolute bioavailability is about 70%. Following repeated administration, </w:t>
      </w:r>
      <w:r w:rsidR="00017E54" w:rsidRPr="00597243">
        <w:t>follitropin alfa</w:t>
      </w:r>
      <w:r w:rsidRPr="000D1E50">
        <w:t xml:space="preserve"> accumulates 3-fold at steady state within 3 – 4 days. In women whose endogenous gonadotrophin secretion is suppressed, </w:t>
      </w:r>
      <w:r w:rsidR="00017E54" w:rsidRPr="00597243">
        <w:t>follitropin alfa</w:t>
      </w:r>
      <w:r w:rsidRPr="000D1E50">
        <w:t xml:space="preserve"> has nevertheless been shown to effectively stimulate follicular development and steroidogenesis, despite unmeasurable LH levels. </w:t>
      </w:r>
    </w:p>
    <w:p w:rsidR="000802B9" w:rsidRPr="000D1E50" w:rsidRDefault="000802B9" w:rsidP="00975E96">
      <w:pPr>
        <w:spacing w:after="0"/>
      </w:pPr>
    </w:p>
    <w:p w:rsidR="000D1E50" w:rsidRPr="00692B72" w:rsidRDefault="000D1E50" w:rsidP="000D1E50">
      <w:pPr>
        <w:pStyle w:val="Default"/>
        <w:rPr>
          <w:rFonts w:ascii="Calibri" w:hAnsi="Calibri"/>
          <w:sz w:val="22"/>
          <w:szCs w:val="22"/>
        </w:rPr>
      </w:pPr>
      <w:r w:rsidRPr="00692B72">
        <w:rPr>
          <w:rFonts w:ascii="Calibri" w:hAnsi="Calibri"/>
          <w:sz w:val="22"/>
          <w:szCs w:val="22"/>
        </w:rPr>
        <w:t>A phase I (study IMP 23572), open, randomised, 2-way crossover study to assess the relative bioavailability and the tolerability of r-</w:t>
      </w:r>
      <w:proofErr w:type="spellStart"/>
      <w:r w:rsidRPr="00692B72">
        <w:rPr>
          <w:rFonts w:ascii="Calibri" w:hAnsi="Calibri"/>
          <w:sz w:val="22"/>
          <w:szCs w:val="22"/>
        </w:rPr>
        <w:t>hFSH</w:t>
      </w:r>
      <w:proofErr w:type="spellEnd"/>
      <w:r w:rsidRPr="00692B72">
        <w:rPr>
          <w:rFonts w:ascii="Calibri" w:hAnsi="Calibri"/>
          <w:sz w:val="22"/>
          <w:szCs w:val="22"/>
        </w:rPr>
        <w:t xml:space="preserve"> of a reference </w:t>
      </w:r>
      <w:r w:rsidR="00597243" w:rsidRPr="00692B72">
        <w:rPr>
          <w:rFonts w:ascii="Calibri" w:hAnsi="Calibri"/>
          <w:sz w:val="22"/>
          <w:szCs w:val="22"/>
        </w:rPr>
        <w:t>follitropin alfa</w:t>
      </w:r>
      <w:r w:rsidRPr="00692B72">
        <w:rPr>
          <w:rFonts w:ascii="Calibri" w:hAnsi="Calibri"/>
          <w:sz w:val="22"/>
          <w:szCs w:val="22"/>
        </w:rPr>
        <w:t xml:space="preserve"> as a </w:t>
      </w:r>
      <w:proofErr w:type="spellStart"/>
      <w:r w:rsidRPr="00692B72">
        <w:rPr>
          <w:rFonts w:ascii="Calibri" w:hAnsi="Calibri"/>
          <w:sz w:val="22"/>
          <w:szCs w:val="22"/>
        </w:rPr>
        <w:t>monodose</w:t>
      </w:r>
      <w:proofErr w:type="spellEnd"/>
      <w:r w:rsidRPr="00692B72">
        <w:rPr>
          <w:rFonts w:ascii="Calibri" w:hAnsi="Calibri"/>
          <w:sz w:val="22"/>
          <w:szCs w:val="22"/>
        </w:rPr>
        <w:t xml:space="preserve"> freeze-dried formulation and a new </w:t>
      </w:r>
      <w:proofErr w:type="spellStart"/>
      <w:r w:rsidRPr="00692B72">
        <w:rPr>
          <w:rFonts w:ascii="Calibri" w:hAnsi="Calibri"/>
          <w:sz w:val="22"/>
          <w:szCs w:val="22"/>
        </w:rPr>
        <w:t>multidose</w:t>
      </w:r>
      <w:proofErr w:type="spellEnd"/>
      <w:r w:rsidRPr="00692B72">
        <w:rPr>
          <w:rFonts w:ascii="Calibri" w:hAnsi="Calibri"/>
          <w:sz w:val="22"/>
          <w:szCs w:val="22"/>
        </w:rPr>
        <w:t xml:space="preserve"> liquid formulation, administered subcutaneously in male and pre-menopausal female volunteers with pituitary </w:t>
      </w:r>
      <w:proofErr w:type="spellStart"/>
      <w:r w:rsidRPr="00692B72">
        <w:rPr>
          <w:rFonts w:ascii="Calibri" w:hAnsi="Calibri"/>
          <w:sz w:val="22"/>
          <w:szCs w:val="22"/>
        </w:rPr>
        <w:t>gonadotrope</w:t>
      </w:r>
      <w:proofErr w:type="spellEnd"/>
      <w:r w:rsidRPr="00692B72">
        <w:rPr>
          <w:rFonts w:ascii="Calibri" w:hAnsi="Calibri"/>
          <w:sz w:val="22"/>
          <w:szCs w:val="22"/>
        </w:rPr>
        <w:t xml:space="preserve"> cell down-regulation was conducted. The pharmacokinetic parameters from this study can be seen in Table 1 below. </w:t>
      </w:r>
    </w:p>
    <w:p w:rsidR="008919F3" w:rsidRPr="00692B72" w:rsidRDefault="008919F3" w:rsidP="000D1E50">
      <w:pPr>
        <w:pStyle w:val="Default"/>
        <w:rPr>
          <w:rFonts w:ascii="Calibri" w:hAnsi="Calibri"/>
          <w:sz w:val="22"/>
          <w:szCs w:val="22"/>
        </w:rPr>
      </w:pPr>
    </w:p>
    <w:p w:rsidR="000D1E50" w:rsidRPr="000D1E50" w:rsidRDefault="000D1E50" w:rsidP="00752208">
      <w:pPr>
        <w:spacing w:after="120"/>
      </w:pPr>
      <w:r w:rsidRPr="008919F3">
        <w:rPr>
          <w:b/>
        </w:rPr>
        <w:t>Table</w:t>
      </w:r>
      <w:r w:rsidR="000802B9">
        <w:rPr>
          <w:b/>
        </w:rPr>
        <w:t> </w:t>
      </w:r>
      <w:r w:rsidRPr="008919F3">
        <w:rPr>
          <w:b/>
        </w:rPr>
        <w:t>1.</w:t>
      </w:r>
      <w:r w:rsidR="000802B9" w:rsidRPr="000802B9">
        <w:rPr>
          <w:b/>
        </w:rPr>
        <w:tab/>
      </w:r>
      <w:r w:rsidRPr="008919F3">
        <w:rPr>
          <w:b/>
        </w:rPr>
        <w:t>Summary of the statistics (means, point estimate, confidence interval) on pharmacokinetic parameters of r-</w:t>
      </w:r>
      <w:proofErr w:type="spellStart"/>
      <w:r w:rsidRPr="008919F3">
        <w:rPr>
          <w:b/>
        </w:rPr>
        <w:t>hFSH</w:t>
      </w:r>
      <w:proofErr w:type="spellEnd"/>
      <w:r w:rsidRPr="008919F3">
        <w:rPr>
          <w:b/>
        </w:rPr>
        <w:t xml:space="preserve"> by treatment (liquid/test and lyophilised/reference formulation) – Study IMP 23572</w:t>
      </w:r>
    </w:p>
    <w:tbl>
      <w:tblPr>
        <w:tblStyle w:val="TableGrid"/>
        <w:tblW w:w="0" w:type="auto"/>
        <w:tblLook w:val="04A0" w:firstRow="1" w:lastRow="0" w:firstColumn="1" w:lastColumn="0" w:noHBand="0" w:noVBand="1"/>
      </w:tblPr>
      <w:tblGrid>
        <w:gridCol w:w="1848"/>
        <w:gridCol w:w="1848"/>
        <w:gridCol w:w="1848"/>
        <w:gridCol w:w="1849"/>
        <w:gridCol w:w="1849"/>
      </w:tblGrid>
      <w:tr w:rsidR="002F3A34" w:rsidRPr="002F3A34" w:rsidTr="00094F7E">
        <w:tc>
          <w:tcPr>
            <w:tcW w:w="1848" w:type="dxa"/>
            <w:tcBorders>
              <w:top w:val="single" w:sz="12" w:space="0" w:color="auto"/>
              <w:left w:val="nil"/>
              <w:right w:val="nil"/>
            </w:tcBorders>
            <w:vAlign w:val="center"/>
          </w:tcPr>
          <w:p w:rsidR="002F3A34" w:rsidRPr="002F3A34" w:rsidRDefault="002F3A34" w:rsidP="00094F7E">
            <w:pPr>
              <w:spacing w:after="0"/>
              <w:rPr>
                <w:b/>
              </w:rPr>
            </w:pPr>
            <w:r w:rsidRPr="002F3A34">
              <w:rPr>
                <w:b/>
              </w:rPr>
              <w:t>Parameter</w:t>
            </w:r>
          </w:p>
        </w:tc>
        <w:tc>
          <w:tcPr>
            <w:tcW w:w="1848" w:type="dxa"/>
            <w:tcBorders>
              <w:top w:val="single" w:sz="12" w:space="0" w:color="auto"/>
              <w:left w:val="nil"/>
              <w:right w:val="nil"/>
            </w:tcBorders>
            <w:vAlign w:val="center"/>
          </w:tcPr>
          <w:p w:rsidR="002F3A34" w:rsidRPr="002F3A34" w:rsidRDefault="002F3A34" w:rsidP="00094F7E">
            <w:pPr>
              <w:spacing w:after="0"/>
              <w:jc w:val="center"/>
              <w:rPr>
                <w:b/>
              </w:rPr>
            </w:pPr>
            <w:r w:rsidRPr="002F3A34">
              <w:rPr>
                <w:b/>
              </w:rPr>
              <w:t>Test</w:t>
            </w:r>
            <w:r w:rsidRPr="002F3A34">
              <w:rPr>
                <w:b/>
              </w:rPr>
              <w:br/>
              <w:t>(N=41)</w:t>
            </w:r>
          </w:p>
        </w:tc>
        <w:tc>
          <w:tcPr>
            <w:tcW w:w="1848" w:type="dxa"/>
            <w:tcBorders>
              <w:top w:val="single" w:sz="12" w:space="0" w:color="auto"/>
              <w:left w:val="nil"/>
              <w:right w:val="nil"/>
            </w:tcBorders>
            <w:vAlign w:val="center"/>
          </w:tcPr>
          <w:p w:rsidR="002F3A34" w:rsidRPr="002F3A34" w:rsidRDefault="002F3A34" w:rsidP="00094F7E">
            <w:pPr>
              <w:spacing w:after="0"/>
              <w:jc w:val="center"/>
              <w:rPr>
                <w:b/>
              </w:rPr>
            </w:pPr>
            <w:r w:rsidRPr="002F3A34">
              <w:rPr>
                <w:b/>
              </w:rPr>
              <w:t>Reference</w:t>
            </w:r>
            <w:r w:rsidRPr="002F3A34">
              <w:rPr>
                <w:b/>
              </w:rPr>
              <w:br/>
              <w:t>(N=40)</w:t>
            </w:r>
          </w:p>
        </w:tc>
        <w:tc>
          <w:tcPr>
            <w:tcW w:w="1849" w:type="dxa"/>
            <w:tcBorders>
              <w:top w:val="single" w:sz="12" w:space="0" w:color="auto"/>
              <w:left w:val="nil"/>
              <w:right w:val="nil"/>
            </w:tcBorders>
            <w:vAlign w:val="center"/>
          </w:tcPr>
          <w:p w:rsidR="002F3A34" w:rsidRPr="002F3A34" w:rsidRDefault="002F3A34" w:rsidP="00094F7E">
            <w:pPr>
              <w:spacing w:after="0"/>
              <w:jc w:val="center"/>
              <w:rPr>
                <w:b/>
              </w:rPr>
            </w:pPr>
            <w:r w:rsidRPr="002F3A34">
              <w:rPr>
                <w:b/>
              </w:rPr>
              <w:t>Point Estimate</w:t>
            </w:r>
            <w:r w:rsidRPr="002F3A34">
              <w:rPr>
                <w:b/>
              </w:rPr>
              <w:br/>
              <w:t>Ratio</w:t>
            </w:r>
            <w:r w:rsidRPr="002F3A34">
              <w:rPr>
                <w:b/>
              </w:rPr>
              <w:br/>
              <w:t>test/reference</w:t>
            </w:r>
            <w:r w:rsidRPr="002F3A34">
              <w:rPr>
                <w:b/>
              </w:rPr>
              <w:br/>
            </w:r>
            <w:r w:rsidRPr="002F3A34">
              <w:rPr>
                <w:b/>
              </w:rPr>
              <w:lastRenderedPageBreak/>
              <w:t>(N=39)</w:t>
            </w:r>
          </w:p>
        </w:tc>
        <w:tc>
          <w:tcPr>
            <w:tcW w:w="1849" w:type="dxa"/>
            <w:tcBorders>
              <w:top w:val="single" w:sz="12" w:space="0" w:color="auto"/>
              <w:left w:val="nil"/>
              <w:right w:val="nil"/>
            </w:tcBorders>
            <w:vAlign w:val="center"/>
          </w:tcPr>
          <w:p w:rsidR="002F3A34" w:rsidRPr="002F3A34" w:rsidRDefault="002F3A34" w:rsidP="00094F7E">
            <w:pPr>
              <w:spacing w:after="0"/>
              <w:jc w:val="center"/>
              <w:rPr>
                <w:b/>
              </w:rPr>
            </w:pPr>
            <w:r w:rsidRPr="002F3A34">
              <w:rPr>
                <w:b/>
              </w:rPr>
              <w:lastRenderedPageBreak/>
              <w:t>90% CI range</w:t>
            </w:r>
            <w:r w:rsidRPr="002F3A34">
              <w:rPr>
                <w:b/>
              </w:rPr>
              <w:br/>
              <w:t>(0.8-1.25)</w:t>
            </w:r>
          </w:p>
        </w:tc>
      </w:tr>
      <w:tr w:rsidR="002F3A34" w:rsidRPr="00F61CB4" w:rsidTr="00094F7E">
        <w:tc>
          <w:tcPr>
            <w:tcW w:w="1848" w:type="dxa"/>
            <w:tcBorders>
              <w:left w:val="nil"/>
              <w:right w:val="nil"/>
            </w:tcBorders>
          </w:tcPr>
          <w:p w:rsidR="002F3A34" w:rsidRPr="00F61CB4" w:rsidRDefault="002F3A34" w:rsidP="002F3A34">
            <w:pPr>
              <w:spacing w:after="0"/>
              <w:rPr>
                <w:sz w:val="20"/>
                <w:szCs w:val="20"/>
              </w:rPr>
            </w:pPr>
            <w:proofErr w:type="spellStart"/>
            <w:r w:rsidRPr="00F61CB4">
              <w:rPr>
                <w:sz w:val="20"/>
                <w:szCs w:val="20"/>
              </w:rPr>
              <w:lastRenderedPageBreak/>
              <w:t>C</w:t>
            </w:r>
            <w:r w:rsidRPr="00F61CB4">
              <w:rPr>
                <w:sz w:val="20"/>
                <w:szCs w:val="20"/>
                <w:vertAlign w:val="subscript"/>
              </w:rPr>
              <w:t>max</w:t>
            </w:r>
            <w:proofErr w:type="spellEnd"/>
            <w:r w:rsidRPr="00F61CB4">
              <w:rPr>
                <w:sz w:val="20"/>
                <w:szCs w:val="20"/>
              </w:rPr>
              <w:t xml:space="preserve"> (IU/L)</w:t>
            </w:r>
            <w:r w:rsidRPr="00F61CB4">
              <w:rPr>
                <w:sz w:val="20"/>
                <w:szCs w:val="20"/>
              </w:rPr>
              <w:br/>
              <w:t>(Min-max)</w:t>
            </w:r>
          </w:p>
        </w:tc>
        <w:tc>
          <w:tcPr>
            <w:tcW w:w="1848" w:type="dxa"/>
            <w:tcBorders>
              <w:left w:val="nil"/>
              <w:right w:val="nil"/>
            </w:tcBorders>
          </w:tcPr>
          <w:p w:rsidR="002F3A34" w:rsidRPr="00F61CB4" w:rsidRDefault="002F3A34" w:rsidP="00094F7E">
            <w:pPr>
              <w:spacing w:after="0"/>
              <w:jc w:val="center"/>
              <w:rPr>
                <w:sz w:val="20"/>
                <w:szCs w:val="20"/>
              </w:rPr>
            </w:pPr>
            <w:r w:rsidRPr="00F61CB4">
              <w:rPr>
                <w:sz w:val="20"/>
                <w:szCs w:val="20"/>
              </w:rPr>
              <w:t>8.99</w:t>
            </w:r>
            <w:r w:rsidRPr="00F61CB4">
              <w:rPr>
                <w:sz w:val="20"/>
                <w:szCs w:val="20"/>
              </w:rPr>
              <w:br/>
              <w:t>(4.70-16.7)</w:t>
            </w:r>
          </w:p>
        </w:tc>
        <w:tc>
          <w:tcPr>
            <w:tcW w:w="1848" w:type="dxa"/>
            <w:tcBorders>
              <w:left w:val="nil"/>
              <w:right w:val="nil"/>
            </w:tcBorders>
          </w:tcPr>
          <w:p w:rsidR="002F3A34" w:rsidRPr="00F61CB4" w:rsidRDefault="002F3A34" w:rsidP="00094F7E">
            <w:pPr>
              <w:spacing w:after="0"/>
              <w:jc w:val="center"/>
              <w:rPr>
                <w:sz w:val="20"/>
                <w:szCs w:val="20"/>
              </w:rPr>
            </w:pPr>
            <w:r w:rsidRPr="00F61CB4">
              <w:rPr>
                <w:sz w:val="20"/>
                <w:szCs w:val="20"/>
              </w:rPr>
              <w:t>9.51</w:t>
            </w:r>
            <w:r w:rsidRPr="00F61CB4">
              <w:rPr>
                <w:sz w:val="20"/>
                <w:szCs w:val="20"/>
              </w:rPr>
              <w:br/>
              <w:t>(4.00-15.1)</w:t>
            </w:r>
          </w:p>
        </w:tc>
        <w:tc>
          <w:tcPr>
            <w:tcW w:w="1849" w:type="dxa"/>
            <w:tcBorders>
              <w:left w:val="nil"/>
              <w:right w:val="nil"/>
            </w:tcBorders>
          </w:tcPr>
          <w:p w:rsidR="002F3A34" w:rsidRPr="00F61CB4" w:rsidRDefault="002F3A34" w:rsidP="00094F7E">
            <w:pPr>
              <w:spacing w:after="0"/>
              <w:jc w:val="center"/>
              <w:rPr>
                <w:sz w:val="20"/>
                <w:szCs w:val="20"/>
              </w:rPr>
            </w:pPr>
            <w:r w:rsidRPr="00F61CB4">
              <w:rPr>
                <w:sz w:val="20"/>
                <w:szCs w:val="20"/>
              </w:rPr>
              <w:t>0.9175</w:t>
            </w:r>
          </w:p>
        </w:tc>
        <w:tc>
          <w:tcPr>
            <w:tcW w:w="1849" w:type="dxa"/>
            <w:tcBorders>
              <w:left w:val="nil"/>
              <w:right w:val="nil"/>
            </w:tcBorders>
          </w:tcPr>
          <w:p w:rsidR="002F3A34" w:rsidRPr="00F61CB4" w:rsidRDefault="002F3A34" w:rsidP="00094F7E">
            <w:pPr>
              <w:spacing w:after="0"/>
              <w:jc w:val="center"/>
              <w:rPr>
                <w:sz w:val="20"/>
                <w:szCs w:val="20"/>
              </w:rPr>
            </w:pPr>
            <w:r w:rsidRPr="00F61CB4">
              <w:rPr>
                <w:sz w:val="20"/>
                <w:szCs w:val="20"/>
              </w:rPr>
              <w:t>(0.8855, 0.9505)</w:t>
            </w:r>
          </w:p>
        </w:tc>
      </w:tr>
      <w:tr w:rsidR="002F3A34" w:rsidRPr="00F61CB4" w:rsidTr="00094F7E">
        <w:tc>
          <w:tcPr>
            <w:tcW w:w="1848" w:type="dxa"/>
            <w:tcBorders>
              <w:left w:val="nil"/>
              <w:right w:val="nil"/>
            </w:tcBorders>
          </w:tcPr>
          <w:p w:rsidR="002F3A34" w:rsidRPr="00F61CB4" w:rsidRDefault="002F3A34" w:rsidP="002F3A34">
            <w:pPr>
              <w:spacing w:after="0"/>
              <w:rPr>
                <w:sz w:val="20"/>
                <w:szCs w:val="20"/>
              </w:rPr>
            </w:pPr>
            <w:proofErr w:type="spellStart"/>
            <w:r w:rsidRPr="00F61CB4">
              <w:rPr>
                <w:sz w:val="20"/>
                <w:szCs w:val="20"/>
              </w:rPr>
              <w:t>AUC</w:t>
            </w:r>
            <w:r w:rsidRPr="00F61CB4">
              <w:rPr>
                <w:sz w:val="20"/>
                <w:szCs w:val="20"/>
                <w:vertAlign w:val="subscript"/>
              </w:rPr>
              <w:t>last</w:t>
            </w:r>
            <w:proofErr w:type="spellEnd"/>
            <w:r w:rsidRPr="00F61CB4">
              <w:rPr>
                <w:sz w:val="20"/>
                <w:szCs w:val="20"/>
              </w:rPr>
              <w:t xml:space="preserve"> (IU/h/L)</w:t>
            </w:r>
            <w:r w:rsidRPr="00F61CB4">
              <w:rPr>
                <w:sz w:val="20"/>
                <w:szCs w:val="20"/>
              </w:rPr>
              <w:br/>
              <w:t>(Min-max)</w:t>
            </w:r>
          </w:p>
        </w:tc>
        <w:tc>
          <w:tcPr>
            <w:tcW w:w="1848" w:type="dxa"/>
            <w:tcBorders>
              <w:left w:val="nil"/>
              <w:right w:val="nil"/>
            </w:tcBorders>
          </w:tcPr>
          <w:p w:rsidR="002F3A34" w:rsidRPr="00F61CB4" w:rsidRDefault="002F3A34" w:rsidP="00094F7E">
            <w:pPr>
              <w:spacing w:after="0"/>
              <w:jc w:val="center"/>
              <w:rPr>
                <w:sz w:val="20"/>
                <w:szCs w:val="20"/>
              </w:rPr>
            </w:pPr>
            <w:r w:rsidRPr="00F61CB4">
              <w:rPr>
                <w:sz w:val="20"/>
                <w:szCs w:val="20"/>
              </w:rPr>
              <w:t>841</w:t>
            </w:r>
            <w:r w:rsidRPr="00F61CB4">
              <w:rPr>
                <w:sz w:val="20"/>
                <w:szCs w:val="20"/>
              </w:rPr>
              <w:br/>
              <w:t>(557-2280)</w:t>
            </w:r>
          </w:p>
        </w:tc>
        <w:tc>
          <w:tcPr>
            <w:tcW w:w="1848" w:type="dxa"/>
            <w:tcBorders>
              <w:left w:val="nil"/>
              <w:right w:val="nil"/>
            </w:tcBorders>
          </w:tcPr>
          <w:p w:rsidR="002F3A34" w:rsidRPr="00F61CB4" w:rsidRDefault="002F3A34" w:rsidP="00094F7E">
            <w:pPr>
              <w:spacing w:after="0"/>
              <w:jc w:val="center"/>
              <w:rPr>
                <w:sz w:val="20"/>
                <w:szCs w:val="20"/>
              </w:rPr>
            </w:pPr>
            <w:r w:rsidRPr="00F61CB4">
              <w:rPr>
                <w:sz w:val="20"/>
                <w:szCs w:val="20"/>
              </w:rPr>
              <w:t>844</w:t>
            </w:r>
            <w:r w:rsidRPr="00F61CB4">
              <w:rPr>
                <w:sz w:val="20"/>
                <w:szCs w:val="20"/>
              </w:rPr>
              <w:br/>
              <w:t>(462-1170)</w:t>
            </w:r>
          </w:p>
        </w:tc>
        <w:tc>
          <w:tcPr>
            <w:tcW w:w="1849" w:type="dxa"/>
            <w:tcBorders>
              <w:left w:val="nil"/>
              <w:right w:val="nil"/>
            </w:tcBorders>
          </w:tcPr>
          <w:p w:rsidR="002F3A34" w:rsidRPr="00F61CB4" w:rsidRDefault="002F3A34" w:rsidP="00094F7E">
            <w:pPr>
              <w:spacing w:after="0"/>
              <w:jc w:val="center"/>
              <w:rPr>
                <w:sz w:val="20"/>
                <w:szCs w:val="20"/>
              </w:rPr>
            </w:pPr>
            <w:r w:rsidRPr="00F61CB4">
              <w:rPr>
                <w:sz w:val="20"/>
                <w:szCs w:val="20"/>
              </w:rPr>
              <w:t>0.9512</w:t>
            </w:r>
          </w:p>
        </w:tc>
        <w:tc>
          <w:tcPr>
            <w:tcW w:w="1849" w:type="dxa"/>
            <w:tcBorders>
              <w:left w:val="nil"/>
              <w:right w:val="nil"/>
            </w:tcBorders>
          </w:tcPr>
          <w:p w:rsidR="002F3A34" w:rsidRPr="00F61CB4" w:rsidRDefault="002F3A34" w:rsidP="00094F7E">
            <w:pPr>
              <w:spacing w:after="0"/>
              <w:jc w:val="center"/>
              <w:rPr>
                <w:sz w:val="20"/>
                <w:szCs w:val="20"/>
              </w:rPr>
            </w:pPr>
            <w:r w:rsidRPr="00F61CB4">
              <w:rPr>
                <w:sz w:val="20"/>
                <w:szCs w:val="20"/>
              </w:rPr>
              <w:t>(0.9222, 0.9810)</w:t>
            </w:r>
          </w:p>
        </w:tc>
      </w:tr>
      <w:tr w:rsidR="002F3A34" w:rsidRPr="00F61CB4" w:rsidTr="00094F7E">
        <w:tc>
          <w:tcPr>
            <w:tcW w:w="1848" w:type="dxa"/>
            <w:tcBorders>
              <w:left w:val="nil"/>
              <w:right w:val="nil"/>
            </w:tcBorders>
          </w:tcPr>
          <w:p w:rsidR="002F3A34" w:rsidRPr="00F61CB4" w:rsidRDefault="002F3A34" w:rsidP="002F3A34">
            <w:pPr>
              <w:spacing w:after="0"/>
              <w:rPr>
                <w:sz w:val="20"/>
                <w:szCs w:val="20"/>
              </w:rPr>
            </w:pPr>
            <w:proofErr w:type="spellStart"/>
            <w:r w:rsidRPr="00F61CB4">
              <w:rPr>
                <w:sz w:val="20"/>
                <w:szCs w:val="20"/>
              </w:rPr>
              <w:t>T</w:t>
            </w:r>
            <w:r w:rsidRPr="00F61CB4">
              <w:rPr>
                <w:sz w:val="20"/>
                <w:szCs w:val="20"/>
                <w:vertAlign w:val="subscript"/>
              </w:rPr>
              <w:t>max</w:t>
            </w:r>
            <w:proofErr w:type="spellEnd"/>
            <w:r w:rsidRPr="00F61CB4">
              <w:rPr>
                <w:sz w:val="20"/>
                <w:szCs w:val="20"/>
              </w:rPr>
              <w:t xml:space="preserve"> (h)*</w:t>
            </w:r>
            <w:r w:rsidRPr="00F61CB4">
              <w:rPr>
                <w:sz w:val="20"/>
                <w:szCs w:val="20"/>
              </w:rPr>
              <w:br/>
              <w:t>(Min-max)</w:t>
            </w:r>
          </w:p>
        </w:tc>
        <w:tc>
          <w:tcPr>
            <w:tcW w:w="1848" w:type="dxa"/>
            <w:tcBorders>
              <w:left w:val="nil"/>
              <w:right w:val="nil"/>
            </w:tcBorders>
          </w:tcPr>
          <w:p w:rsidR="002F3A34" w:rsidRPr="00F61CB4" w:rsidRDefault="00094F7E" w:rsidP="00094F7E">
            <w:pPr>
              <w:spacing w:after="0"/>
              <w:jc w:val="center"/>
              <w:rPr>
                <w:sz w:val="20"/>
                <w:szCs w:val="20"/>
              </w:rPr>
            </w:pPr>
            <w:r w:rsidRPr="00F61CB4">
              <w:rPr>
                <w:sz w:val="20"/>
                <w:szCs w:val="20"/>
              </w:rPr>
              <w:t>15.0</w:t>
            </w:r>
            <w:r w:rsidRPr="00F61CB4">
              <w:rPr>
                <w:sz w:val="20"/>
                <w:szCs w:val="20"/>
              </w:rPr>
              <w:br/>
              <w:t>(6.00-48.0)</w:t>
            </w:r>
          </w:p>
        </w:tc>
        <w:tc>
          <w:tcPr>
            <w:tcW w:w="1848" w:type="dxa"/>
            <w:tcBorders>
              <w:left w:val="nil"/>
              <w:right w:val="nil"/>
            </w:tcBorders>
          </w:tcPr>
          <w:p w:rsidR="002F3A34" w:rsidRPr="00F61CB4" w:rsidRDefault="00094F7E" w:rsidP="00094F7E">
            <w:pPr>
              <w:spacing w:after="0"/>
              <w:jc w:val="center"/>
              <w:rPr>
                <w:sz w:val="20"/>
                <w:szCs w:val="20"/>
              </w:rPr>
            </w:pPr>
            <w:r w:rsidRPr="00F61CB4">
              <w:rPr>
                <w:sz w:val="20"/>
                <w:szCs w:val="20"/>
              </w:rPr>
              <w:t>12.0</w:t>
            </w:r>
            <w:r w:rsidRPr="00F61CB4">
              <w:rPr>
                <w:sz w:val="20"/>
                <w:szCs w:val="20"/>
              </w:rPr>
              <w:br/>
              <w:t>(4.00-48.0)</w:t>
            </w:r>
          </w:p>
        </w:tc>
        <w:tc>
          <w:tcPr>
            <w:tcW w:w="1849" w:type="dxa"/>
            <w:tcBorders>
              <w:left w:val="nil"/>
              <w:right w:val="nil"/>
            </w:tcBorders>
          </w:tcPr>
          <w:p w:rsidR="002F3A34" w:rsidRPr="00F61CB4" w:rsidRDefault="00094F7E" w:rsidP="00094F7E">
            <w:pPr>
              <w:spacing w:after="0"/>
              <w:jc w:val="center"/>
              <w:rPr>
                <w:sz w:val="20"/>
                <w:szCs w:val="20"/>
              </w:rPr>
            </w:pPr>
            <w:r w:rsidRPr="00F61CB4">
              <w:rPr>
                <w:sz w:val="20"/>
                <w:szCs w:val="20"/>
              </w:rPr>
              <w:t>NA</w:t>
            </w:r>
          </w:p>
        </w:tc>
        <w:tc>
          <w:tcPr>
            <w:tcW w:w="1849" w:type="dxa"/>
            <w:tcBorders>
              <w:left w:val="nil"/>
              <w:right w:val="nil"/>
            </w:tcBorders>
          </w:tcPr>
          <w:p w:rsidR="002F3A34" w:rsidRPr="00F61CB4" w:rsidRDefault="00094F7E" w:rsidP="00094F7E">
            <w:pPr>
              <w:spacing w:after="0"/>
              <w:jc w:val="center"/>
              <w:rPr>
                <w:sz w:val="20"/>
                <w:szCs w:val="20"/>
              </w:rPr>
            </w:pPr>
            <w:r w:rsidRPr="00F61CB4">
              <w:rPr>
                <w:sz w:val="20"/>
                <w:szCs w:val="20"/>
              </w:rPr>
              <w:t>NA</w:t>
            </w:r>
          </w:p>
        </w:tc>
      </w:tr>
    </w:tbl>
    <w:p w:rsidR="002F3A34" w:rsidRPr="00094F7E" w:rsidRDefault="00094F7E" w:rsidP="008919F3">
      <w:pPr>
        <w:spacing w:after="0"/>
        <w:rPr>
          <w:sz w:val="20"/>
          <w:szCs w:val="20"/>
        </w:rPr>
      </w:pPr>
      <w:r w:rsidRPr="00094F7E">
        <w:rPr>
          <w:sz w:val="20"/>
          <w:szCs w:val="20"/>
        </w:rPr>
        <w:t xml:space="preserve">(*median values for </w:t>
      </w:r>
      <w:proofErr w:type="spellStart"/>
      <w:r w:rsidRPr="00094F7E">
        <w:rPr>
          <w:sz w:val="20"/>
          <w:szCs w:val="20"/>
        </w:rPr>
        <w:t>t</w:t>
      </w:r>
      <w:r w:rsidRPr="00094F7E">
        <w:rPr>
          <w:sz w:val="20"/>
          <w:szCs w:val="20"/>
          <w:vertAlign w:val="subscript"/>
        </w:rPr>
        <w:t>max</w:t>
      </w:r>
      <w:proofErr w:type="spellEnd"/>
      <w:r w:rsidRPr="00094F7E">
        <w:rPr>
          <w:sz w:val="20"/>
          <w:szCs w:val="20"/>
        </w:rPr>
        <w:t>)</w:t>
      </w:r>
    </w:p>
    <w:p w:rsidR="008919F3" w:rsidRDefault="000D1E50" w:rsidP="008919F3">
      <w:pPr>
        <w:spacing w:after="0"/>
      </w:pPr>
      <w:r w:rsidRPr="000D1E50">
        <w:t xml:space="preserve">Following the subcutaneous administration of both formulations, the 90% confidence intervals of the mean ratios for the bioavailability metrics, </w:t>
      </w:r>
      <w:proofErr w:type="spellStart"/>
      <w:r w:rsidRPr="000D1E50">
        <w:t>C</w:t>
      </w:r>
      <w:r w:rsidRPr="008919F3">
        <w:rPr>
          <w:vertAlign w:val="subscript"/>
        </w:rPr>
        <w:t>max</w:t>
      </w:r>
      <w:proofErr w:type="spellEnd"/>
      <w:r w:rsidRPr="000D1E50">
        <w:t xml:space="preserve"> and </w:t>
      </w:r>
      <w:proofErr w:type="spellStart"/>
      <w:r w:rsidRPr="000D1E50">
        <w:t>AUC</w:t>
      </w:r>
      <w:r w:rsidRPr="008919F3">
        <w:rPr>
          <w:vertAlign w:val="subscript"/>
        </w:rPr>
        <w:t>last</w:t>
      </w:r>
      <w:proofErr w:type="spellEnd"/>
      <w:r w:rsidRPr="000D1E50">
        <w:t xml:space="preserve"> lie within the pre-defined limits of 0.8</w:t>
      </w:r>
      <w:r w:rsidR="000802B9">
        <w:t> </w:t>
      </w:r>
      <w:r w:rsidRPr="000D1E50">
        <w:t xml:space="preserve">– 1.25 showing bioequivalence of liquid (test) and freeze dried (reference) formulations. Because the observed variability (&lt;10%) was much lower than expected </w:t>
      </w:r>
      <w:r w:rsidRPr="000D1E50">
        <w:rPr>
          <w:i/>
          <w:iCs/>
        </w:rPr>
        <w:t>a priori</w:t>
      </w:r>
      <w:r w:rsidRPr="000D1E50">
        <w:t xml:space="preserve">, the study allowed the detection of a small difference between the two formulations in rate (about 8%) and extent (about 5%). Suppression of endogenous FSH production was incomplete, probably more so in period 2 compared to period 1 and this probably explains the significant period effect observed. The significant difference seen on </w:t>
      </w:r>
      <w:proofErr w:type="spellStart"/>
      <w:r w:rsidRPr="000D1E50">
        <w:t>t</w:t>
      </w:r>
      <w:r w:rsidRPr="008919F3">
        <w:rPr>
          <w:vertAlign w:val="subscript"/>
        </w:rPr>
        <w:t>max</w:t>
      </w:r>
      <w:proofErr w:type="spellEnd"/>
      <w:r w:rsidRPr="000D1E50">
        <w:t xml:space="preserve"> is probably a function of the diverse mechanisms by which the drug enters the systemic circulation. In subjects where the diffusion processes from the </w:t>
      </w:r>
      <w:proofErr w:type="spellStart"/>
      <w:r w:rsidRPr="000D1E50">
        <w:t>subcutis</w:t>
      </w:r>
      <w:proofErr w:type="spellEnd"/>
      <w:r w:rsidRPr="000D1E50">
        <w:t xml:space="preserve"> to the adjacent small blood vessels dominate, earlier </w:t>
      </w:r>
      <w:proofErr w:type="spellStart"/>
      <w:r w:rsidRPr="000D1E50">
        <w:t>t</w:t>
      </w:r>
      <w:r w:rsidRPr="008919F3">
        <w:rPr>
          <w:vertAlign w:val="subscript"/>
        </w:rPr>
        <w:t>max</w:t>
      </w:r>
      <w:proofErr w:type="spellEnd"/>
      <w:r w:rsidRPr="000D1E50">
        <w:t xml:space="preserve"> is observed, whereas, in subjects where flow of FSH through the lymph to the systemic circulation is dominant, a later </w:t>
      </w:r>
      <w:proofErr w:type="spellStart"/>
      <w:r w:rsidRPr="000D1E50">
        <w:t>t</w:t>
      </w:r>
      <w:r w:rsidRPr="008919F3">
        <w:rPr>
          <w:vertAlign w:val="subscript"/>
        </w:rPr>
        <w:t>max</w:t>
      </w:r>
      <w:proofErr w:type="spellEnd"/>
      <w:r w:rsidRPr="000D1E50">
        <w:t xml:space="preserve"> probably occurs. This latter process may be non-linear generating an apparent zero order input over sustained periods in some subjects. The mixture of these processes in the population leads to very high variability in </w:t>
      </w:r>
      <w:proofErr w:type="spellStart"/>
      <w:r w:rsidRPr="000D1E50">
        <w:t>t</w:t>
      </w:r>
      <w:r w:rsidRPr="008919F3">
        <w:rPr>
          <w:vertAlign w:val="subscript"/>
        </w:rPr>
        <w:t>max</w:t>
      </w:r>
      <w:proofErr w:type="spellEnd"/>
      <w:r w:rsidRPr="000D1E50">
        <w:t xml:space="preserve"> so a larger study would be necessary to truly assess the relative magnitude of this parameter for the two formulations.</w:t>
      </w:r>
    </w:p>
    <w:p w:rsidR="008919F3" w:rsidRPr="000802B9" w:rsidRDefault="008919F3" w:rsidP="008919F3">
      <w:pPr>
        <w:spacing w:after="0"/>
      </w:pPr>
    </w:p>
    <w:p w:rsidR="00F83BDB" w:rsidRPr="00904A10" w:rsidRDefault="00F83BDB" w:rsidP="000802B9">
      <w:pPr>
        <w:pStyle w:val="Default"/>
        <w:keepNext/>
        <w:rPr>
          <w:rFonts w:ascii="Calibri" w:hAnsi="Calibri"/>
          <w:b/>
          <w:color w:val="auto"/>
          <w:sz w:val="22"/>
          <w:szCs w:val="22"/>
        </w:rPr>
      </w:pPr>
      <w:r w:rsidRPr="00904A10">
        <w:rPr>
          <w:rFonts w:ascii="Calibri" w:hAnsi="Calibri"/>
          <w:b/>
          <w:color w:val="auto"/>
          <w:sz w:val="22"/>
          <w:szCs w:val="22"/>
        </w:rPr>
        <w:t>Comparability of BEMFOLA</w:t>
      </w:r>
      <w:r w:rsidRPr="00904A10">
        <w:rPr>
          <w:rFonts w:ascii="Calibri" w:hAnsi="Calibri"/>
          <w:b/>
          <w:color w:val="auto"/>
          <w:sz w:val="22"/>
          <w:szCs w:val="22"/>
          <w:vertAlign w:val="superscript"/>
        </w:rPr>
        <w:sym w:font="Symbol" w:char="F0E2"/>
      </w:r>
      <w:r w:rsidRPr="00904A10">
        <w:rPr>
          <w:rFonts w:ascii="Calibri" w:hAnsi="Calibri"/>
          <w:b/>
          <w:color w:val="auto"/>
          <w:sz w:val="22"/>
          <w:szCs w:val="22"/>
        </w:rPr>
        <w:t xml:space="preserve"> with Gonal-f</w:t>
      </w:r>
      <w:r w:rsidRPr="00904A10">
        <w:rPr>
          <w:rFonts w:ascii="Calibri" w:hAnsi="Calibri"/>
          <w:b/>
          <w:color w:val="auto"/>
          <w:sz w:val="22"/>
          <w:szCs w:val="22"/>
          <w:vertAlign w:val="superscript"/>
        </w:rPr>
        <w:sym w:font="Symbol" w:char="F0E2"/>
      </w:r>
    </w:p>
    <w:p w:rsidR="007E7410" w:rsidRPr="00692B72" w:rsidRDefault="007E7410" w:rsidP="00F61CB4">
      <w:pPr>
        <w:pStyle w:val="Default"/>
        <w:keepNext/>
        <w:rPr>
          <w:rFonts w:ascii="Calibri" w:hAnsi="Calibri"/>
          <w:color w:val="auto"/>
          <w:sz w:val="22"/>
          <w:szCs w:val="22"/>
        </w:rPr>
      </w:pPr>
    </w:p>
    <w:p w:rsidR="00AA4119" w:rsidRPr="00692B72" w:rsidRDefault="00F83BDB" w:rsidP="000802B9">
      <w:pPr>
        <w:pStyle w:val="Default"/>
        <w:rPr>
          <w:rFonts w:ascii="Calibri" w:hAnsi="Calibri"/>
          <w:color w:val="auto"/>
          <w:sz w:val="22"/>
          <w:szCs w:val="22"/>
        </w:rPr>
      </w:pPr>
      <w:r w:rsidRPr="00692B72">
        <w:rPr>
          <w:rFonts w:ascii="Calibri" w:hAnsi="Calibri"/>
          <w:color w:val="auto"/>
          <w:sz w:val="22"/>
          <w:szCs w:val="22"/>
        </w:rPr>
        <w:t xml:space="preserve">Equivalent pharmacokinetic (PK) </w:t>
      </w:r>
      <w:r w:rsidR="000802B9" w:rsidRPr="00692B72">
        <w:rPr>
          <w:rFonts w:ascii="Calibri" w:hAnsi="Calibri"/>
          <w:color w:val="auto"/>
          <w:sz w:val="22"/>
          <w:szCs w:val="22"/>
        </w:rPr>
        <w:t>profiles of Bemfola and Gonal-f</w:t>
      </w:r>
      <w:r w:rsidRPr="00692B72">
        <w:rPr>
          <w:rFonts w:ascii="Calibri" w:hAnsi="Calibri"/>
          <w:color w:val="auto"/>
          <w:sz w:val="22"/>
          <w:szCs w:val="22"/>
          <w:vertAlign w:val="superscript"/>
        </w:rPr>
        <w:sym w:font="Symbol" w:char="F0E2"/>
      </w:r>
      <w:r w:rsidR="00AA4119" w:rsidRPr="00692B72">
        <w:rPr>
          <w:rFonts w:ascii="Calibri" w:hAnsi="Calibri"/>
          <w:color w:val="auto"/>
          <w:sz w:val="22"/>
          <w:szCs w:val="22"/>
        </w:rPr>
        <w:t xml:space="preserve"> </w:t>
      </w:r>
      <w:r w:rsidRPr="00692B72">
        <w:rPr>
          <w:rFonts w:ascii="Calibri" w:hAnsi="Calibri"/>
          <w:color w:val="auto"/>
          <w:sz w:val="22"/>
          <w:szCs w:val="22"/>
        </w:rPr>
        <w:t>have been demonstrated in a randomised, open label, two period, two treatment cross-over study in 23 healthy female volunteers, with a duration of 11 weeks.</w:t>
      </w:r>
      <w:r w:rsidR="002955CD">
        <w:rPr>
          <w:rFonts w:ascii="Calibri" w:hAnsi="Calibri"/>
          <w:color w:val="auto"/>
          <w:sz w:val="22"/>
          <w:szCs w:val="22"/>
        </w:rPr>
        <w:t xml:space="preserve"> </w:t>
      </w:r>
      <w:r w:rsidR="00AA4119" w:rsidRPr="00692B72">
        <w:rPr>
          <w:rFonts w:ascii="Calibri" w:hAnsi="Calibri"/>
          <w:color w:val="auto"/>
          <w:sz w:val="22"/>
          <w:szCs w:val="22"/>
        </w:rPr>
        <w:t>The pharmacokinetic parameters are summarized in Table</w:t>
      </w:r>
      <w:r w:rsidR="000802B9" w:rsidRPr="00692B72">
        <w:rPr>
          <w:rFonts w:ascii="Calibri" w:hAnsi="Calibri"/>
          <w:color w:val="auto"/>
          <w:sz w:val="22"/>
          <w:szCs w:val="22"/>
        </w:rPr>
        <w:t> </w:t>
      </w:r>
      <w:r w:rsidR="00AA4119" w:rsidRPr="00692B72">
        <w:rPr>
          <w:rFonts w:ascii="Calibri" w:hAnsi="Calibri"/>
          <w:color w:val="auto"/>
          <w:sz w:val="22"/>
          <w:szCs w:val="22"/>
        </w:rPr>
        <w:t>2.</w:t>
      </w:r>
    </w:p>
    <w:p w:rsidR="00AA4119" w:rsidRPr="007E7410" w:rsidRDefault="00AA4119" w:rsidP="008919F3">
      <w:pPr>
        <w:spacing w:after="0"/>
      </w:pPr>
    </w:p>
    <w:p w:rsidR="00F83BDB" w:rsidRPr="00CD7033" w:rsidRDefault="000802B9" w:rsidP="00CD7033">
      <w:pPr>
        <w:tabs>
          <w:tab w:val="left" w:pos="851"/>
        </w:tabs>
        <w:spacing w:after="120"/>
        <w:rPr>
          <w:b/>
        </w:rPr>
      </w:pPr>
      <w:r>
        <w:rPr>
          <w:b/>
        </w:rPr>
        <w:t>Table 2</w:t>
      </w:r>
      <w:r>
        <w:rPr>
          <w:b/>
        </w:rPr>
        <w:tab/>
      </w:r>
      <w:r w:rsidR="00AA4119" w:rsidRPr="00431B7F">
        <w:rPr>
          <w:b/>
        </w:rPr>
        <w:t xml:space="preserve">Pharmacokinetic parameters FSH (arithmetic mean ± SD, </w:t>
      </w:r>
      <w:proofErr w:type="spellStart"/>
      <w:r w:rsidR="00AA4119" w:rsidRPr="00431B7F">
        <w:rPr>
          <w:b/>
        </w:rPr>
        <w:t>t</w:t>
      </w:r>
      <w:r w:rsidR="00AA4119" w:rsidRPr="000802B9">
        <w:rPr>
          <w:b/>
          <w:vertAlign w:val="subscript"/>
        </w:rPr>
        <w:t>max</w:t>
      </w:r>
      <w:proofErr w:type="spellEnd"/>
      <w:r w:rsidR="00AA4119" w:rsidRPr="00431B7F">
        <w:rPr>
          <w:b/>
        </w:rPr>
        <w:t xml:space="preserve"> median, range)</w:t>
      </w:r>
    </w:p>
    <w:tbl>
      <w:tblPr>
        <w:tblStyle w:val="TableGrid"/>
        <w:tblW w:w="5000" w:type="pct"/>
        <w:tblLook w:val="04A0" w:firstRow="1" w:lastRow="0" w:firstColumn="1" w:lastColumn="0" w:noHBand="0" w:noVBand="1"/>
      </w:tblPr>
      <w:tblGrid>
        <w:gridCol w:w="1320"/>
        <w:gridCol w:w="631"/>
        <w:gridCol w:w="1458"/>
        <w:gridCol w:w="1458"/>
        <w:gridCol w:w="1195"/>
        <w:gridCol w:w="1590"/>
        <w:gridCol w:w="1590"/>
      </w:tblGrid>
      <w:tr w:rsidR="005D088F" w:rsidRPr="005D088F" w:rsidTr="00CD7033">
        <w:tc>
          <w:tcPr>
            <w:tcW w:w="1320" w:type="dxa"/>
          </w:tcPr>
          <w:p w:rsidR="005D088F" w:rsidRPr="005D088F" w:rsidRDefault="005D088F" w:rsidP="002955CD">
            <w:pPr>
              <w:spacing w:after="0"/>
              <w:rPr>
                <w:b/>
              </w:rPr>
            </w:pPr>
            <w:r w:rsidRPr="005D088F">
              <w:rPr>
                <w:b/>
              </w:rPr>
              <w:t>Treatment</w:t>
            </w:r>
          </w:p>
        </w:tc>
        <w:tc>
          <w:tcPr>
            <w:tcW w:w="631" w:type="dxa"/>
          </w:tcPr>
          <w:p w:rsidR="005D088F" w:rsidRPr="005D088F" w:rsidRDefault="005D088F" w:rsidP="002955CD">
            <w:pPr>
              <w:spacing w:after="0"/>
              <w:rPr>
                <w:b/>
              </w:rPr>
            </w:pPr>
            <w:r w:rsidRPr="005D088F">
              <w:rPr>
                <w:b/>
              </w:rPr>
              <w:t>N</w:t>
            </w:r>
          </w:p>
        </w:tc>
        <w:tc>
          <w:tcPr>
            <w:tcW w:w="1458" w:type="dxa"/>
          </w:tcPr>
          <w:p w:rsidR="005D088F" w:rsidRPr="005D088F" w:rsidRDefault="005D088F" w:rsidP="002955CD">
            <w:pPr>
              <w:spacing w:after="0"/>
              <w:rPr>
                <w:b/>
              </w:rPr>
            </w:pPr>
            <w:r w:rsidRPr="005D088F">
              <w:rPr>
                <w:b/>
              </w:rPr>
              <w:t>AUC</w:t>
            </w:r>
            <w:r w:rsidRPr="005D088F">
              <w:rPr>
                <w:b/>
                <w:vertAlign w:val="subscript"/>
              </w:rPr>
              <w:t>0-192</w:t>
            </w:r>
            <w:r w:rsidRPr="005D088F">
              <w:rPr>
                <w:b/>
              </w:rPr>
              <w:br/>
            </w:r>
            <w:proofErr w:type="spellStart"/>
            <w:r w:rsidRPr="00CD7033">
              <w:rPr>
                <w:b/>
                <w:sz w:val="20"/>
                <w:szCs w:val="20"/>
              </w:rPr>
              <w:t>mIU</w:t>
            </w:r>
            <w:proofErr w:type="spellEnd"/>
            <w:r w:rsidRPr="00CD7033">
              <w:rPr>
                <w:b/>
                <w:sz w:val="20"/>
                <w:szCs w:val="20"/>
              </w:rPr>
              <w:t>*h/ml</w:t>
            </w:r>
          </w:p>
        </w:tc>
        <w:tc>
          <w:tcPr>
            <w:tcW w:w="1458" w:type="dxa"/>
          </w:tcPr>
          <w:p w:rsidR="005D088F" w:rsidRPr="005D088F" w:rsidRDefault="005D088F" w:rsidP="002955CD">
            <w:pPr>
              <w:spacing w:after="0"/>
              <w:rPr>
                <w:b/>
              </w:rPr>
            </w:pPr>
            <w:proofErr w:type="spellStart"/>
            <w:r w:rsidRPr="005D088F">
              <w:rPr>
                <w:b/>
              </w:rPr>
              <w:t>C</w:t>
            </w:r>
            <w:r w:rsidRPr="005D088F">
              <w:rPr>
                <w:b/>
                <w:vertAlign w:val="subscript"/>
              </w:rPr>
              <w:t>max</w:t>
            </w:r>
            <w:proofErr w:type="spellEnd"/>
            <w:r w:rsidRPr="005D088F">
              <w:rPr>
                <w:b/>
              </w:rPr>
              <w:br/>
            </w:r>
            <w:proofErr w:type="spellStart"/>
            <w:r w:rsidRPr="00CD7033">
              <w:rPr>
                <w:b/>
                <w:sz w:val="20"/>
                <w:szCs w:val="20"/>
              </w:rPr>
              <w:t>mIU</w:t>
            </w:r>
            <w:proofErr w:type="spellEnd"/>
            <w:r w:rsidRPr="00CD7033">
              <w:rPr>
                <w:b/>
                <w:sz w:val="20"/>
                <w:szCs w:val="20"/>
              </w:rPr>
              <w:t>*h/ml</w:t>
            </w:r>
          </w:p>
        </w:tc>
        <w:tc>
          <w:tcPr>
            <w:tcW w:w="1195" w:type="dxa"/>
          </w:tcPr>
          <w:p w:rsidR="005D088F" w:rsidRPr="005D088F" w:rsidRDefault="005D088F" w:rsidP="002955CD">
            <w:pPr>
              <w:spacing w:after="0"/>
              <w:rPr>
                <w:b/>
              </w:rPr>
            </w:pPr>
            <w:proofErr w:type="spellStart"/>
            <w:r w:rsidRPr="005D088F">
              <w:rPr>
                <w:b/>
              </w:rPr>
              <w:t>t</w:t>
            </w:r>
            <w:r w:rsidRPr="005D088F">
              <w:rPr>
                <w:b/>
                <w:vertAlign w:val="subscript"/>
              </w:rPr>
              <w:t>max</w:t>
            </w:r>
            <w:proofErr w:type="spellEnd"/>
            <w:r w:rsidRPr="005D088F">
              <w:rPr>
                <w:b/>
              </w:rPr>
              <w:br/>
            </w:r>
            <w:r w:rsidRPr="00CD7033">
              <w:rPr>
                <w:b/>
                <w:sz w:val="20"/>
                <w:szCs w:val="20"/>
              </w:rPr>
              <w:t>h</w:t>
            </w:r>
          </w:p>
        </w:tc>
        <w:tc>
          <w:tcPr>
            <w:tcW w:w="1590" w:type="dxa"/>
          </w:tcPr>
          <w:p w:rsidR="005D088F" w:rsidRPr="005D088F" w:rsidRDefault="005D088F" w:rsidP="002955CD">
            <w:pPr>
              <w:spacing w:after="0"/>
              <w:rPr>
                <w:b/>
              </w:rPr>
            </w:pPr>
            <w:r w:rsidRPr="005D088F">
              <w:rPr>
                <w:b/>
              </w:rPr>
              <w:t>t</w:t>
            </w:r>
            <w:r w:rsidRPr="005D088F">
              <w:rPr>
                <w:b/>
                <w:vertAlign w:val="subscript"/>
              </w:rPr>
              <w:t>½</w:t>
            </w:r>
            <w:r w:rsidRPr="005D088F">
              <w:rPr>
                <w:b/>
              </w:rPr>
              <w:br/>
            </w:r>
            <w:r w:rsidRPr="00CD7033">
              <w:rPr>
                <w:b/>
                <w:sz w:val="20"/>
                <w:szCs w:val="20"/>
              </w:rPr>
              <w:t>h</w:t>
            </w:r>
          </w:p>
        </w:tc>
        <w:tc>
          <w:tcPr>
            <w:tcW w:w="1590" w:type="dxa"/>
          </w:tcPr>
          <w:p w:rsidR="005D088F" w:rsidRPr="005D088F" w:rsidRDefault="005D088F" w:rsidP="002955CD">
            <w:pPr>
              <w:spacing w:after="0"/>
              <w:rPr>
                <w:b/>
              </w:rPr>
            </w:pPr>
            <w:proofErr w:type="spellStart"/>
            <w:r w:rsidRPr="005D088F">
              <w:rPr>
                <w:b/>
              </w:rPr>
              <w:t>K</w:t>
            </w:r>
            <w:r w:rsidRPr="005D088F">
              <w:rPr>
                <w:b/>
                <w:vertAlign w:val="subscript"/>
              </w:rPr>
              <w:t>e</w:t>
            </w:r>
            <w:proofErr w:type="spellEnd"/>
          </w:p>
          <w:p w:rsidR="005D088F" w:rsidRPr="00CD7033" w:rsidRDefault="005D088F" w:rsidP="002955CD">
            <w:pPr>
              <w:spacing w:after="0"/>
              <w:rPr>
                <w:b/>
                <w:sz w:val="20"/>
                <w:szCs w:val="20"/>
              </w:rPr>
            </w:pPr>
            <w:r w:rsidRPr="00CD7033">
              <w:rPr>
                <w:b/>
                <w:sz w:val="20"/>
                <w:szCs w:val="20"/>
              </w:rPr>
              <w:t>1/h</w:t>
            </w:r>
          </w:p>
        </w:tc>
      </w:tr>
      <w:tr w:rsidR="005D088F" w:rsidTr="00CD7033">
        <w:tc>
          <w:tcPr>
            <w:tcW w:w="1320" w:type="dxa"/>
          </w:tcPr>
          <w:p w:rsidR="005D088F" w:rsidRPr="005D088F" w:rsidRDefault="005D088F" w:rsidP="002955CD">
            <w:pPr>
              <w:spacing w:after="0"/>
              <w:rPr>
                <w:b/>
                <w:sz w:val="20"/>
                <w:szCs w:val="20"/>
              </w:rPr>
            </w:pPr>
            <w:r w:rsidRPr="005D088F">
              <w:rPr>
                <w:b/>
                <w:sz w:val="20"/>
                <w:szCs w:val="20"/>
              </w:rPr>
              <w:t>Bemfola</w:t>
            </w:r>
          </w:p>
        </w:tc>
        <w:tc>
          <w:tcPr>
            <w:tcW w:w="631" w:type="dxa"/>
          </w:tcPr>
          <w:p w:rsidR="005D088F" w:rsidRDefault="005D088F" w:rsidP="002955CD">
            <w:pPr>
              <w:spacing w:after="0"/>
            </w:pPr>
            <w:r>
              <w:t>24</w:t>
            </w:r>
          </w:p>
        </w:tc>
        <w:tc>
          <w:tcPr>
            <w:tcW w:w="1458" w:type="dxa"/>
          </w:tcPr>
          <w:p w:rsidR="005D088F" w:rsidRDefault="005D088F" w:rsidP="002955CD">
            <w:pPr>
              <w:spacing w:after="0"/>
            </w:pPr>
            <w:r>
              <w:t>451 ± 114.6</w:t>
            </w:r>
          </w:p>
        </w:tc>
        <w:tc>
          <w:tcPr>
            <w:tcW w:w="1458" w:type="dxa"/>
          </w:tcPr>
          <w:p w:rsidR="005D088F" w:rsidRDefault="005D088F" w:rsidP="002955CD">
            <w:pPr>
              <w:spacing w:after="0"/>
            </w:pPr>
            <w:r>
              <w:t>5.86 ± 1.37</w:t>
            </w:r>
          </w:p>
        </w:tc>
        <w:tc>
          <w:tcPr>
            <w:tcW w:w="1195" w:type="dxa"/>
          </w:tcPr>
          <w:p w:rsidR="005D088F" w:rsidRDefault="005D088F" w:rsidP="002955CD">
            <w:pPr>
              <w:spacing w:after="0"/>
            </w:pPr>
            <w:r>
              <w:t>24 (9-24)</w:t>
            </w:r>
          </w:p>
        </w:tc>
        <w:tc>
          <w:tcPr>
            <w:tcW w:w="1590" w:type="dxa"/>
          </w:tcPr>
          <w:p w:rsidR="005D088F" w:rsidRDefault="005D088F" w:rsidP="002955CD">
            <w:pPr>
              <w:spacing w:after="0"/>
            </w:pPr>
            <w:r>
              <w:t>43.58 ± 14.17</w:t>
            </w:r>
          </w:p>
        </w:tc>
        <w:tc>
          <w:tcPr>
            <w:tcW w:w="1590" w:type="dxa"/>
          </w:tcPr>
          <w:p w:rsidR="005D088F" w:rsidRDefault="005D088F" w:rsidP="002955CD">
            <w:pPr>
              <w:spacing w:after="0"/>
            </w:pPr>
            <w:r>
              <w:t>0.0075 ± 0.003</w:t>
            </w:r>
          </w:p>
        </w:tc>
      </w:tr>
      <w:tr w:rsidR="005D088F" w:rsidTr="00CD7033">
        <w:tc>
          <w:tcPr>
            <w:tcW w:w="1320" w:type="dxa"/>
          </w:tcPr>
          <w:p w:rsidR="005D088F" w:rsidRPr="005D088F" w:rsidRDefault="005D088F" w:rsidP="002955CD">
            <w:pPr>
              <w:spacing w:after="0"/>
              <w:rPr>
                <w:b/>
                <w:sz w:val="20"/>
                <w:szCs w:val="20"/>
              </w:rPr>
            </w:pPr>
            <w:r w:rsidRPr="005D088F">
              <w:rPr>
                <w:b/>
                <w:sz w:val="20"/>
                <w:szCs w:val="20"/>
              </w:rPr>
              <w:t>Gonal f</w:t>
            </w:r>
          </w:p>
        </w:tc>
        <w:tc>
          <w:tcPr>
            <w:tcW w:w="631" w:type="dxa"/>
          </w:tcPr>
          <w:p w:rsidR="005D088F" w:rsidRDefault="005D088F" w:rsidP="002955CD">
            <w:pPr>
              <w:spacing w:after="0"/>
            </w:pPr>
            <w:r>
              <w:t>23</w:t>
            </w:r>
          </w:p>
        </w:tc>
        <w:tc>
          <w:tcPr>
            <w:tcW w:w="1458" w:type="dxa"/>
          </w:tcPr>
          <w:p w:rsidR="005D088F" w:rsidRDefault="005D088F" w:rsidP="002955CD">
            <w:pPr>
              <w:spacing w:after="0"/>
            </w:pPr>
            <w:r>
              <w:t>456.8 ± 122.1</w:t>
            </w:r>
          </w:p>
        </w:tc>
        <w:tc>
          <w:tcPr>
            <w:tcW w:w="1458" w:type="dxa"/>
          </w:tcPr>
          <w:p w:rsidR="005D088F" w:rsidRDefault="005D088F" w:rsidP="005D088F">
            <w:pPr>
              <w:spacing w:after="0"/>
            </w:pPr>
            <w:r>
              <w:t>6.18 ± 1.319</w:t>
            </w:r>
          </w:p>
        </w:tc>
        <w:tc>
          <w:tcPr>
            <w:tcW w:w="1195" w:type="dxa"/>
          </w:tcPr>
          <w:p w:rsidR="005D088F" w:rsidRDefault="005D088F" w:rsidP="005D088F">
            <w:pPr>
              <w:spacing w:after="0"/>
            </w:pPr>
            <w:r>
              <w:t>24 (6-24)</w:t>
            </w:r>
          </w:p>
        </w:tc>
        <w:tc>
          <w:tcPr>
            <w:tcW w:w="1590" w:type="dxa"/>
          </w:tcPr>
          <w:p w:rsidR="005D088F" w:rsidRDefault="005D088F" w:rsidP="002955CD">
            <w:pPr>
              <w:spacing w:after="0"/>
            </w:pPr>
            <w:r>
              <w:t>42.58 ± 16.47</w:t>
            </w:r>
          </w:p>
        </w:tc>
        <w:tc>
          <w:tcPr>
            <w:tcW w:w="1590" w:type="dxa"/>
          </w:tcPr>
          <w:p w:rsidR="005D088F" w:rsidRDefault="005D088F" w:rsidP="002955CD">
            <w:pPr>
              <w:spacing w:after="0"/>
            </w:pPr>
            <w:r>
              <w:t>0.0077 ± 0.002</w:t>
            </w:r>
          </w:p>
        </w:tc>
      </w:tr>
      <w:tr w:rsidR="005D088F" w:rsidTr="00CD7033">
        <w:tc>
          <w:tcPr>
            <w:tcW w:w="1320" w:type="dxa"/>
          </w:tcPr>
          <w:p w:rsidR="005D088F" w:rsidRPr="005D088F" w:rsidRDefault="005D088F" w:rsidP="002955CD">
            <w:pPr>
              <w:spacing w:after="0"/>
              <w:rPr>
                <w:b/>
                <w:sz w:val="20"/>
                <w:szCs w:val="20"/>
              </w:rPr>
            </w:pPr>
            <w:r w:rsidRPr="005D088F">
              <w:rPr>
                <w:b/>
                <w:sz w:val="20"/>
                <w:szCs w:val="20"/>
              </w:rPr>
              <w:t>*Ratio</w:t>
            </w:r>
            <w:r w:rsidRPr="005D088F">
              <w:rPr>
                <w:b/>
                <w:sz w:val="20"/>
                <w:szCs w:val="20"/>
              </w:rPr>
              <w:br/>
              <w:t>(90% CI)</w:t>
            </w:r>
          </w:p>
        </w:tc>
        <w:tc>
          <w:tcPr>
            <w:tcW w:w="631" w:type="dxa"/>
          </w:tcPr>
          <w:p w:rsidR="005D088F" w:rsidRDefault="005D088F" w:rsidP="002955CD">
            <w:pPr>
              <w:spacing w:after="0"/>
            </w:pPr>
          </w:p>
        </w:tc>
        <w:tc>
          <w:tcPr>
            <w:tcW w:w="1458" w:type="dxa"/>
          </w:tcPr>
          <w:p w:rsidR="005D088F" w:rsidRDefault="005D088F" w:rsidP="002955CD">
            <w:pPr>
              <w:spacing w:after="0"/>
            </w:pPr>
            <w:r>
              <w:t>98.2</w:t>
            </w:r>
            <w:r>
              <w:br/>
              <w:t>(84.7-113.9)</w:t>
            </w:r>
          </w:p>
        </w:tc>
        <w:tc>
          <w:tcPr>
            <w:tcW w:w="1458" w:type="dxa"/>
          </w:tcPr>
          <w:p w:rsidR="005D088F" w:rsidRDefault="005D088F" w:rsidP="002955CD">
            <w:pPr>
              <w:spacing w:after="0"/>
            </w:pPr>
            <w:r>
              <w:t>94.7</w:t>
            </w:r>
            <w:r>
              <w:br/>
              <w:t>(89.2-100.6)</w:t>
            </w:r>
          </w:p>
        </w:tc>
        <w:tc>
          <w:tcPr>
            <w:tcW w:w="1195" w:type="dxa"/>
          </w:tcPr>
          <w:p w:rsidR="005D088F" w:rsidRDefault="005D088F" w:rsidP="002955CD">
            <w:pPr>
              <w:spacing w:after="0"/>
            </w:pPr>
          </w:p>
        </w:tc>
        <w:tc>
          <w:tcPr>
            <w:tcW w:w="1590" w:type="dxa"/>
          </w:tcPr>
          <w:p w:rsidR="005D088F" w:rsidRDefault="005D088F" w:rsidP="002955CD">
            <w:pPr>
              <w:spacing w:after="0"/>
            </w:pPr>
          </w:p>
        </w:tc>
        <w:tc>
          <w:tcPr>
            <w:tcW w:w="1590" w:type="dxa"/>
          </w:tcPr>
          <w:p w:rsidR="005D088F" w:rsidRDefault="005D088F" w:rsidP="002955CD">
            <w:pPr>
              <w:spacing w:after="0"/>
            </w:pPr>
          </w:p>
        </w:tc>
      </w:tr>
      <w:tr w:rsidR="00CD7033" w:rsidTr="00CD7033">
        <w:tc>
          <w:tcPr>
            <w:tcW w:w="9242" w:type="dxa"/>
            <w:gridSpan w:val="7"/>
          </w:tcPr>
          <w:p w:rsidR="00CD7033" w:rsidRPr="00CD7033" w:rsidRDefault="00CD7033" w:rsidP="00CD7033">
            <w:pPr>
              <w:tabs>
                <w:tab w:val="left" w:pos="1418"/>
              </w:tabs>
              <w:spacing w:after="0" w:line="264" w:lineRule="auto"/>
            </w:pPr>
            <w:r w:rsidRPr="00CD7033">
              <w:t>AUC</w:t>
            </w:r>
            <w:r w:rsidRPr="00CD7033">
              <w:rPr>
                <w:vertAlign w:val="subscript"/>
              </w:rPr>
              <w:t>0-192</w:t>
            </w:r>
            <w:r w:rsidRPr="00CD7033">
              <w:rPr>
                <w:vertAlign w:val="subscript"/>
              </w:rPr>
              <w:tab/>
            </w:r>
            <w:r w:rsidRPr="00CD7033">
              <w:t>area under the plasma concentration-time curve from time zero to 192 hours&gt;</w:t>
            </w:r>
          </w:p>
          <w:p w:rsidR="00CD7033" w:rsidRPr="00CD7033" w:rsidRDefault="00CD7033" w:rsidP="00CD7033">
            <w:pPr>
              <w:tabs>
                <w:tab w:val="left" w:pos="1418"/>
              </w:tabs>
              <w:spacing w:after="0" w:line="264" w:lineRule="auto"/>
            </w:pPr>
            <w:proofErr w:type="spellStart"/>
            <w:r w:rsidRPr="00CD7033">
              <w:t>C</w:t>
            </w:r>
            <w:r w:rsidRPr="00CD7033">
              <w:rPr>
                <w:vertAlign w:val="subscript"/>
              </w:rPr>
              <w:t>max</w:t>
            </w:r>
            <w:proofErr w:type="spellEnd"/>
            <w:r w:rsidRPr="00CD7033">
              <w:rPr>
                <w:vertAlign w:val="subscript"/>
              </w:rPr>
              <w:tab/>
            </w:r>
            <w:r w:rsidRPr="00CD7033">
              <w:t>maximum plasma concentration</w:t>
            </w:r>
          </w:p>
          <w:p w:rsidR="00CD7033" w:rsidRPr="00CD7033" w:rsidRDefault="00CD7033" w:rsidP="00CD7033">
            <w:pPr>
              <w:tabs>
                <w:tab w:val="left" w:pos="1418"/>
              </w:tabs>
              <w:spacing w:after="0" w:line="264" w:lineRule="auto"/>
            </w:pPr>
            <w:proofErr w:type="spellStart"/>
            <w:r w:rsidRPr="00CD7033">
              <w:t>t</w:t>
            </w:r>
            <w:r w:rsidRPr="00CD7033">
              <w:rPr>
                <w:vertAlign w:val="subscript"/>
              </w:rPr>
              <w:t>max</w:t>
            </w:r>
            <w:proofErr w:type="spellEnd"/>
            <w:r w:rsidRPr="00CD7033">
              <w:rPr>
                <w:vertAlign w:val="subscript"/>
              </w:rPr>
              <w:tab/>
            </w:r>
            <w:r w:rsidRPr="00CD7033">
              <w:t>time for maximum concentration (*median, range)</w:t>
            </w:r>
          </w:p>
          <w:p w:rsidR="00CD7033" w:rsidRPr="00CD7033" w:rsidRDefault="00CD7033" w:rsidP="00CD7033">
            <w:pPr>
              <w:tabs>
                <w:tab w:val="left" w:pos="1418"/>
              </w:tabs>
              <w:spacing w:after="0" w:line="264" w:lineRule="auto"/>
            </w:pPr>
            <w:r w:rsidRPr="00CD7033">
              <w:lastRenderedPageBreak/>
              <w:t>t</w:t>
            </w:r>
            <w:r w:rsidRPr="00CD7033">
              <w:rPr>
                <w:vertAlign w:val="subscript"/>
              </w:rPr>
              <w:t>½</w:t>
            </w:r>
            <w:r w:rsidRPr="00CD7033">
              <w:tab/>
              <w:t>half life</w:t>
            </w:r>
          </w:p>
          <w:p w:rsidR="00CD7033" w:rsidRPr="00CD7033" w:rsidRDefault="00CD7033" w:rsidP="00CD7033">
            <w:pPr>
              <w:tabs>
                <w:tab w:val="left" w:pos="1418"/>
              </w:tabs>
              <w:spacing w:after="0" w:line="264" w:lineRule="auto"/>
              <w:rPr>
                <w:b/>
              </w:rPr>
            </w:pPr>
            <w:proofErr w:type="spellStart"/>
            <w:r w:rsidRPr="00CD7033">
              <w:t>K</w:t>
            </w:r>
            <w:r w:rsidRPr="00CD7033">
              <w:rPr>
                <w:vertAlign w:val="subscript"/>
              </w:rPr>
              <w:t>e</w:t>
            </w:r>
            <w:proofErr w:type="spellEnd"/>
            <w:r w:rsidRPr="00CD7033">
              <w:tab/>
              <w:t>terminal elimination rate constant</w:t>
            </w:r>
          </w:p>
        </w:tc>
      </w:tr>
    </w:tbl>
    <w:p w:rsidR="00CD7033" w:rsidRPr="00CD7033" w:rsidRDefault="00CD7033" w:rsidP="002955CD">
      <w:pPr>
        <w:spacing w:after="0"/>
        <w:rPr>
          <w:i/>
        </w:rPr>
      </w:pPr>
      <w:r w:rsidRPr="00CD7033">
        <w:rPr>
          <w:i/>
        </w:rPr>
        <w:lastRenderedPageBreak/>
        <w:t>*In-transformed values</w:t>
      </w:r>
    </w:p>
    <w:p w:rsidR="00CD7033" w:rsidRDefault="00CD7033" w:rsidP="002955CD">
      <w:pPr>
        <w:spacing w:after="0"/>
      </w:pPr>
    </w:p>
    <w:p w:rsidR="000D1E50" w:rsidRDefault="000D1E50" w:rsidP="00597243">
      <w:pPr>
        <w:spacing w:after="0"/>
        <w:rPr>
          <w:b/>
          <w:bCs/>
          <w:sz w:val="28"/>
          <w:u w:val="single"/>
        </w:rPr>
      </w:pPr>
      <w:r w:rsidRPr="008919F3">
        <w:rPr>
          <w:b/>
          <w:bCs/>
          <w:sz w:val="28"/>
          <w:u w:val="single"/>
        </w:rPr>
        <w:t>CLINICAL TRIALS</w:t>
      </w:r>
    </w:p>
    <w:p w:rsidR="008919F3" w:rsidRPr="002D7B30" w:rsidRDefault="008919F3" w:rsidP="000D1E50">
      <w:pPr>
        <w:pStyle w:val="Default"/>
        <w:rPr>
          <w:rFonts w:ascii="Calibri" w:hAnsi="Calibri"/>
          <w:bCs/>
          <w:sz w:val="16"/>
          <w:szCs w:val="16"/>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WHO Group II anovulatory infertile women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In a controlled study involving 222 randomised patients, cumulative ovulation rate was not significantly different between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and </w:t>
      </w:r>
      <w:proofErr w:type="spellStart"/>
      <w:r w:rsidRPr="00692B72">
        <w:rPr>
          <w:rFonts w:ascii="Calibri" w:hAnsi="Calibri"/>
          <w:sz w:val="22"/>
          <w:szCs w:val="22"/>
        </w:rPr>
        <w:t>urofollitropin</w:t>
      </w:r>
      <w:proofErr w:type="spellEnd"/>
      <w:r w:rsidRPr="00692B72">
        <w:rPr>
          <w:rFonts w:ascii="Calibri" w:hAnsi="Calibri"/>
          <w:sz w:val="22"/>
          <w:szCs w:val="22"/>
        </w:rPr>
        <w:t xml:space="preserve"> or urinary-derived </w:t>
      </w:r>
      <w:proofErr w:type="spellStart"/>
      <w:r w:rsidRPr="00692B72">
        <w:rPr>
          <w:rFonts w:ascii="Calibri" w:hAnsi="Calibri"/>
          <w:sz w:val="22"/>
          <w:szCs w:val="22"/>
        </w:rPr>
        <w:t>hFSH</w:t>
      </w:r>
      <w:proofErr w:type="spellEnd"/>
      <w:r w:rsidRPr="00692B72">
        <w:rPr>
          <w:rFonts w:ascii="Calibri" w:hAnsi="Calibri"/>
          <w:sz w:val="22"/>
          <w:szCs w:val="22"/>
        </w:rPr>
        <w:t xml:space="preserve"> (u-</w:t>
      </w:r>
      <w:proofErr w:type="spellStart"/>
      <w:r w:rsidRPr="00692B72">
        <w:rPr>
          <w:rFonts w:ascii="Calibri" w:hAnsi="Calibri"/>
          <w:sz w:val="22"/>
          <w:szCs w:val="22"/>
        </w:rPr>
        <w:t>hFSH</w:t>
      </w:r>
      <w:proofErr w:type="spellEnd"/>
      <w:r w:rsidRPr="00692B72">
        <w:rPr>
          <w:rFonts w:ascii="Calibri" w:hAnsi="Calibri"/>
          <w:sz w:val="22"/>
          <w:szCs w:val="22"/>
        </w:rPr>
        <w:t xml:space="preserve">) groups whether analysed on an intention-to-treat or evaluable patient basis. The ovulation rate in each cycle was also not different between the two medicines. </w:t>
      </w: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Superovulation in Assisted Reproduction Techniques (ART)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i/>
          <w:iCs/>
          <w:sz w:val="22"/>
          <w:szCs w:val="22"/>
        </w:rPr>
        <w:t xml:space="preserve">Study 21884: </w:t>
      </w:r>
      <w:r w:rsidRPr="00692B72">
        <w:rPr>
          <w:rFonts w:ascii="Calibri" w:hAnsi="Calibri"/>
          <w:sz w:val="22"/>
          <w:szCs w:val="22"/>
        </w:rPr>
        <w:t xml:space="preserve">The safety and efficacy of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proofErr w:type="spellStart"/>
      <w:r w:rsidRPr="00692B72">
        <w:rPr>
          <w:rFonts w:ascii="Calibri" w:hAnsi="Calibri"/>
          <w:sz w:val="22"/>
          <w:szCs w:val="22"/>
        </w:rPr>
        <w:t>hFSH</w:t>
      </w:r>
      <w:proofErr w:type="spellEnd"/>
      <w:r w:rsidRPr="00692B72">
        <w:rPr>
          <w:rFonts w:ascii="Calibri" w:hAnsi="Calibri"/>
          <w:sz w:val="22"/>
          <w:szCs w:val="22"/>
        </w:rPr>
        <w:t>; filled-by-mass) versus u-</w:t>
      </w:r>
      <w:proofErr w:type="spellStart"/>
      <w:r w:rsidRPr="00692B72">
        <w:rPr>
          <w:rFonts w:ascii="Calibri" w:hAnsi="Calibri"/>
          <w:sz w:val="22"/>
          <w:szCs w:val="22"/>
        </w:rPr>
        <w:t>hFSH</w:t>
      </w:r>
      <w:proofErr w:type="spellEnd"/>
      <w:r w:rsidRPr="00692B72">
        <w:rPr>
          <w:rFonts w:ascii="Calibri" w:hAnsi="Calibri"/>
          <w:sz w:val="22"/>
          <w:szCs w:val="22"/>
        </w:rPr>
        <w:t xml:space="preserve"> and its equivalence as compared to </w:t>
      </w:r>
      <w:r w:rsidR="000A45A5" w:rsidRPr="00692B72">
        <w:rPr>
          <w:rFonts w:ascii="Calibri" w:hAnsi="Calibri"/>
          <w:sz w:val="22"/>
          <w:szCs w:val="22"/>
        </w:rPr>
        <w:t>follitropin alfa</w:t>
      </w:r>
      <w:r w:rsidRPr="00692B72">
        <w:rPr>
          <w:rFonts w:ascii="Calibri" w:hAnsi="Calibri"/>
          <w:sz w:val="22"/>
          <w:szCs w:val="22"/>
        </w:rPr>
        <w:t xml:space="preserve"> old formulation (filled by bioactivity), all administered subcutaneously, were assessed in a multicentre, randomised, single blind, phase III study in infertile women undergoing </w:t>
      </w:r>
      <w:r w:rsidRPr="00692B72">
        <w:rPr>
          <w:rFonts w:ascii="Calibri" w:hAnsi="Calibri"/>
          <w:i/>
          <w:iCs/>
          <w:sz w:val="22"/>
          <w:szCs w:val="22"/>
        </w:rPr>
        <w:t xml:space="preserve">in vitro </w:t>
      </w:r>
      <w:r w:rsidRPr="00692B72">
        <w:rPr>
          <w:rFonts w:ascii="Calibri" w:hAnsi="Calibri"/>
          <w:sz w:val="22"/>
          <w:szCs w:val="22"/>
        </w:rPr>
        <w:t>fertilisation (IVF) and embryo transfer. All patients underwent pituitary desensitisation (down-regulation) with a gonadotrophin-releasing hormone (GnRH) agonist prior to and during stimulation of multiple follicular development with one of the three study treatments. Randomisation occurred when pituitary down-regulation was confirmed by an E</w:t>
      </w:r>
      <w:r w:rsidRPr="00692B72">
        <w:rPr>
          <w:rFonts w:ascii="Calibri" w:hAnsi="Calibri"/>
          <w:sz w:val="22"/>
          <w:szCs w:val="22"/>
          <w:vertAlign w:val="subscript"/>
        </w:rPr>
        <w:t>2</w:t>
      </w:r>
      <w:r w:rsidRPr="00692B72">
        <w:rPr>
          <w:rFonts w:ascii="Calibri" w:hAnsi="Calibri"/>
          <w:sz w:val="22"/>
          <w:szCs w:val="22"/>
        </w:rPr>
        <w:t xml:space="preserve"> </w:t>
      </w:r>
      <w:r w:rsidR="00975E96" w:rsidRPr="00692B72">
        <w:rPr>
          <w:rFonts w:ascii="Calibri" w:hAnsi="Calibri"/>
          <w:sz w:val="22"/>
          <w:szCs w:val="22"/>
        </w:rPr>
        <w:t>level of ≤</w:t>
      </w:r>
      <w:r w:rsidRPr="00692B72">
        <w:rPr>
          <w:rFonts w:ascii="Calibri" w:hAnsi="Calibri"/>
          <w:sz w:val="22"/>
          <w:szCs w:val="22"/>
        </w:rPr>
        <w:t xml:space="preserve">50 </w:t>
      </w:r>
      <w:proofErr w:type="spellStart"/>
      <w:r w:rsidRPr="00692B72">
        <w:rPr>
          <w:rFonts w:ascii="Calibri" w:hAnsi="Calibri"/>
          <w:sz w:val="22"/>
          <w:szCs w:val="22"/>
        </w:rPr>
        <w:t>pg</w:t>
      </w:r>
      <w:proofErr w:type="spellEnd"/>
      <w:r w:rsidRPr="00692B72">
        <w:rPr>
          <w:rFonts w:ascii="Calibri" w:hAnsi="Calibri"/>
          <w:sz w:val="22"/>
          <w:szCs w:val="22"/>
        </w:rPr>
        <w:t>/</w:t>
      </w:r>
      <w:proofErr w:type="spellStart"/>
      <w:r w:rsidRPr="00692B72">
        <w:rPr>
          <w:rFonts w:ascii="Calibri" w:hAnsi="Calibri"/>
          <w:sz w:val="22"/>
          <w:szCs w:val="22"/>
        </w:rPr>
        <w:t>mL.</w:t>
      </w:r>
      <w:proofErr w:type="spellEnd"/>
      <w:r w:rsidRPr="00692B72">
        <w:rPr>
          <w:rFonts w:ascii="Calibri" w:hAnsi="Calibri"/>
          <w:sz w:val="22"/>
          <w:szCs w:val="22"/>
        </w:rPr>
        <w:t xml:space="preserve">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primary efficacy parameter in this study was the number of fertilised oocytes retrieved per patient. 837 patients entered the study, of whom 713 were randomised. Of these, 711 received at least one dose of FSH: 237 patients received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proofErr w:type="spellStart"/>
      <w:r w:rsidRPr="00692B72">
        <w:rPr>
          <w:rFonts w:ascii="Calibri" w:hAnsi="Calibri"/>
          <w:sz w:val="22"/>
          <w:szCs w:val="22"/>
        </w:rPr>
        <w:t>hFSH</w:t>
      </w:r>
      <w:proofErr w:type="spellEnd"/>
      <w:r w:rsidRPr="00692B72">
        <w:rPr>
          <w:rFonts w:ascii="Calibri" w:hAnsi="Calibri"/>
          <w:sz w:val="22"/>
          <w:szCs w:val="22"/>
        </w:rPr>
        <w:t>; filled-by-mass), 237 patients received u-</w:t>
      </w:r>
      <w:proofErr w:type="spellStart"/>
      <w:r w:rsidRPr="00692B72">
        <w:rPr>
          <w:rFonts w:ascii="Calibri" w:hAnsi="Calibri"/>
          <w:sz w:val="22"/>
          <w:szCs w:val="22"/>
        </w:rPr>
        <w:t>hFSH</w:t>
      </w:r>
      <w:proofErr w:type="spellEnd"/>
      <w:r w:rsidRPr="00692B72">
        <w:rPr>
          <w:rFonts w:ascii="Calibri" w:hAnsi="Calibri"/>
          <w:sz w:val="22"/>
          <w:szCs w:val="22"/>
        </w:rPr>
        <w:t xml:space="preserve">, and 237 patients received </w:t>
      </w:r>
      <w:r w:rsidR="000A45A5" w:rsidRPr="00692B72">
        <w:rPr>
          <w:rFonts w:ascii="Calibri" w:hAnsi="Calibri"/>
          <w:sz w:val="22"/>
          <w:szCs w:val="22"/>
        </w:rPr>
        <w:t xml:space="preserve">follitropin alfa </w:t>
      </w:r>
      <w:r w:rsidRPr="00692B72">
        <w:rPr>
          <w:rFonts w:ascii="Calibri" w:hAnsi="Calibri"/>
          <w:sz w:val="22"/>
          <w:szCs w:val="22"/>
        </w:rPr>
        <w:t xml:space="preserve">old formulation (filled by bioactivity). The number of oocytes retrieved was similar in all treatment groups. The efficacy of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r w:rsidR="00935AD3" w:rsidRPr="00692B72">
        <w:rPr>
          <w:rFonts w:ascii="Calibri" w:hAnsi="Calibri"/>
          <w:sz w:val="22"/>
          <w:szCs w:val="22"/>
        </w:rPr>
        <w:noBreakHyphen/>
      </w:r>
      <w:proofErr w:type="spellStart"/>
      <w:r w:rsidRPr="00692B72">
        <w:rPr>
          <w:rFonts w:ascii="Calibri" w:hAnsi="Calibri"/>
          <w:sz w:val="22"/>
          <w:szCs w:val="22"/>
        </w:rPr>
        <w:t>hFSH</w:t>
      </w:r>
      <w:proofErr w:type="spellEnd"/>
      <w:r w:rsidRPr="00692B72">
        <w:rPr>
          <w:rFonts w:ascii="Calibri" w:hAnsi="Calibri"/>
          <w:sz w:val="22"/>
          <w:szCs w:val="22"/>
        </w:rPr>
        <w:t>; filled-by-mass) although not superior, led to statistically higher response rates in the number of fertilised oocytes as compared to u-</w:t>
      </w:r>
      <w:proofErr w:type="spellStart"/>
      <w:r w:rsidRPr="00692B72">
        <w:rPr>
          <w:rFonts w:ascii="Calibri" w:hAnsi="Calibri"/>
          <w:sz w:val="22"/>
          <w:szCs w:val="22"/>
        </w:rPr>
        <w:t>hFSH</w:t>
      </w:r>
      <w:proofErr w:type="spellEnd"/>
      <w:r w:rsidRPr="00692B72">
        <w:rPr>
          <w:rFonts w:ascii="Calibri" w:hAnsi="Calibri"/>
          <w:sz w:val="22"/>
          <w:szCs w:val="22"/>
        </w:rPr>
        <w:t xml:space="preserve">. The efficacy results are summarised below in Tables </w:t>
      </w:r>
      <w:r w:rsidR="00AA4119" w:rsidRPr="00692B72">
        <w:rPr>
          <w:rFonts w:ascii="Calibri" w:hAnsi="Calibri"/>
          <w:sz w:val="22"/>
          <w:szCs w:val="22"/>
        </w:rPr>
        <w:t>3</w:t>
      </w:r>
      <w:r w:rsidRPr="00692B72">
        <w:rPr>
          <w:rFonts w:ascii="Calibri" w:hAnsi="Calibri"/>
          <w:sz w:val="22"/>
          <w:szCs w:val="22"/>
        </w:rPr>
        <w:t xml:space="preserve"> and </w:t>
      </w:r>
      <w:r w:rsidR="00AA4119" w:rsidRPr="00692B72">
        <w:rPr>
          <w:rFonts w:ascii="Calibri" w:hAnsi="Calibri"/>
          <w:sz w:val="22"/>
          <w:szCs w:val="22"/>
        </w:rPr>
        <w:t>4</w:t>
      </w:r>
      <w:r w:rsidRPr="00692B72">
        <w:rPr>
          <w:rFonts w:ascii="Calibri" w:hAnsi="Calibri"/>
          <w:sz w:val="22"/>
          <w:szCs w:val="22"/>
        </w:rPr>
        <w:t xml:space="preserve">: </w:t>
      </w:r>
    </w:p>
    <w:p w:rsidR="00975E96" w:rsidRPr="00692B72" w:rsidRDefault="00975E96" w:rsidP="000D1E50">
      <w:pPr>
        <w:pStyle w:val="Default"/>
        <w:rPr>
          <w:rFonts w:ascii="Calibri" w:hAnsi="Calibri"/>
          <w:sz w:val="22"/>
          <w:szCs w:val="22"/>
        </w:rPr>
      </w:pPr>
    </w:p>
    <w:p w:rsidR="000D1E50" w:rsidRDefault="000D1E50" w:rsidP="00752208">
      <w:pPr>
        <w:keepNext/>
        <w:tabs>
          <w:tab w:val="left" w:pos="851"/>
        </w:tabs>
        <w:spacing w:after="120"/>
        <w:rPr>
          <w:b/>
        </w:rPr>
      </w:pPr>
      <w:r w:rsidRPr="00975E96">
        <w:rPr>
          <w:b/>
        </w:rPr>
        <w:t xml:space="preserve">Table </w:t>
      </w:r>
      <w:r w:rsidR="00AA4119">
        <w:rPr>
          <w:b/>
        </w:rPr>
        <w:t>3</w:t>
      </w:r>
      <w:r w:rsidR="000802B9">
        <w:rPr>
          <w:b/>
        </w:rPr>
        <w:t>.</w:t>
      </w:r>
      <w:r w:rsidR="000802B9">
        <w:rPr>
          <w:b/>
        </w:rPr>
        <w:tab/>
      </w:r>
      <w:r w:rsidRPr="00975E96">
        <w:rPr>
          <w:b/>
        </w:rPr>
        <w:t>Number of Oocytes Fertilised: Summary Statistics (mean (</w:t>
      </w:r>
      <w:proofErr w:type="spellStart"/>
      <w:proofErr w:type="gramStart"/>
      <w:r w:rsidRPr="00975E96">
        <w:rPr>
          <w:b/>
        </w:rPr>
        <w:t>sd</w:t>
      </w:r>
      <w:proofErr w:type="spellEnd"/>
      <w:proofErr w:type="gramEnd"/>
      <w:r w:rsidRPr="00975E96">
        <w:rPr>
          <w:b/>
        </w:rPr>
        <w:t>)) by Treatment (Study</w:t>
      </w:r>
      <w:r w:rsidR="00935AD3">
        <w:rPr>
          <w:b/>
        </w:rPr>
        <w:t> </w:t>
      </w:r>
      <w:r w:rsidRPr="00975E96">
        <w:rPr>
          <w:b/>
        </w:rPr>
        <w:t>21884)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0"/>
        <w:gridCol w:w="1540"/>
        <w:gridCol w:w="1541"/>
        <w:gridCol w:w="1541"/>
      </w:tblGrid>
      <w:tr w:rsidR="002955CD" w:rsidRPr="00692B72" w:rsidTr="00F61CB4">
        <w:tc>
          <w:tcPr>
            <w:tcW w:w="1540" w:type="dxa"/>
            <w:shd w:val="clear" w:color="auto" w:fill="auto"/>
          </w:tcPr>
          <w:p w:rsidR="00B21732" w:rsidRPr="00692B72" w:rsidRDefault="00B21732" w:rsidP="00692B72">
            <w:pPr>
              <w:spacing w:after="0" w:line="240" w:lineRule="auto"/>
              <w:jc w:val="center"/>
              <w:rPr>
                <w:b/>
              </w:rPr>
            </w:pPr>
            <w:r w:rsidRPr="00692B72">
              <w:rPr>
                <w:b/>
              </w:rPr>
              <w:t>Number of patients</w:t>
            </w:r>
          </w:p>
        </w:tc>
        <w:tc>
          <w:tcPr>
            <w:tcW w:w="1540" w:type="dxa"/>
            <w:shd w:val="clear" w:color="auto" w:fill="auto"/>
          </w:tcPr>
          <w:p w:rsidR="00B21732" w:rsidRPr="00692B72" w:rsidRDefault="00B21732" w:rsidP="00692B72">
            <w:pPr>
              <w:spacing w:after="0" w:line="240" w:lineRule="auto"/>
              <w:jc w:val="center"/>
              <w:rPr>
                <w:b/>
              </w:rPr>
            </w:pPr>
            <w:r w:rsidRPr="00692B72">
              <w:rPr>
                <w:b/>
              </w:rPr>
              <w:t>Missing</w:t>
            </w:r>
          </w:p>
        </w:tc>
        <w:tc>
          <w:tcPr>
            <w:tcW w:w="1540" w:type="dxa"/>
            <w:shd w:val="clear" w:color="auto" w:fill="auto"/>
          </w:tcPr>
          <w:p w:rsidR="00B21732" w:rsidRPr="00692B72" w:rsidRDefault="00B21732" w:rsidP="00692B72">
            <w:pPr>
              <w:spacing w:after="0" w:line="240" w:lineRule="auto"/>
              <w:jc w:val="center"/>
              <w:rPr>
                <w:b/>
              </w:rPr>
            </w:pPr>
            <w:r w:rsidRPr="00692B72">
              <w:rPr>
                <w:b/>
              </w:rPr>
              <w:t>r</w:t>
            </w:r>
            <w:r w:rsidR="00F855BB" w:rsidRPr="00692B72">
              <w:rPr>
                <w:b/>
              </w:rPr>
              <w:t>-</w:t>
            </w:r>
            <w:proofErr w:type="spellStart"/>
            <w:r w:rsidR="00F855BB" w:rsidRPr="00692B72">
              <w:rPr>
                <w:b/>
              </w:rPr>
              <w:t>hFSH</w:t>
            </w:r>
            <w:proofErr w:type="spellEnd"/>
            <w:r w:rsidRPr="00692B72">
              <w:rPr>
                <w:b/>
              </w:rPr>
              <w:t xml:space="preserve"> (filled by mass)</w:t>
            </w:r>
          </w:p>
        </w:tc>
        <w:tc>
          <w:tcPr>
            <w:tcW w:w="1540" w:type="dxa"/>
            <w:shd w:val="clear" w:color="auto" w:fill="auto"/>
          </w:tcPr>
          <w:p w:rsidR="00B21732" w:rsidRPr="00692B72" w:rsidRDefault="00B21732" w:rsidP="00692B72">
            <w:pPr>
              <w:spacing w:after="0" w:line="240" w:lineRule="auto"/>
              <w:jc w:val="center"/>
              <w:rPr>
                <w:b/>
              </w:rPr>
            </w:pPr>
            <w:r w:rsidRPr="00692B72">
              <w:rPr>
                <w:b/>
              </w:rPr>
              <w:t>u-</w:t>
            </w:r>
            <w:proofErr w:type="spellStart"/>
            <w:r w:rsidRPr="00692B72">
              <w:rPr>
                <w:b/>
              </w:rPr>
              <w:t>hFSH</w:t>
            </w:r>
            <w:proofErr w:type="spellEnd"/>
          </w:p>
        </w:tc>
        <w:tc>
          <w:tcPr>
            <w:tcW w:w="1541" w:type="dxa"/>
            <w:shd w:val="clear" w:color="auto" w:fill="auto"/>
          </w:tcPr>
          <w:p w:rsidR="00B21732" w:rsidRPr="00692B72" w:rsidRDefault="00F855BB" w:rsidP="00692B72">
            <w:pPr>
              <w:spacing w:after="0" w:line="240" w:lineRule="auto"/>
              <w:jc w:val="center"/>
              <w:rPr>
                <w:b/>
              </w:rPr>
            </w:pPr>
            <w:r w:rsidRPr="00692B72">
              <w:rPr>
                <w:b/>
              </w:rPr>
              <w:t>r-</w:t>
            </w:r>
            <w:proofErr w:type="spellStart"/>
            <w:r w:rsidRPr="00692B72">
              <w:rPr>
                <w:b/>
              </w:rPr>
              <w:t>hFSH</w:t>
            </w:r>
            <w:proofErr w:type="spellEnd"/>
            <w:r w:rsidRPr="00692B72">
              <w:rPr>
                <w:b/>
              </w:rPr>
              <w:t xml:space="preserve"> </w:t>
            </w:r>
            <w:r w:rsidR="00B21732" w:rsidRPr="00692B72">
              <w:rPr>
                <w:b/>
              </w:rPr>
              <w:t>(filled by bioactivity)</w:t>
            </w:r>
          </w:p>
        </w:tc>
        <w:tc>
          <w:tcPr>
            <w:tcW w:w="1541" w:type="dxa"/>
            <w:shd w:val="clear" w:color="auto" w:fill="auto"/>
          </w:tcPr>
          <w:p w:rsidR="00B21732" w:rsidRPr="00692B72" w:rsidRDefault="00B21732" w:rsidP="00692B72">
            <w:pPr>
              <w:spacing w:after="0" w:line="240" w:lineRule="auto"/>
              <w:jc w:val="center"/>
              <w:rPr>
                <w:b/>
              </w:rPr>
            </w:pPr>
            <w:r w:rsidRPr="00692B72">
              <w:rPr>
                <w:b/>
              </w:rPr>
              <w:t>Overall</w:t>
            </w:r>
          </w:p>
        </w:tc>
      </w:tr>
      <w:tr w:rsidR="002955CD" w:rsidRPr="00F61CB4" w:rsidTr="00F61CB4">
        <w:tc>
          <w:tcPr>
            <w:tcW w:w="1540"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653</w:t>
            </w:r>
          </w:p>
        </w:tc>
        <w:tc>
          <w:tcPr>
            <w:tcW w:w="1540" w:type="dxa"/>
            <w:shd w:val="clear" w:color="auto" w:fill="auto"/>
          </w:tcPr>
          <w:p w:rsidR="00B21732" w:rsidRPr="00F61CB4" w:rsidRDefault="00B21732" w:rsidP="00692B72">
            <w:pPr>
              <w:spacing w:after="0" w:line="240" w:lineRule="auto"/>
              <w:jc w:val="center"/>
              <w:rPr>
                <w:sz w:val="20"/>
                <w:szCs w:val="20"/>
              </w:rPr>
            </w:pPr>
            <w:r w:rsidRPr="00F61CB4">
              <w:rPr>
                <w:sz w:val="20"/>
                <w:szCs w:val="20"/>
              </w:rPr>
              <w:t>29</w:t>
            </w:r>
          </w:p>
        </w:tc>
        <w:tc>
          <w:tcPr>
            <w:tcW w:w="1540"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6.7 (4.1)</w:t>
            </w:r>
          </w:p>
        </w:tc>
        <w:tc>
          <w:tcPr>
            <w:tcW w:w="1540"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6.0 (3.7)</w:t>
            </w:r>
          </w:p>
        </w:tc>
        <w:tc>
          <w:tcPr>
            <w:tcW w:w="1541"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6.1 (4.3)</w:t>
            </w:r>
          </w:p>
        </w:tc>
        <w:tc>
          <w:tcPr>
            <w:tcW w:w="1541"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6.3 (</w:t>
            </w:r>
            <w:r w:rsidR="00F855BB" w:rsidRPr="00F61CB4">
              <w:rPr>
                <w:sz w:val="20"/>
                <w:szCs w:val="20"/>
              </w:rPr>
              <w:t>4.0)</w:t>
            </w:r>
          </w:p>
        </w:tc>
      </w:tr>
    </w:tbl>
    <w:p w:rsidR="000731AE" w:rsidRPr="000731AE" w:rsidRDefault="000731AE" w:rsidP="00F855BB">
      <w:pPr>
        <w:rPr>
          <w:b/>
          <w:sz w:val="2"/>
        </w:rPr>
      </w:pPr>
    </w:p>
    <w:p w:rsidR="00752208" w:rsidRPr="00752208" w:rsidRDefault="00752208" w:rsidP="00752208">
      <w:pPr>
        <w:spacing w:after="120"/>
        <w:rPr>
          <w:b/>
        </w:rPr>
      </w:pPr>
    </w:p>
    <w:p w:rsidR="005A3123" w:rsidRDefault="005A3123">
      <w:pPr>
        <w:spacing w:after="0" w:line="240" w:lineRule="auto"/>
        <w:rPr>
          <w:b/>
        </w:rPr>
      </w:pPr>
      <w:r>
        <w:rPr>
          <w:b/>
        </w:rPr>
        <w:br w:type="page"/>
      </w:r>
    </w:p>
    <w:p w:rsidR="00F855BB" w:rsidRPr="005A3123" w:rsidRDefault="00F855BB" w:rsidP="00752208">
      <w:pPr>
        <w:keepNext/>
        <w:tabs>
          <w:tab w:val="left" w:pos="851"/>
        </w:tabs>
        <w:spacing w:after="120"/>
        <w:rPr>
          <w:b/>
        </w:rPr>
      </w:pPr>
      <w:proofErr w:type="gramStart"/>
      <w:r>
        <w:rPr>
          <w:b/>
        </w:rPr>
        <w:lastRenderedPageBreak/>
        <w:t xml:space="preserve">Table </w:t>
      </w:r>
      <w:r w:rsidR="00AA4119">
        <w:rPr>
          <w:b/>
        </w:rPr>
        <w:t>4</w:t>
      </w:r>
      <w:r w:rsidR="00935AD3">
        <w:rPr>
          <w:b/>
        </w:rPr>
        <w:t>.</w:t>
      </w:r>
      <w:proofErr w:type="gramEnd"/>
      <w:r w:rsidR="00935AD3">
        <w:rPr>
          <w:b/>
        </w:rPr>
        <w:tab/>
      </w:r>
      <w:r>
        <w:rPr>
          <w:b/>
        </w:rPr>
        <w:t xml:space="preserve">Number of Oocytes Fertilised: Statistical Comparisons between the Treatment Groups by </w:t>
      </w:r>
      <w:r w:rsidRPr="005A3123">
        <w:rPr>
          <w:b/>
        </w:rPr>
        <w:t>Age and Type of Insemination.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44"/>
        <w:gridCol w:w="1404"/>
        <w:gridCol w:w="1265"/>
        <w:gridCol w:w="1265"/>
        <w:gridCol w:w="1265"/>
        <w:gridCol w:w="1264"/>
        <w:gridCol w:w="1265"/>
      </w:tblGrid>
      <w:tr w:rsidR="002955CD" w:rsidRPr="00692B72" w:rsidTr="00F61CB4">
        <w:tc>
          <w:tcPr>
            <w:tcW w:w="675" w:type="dxa"/>
            <w:shd w:val="clear" w:color="auto" w:fill="auto"/>
          </w:tcPr>
          <w:p w:rsidR="00F855BB" w:rsidRPr="00692B72" w:rsidRDefault="00F855BB" w:rsidP="00692B72">
            <w:pPr>
              <w:spacing w:after="0" w:line="240" w:lineRule="auto"/>
              <w:rPr>
                <w:b/>
              </w:rPr>
            </w:pPr>
            <w:r w:rsidRPr="00692B72">
              <w:rPr>
                <w:b/>
              </w:rPr>
              <w:t>Age</w:t>
            </w:r>
          </w:p>
        </w:tc>
        <w:tc>
          <w:tcPr>
            <w:tcW w:w="851" w:type="dxa"/>
            <w:shd w:val="clear" w:color="auto" w:fill="auto"/>
          </w:tcPr>
          <w:p w:rsidR="00F855BB" w:rsidRPr="00692B72" w:rsidRDefault="00F855BB" w:rsidP="00692B72">
            <w:pPr>
              <w:spacing w:after="0" w:line="240" w:lineRule="auto"/>
              <w:rPr>
                <w:b/>
              </w:rPr>
            </w:pPr>
            <w:r w:rsidRPr="00692B72">
              <w:rPr>
                <w:b/>
              </w:rPr>
              <w:t>Insemination</w:t>
            </w:r>
          </w:p>
        </w:tc>
        <w:tc>
          <w:tcPr>
            <w:tcW w:w="1417" w:type="dxa"/>
            <w:shd w:val="clear" w:color="auto" w:fill="auto"/>
          </w:tcPr>
          <w:p w:rsidR="000731AE" w:rsidRPr="00692B72" w:rsidRDefault="00F855BB" w:rsidP="00692B72">
            <w:pPr>
              <w:spacing w:after="0" w:line="240" w:lineRule="auto"/>
              <w:rPr>
                <w:b/>
              </w:rPr>
            </w:pPr>
            <w:r w:rsidRPr="00692B72">
              <w:rPr>
                <w:b/>
              </w:rPr>
              <w:t>r-</w:t>
            </w:r>
            <w:proofErr w:type="spellStart"/>
            <w:r w:rsidRPr="00692B72">
              <w:rPr>
                <w:b/>
              </w:rPr>
              <w:t>hFSH</w:t>
            </w:r>
            <w:proofErr w:type="spellEnd"/>
            <w:r w:rsidRPr="00692B72">
              <w:rPr>
                <w:b/>
              </w:rPr>
              <w:t xml:space="preserve"> (</w:t>
            </w:r>
            <w:proofErr w:type="spellStart"/>
            <w:r w:rsidRPr="00692B72">
              <w:rPr>
                <w:b/>
              </w:rPr>
              <w:t>fbm</w:t>
            </w:r>
            <w:proofErr w:type="spellEnd"/>
            <w:r w:rsidRPr="00692B72">
              <w:rPr>
                <w:b/>
              </w:rPr>
              <w:t xml:space="preserve">) vs </w:t>
            </w:r>
          </w:p>
          <w:p w:rsidR="00F855BB" w:rsidRPr="00692B72" w:rsidRDefault="000731AE" w:rsidP="00692B72">
            <w:pPr>
              <w:spacing w:after="0" w:line="240" w:lineRule="auto"/>
              <w:rPr>
                <w:b/>
              </w:rPr>
            </w:pPr>
            <w:r w:rsidRPr="00692B72">
              <w:rPr>
                <w:b/>
              </w:rPr>
              <w:t>u-</w:t>
            </w:r>
            <w:proofErr w:type="spellStart"/>
            <w:r w:rsidR="00F855BB" w:rsidRPr="00692B72">
              <w:rPr>
                <w:b/>
              </w:rPr>
              <w:t>hFSH</w:t>
            </w:r>
            <w:proofErr w:type="spellEnd"/>
          </w:p>
        </w:tc>
        <w:tc>
          <w:tcPr>
            <w:tcW w:w="1276" w:type="dxa"/>
            <w:shd w:val="clear" w:color="auto" w:fill="auto"/>
          </w:tcPr>
          <w:p w:rsidR="00F855BB" w:rsidRPr="00692B72" w:rsidRDefault="00F855BB" w:rsidP="00692B72">
            <w:pPr>
              <w:spacing w:after="0" w:line="240" w:lineRule="auto"/>
              <w:rPr>
                <w:b/>
              </w:rPr>
            </w:pPr>
            <w:r w:rsidRPr="00692B72">
              <w:rPr>
                <w:b/>
              </w:rPr>
              <w:t>Estimated difference</w:t>
            </w:r>
          </w:p>
        </w:tc>
        <w:tc>
          <w:tcPr>
            <w:tcW w:w="1276" w:type="dxa"/>
            <w:shd w:val="clear" w:color="auto" w:fill="auto"/>
          </w:tcPr>
          <w:p w:rsidR="00F855BB" w:rsidRPr="00692B72" w:rsidRDefault="00F855BB" w:rsidP="00692B72">
            <w:pPr>
              <w:spacing w:after="0" w:line="240" w:lineRule="auto"/>
              <w:rPr>
                <w:b/>
              </w:rPr>
            </w:pPr>
            <w:r w:rsidRPr="00692B72">
              <w:rPr>
                <w:b/>
              </w:rPr>
              <w:t>90% CI</w:t>
            </w:r>
          </w:p>
        </w:tc>
        <w:tc>
          <w:tcPr>
            <w:tcW w:w="1276" w:type="dxa"/>
            <w:shd w:val="clear" w:color="auto" w:fill="auto"/>
          </w:tcPr>
          <w:p w:rsidR="000731AE" w:rsidRPr="00692B72" w:rsidRDefault="00F855BB" w:rsidP="00692B72">
            <w:pPr>
              <w:spacing w:after="0" w:line="240" w:lineRule="auto"/>
              <w:rPr>
                <w:b/>
              </w:rPr>
            </w:pPr>
            <w:r w:rsidRPr="00692B72">
              <w:rPr>
                <w:b/>
              </w:rPr>
              <w:t>r-</w:t>
            </w:r>
            <w:proofErr w:type="spellStart"/>
            <w:r w:rsidRPr="00692B72">
              <w:rPr>
                <w:b/>
              </w:rPr>
              <w:t>hFSH</w:t>
            </w:r>
            <w:proofErr w:type="spellEnd"/>
            <w:r w:rsidRPr="00692B72">
              <w:rPr>
                <w:b/>
              </w:rPr>
              <w:t xml:space="preserve"> (</w:t>
            </w:r>
            <w:proofErr w:type="spellStart"/>
            <w:r w:rsidRPr="00692B72">
              <w:rPr>
                <w:b/>
              </w:rPr>
              <w:t>fbm</w:t>
            </w:r>
            <w:proofErr w:type="spellEnd"/>
            <w:r w:rsidRPr="00692B72">
              <w:rPr>
                <w:b/>
              </w:rPr>
              <w:t xml:space="preserve">) vs </w:t>
            </w:r>
          </w:p>
          <w:p w:rsidR="00F855BB" w:rsidRPr="00692B72" w:rsidRDefault="00F855BB" w:rsidP="00692B72">
            <w:pPr>
              <w:spacing w:after="0" w:line="240" w:lineRule="auto"/>
              <w:rPr>
                <w:b/>
              </w:rPr>
            </w:pPr>
            <w:r w:rsidRPr="00692B72">
              <w:rPr>
                <w:b/>
              </w:rPr>
              <w:t>r-</w:t>
            </w:r>
            <w:proofErr w:type="spellStart"/>
            <w:r w:rsidRPr="00692B72">
              <w:rPr>
                <w:b/>
              </w:rPr>
              <w:t>hFSH</w:t>
            </w:r>
            <w:proofErr w:type="spellEnd"/>
            <w:r w:rsidRPr="00692B72">
              <w:rPr>
                <w:b/>
              </w:rPr>
              <w:t xml:space="preserve"> (filled by </w:t>
            </w:r>
            <w:proofErr w:type="spellStart"/>
            <w:r w:rsidRPr="00692B72">
              <w:rPr>
                <w:b/>
              </w:rPr>
              <w:t>bioactibity</w:t>
            </w:r>
            <w:proofErr w:type="spellEnd"/>
            <w:r w:rsidRPr="00692B72">
              <w:rPr>
                <w:b/>
              </w:rPr>
              <w:t>)</w:t>
            </w:r>
          </w:p>
        </w:tc>
        <w:tc>
          <w:tcPr>
            <w:tcW w:w="1275" w:type="dxa"/>
            <w:shd w:val="clear" w:color="auto" w:fill="auto"/>
          </w:tcPr>
          <w:p w:rsidR="00F855BB" w:rsidRPr="00692B72" w:rsidRDefault="00F855BB" w:rsidP="00692B72">
            <w:pPr>
              <w:spacing w:after="0" w:line="240" w:lineRule="auto"/>
              <w:rPr>
                <w:b/>
              </w:rPr>
            </w:pPr>
            <w:r w:rsidRPr="00692B72">
              <w:rPr>
                <w:b/>
              </w:rPr>
              <w:t>Estimated difference</w:t>
            </w:r>
          </w:p>
        </w:tc>
        <w:tc>
          <w:tcPr>
            <w:tcW w:w="1276" w:type="dxa"/>
            <w:shd w:val="clear" w:color="auto" w:fill="auto"/>
          </w:tcPr>
          <w:p w:rsidR="00F855BB" w:rsidRPr="00692B72" w:rsidRDefault="00F855BB" w:rsidP="00692B72">
            <w:pPr>
              <w:spacing w:after="0" w:line="240" w:lineRule="auto"/>
              <w:rPr>
                <w:b/>
              </w:rPr>
            </w:pPr>
            <w:r w:rsidRPr="00692B72">
              <w:rPr>
                <w:b/>
              </w:rPr>
              <w:t>95% CI</w:t>
            </w:r>
          </w:p>
        </w:tc>
      </w:tr>
      <w:tr w:rsidR="002955CD" w:rsidRPr="00692B72" w:rsidTr="00F61CB4">
        <w:tc>
          <w:tcPr>
            <w:tcW w:w="675" w:type="dxa"/>
            <w:vMerge w:val="restart"/>
            <w:shd w:val="clear" w:color="auto" w:fill="auto"/>
          </w:tcPr>
          <w:p w:rsidR="00F855BB" w:rsidRPr="00692B72" w:rsidRDefault="00F855BB" w:rsidP="00692B72">
            <w:pPr>
              <w:spacing w:after="0" w:line="240" w:lineRule="auto"/>
              <w:rPr>
                <w:sz w:val="20"/>
                <w:szCs w:val="20"/>
              </w:rPr>
            </w:pPr>
            <w:r w:rsidRPr="00692B72">
              <w:rPr>
                <w:sz w:val="20"/>
                <w:szCs w:val="20"/>
              </w:rPr>
              <w:t>&lt;35</w:t>
            </w:r>
          </w:p>
        </w:tc>
        <w:tc>
          <w:tcPr>
            <w:tcW w:w="851" w:type="dxa"/>
            <w:shd w:val="clear" w:color="auto" w:fill="auto"/>
          </w:tcPr>
          <w:p w:rsidR="00F855BB" w:rsidRPr="00692B72" w:rsidRDefault="00F855BB" w:rsidP="00692B72">
            <w:pPr>
              <w:spacing w:after="0" w:line="240" w:lineRule="auto"/>
              <w:rPr>
                <w:sz w:val="20"/>
                <w:szCs w:val="20"/>
              </w:rPr>
            </w:pPr>
            <w:r w:rsidRPr="00692B72">
              <w:rPr>
                <w:sz w:val="20"/>
                <w:szCs w:val="20"/>
              </w:rPr>
              <w:t>IVF</w:t>
            </w:r>
          </w:p>
        </w:tc>
        <w:tc>
          <w:tcPr>
            <w:tcW w:w="1417" w:type="dxa"/>
            <w:shd w:val="clear" w:color="auto" w:fill="auto"/>
          </w:tcPr>
          <w:p w:rsidR="00F855BB" w:rsidRPr="00692B72" w:rsidRDefault="00F855BB" w:rsidP="00692B72">
            <w:pPr>
              <w:spacing w:after="0" w:line="240" w:lineRule="auto"/>
              <w:rPr>
                <w:sz w:val="20"/>
                <w:szCs w:val="20"/>
              </w:rPr>
            </w:pPr>
            <w:r w:rsidRPr="00692B72">
              <w:rPr>
                <w:sz w:val="20"/>
                <w:szCs w:val="20"/>
              </w:rPr>
              <w:t>0.257</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0.96</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[-0.44, 236]</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0.471</w:t>
            </w:r>
          </w:p>
        </w:tc>
        <w:tc>
          <w:tcPr>
            <w:tcW w:w="1275" w:type="dxa"/>
            <w:shd w:val="clear" w:color="auto" w:fill="auto"/>
          </w:tcPr>
          <w:p w:rsidR="00F855BB" w:rsidRPr="00692B72" w:rsidRDefault="000731AE" w:rsidP="00692B72">
            <w:pPr>
              <w:spacing w:after="0" w:line="240" w:lineRule="auto"/>
              <w:rPr>
                <w:sz w:val="20"/>
                <w:szCs w:val="20"/>
              </w:rPr>
            </w:pPr>
            <w:r w:rsidRPr="00692B72">
              <w:rPr>
                <w:sz w:val="20"/>
                <w:szCs w:val="20"/>
              </w:rPr>
              <w:t>0.62</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[-1.07, 2.30]</w:t>
            </w:r>
          </w:p>
        </w:tc>
      </w:tr>
      <w:tr w:rsidR="002955CD" w:rsidRPr="00692B72" w:rsidTr="00F61CB4">
        <w:tc>
          <w:tcPr>
            <w:tcW w:w="675" w:type="dxa"/>
            <w:vMerge/>
            <w:shd w:val="clear" w:color="auto" w:fill="auto"/>
          </w:tcPr>
          <w:p w:rsidR="00F855BB" w:rsidRPr="00692B72" w:rsidRDefault="00F855BB" w:rsidP="00692B72">
            <w:pPr>
              <w:spacing w:after="0" w:line="240" w:lineRule="auto"/>
              <w:rPr>
                <w:sz w:val="20"/>
                <w:szCs w:val="20"/>
              </w:rPr>
            </w:pPr>
          </w:p>
        </w:tc>
        <w:tc>
          <w:tcPr>
            <w:tcW w:w="851" w:type="dxa"/>
            <w:shd w:val="clear" w:color="auto" w:fill="auto"/>
          </w:tcPr>
          <w:p w:rsidR="00F855BB" w:rsidRPr="00692B72" w:rsidRDefault="00F855BB" w:rsidP="00692B72">
            <w:pPr>
              <w:spacing w:after="0" w:line="240" w:lineRule="auto"/>
              <w:rPr>
                <w:sz w:val="20"/>
                <w:szCs w:val="20"/>
              </w:rPr>
            </w:pPr>
            <w:r w:rsidRPr="00692B72">
              <w:rPr>
                <w:sz w:val="20"/>
                <w:szCs w:val="20"/>
              </w:rPr>
              <w:t>ICSI</w:t>
            </w:r>
          </w:p>
        </w:tc>
        <w:tc>
          <w:tcPr>
            <w:tcW w:w="1417" w:type="dxa"/>
            <w:shd w:val="clear" w:color="auto" w:fill="auto"/>
          </w:tcPr>
          <w:p w:rsidR="00F855BB" w:rsidRPr="00692B72" w:rsidRDefault="00F855BB" w:rsidP="00692B72">
            <w:pPr>
              <w:spacing w:after="0" w:line="240" w:lineRule="auto"/>
              <w:rPr>
                <w:sz w:val="20"/>
                <w:szCs w:val="20"/>
              </w:rPr>
            </w:pPr>
            <w:r w:rsidRPr="00692B72">
              <w:rPr>
                <w:sz w:val="20"/>
                <w:szCs w:val="20"/>
              </w:rPr>
              <w:t>0.009</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1.45</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[0.54, 2.36]</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0.004</w:t>
            </w:r>
          </w:p>
        </w:tc>
        <w:tc>
          <w:tcPr>
            <w:tcW w:w="1275" w:type="dxa"/>
            <w:shd w:val="clear" w:color="auto" w:fill="auto"/>
          </w:tcPr>
          <w:p w:rsidR="00F855BB" w:rsidRPr="00692B72" w:rsidRDefault="000731AE" w:rsidP="00692B72">
            <w:pPr>
              <w:spacing w:after="0" w:line="240" w:lineRule="auto"/>
              <w:rPr>
                <w:sz w:val="20"/>
                <w:szCs w:val="20"/>
              </w:rPr>
            </w:pPr>
            <w:r w:rsidRPr="00692B72">
              <w:rPr>
                <w:sz w:val="20"/>
                <w:szCs w:val="20"/>
              </w:rPr>
              <w:t>1.64</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[0.54, 2.73]</w:t>
            </w:r>
          </w:p>
        </w:tc>
      </w:tr>
      <w:tr w:rsidR="002955CD" w:rsidRPr="00692B72" w:rsidTr="00F61CB4">
        <w:tc>
          <w:tcPr>
            <w:tcW w:w="675" w:type="dxa"/>
            <w:vMerge/>
            <w:shd w:val="clear" w:color="auto" w:fill="auto"/>
          </w:tcPr>
          <w:p w:rsidR="00F855BB" w:rsidRPr="00692B72" w:rsidRDefault="00F855BB" w:rsidP="00692B72">
            <w:pPr>
              <w:spacing w:after="0" w:line="240" w:lineRule="auto"/>
              <w:rPr>
                <w:sz w:val="20"/>
                <w:szCs w:val="20"/>
              </w:rPr>
            </w:pPr>
          </w:p>
        </w:tc>
        <w:tc>
          <w:tcPr>
            <w:tcW w:w="851" w:type="dxa"/>
            <w:shd w:val="clear" w:color="auto" w:fill="auto"/>
          </w:tcPr>
          <w:p w:rsidR="00F855BB" w:rsidRPr="00692B72" w:rsidRDefault="00F855BB" w:rsidP="00692B72">
            <w:pPr>
              <w:spacing w:after="0" w:line="240" w:lineRule="auto"/>
              <w:rPr>
                <w:sz w:val="20"/>
                <w:szCs w:val="20"/>
              </w:rPr>
            </w:pPr>
            <w:r w:rsidRPr="00692B72">
              <w:rPr>
                <w:sz w:val="20"/>
                <w:szCs w:val="20"/>
              </w:rPr>
              <w:t>All</w:t>
            </w:r>
          </w:p>
        </w:tc>
        <w:tc>
          <w:tcPr>
            <w:tcW w:w="1417" w:type="dxa"/>
            <w:shd w:val="clear" w:color="auto" w:fill="auto"/>
          </w:tcPr>
          <w:p w:rsidR="00F855BB" w:rsidRPr="00692B72" w:rsidRDefault="00F855BB" w:rsidP="00692B72">
            <w:pPr>
              <w:spacing w:after="0" w:line="240" w:lineRule="auto"/>
              <w:rPr>
                <w:sz w:val="20"/>
                <w:szCs w:val="20"/>
              </w:rPr>
            </w:pPr>
            <w:r w:rsidRPr="00692B72">
              <w:rPr>
                <w:sz w:val="20"/>
                <w:szCs w:val="20"/>
              </w:rPr>
              <w:t>0.002</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1.41</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[0.66, 2.16]</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0.001</w:t>
            </w:r>
          </w:p>
        </w:tc>
        <w:tc>
          <w:tcPr>
            <w:tcW w:w="1275" w:type="dxa"/>
            <w:shd w:val="clear" w:color="auto" w:fill="auto"/>
          </w:tcPr>
          <w:p w:rsidR="00F855BB" w:rsidRPr="00692B72" w:rsidRDefault="000731AE" w:rsidP="00692B72">
            <w:pPr>
              <w:spacing w:after="0" w:line="240" w:lineRule="auto"/>
              <w:rPr>
                <w:sz w:val="20"/>
                <w:szCs w:val="20"/>
              </w:rPr>
            </w:pPr>
            <w:r w:rsidRPr="00692B72">
              <w:rPr>
                <w:sz w:val="20"/>
                <w:szCs w:val="20"/>
              </w:rPr>
              <w:t>1.52</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[0.62, 2.41]</w:t>
            </w:r>
          </w:p>
        </w:tc>
      </w:tr>
      <w:tr w:rsidR="002955CD" w:rsidRPr="00692B72" w:rsidTr="00F61CB4">
        <w:tc>
          <w:tcPr>
            <w:tcW w:w="675" w:type="dxa"/>
            <w:vMerge w:val="restart"/>
            <w:shd w:val="clear" w:color="auto" w:fill="auto"/>
          </w:tcPr>
          <w:p w:rsidR="000731AE" w:rsidRPr="00692B72" w:rsidRDefault="000731AE" w:rsidP="00692B72">
            <w:pPr>
              <w:spacing w:after="0" w:line="240" w:lineRule="auto"/>
              <w:rPr>
                <w:sz w:val="20"/>
                <w:szCs w:val="20"/>
              </w:rPr>
            </w:pPr>
            <w:r w:rsidRPr="00692B72">
              <w:rPr>
                <w:sz w:val="20"/>
                <w:szCs w:val="20"/>
              </w:rPr>
              <w:t>&gt;=35</w:t>
            </w: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IVF</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0.865</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-0.20</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[-2.18, 1.77]</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0.963</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-0.06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[-2.61, 2.49]</w:t>
            </w:r>
          </w:p>
        </w:tc>
      </w:tr>
      <w:tr w:rsidR="002955CD" w:rsidRPr="00692B72" w:rsidTr="00F61CB4">
        <w:tc>
          <w:tcPr>
            <w:tcW w:w="675" w:type="dxa"/>
            <w:vMerge/>
            <w:shd w:val="clear" w:color="auto" w:fill="auto"/>
          </w:tcPr>
          <w:p w:rsidR="000731AE" w:rsidRPr="00692B72" w:rsidRDefault="000731AE" w:rsidP="00692B72">
            <w:pPr>
              <w:spacing w:after="0" w:line="240" w:lineRule="auto"/>
              <w:rPr>
                <w:sz w:val="20"/>
                <w:szCs w:val="20"/>
              </w:rPr>
            </w:pP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ICSI</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0.112</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-1.58</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[-3.21, 0.06]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0.119</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-1.56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[-3.53, 0.41]</w:t>
            </w:r>
          </w:p>
        </w:tc>
      </w:tr>
      <w:tr w:rsidR="002955CD" w:rsidRPr="00692B72" w:rsidTr="00F61CB4">
        <w:tc>
          <w:tcPr>
            <w:tcW w:w="675" w:type="dxa"/>
            <w:vMerge/>
            <w:shd w:val="clear" w:color="auto" w:fill="auto"/>
          </w:tcPr>
          <w:p w:rsidR="000731AE" w:rsidRPr="00692B72" w:rsidRDefault="000731AE" w:rsidP="00692B72">
            <w:pPr>
              <w:spacing w:after="0" w:line="240" w:lineRule="auto"/>
              <w:rPr>
                <w:sz w:val="20"/>
                <w:szCs w:val="20"/>
              </w:rPr>
            </w:pP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All</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0.141</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-1.04</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[-2.20, 0.12]</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0.059</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-1.35</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[-2.76, 0.05]</w:t>
            </w:r>
          </w:p>
        </w:tc>
      </w:tr>
      <w:tr w:rsidR="002955CD" w:rsidRPr="00692B72" w:rsidTr="00F61CB4">
        <w:tc>
          <w:tcPr>
            <w:tcW w:w="675" w:type="dxa"/>
            <w:vMerge w:val="restart"/>
            <w:shd w:val="clear" w:color="auto" w:fill="auto"/>
          </w:tcPr>
          <w:p w:rsidR="000731AE" w:rsidRPr="00692B72" w:rsidRDefault="000731AE" w:rsidP="00692B72">
            <w:pPr>
              <w:spacing w:after="0" w:line="240" w:lineRule="auto"/>
              <w:rPr>
                <w:sz w:val="20"/>
                <w:szCs w:val="20"/>
              </w:rPr>
            </w:pPr>
            <w:r w:rsidRPr="00692B72">
              <w:rPr>
                <w:sz w:val="20"/>
                <w:szCs w:val="20"/>
              </w:rPr>
              <w:t>All</w:t>
            </w: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IVF</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0.510</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0.43</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[-0.65, 1.51]</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0.826</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0.15</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[-1.15, 1.44]</w:t>
            </w:r>
          </w:p>
        </w:tc>
      </w:tr>
      <w:tr w:rsidR="002955CD" w:rsidRPr="00692B72" w:rsidTr="00F61CB4">
        <w:tc>
          <w:tcPr>
            <w:tcW w:w="675" w:type="dxa"/>
            <w:vMerge/>
            <w:shd w:val="clear" w:color="auto" w:fill="auto"/>
          </w:tcPr>
          <w:p w:rsidR="000731AE" w:rsidRPr="00692B72" w:rsidRDefault="000731AE" w:rsidP="00692B72">
            <w:pPr>
              <w:spacing w:after="0" w:line="240" w:lineRule="auto"/>
              <w:rPr>
                <w:sz w:val="20"/>
                <w:szCs w:val="20"/>
              </w:rPr>
            </w:pP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ICSI</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0.098</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0.78</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[0.00, 1.55]</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0.083</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0.81</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[-0.11, 1.73]</w:t>
            </w:r>
          </w:p>
        </w:tc>
      </w:tr>
      <w:tr w:rsidR="002955CD" w:rsidRPr="00692B72" w:rsidTr="00F61CB4">
        <w:tc>
          <w:tcPr>
            <w:tcW w:w="675" w:type="dxa"/>
            <w:vMerge/>
            <w:shd w:val="clear" w:color="auto" w:fill="auto"/>
          </w:tcPr>
          <w:p w:rsidR="000731AE" w:rsidRPr="00692B72" w:rsidRDefault="000731AE" w:rsidP="00692B72">
            <w:pPr>
              <w:spacing w:after="0" w:line="240" w:lineRule="auto"/>
              <w:rPr>
                <w:sz w:val="20"/>
                <w:szCs w:val="20"/>
              </w:rPr>
            </w:pP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All</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0.052</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0.74</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[0.11, 1.36]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0.082</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0.66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[-0.08, 1.40]</w:t>
            </w:r>
          </w:p>
        </w:tc>
      </w:tr>
    </w:tbl>
    <w:p w:rsidR="00F855BB" w:rsidRPr="00094F7E" w:rsidRDefault="000731AE" w:rsidP="00752208">
      <w:pPr>
        <w:spacing w:after="120"/>
        <w:rPr>
          <w:sz w:val="20"/>
          <w:szCs w:val="20"/>
        </w:rPr>
      </w:pPr>
      <w:proofErr w:type="spellStart"/>
      <w:r w:rsidRPr="00094F7E">
        <w:rPr>
          <w:sz w:val="20"/>
          <w:szCs w:val="20"/>
        </w:rPr>
        <w:t>Fbm</w:t>
      </w:r>
      <w:proofErr w:type="spellEnd"/>
      <w:r w:rsidRPr="00094F7E">
        <w:rPr>
          <w:sz w:val="20"/>
          <w:szCs w:val="20"/>
        </w:rPr>
        <w:t>: filled-by-mass</w:t>
      </w:r>
    </w:p>
    <w:p w:rsidR="00D56C6C" w:rsidRPr="00692B72" w:rsidRDefault="00D56C6C"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441 of 713 patients experienced 1474 adverse events: 145 patients in the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proofErr w:type="spellStart"/>
      <w:r w:rsidRPr="00692B72">
        <w:rPr>
          <w:rFonts w:ascii="Calibri" w:hAnsi="Calibri"/>
          <w:sz w:val="22"/>
          <w:szCs w:val="22"/>
        </w:rPr>
        <w:t>hFSH</w:t>
      </w:r>
      <w:proofErr w:type="spellEnd"/>
      <w:r w:rsidRPr="00692B72">
        <w:rPr>
          <w:rFonts w:ascii="Calibri" w:hAnsi="Calibri"/>
          <w:sz w:val="22"/>
          <w:szCs w:val="22"/>
        </w:rPr>
        <w:t>; filled-by-mass) group, 143 patients in the u-</w:t>
      </w:r>
      <w:proofErr w:type="spellStart"/>
      <w:r w:rsidRPr="00692B72">
        <w:rPr>
          <w:rFonts w:ascii="Calibri" w:hAnsi="Calibri"/>
          <w:sz w:val="22"/>
          <w:szCs w:val="22"/>
        </w:rPr>
        <w:t>hFSH</w:t>
      </w:r>
      <w:proofErr w:type="spellEnd"/>
      <w:r w:rsidRPr="00692B72">
        <w:rPr>
          <w:rFonts w:ascii="Calibri" w:hAnsi="Calibri"/>
          <w:sz w:val="22"/>
          <w:szCs w:val="22"/>
        </w:rPr>
        <w:t xml:space="preserve"> group and 153 patients in the old </w:t>
      </w:r>
      <w:r w:rsidR="000A45A5" w:rsidRPr="00692B72">
        <w:rPr>
          <w:rFonts w:ascii="Calibri" w:hAnsi="Calibri"/>
          <w:sz w:val="22"/>
          <w:szCs w:val="22"/>
        </w:rPr>
        <w:t>follitropin alfa</w:t>
      </w:r>
      <w:r w:rsidRPr="00692B72">
        <w:rPr>
          <w:rFonts w:ascii="Calibri" w:hAnsi="Calibri"/>
          <w:sz w:val="22"/>
          <w:szCs w:val="22"/>
        </w:rPr>
        <w:t xml:space="preserve"> (filled by bioactivity) group. Most of the reported events were less in the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proofErr w:type="spellStart"/>
      <w:r w:rsidRPr="00692B72">
        <w:rPr>
          <w:rFonts w:ascii="Calibri" w:hAnsi="Calibri"/>
          <w:sz w:val="22"/>
          <w:szCs w:val="22"/>
        </w:rPr>
        <w:t>hFSH</w:t>
      </w:r>
      <w:proofErr w:type="spellEnd"/>
      <w:r w:rsidRPr="00692B72">
        <w:rPr>
          <w:rFonts w:ascii="Calibri" w:hAnsi="Calibri"/>
          <w:sz w:val="22"/>
          <w:szCs w:val="22"/>
        </w:rPr>
        <w:t xml:space="preserve">; filled-by-mass) group when compared to the old </w:t>
      </w:r>
      <w:r w:rsidR="000A45A5" w:rsidRPr="00692B72">
        <w:rPr>
          <w:rFonts w:ascii="Calibri" w:hAnsi="Calibri"/>
          <w:sz w:val="22"/>
          <w:szCs w:val="22"/>
        </w:rPr>
        <w:t>follitropin alfa</w:t>
      </w:r>
      <w:r w:rsidRPr="00692B72">
        <w:rPr>
          <w:rFonts w:ascii="Calibri" w:hAnsi="Calibri"/>
          <w:sz w:val="22"/>
          <w:szCs w:val="22"/>
        </w:rPr>
        <w:t xml:space="preserve"> (filled by bioactivity) group. Overall, the pattern of adverse events was similar between treatment groups and was consistent with the profile of events reported in this indication.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Men with </w:t>
      </w:r>
      <w:proofErr w:type="spellStart"/>
      <w:r w:rsidRPr="00692B72">
        <w:rPr>
          <w:rFonts w:ascii="Calibri" w:hAnsi="Calibri"/>
          <w:b/>
          <w:bCs/>
          <w:sz w:val="22"/>
          <w:szCs w:val="22"/>
        </w:rPr>
        <w:t>Hypogonadotrophic</w:t>
      </w:r>
      <w:proofErr w:type="spellEnd"/>
      <w:r w:rsidRPr="00692B72">
        <w:rPr>
          <w:rFonts w:ascii="Calibri" w:hAnsi="Calibri"/>
          <w:b/>
          <w:bCs/>
          <w:sz w:val="22"/>
          <w:szCs w:val="22"/>
        </w:rPr>
        <w:t xml:space="preserve"> Hypogonadism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Male </w:t>
      </w:r>
      <w:proofErr w:type="spellStart"/>
      <w:r w:rsidRPr="00692B72">
        <w:rPr>
          <w:rFonts w:ascii="Calibri" w:hAnsi="Calibri"/>
          <w:sz w:val="22"/>
          <w:szCs w:val="22"/>
        </w:rPr>
        <w:t>hypogonadotrophic</w:t>
      </w:r>
      <w:proofErr w:type="spellEnd"/>
      <w:r w:rsidRPr="00692B72">
        <w:rPr>
          <w:rFonts w:ascii="Calibri" w:hAnsi="Calibri"/>
          <w:sz w:val="22"/>
          <w:szCs w:val="22"/>
        </w:rPr>
        <w:t xml:space="preserve"> hypogonadism (HH) is a rare condition therefore study sizes are limited. Two </w:t>
      </w:r>
      <w:proofErr w:type="gramStart"/>
      <w:r w:rsidRPr="00692B72">
        <w:rPr>
          <w:rFonts w:ascii="Calibri" w:hAnsi="Calibri"/>
          <w:sz w:val="22"/>
          <w:szCs w:val="22"/>
        </w:rPr>
        <w:t>phase</w:t>
      </w:r>
      <w:proofErr w:type="gramEnd"/>
      <w:r w:rsidRPr="00692B72">
        <w:rPr>
          <w:rFonts w:ascii="Calibri" w:hAnsi="Calibri"/>
          <w:sz w:val="22"/>
          <w:szCs w:val="22"/>
        </w:rPr>
        <w:t xml:space="preserve"> III (open and non-comparative) studies were conducted to assess the efficacy and safety of</w:t>
      </w:r>
      <w:r w:rsidR="000A45A5" w:rsidRPr="00692B72">
        <w:rPr>
          <w:rFonts w:ascii="Calibri" w:hAnsi="Calibri"/>
          <w:sz w:val="22"/>
          <w:szCs w:val="22"/>
        </w:rPr>
        <w:t xml:space="preserve"> follitropin alfa</w:t>
      </w:r>
      <w:r w:rsidRPr="00692B72">
        <w:rPr>
          <w:rFonts w:ascii="Calibri" w:hAnsi="Calibri"/>
          <w:sz w:val="22"/>
          <w:szCs w:val="22"/>
        </w:rPr>
        <w:t xml:space="preserve"> in combination with </w:t>
      </w:r>
      <w:proofErr w:type="spellStart"/>
      <w:r w:rsidRPr="00692B72">
        <w:rPr>
          <w:rFonts w:ascii="Calibri" w:hAnsi="Calibri"/>
          <w:sz w:val="22"/>
          <w:szCs w:val="22"/>
        </w:rPr>
        <w:t>hCG</w:t>
      </w:r>
      <w:proofErr w:type="spellEnd"/>
      <w:r w:rsidRPr="00692B72">
        <w:rPr>
          <w:rFonts w:ascii="Calibri" w:hAnsi="Calibri"/>
          <w:sz w:val="22"/>
          <w:szCs w:val="22"/>
        </w:rPr>
        <w:t xml:space="preserve"> in inducing spermatogenesis in men with HH. The primary efficacy endpoint was the achievement</w:t>
      </w:r>
      <w:r w:rsidR="00935AD3" w:rsidRPr="00692B72">
        <w:rPr>
          <w:rFonts w:ascii="Calibri" w:hAnsi="Calibri"/>
          <w:sz w:val="22"/>
          <w:szCs w:val="22"/>
        </w:rPr>
        <w:t xml:space="preserve"> of a mature sperm density of &gt;</w:t>
      </w:r>
      <w:r w:rsidRPr="00692B72">
        <w:rPr>
          <w:rFonts w:ascii="Calibri" w:hAnsi="Calibri"/>
          <w:sz w:val="22"/>
          <w:szCs w:val="22"/>
        </w:rPr>
        <w:t>1.5 x 106/</w:t>
      </w:r>
      <w:proofErr w:type="spellStart"/>
      <w:r w:rsidRPr="00692B72">
        <w:rPr>
          <w:rFonts w:ascii="Calibri" w:hAnsi="Calibri"/>
          <w:sz w:val="22"/>
          <w:szCs w:val="22"/>
        </w:rPr>
        <w:t>mL.</w:t>
      </w:r>
      <w:proofErr w:type="spellEnd"/>
      <w:r w:rsidRPr="00692B72">
        <w:rPr>
          <w:rFonts w:ascii="Calibri" w:hAnsi="Calibri"/>
          <w:sz w:val="22"/>
          <w:szCs w:val="22"/>
        </w:rPr>
        <w:t xml:space="preserve"> </w:t>
      </w:r>
      <w:r w:rsidR="000A45A5" w:rsidRPr="00692B72">
        <w:rPr>
          <w:rFonts w:ascii="Calibri" w:hAnsi="Calibri"/>
          <w:sz w:val="22"/>
          <w:szCs w:val="22"/>
        </w:rPr>
        <w:t>Follitropin alfa</w:t>
      </w:r>
      <w:r w:rsidRPr="00692B72">
        <w:rPr>
          <w:rFonts w:ascii="Calibri" w:hAnsi="Calibri"/>
          <w:sz w:val="22"/>
          <w:szCs w:val="22"/>
        </w:rPr>
        <w:t xml:space="preserve"> was administered subcutaneously at a dosage of 150 IU three times a </w:t>
      </w:r>
      <w:r w:rsidR="00935AD3" w:rsidRPr="00692B72">
        <w:rPr>
          <w:rFonts w:ascii="Calibri" w:hAnsi="Calibri"/>
          <w:sz w:val="22"/>
          <w:szCs w:val="22"/>
        </w:rPr>
        <w:t xml:space="preserve">week in combination with </w:t>
      </w:r>
      <w:proofErr w:type="spellStart"/>
      <w:proofErr w:type="gramStart"/>
      <w:r w:rsidR="00935AD3" w:rsidRPr="00692B72">
        <w:rPr>
          <w:rFonts w:ascii="Calibri" w:hAnsi="Calibri"/>
          <w:sz w:val="22"/>
          <w:szCs w:val="22"/>
        </w:rPr>
        <w:t>hCG</w:t>
      </w:r>
      <w:proofErr w:type="spellEnd"/>
      <w:proofErr w:type="gramEnd"/>
      <w:r w:rsidR="00935AD3" w:rsidRPr="00692B72">
        <w:rPr>
          <w:rFonts w:ascii="Calibri" w:hAnsi="Calibri"/>
          <w:sz w:val="22"/>
          <w:szCs w:val="22"/>
        </w:rPr>
        <w:t xml:space="preserve"> (&gt;</w:t>
      </w:r>
      <w:r w:rsidRPr="00692B72">
        <w:rPr>
          <w:rFonts w:ascii="Calibri" w:hAnsi="Calibri"/>
          <w:sz w:val="22"/>
          <w:szCs w:val="22"/>
        </w:rPr>
        <w:t xml:space="preserve">2000 IU twice weekly) for up to 18 months.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The first study was conducted in university clinical centres in France, Germany and UK. A total of 32</w:t>
      </w:r>
      <w:r w:rsidR="00935AD3" w:rsidRPr="00692B72">
        <w:rPr>
          <w:rFonts w:ascii="Calibri" w:hAnsi="Calibri"/>
          <w:sz w:val="22"/>
          <w:szCs w:val="22"/>
        </w:rPr>
        <w:t> </w:t>
      </w:r>
      <w:r w:rsidRPr="00692B72">
        <w:rPr>
          <w:rFonts w:ascii="Calibri" w:hAnsi="Calibri"/>
          <w:sz w:val="22"/>
          <w:szCs w:val="22"/>
        </w:rPr>
        <w:t xml:space="preserve">patients with complete, primary isolated HH were recruited into this study. They were </w:t>
      </w:r>
      <w:proofErr w:type="spellStart"/>
      <w:r w:rsidRPr="00692B72">
        <w:rPr>
          <w:rFonts w:ascii="Calibri" w:hAnsi="Calibri"/>
          <w:sz w:val="22"/>
          <w:szCs w:val="22"/>
        </w:rPr>
        <w:t>azoospermic</w:t>
      </w:r>
      <w:proofErr w:type="spellEnd"/>
      <w:r w:rsidRPr="00692B72">
        <w:rPr>
          <w:rFonts w:ascii="Calibri" w:hAnsi="Calibri"/>
          <w:sz w:val="22"/>
          <w:szCs w:val="22"/>
        </w:rPr>
        <w:t xml:space="preserve"> before entering the study, remained so after the pre-treatment phase and none had prior treatment with FSH or GnRH. In the pre-treatment phase, the patients were treated with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alone (2000 IU twice weekly for 3 – 6 months) to first normalise serum testosterone levels before initiating the treatment with</w:t>
      </w:r>
      <w:r w:rsidR="000A45A5" w:rsidRPr="00692B72">
        <w:rPr>
          <w:rFonts w:ascii="Calibri" w:hAnsi="Calibri"/>
          <w:sz w:val="22"/>
          <w:szCs w:val="22"/>
        </w:rPr>
        <w:t xml:space="preserve"> follitropin alfa</w:t>
      </w:r>
      <w:r w:rsidRPr="00692B72">
        <w:rPr>
          <w:rFonts w:ascii="Calibri" w:hAnsi="Calibri"/>
          <w:sz w:val="22"/>
          <w:szCs w:val="22"/>
        </w:rPr>
        <w:t xml:space="preserve">. Of 26 patients who received </w:t>
      </w:r>
      <w:r w:rsidR="000D1431">
        <w:rPr>
          <w:rFonts w:ascii="Calibri" w:hAnsi="Calibri"/>
          <w:sz w:val="22"/>
          <w:szCs w:val="22"/>
        </w:rPr>
        <w:t>follitropin alfa</w:t>
      </w:r>
      <w:r w:rsidRPr="00692B72">
        <w:rPr>
          <w:rFonts w:ascii="Calibri" w:hAnsi="Calibri"/>
          <w:sz w:val="22"/>
          <w:szCs w:val="22"/>
        </w:rPr>
        <w:t xml:space="preserve">, 19 patients were found to be eligible for efficacy evaluation. </w:t>
      </w:r>
    </w:p>
    <w:p w:rsidR="000D1E50" w:rsidRPr="00692B72" w:rsidRDefault="000D1E50" w:rsidP="000D1E50">
      <w:pPr>
        <w:pStyle w:val="Default"/>
        <w:rPr>
          <w:rFonts w:ascii="Calibri" w:hAnsi="Calibri"/>
          <w:sz w:val="22"/>
          <w:szCs w:val="22"/>
        </w:rPr>
      </w:pPr>
      <w:r w:rsidRPr="00692B72">
        <w:rPr>
          <w:rFonts w:ascii="Calibri" w:hAnsi="Calibri"/>
          <w:sz w:val="22"/>
          <w:szCs w:val="22"/>
        </w:rPr>
        <w:t>The primary e</w:t>
      </w:r>
      <w:r w:rsidR="00935AD3" w:rsidRPr="00692B72">
        <w:rPr>
          <w:rFonts w:ascii="Calibri" w:hAnsi="Calibri"/>
          <w:sz w:val="22"/>
          <w:szCs w:val="22"/>
        </w:rPr>
        <w:t>ndpoint of a sperm density of &gt;</w:t>
      </w:r>
      <w:r w:rsidRPr="00692B72">
        <w:rPr>
          <w:rFonts w:ascii="Calibri" w:hAnsi="Calibri"/>
          <w:sz w:val="22"/>
          <w:szCs w:val="22"/>
        </w:rPr>
        <w:t>1.5 x 10</w:t>
      </w:r>
      <w:r w:rsidRPr="00692B72">
        <w:rPr>
          <w:rFonts w:ascii="Calibri" w:hAnsi="Calibri"/>
          <w:sz w:val="22"/>
          <w:szCs w:val="22"/>
          <w:vertAlign w:val="superscript"/>
        </w:rPr>
        <w:t>6</w:t>
      </w:r>
      <w:r w:rsidRPr="00692B72">
        <w:rPr>
          <w:rFonts w:ascii="Calibri" w:hAnsi="Calibri"/>
          <w:sz w:val="22"/>
          <w:szCs w:val="22"/>
        </w:rPr>
        <w:t xml:space="preserve">/mL was achieved in 12/19 (63%) patients. Overall 15/19 (79%) patients achieved some spermatogenesis. The median time to initiate spermatogenesis was 9 months.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lastRenderedPageBreak/>
        <w:t xml:space="preserve">The second study was conducted in 2 university clinical centres in Australia. A total of 10 patients with severe HH entered the study, but only 8 patients completed the </w:t>
      </w:r>
      <w:r w:rsidR="000A45A5" w:rsidRPr="00692B72">
        <w:rPr>
          <w:rFonts w:ascii="Calibri" w:hAnsi="Calibri"/>
          <w:sz w:val="22"/>
          <w:szCs w:val="22"/>
        </w:rPr>
        <w:t>follitropin alfa</w:t>
      </w:r>
      <w:r w:rsidRPr="00692B72">
        <w:rPr>
          <w:rFonts w:ascii="Calibri" w:hAnsi="Calibri"/>
          <w:sz w:val="22"/>
          <w:szCs w:val="22"/>
        </w:rPr>
        <w:t xml:space="preserve"> treatment phase. Similar results to the first study were obtained.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The primary endpoint of a sperm density of &gt;1.5 x 106/mL were achieved in 5/8 (63%) patients. Overall 7/8 (88%) patients achieved some spermatogenesis. The median time to initiate spermatogenesis was 6 months. The studies also demonstrated th</w:t>
      </w:r>
      <w:bookmarkStart w:id="0" w:name="_GoBack"/>
      <w:bookmarkEnd w:id="0"/>
      <w:r w:rsidRPr="00692B72">
        <w:rPr>
          <w:rFonts w:ascii="Calibri" w:hAnsi="Calibri"/>
          <w:sz w:val="22"/>
          <w:szCs w:val="22"/>
        </w:rPr>
        <w:t xml:space="preserve">at </w:t>
      </w:r>
      <w:r w:rsidR="000A45A5" w:rsidRPr="00692B72">
        <w:rPr>
          <w:rFonts w:ascii="Calibri" w:hAnsi="Calibri"/>
          <w:sz w:val="22"/>
          <w:szCs w:val="22"/>
        </w:rPr>
        <w:t>follitropin alfa</w:t>
      </w:r>
      <w:r w:rsidRPr="00692B72">
        <w:rPr>
          <w:rFonts w:ascii="Calibri" w:hAnsi="Calibri"/>
          <w:sz w:val="22"/>
          <w:szCs w:val="22"/>
        </w:rPr>
        <w:t xml:space="preserve"> has a good safety profile and is well tolerated over the treatment period of up to 18 months. </w:t>
      </w:r>
    </w:p>
    <w:p w:rsidR="00AA4119" w:rsidRPr="00692B72" w:rsidRDefault="00AA4119" w:rsidP="000D1E50">
      <w:pPr>
        <w:pStyle w:val="Default"/>
        <w:rPr>
          <w:rFonts w:ascii="Calibri" w:hAnsi="Calibri"/>
          <w:sz w:val="22"/>
          <w:szCs w:val="22"/>
        </w:rPr>
      </w:pPr>
    </w:p>
    <w:p w:rsidR="00AA4119" w:rsidRPr="00692B72" w:rsidRDefault="00AA4119" w:rsidP="00AA4119">
      <w:pPr>
        <w:pStyle w:val="Default"/>
        <w:rPr>
          <w:rFonts w:ascii="Calibri" w:hAnsi="Calibri"/>
          <w:b/>
          <w:sz w:val="22"/>
          <w:szCs w:val="22"/>
        </w:rPr>
      </w:pPr>
      <w:r w:rsidRPr="00692B72">
        <w:rPr>
          <w:rFonts w:ascii="Calibri" w:hAnsi="Calibri"/>
          <w:b/>
          <w:sz w:val="22"/>
          <w:szCs w:val="22"/>
        </w:rPr>
        <w:t>Comparability of BEMFOLA</w:t>
      </w:r>
      <w:r w:rsidRPr="00692B72">
        <w:rPr>
          <w:rFonts w:ascii="Calibri" w:hAnsi="Calibri"/>
          <w:b/>
          <w:sz w:val="22"/>
          <w:szCs w:val="22"/>
          <w:vertAlign w:val="superscript"/>
        </w:rPr>
        <w:sym w:font="Symbol" w:char="F0E2"/>
      </w:r>
      <w:r w:rsidRPr="00692B72">
        <w:rPr>
          <w:rFonts w:ascii="Calibri" w:hAnsi="Calibri"/>
          <w:b/>
          <w:sz w:val="22"/>
          <w:szCs w:val="22"/>
        </w:rPr>
        <w:t xml:space="preserve"> with Gonal-f</w:t>
      </w:r>
      <w:r w:rsidRPr="00692B72">
        <w:rPr>
          <w:rFonts w:ascii="Calibri" w:hAnsi="Calibri"/>
          <w:b/>
          <w:sz w:val="22"/>
          <w:szCs w:val="22"/>
          <w:vertAlign w:val="superscript"/>
        </w:rPr>
        <w:sym w:font="Symbol" w:char="F0E2"/>
      </w:r>
    </w:p>
    <w:p w:rsidR="00AA4119" w:rsidRPr="00692B72" w:rsidRDefault="00AA4119" w:rsidP="000D1E50">
      <w:pPr>
        <w:pStyle w:val="Default"/>
        <w:rPr>
          <w:rFonts w:ascii="Calibri" w:hAnsi="Calibri"/>
          <w:sz w:val="22"/>
          <w:szCs w:val="22"/>
        </w:rPr>
      </w:pPr>
    </w:p>
    <w:p w:rsidR="00AA4119" w:rsidRPr="00692B72" w:rsidRDefault="00FE3FCE" w:rsidP="007E7410">
      <w:pPr>
        <w:pStyle w:val="Default"/>
        <w:rPr>
          <w:rFonts w:ascii="Calibri" w:hAnsi="Calibri"/>
          <w:sz w:val="22"/>
          <w:szCs w:val="22"/>
        </w:rPr>
      </w:pPr>
      <w:r w:rsidRPr="00692B72">
        <w:rPr>
          <w:rFonts w:ascii="Calibri" w:hAnsi="Calibri"/>
          <w:sz w:val="22"/>
          <w:szCs w:val="22"/>
        </w:rPr>
        <w:t>Therapeutic equivalence of Bemfola and Gonal-f was demonstrated in a m</w:t>
      </w:r>
      <w:r w:rsidR="00AA4119" w:rsidRPr="00692B72">
        <w:rPr>
          <w:rFonts w:ascii="Calibri" w:hAnsi="Calibri"/>
          <w:sz w:val="22"/>
          <w:szCs w:val="22"/>
        </w:rPr>
        <w:t>ulti-national, multi-</w:t>
      </w:r>
      <w:r w:rsidR="007E7410" w:rsidRPr="00692B72">
        <w:rPr>
          <w:rFonts w:ascii="Calibri" w:hAnsi="Calibri"/>
          <w:sz w:val="22"/>
          <w:szCs w:val="22"/>
        </w:rPr>
        <w:t>centre</w:t>
      </w:r>
      <w:r w:rsidR="00AA4119" w:rsidRPr="00692B72">
        <w:rPr>
          <w:rFonts w:ascii="Calibri" w:hAnsi="Calibri"/>
          <w:sz w:val="22"/>
          <w:szCs w:val="22"/>
        </w:rPr>
        <w:t>, randomi</w:t>
      </w:r>
      <w:r w:rsidR="007E7410" w:rsidRPr="00692B72">
        <w:rPr>
          <w:rFonts w:ascii="Calibri" w:hAnsi="Calibri"/>
          <w:sz w:val="22"/>
          <w:szCs w:val="22"/>
        </w:rPr>
        <w:t>s</w:t>
      </w:r>
      <w:r w:rsidR="00AA4119" w:rsidRPr="00692B72">
        <w:rPr>
          <w:rFonts w:ascii="Calibri" w:hAnsi="Calibri"/>
          <w:sz w:val="22"/>
          <w:szCs w:val="22"/>
        </w:rPr>
        <w:t>ed, controlled, assessor-blind, parallel group study</w:t>
      </w:r>
      <w:r w:rsidRPr="00692B72">
        <w:rPr>
          <w:rFonts w:ascii="Calibri" w:hAnsi="Calibri"/>
          <w:sz w:val="22"/>
          <w:szCs w:val="22"/>
        </w:rPr>
        <w:t xml:space="preserve"> in women undergoing assisted reproductive technologies.</w:t>
      </w:r>
    </w:p>
    <w:p w:rsidR="00FE3FCE" w:rsidRPr="00692B72" w:rsidRDefault="00FE3FCE" w:rsidP="00AA4119">
      <w:pPr>
        <w:pStyle w:val="Default"/>
        <w:rPr>
          <w:rFonts w:ascii="Calibri" w:hAnsi="Calibri"/>
          <w:sz w:val="22"/>
          <w:szCs w:val="22"/>
        </w:rPr>
      </w:pPr>
    </w:p>
    <w:p w:rsidR="00FE3FCE" w:rsidRPr="00692B72" w:rsidRDefault="00FE3FCE" w:rsidP="00FE3FCE">
      <w:pPr>
        <w:pStyle w:val="Default"/>
        <w:rPr>
          <w:rFonts w:ascii="Calibri" w:hAnsi="Calibri"/>
          <w:sz w:val="22"/>
          <w:szCs w:val="22"/>
        </w:rPr>
      </w:pPr>
      <w:r w:rsidRPr="00692B72">
        <w:rPr>
          <w:rFonts w:ascii="Calibri" w:hAnsi="Calibri"/>
          <w:sz w:val="22"/>
          <w:szCs w:val="22"/>
        </w:rPr>
        <w:t>The primary efficacy endpoint was the number of ooc</w:t>
      </w:r>
      <w:r w:rsidR="002955CD">
        <w:rPr>
          <w:rFonts w:ascii="Calibri" w:hAnsi="Calibri"/>
          <w:sz w:val="22"/>
          <w:szCs w:val="22"/>
        </w:rPr>
        <w:t xml:space="preserve">ytes retrieved. </w:t>
      </w:r>
      <w:r w:rsidRPr="00692B72">
        <w:rPr>
          <w:rFonts w:ascii="Calibri" w:hAnsi="Calibri"/>
          <w:sz w:val="22"/>
          <w:szCs w:val="22"/>
        </w:rPr>
        <w:t xml:space="preserve">Equivalence of Bemfola and Gonal-f was considered to be shown if the two-sided 95% CI for the difference in the number of oocytes retrieved was within the equivalence range [-2.9 oocytes, +2.9 oocytes]. </w:t>
      </w:r>
    </w:p>
    <w:p w:rsidR="00FE3FCE" w:rsidRPr="00692B72" w:rsidRDefault="00FE3FCE" w:rsidP="00AA4119">
      <w:pPr>
        <w:pStyle w:val="Default"/>
        <w:rPr>
          <w:rFonts w:ascii="Calibri" w:hAnsi="Calibri"/>
          <w:sz w:val="22"/>
          <w:szCs w:val="22"/>
        </w:rPr>
      </w:pPr>
    </w:p>
    <w:p w:rsidR="00AA4119" w:rsidRPr="00692B72" w:rsidRDefault="00AA4119" w:rsidP="00AA4119">
      <w:pPr>
        <w:pStyle w:val="Default"/>
        <w:rPr>
          <w:rFonts w:ascii="Calibri" w:hAnsi="Calibri"/>
          <w:sz w:val="22"/>
          <w:szCs w:val="22"/>
        </w:rPr>
      </w:pPr>
      <w:r w:rsidRPr="00692B72">
        <w:rPr>
          <w:rFonts w:ascii="Calibri" w:hAnsi="Calibri"/>
          <w:sz w:val="22"/>
          <w:szCs w:val="22"/>
        </w:rPr>
        <w:t>The secondary endpoints ‘total r-</w:t>
      </w:r>
      <w:proofErr w:type="spellStart"/>
      <w:r w:rsidRPr="00692B72">
        <w:rPr>
          <w:rFonts w:ascii="Calibri" w:hAnsi="Calibri"/>
          <w:sz w:val="22"/>
          <w:szCs w:val="22"/>
        </w:rPr>
        <w:t>hFSH</w:t>
      </w:r>
      <w:proofErr w:type="spellEnd"/>
      <w:r w:rsidRPr="00692B72">
        <w:rPr>
          <w:rFonts w:ascii="Calibri" w:hAnsi="Calibri"/>
          <w:sz w:val="22"/>
          <w:szCs w:val="22"/>
        </w:rPr>
        <w:t xml:space="preserve"> dose’, ‘number of days of r-</w:t>
      </w:r>
      <w:proofErr w:type="spellStart"/>
      <w:r w:rsidRPr="00692B72">
        <w:rPr>
          <w:rFonts w:ascii="Calibri" w:hAnsi="Calibri"/>
          <w:sz w:val="22"/>
          <w:szCs w:val="22"/>
        </w:rPr>
        <w:t>hFSH</w:t>
      </w:r>
      <w:proofErr w:type="spellEnd"/>
      <w:r w:rsidRPr="00692B72">
        <w:rPr>
          <w:rFonts w:ascii="Calibri" w:hAnsi="Calibri"/>
          <w:sz w:val="22"/>
          <w:szCs w:val="22"/>
        </w:rPr>
        <w:t xml:space="preserve"> stimulation’, ‘mean number of follicles on Stimulation Day 8 and Day of </w:t>
      </w:r>
      <w:proofErr w:type="spellStart"/>
      <w:r w:rsidRPr="00692B72">
        <w:rPr>
          <w:rFonts w:ascii="Calibri" w:hAnsi="Calibri"/>
          <w:sz w:val="22"/>
          <w:szCs w:val="22"/>
        </w:rPr>
        <w:t>hCG</w:t>
      </w:r>
      <w:proofErr w:type="spellEnd"/>
      <w:r w:rsidRPr="00692B72">
        <w:rPr>
          <w:rFonts w:ascii="Calibri" w:hAnsi="Calibri"/>
          <w:sz w:val="22"/>
          <w:szCs w:val="22"/>
        </w:rPr>
        <w:t xml:space="preserve"> administration’, ‘median </w:t>
      </w:r>
      <w:proofErr w:type="spellStart"/>
      <w:r w:rsidRPr="00692B72">
        <w:rPr>
          <w:rFonts w:ascii="Calibri" w:hAnsi="Calibri"/>
          <w:sz w:val="22"/>
          <w:szCs w:val="22"/>
        </w:rPr>
        <w:t>estradiol</w:t>
      </w:r>
      <w:proofErr w:type="spellEnd"/>
      <w:r w:rsidRPr="00692B72">
        <w:rPr>
          <w:rFonts w:ascii="Calibri" w:hAnsi="Calibri"/>
          <w:sz w:val="22"/>
          <w:szCs w:val="22"/>
        </w:rPr>
        <w:t xml:space="preserve"> levels on Stimulation Day 8’, and ‘number of patients with cycle cancellation’ were comparable between both treatment groups. </w:t>
      </w:r>
    </w:p>
    <w:p w:rsidR="00FE3FCE" w:rsidRPr="00692B72" w:rsidRDefault="00FE3FCE" w:rsidP="00AA4119">
      <w:pPr>
        <w:pStyle w:val="Default"/>
        <w:rPr>
          <w:rFonts w:ascii="Calibri" w:hAnsi="Calibri"/>
          <w:sz w:val="22"/>
          <w:szCs w:val="22"/>
        </w:rPr>
      </w:pPr>
    </w:p>
    <w:p w:rsidR="00AA4119" w:rsidRPr="00692B72" w:rsidRDefault="00AA4119" w:rsidP="00AA4119">
      <w:pPr>
        <w:pStyle w:val="Default"/>
        <w:rPr>
          <w:rFonts w:ascii="Calibri" w:hAnsi="Calibri"/>
          <w:sz w:val="22"/>
          <w:szCs w:val="22"/>
        </w:rPr>
      </w:pPr>
      <w:r w:rsidRPr="00692B72">
        <w:rPr>
          <w:rFonts w:ascii="Calibri" w:hAnsi="Calibri"/>
          <w:sz w:val="22"/>
          <w:szCs w:val="22"/>
        </w:rPr>
        <w:t xml:space="preserve">Differences were noted in the first treatment cycle in the ‘proportion of patients requiring dose reductions due to risk of imminent OHSS’ and ‘median </w:t>
      </w:r>
      <w:proofErr w:type="spellStart"/>
      <w:r w:rsidRPr="00692B72">
        <w:rPr>
          <w:rFonts w:ascii="Calibri" w:hAnsi="Calibri"/>
          <w:sz w:val="22"/>
          <w:szCs w:val="22"/>
        </w:rPr>
        <w:t>estradiol</w:t>
      </w:r>
      <w:proofErr w:type="spellEnd"/>
      <w:r w:rsidRPr="00692B72">
        <w:rPr>
          <w:rFonts w:ascii="Calibri" w:hAnsi="Calibri"/>
          <w:sz w:val="22"/>
          <w:szCs w:val="22"/>
        </w:rPr>
        <w:t xml:space="preserve"> levels on the Day of </w:t>
      </w:r>
      <w:proofErr w:type="spellStart"/>
      <w:r w:rsidRPr="00692B72">
        <w:rPr>
          <w:rFonts w:ascii="Calibri" w:hAnsi="Calibri"/>
          <w:sz w:val="22"/>
          <w:szCs w:val="22"/>
        </w:rPr>
        <w:t>hCG</w:t>
      </w:r>
      <w:proofErr w:type="spellEnd"/>
      <w:r w:rsidRPr="00692B72">
        <w:rPr>
          <w:rFonts w:ascii="Calibri" w:hAnsi="Calibri"/>
          <w:sz w:val="22"/>
          <w:szCs w:val="22"/>
        </w:rPr>
        <w:t xml:space="preserve"> administration’. However, these differences are considered small, i.e. 3.3% difference between Bemfola and Gonal-f in proportion of patients with dose reductions. Further, the difference in median </w:t>
      </w:r>
      <w:proofErr w:type="spellStart"/>
      <w:r w:rsidRPr="00692B72">
        <w:rPr>
          <w:rFonts w:ascii="Calibri" w:hAnsi="Calibri"/>
          <w:sz w:val="22"/>
          <w:szCs w:val="22"/>
        </w:rPr>
        <w:t>estradiol</w:t>
      </w:r>
      <w:proofErr w:type="spellEnd"/>
      <w:r w:rsidRPr="00692B72">
        <w:rPr>
          <w:rFonts w:ascii="Calibri" w:hAnsi="Calibri"/>
          <w:sz w:val="22"/>
          <w:szCs w:val="22"/>
        </w:rPr>
        <w:t xml:space="preserve"> levels is also considered small considering the range in </w:t>
      </w:r>
      <w:proofErr w:type="spellStart"/>
      <w:r w:rsidRPr="00692B72">
        <w:rPr>
          <w:rFonts w:ascii="Calibri" w:hAnsi="Calibri"/>
          <w:sz w:val="22"/>
          <w:szCs w:val="22"/>
        </w:rPr>
        <w:t>estradiol</w:t>
      </w:r>
      <w:proofErr w:type="spellEnd"/>
      <w:r w:rsidRPr="00692B72">
        <w:rPr>
          <w:rFonts w:ascii="Calibri" w:hAnsi="Calibri"/>
          <w:sz w:val="22"/>
          <w:szCs w:val="22"/>
        </w:rPr>
        <w:t xml:space="preserve"> concentrations.</w:t>
      </w:r>
    </w:p>
    <w:p w:rsidR="00FE3FCE" w:rsidRPr="00692B72" w:rsidRDefault="00FE3FCE" w:rsidP="00AA4119">
      <w:pPr>
        <w:pStyle w:val="Default"/>
        <w:rPr>
          <w:rFonts w:ascii="Calibri" w:hAnsi="Calibri"/>
          <w:sz w:val="22"/>
          <w:szCs w:val="22"/>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INDICATIONS</w:t>
      </w:r>
    </w:p>
    <w:p w:rsidR="00975E96" w:rsidRPr="00692B72" w:rsidRDefault="00975E96" w:rsidP="00975E96">
      <w:pPr>
        <w:pStyle w:val="Default"/>
        <w:jc w:val="center"/>
        <w:rPr>
          <w:rFonts w:ascii="Calibri" w:hAnsi="Calibri"/>
          <w:sz w:val="16"/>
          <w:szCs w:val="22"/>
          <w:u w:val="single"/>
        </w:rPr>
      </w:pPr>
    </w:p>
    <w:p w:rsidR="000A45A5" w:rsidRPr="00692B72" w:rsidRDefault="000A45A5" w:rsidP="000A45A5">
      <w:pPr>
        <w:pStyle w:val="NoSpacing"/>
        <w:rPr>
          <w:rFonts w:cs="Calibri"/>
          <w:lang w:val="en-US"/>
        </w:rPr>
      </w:pPr>
      <w:r w:rsidRPr="00692B72">
        <w:rPr>
          <w:rFonts w:cs="Calibri"/>
          <w:lang w:val="en-US"/>
        </w:rPr>
        <w:t>In adult women:</w:t>
      </w:r>
    </w:p>
    <w:p w:rsidR="00F35FEC" w:rsidRPr="00B80025" w:rsidRDefault="006E5960" w:rsidP="00B80025">
      <w:pPr>
        <w:pStyle w:val="NoSpacing"/>
        <w:numPr>
          <w:ilvl w:val="0"/>
          <w:numId w:val="9"/>
        </w:numPr>
        <w:rPr>
          <w:rFonts w:cs="Calibri"/>
          <w:lang w:val="en-US"/>
        </w:rPr>
      </w:pPr>
      <w:r w:rsidRPr="00B80025">
        <w:rPr>
          <w:rFonts w:cs="Calibri"/>
          <w:lang w:val="en-US"/>
        </w:rPr>
        <w:t xml:space="preserve">Bemfola is indicated for </w:t>
      </w:r>
      <w:r w:rsidR="001837F0" w:rsidRPr="00B80025">
        <w:rPr>
          <w:rFonts w:cs="Calibri"/>
          <w:lang w:val="en-US"/>
        </w:rPr>
        <w:t>t</w:t>
      </w:r>
      <w:r w:rsidR="00F35FEC" w:rsidRPr="00B80025">
        <w:rPr>
          <w:rFonts w:cs="Calibri"/>
          <w:lang w:val="en-US"/>
        </w:rPr>
        <w:t>he treatment of anovulatory infertility in women who have been unresponsive to clomiphene citrate or where clomiphene citrate is contraindicated.</w:t>
      </w:r>
    </w:p>
    <w:p w:rsidR="00F35FEC" w:rsidRPr="00F35FEC" w:rsidRDefault="006E5960" w:rsidP="00F35FEC">
      <w:pPr>
        <w:pStyle w:val="NoSpacing"/>
        <w:numPr>
          <w:ilvl w:val="0"/>
          <w:numId w:val="9"/>
        </w:numPr>
        <w:rPr>
          <w:rFonts w:cs="Calibri"/>
          <w:lang w:val="en-US"/>
        </w:rPr>
      </w:pPr>
      <w:r>
        <w:rPr>
          <w:rFonts w:cs="Calibri"/>
          <w:lang w:val="en-US"/>
        </w:rPr>
        <w:t>C</w:t>
      </w:r>
      <w:r w:rsidR="00F35FEC" w:rsidRPr="00F35FEC">
        <w:rPr>
          <w:rFonts w:cs="Calibri"/>
          <w:lang w:val="en-US"/>
        </w:rPr>
        <w:t xml:space="preserve">ontrolled ovarian hyperstimulation in women undergoing assisted reproductive </w:t>
      </w:r>
    </w:p>
    <w:p w:rsidR="00F35FEC" w:rsidRDefault="00F35FEC" w:rsidP="00904A10">
      <w:pPr>
        <w:pStyle w:val="NoSpacing"/>
        <w:ind w:left="720"/>
        <w:rPr>
          <w:rFonts w:cs="Calibri"/>
          <w:lang w:val="en-US"/>
        </w:rPr>
      </w:pPr>
      <w:r w:rsidRPr="00F35FEC">
        <w:rPr>
          <w:rFonts w:cs="Calibri"/>
          <w:lang w:val="en-US"/>
        </w:rPr>
        <w:t>Technologies</w:t>
      </w:r>
    </w:p>
    <w:p w:rsidR="000A45A5" w:rsidRPr="00692B72" w:rsidRDefault="000A45A5" w:rsidP="000A45A5">
      <w:pPr>
        <w:pStyle w:val="NoSpacing"/>
        <w:numPr>
          <w:ilvl w:val="0"/>
          <w:numId w:val="9"/>
        </w:numPr>
        <w:rPr>
          <w:rFonts w:cs="Calibri"/>
          <w:lang w:val="en-US"/>
        </w:rPr>
      </w:pPr>
      <w:r w:rsidRPr="00692B72">
        <w:rPr>
          <w:rFonts w:cs="Calibri"/>
          <w:lang w:val="en-US"/>
        </w:rPr>
        <w:t xml:space="preserve">Bemfola in association with a </w:t>
      </w:r>
      <w:proofErr w:type="spellStart"/>
      <w:r w:rsidRPr="00692B72">
        <w:rPr>
          <w:rFonts w:cs="Calibri"/>
          <w:lang w:val="en-US"/>
        </w:rPr>
        <w:t>luteinising</w:t>
      </w:r>
      <w:proofErr w:type="spellEnd"/>
      <w:r w:rsidRPr="00692B72">
        <w:rPr>
          <w:rFonts w:cs="Calibri"/>
          <w:lang w:val="en-US"/>
        </w:rPr>
        <w:t xml:space="preserve"> hormone (LH) preparation is recommended for the stimulation of follicular development in women with severe LH and FSH deficiency. In clinical trials these patients were defined by</w:t>
      </w:r>
      <w:r w:rsidR="00692B72" w:rsidRPr="00692B72">
        <w:rPr>
          <w:rFonts w:cs="Calibri"/>
          <w:lang w:val="en-US"/>
        </w:rPr>
        <w:t xml:space="preserve"> an endogenous serum LH level &lt;</w:t>
      </w:r>
      <w:r w:rsidRPr="00692B72">
        <w:rPr>
          <w:rFonts w:cs="Calibri"/>
          <w:lang w:val="en-US"/>
        </w:rPr>
        <w:t>1.2 IU/l.</w:t>
      </w:r>
    </w:p>
    <w:p w:rsidR="000A45A5" w:rsidRPr="00692B72" w:rsidRDefault="000A45A5" w:rsidP="000A45A5">
      <w:pPr>
        <w:pStyle w:val="NoSpacing"/>
        <w:ind w:left="720"/>
        <w:rPr>
          <w:rFonts w:cs="Calibri"/>
          <w:lang w:val="en-US"/>
        </w:rPr>
      </w:pPr>
    </w:p>
    <w:p w:rsidR="000A45A5" w:rsidRPr="00692B72" w:rsidRDefault="000A45A5" w:rsidP="00935AD3">
      <w:pPr>
        <w:pStyle w:val="NoSpacing"/>
        <w:keepNext/>
        <w:rPr>
          <w:rFonts w:cs="Calibri"/>
          <w:lang w:val="en-US"/>
        </w:rPr>
      </w:pPr>
      <w:r w:rsidRPr="00692B72">
        <w:rPr>
          <w:rFonts w:cs="Calibri"/>
          <w:lang w:val="en-US"/>
        </w:rPr>
        <w:t>In adult men:</w:t>
      </w:r>
    </w:p>
    <w:p w:rsidR="007229B3" w:rsidRPr="009563C7" w:rsidRDefault="007229B3" w:rsidP="009563C7">
      <w:pPr>
        <w:pStyle w:val="NoSpacing"/>
        <w:numPr>
          <w:ilvl w:val="0"/>
          <w:numId w:val="9"/>
        </w:numPr>
        <w:rPr>
          <w:rFonts w:cs="Calibri"/>
          <w:lang w:val="en-US"/>
        </w:rPr>
      </w:pPr>
      <w:r w:rsidRPr="009563C7">
        <w:rPr>
          <w:rFonts w:cs="Calibri"/>
          <w:lang w:val="en-US"/>
        </w:rPr>
        <w:t>Bemfola is indicated with concomitant human chorionic gonadotrophin (</w:t>
      </w:r>
      <w:proofErr w:type="spellStart"/>
      <w:proofErr w:type="gramStart"/>
      <w:r w:rsidRPr="009563C7">
        <w:rPr>
          <w:rFonts w:cs="Calibri"/>
          <w:lang w:val="en-US"/>
        </w:rPr>
        <w:t>hCG</w:t>
      </w:r>
      <w:proofErr w:type="spellEnd"/>
      <w:proofErr w:type="gramEnd"/>
      <w:r w:rsidRPr="009563C7">
        <w:rPr>
          <w:rFonts w:cs="Calibri"/>
          <w:lang w:val="en-US"/>
        </w:rPr>
        <w:t xml:space="preserve">) therapy for the stimulation of spermatogenesis in gonadotrophin-deficient men in whom </w:t>
      </w:r>
      <w:proofErr w:type="spellStart"/>
      <w:r w:rsidRPr="009563C7">
        <w:rPr>
          <w:rFonts w:cs="Calibri"/>
          <w:lang w:val="en-US"/>
        </w:rPr>
        <w:t>hCG</w:t>
      </w:r>
      <w:proofErr w:type="spellEnd"/>
      <w:r w:rsidRPr="009563C7">
        <w:rPr>
          <w:rFonts w:cs="Calibri"/>
          <w:lang w:val="en-US"/>
        </w:rPr>
        <w:t xml:space="preserve"> alone is ineffective.</w:t>
      </w:r>
    </w:p>
    <w:p w:rsidR="00BD7208" w:rsidRDefault="00BD7208" w:rsidP="00B024F8">
      <w:pPr>
        <w:pStyle w:val="NoSpacing"/>
        <w:ind w:left="720"/>
        <w:rPr>
          <w:rFonts w:cs="Calibri"/>
          <w:lang w:val="en-US"/>
        </w:rPr>
      </w:pPr>
    </w:p>
    <w:p w:rsidR="00507789" w:rsidRDefault="00507789" w:rsidP="00B024F8">
      <w:pPr>
        <w:pStyle w:val="NoSpacing"/>
        <w:rPr>
          <w:rFonts w:cs="Calibri"/>
          <w:lang w:val="en-US"/>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lastRenderedPageBreak/>
        <w:t>CONTRAINDICATIONS</w:t>
      </w:r>
    </w:p>
    <w:p w:rsidR="00975E96" w:rsidRPr="00692B72" w:rsidRDefault="00975E96" w:rsidP="00975E96">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BEMFOLA is contraindicated for safety reasons in: </w:t>
      </w:r>
    </w:p>
    <w:p w:rsidR="000D1E50" w:rsidRPr="00692B72" w:rsidRDefault="000D1E50" w:rsidP="00975E96">
      <w:pPr>
        <w:pStyle w:val="Default"/>
        <w:numPr>
          <w:ilvl w:val="0"/>
          <w:numId w:val="2"/>
        </w:numPr>
        <w:spacing w:after="44"/>
        <w:rPr>
          <w:rFonts w:ascii="Calibri" w:hAnsi="Calibri"/>
          <w:sz w:val="22"/>
          <w:szCs w:val="22"/>
        </w:rPr>
      </w:pPr>
      <w:r w:rsidRPr="00692B72">
        <w:rPr>
          <w:rFonts w:ascii="Calibri" w:hAnsi="Calibri"/>
          <w:sz w:val="22"/>
          <w:szCs w:val="22"/>
        </w:rPr>
        <w:t xml:space="preserve">cases of prior hypersensitivity to follitropin alfa, or to any excipients of BEMFOLA </w:t>
      </w:r>
    </w:p>
    <w:p w:rsidR="000D1E50" w:rsidRPr="00692B72" w:rsidRDefault="000D1E50" w:rsidP="00975E96">
      <w:pPr>
        <w:pStyle w:val="Default"/>
        <w:numPr>
          <w:ilvl w:val="0"/>
          <w:numId w:val="2"/>
        </w:numPr>
        <w:rPr>
          <w:rFonts w:ascii="Calibri" w:hAnsi="Calibri"/>
          <w:sz w:val="22"/>
          <w:szCs w:val="22"/>
        </w:rPr>
      </w:pPr>
      <w:r w:rsidRPr="00692B72">
        <w:rPr>
          <w:rFonts w:ascii="Calibri" w:hAnsi="Calibri"/>
          <w:sz w:val="22"/>
          <w:szCs w:val="22"/>
        </w:rPr>
        <w:t xml:space="preserve">tumours of the hypothalamus or pituitary gland </w:t>
      </w:r>
    </w:p>
    <w:p w:rsidR="000D1E50" w:rsidRPr="00692B72" w:rsidRDefault="000D1E50"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FSH therapy is contraindicated for safety reasons where the following exist: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In women: </w:t>
      </w:r>
    </w:p>
    <w:p w:rsidR="000D1E50" w:rsidRPr="00692B72" w:rsidRDefault="000D1E50" w:rsidP="00975E96">
      <w:pPr>
        <w:pStyle w:val="Default"/>
        <w:numPr>
          <w:ilvl w:val="0"/>
          <w:numId w:val="3"/>
        </w:numPr>
        <w:spacing w:after="45"/>
        <w:rPr>
          <w:rFonts w:ascii="Calibri" w:hAnsi="Calibri"/>
          <w:sz w:val="22"/>
          <w:szCs w:val="22"/>
        </w:rPr>
      </w:pPr>
      <w:r w:rsidRPr="00692B72">
        <w:rPr>
          <w:rFonts w:ascii="Calibri" w:hAnsi="Calibri"/>
          <w:sz w:val="22"/>
          <w:szCs w:val="22"/>
        </w:rPr>
        <w:t xml:space="preserve">pregnancy and lactation </w:t>
      </w:r>
    </w:p>
    <w:p w:rsidR="000D1E50" w:rsidRPr="00692B72" w:rsidRDefault="000D1E50" w:rsidP="00975E96">
      <w:pPr>
        <w:pStyle w:val="Default"/>
        <w:numPr>
          <w:ilvl w:val="0"/>
          <w:numId w:val="3"/>
        </w:numPr>
        <w:spacing w:after="45"/>
        <w:rPr>
          <w:rFonts w:ascii="Calibri" w:hAnsi="Calibri"/>
          <w:sz w:val="22"/>
          <w:szCs w:val="22"/>
        </w:rPr>
      </w:pPr>
      <w:r w:rsidRPr="00692B72">
        <w:rPr>
          <w:rFonts w:ascii="Calibri" w:hAnsi="Calibri"/>
          <w:sz w:val="22"/>
          <w:szCs w:val="22"/>
        </w:rPr>
        <w:t xml:space="preserve">ovarian enlargement or ovarian cyst of unknown aetiology </w:t>
      </w:r>
    </w:p>
    <w:p w:rsidR="000D1E50" w:rsidRPr="00692B72" w:rsidRDefault="000D1E50" w:rsidP="00975E96">
      <w:pPr>
        <w:pStyle w:val="Default"/>
        <w:numPr>
          <w:ilvl w:val="0"/>
          <w:numId w:val="3"/>
        </w:numPr>
        <w:spacing w:after="45"/>
        <w:rPr>
          <w:rFonts w:ascii="Calibri" w:hAnsi="Calibri"/>
          <w:sz w:val="22"/>
          <w:szCs w:val="22"/>
        </w:rPr>
      </w:pPr>
      <w:r w:rsidRPr="00692B72">
        <w:rPr>
          <w:rFonts w:ascii="Calibri" w:hAnsi="Calibri"/>
          <w:sz w:val="22"/>
          <w:szCs w:val="22"/>
        </w:rPr>
        <w:t xml:space="preserve">gynaecological haemorrhages of unknown aetiology </w:t>
      </w:r>
    </w:p>
    <w:p w:rsidR="000D1E50" w:rsidRPr="00692B72" w:rsidRDefault="000D1E50" w:rsidP="00975E96">
      <w:pPr>
        <w:pStyle w:val="Default"/>
        <w:numPr>
          <w:ilvl w:val="0"/>
          <w:numId w:val="3"/>
        </w:numPr>
        <w:rPr>
          <w:rFonts w:ascii="Calibri" w:hAnsi="Calibri"/>
          <w:sz w:val="22"/>
          <w:szCs w:val="22"/>
        </w:rPr>
      </w:pPr>
      <w:r w:rsidRPr="00692B72">
        <w:rPr>
          <w:rFonts w:ascii="Calibri" w:hAnsi="Calibri"/>
          <w:sz w:val="22"/>
          <w:szCs w:val="22"/>
        </w:rPr>
        <w:t xml:space="preserve">ovarian, uterine or breast carcinoma </w:t>
      </w:r>
    </w:p>
    <w:p w:rsidR="000D1E50" w:rsidRPr="00692B72" w:rsidRDefault="000D1E50"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FSH is contraindicated when an effective response cannot be obtained, such as: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women</w:t>
      </w:r>
      <w:r w:rsidR="00975E96" w:rsidRPr="00692B72">
        <w:rPr>
          <w:rFonts w:ascii="Calibri" w:hAnsi="Calibri"/>
          <w:sz w:val="22"/>
          <w:szCs w:val="22"/>
        </w:rPr>
        <w:t>:</w:t>
      </w:r>
      <w:r w:rsidRPr="00692B72">
        <w:rPr>
          <w:rFonts w:ascii="Calibri" w:hAnsi="Calibri"/>
          <w:sz w:val="22"/>
          <w:szCs w:val="22"/>
        </w:rPr>
        <w:t xml:space="preserve"> </w:t>
      </w:r>
    </w:p>
    <w:p w:rsidR="000D1E50" w:rsidRPr="00692B72" w:rsidRDefault="000D1E50" w:rsidP="00975E96">
      <w:pPr>
        <w:pStyle w:val="Default"/>
        <w:numPr>
          <w:ilvl w:val="0"/>
          <w:numId w:val="4"/>
        </w:numPr>
        <w:spacing w:after="47"/>
        <w:rPr>
          <w:rFonts w:ascii="Calibri" w:hAnsi="Calibri"/>
          <w:sz w:val="22"/>
          <w:szCs w:val="22"/>
        </w:rPr>
      </w:pPr>
      <w:r w:rsidRPr="00692B72">
        <w:rPr>
          <w:rFonts w:ascii="Calibri" w:hAnsi="Calibri"/>
          <w:sz w:val="22"/>
          <w:szCs w:val="22"/>
        </w:rPr>
        <w:t xml:space="preserve">primary ovarian failure as indicated by high levels of FSH (ovarian dysgenesis, premature menopause) </w:t>
      </w:r>
    </w:p>
    <w:p w:rsidR="000D1E50" w:rsidRPr="00692B72" w:rsidRDefault="000D1E50" w:rsidP="00975E96">
      <w:pPr>
        <w:pStyle w:val="Default"/>
        <w:numPr>
          <w:ilvl w:val="0"/>
          <w:numId w:val="4"/>
        </w:numPr>
        <w:spacing w:after="47"/>
        <w:rPr>
          <w:rFonts w:ascii="Calibri" w:hAnsi="Calibri"/>
          <w:sz w:val="22"/>
          <w:szCs w:val="22"/>
        </w:rPr>
      </w:pPr>
      <w:r w:rsidRPr="00692B72">
        <w:rPr>
          <w:rFonts w:ascii="Calibri" w:hAnsi="Calibri"/>
          <w:sz w:val="22"/>
          <w:szCs w:val="22"/>
        </w:rPr>
        <w:t xml:space="preserve">malformations of sexual organs incompatible with pregnancy </w:t>
      </w:r>
    </w:p>
    <w:p w:rsidR="000D1E50" w:rsidRPr="00692B72" w:rsidRDefault="000D1E50" w:rsidP="00975E96">
      <w:pPr>
        <w:pStyle w:val="Default"/>
        <w:numPr>
          <w:ilvl w:val="0"/>
          <w:numId w:val="4"/>
        </w:numPr>
        <w:rPr>
          <w:rFonts w:ascii="Calibri" w:hAnsi="Calibri"/>
          <w:sz w:val="22"/>
          <w:szCs w:val="22"/>
        </w:rPr>
      </w:pPr>
      <w:r w:rsidRPr="00692B72">
        <w:rPr>
          <w:rFonts w:ascii="Calibri" w:hAnsi="Calibri"/>
          <w:sz w:val="22"/>
          <w:szCs w:val="22"/>
        </w:rPr>
        <w:t xml:space="preserve">fibroid tumours of the uterus incompatible with pregnancy </w:t>
      </w:r>
    </w:p>
    <w:p w:rsidR="000D1E50" w:rsidRPr="00692B72" w:rsidRDefault="000D1E50"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men</w:t>
      </w:r>
      <w:r w:rsidR="00975E96" w:rsidRPr="00692B72">
        <w:rPr>
          <w:rFonts w:ascii="Calibri" w:hAnsi="Calibri"/>
          <w:sz w:val="22"/>
          <w:szCs w:val="22"/>
        </w:rPr>
        <w:t>:</w:t>
      </w:r>
      <w:r w:rsidRPr="00692B72">
        <w:rPr>
          <w:rFonts w:ascii="Calibri" w:hAnsi="Calibri"/>
          <w:sz w:val="22"/>
          <w:szCs w:val="22"/>
        </w:rPr>
        <w:t xml:space="preserve"> </w:t>
      </w:r>
    </w:p>
    <w:p w:rsidR="000D1E50" w:rsidRPr="00692B72" w:rsidRDefault="000D1E50" w:rsidP="00975E96">
      <w:pPr>
        <w:pStyle w:val="Default"/>
        <w:numPr>
          <w:ilvl w:val="0"/>
          <w:numId w:val="5"/>
        </w:numPr>
        <w:spacing w:after="44"/>
        <w:rPr>
          <w:rFonts w:ascii="Calibri" w:hAnsi="Calibri"/>
          <w:sz w:val="22"/>
          <w:szCs w:val="22"/>
        </w:rPr>
      </w:pPr>
      <w:r w:rsidRPr="00692B72">
        <w:rPr>
          <w:rFonts w:ascii="Calibri" w:hAnsi="Calibri"/>
          <w:sz w:val="22"/>
          <w:szCs w:val="22"/>
        </w:rPr>
        <w:t xml:space="preserve">Elevated gonadotrophin levels that indicate primary testicular failure </w:t>
      </w:r>
    </w:p>
    <w:p w:rsidR="000D1E50" w:rsidRPr="00692B72" w:rsidRDefault="000D1E50" w:rsidP="00975E96">
      <w:pPr>
        <w:pStyle w:val="Default"/>
        <w:numPr>
          <w:ilvl w:val="0"/>
          <w:numId w:val="5"/>
        </w:numPr>
        <w:rPr>
          <w:rFonts w:ascii="Calibri" w:hAnsi="Calibri"/>
          <w:sz w:val="22"/>
          <w:szCs w:val="22"/>
        </w:rPr>
      </w:pPr>
      <w:r w:rsidRPr="00692B72">
        <w:rPr>
          <w:rFonts w:ascii="Calibri" w:hAnsi="Calibri"/>
          <w:sz w:val="22"/>
          <w:szCs w:val="22"/>
        </w:rPr>
        <w:t xml:space="preserve">Infertility disorders other than </w:t>
      </w:r>
      <w:proofErr w:type="spellStart"/>
      <w:r w:rsidRPr="00692B72">
        <w:rPr>
          <w:rFonts w:ascii="Calibri" w:hAnsi="Calibri"/>
          <w:sz w:val="22"/>
          <w:szCs w:val="22"/>
        </w:rPr>
        <w:t>hypogonadotrophic</w:t>
      </w:r>
      <w:proofErr w:type="spellEnd"/>
      <w:r w:rsidRPr="00692B72">
        <w:rPr>
          <w:rFonts w:ascii="Calibri" w:hAnsi="Calibri"/>
          <w:sz w:val="22"/>
          <w:szCs w:val="22"/>
        </w:rPr>
        <w:t xml:space="preserve"> hypogonadism </w:t>
      </w:r>
    </w:p>
    <w:p w:rsidR="000D1E50" w:rsidRPr="00692B72" w:rsidRDefault="000D1E50"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Use in Elderly and Children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BEMFOLA should not be used in the elderly or children. </w:t>
      </w: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PRECAUTIONS</w:t>
      </w:r>
    </w:p>
    <w:p w:rsidR="00193FB3" w:rsidRPr="00692B72" w:rsidRDefault="00193FB3" w:rsidP="00975E96">
      <w:pPr>
        <w:pStyle w:val="Default"/>
        <w:jc w:val="center"/>
        <w:rPr>
          <w:rFonts w:ascii="Calibri" w:hAnsi="Calibri"/>
          <w:sz w:val="16"/>
          <w:szCs w:val="22"/>
          <w:u w:val="single"/>
        </w:rPr>
      </w:pPr>
    </w:p>
    <w:p w:rsidR="00DD798A" w:rsidRDefault="00DD798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BEMFOLA is a potent gonadotrophic substance capable of causing mild to severe adverse</w:t>
      </w:r>
      <w:r w:rsidR="007E7410" w:rsidRPr="00692B72">
        <w:rPr>
          <w:rFonts w:ascii="Calibri" w:hAnsi="Calibri"/>
          <w:sz w:val="22"/>
          <w:szCs w:val="22"/>
        </w:rPr>
        <w:t xml:space="preserve"> </w:t>
      </w:r>
      <w:r w:rsidRPr="00692B72">
        <w:rPr>
          <w:rFonts w:ascii="Calibri" w:hAnsi="Calibri"/>
          <w:sz w:val="22"/>
          <w:szCs w:val="22"/>
        </w:rPr>
        <w:t xml:space="preserve">reactions, and should only be used by physicians who are thoroughly familiar with infertility problems and their management. </w:t>
      </w:r>
    </w:p>
    <w:p w:rsidR="00193FB3" w:rsidRPr="00692B72" w:rsidRDefault="00193FB3" w:rsidP="000D1E50">
      <w:pPr>
        <w:pStyle w:val="Default"/>
        <w:rPr>
          <w:rFonts w:ascii="Calibri" w:hAnsi="Calibri"/>
          <w:sz w:val="22"/>
          <w:szCs w:val="22"/>
        </w:rPr>
      </w:pPr>
    </w:p>
    <w:p w:rsidR="00193FB3" w:rsidRDefault="000D1E50" w:rsidP="00193FB3">
      <w:pPr>
        <w:spacing w:after="0"/>
      </w:pPr>
      <w:r w:rsidRPr="000D1E50">
        <w:t xml:space="preserve">Gonadotrophin therapy requires a certain time commitment by physicians and supportive health professionals, as well as the availability of appropriate monitoring facilities. In women, safe and effective use of </w:t>
      </w:r>
      <w:r>
        <w:t>BEMFOLA</w:t>
      </w:r>
      <w:r w:rsidRPr="000D1E50">
        <w:t xml:space="preserve"> calls for monitoring of ovarian response with ultrasound, alone or preferably in combination with measurement of serum oestradiol levels, on a regular basis. There may be a degree of inter-patient variability in response to FSH administration, with a poor response to FSH in some patients and exaggerated response in others. The lowest effective dose in relation to the treatment objective should be used in both men and women.</w:t>
      </w:r>
    </w:p>
    <w:p w:rsidR="00193FB3" w:rsidRPr="00935AD3" w:rsidRDefault="00193FB3" w:rsidP="00193FB3">
      <w:pPr>
        <w:spacing w:after="0"/>
      </w:pPr>
    </w:p>
    <w:p w:rsidR="000D1E50" w:rsidRDefault="000D1E50" w:rsidP="00193FB3">
      <w:pPr>
        <w:spacing w:after="0"/>
      </w:pPr>
      <w:r w:rsidRPr="000D1E50">
        <w:lastRenderedPageBreak/>
        <w:t xml:space="preserve">Before starting treatment, the couple's infertility should be assessed as appropriate and putative contraindications for pregnancy evaluated. In particular, patients should be evaluated for hypothyroidism, adrenocortical deficiency, hyperprolactinaemia, and appropriate specific treatment given. </w:t>
      </w:r>
    </w:p>
    <w:p w:rsidR="00193FB3" w:rsidRPr="00935AD3" w:rsidRDefault="00193FB3" w:rsidP="00193FB3">
      <w:pPr>
        <w:spacing w:after="0"/>
      </w:pPr>
    </w:p>
    <w:p w:rsidR="000D1E50" w:rsidRPr="00692B72" w:rsidRDefault="000D1E50" w:rsidP="00193FB3">
      <w:pPr>
        <w:pStyle w:val="Default"/>
        <w:rPr>
          <w:rFonts w:ascii="Calibri" w:hAnsi="Calibri"/>
          <w:sz w:val="22"/>
          <w:szCs w:val="22"/>
        </w:rPr>
      </w:pPr>
      <w:r w:rsidRPr="00692B72">
        <w:rPr>
          <w:rFonts w:ascii="Calibri" w:hAnsi="Calibri"/>
          <w:sz w:val="22"/>
          <w:szCs w:val="22"/>
        </w:rPr>
        <w:t xml:space="preserve">BEMFOLA should be used with caution in patients with known hypersensitivity to gonadotrophin presentations that do not contain FSH, due to the risk of cross-sensitivity. The first injection of BEMFOLA in such patients must be performed under direct medical supervision. </w:t>
      </w:r>
    </w:p>
    <w:p w:rsidR="00193FB3" w:rsidRPr="00692B72" w:rsidRDefault="00193FB3" w:rsidP="00193FB3">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Self-administration of BEMFOLA should only be performed by patients who are well motivated, adequately trained and with access to expert advice. During training of the patient for self-administration, special attention should be given to specific instructions for the use of the pre-filled pen. </w:t>
      </w:r>
    </w:p>
    <w:p w:rsidR="00FE3FCE" w:rsidRPr="00692B72" w:rsidRDefault="00FE3FCE" w:rsidP="000D1E50">
      <w:pPr>
        <w:pStyle w:val="Default"/>
        <w:rPr>
          <w:rFonts w:ascii="Calibri" w:hAnsi="Calibri"/>
          <w:bCs/>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Treatment in Women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Patients should be selected carefully according to the following guidelines: a thorough gynaecological and </w:t>
      </w:r>
      <w:proofErr w:type="spellStart"/>
      <w:r w:rsidRPr="00692B72">
        <w:rPr>
          <w:rFonts w:ascii="Calibri" w:hAnsi="Calibri"/>
          <w:sz w:val="22"/>
          <w:szCs w:val="22"/>
        </w:rPr>
        <w:t>endocrinological</w:t>
      </w:r>
      <w:proofErr w:type="spellEnd"/>
      <w:r w:rsidRPr="00692B72">
        <w:rPr>
          <w:rFonts w:ascii="Calibri" w:hAnsi="Calibri"/>
          <w:sz w:val="22"/>
          <w:szCs w:val="22"/>
        </w:rPr>
        <w:t xml:space="preserve"> evaluation must be performed; presence of early pregnancy should be ruled out; aetiology of any abnormal vaginal bleeding should be established before starting BEMFOLA therapy; evaluation of semen quality of the partner should be performed; or other appropriate investigations should be performed as required.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Ovarian Hyperstimulation Syndrome (OHSS)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Mild to moderate uncomplicated ovarian enlargement, which may be accompanied by abdominal distension and/or abdominal pain, occurs in approximately 20% of those treated with </w:t>
      </w:r>
      <w:proofErr w:type="spellStart"/>
      <w:r w:rsidRPr="00692B72">
        <w:rPr>
          <w:rFonts w:ascii="Calibri" w:hAnsi="Calibri"/>
          <w:sz w:val="22"/>
          <w:szCs w:val="22"/>
        </w:rPr>
        <w:t>follitropin</w:t>
      </w:r>
      <w:proofErr w:type="spellEnd"/>
      <w:r w:rsidRPr="00692B72">
        <w:rPr>
          <w:rFonts w:ascii="Calibri" w:hAnsi="Calibri"/>
          <w:sz w:val="22"/>
          <w:szCs w:val="22"/>
        </w:rPr>
        <w:t xml:space="preserve"> and </w:t>
      </w:r>
      <w:proofErr w:type="spellStart"/>
      <w:r w:rsidRPr="00692B72">
        <w:rPr>
          <w:rFonts w:ascii="Calibri" w:hAnsi="Calibri"/>
          <w:sz w:val="22"/>
          <w:szCs w:val="22"/>
        </w:rPr>
        <w:t>hCG</w:t>
      </w:r>
      <w:proofErr w:type="spellEnd"/>
      <w:r w:rsidRPr="00692B72">
        <w:rPr>
          <w:rFonts w:ascii="Calibri" w:hAnsi="Calibri"/>
          <w:sz w:val="22"/>
          <w:szCs w:val="22"/>
        </w:rPr>
        <w:t xml:space="preserve">, and generally regresses without treatment within two or three weeks. In the presence of marked ovarian enlargement, treatment should be discontinued.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Patients undergoing superovulation are at an increased risk of developing Ovarian Hyperstimulation Syndrome (OHSS) in view of the excessive oestrogen response and multiple follicular development. Distinct from uncomplicated ovarian enlargement, OHSS is a condition that can manifest itself with increasing degrees of severity. It comprises marked ovarian enlargement, high serum sex steroids and an increase in vascular permeability which can result in an accumulation of fluid in the peritoneal, pleural and, rarely, in the pericardial cavities.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OHSS can become a serious complication of human gonadotrophin therapy and sometimes leads to fatal complications if not adequately treated. </w:t>
      </w:r>
    </w:p>
    <w:p w:rsidR="00193FB3" w:rsidRPr="00692B72" w:rsidRDefault="00193FB3" w:rsidP="000D1E50">
      <w:pPr>
        <w:pStyle w:val="Default"/>
        <w:rPr>
          <w:rFonts w:ascii="Calibri" w:hAnsi="Calibri"/>
          <w:sz w:val="22"/>
          <w:szCs w:val="22"/>
        </w:rPr>
      </w:pPr>
    </w:p>
    <w:p w:rsidR="000D1E50" w:rsidRDefault="000D1E50" w:rsidP="00FB7B9D">
      <w:pPr>
        <w:pStyle w:val="NoSpacing"/>
      </w:pPr>
      <w:r w:rsidRPr="000D1E50">
        <w:t xml:space="preserve">Mild manifestations of OHSS include abdominal pain, abdominal discomfort and distension, and enlarged ovaries. Moderate OHSS may additionally present with nausea, vomiting, ultrasound evidence of ascites and marked ovarian enlargement. Severe OHSS further includes symptoms such as severe ovarian enlargement, weight gain, dyspnoea or oliguria. Clinical evaluation may reveal hypovolaemia, </w:t>
      </w:r>
      <w:proofErr w:type="spellStart"/>
      <w:r w:rsidRPr="000D1E50">
        <w:t>haemoconcentration</w:t>
      </w:r>
      <w:proofErr w:type="spellEnd"/>
      <w:r w:rsidRPr="000D1E50">
        <w:t>, electrolyte imbalances, ascites, pleural effusions or acute pulmonary distress. Very rarely, severe OHSS may be complicated by ovarian torsion or thromboembolic events, such as pulmonary embolism, ischaemic stroke or myocardial infarction.</w:t>
      </w:r>
    </w:p>
    <w:p w:rsidR="00193FB3" w:rsidRPr="00935AD3" w:rsidRDefault="00193FB3" w:rsidP="00193FB3">
      <w:pPr>
        <w:spacing w:after="0"/>
      </w:pPr>
    </w:p>
    <w:p w:rsidR="000D1E50" w:rsidRPr="00692B72" w:rsidRDefault="000D1E50" w:rsidP="00193FB3">
      <w:pPr>
        <w:pStyle w:val="Default"/>
        <w:rPr>
          <w:rFonts w:ascii="Calibri" w:hAnsi="Calibri"/>
          <w:sz w:val="22"/>
          <w:szCs w:val="22"/>
        </w:rPr>
      </w:pPr>
      <w:r w:rsidRPr="00692B72">
        <w:rPr>
          <w:rFonts w:ascii="Calibri" w:hAnsi="Calibri"/>
          <w:sz w:val="22"/>
          <w:szCs w:val="22"/>
        </w:rPr>
        <w:t xml:space="preserve">Independent risk factors for developing OHSS have been reported to include young age, lean body mass, polycystic ovarian syndrome (PCOS), higher doses of exogenous gonadotrophins, high absolute or rapidly rising serum oestradiol levels and previous episodes of OHSS, large number of developing ovarian follicles and large number of oocytes retrieved in ART cycles. </w:t>
      </w:r>
    </w:p>
    <w:p w:rsidR="00193FB3" w:rsidRPr="00692B72" w:rsidRDefault="00193FB3" w:rsidP="00193FB3">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Careful monitoring of ovarian response with ultrasound alone or preferably in combination with measurement of oestradiol levels is recommended prior to and during stimulation therapy, especially in patients with PCOS.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OHSS may progress rapidly (within 24 hours) or over several days to become a serious medical event. It most often occurs after treatment with </w:t>
      </w:r>
      <w:proofErr w:type="spellStart"/>
      <w:r w:rsidRPr="00692B72">
        <w:rPr>
          <w:rFonts w:ascii="Calibri" w:hAnsi="Calibri"/>
          <w:sz w:val="22"/>
          <w:szCs w:val="22"/>
        </w:rPr>
        <w:t>follitropin</w:t>
      </w:r>
      <w:proofErr w:type="spellEnd"/>
      <w:r w:rsidRPr="00692B72">
        <w:rPr>
          <w:rFonts w:ascii="Calibri" w:hAnsi="Calibri"/>
          <w:sz w:val="22"/>
          <w:szCs w:val="22"/>
        </w:rPr>
        <w:t xml:space="preserve"> or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has been discontinued, reaching its maximum at about seven to ten days following treatment. Therefore, patients should be followed for at least two weeks after </w:t>
      </w:r>
      <w:proofErr w:type="spellStart"/>
      <w:r w:rsidRPr="00692B72">
        <w:rPr>
          <w:rFonts w:ascii="Calibri" w:hAnsi="Calibri"/>
          <w:sz w:val="22"/>
          <w:szCs w:val="22"/>
        </w:rPr>
        <w:t>follitropin</w:t>
      </w:r>
      <w:proofErr w:type="spellEnd"/>
      <w:r w:rsidRPr="00692B72">
        <w:rPr>
          <w:rFonts w:ascii="Calibri" w:hAnsi="Calibri"/>
          <w:sz w:val="22"/>
          <w:szCs w:val="22"/>
        </w:rPr>
        <w:t xml:space="preserve"> or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administration.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If there are any symptoms or signs of OHSS, the patient must be evaluated, investigated, and monitored. Adherence to recommended BEMFOLA dosage and regimen of administration can minimise the risk of OHSS</w:t>
      </w:r>
      <w:r w:rsidRPr="00692B72">
        <w:rPr>
          <w:rFonts w:ascii="Calibri" w:hAnsi="Calibri"/>
          <w:i/>
          <w:iCs/>
          <w:sz w:val="22"/>
          <w:szCs w:val="22"/>
        </w:rPr>
        <w:t xml:space="preserve">. </w:t>
      </w:r>
      <w:r w:rsidRPr="00692B72">
        <w:rPr>
          <w:rFonts w:ascii="Calibri" w:hAnsi="Calibri"/>
          <w:sz w:val="22"/>
          <w:szCs w:val="22"/>
        </w:rPr>
        <w:t xml:space="preserve">Monitoring of stimulation cycles by ultrasound scans as well as oestradiol measurements are recommended to identify risk factors early. </w:t>
      </w:r>
    </w:p>
    <w:p w:rsidR="00193FB3" w:rsidRPr="00692B72" w:rsidRDefault="00193FB3" w:rsidP="000D1E50">
      <w:pPr>
        <w:pStyle w:val="Default"/>
        <w:rPr>
          <w:rFonts w:ascii="Calibri" w:hAnsi="Calibri"/>
          <w:sz w:val="22"/>
          <w:szCs w:val="22"/>
        </w:rPr>
      </w:pPr>
    </w:p>
    <w:p w:rsidR="00193FB3" w:rsidRPr="00692B72" w:rsidRDefault="000D1E50" w:rsidP="000D1E50">
      <w:pPr>
        <w:pStyle w:val="Default"/>
        <w:rPr>
          <w:rFonts w:ascii="Calibri" w:hAnsi="Calibri"/>
          <w:sz w:val="22"/>
          <w:szCs w:val="22"/>
        </w:rPr>
      </w:pPr>
      <w:r w:rsidRPr="00692B72">
        <w:rPr>
          <w:rFonts w:ascii="Calibri" w:hAnsi="Calibri"/>
          <w:sz w:val="22"/>
          <w:szCs w:val="22"/>
        </w:rPr>
        <w:t xml:space="preserve">Excessive oestrogenic response seldom gives rise to significant </w:t>
      </w:r>
      <w:proofErr w:type="spellStart"/>
      <w:r w:rsidRPr="00692B72">
        <w:rPr>
          <w:rFonts w:ascii="Calibri" w:hAnsi="Calibri"/>
          <w:sz w:val="22"/>
          <w:szCs w:val="22"/>
        </w:rPr>
        <w:t>hyperstimulation</w:t>
      </w:r>
      <w:proofErr w:type="spellEnd"/>
      <w:r w:rsidRPr="00692B72">
        <w:rPr>
          <w:rFonts w:ascii="Calibri" w:hAnsi="Calibri"/>
          <w:sz w:val="22"/>
          <w:szCs w:val="22"/>
        </w:rPr>
        <w:t xml:space="preserve"> unless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is administered to induce ovulation. Cases of OHSS are more common, more severe and more protracted if pregnancy occurs. Therefore, if signs of OHSS occur, it is recommended that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be withheld and the physician should advise the patient to refrain from intercourse for at least 4 days. Intercourse should be prohibited in those patients in whom significant ovarian enlargement occurs after ovulation because of the danger of </w:t>
      </w:r>
      <w:proofErr w:type="spellStart"/>
      <w:r w:rsidRPr="00692B72">
        <w:rPr>
          <w:rFonts w:ascii="Calibri" w:hAnsi="Calibri"/>
          <w:sz w:val="22"/>
          <w:szCs w:val="22"/>
        </w:rPr>
        <w:t>haemoperitoneum</w:t>
      </w:r>
      <w:proofErr w:type="spellEnd"/>
      <w:r w:rsidRPr="00692B72">
        <w:rPr>
          <w:rFonts w:ascii="Calibri" w:hAnsi="Calibri"/>
          <w:sz w:val="22"/>
          <w:szCs w:val="22"/>
        </w:rPr>
        <w:t xml:space="preserve"> resulting from ruptured ovarian cysts.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Mild or moderate OHSS requires careful monitoring and may resolve spontaneously. Worsening of symptoms suggests progression of OHSS and requires prompt clinical reassessment. If necessary, the physician should recommend cessation of treatment or withholding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injection, and closely monitor the ovarian response. Severe OHSS requires admission to hospital and commencement of appropriate therapy in addition to cessation of gonadotrophins treatment. Treatment of OHSS is primarily symptomatic, consisting of bed rest, fluid and electrolyte management, and analgesics if needed.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phenomenon of </w:t>
      </w:r>
      <w:proofErr w:type="spellStart"/>
      <w:r w:rsidRPr="00692B72">
        <w:rPr>
          <w:rFonts w:ascii="Calibri" w:hAnsi="Calibri"/>
          <w:sz w:val="22"/>
          <w:szCs w:val="22"/>
        </w:rPr>
        <w:t>haemoconcentration</w:t>
      </w:r>
      <w:proofErr w:type="spellEnd"/>
      <w:r w:rsidRPr="00692B72">
        <w:rPr>
          <w:rFonts w:ascii="Calibri" w:hAnsi="Calibri"/>
          <w:sz w:val="22"/>
          <w:szCs w:val="22"/>
        </w:rPr>
        <w:t xml:space="preserve"> associated with fluid loss into the peritoneal cavity, pleural cavity and pericardial cavity has been seen to occur and should be thoroughly assessed in the following manner: 1) fluid intake and output, 2) weight, 3) haematocrit, 4) serum and urinary electrolytes, 5) urine specific gravity, 6) BUN and creatinine, and 7) abdominal girth. These determinations are to be performed daily or more often if the need arises. Appropriate imaging examination, especially ultrasound, should also be used for identifying, localising and quantifying fluid loss. </w:t>
      </w:r>
    </w:p>
    <w:p w:rsidR="00193FB3" w:rsidRPr="00692B72" w:rsidRDefault="00193FB3" w:rsidP="000D1E50">
      <w:pPr>
        <w:pStyle w:val="Default"/>
        <w:rPr>
          <w:rFonts w:ascii="Calibri" w:hAnsi="Calibri"/>
          <w:sz w:val="22"/>
          <w:szCs w:val="22"/>
        </w:rPr>
      </w:pPr>
    </w:p>
    <w:p w:rsidR="000D1E50" w:rsidRPr="00935AD3" w:rsidRDefault="000D1E50" w:rsidP="00193FB3">
      <w:pPr>
        <w:pStyle w:val="NoSpacing"/>
      </w:pPr>
      <w:r w:rsidRPr="00935AD3">
        <w:t xml:space="preserve">There is an increased risk of injury to the ovary with OHSS. The </w:t>
      </w:r>
      <w:proofErr w:type="spellStart"/>
      <w:r w:rsidRPr="00935AD3">
        <w:t>ascitic</w:t>
      </w:r>
      <w:proofErr w:type="spellEnd"/>
      <w:r w:rsidRPr="00935AD3">
        <w:t xml:space="preserve">, pleural and pericardial fluids should not be removed unless absolutely necessary to relieve symptoms such as pulmonary distress or cardiac tamponade. Pelvic examination may cause rupture of an ovarian cyst, which may result in </w:t>
      </w:r>
      <w:proofErr w:type="spellStart"/>
      <w:r w:rsidRPr="00935AD3">
        <w:t>haemoperitoneum</w:t>
      </w:r>
      <w:proofErr w:type="spellEnd"/>
      <w:r w:rsidRPr="00935AD3">
        <w:t xml:space="preserve"> and should therefore be avoided. If this does occur, and if bleeding becomes such </w:t>
      </w:r>
      <w:r w:rsidRPr="00935AD3">
        <w:lastRenderedPageBreak/>
        <w:t>that surgery is required, the surgical treatment should be designed to control bleeding and to retain as much ovarian tissue as possible.</w:t>
      </w:r>
    </w:p>
    <w:p w:rsidR="00193FB3" w:rsidRPr="00935AD3" w:rsidRDefault="00193FB3" w:rsidP="00193FB3">
      <w:pPr>
        <w:pStyle w:val="NoSpacing"/>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Thromboembolic Events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Thromboembolic events, including thrombophlebitis, pulmonary embolism, stroke and arterial occlusion both in association with, and separate from OHSS, have been reported following gonadotrophin therapy. In rare cases, thromboembolic events have resulted in death.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In women with recent or ongoing thromboembolic disease or women with generally recognised risk factors for thromboembolic events, such as personal or family history, treatment with gonadotrophins may further increase the risk for aggravation or occurrence of such events. In these women, the benefits of gonadotrophin administration need to be weighed against the risks. It should be noted, however, that pregnancy itself, as well as OHSS, also carries an increased risk of thromboembolic events.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Multiple Pregnancies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patients undergoing induction of ovulation, the incidence of multiple pregnancy is increased compared with natural conception. The majority of multiple conceptions are twins. Multiple pregnancies, especially higher order, carry an increased risk of adverse maternal and perinatal outcomes. The patient should be advised of the potential risk of multiple bir</w:t>
      </w:r>
      <w:r w:rsidR="00FB7B9D" w:rsidRPr="00692B72">
        <w:rPr>
          <w:rFonts w:ascii="Calibri" w:hAnsi="Calibri"/>
          <w:sz w:val="22"/>
          <w:szCs w:val="22"/>
        </w:rPr>
        <w:t>ths before starting treatment.</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To minimise the risk of twins or higher order multiple pregnancy, careful monitoring of ovarian response is recommended. Appropriate management, such as cycle cancellation, should be considered in line with curr</w:t>
      </w:r>
      <w:r w:rsidR="00FB7B9D" w:rsidRPr="00692B72">
        <w:rPr>
          <w:rFonts w:ascii="Calibri" w:hAnsi="Calibri"/>
          <w:sz w:val="22"/>
          <w:szCs w:val="22"/>
        </w:rPr>
        <w:t xml:space="preserve">ent clinical practice. </w:t>
      </w:r>
      <w:r w:rsidRPr="00692B72">
        <w:rPr>
          <w:rFonts w:ascii="Calibri" w:hAnsi="Calibri"/>
          <w:sz w:val="22"/>
          <w:szCs w:val="22"/>
        </w:rPr>
        <w:t xml:space="preserve">The incidence of multiple pregnancy can be minimised by using the recommended dose and schedule of administration (see </w:t>
      </w:r>
      <w:r w:rsidRPr="00692B72">
        <w:rPr>
          <w:rFonts w:ascii="Calibri" w:hAnsi="Calibri"/>
          <w:b/>
          <w:bCs/>
          <w:sz w:val="22"/>
          <w:szCs w:val="22"/>
        </w:rPr>
        <w:t>DOSAGE AND ADMINISTRATION</w:t>
      </w:r>
      <w:r w:rsidRPr="00692B72">
        <w:rPr>
          <w:rFonts w:ascii="Calibri" w:hAnsi="Calibri"/>
          <w:i/>
          <w:iCs/>
          <w:sz w:val="22"/>
          <w:szCs w:val="22"/>
        </w:rPr>
        <w:t>)</w:t>
      </w:r>
      <w:r w:rsidRPr="00692B72">
        <w:rPr>
          <w:rFonts w:ascii="Calibri" w:hAnsi="Calibri"/>
          <w:sz w:val="22"/>
          <w:szCs w:val="22"/>
        </w:rPr>
        <w:t xml:space="preserve">.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patients undergoing ART procedures, the risk of multiple pregnancy is related mainly to the number of embryos replaced, their quality and the patient’s age. Single embryo transfer in good prognosis cycles substantially reduces the risk of multiple pregnancy with lit</w:t>
      </w:r>
      <w:r w:rsidR="00FB7B9D" w:rsidRPr="00692B72">
        <w:rPr>
          <w:rFonts w:ascii="Calibri" w:hAnsi="Calibri"/>
          <w:sz w:val="22"/>
          <w:szCs w:val="22"/>
        </w:rPr>
        <w:t>tle effect on live birth rates.</w:t>
      </w:r>
      <w:r w:rsidRPr="00692B72">
        <w:rPr>
          <w:rFonts w:ascii="Calibri" w:hAnsi="Calibri"/>
          <w:sz w:val="22"/>
          <w:szCs w:val="22"/>
        </w:rPr>
        <w:t xml:space="preserve">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Pregnancy Loss </w:t>
      </w:r>
    </w:p>
    <w:p w:rsidR="00193FB3" w:rsidRPr="009563C7"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incidence of pregnancy loss by miscarriage or abortion is higher in patients undergoing stimulation of follicular growth for ovulation induction or ART than following natural conception, but comparable with the rates found in women with other fertility problems.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Congenital Anomalies </w:t>
      </w:r>
    </w:p>
    <w:p w:rsidR="00193FB3" w:rsidRPr="009563C7" w:rsidRDefault="00193FB3" w:rsidP="000D1E50">
      <w:pPr>
        <w:pStyle w:val="Default"/>
        <w:rPr>
          <w:rFonts w:ascii="Calibri" w:hAnsi="Calibri"/>
          <w:sz w:val="18"/>
          <w:szCs w:val="18"/>
        </w:rPr>
      </w:pPr>
    </w:p>
    <w:p w:rsidR="000D1E50" w:rsidRPr="00935AD3" w:rsidRDefault="000D1E50" w:rsidP="00193FB3">
      <w:pPr>
        <w:pStyle w:val="NoSpacing"/>
      </w:pPr>
      <w:r w:rsidRPr="00935AD3">
        <w:t>The prevalence of congenital anomalies after the use of ART may be slightly higher than after spontaneous conceptions. Possible contributing factors include aspects inherent in the couple’s infertility, ovulation induction agents, other medicines used in tr</w:t>
      </w:r>
      <w:r w:rsidR="00FB7B9D" w:rsidRPr="00935AD3">
        <w:t>eatment and the ART procedures.</w:t>
      </w:r>
      <w:r w:rsidRPr="00935AD3">
        <w:t xml:space="preserve"> While there is no specific evidence from clinical trials or post-marketing data implicating </w:t>
      </w:r>
      <w:r w:rsidRPr="00935AD3">
        <w:lastRenderedPageBreak/>
        <w:t>gonadotrophin use in adverse effects on pregnancy, embryonal or fetal development, parturition or postnatal development, ovulation induction agents cannot be exc</w:t>
      </w:r>
      <w:r w:rsidR="00FB7B9D" w:rsidRPr="00935AD3">
        <w:t>luded as a contributing factor.</w:t>
      </w:r>
    </w:p>
    <w:p w:rsidR="00193FB3" w:rsidRPr="00935AD3" w:rsidRDefault="00193FB3" w:rsidP="00193FB3">
      <w:pPr>
        <w:pStyle w:val="NoSpacing"/>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Use in Pregnancy (Category D)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Follitropin alfa is not intended for use during pregnancy (see </w:t>
      </w:r>
      <w:r w:rsidRPr="00692B72">
        <w:rPr>
          <w:rFonts w:ascii="Calibri" w:hAnsi="Calibri"/>
          <w:b/>
          <w:bCs/>
          <w:sz w:val="22"/>
          <w:szCs w:val="22"/>
        </w:rPr>
        <w:t>CONTRAINDICATIONS</w:t>
      </w:r>
      <w:r w:rsidRPr="00692B72">
        <w:rPr>
          <w:rFonts w:ascii="Calibri" w:hAnsi="Calibri"/>
          <w:sz w:val="22"/>
          <w:szCs w:val="22"/>
        </w:rPr>
        <w:t xml:space="preserve">). In rats and rabbits, follitropin alfa caused dystocia and marked </w:t>
      </w:r>
      <w:proofErr w:type="spellStart"/>
      <w:r w:rsidRPr="00692B72">
        <w:rPr>
          <w:rFonts w:ascii="Calibri" w:hAnsi="Calibri"/>
          <w:sz w:val="22"/>
          <w:szCs w:val="22"/>
        </w:rPr>
        <w:t>postimplantation</w:t>
      </w:r>
      <w:proofErr w:type="spellEnd"/>
      <w:r w:rsidRPr="00692B72">
        <w:rPr>
          <w:rFonts w:ascii="Calibri" w:hAnsi="Calibri"/>
          <w:sz w:val="22"/>
          <w:szCs w:val="22"/>
        </w:rPr>
        <w:t xml:space="preserve"> loss at subcutaneous doses of greater than 5 IU/kg/day, indicating that it is </w:t>
      </w:r>
      <w:proofErr w:type="spellStart"/>
      <w:r w:rsidRPr="00692B72">
        <w:rPr>
          <w:rFonts w:ascii="Calibri" w:hAnsi="Calibri"/>
          <w:sz w:val="22"/>
          <w:szCs w:val="22"/>
        </w:rPr>
        <w:t>embryotoxic</w:t>
      </w:r>
      <w:proofErr w:type="spellEnd"/>
      <w:r w:rsidRPr="00692B72">
        <w:rPr>
          <w:rFonts w:ascii="Calibri" w:hAnsi="Calibri"/>
          <w:sz w:val="22"/>
          <w:szCs w:val="22"/>
        </w:rPr>
        <w:t xml:space="preserve"> and </w:t>
      </w:r>
      <w:proofErr w:type="spellStart"/>
      <w:r w:rsidRPr="00692B72">
        <w:rPr>
          <w:rFonts w:ascii="Calibri" w:hAnsi="Calibri"/>
          <w:sz w:val="22"/>
          <w:szCs w:val="22"/>
        </w:rPr>
        <w:t>fetotoxic</w:t>
      </w:r>
      <w:proofErr w:type="spellEnd"/>
      <w:r w:rsidRPr="00692B72">
        <w:rPr>
          <w:rFonts w:ascii="Calibri" w:hAnsi="Calibri"/>
          <w:sz w:val="22"/>
          <w:szCs w:val="22"/>
        </w:rPr>
        <w:t xml:space="preserve">. Follitropin alfa was not teratogenic at subcutaneous doses up to 320 IU/kg/day in rats or 5 IU/kg/day in rabbits. </w:t>
      </w:r>
    </w:p>
    <w:p w:rsidR="00193FB3" w:rsidRPr="00692B72" w:rsidRDefault="00193FB3" w:rsidP="000D1E50">
      <w:pPr>
        <w:pStyle w:val="Default"/>
        <w:rPr>
          <w:rFonts w:ascii="Calibri" w:hAnsi="Calibri"/>
          <w:sz w:val="22"/>
          <w:szCs w:val="22"/>
        </w:rPr>
      </w:pPr>
    </w:p>
    <w:p w:rsidR="000D1E50" w:rsidRPr="00692B72" w:rsidRDefault="000D1E50" w:rsidP="00935AD3">
      <w:pPr>
        <w:pStyle w:val="Default"/>
        <w:keepNext/>
        <w:rPr>
          <w:rFonts w:ascii="Calibri" w:hAnsi="Calibri"/>
          <w:b/>
          <w:bCs/>
          <w:i/>
          <w:iCs/>
          <w:sz w:val="22"/>
          <w:szCs w:val="22"/>
        </w:rPr>
      </w:pPr>
      <w:r w:rsidRPr="00692B72">
        <w:rPr>
          <w:rFonts w:ascii="Calibri" w:hAnsi="Calibri"/>
          <w:b/>
          <w:bCs/>
          <w:i/>
          <w:iCs/>
          <w:sz w:val="22"/>
          <w:szCs w:val="22"/>
        </w:rPr>
        <w:t xml:space="preserve">Use in Lactation </w:t>
      </w:r>
    </w:p>
    <w:p w:rsidR="00193FB3" w:rsidRPr="00692B72" w:rsidRDefault="00193FB3" w:rsidP="00935AD3">
      <w:pPr>
        <w:pStyle w:val="Default"/>
        <w:keepNex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It is not known whether follitropin alfa is excreted in human milk. In lactating rats, follitropin alfa at doses up to 40 IU/kg did not influence lactation or have any effects on the postnatal growth and development of the offspring. Follitropin alfa was measured in the milk in early lactation.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Because many drugs are excreted in human milk and because of the potential for serious adverse reactions in the nursing infant from BEMFOLA, a decision should be made whether to discontinue breastfeeding or to discontinue the drug, taking into account the importance of the drug to the mother.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Treatment in Men </w:t>
      </w:r>
    </w:p>
    <w:p w:rsidR="00193FB3" w:rsidRPr="009563C7"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Elevated endogenous FSH levels are indicative of primary testicular failure. Such patients are unresponsive to BEMFOLA/</w:t>
      </w:r>
      <w:proofErr w:type="spellStart"/>
      <w:r w:rsidRPr="00692B72">
        <w:rPr>
          <w:rFonts w:ascii="Calibri" w:hAnsi="Calibri"/>
          <w:sz w:val="22"/>
          <w:szCs w:val="22"/>
        </w:rPr>
        <w:t>hCG</w:t>
      </w:r>
      <w:proofErr w:type="spellEnd"/>
      <w:r w:rsidRPr="00692B72">
        <w:rPr>
          <w:rFonts w:ascii="Calibri" w:hAnsi="Calibri"/>
          <w:sz w:val="22"/>
          <w:szCs w:val="22"/>
        </w:rPr>
        <w:t xml:space="preserve"> therapy. Semen analysis is recommended in assessing the response to treatment.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Paediatric Use </w:t>
      </w:r>
    </w:p>
    <w:p w:rsidR="00193FB3" w:rsidRPr="009563C7"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BEMFOLA should not be used in the paediatric population (see </w:t>
      </w:r>
      <w:r w:rsidRPr="00692B72">
        <w:rPr>
          <w:rFonts w:ascii="Calibri" w:hAnsi="Calibri"/>
          <w:b/>
          <w:bCs/>
          <w:sz w:val="22"/>
          <w:szCs w:val="22"/>
        </w:rPr>
        <w:t>CONTRAINDICATIONS</w:t>
      </w:r>
      <w:r w:rsidRPr="00692B72">
        <w:rPr>
          <w:rFonts w:ascii="Calibri" w:hAnsi="Calibri"/>
          <w:sz w:val="22"/>
          <w:szCs w:val="22"/>
        </w:rPr>
        <w:t xml:space="preserve">).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Use in the Elderly </w:t>
      </w:r>
    </w:p>
    <w:p w:rsidR="00193FB3" w:rsidRPr="009563C7"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BEMFOLA should not be used in the elderly population (see </w:t>
      </w:r>
      <w:r w:rsidRPr="00692B72">
        <w:rPr>
          <w:rFonts w:ascii="Calibri" w:hAnsi="Calibri"/>
          <w:b/>
          <w:bCs/>
          <w:sz w:val="22"/>
          <w:szCs w:val="22"/>
        </w:rPr>
        <w:t>CONTRAINDICATIONS</w:t>
      </w:r>
      <w:r w:rsidRPr="00692B72">
        <w:rPr>
          <w:rFonts w:ascii="Calibri" w:hAnsi="Calibri"/>
          <w:sz w:val="22"/>
          <w:szCs w:val="22"/>
        </w:rPr>
        <w:t xml:space="preserve">).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Porphyria </w:t>
      </w:r>
    </w:p>
    <w:p w:rsidR="00193FB3" w:rsidRPr="009563C7"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In patients with porphyria or a family history of porphyria, BEMFOLA may increase the risk of an acute attack. Deterioration or a first appearance of this condition may require cessation of treatment. </w:t>
      </w: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Carcinogenicity </w:t>
      </w:r>
    </w:p>
    <w:p w:rsidR="00193FB3" w:rsidRPr="0028096C"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Long-term studies in animals have not been performed to evaluate the carcinogenic potential of follitropin alfa. </w:t>
      </w:r>
    </w:p>
    <w:p w:rsidR="00193FB3" w:rsidRPr="00692B72" w:rsidRDefault="00193FB3" w:rsidP="000D1E50">
      <w:pPr>
        <w:pStyle w:val="Default"/>
        <w:rPr>
          <w:rFonts w:ascii="Calibri" w:hAnsi="Calibri"/>
          <w:sz w:val="22"/>
          <w:szCs w:val="22"/>
        </w:rPr>
      </w:pPr>
    </w:p>
    <w:p w:rsidR="00792FCA" w:rsidRDefault="00792FCA" w:rsidP="000D1E50">
      <w:pPr>
        <w:pStyle w:val="Default"/>
        <w:rPr>
          <w:rFonts w:ascii="Calibri" w:hAnsi="Calibri"/>
          <w:b/>
          <w:bCs/>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Genotoxicity </w:t>
      </w:r>
    </w:p>
    <w:p w:rsidR="00193FB3" w:rsidRPr="0028096C" w:rsidRDefault="00193FB3" w:rsidP="000D1E50">
      <w:pPr>
        <w:pStyle w:val="Default"/>
        <w:rPr>
          <w:rFonts w:ascii="Calibri" w:hAnsi="Calibri"/>
          <w:sz w:val="18"/>
          <w:szCs w:val="18"/>
        </w:rPr>
      </w:pPr>
    </w:p>
    <w:p w:rsidR="000D1E50" w:rsidRPr="00935AD3" w:rsidRDefault="000D1E50" w:rsidP="00284F9A">
      <w:pPr>
        <w:pStyle w:val="NoSpacing"/>
      </w:pPr>
      <w:r w:rsidRPr="00935AD3">
        <w:lastRenderedPageBreak/>
        <w:t>Follitropin alfa showed no genotoxic activity in a series of assays performed to evaluate its potential to cause gene mutations (</w:t>
      </w:r>
      <w:r w:rsidRPr="00935AD3">
        <w:rPr>
          <w:i/>
          <w:iCs/>
        </w:rPr>
        <w:t xml:space="preserve">Salmonella typhimurium, Escherichia coli </w:t>
      </w:r>
      <w:r w:rsidRPr="00935AD3">
        <w:t>and Chinese hamster lung cells) and chromosomal damage (human lymphocytes and mouse micronucleus test).</w:t>
      </w:r>
    </w:p>
    <w:p w:rsidR="00284F9A" w:rsidRPr="00935AD3" w:rsidRDefault="00284F9A" w:rsidP="00284F9A">
      <w:pPr>
        <w:pStyle w:val="NoSpacing"/>
      </w:pPr>
    </w:p>
    <w:p w:rsidR="000D1E50" w:rsidRPr="00692B72" w:rsidRDefault="000D1E50" w:rsidP="00193FB3">
      <w:pPr>
        <w:pStyle w:val="Default"/>
        <w:rPr>
          <w:rFonts w:ascii="Calibri" w:hAnsi="Calibri"/>
          <w:b/>
          <w:bCs/>
          <w:sz w:val="22"/>
          <w:szCs w:val="22"/>
        </w:rPr>
      </w:pPr>
      <w:r w:rsidRPr="00692B72">
        <w:rPr>
          <w:rFonts w:ascii="Calibri" w:hAnsi="Calibri"/>
          <w:b/>
          <w:bCs/>
          <w:sz w:val="22"/>
          <w:szCs w:val="22"/>
        </w:rPr>
        <w:t xml:space="preserve">Effects on the Ability to Drive and Use Machines </w:t>
      </w:r>
    </w:p>
    <w:p w:rsidR="00284F9A" w:rsidRPr="00692B72" w:rsidRDefault="00284F9A" w:rsidP="00193FB3">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No studies on the effects on the ability to drive and use machines have been performed. </w:t>
      </w:r>
    </w:p>
    <w:p w:rsidR="00284F9A" w:rsidRPr="00692B72" w:rsidRDefault="00284F9A" w:rsidP="000D1E50">
      <w:pPr>
        <w:pStyle w:val="Default"/>
        <w:rPr>
          <w:rFonts w:ascii="Calibri" w:hAnsi="Calibri"/>
          <w:sz w:val="22"/>
          <w:szCs w:val="22"/>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INTERACTIONS WITH OTHER MEDICINES</w:t>
      </w:r>
    </w:p>
    <w:p w:rsidR="00284F9A" w:rsidRPr="00692B72" w:rsidRDefault="00284F9A" w:rsidP="00284F9A">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No clinically significant drug interactions have been reported during BEMFOLA therapy. Concomitant use of BEMFOLA with other agents used to stimulate ovulation may potentiate the follicular response, whereas concurrent use of a GnRH) agonist or antagonist to induce pituitary desensitisation may increase the dosage of BEMFOLA needed to elicit an adequate ovarian response. </w:t>
      </w:r>
    </w:p>
    <w:p w:rsidR="00904A10" w:rsidRDefault="00904A10">
      <w:pPr>
        <w:spacing w:after="0" w:line="240" w:lineRule="auto"/>
        <w:rPr>
          <w:color w:val="000000"/>
          <w:sz w:val="20"/>
        </w:rPr>
      </w:pPr>
    </w:p>
    <w:p w:rsidR="00284F9A" w:rsidRPr="00692B72" w:rsidRDefault="00284F9A" w:rsidP="000D1E50">
      <w:pPr>
        <w:pStyle w:val="Default"/>
        <w:rPr>
          <w:rFonts w:ascii="Calibri" w:hAnsi="Calibri"/>
          <w:sz w:val="20"/>
          <w:szCs w:val="22"/>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ADVERSE EFFECTS</w:t>
      </w:r>
    </w:p>
    <w:p w:rsidR="00284F9A" w:rsidRPr="00692B72" w:rsidRDefault="00284F9A" w:rsidP="00284F9A">
      <w:pPr>
        <w:pStyle w:val="Default"/>
        <w:jc w:val="center"/>
        <w:rPr>
          <w:rFonts w:ascii="Calibri" w:hAnsi="Calibri"/>
          <w:sz w:val="16"/>
          <w:szCs w:val="22"/>
          <w:u w:val="single"/>
        </w:rPr>
      </w:pPr>
    </w:p>
    <w:p w:rsidR="000D1E50" w:rsidRPr="000D1E50" w:rsidRDefault="000D1E50" w:rsidP="000D1E50">
      <w:r w:rsidRPr="000D1E50">
        <w:t>The reactions reported below are classified according to frequency of occurrence as follows:</w:t>
      </w:r>
    </w:p>
    <w:tbl>
      <w:tblPr>
        <w:tblStyle w:val="TableGrid"/>
        <w:tblW w:w="3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41"/>
        <w:gridCol w:w="2704"/>
      </w:tblGrid>
      <w:tr w:rsidR="00094F7E" w:rsidTr="00DD504E">
        <w:tc>
          <w:tcPr>
            <w:tcW w:w="4621" w:type="dxa"/>
            <w:tcBorders>
              <w:top w:val="single" w:sz="12" w:space="0" w:color="auto"/>
              <w:bottom w:val="nil"/>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Very Common</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 1/10</w:t>
            </w:r>
          </w:p>
        </w:tc>
      </w:tr>
      <w:tr w:rsidR="00094F7E" w:rsidTr="00DD504E">
        <w:tc>
          <w:tcPr>
            <w:tcW w:w="4621" w:type="dxa"/>
            <w:tcBorders>
              <w:top w:val="nil"/>
              <w:bottom w:val="nil"/>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Common</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 1/100 to &lt; 1/10</w:t>
            </w:r>
          </w:p>
        </w:tc>
      </w:tr>
      <w:tr w:rsidR="00094F7E" w:rsidTr="00DD504E">
        <w:tc>
          <w:tcPr>
            <w:tcW w:w="4621" w:type="dxa"/>
            <w:tcBorders>
              <w:top w:val="nil"/>
              <w:bottom w:val="nil"/>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Uncommon</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 1/1,000 to &lt; 1/100</w:t>
            </w:r>
          </w:p>
        </w:tc>
      </w:tr>
      <w:tr w:rsidR="00094F7E" w:rsidTr="00DD504E">
        <w:tc>
          <w:tcPr>
            <w:tcW w:w="4621" w:type="dxa"/>
            <w:tcBorders>
              <w:top w:val="nil"/>
              <w:bottom w:val="nil"/>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Rare</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 1/10,000 to &lt; 1/1,000</w:t>
            </w:r>
          </w:p>
        </w:tc>
      </w:tr>
      <w:tr w:rsidR="00094F7E" w:rsidTr="00DD504E">
        <w:tc>
          <w:tcPr>
            <w:tcW w:w="4621" w:type="dxa"/>
            <w:tcBorders>
              <w:top w:val="nil"/>
              <w:bottom w:val="single" w:sz="12" w:space="0" w:color="auto"/>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Very Rare</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&lt; 1/10,000</w:t>
            </w:r>
          </w:p>
        </w:tc>
      </w:tr>
    </w:tbl>
    <w:p w:rsidR="00094F7E" w:rsidRPr="00094F7E" w:rsidRDefault="00094F7E" w:rsidP="000D1E50">
      <w:pPr>
        <w:pStyle w:val="Default"/>
        <w:rPr>
          <w:rFonts w:ascii="Calibri" w:hAnsi="Calibri"/>
          <w:bCs/>
          <w:sz w:val="22"/>
          <w:szCs w:val="22"/>
          <w:lang w:val="de-CH"/>
        </w:rPr>
      </w:pPr>
    </w:p>
    <w:p w:rsidR="000D1E50" w:rsidRPr="00692B72" w:rsidRDefault="000D1E50" w:rsidP="000D1E50">
      <w:pPr>
        <w:pStyle w:val="Default"/>
        <w:rPr>
          <w:rFonts w:ascii="Calibri" w:hAnsi="Calibri"/>
          <w:b/>
          <w:bCs/>
          <w:sz w:val="22"/>
          <w:szCs w:val="22"/>
          <w:lang w:val="de-CH"/>
        </w:rPr>
      </w:pPr>
      <w:r w:rsidRPr="00692B72">
        <w:rPr>
          <w:rFonts w:ascii="Calibri" w:hAnsi="Calibri"/>
          <w:b/>
          <w:bCs/>
          <w:sz w:val="22"/>
          <w:szCs w:val="22"/>
          <w:lang w:val="de-CH"/>
        </w:rPr>
        <w:t xml:space="preserve">Treatment in general </w:t>
      </w:r>
    </w:p>
    <w:p w:rsidR="00284F9A" w:rsidRPr="00692B72" w:rsidRDefault="00284F9A" w:rsidP="000D1E50">
      <w:pPr>
        <w:pStyle w:val="Default"/>
        <w:rPr>
          <w:rFonts w:ascii="Calibri" w:hAnsi="Calibri"/>
          <w:sz w:val="22"/>
          <w:szCs w:val="22"/>
          <w:lang w:val="de-CH"/>
        </w:rPr>
      </w:pPr>
    </w:p>
    <w:p w:rsidR="000D1E50" w:rsidRPr="00692B72" w:rsidRDefault="000D1E50" w:rsidP="000D1E50">
      <w:pPr>
        <w:pStyle w:val="Default"/>
        <w:rPr>
          <w:rFonts w:ascii="Calibri" w:hAnsi="Calibri"/>
          <w:sz w:val="22"/>
          <w:szCs w:val="22"/>
          <w:lang w:val="de-CH"/>
        </w:rPr>
      </w:pPr>
      <w:r w:rsidRPr="00692B72">
        <w:rPr>
          <w:rFonts w:ascii="Calibri" w:hAnsi="Calibri"/>
          <w:b/>
          <w:bCs/>
          <w:i/>
          <w:iCs/>
          <w:sz w:val="22"/>
          <w:szCs w:val="22"/>
          <w:lang w:val="de-CH"/>
        </w:rPr>
        <w:t xml:space="preserve">Immune system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rare: </w:t>
      </w:r>
      <w:r w:rsidR="00284F9A" w:rsidRPr="00692B72">
        <w:rPr>
          <w:rFonts w:ascii="Calibri" w:hAnsi="Calibri"/>
          <w:sz w:val="22"/>
          <w:szCs w:val="22"/>
        </w:rPr>
        <w:tab/>
      </w:r>
      <w:r w:rsidRPr="00692B72">
        <w:rPr>
          <w:rFonts w:ascii="Calibri" w:hAnsi="Calibri"/>
          <w:sz w:val="22"/>
          <w:szCs w:val="22"/>
        </w:rPr>
        <w:t xml:space="preserve">Mild to severe hypersensitivity reactions including anaphylactic reactions and shock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Respiratory, thoracic and mediastinal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rare: </w:t>
      </w:r>
      <w:r w:rsidR="00284F9A" w:rsidRPr="00692B72">
        <w:rPr>
          <w:rFonts w:ascii="Calibri" w:hAnsi="Calibri"/>
          <w:sz w:val="22"/>
          <w:szCs w:val="22"/>
        </w:rPr>
        <w:tab/>
      </w:r>
      <w:r w:rsidRPr="00692B72">
        <w:rPr>
          <w:rFonts w:ascii="Calibri" w:hAnsi="Calibri"/>
          <w:sz w:val="22"/>
          <w:szCs w:val="22"/>
        </w:rPr>
        <w:t xml:space="preserve">Exacerbation or aggravation of asthma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General disorders and administration site conditions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common: </w:t>
      </w:r>
      <w:r w:rsidR="00284F9A" w:rsidRPr="00692B72">
        <w:rPr>
          <w:rFonts w:ascii="Calibri" w:hAnsi="Calibri"/>
          <w:sz w:val="22"/>
          <w:szCs w:val="22"/>
        </w:rPr>
        <w:tab/>
      </w:r>
      <w:r w:rsidRPr="00692B72">
        <w:rPr>
          <w:rFonts w:ascii="Calibri" w:hAnsi="Calibri"/>
          <w:sz w:val="22"/>
          <w:szCs w:val="22"/>
        </w:rPr>
        <w:t xml:space="preserve">Injection site reactions (e.g. pain, erythema, haematoma, swelling and/or irritation at the site of injection)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sz w:val="22"/>
          <w:szCs w:val="22"/>
        </w:rPr>
        <w:t xml:space="preserve">Treatment in women </w:t>
      </w: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following adverse events have been reported during gonadotrophin therapy: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Reproductive system and breast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common: </w:t>
      </w:r>
      <w:r w:rsidR="00284F9A" w:rsidRPr="00692B72">
        <w:rPr>
          <w:rFonts w:ascii="Calibri" w:hAnsi="Calibri"/>
          <w:sz w:val="22"/>
          <w:szCs w:val="22"/>
        </w:rPr>
        <w:tab/>
      </w:r>
      <w:r w:rsidRPr="00692B72">
        <w:rPr>
          <w:rFonts w:ascii="Calibri" w:hAnsi="Calibri"/>
          <w:sz w:val="22"/>
          <w:szCs w:val="22"/>
        </w:rPr>
        <w:t xml:space="preserve">Ovarian cyst, mild to moderate ovarian enlargement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Common: </w:t>
      </w:r>
      <w:r w:rsidR="00284F9A" w:rsidRPr="00692B72">
        <w:rPr>
          <w:rFonts w:ascii="Calibri" w:hAnsi="Calibri"/>
          <w:sz w:val="22"/>
          <w:szCs w:val="22"/>
        </w:rPr>
        <w:tab/>
      </w:r>
      <w:r w:rsidRPr="00692B72">
        <w:rPr>
          <w:rFonts w:ascii="Calibri" w:hAnsi="Calibri"/>
          <w:sz w:val="22"/>
          <w:szCs w:val="22"/>
        </w:rPr>
        <w:t xml:space="preserve">Mild or moderate OHSS (including symptomatology), intermenstrual bleeding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Uncommon: </w:t>
      </w:r>
      <w:r w:rsidR="00284F9A" w:rsidRPr="00692B72">
        <w:rPr>
          <w:rFonts w:ascii="Calibri" w:hAnsi="Calibri"/>
          <w:sz w:val="22"/>
          <w:szCs w:val="22"/>
        </w:rPr>
        <w:tab/>
      </w:r>
      <w:r w:rsidRPr="00692B72">
        <w:rPr>
          <w:rFonts w:ascii="Calibri" w:hAnsi="Calibri"/>
          <w:sz w:val="22"/>
          <w:szCs w:val="22"/>
        </w:rPr>
        <w:t xml:space="preserve">Severe OHSS (including symptomatology)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lastRenderedPageBreak/>
        <w:t xml:space="preserve">Rare: </w:t>
      </w:r>
      <w:r w:rsidR="00284F9A" w:rsidRPr="00692B72">
        <w:rPr>
          <w:rFonts w:ascii="Calibri" w:hAnsi="Calibri"/>
          <w:sz w:val="22"/>
          <w:szCs w:val="22"/>
        </w:rPr>
        <w:tab/>
      </w:r>
      <w:r w:rsidRPr="00692B72">
        <w:rPr>
          <w:rFonts w:ascii="Calibri" w:hAnsi="Calibri"/>
          <w:sz w:val="22"/>
          <w:szCs w:val="22"/>
        </w:rPr>
        <w:t>Complications of severe OHSS, ectopic pregnancy, adnexal torsion associated with ovarian enlargement</w:t>
      </w:r>
    </w:p>
    <w:p w:rsidR="00284F9A" w:rsidRPr="00935AD3" w:rsidRDefault="00284F9A" w:rsidP="00284F9A">
      <w:pPr>
        <w:pStyle w:val="NoSpacing"/>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Gastrointestinal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Common:</w:t>
      </w:r>
      <w:r w:rsidR="00284F9A" w:rsidRPr="00692B72">
        <w:rPr>
          <w:rFonts w:ascii="Calibri" w:hAnsi="Calibri"/>
          <w:sz w:val="22"/>
          <w:szCs w:val="22"/>
        </w:rPr>
        <w:tab/>
      </w:r>
      <w:r w:rsidRPr="00692B72">
        <w:rPr>
          <w:rFonts w:ascii="Calibri" w:hAnsi="Calibri"/>
          <w:sz w:val="22"/>
          <w:szCs w:val="22"/>
        </w:rPr>
        <w:t xml:space="preserve">Abdominal pain, abdominal distension, abdominal discomfort, diarrhoea, nausea, vomiting </w:t>
      </w:r>
    </w:p>
    <w:p w:rsidR="00284F9A" w:rsidRPr="00692B72" w:rsidRDefault="00284F9A" w:rsidP="00284F9A">
      <w:pPr>
        <w:pStyle w:val="Default"/>
        <w:ind w:left="1440" w:hanging="1440"/>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Nervous system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common: </w:t>
      </w:r>
      <w:r w:rsidR="00284F9A" w:rsidRPr="00692B72">
        <w:rPr>
          <w:rFonts w:ascii="Calibri" w:hAnsi="Calibri"/>
          <w:sz w:val="22"/>
          <w:szCs w:val="22"/>
        </w:rPr>
        <w:tab/>
      </w:r>
      <w:r w:rsidRPr="00692B72">
        <w:rPr>
          <w:rFonts w:ascii="Calibri" w:hAnsi="Calibri"/>
          <w:sz w:val="22"/>
          <w:szCs w:val="22"/>
        </w:rPr>
        <w:t xml:space="preserve">Headache, dizziness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Vascular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Rare: </w:t>
      </w:r>
      <w:r w:rsidR="00284F9A" w:rsidRPr="00692B72">
        <w:rPr>
          <w:rFonts w:ascii="Calibri" w:hAnsi="Calibri"/>
          <w:sz w:val="22"/>
          <w:szCs w:val="22"/>
        </w:rPr>
        <w:tab/>
      </w:r>
      <w:r w:rsidRPr="00692B72">
        <w:rPr>
          <w:rFonts w:ascii="Calibri" w:hAnsi="Calibri"/>
          <w:sz w:val="22"/>
          <w:szCs w:val="22"/>
        </w:rPr>
        <w:t xml:space="preserve">Thromboembolism, usually associated with severe OHSS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Refer to </w:t>
      </w:r>
      <w:r w:rsidRPr="00692B72">
        <w:rPr>
          <w:rFonts w:ascii="Calibri" w:hAnsi="Calibri"/>
          <w:b/>
          <w:bCs/>
          <w:sz w:val="22"/>
          <w:szCs w:val="22"/>
        </w:rPr>
        <w:t xml:space="preserve">PRECAUTIONS </w:t>
      </w:r>
      <w:r w:rsidRPr="00692B72">
        <w:rPr>
          <w:rFonts w:ascii="Calibri" w:hAnsi="Calibri"/>
          <w:sz w:val="22"/>
          <w:szCs w:val="22"/>
        </w:rPr>
        <w:t xml:space="preserve">for information on symptoms and management of OHSS. </w:t>
      </w:r>
    </w:p>
    <w:p w:rsidR="00284F9A" w:rsidRPr="00692B72" w:rsidRDefault="00284F9A" w:rsidP="000D1E50">
      <w:pPr>
        <w:pStyle w:val="Default"/>
        <w:rPr>
          <w:rFonts w:ascii="Calibri" w:hAnsi="Calibri"/>
          <w:sz w:val="22"/>
          <w:szCs w:val="22"/>
        </w:rPr>
      </w:pPr>
    </w:p>
    <w:p w:rsidR="000D1E50" w:rsidRPr="00692B72" w:rsidRDefault="000D1E50" w:rsidP="00094F7E">
      <w:pPr>
        <w:pStyle w:val="Default"/>
        <w:keepNext/>
        <w:rPr>
          <w:rFonts w:ascii="Calibri" w:hAnsi="Calibri"/>
          <w:b/>
          <w:bCs/>
          <w:sz w:val="22"/>
          <w:szCs w:val="22"/>
        </w:rPr>
      </w:pPr>
      <w:r w:rsidRPr="00692B72">
        <w:rPr>
          <w:rFonts w:ascii="Calibri" w:hAnsi="Calibri"/>
          <w:b/>
          <w:bCs/>
          <w:sz w:val="22"/>
          <w:szCs w:val="22"/>
        </w:rPr>
        <w:t xml:space="preserve">Treatment in men </w:t>
      </w:r>
    </w:p>
    <w:p w:rsidR="00284F9A" w:rsidRPr="00692B72" w:rsidRDefault="00284F9A" w:rsidP="00094F7E">
      <w:pPr>
        <w:pStyle w:val="Default"/>
        <w:keepNex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Reproductive system and breast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Common: </w:t>
      </w:r>
      <w:r w:rsidR="00284F9A" w:rsidRPr="00692B72">
        <w:rPr>
          <w:rFonts w:ascii="Calibri" w:hAnsi="Calibri"/>
          <w:sz w:val="22"/>
          <w:szCs w:val="22"/>
        </w:rPr>
        <w:tab/>
      </w:r>
      <w:r w:rsidRPr="00692B72">
        <w:rPr>
          <w:rFonts w:ascii="Calibri" w:hAnsi="Calibri"/>
          <w:sz w:val="22"/>
          <w:szCs w:val="22"/>
        </w:rPr>
        <w:t xml:space="preserve">Gynaecomastia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Skin and subcutaneous tissue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Common: </w:t>
      </w:r>
      <w:r w:rsidR="00284F9A" w:rsidRPr="00692B72">
        <w:rPr>
          <w:rFonts w:ascii="Calibri" w:hAnsi="Calibri"/>
          <w:sz w:val="22"/>
          <w:szCs w:val="22"/>
        </w:rPr>
        <w:tab/>
      </w:r>
      <w:r w:rsidRPr="00692B72">
        <w:rPr>
          <w:rFonts w:ascii="Calibri" w:hAnsi="Calibri"/>
          <w:sz w:val="22"/>
          <w:szCs w:val="22"/>
        </w:rPr>
        <w:t xml:space="preserve">Acne </w:t>
      </w:r>
    </w:p>
    <w:p w:rsidR="00284F9A" w:rsidRPr="00692B72" w:rsidRDefault="00284F9A" w:rsidP="000D1E50">
      <w:pPr>
        <w:pStyle w:val="Default"/>
        <w:rPr>
          <w:rFonts w:ascii="Calibri" w:hAnsi="Calibri"/>
          <w:b/>
          <w:bCs/>
          <w:iCs/>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Investigations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Common: </w:t>
      </w:r>
      <w:r w:rsidR="00284F9A" w:rsidRPr="00692B72">
        <w:rPr>
          <w:rFonts w:ascii="Calibri" w:hAnsi="Calibri"/>
          <w:sz w:val="22"/>
          <w:szCs w:val="22"/>
        </w:rPr>
        <w:tab/>
      </w:r>
      <w:r w:rsidRPr="00692B72">
        <w:rPr>
          <w:rFonts w:ascii="Calibri" w:hAnsi="Calibri"/>
          <w:sz w:val="22"/>
          <w:szCs w:val="22"/>
        </w:rPr>
        <w:t xml:space="preserve">Weight gain </w:t>
      </w:r>
    </w:p>
    <w:p w:rsidR="00284F9A" w:rsidRPr="00692B72" w:rsidRDefault="00284F9A" w:rsidP="000D1E50">
      <w:pPr>
        <w:pStyle w:val="Default"/>
        <w:rPr>
          <w:rFonts w:ascii="Calibri" w:hAnsi="Calibri"/>
          <w:sz w:val="22"/>
          <w:szCs w:val="22"/>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DOSAGE AND ADMINISTRATION</w:t>
      </w:r>
    </w:p>
    <w:p w:rsidR="00284F9A" w:rsidRPr="00692B72" w:rsidRDefault="00284F9A" w:rsidP="00284F9A">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Treatment with BEMFOLA should be initiated under the supervision of a physician experienced in the treatment of fertility disorders.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BEMFOLA should be administered subcutaneously. The injection site should be alternated daily to prevent lipoatrophy. Self-administration of BEMFOLA should only be performed by patients who are well motivated, adequately trained and who have access to expert advice.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Women with Anovulatory Infertility (WHO Group II)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objective of BEMFOLA therapy is to develop a single mature Graafian follicle from which the ovum will be liberated after the administration of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BEMFOLA may be given as a course of daily injections. In menstruating patients treatment should commence within the first 7 days of the menstrual cycle. Treatment should be tailored to the individual patient's response as assessed by measuring 1) follicle size by ultrasound and/or 2) oestrogen secretion. A commonly used regimen commences at 75 – 150 IU (5.</w:t>
      </w:r>
      <w:r w:rsidR="00CC7588">
        <w:rPr>
          <w:rFonts w:ascii="Calibri" w:hAnsi="Calibri"/>
          <w:sz w:val="22"/>
          <w:szCs w:val="22"/>
        </w:rPr>
        <w:t>5</w:t>
      </w:r>
      <w:r w:rsidR="00CC7588" w:rsidRPr="00692B72">
        <w:rPr>
          <w:rFonts w:ascii="Calibri" w:hAnsi="Calibri"/>
          <w:sz w:val="22"/>
          <w:szCs w:val="22"/>
        </w:rPr>
        <w:t xml:space="preserve"> </w:t>
      </w:r>
      <w:r w:rsidRPr="00692B72">
        <w:rPr>
          <w:rFonts w:ascii="Calibri" w:hAnsi="Calibri"/>
          <w:sz w:val="22"/>
          <w:szCs w:val="22"/>
        </w:rPr>
        <w:t xml:space="preserve">to </w:t>
      </w:r>
      <w:r w:rsidR="00CC7588">
        <w:rPr>
          <w:rFonts w:ascii="Calibri" w:hAnsi="Calibri"/>
          <w:sz w:val="22"/>
          <w:szCs w:val="22"/>
        </w:rPr>
        <w:t>11</w:t>
      </w:r>
      <w:r w:rsidRPr="00692B72">
        <w:rPr>
          <w:rFonts w:ascii="Calibri" w:hAnsi="Calibri"/>
          <w:sz w:val="22"/>
          <w:szCs w:val="22"/>
        </w:rPr>
        <w:t xml:space="preserve"> microgram) FSH daily and is increased </w:t>
      </w:r>
      <w:r w:rsidR="000620B0">
        <w:rPr>
          <w:rFonts w:ascii="Calibri" w:hAnsi="Calibri"/>
          <w:sz w:val="22"/>
          <w:szCs w:val="22"/>
        </w:rPr>
        <w:t>in increments of</w:t>
      </w:r>
      <w:r w:rsidR="000620B0" w:rsidRPr="00692B72">
        <w:rPr>
          <w:rFonts w:ascii="Calibri" w:hAnsi="Calibri"/>
          <w:sz w:val="22"/>
          <w:szCs w:val="22"/>
        </w:rPr>
        <w:t xml:space="preserve"> </w:t>
      </w:r>
      <w:r w:rsidRPr="00692B72">
        <w:rPr>
          <w:rFonts w:ascii="Calibri" w:hAnsi="Calibri"/>
          <w:sz w:val="22"/>
          <w:szCs w:val="22"/>
        </w:rPr>
        <w:t>37.5 IU (2.</w:t>
      </w:r>
      <w:r w:rsidR="00CC7588" w:rsidRPr="00692B72">
        <w:rPr>
          <w:rFonts w:ascii="Calibri" w:hAnsi="Calibri"/>
          <w:sz w:val="22"/>
          <w:szCs w:val="22"/>
        </w:rPr>
        <w:t>7</w:t>
      </w:r>
      <w:r w:rsidR="00CC7588">
        <w:rPr>
          <w:rFonts w:ascii="Calibri" w:hAnsi="Calibri"/>
          <w:sz w:val="22"/>
          <w:szCs w:val="22"/>
        </w:rPr>
        <w:t>5</w:t>
      </w:r>
      <w:r w:rsidR="00CC7588" w:rsidRPr="00692B72">
        <w:rPr>
          <w:rFonts w:ascii="Calibri" w:hAnsi="Calibri"/>
          <w:sz w:val="22"/>
          <w:szCs w:val="22"/>
        </w:rPr>
        <w:t xml:space="preserve"> </w:t>
      </w:r>
      <w:r w:rsidRPr="00692B72">
        <w:rPr>
          <w:rFonts w:ascii="Calibri" w:hAnsi="Calibri"/>
          <w:sz w:val="22"/>
          <w:szCs w:val="22"/>
        </w:rPr>
        <w:t>microgram) up to 75 IU (5.</w:t>
      </w:r>
      <w:r w:rsidR="00CC7588">
        <w:rPr>
          <w:rFonts w:ascii="Calibri" w:hAnsi="Calibri"/>
          <w:sz w:val="22"/>
          <w:szCs w:val="22"/>
        </w:rPr>
        <w:t>5</w:t>
      </w:r>
      <w:r w:rsidRPr="00692B72">
        <w:rPr>
          <w:rFonts w:ascii="Calibri" w:hAnsi="Calibri"/>
          <w:sz w:val="22"/>
          <w:szCs w:val="22"/>
        </w:rPr>
        <w:t xml:space="preserve"> microgram) at 7 or 14 day intervals if necessary, to obtain an adequate, but not excessive response. If a patient fails to respond adequately after 5 weeks of treatment, that cycle should be abandoned. </w:t>
      </w:r>
      <w:r w:rsidR="00C66A61">
        <w:rPr>
          <w:rFonts w:ascii="Calibri" w:hAnsi="Calibri"/>
          <w:sz w:val="22"/>
          <w:szCs w:val="22"/>
        </w:rPr>
        <w:t xml:space="preserve">The Bemfola </w:t>
      </w:r>
      <w:r w:rsidR="00C66A61">
        <w:rPr>
          <w:rFonts w:ascii="Calibri" w:hAnsi="Calibri"/>
          <w:sz w:val="22"/>
          <w:szCs w:val="22"/>
        </w:rPr>
        <w:lastRenderedPageBreak/>
        <w:t>Pen provides treating physicians with capability of 12.5 IU</w:t>
      </w:r>
      <w:r w:rsidR="0091218B">
        <w:rPr>
          <w:rFonts w:ascii="Calibri" w:hAnsi="Calibri"/>
          <w:sz w:val="22"/>
          <w:szCs w:val="22"/>
        </w:rPr>
        <w:t xml:space="preserve"> increments</w:t>
      </w:r>
      <w:r w:rsidR="00D30F53">
        <w:rPr>
          <w:rFonts w:ascii="Calibri" w:hAnsi="Calibri"/>
          <w:sz w:val="22"/>
          <w:szCs w:val="22"/>
        </w:rPr>
        <w:t xml:space="preserve"> to adapt </w:t>
      </w:r>
      <w:r w:rsidR="00E650A2">
        <w:rPr>
          <w:rFonts w:ascii="Calibri" w:hAnsi="Calibri"/>
          <w:sz w:val="22"/>
          <w:szCs w:val="22"/>
        </w:rPr>
        <w:t>patient’s</w:t>
      </w:r>
      <w:r w:rsidR="00D30F53">
        <w:rPr>
          <w:rFonts w:ascii="Calibri" w:hAnsi="Calibri"/>
          <w:sz w:val="22"/>
          <w:szCs w:val="22"/>
        </w:rPr>
        <w:t xml:space="preserve"> dose </w:t>
      </w:r>
      <w:r w:rsidR="000620B0">
        <w:rPr>
          <w:rFonts w:ascii="Calibri" w:hAnsi="Calibri"/>
          <w:sz w:val="22"/>
          <w:szCs w:val="22"/>
        </w:rPr>
        <w:t>with flexibility</w:t>
      </w:r>
      <w:r w:rsidR="0091218B">
        <w:rPr>
          <w:rFonts w:ascii="Calibri" w:hAnsi="Calibri"/>
          <w:sz w:val="22"/>
          <w:szCs w:val="22"/>
        </w:rPr>
        <w:t>.</w:t>
      </w:r>
    </w:p>
    <w:p w:rsidR="00284F9A" w:rsidRPr="00692B72" w:rsidRDefault="00284F9A" w:rsidP="000D1E50">
      <w:pPr>
        <w:pStyle w:val="Default"/>
        <w:rPr>
          <w:rFonts w:ascii="Calibri" w:hAnsi="Calibri"/>
          <w:sz w:val="22"/>
          <w:szCs w:val="22"/>
        </w:rPr>
      </w:pPr>
    </w:p>
    <w:p w:rsidR="000D1E50" w:rsidRPr="00935AD3" w:rsidRDefault="000D1E50" w:rsidP="00284F9A">
      <w:pPr>
        <w:pStyle w:val="NoSpacing"/>
      </w:pPr>
      <w:r w:rsidRPr="00935AD3">
        <w:t>When an optimal response is obtained, a single injection of 250 microgram r-</w:t>
      </w:r>
      <w:proofErr w:type="spellStart"/>
      <w:r w:rsidRPr="00935AD3">
        <w:t>hCG</w:t>
      </w:r>
      <w:proofErr w:type="spellEnd"/>
      <w:r w:rsidRPr="00935AD3">
        <w:t xml:space="preserve"> or 5000 IU up to 10,000 IU urinary human chorionic gonadotropin (u-</w:t>
      </w:r>
      <w:proofErr w:type="spellStart"/>
      <w:r w:rsidRPr="00935AD3">
        <w:t>hCG</w:t>
      </w:r>
      <w:proofErr w:type="spellEnd"/>
      <w:r w:rsidRPr="00935AD3">
        <w:t xml:space="preserve">) should be administered 24 – 48 hours after the last BEMFOLA injection. The patient is recommended to have coitus on the day of, and the day following </w:t>
      </w:r>
      <w:proofErr w:type="spellStart"/>
      <w:proofErr w:type="gramStart"/>
      <w:r w:rsidRPr="00935AD3">
        <w:t>hCG</w:t>
      </w:r>
      <w:proofErr w:type="spellEnd"/>
      <w:proofErr w:type="gramEnd"/>
      <w:r w:rsidRPr="00935AD3">
        <w:t xml:space="preserve"> administration.</w:t>
      </w:r>
    </w:p>
    <w:p w:rsidR="00284F9A" w:rsidRPr="00935AD3" w:rsidRDefault="00284F9A" w:rsidP="00284F9A">
      <w:pPr>
        <w:pStyle w:val="NoSpacing"/>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If an excessive response is obtained, treatment should be stopped and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withheld (see </w:t>
      </w:r>
      <w:r w:rsidRPr="00692B72">
        <w:rPr>
          <w:rFonts w:ascii="Calibri" w:hAnsi="Calibri"/>
          <w:b/>
          <w:bCs/>
          <w:sz w:val="22"/>
          <w:szCs w:val="22"/>
        </w:rPr>
        <w:t>PRECAUTIONS</w:t>
      </w:r>
      <w:r w:rsidRPr="00692B72">
        <w:rPr>
          <w:rFonts w:ascii="Calibri" w:hAnsi="Calibri"/>
          <w:sz w:val="22"/>
          <w:szCs w:val="22"/>
        </w:rPr>
        <w:t xml:space="preserve">). Treatment should recommence in the next cycle at a dosage lower than </w:t>
      </w:r>
    </w:p>
    <w:p w:rsidR="000D1E50" w:rsidRPr="00692B72" w:rsidRDefault="000D1E50" w:rsidP="000D1E50">
      <w:pPr>
        <w:pStyle w:val="Default"/>
        <w:rPr>
          <w:rFonts w:ascii="Calibri" w:hAnsi="Calibri"/>
          <w:sz w:val="22"/>
          <w:szCs w:val="22"/>
        </w:rPr>
      </w:pPr>
      <w:proofErr w:type="gramStart"/>
      <w:r w:rsidRPr="00692B72">
        <w:rPr>
          <w:rFonts w:ascii="Calibri" w:hAnsi="Calibri"/>
          <w:sz w:val="22"/>
          <w:szCs w:val="22"/>
        </w:rPr>
        <w:t>that</w:t>
      </w:r>
      <w:proofErr w:type="gramEnd"/>
      <w:r w:rsidRPr="00692B72">
        <w:rPr>
          <w:rFonts w:ascii="Calibri" w:hAnsi="Calibri"/>
          <w:sz w:val="22"/>
          <w:szCs w:val="22"/>
        </w:rPr>
        <w:t xml:space="preserve"> of the previous cycle.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Women undergoing Ass</w:t>
      </w:r>
      <w:r w:rsidR="00935AD3" w:rsidRPr="00692B72">
        <w:rPr>
          <w:rFonts w:ascii="Calibri" w:hAnsi="Calibri"/>
          <w:b/>
          <w:bCs/>
          <w:sz w:val="22"/>
          <w:szCs w:val="22"/>
        </w:rPr>
        <w:t>isted Reproductive Technologies</w:t>
      </w:r>
    </w:p>
    <w:p w:rsidR="00284F9A" w:rsidRPr="0028096C" w:rsidRDefault="00284F9A"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A commonly used regimen for superovulation involves the administration of 150 IU (</w:t>
      </w:r>
      <w:r w:rsidR="00350885">
        <w:rPr>
          <w:rFonts w:ascii="Calibri" w:hAnsi="Calibri"/>
          <w:sz w:val="22"/>
          <w:szCs w:val="22"/>
        </w:rPr>
        <w:t>11</w:t>
      </w:r>
      <w:r w:rsidRPr="00692B72">
        <w:rPr>
          <w:rFonts w:ascii="Calibri" w:hAnsi="Calibri"/>
          <w:sz w:val="22"/>
          <w:szCs w:val="22"/>
        </w:rPr>
        <w:t xml:space="preserve"> microgram) to 225 IU (16.5 microgram) of BEMFOLA daily, commencing on days 2 or 3 of the cycle. Treatment is continued until adequate follicular development has been achieved (as assessed by monitoring of serum oestrogen concentrations and/or ultrasound examination), with the dose adjusted according to the patient's response, to usually not higher than 450 IU (</w:t>
      </w:r>
      <w:r w:rsidR="00350885">
        <w:rPr>
          <w:rFonts w:ascii="Calibri" w:hAnsi="Calibri"/>
          <w:sz w:val="22"/>
          <w:szCs w:val="22"/>
        </w:rPr>
        <w:t>33</w:t>
      </w:r>
      <w:r w:rsidRPr="00692B72">
        <w:rPr>
          <w:rFonts w:ascii="Calibri" w:hAnsi="Calibri"/>
          <w:sz w:val="22"/>
          <w:szCs w:val="22"/>
        </w:rPr>
        <w:t xml:space="preserve"> microgram) daily. </w:t>
      </w:r>
    </w:p>
    <w:p w:rsidR="000D1E50" w:rsidRPr="00692B72" w:rsidRDefault="000D1E50" w:rsidP="000D1E50">
      <w:pPr>
        <w:pStyle w:val="Default"/>
        <w:rPr>
          <w:rFonts w:ascii="Calibri" w:hAnsi="Calibri"/>
          <w:sz w:val="22"/>
          <w:szCs w:val="22"/>
        </w:rPr>
      </w:pPr>
      <w:r w:rsidRPr="00692B72">
        <w:rPr>
          <w:rFonts w:ascii="Calibri" w:hAnsi="Calibri"/>
          <w:sz w:val="22"/>
          <w:szCs w:val="22"/>
        </w:rPr>
        <w:t>A single injection of 250 microgram r-</w:t>
      </w:r>
      <w:proofErr w:type="spellStart"/>
      <w:r w:rsidRPr="00692B72">
        <w:rPr>
          <w:rFonts w:ascii="Calibri" w:hAnsi="Calibri"/>
          <w:sz w:val="22"/>
          <w:szCs w:val="22"/>
        </w:rPr>
        <w:t>hCG</w:t>
      </w:r>
      <w:proofErr w:type="spellEnd"/>
      <w:r w:rsidRPr="00692B72">
        <w:rPr>
          <w:rFonts w:ascii="Calibri" w:hAnsi="Calibri"/>
          <w:sz w:val="22"/>
          <w:szCs w:val="22"/>
        </w:rPr>
        <w:t xml:space="preserve"> or 5000 IU up to 10,000 IU u-</w:t>
      </w:r>
      <w:proofErr w:type="spellStart"/>
      <w:r w:rsidRPr="00692B72">
        <w:rPr>
          <w:rFonts w:ascii="Calibri" w:hAnsi="Calibri"/>
          <w:sz w:val="22"/>
          <w:szCs w:val="22"/>
        </w:rPr>
        <w:t>hCG</w:t>
      </w:r>
      <w:proofErr w:type="spellEnd"/>
      <w:r w:rsidRPr="00692B72">
        <w:rPr>
          <w:rFonts w:ascii="Calibri" w:hAnsi="Calibri"/>
          <w:sz w:val="22"/>
          <w:szCs w:val="22"/>
        </w:rPr>
        <w:t xml:space="preserve"> is administered 24 – 48 hours after the last BEMFOLA injection to induce final follicular maturation. In clinical trials, final follicular maturation was judged to be wh</w:t>
      </w:r>
      <w:r w:rsidR="00F57374" w:rsidRPr="00692B72">
        <w:rPr>
          <w:rFonts w:ascii="Calibri" w:hAnsi="Calibri"/>
          <w:sz w:val="22"/>
          <w:szCs w:val="22"/>
        </w:rPr>
        <w:t>en at least two follicles were ≥</w:t>
      </w:r>
      <w:r w:rsidRPr="00692B72">
        <w:rPr>
          <w:rFonts w:ascii="Calibri" w:hAnsi="Calibri"/>
          <w:sz w:val="22"/>
          <w:szCs w:val="22"/>
        </w:rPr>
        <w:t xml:space="preserve"> 16 mm mean diameter and when E2 levels were within the physician’s acceptable range for the number of follicles present. </w:t>
      </w:r>
    </w:p>
    <w:p w:rsidR="00F57374" w:rsidRPr="00692B72" w:rsidRDefault="00F57374"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Down-regulation with either a GnRH agonist or antagonist is now commonly used in order to suppress the endogenous LH surge and to control tonic levels of LH. Dosage regimes should be customised in order to achieve the desired result. In a commonly used protocol BEMFOLA is started approximately 2 weeks after the start of agonist treatment, both being continued until adequate follicular development is achieved. For example, following two weeks treatment with an agonist, 225</w:t>
      </w:r>
      <w:r w:rsidR="00935AD3" w:rsidRPr="00692B72">
        <w:rPr>
          <w:rFonts w:ascii="Calibri" w:hAnsi="Calibri"/>
          <w:sz w:val="22"/>
          <w:szCs w:val="22"/>
        </w:rPr>
        <w:t> </w:t>
      </w:r>
      <w:r w:rsidRPr="00692B72">
        <w:rPr>
          <w:rFonts w:ascii="Calibri" w:hAnsi="Calibri"/>
          <w:sz w:val="22"/>
          <w:szCs w:val="22"/>
        </w:rPr>
        <w:t xml:space="preserve">IU (16.5 microgram) BEMFOLA is administered (subcutaneously) for the first 7 days. The dose is then adjusted according to the ovarian response. </w:t>
      </w:r>
    </w:p>
    <w:p w:rsidR="00F57374" w:rsidRDefault="00F57374" w:rsidP="000D1E50">
      <w:pPr>
        <w:pStyle w:val="Default"/>
        <w:rPr>
          <w:rFonts w:ascii="Calibri" w:hAnsi="Calibri"/>
          <w:sz w:val="22"/>
          <w:szCs w:val="22"/>
        </w:rPr>
      </w:pPr>
    </w:p>
    <w:p w:rsidR="00C454D2" w:rsidRPr="00C454D2" w:rsidRDefault="00C454D2" w:rsidP="00C454D2">
      <w:pPr>
        <w:pStyle w:val="Default"/>
        <w:rPr>
          <w:rFonts w:ascii="Calibri" w:hAnsi="Calibri"/>
          <w:b/>
          <w:bCs/>
          <w:sz w:val="22"/>
          <w:szCs w:val="22"/>
        </w:rPr>
      </w:pPr>
      <w:r w:rsidRPr="00C454D2">
        <w:rPr>
          <w:rFonts w:ascii="Calibri" w:hAnsi="Calibri"/>
          <w:b/>
          <w:bCs/>
          <w:sz w:val="22"/>
          <w:szCs w:val="22"/>
        </w:rPr>
        <w:t xml:space="preserve">Women with anovulation resulting from severe LH and FSH deficiency </w:t>
      </w:r>
    </w:p>
    <w:p w:rsidR="00566D3A" w:rsidRDefault="00C454D2" w:rsidP="00C454D2">
      <w:pPr>
        <w:pStyle w:val="Default"/>
        <w:rPr>
          <w:rFonts w:ascii="Calibri" w:hAnsi="Calibri"/>
          <w:sz w:val="22"/>
          <w:szCs w:val="22"/>
        </w:rPr>
      </w:pPr>
      <w:r w:rsidRPr="00C454D2">
        <w:rPr>
          <w:rFonts w:ascii="Calibri" w:hAnsi="Calibri"/>
          <w:sz w:val="22"/>
          <w:szCs w:val="22"/>
        </w:rPr>
        <w:t>In LH and FSH deficient women (</w:t>
      </w:r>
      <w:proofErr w:type="spellStart"/>
      <w:r w:rsidRPr="00C454D2">
        <w:rPr>
          <w:rFonts w:ascii="Calibri" w:hAnsi="Calibri"/>
          <w:sz w:val="22"/>
          <w:szCs w:val="22"/>
        </w:rPr>
        <w:t>hypogonadotrophic</w:t>
      </w:r>
      <w:proofErr w:type="spellEnd"/>
      <w:r w:rsidRPr="00C454D2">
        <w:rPr>
          <w:rFonts w:ascii="Calibri" w:hAnsi="Calibri"/>
          <w:sz w:val="22"/>
          <w:szCs w:val="22"/>
        </w:rPr>
        <w:t xml:space="preserve"> hypogonadism), the objective of Bemfola therapy in association with </w:t>
      </w:r>
      <w:proofErr w:type="spellStart"/>
      <w:r w:rsidRPr="00C454D2">
        <w:rPr>
          <w:rFonts w:ascii="Calibri" w:hAnsi="Calibri"/>
          <w:sz w:val="22"/>
          <w:szCs w:val="22"/>
        </w:rPr>
        <w:t>lutropin</w:t>
      </w:r>
      <w:proofErr w:type="spellEnd"/>
      <w:r w:rsidRPr="00C454D2">
        <w:rPr>
          <w:rFonts w:ascii="Calibri" w:hAnsi="Calibri"/>
          <w:sz w:val="22"/>
          <w:szCs w:val="22"/>
        </w:rPr>
        <w:t xml:space="preserve"> alfa is to develop a single mature Graafian follicle from which the oocyte will be liberated after the administration of human chorionic gonadotropin (</w:t>
      </w:r>
      <w:proofErr w:type="spellStart"/>
      <w:r w:rsidRPr="00C454D2">
        <w:rPr>
          <w:rFonts w:ascii="Calibri" w:hAnsi="Calibri"/>
          <w:sz w:val="22"/>
          <w:szCs w:val="22"/>
        </w:rPr>
        <w:t>hCG</w:t>
      </w:r>
      <w:proofErr w:type="spellEnd"/>
      <w:r w:rsidRPr="00C454D2">
        <w:rPr>
          <w:rFonts w:ascii="Calibri" w:hAnsi="Calibri"/>
          <w:sz w:val="22"/>
          <w:szCs w:val="22"/>
        </w:rPr>
        <w:t xml:space="preserve">). Follitropin alfa should be given as a course of daily injections simultaneously with </w:t>
      </w:r>
      <w:proofErr w:type="spellStart"/>
      <w:r w:rsidRPr="00C454D2">
        <w:rPr>
          <w:rFonts w:ascii="Calibri" w:hAnsi="Calibri"/>
          <w:sz w:val="22"/>
          <w:szCs w:val="22"/>
        </w:rPr>
        <w:t>lutropin</w:t>
      </w:r>
      <w:proofErr w:type="spellEnd"/>
      <w:r w:rsidRPr="00C454D2">
        <w:rPr>
          <w:rFonts w:ascii="Calibri" w:hAnsi="Calibri"/>
          <w:sz w:val="22"/>
          <w:szCs w:val="22"/>
        </w:rPr>
        <w:t xml:space="preserve"> alfa. Since these patients are </w:t>
      </w:r>
      <w:proofErr w:type="spellStart"/>
      <w:r w:rsidRPr="00C454D2">
        <w:rPr>
          <w:rFonts w:ascii="Calibri" w:hAnsi="Calibri"/>
          <w:sz w:val="22"/>
          <w:szCs w:val="22"/>
        </w:rPr>
        <w:t>amenorrhoeic</w:t>
      </w:r>
      <w:proofErr w:type="spellEnd"/>
      <w:r w:rsidRPr="00C454D2">
        <w:rPr>
          <w:rFonts w:ascii="Calibri" w:hAnsi="Calibri"/>
          <w:sz w:val="22"/>
          <w:szCs w:val="22"/>
        </w:rPr>
        <w:t xml:space="preserve"> and have low endogenous oestrogen secretion, treatment can commence at any time.</w:t>
      </w:r>
    </w:p>
    <w:p w:rsidR="00C454D2" w:rsidRPr="00C454D2" w:rsidRDefault="00C454D2" w:rsidP="00C454D2">
      <w:pPr>
        <w:pStyle w:val="Default"/>
        <w:rPr>
          <w:rFonts w:ascii="Calibri" w:hAnsi="Calibri"/>
          <w:sz w:val="22"/>
          <w:szCs w:val="22"/>
        </w:rPr>
      </w:pPr>
      <w:r w:rsidRPr="00C454D2">
        <w:rPr>
          <w:rFonts w:ascii="Calibri" w:hAnsi="Calibri"/>
          <w:sz w:val="22"/>
          <w:szCs w:val="22"/>
        </w:rPr>
        <w:t xml:space="preserve"> </w:t>
      </w:r>
    </w:p>
    <w:p w:rsidR="00C454D2" w:rsidRDefault="00C454D2" w:rsidP="00C454D2">
      <w:pPr>
        <w:pStyle w:val="Default"/>
        <w:rPr>
          <w:rFonts w:ascii="Calibri" w:hAnsi="Calibri"/>
          <w:sz w:val="22"/>
          <w:szCs w:val="22"/>
        </w:rPr>
      </w:pPr>
      <w:r w:rsidRPr="00C454D2">
        <w:rPr>
          <w:rFonts w:ascii="Calibri" w:hAnsi="Calibri"/>
          <w:sz w:val="22"/>
          <w:szCs w:val="22"/>
        </w:rPr>
        <w:t xml:space="preserve">A recommended regimen commences at 75 IU of </w:t>
      </w:r>
      <w:proofErr w:type="spellStart"/>
      <w:r w:rsidRPr="00C454D2">
        <w:rPr>
          <w:rFonts w:ascii="Calibri" w:hAnsi="Calibri"/>
          <w:sz w:val="22"/>
          <w:szCs w:val="22"/>
        </w:rPr>
        <w:t>lutropin</w:t>
      </w:r>
      <w:proofErr w:type="spellEnd"/>
      <w:r w:rsidRPr="00C454D2">
        <w:rPr>
          <w:rFonts w:ascii="Calibri" w:hAnsi="Calibri"/>
          <w:sz w:val="22"/>
          <w:szCs w:val="22"/>
        </w:rPr>
        <w:t xml:space="preserve"> alfa daily with 75-150 IU FSH. Treatment should be tailored to the individual patient's response as assessed by measuring follicle size by ultrasound and oestrogen response. </w:t>
      </w:r>
    </w:p>
    <w:p w:rsidR="00566D3A" w:rsidRPr="00C454D2" w:rsidRDefault="00566D3A" w:rsidP="00C454D2">
      <w:pPr>
        <w:pStyle w:val="Default"/>
        <w:rPr>
          <w:rFonts w:ascii="Calibri" w:hAnsi="Calibri"/>
          <w:sz w:val="22"/>
          <w:szCs w:val="22"/>
        </w:rPr>
      </w:pPr>
    </w:p>
    <w:p w:rsidR="00C454D2" w:rsidRDefault="00C454D2" w:rsidP="00C454D2">
      <w:pPr>
        <w:pStyle w:val="Default"/>
        <w:rPr>
          <w:rFonts w:ascii="Calibri" w:hAnsi="Calibri"/>
          <w:sz w:val="22"/>
          <w:szCs w:val="22"/>
        </w:rPr>
      </w:pPr>
      <w:r w:rsidRPr="00C454D2">
        <w:rPr>
          <w:rFonts w:ascii="Calibri" w:hAnsi="Calibri"/>
          <w:sz w:val="22"/>
          <w:szCs w:val="22"/>
        </w:rPr>
        <w:t xml:space="preserve">If an FSH dose increase is deemed appropriate, dose adaptation should preferably be after 7-14 day intervals and preferably by 37.5-75 IU increments. It may be acceptable to extend the duration of stimulation in any one cycle to up to 5 weeks. </w:t>
      </w:r>
    </w:p>
    <w:p w:rsidR="00566D3A" w:rsidRPr="00C454D2" w:rsidRDefault="00566D3A" w:rsidP="00C454D2">
      <w:pPr>
        <w:pStyle w:val="Default"/>
        <w:rPr>
          <w:rFonts w:ascii="Calibri" w:hAnsi="Calibri"/>
          <w:sz w:val="22"/>
          <w:szCs w:val="22"/>
        </w:rPr>
      </w:pPr>
    </w:p>
    <w:p w:rsidR="00C454D2" w:rsidRDefault="00C454D2" w:rsidP="00C454D2">
      <w:pPr>
        <w:pStyle w:val="Default"/>
        <w:rPr>
          <w:rFonts w:ascii="Calibri" w:hAnsi="Calibri"/>
          <w:sz w:val="22"/>
          <w:szCs w:val="22"/>
        </w:rPr>
      </w:pPr>
      <w:r w:rsidRPr="00C454D2">
        <w:rPr>
          <w:rFonts w:ascii="Calibri" w:hAnsi="Calibri"/>
          <w:sz w:val="22"/>
          <w:szCs w:val="22"/>
        </w:rPr>
        <w:t>When an optimal response is obtained, a single injection of 250 micrograms r-</w:t>
      </w:r>
      <w:proofErr w:type="spellStart"/>
      <w:r w:rsidRPr="00C454D2">
        <w:rPr>
          <w:rFonts w:ascii="Calibri" w:hAnsi="Calibri"/>
          <w:sz w:val="22"/>
          <w:szCs w:val="22"/>
        </w:rPr>
        <w:t>hCG</w:t>
      </w:r>
      <w:proofErr w:type="spellEnd"/>
      <w:r w:rsidRPr="00C454D2">
        <w:rPr>
          <w:rFonts w:ascii="Calibri" w:hAnsi="Calibri"/>
          <w:sz w:val="22"/>
          <w:szCs w:val="22"/>
        </w:rPr>
        <w:t xml:space="preserve"> or 5,000 IU up to 10,000 IU </w:t>
      </w:r>
      <w:proofErr w:type="spellStart"/>
      <w:r w:rsidRPr="00C454D2">
        <w:rPr>
          <w:rFonts w:ascii="Calibri" w:hAnsi="Calibri"/>
          <w:sz w:val="22"/>
          <w:szCs w:val="22"/>
        </w:rPr>
        <w:t>hCG</w:t>
      </w:r>
      <w:proofErr w:type="spellEnd"/>
      <w:r w:rsidRPr="00C454D2">
        <w:rPr>
          <w:rFonts w:ascii="Calibri" w:hAnsi="Calibri"/>
          <w:sz w:val="22"/>
          <w:szCs w:val="22"/>
        </w:rPr>
        <w:t xml:space="preserve"> should be administered 24-48 hours after the last </w:t>
      </w:r>
      <w:proofErr w:type="spellStart"/>
      <w:r w:rsidRPr="00C454D2">
        <w:rPr>
          <w:rFonts w:ascii="Calibri" w:hAnsi="Calibri"/>
          <w:sz w:val="22"/>
          <w:szCs w:val="22"/>
        </w:rPr>
        <w:t>follitropin</w:t>
      </w:r>
      <w:proofErr w:type="spellEnd"/>
      <w:r w:rsidRPr="00C454D2">
        <w:rPr>
          <w:rFonts w:ascii="Calibri" w:hAnsi="Calibri"/>
          <w:sz w:val="22"/>
          <w:szCs w:val="22"/>
        </w:rPr>
        <w:t xml:space="preserve"> alfa and </w:t>
      </w:r>
      <w:proofErr w:type="spellStart"/>
      <w:r w:rsidRPr="00C454D2">
        <w:rPr>
          <w:rFonts w:ascii="Calibri" w:hAnsi="Calibri"/>
          <w:sz w:val="22"/>
          <w:szCs w:val="22"/>
        </w:rPr>
        <w:t>lutropin</w:t>
      </w:r>
      <w:proofErr w:type="spellEnd"/>
      <w:r w:rsidRPr="00C454D2">
        <w:rPr>
          <w:rFonts w:ascii="Calibri" w:hAnsi="Calibri"/>
          <w:sz w:val="22"/>
          <w:szCs w:val="22"/>
        </w:rPr>
        <w:t xml:space="preserve"> alfa injections. The patient is recommended to have coitus on the day of, and on the day following, </w:t>
      </w:r>
      <w:proofErr w:type="spellStart"/>
      <w:proofErr w:type="gramStart"/>
      <w:r w:rsidRPr="00C454D2">
        <w:rPr>
          <w:rFonts w:ascii="Calibri" w:hAnsi="Calibri"/>
          <w:sz w:val="22"/>
          <w:szCs w:val="22"/>
        </w:rPr>
        <w:t>hCG</w:t>
      </w:r>
      <w:proofErr w:type="spellEnd"/>
      <w:proofErr w:type="gramEnd"/>
      <w:r w:rsidRPr="00C454D2">
        <w:rPr>
          <w:rFonts w:ascii="Calibri" w:hAnsi="Calibri"/>
          <w:sz w:val="22"/>
          <w:szCs w:val="22"/>
        </w:rPr>
        <w:t xml:space="preserve"> administration. </w:t>
      </w:r>
    </w:p>
    <w:p w:rsidR="00566D3A" w:rsidRPr="00C454D2" w:rsidRDefault="00566D3A" w:rsidP="00C454D2">
      <w:pPr>
        <w:pStyle w:val="Default"/>
        <w:rPr>
          <w:rFonts w:ascii="Calibri" w:hAnsi="Calibri"/>
          <w:sz w:val="22"/>
          <w:szCs w:val="22"/>
        </w:rPr>
      </w:pPr>
    </w:p>
    <w:p w:rsidR="00C454D2" w:rsidRDefault="00C454D2" w:rsidP="00C454D2">
      <w:pPr>
        <w:pStyle w:val="Default"/>
        <w:rPr>
          <w:rFonts w:ascii="Calibri" w:hAnsi="Calibri"/>
          <w:sz w:val="22"/>
          <w:szCs w:val="22"/>
        </w:rPr>
      </w:pPr>
      <w:r w:rsidRPr="00C454D2">
        <w:rPr>
          <w:rFonts w:ascii="Calibri" w:hAnsi="Calibri"/>
          <w:sz w:val="22"/>
          <w:szCs w:val="22"/>
        </w:rPr>
        <w:t xml:space="preserve">Alternatively, IUI may be performed. </w:t>
      </w:r>
    </w:p>
    <w:p w:rsidR="00566D3A" w:rsidRPr="00C454D2" w:rsidRDefault="00566D3A" w:rsidP="00C454D2">
      <w:pPr>
        <w:pStyle w:val="Default"/>
        <w:rPr>
          <w:rFonts w:ascii="Calibri" w:hAnsi="Calibri"/>
          <w:sz w:val="22"/>
          <w:szCs w:val="22"/>
        </w:rPr>
      </w:pPr>
    </w:p>
    <w:p w:rsidR="00C454D2" w:rsidRPr="00C454D2" w:rsidRDefault="00C454D2" w:rsidP="00C454D2">
      <w:pPr>
        <w:pStyle w:val="Default"/>
        <w:rPr>
          <w:rFonts w:ascii="Calibri" w:hAnsi="Calibri"/>
          <w:sz w:val="22"/>
          <w:szCs w:val="22"/>
        </w:rPr>
      </w:pPr>
      <w:r w:rsidRPr="00C454D2">
        <w:rPr>
          <w:rFonts w:ascii="Calibri" w:hAnsi="Calibri"/>
          <w:sz w:val="22"/>
          <w:szCs w:val="22"/>
        </w:rPr>
        <w:t xml:space="preserve">Luteal phase support may be considered since lack of substances with </w:t>
      </w:r>
      <w:proofErr w:type="spellStart"/>
      <w:r w:rsidRPr="00C454D2">
        <w:rPr>
          <w:rFonts w:ascii="Calibri" w:hAnsi="Calibri"/>
          <w:sz w:val="22"/>
          <w:szCs w:val="22"/>
        </w:rPr>
        <w:t>luteotrophic</w:t>
      </w:r>
      <w:proofErr w:type="spellEnd"/>
      <w:r w:rsidRPr="00C454D2">
        <w:rPr>
          <w:rFonts w:ascii="Calibri" w:hAnsi="Calibri"/>
          <w:sz w:val="22"/>
          <w:szCs w:val="22"/>
        </w:rPr>
        <w:t xml:space="preserve"> activity (LH/</w:t>
      </w:r>
      <w:proofErr w:type="spellStart"/>
      <w:r w:rsidRPr="00C454D2">
        <w:rPr>
          <w:rFonts w:ascii="Calibri" w:hAnsi="Calibri"/>
          <w:sz w:val="22"/>
          <w:szCs w:val="22"/>
        </w:rPr>
        <w:t>hCG</w:t>
      </w:r>
      <w:proofErr w:type="spellEnd"/>
      <w:r w:rsidRPr="00C454D2">
        <w:rPr>
          <w:rFonts w:ascii="Calibri" w:hAnsi="Calibri"/>
          <w:sz w:val="22"/>
          <w:szCs w:val="22"/>
        </w:rPr>
        <w:t xml:space="preserve">) after ovulation may lead to premature failure of the corpus luteum. </w:t>
      </w:r>
    </w:p>
    <w:p w:rsidR="00C454D2" w:rsidRDefault="00C454D2" w:rsidP="00C454D2">
      <w:pPr>
        <w:pStyle w:val="Default"/>
        <w:rPr>
          <w:rFonts w:ascii="Calibri" w:hAnsi="Calibri"/>
          <w:sz w:val="22"/>
          <w:szCs w:val="22"/>
        </w:rPr>
      </w:pPr>
      <w:r w:rsidRPr="00C454D2">
        <w:rPr>
          <w:rFonts w:ascii="Calibri" w:hAnsi="Calibri"/>
          <w:sz w:val="22"/>
          <w:szCs w:val="22"/>
        </w:rPr>
        <w:t xml:space="preserve">If an excessive response is obtained, treatment should be stopped and </w:t>
      </w:r>
      <w:proofErr w:type="spellStart"/>
      <w:proofErr w:type="gramStart"/>
      <w:r w:rsidRPr="00C454D2">
        <w:rPr>
          <w:rFonts w:ascii="Calibri" w:hAnsi="Calibri"/>
          <w:sz w:val="22"/>
          <w:szCs w:val="22"/>
        </w:rPr>
        <w:t>hCG</w:t>
      </w:r>
      <w:proofErr w:type="spellEnd"/>
      <w:proofErr w:type="gramEnd"/>
      <w:r w:rsidRPr="00C454D2">
        <w:rPr>
          <w:rFonts w:ascii="Calibri" w:hAnsi="Calibri"/>
          <w:sz w:val="22"/>
          <w:szCs w:val="22"/>
        </w:rPr>
        <w:t xml:space="preserve"> withheld. Treatment should recommence in the next cycle at a dose of FSH lower than that of the previous cycle.</w:t>
      </w:r>
    </w:p>
    <w:p w:rsidR="00C454D2" w:rsidRDefault="00C454D2" w:rsidP="000D1E50">
      <w:pPr>
        <w:pStyle w:val="Default"/>
        <w:rPr>
          <w:rFonts w:ascii="Calibri" w:hAnsi="Calibri"/>
          <w:sz w:val="22"/>
          <w:szCs w:val="22"/>
        </w:rPr>
      </w:pPr>
    </w:p>
    <w:p w:rsidR="00C454D2" w:rsidRPr="00692B72" w:rsidRDefault="00C454D2"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Men with </w:t>
      </w:r>
      <w:proofErr w:type="spellStart"/>
      <w:r w:rsidRPr="00692B72">
        <w:rPr>
          <w:rFonts w:ascii="Calibri" w:hAnsi="Calibri"/>
          <w:b/>
          <w:bCs/>
          <w:sz w:val="22"/>
          <w:szCs w:val="22"/>
        </w:rPr>
        <w:t>Hypogonadotrophic</w:t>
      </w:r>
      <w:proofErr w:type="spellEnd"/>
      <w:r w:rsidRPr="00692B72">
        <w:rPr>
          <w:rFonts w:ascii="Calibri" w:hAnsi="Calibri"/>
          <w:b/>
          <w:bCs/>
          <w:sz w:val="22"/>
          <w:szCs w:val="22"/>
        </w:rPr>
        <w:t xml:space="preserve"> Hypogonadism </w:t>
      </w:r>
    </w:p>
    <w:p w:rsidR="00F57374" w:rsidRPr="0028096C" w:rsidRDefault="00F57374"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Prior to combined therapy with BEMFOLA and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pre-treatment should begin with </w:t>
      </w:r>
      <w:proofErr w:type="spellStart"/>
      <w:r w:rsidRPr="00692B72">
        <w:rPr>
          <w:rFonts w:ascii="Calibri" w:hAnsi="Calibri"/>
          <w:sz w:val="22"/>
          <w:szCs w:val="22"/>
        </w:rPr>
        <w:t>hCG</w:t>
      </w:r>
      <w:proofErr w:type="spellEnd"/>
      <w:r w:rsidRPr="00692B72">
        <w:rPr>
          <w:rFonts w:ascii="Calibri" w:hAnsi="Calibri"/>
          <w:sz w:val="22"/>
          <w:szCs w:val="22"/>
        </w:rPr>
        <w:t xml:space="preserve"> alone at the appropriate dosage to achieve masculinisation and serum testosterone leve</w:t>
      </w:r>
      <w:r w:rsidR="00692B72" w:rsidRPr="00692B72">
        <w:rPr>
          <w:rFonts w:ascii="Calibri" w:hAnsi="Calibri"/>
          <w:sz w:val="22"/>
          <w:szCs w:val="22"/>
        </w:rPr>
        <w:t xml:space="preserve">l within the </w:t>
      </w:r>
      <w:proofErr w:type="spellStart"/>
      <w:r w:rsidR="00692B72" w:rsidRPr="00692B72">
        <w:rPr>
          <w:rFonts w:ascii="Calibri" w:hAnsi="Calibri"/>
          <w:sz w:val="22"/>
          <w:szCs w:val="22"/>
        </w:rPr>
        <w:t>eugonadal</w:t>
      </w:r>
      <w:proofErr w:type="spellEnd"/>
      <w:r w:rsidR="00692B72" w:rsidRPr="00692B72">
        <w:rPr>
          <w:rFonts w:ascii="Calibri" w:hAnsi="Calibri"/>
          <w:sz w:val="22"/>
          <w:szCs w:val="22"/>
        </w:rPr>
        <w:t xml:space="preserve"> range (&gt;</w:t>
      </w:r>
      <w:r w:rsidRPr="00692B72">
        <w:rPr>
          <w:rFonts w:ascii="Calibri" w:hAnsi="Calibri"/>
          <w:sz w:val="22"/>
          <w:szCs w:val="22"/>
        </w:rPr>
        <w:t xml:space="preserve">9 – 10 </w:t>
      </w:r>
      <w:proofErr w:type="spellStart"/>
      <w:r w:rsidRPr="00692B72">
        <w:rPr>
          <w:rFonts w:ascii="Calibri" w:hAnsi="Calibri"/>
          <w:sz w:val="22"/>
          <w:szCs w:val="22"/>
        </w:rPr>
        <w:t>nmol</w:t>
      </w:r>
      <w:proofErr w:type="spellEnd"/>
      <w:r w:rsidRPr="00692B72">
        <w:rPr>
          <w:rFonts w:ascii="Calibri" w:hAnsi="Calibri"/>
          <w:sz w:val="22"/>
          <w:szCs w:val="22"/>
        </w:rPr>
        <w:t xml:space="preserve">/L). This starting dose should be increased to the necessary dosage in order to obtain normal testosterone values. If after an inadequate trial of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alone (usually 6</w:t>
      </w:r>
      <w:r w:rsidR="00935AD3" w:rsidRPr="00692B72">
        <w:rPr>
          <w:rFonts w:ascii="Calibri" w:hAnsi="Calibri"/>
          <w:sz w:val="22"/>
          <w:szCs w:val="22"/>
        </w:rPr>
        <w:t> </w:t>
      </w:r>
      <w:r w:rsidRPr="00692B72">
        <w:rPr>
          <w:rFonts w:ascii="Calibri" w:hAnsi="Calibri"/>
          <w:sz w:val="22"/>
          <w:szCs w:val="22"/>
        </w:rPr>
        <w:t>months) at effective doses, BEMFOLA should be given concomitantly at the dosage of 150</w:t>
      </w:r>
      <w:r w:rsidR="00935AD3" w:rsidRPr="00692B72">
        <w:rPr>
          <w:rFonts w:ascii="Calibri" w:hAnsi="Calibri"/>
          <w:sz w:val="22"/>
          <w:szCs w:val="22"/>
        </w:rPr>
        <w:t> </w:t>
      </w:r>
      <w:r w:rsidRPr="00692B72">
        <w:rPr>
          <w:rFonts w:ascii="Calibri" w:hAnsi="Calibri"/>
          <w:sz w:val="22"/>
          <w:szCs w:val="22"/>
        </w:rPr>
        <w:t>IU</w:t>
      </w:r>
      <w:r w:rsidR="00935AD3" w:rsidRPr="00692B72">
        <w:rPr>
          <w:rFonts w:ascii="Calibri" w:hAnsi="Calibri"/>
          <w:sz w:val="22"/>
          <w:szCs w:val="22"/>
        </w:rPr>
        <w:t> </w:t>
      </w:r>
      <w:r w:rsidRPr="00692B72">
        <w:rPr>
          <w:rFonts w:ascii="Calibri" w:hAnsi="Calibri"/>
          <w:sz w:val="22"/>
          <w:szCs w:val="22"/>
        </w:rPr>
        <w:t>(</w:t>
      </w:r>
      <w:r w:rsidR="00350885">
        <w:rPr>
          <w:rFonts w:ascii="Calibri" w:hAnsi="Calibri"/>
          <w:sz w:val="22"/>
          <w:szCs w:val="22"/>
        </w:rPr>
        <w:t>11</w:t>
      </w:r>
      <w:r w:rsidRPr="00692B72">
        <w:rPr>
          <w:rFonts w:ascii="Calibri" w:hAnsi="Calibri"/>
          <w:sz w:val="22"/>
          <w:szCs w:val="22"/>
        </w:rPr>
        <w:t xml:space="preserve"> microgram) three times a week. This regimen should be continued for a minimum of 4</w:t>
      </w:r>
      <w:r w:rsidR="00935AD3" w:rsidRPr="00692B72">
        <w:rPr>
          <w:rFonts w:ascii="Calibri" w:hAnsi="Calibri"/>
          <w:sz w:val="22"/>
          <w:szCs w:val="22"/>
        </w:rPr>
        <w:t> </w:t>
      </w:r>
      <w:r w:rsidRPr="00692B72">
        <w:rPr>
          <w:rFonts w:ascii="Calibri" w:hAnsi="Calibri"/>
          <w:sz w:val="22"/>
          <w:szCs w:val="22"/>
        </w:rPr>
        <w:t>months. If after this period, the patient has not responded, the combination treatment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plus BEMFOLA 150 IU (</w:t>
      </w:r>
      <w:r w:rsidR="00350885">
        <w:rPr>
          <w:rFonts w:ascii="Calibri" w:hAnsi="Calibri"/>
          <w:sz w:val="22"/>
          <w:szCs w:val="22"/>
        </w:rPr>
        <w:t>11</w:t>
      </w:r>
      <w:r w:rsidRPr="00692B72">
        <w:rPr>
          <w:rFonts w:ascii="Calibri" w:hAnsi="Calibri"/>
          <w:sz w:val="22"/>
          <w:szCs w:val="22"/>
        </w:rPr>
        <w:t xml:space="preserve"> microgram) 3 times a week) may be continued. Current clinical experience indicates that prolonged treatment for up to 18 – 24 months may be necessary to achieve spermatogenesis or fertility. </w:t>
      </w:r>
    </w:p>
    <w:p w:rsidR="00F57374" w:rsidRPr="00692B72" w:rsidRDefault="00F57374" w:rsidP="000D1E50">
      <w:pPr>
        <w:pStyle w:val="Default"/>
        <w:rPr>
          <w:rFonts w:ascii="Calibri" w:hAnsi="Calibri"/>
          <w:sz w:val="22"/>
          <w:szCs w:val="22"/>
        </w:rPr>
      </w:pPr>
    </w:p>
    <w:p w:rsidR="000D1E50" w:rsidRPr="00692B72" w:rsidRDefault="000D1E50" w:rsidP="00BC048B">
      <w:pPr>
        <w:pStyle w:val="Default"/>
        <w:rPr>
          <w:rFonts w:ascii="Calibri" w:hAnsi="Calibri"/>
          <w:b/>
          <w:bCs/>
          <w:sz w:val="28"/>
          <w:szCs w:val="22"/>
          <w:u w:val="single"/>
        </w:rPr>
      </w:pPr>
      <w:r w:rsidRPr="00692B72">
        <w:rPr>
          <w:rFonts w:ascii="Calibri" w:hAnsi="Calibri"/>
          <w:b/>
          <w:bCs/>
          <w:sz w:val="28"/>
          <w:szCs w:val="22"/>
          <w:u w:val="single"/>
        </w:rPr>
        <w:t>OVERDOSAGE</w:t>
      </w:r>
    </w:p>
    <w:p w:rsidR="00F57374" w:rsidRPr="00692B72" w:rsidRDefault="00F57374" w:rsidP="00F57374">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effects of an overdose of BEMFOLA are unknown, nevertheless, there is the possibility that OHSS may occur (see </w:t>
      </w:r>
      <w:r w:rsidRPr="00692B72">
        <w:rPr>
          <w:rFonts w:ascii="Calibri" w:hAnsi="Calibri"/>
          <w:b/>
          <w:bCs/>
          <w:sz w:val="22"/>
          <w:szCs w:val="22"/>
        </w:rPr>
        <w:t>PRECAUTIONS</w:t>
      </w:r>
      <w:r w:rsidRPr="00692B72">
        <w:rPr>
          <w:rFonts w:ascii="Calibri" w:hAnsi="Calibri"/>
          <w:sz w:val="22"/>
          <w:szCs w:val="22"/>
        </w:rPr>
        <w:t xml:space="preserve">). </w:t>
      </w:r>
    </w:p>
    <w:p w:rsidR="000D1E50" w:rsidRPr="00935AD3" w:rsidRDefault="000D1E50" w:rsidP="00F57374">
      <w:pPr>
        <w:pStyle w:val="NoSpacing"/>
      </w:pPr>
      <w:r w:rsidRPr="00935AD3">
        <w:t>Advise your patients to immediately contact their doctor or the Poisons Information Centre (in Australia telephone 131 126, in New Zealand telephone 0800 764 766) if they are concerned that they have given themselves too much BEMFOLA.</w:t>
      </w:r>
    </w:p>
    <w:p w:rsidR="00F57374" w:rsidRPr="00935AD3" w:rsidRDefault="00F57374" w:rsidP="00F57374">
      <w:pPr>
        <w:pStyle w:val="NoSpacing"/>
      </w:pPr>
    </w:p>
    <w:p w:rsidR="000D1E50" w:rsidRPr="00692B72" w:rsidRDefault="000D1E50" w:rsidP="00FE3FCE">
      <w:pPr>
        <w:pStyle w:val="Default"/>
        <w:rPr>
          <w:rFonts w:ascii="Calibri" w:hAnsi="Calibri"/>
          <w:b/>
          <w:bCs/>
          <w:sz w:val="22"/>
          <w:szCs w:val="22"/>
          <w:u w:val="single"/>
        </w:rPr>
      </w:pPr>
      <w:r w:rsidRPr="00692B72">
        <w:rPr>
          <w:rFonts w:ascii="Calibri" w:hAnsi="Calibri"/>
          <w:b/>
          <w:bCs/>
          <w:sz w:val="22"/>
          <w:szCs w:val="22"/>
          <w:u w:val="single"/>
        </w:rPr>
        <w:t>PRESENTATION AND STORAGE CONDITIONS</w:t>
      </w:r>
    </w:p>
    <w:p w:rsidR="00155502" w:rsidRPr="00692B72" w:rsidRDefault="00155502" w:rsidP="00155502">
      <w:pPr>
        <w:pStyle w:val="Default"/>
        <w:jc w:val="center"/>
        <w:rPr>
          <w:rFonts w:ascii="Calibri" w:hAnsi="Calibri"/>
          <w:sz w:val="22"/>
          <w:szCs w:val="22"/>
          <w:u w:val="single"/>
        </w:rPr>
      </w:pPr>
    </w:p>
    <w:p w:rsidR="00BC048B" w:rsidRPr="00692B72" w:rsidRDefault="00BC048B" w:rsidP="00BC048B">
      <w:pPr>
        <w:pStyle w:val="Default"/>
        <w:rPr>
          <w:rFonts w:ascii="Calibri" w:hAnsi="Calibri"/>
          <w:sz w:val="22"/>
          <w:szCs w:val="22"/>
        </w:rPr>
      </w:pPr>
      <w:r w:rsidRPr="00692B72">
        <w:rPr>
          <w:rFonts w:ascii="Calibri" w:hAnsi="Calibri"/>
          <w:sz w:val="22"/>
          <w:szCs w:val="22"/>
        </w:rPr>
        <w:t>Solution for injection in 1.5 ml cartridge (type I glass), with a plunger stopper (</w:t>
      </w:r>
      <w:proofErr w:type="spellStart"/>
      <w:r w:rsidRPr="00692B72">
        <w:rPr>
          <w:rFonts w:ascii="Calibri" w:hAnsi="Calibri"/>
          <w:sz w:val="22"/>
          <w:szCs w:val="22"/>
        </w:rPr>
        <w:t>halobutyl</w:t>
      </w:r>
      <w:proofErr w:type="spellEnd"/>
      <w:r w:rsidRPr="00692B72">
        <w:rPr>
          <w:rFonts w:ascii="Calibri" w:hAnsi="Calibri"/>
          <w:sz w:val="22"/>
          <w:szCs w:val="22"/>
        </w:rPr>
        <w:t xml:space="preserve"> </w:t>
      </w:r>
    </w:p>
    <w:p w:rsidR="00BC048B" w:rsidRPr="00692B72" w:rsidRDefault="00BC048B" w:rsidP="00BC048B">
      <w:pPr>
        <w:pStyle w:val="Default"/>
        <w:rPr>
          <w:rFonts w:ascii="Calibri" w:hAnsi="Calibri"/>
          <w:sz w:val="22"/>
          <w:szCs w:val="22"/>
        </w:rPr>
      </w:pPr>
      <w:proofErr w:type="gramStart"/>
      <w:r w:rsidRPr="00692B72">
        <w:rPr>
          <w:rFonts w:ascii="Calibri" w:hAnsi="Calibri"/>
          <w:sz w:val="22"/>
          <w:szCs w:val="22"/>
        </w:rPr>
        <w:t>rubber</w:t>
      </w:r>
      <w:proofErr w:type="gramEnd"/>
      <w:r w:rsidRPr="00692B72">
        <w:rPr>
          <w:rFonts w:ascii="Calibri" w:hAnsi="Calibri"/>
          <w:sz w:val="22"/>
          <w:szCs w:val="22"/>
        </w:rPr>
        <w:t xml:space="preserve">) and an aluminium crimp cap with a rubber inlay. </w:t>
      </w:r>
    </w:p>
    <w:p w:rsidR="00BC048B" w:rsidRPr="00692B72" w:rsidRDefault="00BC048B" w:rsidP="00BC048B">
      <w:pPr>
        <w:pStyle w:val="Default"/>
        <w:rPr>
          <w:rFonts w:ascii="Calibri" w:hAnsi="Calibri"/>
          <w:sz w:val="22"/>
          <w:szCs w:val="22"/>
        </w:rPr>
      </w:pPr>
    </w:p>
    <w:p w:rsidR="00441E63" w:rsidRPr="00692B72" w:rsidRDefault="00441E63" w:rsidP="00BC048B">
      <w:pPr>
        <w:pStyle w:val="Default"/>
        <w:rPr>
          <w:rFonts w:ascii="Calibri" w:hAnsi="Calibri"/>
          <w:sz w:val="22"/>
          <w:szCs w:val="22"/>
        </w:rPr>
      </w:pPr>
      <w:r w:rsidRPr="00692B72">
        <w:rPr>
          <w:rFonts w:ascii="Calibri" w:hAnsi="Calibri"/>
          <w:sz w:val="22"/>
          <w:szCs w:val="22"/>
        </w:rPr>
        <w:t xml:space="preserve">The solution should not be administered if it contains particles or is not clear. </w:t>
      </w:r>
    </w:p>
    <w:p w:rsidR="00441E63" w:rsidRPr="00692B72" w:rsidRDefault="00441E63" w:rsidP="00BC048B">
      <w:pPr>
        <w:pStyle w:val="Default"/>
        <w:rPr>
          <w:rFonts w:ascii="Calibri" w:hAnsi="Calibri"/>
          <w:sz w:val="22"/>
          <w:szCs w:val="22"/>
        </w:rPr>
      </w:pPr>
    </w:p>
    <w:p w:rsidR="00BC048B" w:rsidRPr="00692B72" w:rsidRDefault="00BC048B" w:rsidP="00BC048B">
      <w:pPr>
        <w:pStyle w:val="Default"/>
        <w:rPr>
          <w:rFonts w:ascii="Calibri" w:hAnsi="Calibri"/>
          <w:sz w:val="22"/>
          <w:szCs w:val="22"/>
        </w:rPr>
      </w:pPr>
      <w:r w:rsidRPr="00692B72">
        <w:rPr>
          <w:rFonts w:ascii="Calibri" w:hAnsi="Calibri"/>
          <w:sz w:val="22"/>
          <w:szCs w:val="22"/>
        </w:rPr>
        <w:t>BEMFOLA PEN is available in the following strengths and pack sizes:</w:t>
      </w:r>
    </w:p>
    <w:p w:rsidR="00BC048B" w:rsidRPr="00692B72" w:rsidRDefault="00BC048B" w:rsidP="00BC048B">
      <w:pPr>
        <w:pStyle w:val="Default"/>
        <w:rPr>
          <w:rFonts w:ascii="Calibri" w:hAnsi="Calibri"/>
          <w:sz w:val="22"/>
          <w:szCs w:val="22"/>
        </w:rPr>
      </w:pPr>
    </w:p>
    <w:p w:rsidR="00BC048B" w:rsidRPr="00692B72" w:rsidRDefault="00BC048B" w:rsidP="000D1E50">
      <w:pPr>
        <w:pStyle w:val="Default"/>
        <w:rPr>
          <w:rFonts w:ascii="Calibri" w:hAnsi="Calibri"/>
          <w:b/>
          <w:i/>
          <w:sz w:val="22"/>
          <w:szCs w:val="22"/>
        </w:rPr>
      </w:pPr>
      <w:r w:rsidRPr="00692B72">
        <w:rPr>
          <w:rFonts w:ascii="Calibri" w:hAnsi="Calibri"/>
          <w:b/>
          <w:i/>
          <w:sz w:val="22"/>
          <w:szCs w:val="22"/>
        </w:rPr>
        <w:t>Strengths</w:t>
      </w:r>
    </w:p>
    <w:p w:rsidR="00BC048B" w:rsidRPr="00692B72" w:rsidRDefault="00BC048B" w:rsidP="00155502">
      <w:pPr>
        <w:pStyle w:val="Default"/>
        <w:numPr>
          <w:ilvl w:val="0"/>
          <w:numId w:val="6"/>
        </w:numPr>
        <w:spacing w:after="27"/>
        <w:rPr>
          <w:rFonts w:ascii="Calibri" w:hAnsi="Calibri"/>
          <w:sz w:val="22"/>
          <w:szCs w:val="22"/>
        </w:rPr>
      </w:pPr>
      <w:r w:rsidRPr="00692B72">
        <w:rPr>
          <w:rFonts w:ascii="Calibri" w:hAnsi="Calibri"/>
          <w:sz w:val="22"/>
          <w:szCs w:val="22"/>
        </w:rPr>
        <w:t>75 IU/0.125 ml (5.5 micrograms/0.125 ml)</w:t>
      </w:r>
      <w:r w:rsidR="000D1E50" w:rsidRPr="00692B72">
        <w:rPr>
          <w:rFonts w:ascii="Calibri" w:hAnsi="Calibri"/>
          <w:sz w:val="22"/>
          <w:szCs w:val="22"/>
        </w:rPr>
        <w:t xml:space="preserve"> solution for injection pre-</w:t>
      </w:r>
      <w:r w:rsidRPr="00692B72">
        <w:rPr>
          <w:rFonts w:ascii="Calibri" w:hAnsi="Calibri"/>
          <w:sz w:val="22"/>
          <w:szCs w:val="22"/>
        </w:rPr>
        <w:t xml:space="preserve">filled pen </w:t>
      </w:r>
    </w:p>
    <w:p w:rsidR="00BC048B" w:rsidRPr="00692B72" w:rsidRDefault="00BC048B" w:rsidP="00155502">
      <w:pPr>
        <w:pStyle w:val="Default"/>
        <w:numPr>
          <w:ilvl w:val="0"/>
          <w:numId w:val="6"/>
        </w:numPr>
        <w:spacing w:after="27"/>
        <w:rPr>
          <w:rFonts w:ascii="Calibri" w:hAnsi="Calibri"/>
          <w:sz w:val="22"/>
          <w:szCs w:val="22"/>
        </w:rPr>
      </w:pPr>
      <w:r w:rsidRPr="00692B72">
        <w:rPr>
          <w:rFonts w:ascii="Calibri" w:hAnsi="Calibri"/>
          <w:sz w:val="22"/>
          <w:szCs w:val="22"/>
        </w:rPr>
        <w:t xml:space="preserve">150 IU/0.25 ml (11 micrograms/0.25 ml) solution for injection pre-filled pen </w:t>
      </w:r>
    </w:p>
    <w:p w:rsidR="00BC048B" w:rsidRPr="00692B72" w:rsidRDefault="00BC048B" w:rsidP="00155502">
      <w:pPr>
        <w:pStyle w:val="Default"/>
        <w:numPr>
          <w:ilvl w:val="0"/>
          <w:numId w:val="6"/>
        </w:numPr>
        <w:spacing w:after="27"/>
        <w:rPr>
          <w:rFonts w:ascii="Calibri" w:hAnsi="Calibri"/>
          <w:sz w:val="22"/>
          <w:szCs w:val="22"/>
        </w:rPr>
      </w:pPr>
      <w:r w:rsidRPr="00692B72">
        <w:rPr>
          <w:rFonts w:ascii="Calibri" w:hAnsi="Calibri"/>
          <w:sz w:val="22"/>
          <w:szCs w:val="22"/>
        </w:rPr>
        <w:lastRenderedPageBreak/>
        <w:t xml:space="preserve">225 IU/0.375 ml (16.5 micrograms/0.375 ml) </w:t>
      </w:r>
      <w:r w:rsidR="00441E63" w:rsidRPr="00692B72">
        <w:rPr>
          <w:rFonts w:ascii="Calibri" w:hAnsi="Calibri"/>
          <w:sz w:val="22"/>
          <w:szCs w:val="22"/>
        </w:rPr>
        <w:t>solution for injection pre-filled pen</w:t>
      </w:r>
    </w:p>
    <w:p w:rsidR="00BC048B" w:rsidRPr="00692B72" w:rsidRDefault="00BC048B" w:rsidP="00155502">
      <w:pPr>
        <w:pStyle w:val="Default"/>
        <w:numPr>
          <w:ilvl w:val="0"/>
          <w:numId w:val="6"/>
        </w:numPr>
        <w:spacing w:after="27"/>
        <w:rPr>
          <w:rFonts w:ascii="Calibri" w:hAnsi="Calibri"/>
          <w:sz w:val="22"/>
          <w:szCs w:val="22"/>
        </w:rPr>
      </w:pPr>
      <w:r w:rsidRPr="00692B72">
        <w:rPr>
          <w:rFonts w:ascii="Calibri" w:hAnsi="Calibri"/>
          <w:sz w:val="22"/>
          <w:szCs w:val="22"/>
        </w:rPr>
        <w:t>300 IU/0.50 ml (22 micrograms/0.5 ml) solution for injection pre-filled pen</w:t>
      </w:r>
    </w:p>
    <w:p w:rsidR="00BC048B" w:rsidRPr="00692B72" w:rsidRDefault="00BC048B" w:rsidP="00BC048B">
      <w:pPr>
        <w:pStyle w:val="Default"/>
        <w:numPr>
          <w:ilvl w:val="0"/>
          <w:numId w:val="6"/>
        </w:numPr>
        <w:spacing w:after="27"/>
        <w:rPr>
          <w:rFonts w:ascii="Calibri" w:hAnsi="Calibri"/>
          <w:sz w:val="22"/>
          <w:szCs w:val="22"/>
        </w:rPr>
      </w:pPr>
      <w:r w:rsidRPr="00692B72">
        <w:rPr>
          <w:rFonts w:ascii="Calibri" w:hAnsi="Calibri"/>
          <w:sz w:val="22"/>
          <w:szCs w:val="22"/>
        </w:rPr>
        <w:t>450 IU/0.75 ml (33 micrograms/0.75 ml)  solution for injection pre-filled pen</w:t>
      </w:r>
    </w:p>
    <w:p w:rsidR="000D1E50" w:rsidRPr="00692B72" w:rsidRDefault="00BC048B" w:rsidP="00935AD3">
      <w:pPr>
        <w:pStyle w:val="Default"/>
        <w:keepNext/>
        <w:spacing w:after="27"/>
        <w:rPr>
          <w:rFonts w:ascii="Calibri" w:hAnsi="Calibri"/>
          <w:b/>
          <w:i/>
          <w:sz w:val="22"/>
          <w:szCs w:val="22"/>
        </w:rPr>
      </w:pPr>
      <w:r w:rsidRPr="00692B72">
        <w:rPr>
          <w:rFonts w:ascii="Calibri" w:hAnsi="Calibri"/>
          <w:b/>
          <w:i/>
          <w:sz w:val="22"/>
          <w:szCs w:val="22"/>
        </w:rPr>
        <w:t>Pack sizes</w:t>
      </w:r>
    </w:p>
    <w:p w:rsidR="00BC048B" w:rsidRPr="00692B72" w:rsidRDefault="00BC048B" w:rsidP="00BC048B">
      <w:pPr>
        <w:pStyle w:val="Default"/>
        <w:rPr>
          <w:rFonts w:ascii="Calibri" w:hAnsi="Calibri"/>
          <w:sz w:val="22"/>
          <w:szCs w:val="22"/>
        </w:rPr>
      </w:pPr>
      <w:r w:rsidRPr="00692B72">
        <w:rPr>
          <w:rFonts w:ascii="Calibri" w:hAnsi="Calibri"/>
          <w:sz w:val="22"/>
          <w:szCs w:val="22"/>
        </w:rPr>
        <w:t>Pack sizes of 1, 5 and 10 pre-filled pens. Not all pack sizes may be marketed. Each pack also contains the corresponding number of needles and alcohol swabs to be used with the pen for administration.</w:t>
      </w:r>
    </w:p>
    <w:p w:rsidR="00BC048B" w:rsidRPr="00692B72" w:rsidRDefault="00BC048B" w:rsidP="00BC048B">
      <w:pPr>
        <w:pStyle w:val="Default"/>
        <w:rPr>
          <w:rFonts w:ascii="Calibri" w:hAnsi="Calibri"/>
          <w:sz w:val="22"/>
          <w:szCs w:val="22"/>
        </w:rPr>
      </w:pPr>
    </w:p>
    <w:p w:rsidR="00BC048B" w:rsidRPr="00692B72" w:rsidRDefault="00BC048B" w:rsidP="00BC048B">
      <w:pPr>
        <w:pStyle w:val="Default"/>
        <w:rPr>
          <w:rFonts w:ascii="Calibri" w:hAnsi="Calibri"/>
          <w:sz w:val="22"/>
          <w:szCs w:val="22"/>
        </w:rPr>
      </w:pPr>
      <w:r w:rsidRPr="00692B72">
        <w:rPr>
          <w:rFonts w:ascii="Calibri" w:hAnsi="Calibri"/>
          <w:sz w:val="22"/>
          <w:szCs w:val="22"/>
        </w:rPr>
        <w:t xml:space="preserve">Bemfola Pens are not designed to allow the cartridge to be removed. </w:t>
      </w:r>
    </w:p>
    <w:p w:rsidR="00BC048B" w:rsidRPr="00692B72" w:rsidRDefault="00BC048B"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sz w:val="22"/>
          <w:szCs w:val="22"/>
        </w:rPr>
        <w:t xml:space="preserve">Storage </w:t>
      </w:r>
    </w:p>
    <w:p w:rsidR="00441E63" w:rsidRPr="00692B72" w:rsidRDefault="00441E63" w:rsidP="00441E63">
      <w:pPr>
        <w:pStyle w:val="Default"/>
        <w:rPr>
          <w:rFonts w:ascii="Calibri" w:hAnsi="Calibri"/>
          <w:sz w:val="22"/>
          <w:szCs w:val="22"/>
        </w:rPr>
      </w:pPr>
      <w:r w:rsidRPr="00692B72">
        <w:rPr>
          <w:rFonts w:ascii="Calibri" w:hAnsi="Calibri"/>
          <w:sz w:val="22"/>
          <w:szCs w:val="22"/>
        </w:rPr>
        <w:t xml:space="preserve">Store in a refrigerator (2°C - 8°C). Do not freeze. </w:t>
      </w:r>
    </w:p>
    <w:p w:rsidR="00441E63" w:rsidRPr="00692B72" w:rsidRDefault="00441E63" w:rsidP="00441E63">
      <w:pPr>
        <w:pStyle w:val="Default"/>
        <w:rPr>
          <w:rFonts w:ascii="Calibri" w:hAnsi="Calibri"/>
          <w:sz w:val="22"/>
          <w:szCs w:val="22"/>
        </w:rPr>
      </w:pPr>
      <w:r w:rsidRPr="00692B72">
        <w:rPr>
          <w:rFonts w:ascii="Calibri" w:hAnsi="Calibri"/>
          <w:sz w:val="22"/>
          <w:szCs w:val="22"/>
        </w:rPr>
        <w:t xml:space="preserve">Before opening and within its shelf life, the medicinal product may be removed from the refrigerator, without being refrigerated again, for up to 3 months at or below 25°C. The product must be discarded if it has not been used after 3 months. </w:t>
      </w:r>
    </w:p>
    <w:p w:rsidR="00441E63" w:rsidRPr="00692B72" w:rsidRDefault="00441E63" w:rsidP="00441E63">
      <w:pPr>
        <w:pStyle w:val="Default"/>
        <w:rPr>
          <w:rFonts w:ascii="Calibri" w:hAnsi="Calibri"/>
          <w:sz w:val="22"/>
          <w:szCs w:val="22"/>
        </w:rPr>
      </w:pPr>
    </w:p>
    <w:p w:rsidR="00155502" w:rsidRPr="00692B72" w:rsidRDefault="00441E63" w:rsidP="000D1E50">
      <w:pPr>
        <w:pStyle w:val="Default"/>
        <w:rPr>
          <w:rFonts w:ascii="Calibri" w:hAnsi="Calibri"/>
          <w:sz w:val="22"/>
          <w:szCs w:val="22"/>
        </w:rPr>
      </w:pPr>
      <w:r w:rsidRPr="00692B72">
        <w:rPr>
          <w:rFonts w:ascii="Calibri" w:hAnsi="Calibri"/>
          <w:sz w:val="22"/>
          <w:szCs w:val="22"/>
        </w:rPr>
        <w:t xml:space="preserve">Store in the original package in order to protect from light. </w:t>
      </w:r>
    </w:p>
    <w:p w:rsidR="00441E63" w:rsidRPr="00692B72" w:rsidRDefault="00441E63" w:rsidP="000D1E50">
      <w:pPr>
        <w:pStyle w:val="Default"/>
        <w:rPr>
          <w:rFonts w:ascii="Calibri" w:hAnsi="Calibri"/>
          <w:sz w:val="22"/>
          <w:szCs w:val="22"/>
        </w:rPr>
      </w:pPr>
    </w:p>
    <w:p w:rsidR="000D1E50" w:rsidRPr="00692B72" w:rsidRDefault="000D1E50" w:rsidP="00BC048B">
      <w:pPr>
        <w:pStyle w:val="Default"/>
        <w:rPr>
          <w:rFonts w:ascii="Calibri" w:hAnsi="Calibri"/>
          <w:sz w:val="22"/>
          <w:szCs w:val="22"/>
        </w:rPr>
      </w:pPr>
      <w:r w:rsidRPr="00692B72">
        <w:rPr>
          <w:rFonts w:ascii="Calibri" w:hAnsi="Calibri"/>
          <w:sz w:val="22"/>
          <w:szCs w:val="22"/>
        </w:rPr>
        <w:t xml:space="preserve">Each BEMFOLA PEN is for individual patient use only. </w:t>
      </w:r>
      <w:r w:rsidR="00BC048B" w:rsidRPr="00692B72">
        <w:rPr>
          <w:rFonts w:ascii="Calibri" w:hAnsi="Calibri"/>
          <w:sz w:val="22"/>
          <w:szCs w:val="22"/>
        </w:rPr>
        <w:t>Discard used pen and needle immediately after injection.</w:t>
      </w:r>
    </w:p>
    <w:p w:rsidR="00155502" w:rsidRPr="00692B72" w:rsidRDefault="00155502" w:rsidP="000D1E50">
      <w:pPr>
        <w:pStyle w:val="Default"/>
        <w:rPr>
          <w:rFonts w:ascii="Calibri" w:hAnsi="Calibri"/>
          <w:sz w:val="22"/>
          <w:szCs w:val="22"/>
        </w:rPr>
      </w:pPr>
    </w:p>
    <w:p w:rsidR="000D1E50" w:rsidRPr="00692B72" w:rsidRDefault="000D1E50" w:rsidP="00FE3FCE">
      <w:pPr>
        <w:pStyle w:val="Default"/>
        <w:rPr>
          <w:rFonts w:ascii="Calibri" w:hAnsi="Calibri"/>
          <w:b/>
          <w:bCs/>
          <w:sz w:val="28"/>
          <w:szCs w:val="22"/>
          <w:u w:val="single"/>
        </w:rPr>
      </w:pPr>
      <w:r w:rsidRPr="00692B72">
        <w:rPr>
          <w:rFonts w:ascii="Calibri" w:hAnsi="Calibri"/>
          <w:b/>
          <w:bCs/>
          <w:sz w:val="28"/>
          <w:szCs w:val="22"/>
          <w:u w:val="single"/>
        </w:rPr>
        <w:t>NAME AND ADDRESS OF SPONSOR</w:t>
      </w:r>
    </w:p>
    <w:p w:rsidR="00155502" w:rsidRPr="00692B72" w:rsidRDefault="00155502" w:rsidP="00155502">
      <w:pPr>
        <w:pStyle w:val="Default"/>
        <w:jc w:val="center"/>
        <w:rPr>
          <w:rFonts w:ascii="Calibri" w:hAnsi="Calibri"/>
          <w:sz w:val="16"/>
          <w:szCs w:val="22"/>
          <w:u w:val="single"/>
        </w:rPr>
      </w:pPr>
    </w:p>
    <w:p w:rsidR="004B7DA1" w:rsidRPr="00692B72" w:rsidRDefault="004B7DA1" w:rsidP="004B7DA1">
      <w:pPr>
        <w:pStyle w:val="Default"/>
        <w:rPr>
          <w:rFonts w:ascii="Calibri" w:hAnsi="Calibri"/>
          <w:iCs/>
          <w:sz w:val="22"/>
          <w:szCs w:val="22"/>
        </w:rPr>
      </w:pPr>
      <w:r w:rsidRPr="00692B72">
        <w:rPr>
          <w:rFonts w:ascii="Calibri" w:hAnsi="Calibri"/>
          <w:iCs/>
          <w:sz w:val="22"/>
          <w:szCs w:val="22"/>
        </w:rPr>
        <w:t xml:space="preserve">BEMFOLA is supplied in Australia by: </w:t>
      </w:r>
    </w:p>
    <w:p w:rsidR="004B7DA1" w:rsidRPr="00692B72" w:rsidRDefault="004B7DA1" w:rsidP="004B7DA1">
      <w:pPr>
        <w:pStyle w:val="Default"/>
        <w:rPr>
          <w:rFonts w:ascii="Calibri" w:hAnsi="Calibri"/>
          <w:sz w:val="22"/>
          <w:szCs w:val="22"/>
        </w:rPr>
      </w:pPr>
    </w:p>
    <w:p w:rsidR="004A3367" w:rsidRDefault="00BC0B9C" w:rsidP="004B7DA1">
      <w:pPr>
        <w:autoSpaceDE w:val="0"/>
        <w:autoSpaceDN w:val="0"/>
        <w:adjustRightInd w:val="0"/>
        <w:spacing w:after="0" w:line="240" w:lineRule="auto"/>
        <w:rPr>
          <w:rFonts w:asciiTheme="minorHAnsi" w:eastAsiaTheme="minorHAnsi" w:hAnsiTheme="minorHAnsi"/>
          <w:color w:val="000000"/>
        </w:rPr>
      </w:pPr>
      <w:r>
        <w:rPr>
          <w:rFonts w:asciiTheme="minorHAnsi" w:eastAsiaTheme="minorHAnsi" w:hAnsiTheme="minorHAnsi"/>
          <w:color w:val="000000"/>
        </w:rPr>
        <w:t>FINOX Biotech Australia Pty Ltd</w:t>
      </w:r>
    </w:p>
    <w:p w:rsidR="00BC0B9C" w:rsidRDefault="00BC0B9C" w:rsidP="004B7DA1">
      <w:pPr>
        <w:autoSpaceDE w:val="0"/>
        <w:autoSpaceDN w:val="0"/>
        <w:adjustRightInd w:val="0"/>
        <w:spacing w:after="0" w:line="240" w:lineRule="auto"/>
        <w:rPr>
          <w:rFonts w:asciiTheme="minorHAnsi" w:eastAsiaTheme="minorHAnsi" w:hAnsiTheme="minorHAnsi"/>
          <w:color w:val="000000"/>
        </w:rPr>
      </w:pPr>
      <w:r>
        <w:rPr>
          <w:rFonts w:asciiTheme="minorHAnsi" w:eastAsiaTheme="minorHAnsi" w:hAnsiTheme="minorHAnsi"/>
          <w:color w:val="000000"/>
        </w:rPr>
        <w:t xml:space="preserve">1 </w:t>
      </w:r>
      <w:proofErr w:type="spellStart"/>
      <w:r>
        <w:rPr>
          <w:rFonts w:asciiTheme="minorHAnsi" w:eastAsiaTheme="minorHAnsi" w:hAnsiTheme="minorHAnsi"/>
          <w:color w:val="000000"/>
        </w:rPr>
        <w:t>Garigal</w:t>
      </w:r>
      <w:proofErr w:type="spellEnd"/>
      <w:r>
        <w:rPr>
          <w:rFonts w:asciiTheme="minorHAnsi" w:eastAsiaTheme="minorHAnsi" w:hAnsiTheme="minorHAnsi"/>
          <w:color w:val="000000"/>
        </w:rPr>
        <w:t xml:space="preserve"> Road,</w:t>
      </w:r>
    </w:p>
    <w:p w:rsidR="00BC0B9C" w:rsidRPr="003168E2" w:rsidRDefault="00BC0B9C" w:rsidP="004B7DA1">
      <w:pPr>
        <w:autoSpaceDE w:val="0"/>
        <w:autoSpaceDN w:val="0"/>
        <w:adjustRightInd w:val="0"/>
        <w:spacing w:after="0" w:line="240" w:lineRule="auto"/>
        <w:rPr>
          <w:rFonts w:asciiTheme="minorHAnsi" w:eastAsiaTheme="minorHAnsi" w:hAnsiTheme="minorHAnsi"/>
          <w:color w:val="000000"/>
        </w:rPr>
      </w:pPr>
      <w:r>
        <w:rPr>
          <w:rFonts w:asciiTheme="minorHAnsi" w:eastAsiaTheme="minorHAnsi" w:hAnsiTheme="minorHAnsi"/>
          <w:color w:val="000000"/>
        </w:rPr>
        <w:t>Belrose NSW 2085</w:t>
      </w:r>
    </w:p>
    <w:p w:rsidR="000D1E50" w:rsidRPr="00692B72" w:rsidRDefault="000D1E50" w:rsidP="000D1E50">
      <w:pPr>
        <w:pStyle w:val="Default"/>
        <w:rPr>
          <w:rFonts w:ascii="Calibri" w:hAnsi="Calibri"/>
          <w:sz w:val="22"/>
          <w:szCs w:val="22"/>
        </w:rPr>
      </w:pPr>
    </w:p>
    <w:p w:rsidR="000D1E50" w:rsidRPr="00692B72" w:rsidRDefault="000D1E50" w:rsidP="00FE3FCE">
      <w:pPr>
        <w:pStyle w:val="Default"/>
        <w:rPr>
          <w:rFonts w:ascii="Calibri" w:hAnsi="Calibri"/>
          <w:b/>
          <w:bCs/>
          <w:sz w:val="22"/>
          <w:szCs w:val="22"/>
          <w:u w:val="single"/>
        </w:rPr>
      </w:pPr>
      <w:r w:rsidRPr="00692B72">
        <w:rPr>
          <w:rFonts w:ascii="Calibri" w:hAnsi="Calibri"/>
          <w:b/>
          <w:bCs/>
          <w:sz w:val="22"/>
          <w:szCs w:val="22"/>
          <w:u w:val="single"/>
        </w:rPr>
        <w:t>POISON SCHEDULE OF THE MEDICINE</w:t>
      </w:r>
    </w:p>
    <w:p w:rsidR="00155502" w:rsidRPr="00692B72" w:rsidRDefault="00155502" w:rsidP="00155502">
      <w:pPr>
        <w:pStyle w:val="Default"/>
        <w:jc w:val="center"/>
        <w:rPr>
          <w:rFonts w:ascii="Calibri" w:hAnsi="Calibri"/>
          <w:sz w:val="16"/>
          <w:szCs w:val="16"/>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Schedule 4 Prescription Medicine </w:t>
      </w:r>
    </w:p>
    <w:p w:rsidR="00155502" w:rsidRPr="00692B72" w:rsidRDefault="00155502" w:rsidP="000D1E50">
      <w:pPr>
        <w:pStyle w:val="Default"/>
        <w:rPr>
          <w:rFonts w:ascii="Calibri" w:hAnsi="Calibri"/>
          <w:sz w:val="22"/>
          <w:szCs w:val="22"/>
        </w:rPr>
      </w:pPr>
    </w:p>
    <w:p w:rsidR="00155502" w:rsidRPr="00692B72" w:rsidRDefault="000D1E50" w:rsidP="000D1E50">
      <w:pPr>
        <w:pStyle w:val="Default"/>
        <w:rPr>
          <w:rFonts w:ascii="Calibri" w:hAnsi="Calibri"/>
          <w:b/>
          <w:bCs/>
          <w:sz w:val="22"/>
          <w:szCs w:val="22"/>
          <w:u w:val="single"/>
        </w:rPr>
      </w:pPr>
      <w:r w:rsidRPr="00692B72">
        <w:rPr>
          <w:rFonts w:ascii="Calibri" w:hAnsi="Calibri"/>
          <w:b/>
          <w:bCs/>
          <w:sz w:val="22"/>
          <w:szCs w:val="22"/>
          <w:u w:val="single"/>
        </w:rPr>
        <w:t xml:space="preserve">Date of first inclusion in the Australian Register of Therapeutic Goods: </w:t>
      </w:r>
    </w:p>
    <w:p w:rsidR="000D1E50" w:rsidRPr="00692B72" w:rsidRDefault="003469E6" w:rsidP="000D1E50">
      <w:pPr>
        <w:pStyle w:val="Default"/>
        <w:rPr>
          <w:rFonts w:ascii="Calibri" w:hAnsi="Calibri"/>
          <w:bCs/>
          <w:sz w:val="22"/>
          <w:szCs w:val="22"/>
        </w:rPr>
      </w:pPr>
      <w:r>
        <w:rPr>
          <w:rFonts w:ascii="Calibri" w:hAnsi="Calibri"/>
          <w:bCs/>
          <w:sz w:val="22"/>
          <w:szCs w:val="22"/>
        </w:rPr>
        <w:t>27 November 2015</w:t>
      </w:r>
    </w:p>
    <w:sectPr w:rsidR="000D1E50" w:rsidRPr="00692B72" w:rsidSect="000042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E6" w:rsidRDefault="00E374E6" w:rsidP="000D1E50">
      <w:pPr>
        <w:spacing w:after="0" w:line="240" w:lineRule="auto"/>
      </w:pPr>
      <w:r>
        <w:separator/>
      </w:r>
    </w:p>
  </w:endnote>
  <w:endnote w:type="continuationSeparator" w:id="0">
    <w:p w:rsidR="00E374E6" w:rsidRDefault="00E374E6" w:rsidP="000D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6" w:rsidRDefault="00E374E6" w:rsidP="002955CD">
    <w:pPr>
      <w:pStyle w:val="Footer"/>
      <w:pBdr>
        <w:top w:val="single" w:sz="4" w:space="1" w:color="auto"/>
      </w:pBdr>
      <w:tabs>
        <w:tab w:val="clear" w:pos="4513"/>
      </w:tabs>
      <w:rPr>
        <w:rFonts w:cs="Calibri"/>
        <w:b/>
        <w:sz w:val="18"/>
        <w:szCs w:val="18"/>
      </w:rPr>
    </w:pPr>
    <w:r>
      <w:rPr>
        <w:sz w:val="16"/>
      </w:rPr>
      <w:t>BEMFOLA FINAL PI –</w:t>
    </w:r>
    <w:r w:rsidR="00FC4197">
      <w:rPr>
        <w:sz w:val="16"/>
      </w:rPr>
      <w:t>26 Nov 2015</w:t>
    </w:r>
    <w:r>
      <w:rPr>
        <w:sz w:val="16"/>
      </w:rPr>
      <w:t xml:space="preserve">  </w:t>
    </w:r>
    <w:r>
      <w:rPr>
        <w:sz w:val="16"/>
      </w:rPr>
      <w:tab/>
    </w:r>
    <w:r w:rsidRPr="00692B72">
      <w:rPr>
        <w:rFonts w:cs="Calibri"/>
        <w:sz w:val="18"/>
        <w:szCs w:val="18"/>
      </w:rPr>
      <w:t xml:space="preserve">Page </w:t>
    </w:r>
    <w:r w:rsidRPr="00692B72">
      <w:rPr>
        <w:rFonts w:cs="Calibri"/>
        <w:b/>
        <w:sz w:val="18"/>
        <w:szCs w:val="18"/>
      </w:rPr>
      <w:fldChar w:fldCharType="begin"/>
    </w:r>
    <w:r w:rsidRPr="00692B72">
      <w:rPr>
        <w:rFonts w:cs="Calibri"/>
        <w:b/>
        <w:sz w:val="18"/>
        <w:szCs w:val="18"/>
      </w:rPr>
      <w:instrText xml:space="preserve"> PAGE </w:instrText>
    </w:r>
    <w:r w:rsidRPr="00692B72">
      <w:rPr>
        <w:rFonts w:cs="Calibri"/>
        <w:b/>
        <w:sz w:val="18"/>
        <w:szCs w:val="18"/>
      </w:rPr>
      <w:fldChar w:fldCharType="separate"/>
    </w:r>
    <w:r w:rsidR="005A3123">
      <w:rPr>
        <w:rFonts w:cs="Calibri"/>
        <w:b/>
        <w:noProof/>
        <w:sz w:val="18"/>
        <w:szCs w:val="18"/>
      </w:rPr>
      <w:t>16</w:t>
    </w:r>
    <w:r w:rsidRPr="00692B72">
      <w:rPr>
        <w:rFonts w:cs="Calibri"/>
        <w:b/>
        <w:sz w:val="18"/>
        <w:szCs w:val="18"/>
      </w:rPr>
      <w:fldChar w:fldCharType="end"/>
    </w:r>
    <w:r w:rsidRPr="00692B72">
      <w:rPr>
        <w:rFonts w:cs="Calibri"/>
        <w:sz w:val="18"/>
        <w:szCs w:val="18"/>
      </w:rPr>
      <w:t xml:space="preserve"> of </w:t>
    </w:r>
    <w:r w:rsidRPr="00692B72">
      <w:rPr>
        <w:rFonts w:cs="Calibri"/>
        <w:b/>
        <w:sz w:val="18"/>
        <w:szCs w:val="18"/>
      </w:rPr>
      <w:fldChar w:fldCharType="begin"/>
    </w:r>
    <w:r w:rsidRPr="00692B72">
      <w:rPr>
        <w:rFonts w:cs="Calibri"/>
        <w:b/>
        <w:sz w:val="18"/>
        <w:szCs w:val="18"/>
      </w:rPr>
      <w:instrText xml:space="preserve"> NUMPAGES  </w:instrText>
    </w:r>
    <w:r w:rsidRPr="00692B72">
      <w:rPr>
        <w:rFonts w:cs="Calibri"/>
        <w:b/>
        <w:sz w:val="18"/>
        <w:szCs w:val="18"/>
      </w:rPr>
      <w:fldChar w:fldCharType="separate"/>
    </w:r>
    <w:r w:rsidR="005A3123">
      <w:rPr>
        <w:rFonts w:cs="Calibri"/>
        <w:b/>
        <w:noProof/>
        <w:sz w:val="18"/>
        <w:szCs w:val="18"/>
      </w:rPr>
      <w:t>16</w:t>
    </w:r>
    <w:r w:rsidRPr="00692B72">
      <w:rPr>
        <w:rFonts w:cs="Calibri"/>
        <w:b/>
        <w:sz w:val="18"/>
        <w:szCs w:val="18"/>
      </w:rPr>
      <w:fldChar w:fldCharType="end"/>
    </w:r>
  </w:p>
  <w:p w:rsidR="00FC4197" w:rsidRPr="002955CD" w:rsidRDefault="00FC4197" w:rsidP="002955CD">
    <w:pPr>
      <w:pStyle w:val="Footer"/>
      <w:pBdr>
        <w:top w:val="single" w:sz="4" w:space="1" w:color="auto"/>
      </w:pBdr>
      <w:tabs>
        <w:tab w:val="clear" w:pos="4513"/>
      </w:tabs>
      <w:rPr>
        <w:rFonts w:cs="Calibri"/>
        <w:sz w:val="18"/>
        <w:szCs w:val="18"/>
      </w:rPr>
    </w:pPr>
    <w:r>
      <w:rPr>
        <w:rFonts w:cs="Calibri"/>
        <w:b/>
        <w:sz w:val="18"/>
        <w:szCs w:val="18"/>
      </w:rPr>
      <w:t xml:space="preserve">AUSTR 231039; AUSTR </w:t>
    </w:r>
    <w:r w:rsidR="00E26CFC">
      <w:rPr>
        <w:rFonts w:cs="Calibri"/>
        <w:b/>
        <w:sz w:val="18"/>
        <w:szCs w:val="18"/>
      </w:rPr>
      <w:t>231046, AUSTR 231051, AUSTR 231052, AUSTR 231053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E6" w:rsidRDefault="00E374E6" w:rsidP="000D1E50">
      <w:pPr>
        <w:spacing w:after="0" w:line="240" w:lineRule="auto"/>
      </w:pPr>
      <w:r>
        <w:separator/>
      </w:r>
    </w:p>
  </w:footnote>
  <w:footnote w:type="continuationSeparator" w:id="0">
    <w:p w:rsidR="00E374E6" w:rsidRDefault="00E374E6" w:rsidP="000D1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000" w:firstRow="0" w:lastRow="0" w:firstColumn="0" w:lastColumn="0" w:noHBand="0" w:noVBand="0"/>
    </w:tblPr>
    <w:tblGrid>
      <w:gridCol w:w="9242"/>
    </w:tblGrid>
    <w:tr w:rsidR="0000424C" w:rsidTr="0000424C">
      <w:tc>
        <w:tcPr>
          <w:tcW w:w="9242" w:type="dxa"/>
          <w:shd w:val="clear" w:color="auto" w:fill="E4F2E0"/>
        </w:tcPr>
        <w:p w:rsidR="0000424C" w:rsidRDefault="003571B6">
          <w:pPr>
            <w:pStyle w:val="Header"/>
            <w:rPr>
              <w:sz w:val="20"/>
              <w:szCs w:val="20"/>
            </w:rPr>
          </w:pPr>
          <w:r>
            <w:rPr>
              <w:b/>
              <w:sz w:val="20"/>
              <w:szCs w:val="20"/>
            </w:rPr>
            <w:t>Attachment</w:t>
          </w:r>
          <w:r w:rsidR="0000424C" w:rsidRPr="00D361CA">
            <w:rPr>
              <w:b/>
              <w:sz w:val="20"/>
              <w:szCs w:val="20"/>
            </w:rPr>
            <w:t xml:space="preserve">: Product information for </w:t>
          </w:r>
          <w:proofErr w:type="spellStart"/>
          <w:r w:rsidR="0000424C" w:rsidRPr="006D0305">
            <w:rPr>
              <w:b/>
              <w:sz w:val="20"/>
              <w:szCs w:val="20"/>
            </w:rPr>
            <w:t>AusPAR</w:t>
          </w:r>
          <w:proofErr w:type="spellEnd"/>
          <w:r w:rsidR="0000424C" w:rsidRPr="006D0305">
            <w:rPr>
              <w:b/>
              <w:sz w:val="20"/>
              <w:szCs w:val="20"/>
            </w:rPr>
            <w:t xml:space="preserve"> </w:t>
          </w:r>
          <w:proofErr w:type="spellStart"/>
          <w:r w:rsidR="0000424C" w:rsidRPr="006D0305">
            <w:rPr>
              <w:b/>
              <w:sz w:val="20"/>
              <w:szCs w:val="20"/>
            </w:rPr>
            <w:t>Bemfola</w:t>
          </w:r>
          <w:proofErr w:type="spellEnd"/>
          <w:r w:rsidR="0000424C" w:rsidRPr="006D0305">
            <w:rPr>
              <w:b/>
              <w:sz w:val="20"/>
              <w:szCs w:val="20"/>
            </w:rPr>
            <w:t>/</w:t>
          </w:r>
          <w:proofErr w:type="spellStart"/>
          <w:r w:rsidR="0000424C" w:rsidRPr="006D0305">
            <w:rPr>
              <w:b/>
              <w:sz w:val="20"/>
              <w:szCs w:val="20"/>
            </w:rPr>
            <w:t>Afolia</w:t>
          </w:r>
          <w:proofErr w:type="spellEnd"/>
          <w:r w:rsidR="0000424C" w:rsidRPr="006D0305">
            <w:rPr>
              <w:b/>
              <w:sz w:val="20"/>
              <w:szCs w:val="20"/>
            </w:rPr>
            <w:t xml:space="preserve"> </w:t>
          </w:r>
          <w:proofErr w:type="spellStart"/>
          <w:r w:rsidR="0000424C" w:rsidRPr="006D0305">
            <w:rPr>
              <w:b/>
              <w:sz w:val="20"/>
              <w:szCs w:val="20"/>
            </w:rPr>
            <w:t>follitropin</w:t>
          </w:r>
          <w:proofErr w:type="spellEnd"/>
          <w:r w:rsidR="0000424C" w:rsidRPr="006D0305">
            <w:rPr>
              <w:b/>
              <w:sz w:val="20"/>
              <w:szCs w:val="20"/>
            </w:rPr>
            <w:t xml:space="preserve"> alfa (</w:t>
          </w:r>
          <w:proofErr w:type="spellStart"/>
          <w:r w:rsidR="0000424C" w:rsidRPr="006D0305">
            <w:rPr>
              <w:b/>
              <w:sz w:val="20"/>
              <w:szCs w:val="20"/>
            </w:rPr>
            <w:t>rch</w:t>
          </w:r>
          <w:proofErr w:type="spellEnd"/>
          <w:r w:rsidR="0000424C" w:rsidRPr="006D0305">
            <w:rPr>
              <w:b/>
              <w:sz w:val="20"/>
              <w:szCs w:val="20"/>
            </w:rPr>
            <w:t xml:space="preserve">) </w:t>
          </w:r>
          <w:proofErr w:type="spellStart"/>
          <w:r w:rsidR="0000424C" w:rsidRPr="006D0305">
            <w:rPr>
              <w:b/>
              <w:sz w:val="20"/>
              <w:szCs w:val="20"/>
            </w:rPr>
            <w:t>Finox</w:t>
          </w:r>
          <w:proofErr w:type="spellEnd"/>
          <w:r w:rsidR="0000424C" w:rsidRPr="006D0305">
            <w:rPr>
              <w:b/>
              <w:sz w:val="20"/>
              <w:szCs w:val="20"/>
            </w:rPr>
            <w:t xml:space="preserve"> Biotech Australia Pty Ltd</w:t>
          </w:r>
          <w:r w:rsidR="0000424C">
            <w:rPr>
              <w:b/>
              <w:sz w:val="20"/>
              <w:szCs w:val="20"/>
            </w:rPr>
            <w:t xml:space="preserve"> PM-2014-03163-1-5</w:t>
          </w:r>
          <w:r w:rsidR="0000424C" w:rsidRPr="006D0305">
            <w:rPr>
              <w:b/>
              <w:sz w:val="20"/>
              <w:szCs w:val="20"/>
            </w:rPr>
            <w:t xml:space="preserve"> 8 April 2016</w:t>
          </w:r>
          <w:r w:rsidR="0000424C" w:rsidRPr="00D361CA">
            <w:rPr>
              <w:b/>
              <w:sz w:val="20"/>
              <w:szCs w:val="20"/>
            </w:rPr>
            <w:t xml:space="preserve">. This Product Information was approved at the time this </w:t>
          </w:r>
          <w:proofErr w:type="spellStart"/>
          <w:r w:rsidR="0000424C" w:rsidRPr="00D361CA">
            <w:rPr>
              <w:b/>
              <w:sz w:val="20"/>
              <w:szCs w:val="20"/>
            </w:rPr>
            <w:t>AusPAR</w:t>
          </w:r>
          <w:proofErr w:type="spellEnd"/>
          <w:r w:rsidR="0000424C" w:rsidRPr="00D361CA">
            <w:rPr>
              <w:b/>
              <w:sz w:val="20"/>
              <w:szCs w:val="20"/>
            </w:rPr>
            <w:t xml:space="preserve"> was published.</w:t>
          </w:r>
        </w:p>
      </w:tc>
    </w:tr>
  </w:tbl>
  <w:p w:rsidR="0000424C" w:rsidRDefault="0000424C">
    <w:pPr>
      <w:pStyle w:val="Header"/>
      <w:rPr>
        <w:sz w:val="20"/>
        <w:szCs w:val="20"/>
      </w:rPr>
    </w:pPr>
  </w:p>
  <w:p w:rsidR="00E374E6" w:rsidRPr="000D1E50" w:rsidRDefault="00E374E6">
    <w:pPr>
      <w:pStyle w:val="Header"/>
      <w:rPr>
        <w:sz w:val="20"/>
        <w:szCs w:val="20"/>
      </w:rPr>
    </w:pPr>
    <w:r w:rsidRPr="000D1E50">
      <w:rPr>
        <w:sz w:val="20"/>
        <w:szCs w:val="20"/>
      </w:rPr>
      <w:t>Product Information</w:t>
    </w:r>
  </w:p>
  <w:p w:rsidR="00E374E6" w:rsidRPr="00692B72" w:rsidRDefault="00E374E6" w:rsidP="000D1E50">
    <w:pPr>
      <w:pStyle w:val="Default"/>
      <w:rPr>
        <w:rFonts w:ascii="Calibri" w:hAnsi="Calibri"/>
        <w:sz w:val="20"/>
        <w:szCs w:val="20"/>
      </w:rPr>
    </w:pPr>
    <w:r w:rsidRPr="00692B72">
      <w:rPr>
        <w:rFonts w:ascii="Calibri" w:hAnsi="Calibri"/>
        <w:sz w:val="20"/>
        <w:szCs w:val="20"/>
      </w:rPr>
      <w:t xml:space="preserve">Bemfola, </w:t>
    </w:r>
    <w:r w:rsidRPr="00692B72">
      <w:rPr>
        <w:rFonts w:ascii="Calibri" w:hAnsi="Calibri"/>
        <w:bCs/>
        <w:sz w:val="20"/>
        <w:szCs w:val="20"/>
      </w:rPr>
      <w:t>Recombinant human follicle stimulating hormone (</w:t>
    </w:r>
    <w:proofErr w:type="spellStart"/>
    <w:r w:rsidRPr="00692B72">
      <w:rPr>
        <w:rFonts w:ascii="Calibri" w:hAnsi="Calibri"/>
        <w:bCs/>
        <w:sz w:val="20"/>
        <w:szCs w:val="20"/>
      </w:rPr>
      <w:t>follitropin</w:t>
    </w:r>
    <w:proofErr w:type="spellEnd"/>
    <w:r w:rsidRPr="00692B72">
      <w:rPr>
        <w:rFonts w:ascii="Calibri" w:hAnsi="Calibri"/>
        <w:bCs/>
        <w:sz w:val="20"/>
        <w:szCs w:val="20"/>
      </w:rPr>
      <w:t xml:space="preserve"> alfa (</w:t>
    </w:r>
    <w:proofErr w:type="spellStart"/>
    <w:r w:rsidRPr="00692B72">
      <w:rPr>
        <w:rFonts w:ascii="Calibri" w:hAnsi="Calibri"/>
        <w:bCs/>
        <w:sz w:val="20"/>
        <w:szCs w:val="20"/>
      </w:rPr>
      <w:t>rch</w:t>
    </w:r>
    <w:proofErr w:type="spellEnd"/>
    <w:r w:rsidRPr="00692B72">
      <w:rPr>
        <w:rFonts w:ascii="Calibri" w:hAnsi="Calibri"/>
        <w:bCs/>
        <w:sz w:val="20"/>
        <w:szCs w:val="20"/>
      </w:rPr>
      <w:t>))</w:t>
    </w:r>
  </w:p>
  <w:p w:rsidR="00E374E6" w:rsidRDefault="00E374E6" w:rsidP="00FE3FCE">
    <w:pPr>
      <w:pStyle w:val="Header"/>
      <w:pBdr>
        <w:bottom w:val="single" w:sz="4" w:space="1" w:color="auto"/>
      </w:pBdr>
      <w:rPr>
        <w:sz w:val="20"/>
        <w:szCs w:val="20"/>
      </w:rPr>
    </w:pPr>
    <w:r w:rsidRPr="000D1E50">
      <w:rPr>
        <w:sz w:val="20"/>
        <w:szCs w:val="20"/>
      </w:rPr>
      <w:t>FINOX</w:t>
    </w:r>
  </w:p>
  <w:p w:rsidR="00E374E6" w:rsidRPr="000D1E50" w:rsidRDefault="00E374E6">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C7D6B"/>
    <w:multiLevelType w:val="hybridMultilevel"/>
    <w:tmpl w:val="2CC857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DF27113"/>
    <w:multiLevelType w:val="hybridMultilevel"/>
    <w:tmpl w:val="9746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127DDC"/>
    <w:multiLevelType w:val="hybridMultilevel"/>
    <w:tmpl w:val="B472E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0114BD"/>
    <w:multiLevelType w:val="hybridMultilevel"/>
    <w:tmpl w:val="80F22C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F7C2084"/>
    <w:multiLevelType w:val="hybridMultilevel"/>
    <w:tmpl w:val="8CC62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15900F0"/>
    <w:multiLevelType w:val="hybridMultilevel"/>
    <w:tmpl w:val="448C0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5647CD2"/>
    <w:multiLevelType w:val="hybridMultilevel"/>
    <w:tmpl w:val="AA2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9662BD7"/>
    <w:multiLevelType w:val="hybridMultilevel"/>
    <w:tmpl w:val="1C1A5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3DA3B3B"/>
    <w:multiLevelType w:val="hybridMultilevel"/>
    <w:tmpl w:val="595475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93833DC"/>
    <w:multiLevelType w:val="hybridMultilevel"/>
    <w:tmpl w:val="CC289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2"/>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50"/>
    <w:rsid w:val="0000424C"/>
    <w:rsid w:val="00017E54"/>
    <w:rsid w:val="00030773"/>
    <w:rsid w:val="000620B0"/>
    <w:rsid w:val="000731AE"/>
    <w:rsid w:val="000802B9"/>
    <w:rsid w:val="00094F7E"/>
    <w:rsid w:val="000A45A5"/>
    <w:rsid w:val="000B7FCC"/>
    <w:rsid w:val="000D1431"/>
    <w:rsid w:val="000D1E50"/>
    <w:rsid w:val="000F3E2C"/>
    <w:rsid w:val="00116508"/>
    <w:rsid w:val="00155502"/>
    <w:rsid w:val="00157CF3"/>
    <w:rsid w:val="001837F0"/>
    <w:rsid w:val="00193FB3"/>
    <w:rsid w:val="001F7AF3"/>
    <w:rsid w:val="00210C5D"/>
    <w:rsid w:val="00222E23"/>
    <w:rsid w:val="00271A31"/>
    <w:rsid w:val="0028096C"/>
    <w:rsid w:val="00284E90"/>
    <w:rsid w:val="00284F9A"/>
    <w:rsid w:val="002955CD"/>
    <w:rsid w:val="002D7B30"/>
    <w:rsid w:val="002F3A34"/>
    <w:rsid w:val="0030376A"/>
    <w:rsid w:val="003469E6"/>
    <w:rsid w:val="00350885"/>
    <w:rsid w:val="003571B6"/>
    <w:rsid w:val="003624A5"/>
    <w:rsid w:val="003B50D7"/>
    <w:rsid w:val="003B64AF"/>
    <w:rsid w:val="004232BE"/>
    <w:rsid w:val="00431B7F"/>
    <w:rsid w:val="00441E63"/>
    <w:rsid w:val="00456925"/>
    <w:rsid w:val="00486C4E"/>
    <w:rsid w:val="004A3367"/>
    <w:rsid w:val="004B7DA1"/>
    <w:rsid w:val="00507789"/>
    <w:rsid w:val="00566D3A"/>
    <w:rsid w:val="00597243"/>
    <w:rsid w:val="005A3123"/>
    <w:rsid w:val="005D088F"/>
    <w:rsid w:val="00692B72"/>
    <w:rsid w:val="006A7F36"/>
    <w:rsid w:val="006D0F9E"/>
    <w:rsid w:val="006E5960"/>
    <w:rsid w:val="006E6381"/>
    <w:rsid w:val="007229B3"/>
    <w:rsid w:val="00752208"/>
    <w:rsid w:val="00753619"/>
    <w:rsid w:val="00792FCA"/>
    <w:rsid w:val="007E7410"/>
    <w:rsid w:val="00807F36"/>
    <w:rsid w:val="008150A6"/>
    <w:rsid w:val="00853EA9"/>
    <w:rsid w:val="0085717A"/>
    <w:rsid w:val="0086067F"/>
    <w:rsid w:val="008919F3"/>
    <w:rsid w:val="008A234A"/>
    <w:rsid w:val="008B5A33"/>
    <w:rsid w:val="008B6245"/>
    <w:rsid w:val="00904A10"/>
    <w:rsid w:val="0091218B"/>
    <w:rsid w:val="00935541"/>
    <w:rsid w:val="00935AD3"/>
    <w:rsid w:val="009563C7"/>
    <w:rsid w:val="009613DD"/>
    <w:rsid w:val="00975E96"/>
    <w:rsid w:val="00980406"/>
    <w:rsid w:val="009A09F9"/>
    <w:rsid w:val="009B1DD7"/>
    <w:rsid w:val="009E7CB6"/>
    <w:rsid w:val="00A101D6"/>
    <w:rsid w:val="00A1585D"/>
    <w:rsid w:val="00AA4119"/>
    <w:rsid w:val="00B024F8"/>
    <w:rsid w:val="00B12038"/>
    <w:rsid w:val="00B21732"/>
    <w:rsid w:val="00B80025"/>
    <w:rsid w:val="00B8755F"/>
    <w:rsid w:val="00BA3BCE"/>
    <w:rsid w:val="00BC048B"/>
    <w:rsid w:val="00BC0B9C"/>
    <w:rsid w:val="00BC5A9F"/>
    <w:rsid w:val="00BD7208"/>
    <w:rsid w:val="00BF304E"/>
    <w:rsid w:val="00C454D2"/>
    <w:rsid w:val="00C66A61"/>
    <w:rsid w:val="00C940BF"/>
    <w:rsid w:val="00CC0E36"/>
    <w:rsid w:val="00CC65F5"/>
    <w:rsid w:val="00CC7588"/>
    <w:rsid w:val="00CD7033"/>
    <w:rsid w:val="00D05565"/>
    <w:rsid w:val="00D30F53"/>
    <w:rsid w:val="00D463EA"/>
    <w:rsid w:val="00D56C6C"/>
    <w:rsid w:val="00DA2250"/>
    <w:rsid w:val="00DD26FF"/>
    <w:rsid w:val="00DD504E"/>
    <w:rsid w:val="00DD798A"/>
    <w:rsid w:val="00DF2A3D"/>
    <w:rsid w:val="00DF57FD"/>
    <w:rsid w:val="00E2309F"/>
    <w:rsid w:val="00E26CFC"/>
    <w:rsid w:val="00E274D1"/>
    <w:rsid w:val="00E374E6"/>
    <w:rsid w:val="00E44A8C"/>
    <w:rsid w:val="00E604D9"/>
    <w:rsid w:val="00E650A2"/>
    <w:rsid w:val="00F35FEC"/>
    <w:rsid w:val="00F55E8E"/>
    <w:rsid w:val="00F57374"/>
    <w:rsid w:val="00F61CB4"/>
    <w:rsid w:val="00F83BDB"/>
    <w:rsid w:val="00F855BB"/>
    <w:rsid w:val="00F925E7"/>
    <w:rsid w:val="00FB7B9D"/>
    <w:rsid w:val="00FB7EB9"/>
    <w:rsid w:val="00FC4197"/>
    <w:rsid w:val="00FE3FCE"/>
    <w:rsid w:val="00FE5125"/>
    <w:rsid w:val="00FF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36"/>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50"/>
  </w:style>
  <w:style w:type="paragraph" w:styleId="Footer">
    <w:name w:val="footer"/>
    <w:basedOn w:val="Normal"/>
    <w:link w:val="FooterChar"/>
    <w:uiPriority w:val="99"/>
    <w:unhideWhenUsed/>
    <w:rsid w:val="000D1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50"/>
  </w:style>
  <w:style w:type="paragraph" w:customStyle="1" w:styleId="Default">
    <w:name w:val="Default"/>
    <w:rsid w:val="000D1E50"/>
    <w:pPr>
      <w:autoSpaceDE w:val="0"/>
      <w:autoSpaceDN w:val="0"/>
      <w:adjustRightInd w:val="0"/>
    </w:pPr>
    <w:rPr>
      <w:rFonts w:ascii="Times New Roman" w:hAnsi="Times New Roman"/>
      <w:color w:val="000000"/>
      <w:sz w:val="24"/>
      <w:szCs w:val="24"/>
      <w:lang w:val="en-AU" w:eastAsia="en-US"/>
    </w:rPr>
  </w:style>
  <w:style w:type="paragraph" w:styleId="BalloonText">
    <w:name w:val="Balloon Text"/>
    <w:basedOn w:val="Normal"/>
    <w:link w:val="BalloonTextChar"/>
    <w:uiPriority w:val="99"/>
    <w:semiHidden/>
    <w:unhideWhenUsed/>
    <w:rsid w:val="000D1E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E50"/>
    <w:rPr>
      <w:rFonts w:ascii="Tahoma" w:hAnsi="Tahoma" w:cs="Tahoma"/>
      <w:sz w:val="16"/>
      <w:szCs w:val="16"/>
    </w:rPr>
  </w:style>
  <w:style w:type="paragraph" w:styleId="NoSpacing">
    <w:name w:val="No Spacing"/>
    <w:uiPriority w:val="1"/>
    <w:qFormat/>
    <w:rsid w:val="00193FB3"/>
    <w:rPr>
      <w:sz w:val="22"/>
      <w:szCs w:val="22"/>
      <w:lang w:val="en-AU" w:eastAsia="en-US"/>
    </w:rPr>
  </w:style>
  <w:style w:type="character" w:customStyle="1" w:styleId="DocumentTextChar">
    <w:name w:val="Document Text Char"/>
    <w:basedOn w:val="DefaultParagraphFont"/>
    <w:link w:val="DocumentText"/>
    <w:locked/>
    <w:rsid w:val="00753619"/>
  </w:style>
  <w:style w:type="paragraph" w:customStyle="1" w:styleId="DocumentText">
    <w:name w:val="Document Text"/>
    <w:basedOn w:val="Normal"/>
    <w:link w:val="DocumentTextChar"/>
    <w:rsid w:val="00753619"/>
    <w:pPr>
      <w:spacing w:after="240" w:line="300" w:lineRule="auto"/>
    </w:pPr>
  </w:style>
  <w:style w:type="table" w:styleId="TableGrid">
    <w:name w:val="Table Grid"/>
    <w:basedOn w:val="TableNormal"/>
    <w:uiPriority w:val="59"/>
    <w:rsid w:val="00B2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17E54"/>
    <w:rPr>
      <w:sz w:val="16"/>
      <w:szCs w:val="16"/>
    </w:rPr>
  </w:style>
  <w:style w:type="paragraph" w:styleId="CommentText">
    <w:name w:val="annotation text"/>
    <w:basedOn w:val="Normal"/>
    <w:link w:val="CommentTextChar"/>
    <w:uiPriority w:val="99"/>
    <w:semiHidden/>
    <w:unhideWhenUsed/>
    <w:rsid w:val="00017E54"/>
    <w:pPr>
      <w:spacing w:line="240" w:lineRule="auto"/>
    </w:pPr>
    <w:rPr>
      <w:sz w:val="20"/>
      <w:szCs w:val="20"/>
    </w:rPr>
  </w:style>
  <w:style w:type="character" w:customStyle="1" w:styleId="CommentTextChar">
    <w:name w:val="Comment Text Char"/>
    <w:link w:val="CommentText"/>
    <w:uiPriority w:val="99"/>
    <w:semiHidden/>
    <w:rsid w:val="00017E54"/>
    <w:rPr>
      <w:sz w:val="20"/>
      <w:szCs w:val="20"/>
    </w:rPr>
  </w:style>
  <w:style w:type="paragraph" w:styleId="CommentSubject">
    <w:name w:val="annotation subject"/>
    <w:basedOn w:val="CommentText"/>
    <w:next w:val="CommentText"/>
    <w:link w:val="CommentSubjectChar"/>
    <w:uiPriority w:val="99"/>
    <w:semiHidden/>
    <w:unhideWhenUsed/>
    <w:rsid w:val="00017E54"/>
    <w:rPr>
      <w:b/>
      <w:bCs/>
    </w:rPr>
  </w:style>
  <w:style w:type="character" w:customStyle="1" w:styleId="CommentSubjectChar">
    <w:name w:val="Comment Subject Char"/>
    <w:link w:val="CommentSubject"/>
    <w:uiPriority w:val="99"/>
    <w:semiHidden/>
    <w:rsid w:val="00017E54"/>
    <w:rPr>
      <w:b/>
      <w:bCs/>
      <w:sz w:val="20"/>
      <w:szCs w:val="20"/>
    </w:rPr>
  </w:style>
  <w:style w:type="character" w:customStyle="1" w:styleId="apple-converted-space">
    <w:name w:val="apple-converted-space"/>
    <w:basedOn w:val="DefaultParagraphFont"/>
    <w:rsid w:val="006A7F36"/>
  </w:style>
  <w:style w:type="character" w:styleId="Strong">
    <w:name w:val="Strong"/>
    <w:basedOn w:val="DefaultParagraphFont"/>
    <w:uiPriority w:val="22"/>
    <w:qFormat/>
    <w:rsid w:val="006A7F36"/>
    <w:rPr>
      <w:b/>
      <w:bCs/>
    </w:rPr>
  </w:style>
  <w:style w:type="paragraph" w:styleId="Revision">
    <w:name w:val="Revision"/>
    <w:hidden/>
    <w:uiPriority w:val="99"/>
    <w:semiHidden/>
    <w:rsid w:val="00B80025"/>
    <w:rPr>
      <w:sz w:val="22"/>
      <w:szCs w:val="22"/>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36"/>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50"/>
  </w:style>
  <w:style w:type="paragraph" w:styleId="Footer">
    <w:name w:val="footer"/>
    <w:basedOn w:val="Normal"/>
    <w:link w:val="FooterChar"/>
    <w:uiPriority w:val="99"/>
    <w:unhideWhenUsed/>
    <w:rsid w:val="000D1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50"/>
  </w:style>
  <w:style w:type="paragraph" w:customStyle="1" w:styleId="Default">
    <w:name w:val="Default"/>
    <w:rsid w:val="000D1E50"/>
    <w:pPr>
      <w:autoSpaceDE w:val="0"/>
      <w:autoSpaceDN w:val="0"/>
      <w:adjustRightInd w:val="0"/>
    </w:pPr>
    <w:rPr>
      <w:rFonts w:ascii="Times New Roman" w:hAnsi="Times New Roman"/>
      <w:color w:val="000000"/>
      <w:sz w:val="24"/>
      <w:szCs w:val="24"/>
      <w:lang w:val="en-AU" w:eastAsia="en-US"/>
    </w:rPr>
  </w:style>
  <w:style w:type="paragraph" w:styleId="BalloonText">
    <w:name w:val="Balloon Text"/>
    <w:basedOn w:val="Normal"/>
    <w:link w:val="BalloonTextChar"/>
    <w:uiPriority w:val="99"/>
    <w:semiHidden/>
    <w:unhideWhenUsed/>
    <w:rsid w:val="000D1E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E50"/>
    <w:rPr>
      <w:rFonts w:ascii="Tahoma" w:hAnsi="Tahoma" w:cs="Tahoma"/>
      <w:sz w:val="16"/>
      <w:szCs w:val="16"/>
    </w:rPr>
  </w:style>
  <w:style w:type="paragraph" w:styleId="NoSpacing">
    <w:name w:val="No Spacing"/>
    <w:uiPriority w:val="1"/>
    <w:qFormat/>
    <w:rsid w:val="00193FB3"/>
    <w:rPr>
      <w:sz w:val="22"/>
      <w:szCs w:val="22"/>
      <w:lang w:val="en-AU" w:eastAsia="en-US"/>
    </w:rPr>
  </w:style>
  <w:style w:type="character" w:customStyle="1" w:styleId="DocumentTextChar">
    <w:name w:val="Document Text Char"/>
    <w:basedOn w:val="DefaultParagraphFont"/>
    <w:link w:val="DocumentText"/>
    <w:locked/>
    <w:rsid w:val="00753619"/>
  </w:style>
  <w:style w:type="paragraph" w:customStyle="1" w:styleId="DocumentText">
    <w:name w:val="Document Text"/>
    <w:basedOn w:val="Normal"/>
    <w:link w:val="DocumentTextChar"/>
    <w:rsid w:val="00753619"/>
    <w:pPr>
      <w:spacing w:after="240" w:line="300" w:lineRule="auto"/>
    </w:pPr>
  </w:style>
  <w:style w:type="table" w:styleId="TableGrid">
    <w:name w:val="Table Grid"/>
    <w:basedOn w:val="TableNormal"/>
    <w:uiPriority w:val="59"/>
    <w:rsid w:val="00B2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17E54"/>
    <w:rPr>
      <w:sz w:val="16"/>
      <w:szCs w:val="16"/>
    </w:rPr>
  </w:style>
  <w:style w:type="paragraph" w:styleId="CommentText">
    <w:name w:val="annotation text"/>
    <w:basedOn w:val="Normal"/>
    <w:link w:val="CommentTextChar"/>
    <w:uiPriority w:val="99"/>
    <w:semiHidden/>
    <w:unhideWhenUsed/>
    <w:rsid w:val="00017E54"/>
    <w:pPr>
      <w:spacing w:line="240" w:lineRule="auto"/>
    </w:pPr>
    <w:rPr>
      <w:sz w:val="20"/>
      <w:szCs w:val="20"/>
    </w:rPr>
  </w:style>
  <w:style w:type="character" w:customStyle="1" w:styleId="CommentTextChar">
    <w:name w:val="Comment Text Char"/>
    <w:link w:val="CommentText"/>
    <w:uiPriority w:val="99"/>
    <w:semiHidden/>
    <w:rsid w:val="00017E54"/>
    <w:rPr>
      <w:sz w:val="20"/>
      <w:szCs w:val="20"/>
    </w:rPr>
  </w:style>
  <w:style w:type="paragraph" w:styleId="CommentSubject">
    <w:name w:val="annotation subject"/>
    <w:basedOn w:val="CommentText"/>
    <w:next w:val="CommentText"/>
    <w:link w:val="CommentSubjectChar"/>
    <w:uiPriority w:val="99"/>
    <w:semiHidden/>
    <w:unhideWhenUsed/>
    <w:rsid w:val="00017E54"/>
    <w:rPr>
      <w:b/>
      <w:bCs/>
    </w:rPr>
  </w:style>
  <w:style w:type="character" w:customStyle="1" w:styleId="CommentSubjectChar">
    <w:name w:val="Comment Subject Char"/>
    <w:link w:val="CommentSubject"/>
    <w:uiPriority w:val="99"/>
    <w:semiHidden/>
    <w:rsid w:val="00017E54"/>
    <w:rPr>
      <w:b/>
      <w:bCs/>
      <w:sz w:val="20"/>
      <w:szCs w:val="20"/>
    </w:rPr>
  </w:style>
  <w:style w:type="character" w:customStyle="1" w:styleId="apple-converted-space">
    <w:name w:val="apple-converted-space"/>
    <w:basedOn w:val="DefaultParagraphFont"/>
    <w:rsid w:val="006A7F36"/>
  </w:style>
  <w:style w:type="character" w:styleId="Strong">
    <w:name w:val="Strong"/>
    <w:basedOn w:val="DefaultParagraphFont"/>
    <w:uiPriority w:val="22"/>
    <w:qFormat/>
    <w:rsid w:val="006A7F36"/>
    <w:rPr>
      <w:b/>
      <w:bCs/>
    </w:rPr>
  </w:style>
  <w:style w:type="paragraph" w:styleId="Revision">
    <w:name w:val="Revision"/>
    <w:hidden/>
    <w:uiPriority w:val="99"/>
    <w:semiHidden/>
    <w:rsid w:val="00B80025"/>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05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5862</Words>
  <Characters>33536</Characters>
  <Application>Microsoft Office Word</Application>
  <DocSecurity>0</DocSecurity>
  <Lines>882</Lines>
  <Paragraphs>432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Product Information for Bemfolia</dc:title>
  <dc:subject>Prescription medicines</dc:subject>
  <dc:creator>Regulatory Assistant</dc:creator>
  <cp:keywords>AusPARs</cp:keywords>
  <cp:lastModifiedBy>Schilg, Cassie</cp:lastModifiedBy>
  <cp:revision>6</cp:revision>
  <cp:lastPrinted>2015-12-16T02:35:00Z</cp:lastPrinted>
  <dcterms:created xsi:type="dcterms:W3CDTF">2016-04-05T07:04:00Z</dcterms:created>
  <dcterms:modified xsi:type="dcterms:W3CDTF">2016-04-12T04:31:00Z</dcterms:modified>
</cp:coreProperties>
</file>